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97" w:rsidRDefault="00775AD5" w:rsidP="00775AD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90B139A-F5D9-46C1-91BE-E3279EDDA1D6" style="width:455.25pt;height:365.25pt">
            <v:imagedata r:id="rId8" o:title=""/>
          </v:shape>
        </w:pict>
      </w:r>
    </w:p>
    <w:bookmarkEnd w:id="0"/>
    <w:p w:rsidR="00062F97" w:rsidRDefault="00062F97" w:rsidP="00062F97">
      <w:pPr>
        <w:rPr>
          <w:noProof/>
        </w:rPr>
        <w:sectPr w:rsidR="00062F97" w:rsidSect="00775AD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062F97" w:rsidRPr="00613163" w:rsidRDefault="00062F97" w:rsidP="00062F97">
      <w:pPr>
        <w:pStyle w:val="Heading1"/>
        <w:rPr>
          <w:noProof/>
        </w:rPr>
      </w:pPr>
      <w:bookmarkStart w:id="1" w:name="_GoBack"/>
      <w:bookmarkEnd w:id="1"/>
      <w:r>
        <w:rPr>
          <w:noProof/>
        </w:rPr>
        <w:lastRenderedPageBreak/>
        <w:t>Forord</w:t>
      </w:r>
      <w:r>
        <w:rPr>
          <w:rStyle w:val="FootnoteReference"/>
          <w:noProof/>
        </w:rPr>
        <w:footnoteReference w:id="1"/>
      </w:r>
    </w:p>
    <w:p w:rsidR="00062F97" w:rsidRPr="00613163" w:rsidRDefault="00062F97" w:rsidP="00062F97">
      <w:pPr>
        <w:pStyle w:val="Text1"/>
        <w:rPr>
          <w:noProof/>
        </w:rPr>
      </w:pPr>
      <w:r>
        <w:rPr>
          <w:noProof/>
        </w:rPr>
        <w:t>Som fastsat i artikel 19, stk. 2, i Rådets forordning (EU) 2018/1877</w:t>
      </w:r>
      <w:r>
        <w:rPr>
          <w:rStyle w:val="FootnoteReference"/>
          <w:noProof/>
        </w:rPr>
        <w:footnoteReference w:id="2"/>
      </w:r>
      <w:r>
        <w:rPr>
          <w:noProof/>
        </w:rPr>
        <w:t xml:space="preserve"> om finansforordningen for 11. Europæiske Udviklingsfond (i det følgende benævnt "finansforordningen for 11. EUF") fremlægger Kommissionen i dette dokument skøn over forpligtelser</w:t>
      </w:r>
      <w:r>
        <w:rPr>
          <w:rStyle w:val="FootnoteReference"/>
          <w:noProof/>
        </w:rPr>
        <w:footnoteReference w:id="3"/>
      </w:r>
      <w:r>
        <w:rPr>
          <w:noProof/>
        </w:rPr>
        <w:t xml:space="preserve">, betalinger og bidrag for perioden 2022-2024 under hensyntagen til Den Europæiske Investeringsbanks ("EIB") overslag. </w:t>
      </w:r>
    </w:p>
    <w:p w:rsidR="00062F97" w:rsidRPr="00613163" w:rsidRDefault="00062F97" w:rsidP="00062F97">
      <w:pPr>
        <w:pStyle w:val="Text1"/>
        <w:rPr>
          <w:noProof/>
        </w:rPr>
      </w:pPr>
      <w:r>
        <w:rPr>
          <w:noProof/>
        </w:rPr>
        <w:t>Dette dokument indeholder den finansielle gennemførelse af EUF'erne (9.-11.) for 2022-2024. Desuden fremsættes ikkebindende skøn over EUF-bidragene fra parterne i Den Europæiske Udviklingsfond for årene 2025-2026.</w:t>
      </w:r>
    </w:p>
    <w:p w:rsidR="00062F97" w:rsidRPr="00613163" w:rsidRDefault="00062F97" w:rsidP="00062F97">
      <w:pPr>
        <w:pStyle w:val="Text1"/>
        <w:rPr>
          <w:noProof/>
        </w:rPr>
      </w:pPr>
      <w:r>
        <w:rPr>
          <w:noProof/>
        </w:rPr>
        <w:t xml:space="preserve">Parterne i Den Europæiske Udviklingsfond betaler deres bidrag til de instrumenter under 9., 10. og 11. EUF, som EIB forvalter (investeringsfaciliteten og rentegodtgørelser), direkte til EIB. </w:t>
      </w:r>
    </w:p>
    <w:p w:rsidR="00062F97" w:rsidRPr="00613163" w:rsidRDefault="00062F97" w:rsidP="00062F97">
      <w:pPr>
        <w:pStyle w:val="Heading1"/>
        <w:rPr>
          <w:noProof/>
        </w:rPr>
      </w:pPr>
      <w:r>
        <w:rPr>
          <w:noProof/>
        </w:rPr>
        <w:t>Indledning</w:t>
      </w:r>
    </w:p>
    <w:p w:rsidR="00062F97" w:rsidRPr="00613163" w:rsidRDefault="00062F97" w:rsidP="00062F97">
      <w:pPr>
        <w:pStyle w:val="Text1"/>
        <w:rPr>
          <w:noProof/>
        </w:rPr>
      </w:pPr>
      <w:r>
        <w:rPr>
          <w:noProof/>
        </w:rPr>
        <w:t>Kommissionen og EIB har ajourført deres overslag over betalinger for 2022, 2023 og 2024 for hvert enkelt af landene i Afrika, Caribien og Stillehavet ("ACS") og de oversøiske lande og territorier ("OLT"). Navnlig overslagene over betalingerne er blevet udarbejdet med henblik på at hjælpe parterne i Den Europæiske Udviklingsfond til så nøjagtigt som muligt at vurdere de beløb, de skal afsætte i deres nationale budgetter, og samtidig sikre, at der er tilstrækkelige finansielle ressourcer til rådighed for EUF, således at problemer med manglende likviditet kan undgås.</w:t>
      </w:r>
    </w:p>
    <w:p w:rsidR="00062F97" w:rsidRPr="00613163" w:rsidRDefault="00062F97" w:rsidP="00062F97">
      <w:pPr>
        <w:pStyle w:val="Text1"/>
        <w:rPr>
          <w:noProof/>
        </w:rPr>
      </w:pPr>
      <w:r>
        <w:rPr>
          <w:noProof/>
        </w:rPr>
        <w:t>I henhold til artikel 19, stk. 2, i finansforordningen for 11. EUF er skønnene over forpligtelser og betalinger blevet ajourført på grundlag af de seneste overslag.</w:t>
      </w:r>
    </w:p>
    <w:p w:rsidR="00062F97" w:rsidRDefault="00062F97" w:rsidP="00062F97">
      <w:pPr>
        <w:pStyle w:val="Text1"/>
        <w:rPr>
          <w:noProof/>
        </w:rPr>
      </w:pPr>
      <w:r>
        <w:rPr>
          <w:noProof/>
        </w:rPr>
        <w:t>Nedenstående graf giver et generelt overblik over udviklingen i bruttoforpligtelser og -betalinger fra 1999 til 2021 og den forventede udvikling for perioden 2022-2024 (kumulerede beløb for Kommissionen og EIB).</w:t>
      </w: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7B48EE" w:rsidRDefault="007B48EE" w:rsidP="00062F97">
      <w:pPr>
        <w:rPr>
          <w:rFonts w:ascii="Times New Roman" w:hAnsi="Times New Roman" w:cs="Times New Roman"/>
          <w:b/>
          <w:noProof/>
          <w:sz w:val="24"/>
          <w:szCs w:val="24"/>
        </w:rPr>
      </w:pPr>
    </w:p>
    <w:p w:rsidR="00D60228" w:rsidRDefault="00D60228" w:rsidP="00062F97">
      <w:pPr>
        <w:rPr>
          <w:rFonts w:ascii="Times New Roman" w:hAnsi="Times New Roman" w:cs="Times New Roman"/>
          <w:b/>
          <w:noProof/>
          <w:sz w:val="24"/>
          <w:szCs w:val="24"/>
        </w:rPr>
      </w:pPr>
    </w:p>
    <w:p w:rsidR="00DC4A4C" w:rsidRDefault="00DC4A4C">
      <w:pPr>
        <w:rPr>
          <w:rFonts w:ascii="Times New Roman" w:hAnsi="Times New Roman"/>
          <w:b/>
          <w:noProof/>
          <w:sz w:val="24"/>
        </w:rPr>
      </w:pPr>
      <w:r>
        <w:rPr>
          <w:rFonts w:ascii="Times New Roman" w:hAnsi="Times New Roman"/>
          <w:b/>
          <w:noProof/>
          <w:sz w:val="24"/>
        </w:rPr>
        <w:br w:type="page"/>
      </w:r>
    </w:p>
    <w:p w:rsidR="00062F97" w:rsidRPr="00613163" w:rsidRDefault="00062F97" w:rsidP="00062F97">
      <w:pPr>
        <w:rPr>
          <w:rFonts w:ascii="Times New Roman" w:hAnsi="Times New Roman" w:cs="Times New Roman"/>
          <w:b/>
          <w:noProof/>
          <w:sz w:val="24"/>
          <w:szCs w:val="24"/>
        </w:rPr>
      </w:pPr>
      <w:r>
        <w:rPr>
          <w:rFonts w:ascii="Times New Roman" w:hAnsi="Times New Roman"/>
          <w:b/>
          <w:noProof/>
          <w:sz w:val="24"/>
        </w:rPr>
        <w:t>Bruttoforpligtelser og -betalinger: udviklingen i perioden 1999-2024 (mio. EUR)</w:t>
      </w:r>
    </w:p>
    <w:p w:rsidR="00860895" w:rsidRDefault="00A07C26" w:rsidP="00062F97">
      <w:pPr>
        <w:pStyle w:val="Text1"/>
        <w:ind w:left="0"/>
        <w:rPr>
          <w:noProof/>
          <w:sz w:val="16"/>
          <w:szCs w:val="16"/>
        </w:rPr>
      </w:pPr>
      <w:r>
        <w:rPr>
          <w:noProof/>
          <w:lang w:val="en-GB"/>
        </w:rPr>
        <w:drawing>
          <wp:inline distT="0" distB="0" distL="0" distR="0" wp14:anchorId="6032F34E" wp14:editId="53ADDA9E">
            <wp:extent cx="5835650" cy="282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35650" cy="2822575"/>
                    </a:xfrm>
                    <a:prstGeom prst="rect">
                      <a:avLst/>
                    </a:prstGeom>
                  </pic:spPr>
                </pic:pic>
              </a:graphicData>
            </a:graphic>
          </wp:inline>
        </w:drawing>
      </w:r>
    </w:p>
    <w:p w:rsidR="003E6879" w:rsidRDefault="00062F97" w:rsidP="00062F97">
      <w:pPr>
        <w:pStyle w:val="Text1"/>
        <w:ind w:left="0"/>
        <w:rPr>
          <w:noProof/>
          <w:sz w:val="14"/>
          <w:szCs w:val="14"/>
        </w:rPr>
      </w:pPr>
      <w:r>
        <w:rPr>
          <w:noProof/>
          <w:sz w:val="14"/>
        </w:rPr>
        <w:t>Bemærk: Tal for gennemførelsen af de europæiske udviklingsfonde indtil 31. december 2021 (forpligtelser og betalinger) og overslag for 2022-2024.</w:t>
      </w:r>
      <w:r>
        <w:rPr>
          <w:noProof/>
        </w:rPr>
        <w:t xml:space="preserve"> </w:t>
      </w:r>
      <w:r>
        <w:rPr>
          <w:noProof/>
          <w:sz w:val="14"/>
        </w:rPr>
        <w:t>Da udløbsklausulen for den 11. EUF udløb den 31.12.2020, er der ingen nye forpligtelser med undtagelse af:</w:t>
      </w:r>
    </w:p>
    <w:p w:rsidR="003E6879" w:rsidRDefault="006874F6" w:rsidP="003E6879">
      <w:pPr>
        <w:pStyle w:val="Text1"/>
        <w:ind w:left="720"/>
        <w:rPr>
          <w:noProof/>
          <w:sz w:val="14"/>
          <w:szCs w:val="14"/>
        </w:rPr>
      </w:pPr>
      <w:r>
        <w:rPr>
          <w:noProof/>
          <w:sz w:val="14"/>
        </w:rPr>
        <w:t xml:space="preserve">1) de midler, der stammer fra tilbageførsler under AVS-investeringsfaciliteten fra transaktioner under 9., 10. og 11. EUF (forlængelse af Investeringsfaciliteten ved Rådets afgørelse 2020/2233), og </w:t>
      </w:r>
    </w:p>
    <w:p w:rsidR="003F33BF" w:rsidRPr="003E6879" w:rsidRDefault="006874F6" w:rsidP="003E6879">
      <w:pPr>
        <w:pStyle w:val="Text1"/>
        <w:ind w:left="720"/>
        <w:rPr>
          <w:noProof/>
          <w:sz w:val="14"/>
          <w:szCs w:val="14"/>
        </w:rPr>
      </w:pPr>
      <w:r>
        <w:rPr>
          <w:noProof/>
          <w:sz w:val="14"/>
        </w:rPr>
        <w:t>2) disponering over de midler, der stammer fra genanvendelsen af reserven under den 10. og 11. EUF i henhold til Rådets afgørelse 2022/1223 (side 147), med henblik på de særlige foranstaltninger i forbindelse med EU's reaktion på fødevaresikkerhedskrisen og det økonomiske chok i landene i Afrika, Vestindien og Stillehavet (AVS) i forlængelse af Ruslands angrebskrig mod Ukraine.</w:t>
      </w:r>
    </w:p>
    <w:p w:rsidR="00062F97" w:rsidRPr="00613163" w:rsidRDefault="00E03858" w:rsidP="00062F97">
      <w:pPr>
        <w:pStyle w:val="Heading1"/>
        <w:tabs>
          <w:tab w:val="num" w:pos="0"/>
        </w:tabs>
        <w:ind w:left="0" w:firstLine="0"/>
        <w:rPr>
          <w:noProof/>
        </w:rPr>
      </w:pPr>
      <w:r>
        <w:rPr>
          <w:noProof/>
        </w:rPr>
        <w:t>Finansielle overslag for perioden 2022-2024 (mio. EUR)</w:t>
      </w:r>
    </w:p>
    <w:p w:rsidR="00062F97" w:rsidRDefault="00062F97" w:rsidP="00062F97">
      <w:pPr>
        <w:pStyle w:val="Text1"/>
        <w:rPr>
          <w:noProof/>
        </w:rPr>
      </w:pPr>
      <w:r>
        <w:rPr>
          <w:noProof/>
        </w:rPr>
        <w:t>Følgende tabel indeholder en ajourført oversigt over forpligtelser, betalinger og bidrag baseret på Kommissionens seneste overslag.</w:t>
      </w:r>
    </w:p>
    <w:tbl>
      <w:tblPr>
        <w:tblW w:w="7820" w:type="dxa"/>
        <w:tblInd w:w="118" w:type="dxa"/>
        <w:tblLook w:val="04A0" w:firstRow="1" w:lastRow="0" w:firstColumn="1" w:lastColumn="0" w:noHBand="0" w:noVBand="1"/>
      </w:tblPr>
      <w:tblGrid>
        <w:gridCol w:w="1681"/>
        <w:gridCol w:w="2919"/>
        <w:gridCol w:w="1160"/>
        <w:gridCol w:w="1100"/>
        <w:gridCol w:w="960"/>
      </w:tblGrid>
      <w:tr w:rsidR="00B66431" w:rsidRPr="00B66431" w:rsidTr="00665FBA">
        <w:trPr>
          <w:trHeight w:val="240"/>
        </w:trPr>
        <w:tc>
          <w:tcPr>
            <w:tcW w:w="46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Overslag for perioden 2022-2024 (*)</w:t>
            </w:r>
          </w:p>
        </w:tc>
        <w:tc>
          <w:tcPr>
            <w:tcW w:w="1160"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100"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960"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665FBA">
        <w:trPr>
          <w:trHeight w:val="240"/>
        </w:trPr>
        <w:tc>
          <w:tcPr>
            <w:tcW w:w="4600" w:type="dxa"/>
            <w:gridSpan w:val="2"/>
            <w:vMerge/>
            <w:tcBorders>
              <w:top w:val="single" w:sz="8" w:space="0" w:color="auto"/>
              <w:left w:val="single" w:sz="8" w:space="0" w:color="auto"/>
              <w:bottom w:val="single" w:sz="8" w:space="0" w:color="000000"/>
              <w:right w:val="single" w:sz="8" w:space="0" w:color="000000"/>
            </w:tcBorders>
            <w:vAlign w:val="center"/>
            <w:hideMark/>
          </w:tcPr>
          <w:p w:rsidR="00B66431" w:rsidRPr="00B66431" w:rsidRDefault="00B66431" w:rsidP="00B66431">
            <w:pPr>
              <w:spacing w:after="0" w:line="240" w:lineRule="auto"/>
              <w:rPr>
                <w:rFonts w:ascii="Times New Roman" w:eastAsia="Times New Roman" w:hAnsi="Times New Roman" w:cs="Times New Roman"/>
                <w:b/>
                <w:bCs/>
                <w:noProof/>
                <w:sz w:val="24"/>
                <w:szCs w:val="24"/>
                <w:lang w:eastAsia="en-GB"/>
              </w:rPr>
            </w:pPr>
          </w:p>
        </w:tc>
        <w:tc>
          <w:tcPr>
            <w:tcW w:w="11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2022</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2023</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2024</w:t>
            </w:r>
          </w:p>
        </w:tc>
      </w:tr>
      <w:tr w:rsidR="00B66431" w:rsidRPr="00B66431" w:rsidTr="00665FBA">
        <w:trPr>
          <w:trHeight w:val="240"/>
        </w:trPr>
        <w:tc>
          <w:tcPr>
            <w:tcW w:w="4600" w:type="dxa"/>
            <w:gridSpan w:val="2"/>
            <w:vMerge/>
            <w:tcBorders>
              <w:top w:val="single" w:sz="8" w:space="0" w:color="auto"/>
              <w:left w:val="single" w:sz="8" w:space="0" w:color="auto"/>
              <w:bottom w:val="single" w:sz="8" w:space="0" w:color="000000"/>
              <w:right w:val="single" w:sz="8" w:space="0" w:color="000000"/>
            </w:tcBorders>
            <w:vAlign w:val="center"/>
            <w:hideMark/>
          </w:tcPr>
          <w:p w:rsidR="00B66431" w:rsidRPr="00B66431" w:rsidRDefault="00B66431" w:rsidP="00B66431">
            <w:pPr>
              <w:spacing w:after="0" w:line="240" w:lineRule="auto"/>
              <w:rPr>
                <w:rFonts w:ascii="Times New Roman" w:eastAsia="Times New Roman" w:hAnsi="Times New Roman" w:cs="Times New Roman"/>
                <w:b/>
                <w:bCs/>
                <w:noProof/>
                <w:sz w:val="24"/>
                <w:szCs w:val="24"/>
                <w:lang w:eastAsia="en-GB"/>
              </w:rPr>
            </w:pPr>
          </w:p>
        </w:tc>
        <w:tc>
          <w:tcPr>
            <w:tcW w:w="116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10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Forpligtelser</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0A747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600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0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B66431" w:rsidRPr="00B66431" w:rsidTr="00665FBA">
        <w:trPr>
          <w:trHeight w:val="300"/>
        </w:trPr>
        <w:tc>
          <w:tcPr>
            <w:tcW w:w="1681" w:type="dxa"/>
            <w:tcBorders>
              <w:top w:val="nil"/>
              <w:left w:val="single" w:sz="8"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600</w:t>
            </w:r>
          </w:p>
        </w:tc>
        <w:tc>
          <w:tcPr>
            <w:tcW w:w="1100" w:type="dxa"/>
            <w:tcBorders>
              <w:top w:val="nil"/>
              <w:left w:val="nil"/>
              <w:bottom w:val="single" w:sz="8" w:space="0" w:color="auto"/>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960" w:type="dxa"/>
            <w:tcBorders>
              <w:top w:val="nil"/>
              <w:left w:val="nil"/>
              <w:bottom w:val="single" w:sz="8" w:space="0" w:color="auto"/>
              <w:right w:val="single" w:sz="8" w:space="0" w:color="auto"/>
            </w:tcBorders>
            <w:shd w:val="clear" w:color="auto" w:fill="auto"/>
            <w:noWrap/>
            <w:vAlign w:val="bottom"/>
            <w:hideMark/>
          </w:tcPr>
          <w:p w:rsidR="00B66431" w:rsidRPr="00B66431" w:rsidRDefault="006651BF"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Betalinger</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2 500</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1 800</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1 300</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987</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858</w:t>
            </w:r>
          </w:p>
        </w:tc>
        <w:tc>
          <w:tcPr>
            <w:tcW w:w="960" w:type="dxa"/>
            <w:tcBorders>
              <w:top w:val="nil"/>
              <w:left w:val="nil"/>
              <w:bottom w:val="nil"/>
              <w:right w:val="single" w:sz="8" w:space="0" w:color="auto"/>
            </w:tcBorders>
            <w:shd w:val="clear" w:color="auto" w:fill="auto"/>
            <w:noWrap/>
            <w:vAlign w:val="bottom"/>
            <w:hideMark/>
          </w:tcPr>
          <w:p w:rsidR="00B66431" w:rsidRPr="00B66431" w:rsidRDefault="003C1832"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567 </w:t>
            </w:r>
          </w:p>
        </w:tc>
      </w:tr>
      <w:tr w:rsidR="00B66431" w:rsidRPr="00B66431" w:rsidTr="00665FBA">
        <w:trPr>
          <w:trHeight w:val="285"/>
        </w:trPr>
        <w:tc>
          <w:tcPr>
            <w:tcW w:w="1681" w:type="dxa"/>
            <w:tcBorders>
              <w:top w:val="nil"/>
              <w:left w:val="single" w:sz="8"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3 487</w:t>
            </w:r>
          </w:p>
        </w:tc>
        <w:tc>
          <w:tcPr>
            <w:tcW w:w="1100"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2 658</w:t>
            </w:r>
          </w:p>
        </w:tc>
        <w:tc>
          <w:tcPr>
            <w:tcW w:w="960" w:type="dxa"/>
            <w:tcBorders>
              <w:top w:val="nil"/>
              <w:left w:val="nil"/>
              <w:bottom w:val="single" w:sz="8" w:space="0" w:color="auto"/>
              <w:right w:val="single" w:sz="8" w:space="0" w:color="auto"/>
            </w:tcBorders>
            <w:shd w:val="clear" w:color="auto" w:fill="auto"/>
            <w:noWrap/>
            <w:vAlign w:val="bottom"/>
            <w:hideMark/>
          </w:tcPr>
          <w:p w:rsidR="00B66431" w:rsidRPr="00B66431" w:rsidRDefault="003C1832"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1 867</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665FBA">
        <w:trPr>
          <w:trHeight w:val="240"/>
        </w:trPr>
        <w:tc>
          <w:tcPr>
            <w:tcW w:w="1681"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Bidrag</w:t>
            </w:r>
          </w:p>
        </w:tc>
        <w:tc>
          <w:tcPr>
            <w:tcW w:w="2919" w:type="dxa"/>
            <w:tcBorders>
              <w:top w:val="nil"/>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(11. EUF)</w:t>
            </w:r>
          </w:p>
        </w:tc>
        <w:tc>
          <w:tcPr>
            <w:tcW w:w="1160" w:type="dxa"/>
            <w:tcBorders>
              <w:top w:val="nil"/>
              <w:left w:val="single" w:sz="8" w:space="0" w:color="auto"/>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2 500</w:t>
            </w:r>
          </w:p>
        </w:tc>
        <w:tc>
          <w:tcPr>
            <w:tcW w:w="110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1 800</w:t>
            </w:r>
          </w:p>
        </w:tc>
        <w:tc>
          <w:tcPr>
            <w:tcW w:w="960"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1 300</w:t>
            </w:r>
          </w:p>
        </w:tc>
      </w:tr>
      <w:tr w:rsidR="00665FBA" w:rsidRPr="00665FBA" w:rsidTr="00665FBA">
        <w:trPr>
          <w:trHeight w:val="240"/>
        </w:trPr>
        <w:tc>
          <w:tcPr>
            <w:tcW w:w="1681" w:type="dxa"/>
            <w:tcBorders>
              <w:top w:val="nil"/>
              <w:left w:val="single" w:sz="8" w:space="0" w:color="auto"/>
              <w:right w:val="single" w:sz="4" w:space="0" w:color="auto"/>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nil"/>
              <w:right w:val="nil"/>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 (11. EUF)</w:t>
            </w:r>
          </w:p>
        </w:tc>
        <w:tc>
          <w:tcPr>
            <w:tcW w:w="1160" w:type="dxa"/>
            <w:tcBorders>
              <w:top w:val="nil"/>
              <w:left w:val="single" w:sz="8" w:space="0" w:color="auto"/>
              <w:bottom w:val="nil"/>
              <w:right w:val="single" w:sz="8" w:space="0" w:color="auto"/>
            </w:tcBorders>
            <w:shd w:val="clear" w:color="auto" w:fill="auto"/>
            <w:noWrap/>
            <w:vAlign w:val="bottom"/>
            <w:hideMark/>
          </w:tcPr>
          <w:p w:rsidR="00665FBA" w:rsidRPr="00665FBA"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c>
          <w:tcPr>
            <w:tcW w:w="1100" w:type="dxa"/>
            <w:tcBorders>
              <w:top w:val="nil"/>
              <w:left w:val="nil"/>
              <w:bottom w:val="nil"/>
              <w:right w:val="single" w:sz="8" w:space="0" w:color="auto"/>
            </w:tcBorders>
            <w:shd w:val="clear" w:color="auto" w:fill="auto"/>
            <w:noWrap/>
            <w:vAlign w:val="bottom"/>
            <w:hideMark/>
          </w:tcPr>
          <w:p w:rsidR="00665FBA" w:rsidRPr="00665FBA"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c>
          <w:tcPr>
            <w:tcW w:w="960" w:type="dxa"/>
            <w:tcBorders>
              <w:top w:val="nil"/>
              <w:left w:val="nil"/>
              <w:bottom w:val="nil"/>
              <w:right w:val="single" w:sz="8" w:space="0" w:color="auto"/>
            </w:tcBorders>
            <w:shd w:val="clear" w:color="auto" w:fill="auto"/>
            <w:noWrap/>
            <w:vAlign w:val="bottom"/>
            <w:hideMark/>
          </w:tcPr>
          <w:p w:rsidR="00665FBA" w:rsidRPr="00665FBA"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r>
      <w:tr w:rsidR="00665FBA" w:rsidRPr="00B66431" w:rsidTr="00665FBA">
        <w:trPr>
          <w:trHeight w:val="240"/>
        </w:trPr>
        <w:tc>
          <w:tcPr>
            <w:tcW w:w="1681" w:type="dxa"/>
            <w:tcBorders>
              <w:top w:val="nil"/>
              <w:left w:val="single" w:sz="8" w:space="0" w:color="auto"/>
              <w:bottom w:val="single" w:sz="6" w:space="0" w:color="auto"/>
              <w:right w:val="single" w:sz="4" w:space="0" w:color="auto"/>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2919" w:type="dxa"/>
            <w:tcBorders>
              <w:top w:val="nil"/>
              <w:left w:val="nil"/>
              <w:bottom w:val="single" w:sz="8" w:space="0" w:color="auto"/>
              <w:right w:val="nil"/>
            </w:tcBorders>
            <w:shd w:val="clear" w:color="auto" w:fill="auto"/>
            <w:noWrap/>
            <w:vAlign w:val="bottom"/>
            <w:hideMark/>
          </w:tcPr>
          <w:p w:rsidR="00665FBA" w:rsidRPr="00B66431" w:rsidRDefault="00665FBA"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665FBA" w:rsidRPr="00B66431"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2 800</w:t>
            </w:r>
          </w:p>
        </w:tc>
        <w:tc>
          <w:tcPr>
            <w:tcW w:w="1100" w:type="dxa"/>
            <w:tcBorders>
              <w:top w:val="nil"/>
              <w:left w:val="nil"/>
              <w:bottom w:val="single" w:sz="8" w:space="0" w:color="auto"/>
              <w:right w:val="single" w:sz="8" w:space="0" w:color="auto"/>
            </w:tcBorders>
            <w:shd w:val="clear" w:color="auto" w:fill="auto"/>
            <w:noWrap/>
            <w:vAlign w:val="bottom"/>
            <w:hideMark/>
          </w:tcPr>
          <w:p w:rsidR="00665FBA" w:rsidRPr="00B66431"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2 100</w:t>
            </w:r>
          </w:p>
        </w:tc>
        <w:tc>
          <w:tcPr>
            <w:tcW w:w="960" w:type="dxa"/>
            <w:tcBorders>
              <w:top w:val="nil"/>
              <w:left w:val="nil"/>
              <w:bottom w:val="single" w:sz="8" w:space="0" w:color="auto"/>
              <w:right w:val="single" w:sz="8" w:space="0" w:color="auto"/>
            </w:tcBorders>
            <w:shd w:val="clear" w:color="auto" w:fill="auto"/>
            <w:noWrap/>
            <w:vAlign w:val="bottom"/>
            <w:hideMark/>
          </w:tcPr>
          <w:p w:rsidR="00665FBA" w:rsidRPr="00B66431" w:rsidRDefault="00665FBA"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1 600</w:t>
            </w:r>
          </w:p>
        </w:tc>
      </w:tr>
    </w:tbl>
    <w:p w:rsidR="00062F97" w:rsidRPr="00813F26" w:rsidRDefault="007B48EE" w:rsidP="00CF607A">
      <w:pPr>
        <w:pStyle w:val="Text1"/>
        <w:ind w:left="0"/>
        <w:rPr>
          <w:noProof/>
          <w:sz w:val="16"/>
          <w:szCs w:val="16"/>
        </w:rPr>
      </w:pPr>
      <w:r>
        <w:rPr>
          <w:noProof/>
          <w:sz w:val="16"/>
        </w:rPr>
        <w:t>* Bruttobeløb, dvs. uden fradrag af frigjorte eller inddrevne/tilbageførte beløb. Dette svarer til fremgangsmåden i EU's almindelige budget.</w:t>
      </w:r>
    </w:p>
    <w:p w:rsidR="00CF607A" w:rsidRDefault="00840AE1" w:rsidP="00840AE1">
      <w:pPr>
        <w:pStyle w:val="Text1"/>
        <w:ind w:left="0"/>
        <w:rPr>
          <w:noProof/>
          <w:sz w:val="16"/>
          <w:szCs w:val="16"/>
        </w:rPr>
      </w:pPr>
      <w:r>
        <w:rPr>
          <w:noProof/>
          <w:sz w:val="16"/>
        </w:rPr>
        <w:t>** Disponering over de midler, der stammer fra genanvendelsen af reserven under den 10. og 11. EUF i henhold til Rådets afgørelse 2022/1223 af 12. juli 2022 (side 147), med henblik på at finansiere foranstaltninger til at adressere fødevaresikkerhedskrisen og det økonomiske chok i landene i Afrika, Vestindien og Stillehavet (AVS) i forlængelse af Ruslands angrebskrig mod Ukraine.</w:t>
      </w:r>
    </w:p>
    <w:p w:rsidR="00840AE1" w:rsidRDefault="00840AE1" w:rsidP="00840AE1">
      <w:pPr>
        <w:pStyle w:val="Text1"/>
        <w:ind w:left="0"/>
        <w:rPr>
          <w:noProof/>
          <w:sz w:val="16"/>
          <w:szCs w:val="16"/>
        </w:rPr>
      </w:pPr>
    </w:p>
    <w:p w:rsidR="00840AE1" w:rsidRDefault="00840AE1" w:rsidP="00840AE1">
      <w:pPr>
        <w:pStyle w:val="Text1"/>
        <w:ind w:left="0"/>
        <w:rPr>
          <w:noProof/>
          <w:sz w:val="16"/>
          <w:szCs w:val="16"/>
        </w:rPr>
      </w:pPr>
    </w:p>
    <w:p w:rsidR="00062F97" w:rsidRDefault="00062F97" w:rsidP="00062F97">
      <w:pPr>
        <w:pStyle w:val="Heading1"/>
        <w:tabs>
          <w:tab w:val="num" w:pos="0"/>
        </w:tabs>
        <w:ind w:left="0" w:firstLine="0"/>
        <w:rPr>
          <w:noProof/>
        </w:rPr>
      </w:pPr>
      <w:r>
        <w:rPr>
          <w:noProof/>
        </w:rPr>
        <w:t>Ikkebindende skøn over bidrag for perioden 2025-2026 (mio. EUR)</w:t>
      </w:r>
    </w:p>
    <w:tbl>
      <w:tblPr>
        <w:tblW w:w="8637" w:type="dxa"/>
        <w:tblInd w:w="118" w:type="dxa"/>
        <w:tblLook w:val="04A0" w:firstRow="1" w:lastRow="0" w:firstColumn="1" w:lastColumn="0" w:noHBand="0" w:noVBand="1"/>
      </w:tblPr>
      <w:tblGrid>
        <w:gridCol w:w="1688"/>
        <w:gridCol w:w="3264"/>
        <w:gridCol w:w="1984"/>
        <w:gridCol w:w="1701"/>
      </w:tblGrid>
      <w:tr w:rsidR="00B66431" w:rsidRPr="00B66431" w:rsidTr="00C03A75">
        <w:trPr>
          <w:trHeight w:val="240"/>
        </w:trPr>
        <w:tc>
          <w:tcPr>
            <w:tcW w:w="1688" w:type="dxa"/>
            <w:tcBorders>
              <w:top w:val="single" w:sz="8" w:space="0" w:color="auto"/>
              <w:left w:val="single" w:sz="8" w:space="0" w:color="auto"/>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3264" w:type="dxa"/>
            <w:tcBorders>
              <w:top w:val="single" w:sz="8" w:space="0" w:color="auto"/>
              <w:left w:val="nil"/>
              <w:bottom w:val="nil"/>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984" w:type="dxa"/>
            <w:tcBorders>
              <w:top w:val="single" w:sz="8" w:space="0" w:color="auto"/>
              <w:left w:val="single" w:sz="4"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701" w:type="dxa"/>
            <w:tcBorders>
              <w:top w:val="single" w:sz="8" w:space="0" w:color="auto"/>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C03A75">
        <w:trPr>
          <w:trHeight w:val="240"/>
        </w:trPr>
        <w:tc>
          <w:tcPr>
            <w:tcW w:w="4952" w:type="dxa"/>
            <w:gridSpan w:val="2"/>
            <w:tcBorders>
              <w:top w:val="nil"/>
              <w:left w:val="single" w:sz="8" w:space="0" w:color="auto"/>
              <w:bottom w:val="nil"/>
              <w:right w:val="nil"/>
            </w:tcBorders>
            <w:shd w:val="clear" w:color="000000" w:fill="FFFFFF"/>
            <w:noWrap/>
            <w:vAlign w:val="bottom"/>
            <w:hideMark/>
          </w:tcPr>
          <w:p w:rsidR="00B66431" w:rsidRPr="00B66431" w:rsidRDefault="00292DD9"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Overslag for perioden 2025-2026 (*)</w:t>
            </w:r>
          </w:p>
        </w:tc>
        <w:tc>
          <w:tcPr>
            <w:tcW w:w="1984" w:type="dxa"/>
            <w:tcBorders>
              <w:top w:val="nil"/>
              <w:left w:val="single" w:sz="4"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2025</w:t>
            </w:r>
          </w:p>
        </w:tc>
        <w:tc>
          <w:tcPr>
            <w:tcW w:w="1701"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2026</w:t>
            </w:r>
          </w:p>
        </w:tc>
      </w:tr>
      <w:tr w:rsidR="00B66431" w:rsidRPr="00B66431" w:rsidTr="00C03A75">
        <w:trPr>
          <w:trHeight w:val="240"/>
        </w:trPr>
        <w:tc>
          <w:tcPr>
            <w:tcW w:w="1688" w:type="dxa"/>
            <w:tcBorders>
              <w:top w:val="nil"/>
              <w:left w:val="single" w:sz="8" w:space="0" w:color="auto"/>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3264" w:type="dxa"/>
            <w:tcBorders>
              <w:top w:val="nil"/>
              <w:left w:val="nil"/>
              <w:bottom w:val="single" w:sz="8" w:space="0" w:color="auto"/>
              <w:right w:val="nil"/>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984" w:type="dxa"/>
            <w:tcBorders>
              <w:top w:val="nil"/>
              <w:left w:val="single" w:sz="4"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c>
          <w:tcPr>
            <w:tcW w:w="1701" w:type="dxa"/>
            <w:tcBorders>
              <w:top w:val="nil"/>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 </w:t>
            </w:r>
          </w:p>
        </w:tc>
      </w:tr>
      <w:tr w:rsidR="00B66431" w:rsidRPr="00B66431" w:rsidTr="00C03A75">
        <w:trPr>
          <w:trHeight w:val="120"/>
        </w:trPr>
        <w:tc>
          <w:tcPr>
            <w:tcW w:w="1688"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3264" w:type="dxa"/>
            <w:tcBorders>
              <w:top w:val="nil"/>
              <w:left w:val="nil"/>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984"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1701" w:type="dxa"/>
            <w:tcBorders>
              <w:top w:val="nil"/>
              <w:left w:val="nil"/>
              <w:bottom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B66431" w:rsidRPr="00B66431" w:rsidTr="00A25EDB">
        <w:trPr>
          <w:trHeight w:val="270"/>
        </w:trPr>
        <w:tc>
          <w:tcPr>
            <w:tcW w:w="1688"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Bidrag</w:t>
            </w:r>
          </w:p>
        </w:tc>
        <w:tc>
          <w:tcPr>
            <w:tcW w:w="3264" w:type="dxa"/>
            <w:tcBorders>
              <w:top w:val="nil"/>
              <w:left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(11. EUF)</w:t>
            </w:r>
          </w:p>
        </w:tc>
        <w:tc>
          <w:tcPr>
            <w:tcW w:w="1984" w:type="dxa"/>
            <w:tcBorders>
              <w:top w:val="nil"/>
              <w:left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900</w:t>
            </w:r>
          </w:p>
        </w:tc>
        <w:tc>
          <w:tcPr>
            <w:tcW w:w="1701" w:type="dxa"/>
            <w:tcBorders>
              <w:top w:val="nil"/>
              <w:left w:val="nil"/>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600</w:t>
            </w:r>
          </w:p>
        </w:tc>
      </w:tr>
      <w:tr w:rsidR="00B66431" w:rsidRPr="00B66431" w:rsidTr="00A25EDB">
        <w:trPr>
          <w:trHeight w:val="300"/>
        </w:trPr>
        <w:tc>
          <w:tcPr>
            <w:tcW w:w="1688" w:type="dxa"/>
            <w:tcBorders>
              <w:top w:val="nil"/>
              <w:left w:val="single" w:sz="8" w:space="0" w:color="auto"/>
              <w:bottom w:val="nil"/>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3264" w:type="dxa"/>
            <w:tcBorders>
              <w:top w:val="nil"/>
              <w:left w:val="nil"/>
              <w:right w:val="single" w:sz="4" w:space="0" w:color="auto"/>
            </w:tcBorders>
            <w:shd w:val="clear" w:color="auto" w:fill="auto"/>
            <w:noWrap/>
            <w:vAlign w:val="bottom"/>
            <w:hideMark/>
          </w:tcPr>
          <w:p w:rsidR="00B66431" w:rsidRPr="00665FBA"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sz w:val="24"/>
              </w:rPr>
              <w:t>EIB (11. EUF) (**)</w:t>
            </w:r>
          </w:p>
        </w:tc>
        <w:tc>
          <w:tcPr>
            <w:tcW w:w="1984" w:type="dxa"/>
            <w:tcBorders>
              <w:top w:val="nil"/>
              <w:left w:val="nil"/>
              <w:right w:val="single" w:sz="8" w:space="0" w:color="auto"/>
            </w:tcBorders>
            <w:shd w:val="clear" w:color="auto" w:fill="auto"/>
            <w:noWrap/>
            <w:vAlign w:val="bottom"/>
            <w:hideMark/>
          </w:tcPr>
          <w:p w:rsidR="00B66431" w:rsidRPr="00665FBA"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9</w:t>
            </w:r>
          </w:p>
        </w:tc>
        <w:tc>
          <w:tcPr>
            <w:tcW w:w="1701" w:type="dxa"/>
            <w:tcBorders>
              <w:top w:val="nil"/>
              <w:left w:val="nil"/>
              <w:right w:val="single" w:sz="8" w:space="0" w:color="auto"/>
            </w:tcBorders>
            <w:shd w:val="clear" w:color="auto" w:fill="auto"/>
            <w:noWrap/>
            <w:vAlign w:val="bottom"/>
            <w:hideMark/>
          </w:tcPr>
          <w:p w:rsidR="00B66431" w:rsidRPr="00665FBA"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r>
      <w:tr w:rsidR="00B66431" w:rsidRPr="00B66431" w:rsidTr="00A25EDB">
        <w:trPr>
          <w:trHeight w:val="345"/>
        </w:trPr>
        <w:tc>
          <w:tcPr>
            <w:tcW w:w="1688" w:type="dxa"/>
            <w:tcBorders>
              <w:top w:val="nil"/>
              <w:left w:val="single" w:sz="8" w:space="0" w:color="auto"/>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c>
          <w:tcPr>
            <w:tcW w:w="3264" w:type="dxa"/>
            <w:tcBorders>
              <w:left w:val="nil"/>
              <w:bottom w:val="single" w:sz="8" w:space="0" w:color="auto"/>
              <w:right w:val="single" w:sz="4" w:space="0" w:color="auto"/>
            </w:tcBorders>
            <w:shd w:val="clear" w:color="auto" w:fill="auto"/>
            <w:noWrap/>
            <w:vAlign w:val="bottom"/>
            <w:hideMark/>
          </w:tcPr>
          <w:p w:rsidR="00B66431" w:rsidRPr="00B66431" w:rsidRDefault="00B66431" w:rsidP="00B66431">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984" w:type="dxa"/>
            <w:tcBorders>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909</w:t>
            </w:r>
          </w:p>
        </w:tc>
        <w:tc>
          <w:tcPr>
            <w:tcW w:w="1701" w:type="dxa"/>
            <w:tcBorders>
              <w:left w:val="nil"/>
              <w:bottom w:val="single" w:sz="8" w:space="0" w:color="auto"/>
              <w:right w:val="single" w:sz="8" w:space="0" w:color="auto"/>
            </w:tcBorders>
            <w:shd w:val="clear" w:color="auto" w:fill="auto"/>
            <w:noWrap/>
            <w:vAlign w:val="bottom"/>
            <w:hideMark/>
          </w:tcPr>
          <w:p w:rsidR="00B66431" w:rsidRPr="00B66431" w:rsidRDefault="00B66431" w:rsidP="00B66431">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600</w:t>
            </w:r>
          </w:p>
        </w:tc>
      </w:tr>
    </w:tbl>
    <w:p w:rsidR="002A4B6B" w:rsidRDefault="002A4B6B" w:rsidP="00506627">
      <w:pPr>
        <w:pStyle w:val="Text1"/>
        <w:ind w:left="0"/>
        <w:rPr>
          <w:noProof/>
          <w:sz w:val="16"/>
          <w:szCs w:val="16"/>
        </w:rPr>
      </w:pPr>
      <w:r>
        <w:rPr>
          <w:noProof/>
          <w:sz w:val="16"/>
        </w:rPr>
        <w:t>*Artikel 19, stk. 2, i finansforordningen for 11. EUF ((EU) 2018/1877): vejledende, ikkebindende overslag, på grundlag af en statistisk metode, over de forventede årlige bidragsbeløb</w:t>
      </w:r>
    </w:p>
    <w:p w:rsidR="00292DD9" w:rsidRPr="00170C52" w:rsidRDefault="00292DD9" w:rsidP="00506627">
      <w:pPr>
        <w:pStyle w:val="Text1"/>
        <w:ind w:left="0"/>
        <w:rPr>
          <w:noProof/>
          <w:sz w:val="16"/>
          <w:szCs w:val="16"/>
        </w:rPr>
      </w:pPr>
      <w:r>
        <w:rPr>
          <w:noProof/>
          <w:sz w:val="16"/>
        </w:rPr>
        <w:t>**Ifølge aktuelle prognoser vil EIB have indkaldt hele sin andel af den 11. EUF ved udgangen af 2025.</w:t>
      </w:r>
    </w:p>
    <w:p w:rsidR="00062F97" w:rsidRDefault="002A4B6B" w:rsidP="00CD0CAE">
      <w:pPr>
        <w:pStyle w:val="Heading1"/>
        <w:rPr>
          <w:noProof/>
        </w:rPr>
      </w:pPr>
      <w:r>
        <w:rPr>
          <w:noProof/>
          <w:sz w:val="16"/>
        </w:rPr>
        <w:t xml:space="preserve"> </w:t>
      </w:r>
      <w:r>
        <w:rPr>
          <w:noProof/>
        </w:rPr>
        <w:t>Den forventede finansielle gennemførelse for 2022-2024</w:t>
      </w:r>
    </w:p>
    <w:p w:rsidR="00395A51" w:rsidRPr="00C179BF" w:rsidRDefault="00395A51" w:rsidP="00395A51">
      <w:pPr>
        <w:pStyle w:val="Text1"/>
        <w:spacing w:before="0" w:after="240"/>
        <w:ind w:left="851"/>
        <w:rPr>
          <w:noProof/>
        </w:rPr>
      </w:pPr>
      <w:r>
        <w:rPr>
          <w:noProof/>
        </w:rPr>
        <w:t xml:space="preserve">Tillæg 1, 2 og 3 viser henholdsvis overslagene over forpligtelser, overslag over betalinger og den finansielle situation sammenlignet med de tidligere overslag for perioden 2022-2026. </w:t>
      </w:r>
    </w:p>
    <w:p w:rsidR="00395A51" w:rsidRPr="00C179BF" w:rsidRDefault="00395A51" w:rsidP="00395A51">
      <w:pPr>
        <w:pStyle w:val="Text1"/>
        <w:rPr>
          <w:noProof/>
        </w:rPr>
      </w:pPr>
      <w:r>
        <w:rPr>
          <w:noProof/>
        </w:rPr>
        <w:t xml:space="preserve">Tillæg 4 og 5 viser henholdsvis bidragene for 2023 og 2024 pr. tranche og pr. part i EUF. Tillæg 6 viser de årlige bidrag for perioden 2023-2026 pr. part i EUF. </w:t>
      </w:r>
    </w:p>
    <w:p w:rsidR="005278E8" w:rsidRDefault="00294239" w:rsidP="00294239">
      <w:pPr>
        <w:pStyle w:val="Text1"/>
        <w:spacing w:before="0" w:after="240"/>
        <w:ind w:left="851"/>
        <w:rPr>
          <w:noProof/>
          <w:highlight w:val="yellow"/>
        </w:rPr>
      </w:pPr>
      <w:r>
        <w:rPr>
          <w:noProof/>
        </w:rPr>
        <w:t>For 2022 og 2023 er Kommissionens skøn over betalinger og medlemsstatsbidrag fortsat uændrede i forhold til meddelelsen fra juni 2022. Kommissionens skøn for årene efter 2023 bekræfter betalingernes faldende tendens.</w:t>
      </w:r>
    </w:p>
    <w:p w:rsidR="00395A51" w:rsidRPr="003E7EBA" w:rsidRDefault="00395A51" w:rsidP="00395A51">
      <w:pPr>
        <w:pStyle w:val="Text1"/>
        <w:rPr>
          <w:noProof/>
        </w:rPr>
      </w:pPr>
      <w:r>
        <w:rPr>
          <w:noProof/>
        </w:rPr>
        <w:t>For så vidt angår de ikkefrigjorte og frigjorte midler fra den 9. EUF foreslår Kommissionen at tilbagebetale de 42,5 mio. EUR, der i øjeblikket er til rådighed under niende reserve</w:t>
      </w:r>
      <w:r>
        <w:rPr>
          <w:rStyle w:val="FootnoteReference"/>
          <w:noProof/>
        </w:rPr>
        <w:footnoteReference w:id="4"/>
      </w:r>
      <w:r>
        <w:rPr>
          <w:noProof/>
        </w:rPr>
        <w:t>, til "EU-15-medlemsstaterne". Denne tilbagebetaling vil blive gennemført ved at reducere det beløb, som "EU-15-medlemsstaterne" skal betale som 1. tranche i 2023 (dvs. efter samme princip som sidste år). Eventuelle udestående saldi i reserven for 9. EUF tilbagebetales i princippet fortsat en gang om året, indtil tilbagebetalingen af ikkefrigjorte og frigjorte midler er afsluttet.</w:t>
      </w:r>
    </w:p>
    <w:p w:rsidR="004806B4" w:rsidRDefault="004806B4" w:rsidP="00395A51">
      <w:pPr>
        <w:pStyle w:val="Text1"/>
        <w:ind w:left="851"/>
        <w:rPr>
          <w:noProof/>
        </w:rPr>
        <w:sectPr w:rsidR="004806B4" w:rsidSect="00153072">
          <w:headerReference w:type="even" r:id="rId16"/>
          <w:headerReference w:type="default" r:id="rId17"/>
          <w:footerReference w:type="even" r:id="rId18"/>
          <w:footerReference w:type="default" r:id="rId19"/>
          <w:headerReference w:type="first" r:id="rId20"/>
          <w:footerReference w:type="first" r:id="rId21"/>
          <w:pgSz w:w="11906" w:h="16838" w:code="9"/>
          <w:pgMar w:top="1276" w:right="1440" w:bottom="1440" w:left="1276" w:header="709" w:footer="709" w:gutter="0"/>
          <w:pgNumType w:start="1"/>
          <w:cols w:space="720"/>
          <w:docGrid w:linePitch="360"/>
        </w:sectPr>
      </w:pPr>
    </w:p>
    <w:p w:rsidR="00806869" w:rsidRDefault="00512389" w:rsidP="00806869">
      <w:pPr>
        <w:pStyle w:val="Heading2"/>
        <w:rPr>
          <w:noProof/>
        </w:rPr>
      </w:pPr>
      <w:r>
        <w:rPr>
          <w:noProof/>
        </w:rPr>
        <w:t>Bilag 1: Overslag over forpligtelser</w:t>
      </w:r>
      <w:r>
        <w:rPr>
          <w:rStyle w:val="FootnoteReference"/>
          <w:noProof/>
        </w:rPr>
        <w:footnoteReference w:id="5"/>
      </w:r>
      <w:r>
        <w:rPr>
          <w:noProof/>
        </w:rPr>
        <w:t xml:space="preserve"> for perioden 2022 til 2024 (mio. EUR)</w:t>
      </w:r>
    </w:p>
    <w:tbl>
      <w:tblPr>
        <w:tblW w:w="13678" w:type="dxa"/>
        <w:tblInd w:w="108" w:type="dxa"/>
        <w:tblLook w:val="04A0" w:firstRow="1" w:lastRow="0" w:firstColumn="1" w:lastColumn="0" w:noHBand="0" w:noVBand="1"/>
      </w:tblPr>
      <w:tblGrid>
        <w:gridCol w:w="3686"/>
        <w:gridCol w:w="1594"/>
        <w:gridCol w:w="1666"/>
        <w:gridCol w:w="1594"/>
        <w:gridCol w:w="1950"/>
        <w:gridCol w:w="1594"/>
        <w:gridCol w:w="1594"/>
      </w:tblGrid>
      <w:tr w:rsidR="008C5021" w:rsidRPr="008C5021" w:rsidTr="008C5021">
        <w:trPr>
          <w:trHeight w:val="298"/>
        </w:trPr>
        <w:tc>
          <w:tcPr>
            <w:tcW w:w="3686" w:type="dxa"/>
            <w:tcBorders>
              <w:top w:val="nil"/>
              <w:left w:val="nil"/>
              <w:bottom w:val="nil"/>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noProof/>
                <w:sz w:val="24"/>
                <w:szCs w:val="24"/>
                <w:lang w:eastAsia="en-GB"/>
              </w:rPr>
            </w:pPr>
          </w:p>
        </w:tc>
        <w:tc>
          <w:tcPr>
            <w:tcW w:w="326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Tal for 2022</w:t>
            </w:r>
          </w:p>
        </w:tc>
        <w:tc>
          <w:tcPr>
            <w:tcW w:w="354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2023</w:t>
            </w:r>
          </w:p>
        </w:tc>
        <w:tc>
          <w:tcPr>
            <w:tcW w:w="318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r>
      <w:tr w:rsidR="008C5021" w:rsidRPr="008C5021" w:rsidTr="008C5021">
        <w:trPr>
          <w:trHeight w:val="510"/>
        </w:trPr>
        <w:tc>
          <w:tcPr>
            <w:tcW w:w="3686" w:type="dxa"/>
            <w:tcBorders>
              <w:top w:val="nil"/>
              <w:left w:val="nil"/>
              <w:bottom w:val="nil"/>
              <w:right w:val="nil"/>
            </w:tcBorders>
            <w:shd w:val="clear" w:color="auto" w:fill="auto"/>
            <w:noWrap/>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single" w:sz="8" w:space="0" w:color="auto"/>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666"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950"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94"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r>
      <w:tr w:rsidR="008C5021" w:rsidRPr="008C5021" w:rsidTr="008C5021">
        <w:trPr>
          <w:trHeight w:val="255"/>
        </w:trPr>
        <w:tc>
          <w:tcPr>
            <w:tcW w:w="3686" w:type="dxa"/>
            <w:tcBorders>
              <w:top w:val="single" w:sz="4" w:space="0" w:color="auto"/>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Regioner</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000000" w:fill="FFFFFF"/>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østlige og det centrale Afrika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000000" w:fill="FFFFFF"/>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vestlige og det sydlige Afrika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Caribien</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Stillehavsområdet</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b/>
                <w:bCs/>
                <w:noProof/>
                <w:sz w:val="20"/>
                <w:szCs w:val="20"/>
              </w:rPr>
            </w:pPr>
            <w:r>
              <w:rPr>
                <w:rFonts w:ascii="Times New Roman" w:hAnsi="Times New Roman"/>
                <w:b/>
                <w:noProof/>
                <w:sz w:val="20"/>
              </w:rPr>
              <w:t>Subtotal</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Andet</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5549F9">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FE433A"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 xml:space="preserve">Særlige foranstaltninger med henblik på fødevaresikkerhed </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auto" w:fill="F2F2F2" w:themeFill="background1" w:themeFillShade="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600</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Menneskelig udvikling, menneskerettigheder</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EU-Afrika, fredsfaciliteten for Afrika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000000" w:fill="FFFFFF"/>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EUTF Afrika</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Planeten og velstand</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Ressourcer, evaluering, procedurer</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8C5021" w:rsidRPr="00F7117B" w:rsidTr="008C5021">
        <w:trPr>
          <w:trHeight w:val="255"/>
        </w:trPr>
        <w:tc>
          <w:tcPr>
            <w:tcW w:w="3686" w:type="dxa"/>
            <w:tcBorders>
              <w:top w:val="nil"/>
              <w:left w:val="single" w:sz="4" w:space="0" w:color="auto"/>
              <w:bottom w:val="nil"/>
              <w:right w:val="nil"/>
            </w:tcBorders>
            <w:shd w:val="clear" w:color="auto" w:fill="auto"/>
            <w:noWrap/>
            <w:vAlign w:val="bottom"/>
            <w:hideMark/>
          </w:tcPr>
          <w:p w:rsidR="008C5021" w:rsidRPr="00F7117B" w:rsidRDefault="008C5021" w:rsidP="008C5021">
            <w:pPr>
              <w:spacing w:after="0" w:line="240" w:lineRule="auto"/>
              <w:ind w:firstLineChars="200" w:firstLine="400"/>
              <w:rPr>
                <w:rFonts w:ascii="Times New Roman" w:eastAsia="Times New Roman" w:hAnsi="Times New Roman" w:cs="Times New Roman"/>
                <w:noProof/>
                <w:sz w:val="20"/>
                <w:szCs w:val="20"/>
                <w:lang w:val="en-IE"/>
              </w:rPr>
            </w:pPr>
            <w:r w:rsidRPr="00F7117B">
              <w:rPr>
                <w:rFonts w:ascii="Times New Roman" w:hAnsi="Times New Roman"/>
                <w:noProof/>
                <w:sz w:val="20"/>
                <w:lang w:val="en-IE"/>
              </w:rPr>
              <w:t>GD ECHO, EACEA, GD EAC</w:t>
            </w:r>
          </w:p>
        </w:tc>
        <w:tc>
          <w:tcPr>
            <w:tcW w:w="1594" w:type="dxa"/>
            <w:tcBorders>
              <w:top w:val="nil"/>
              <w:left w:val="single" w:sz="8" w:space="0" w:color="auto"/>
              <w:bottom w:val="nil"/>
              <w:right w:val="single" w:sz="4" w:space="0" w:color="auto"/>
            </w:tcBorders>
            <w:shd w:val="clear" w:color="auto" w:fill="auto"/>
            <w:noWrap/>
            <w:vAlign w:val="bottom"/>
            <w:hideMark/>
          </w:tcPr>
          <w:p w:rsidR="008C5021" w:rsidRPr="00F7117B" w:rsidRDefault="008C5021" w:rsidP="008C5021">
            <w:pPr>
              <w:spacing w:after="0" w:line="240" w:lineRule="auto"/>
              <w:jc w:val="center"/>
              <w:rPr>
                <w:rFonts w:ascii="Times New Roman" w:eastAsia="Times New Roman" w:hAnsi="Times New Roman" w:cs="Times New Roman"/>
                <w:noProof/>
                <w:color w:val="808080"/>
                <w:sz w:val="20"/>
                <w:szCs w:val="20"/>
                <w:lang w:val="en-IE"/>
              </w:rPr>
            </w:pPr>
            <w:r w:rsidRPr="00F7117B">
              <w:rPr>
                <w:rFonts w:ascii="Times New Roman" w:hAnsi="Times New Roman"/>
                <w:noProof/>
                <w:color w:val="808080"/>
                <w:sz w:val="20"/>
                <w:lang w:val="en-IE"/>
              </w:rPr>
              <w:t xml:space="preserve"> </w:t>
            </w:r>
          </w:p>
        </w:tc>
        <w:tc>
          <w:tcPr>
            <w:tcW w:w="1666" w:type="dxa"/>
            <w:tcBorders>
              <w:top w:val="nil"/>
              <w:left w:val="nil"/>
              <w:bottom w:val="nil"/>
              <w:right w:val="single" w:sz="8" w:space="0" w:color="auto"/>
            </w:tcBorders>
            <w:shd w:val="clear" w:color="000000" w:fill="F2F2F2"/>
            <w:noWrap/>
            <w:vAlign w:val="bottom"/>
            <w:hideMark/>
          </w:tcPr>
          <w:p w:rsidR="008C5021" w:rsidRPr="00F7117B" w:rsidRDefault="008C5021" w:rsidP="008C5021">
            <w:pPr>
              <w:spacing w:after="0" w:line="240" w:lineRule="auto"/>
              <w:jc w:val="center"/>
              <w:rPr>
                <w:rFonts w:ascii="Times New Roman" w:eastAsia="Times New Roman" w:hAnsi="Times New Roman" w:cs="Times New Roman"/>
                <w:noProof/>
                <w:sz w:val="20"/>
                <w:szCs w:val="20"/>
                <w:lang w:val="en-IE"/>
              </w:rPr>
            </w:pPr>
            <w:r w:rsidRPr="00F7117B">
              <w:rPr>
                <w:rFonts w:ascii="Times New Roman" w:hAnsi="Times New Roman"/>
                <w:noProof/>
                <w:sz w:val="20"/>
                <w:lang w:val="en-IE"/>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F7117B" w:rsidRDefault="008C5021" w:rsidP="008C5021">
            <w:pPr>
              <w:spacing w:after="0" w:line="240" w:lineRule="auto"/>
              <w:jc w:val="center"/>
              <w:rPr>
                <w:rFonts w:ascii="Times New Roman" w:eastAsia="Times New Roman" w:hAnsi="Times New Roman" w:cs="Times New Roman"/>
                <w:noProof/>
                <w:color w:val="808080"/>
                <w:sz w:val="20"/>
                <w:szCs w:val="20"/>
                <w:lang w:val="en-IE"/>
              </w:rPr>
            </w:pPr>
            <w:r w:rsidRPr="00F7117B">
              <w:rPr>
                <w:rFonts w:ascii="Times New Roman" w:hAnsi="Times New Roman"/>
                <w:noProof/>
                <w:color w:val="808080"/>
                <w:sz w:val="20"/>
                <w:lang w:val="en-IE"/>
              </w:rPr>
              <w:t xml:space="preserve"> </w:t>
            </w:r>
          </w:p>
        </w:tc>
        <w:tc>
          <w:tcPr>
            <w:tcW w:w="1950" w:type="dxa"/>
            <w:tcBorders>
              <w:top w:val="nil"/>
              <w:left w:val="nil"/>
              <w:bottom w:val="nil"/>
              <w:right w:val="single" w:sz="8" w:space="0" w:color="auto"/>
            </w:tcBorders>
            <w:shd w:val="clear" w:color="000000" w:fill="F2F2F2"/>
            <w:noWrap/>
            <w:vAlign w:val="bottom"/>
            <w:hideMark/>
          </w:tcPr>
          <w:p w:rsidR="008C5021" w:rsidRPr="00F7117B" w:rsidRDefault="008C5021" w:rsidP="008C5021">
            <w:pPr>
              <w:spacing w:after="0" w:line="240" w:lineRule="auto"/>
              <w:jc w:val="center"/>
              <w:rPr>
                <w:rFonts w:ascii="Times New Roman" w:eastAsia="Times New Roman" w:hAnsi="Times New Roman" w:cs="Times New Roman"/>
                <w:noProof/>
                <w:sz w:val="20"/>
                <w:szCs w:val="20"/>
                <w:lang w:val="en-IE"/>
              </w:rPr>
            </w:pPr>
            <w:r w:rsidRPr="00F7117B">
              <w:rPr>
                <w:rFonts w:ascii="Times New Roman" w:hAnsi="Times New Roman"/>
                <w:noProof/>
                <w:sz w:val="20"/>
                <w:lang w:val="en-IE"/>
              </w:rPr>
              <w:t xml:space="preserve"> </w:t>
            </w:r>
          </w:p>
        </w:tc>
        <w:tc>
          <w:tcPr>
            <w:tcW w:w="1594" w:type="dxa"/>
            <w:tcBorders>
              <w:top w:val="nil"/>
              <w:left w:val="nil"/>
              <w:bottom w:val="nil"/>
              <w:right w:val="single" w:sz="4" w:space="0" w:color="auto"/>
            </w:tcBorders>
            <w:shd w:val="clear" w:color="auto" w:fill="auto"/>
            <w:noWrap/>
            <w:vAlign w:val="bottom"/>
            <w:hideMark/>
          </w:tcPr>
          <w:p w:rsidR="008C5021" w:rsidRPr="00F7117B" w:rsidRDefault="008C5021" w:rsidP="008C5021">
            <w:pPr>
              <w:spacing w:after="0" w:line="240" w:lineRule="auto"/>
              <w:jc w:val="center"/>
              <w:rPr>
                <w:rFonts w:ascii="Times New Roman" w:eastAsia="Times New Roman" w:hAnsi="Times New Roman" w:cs="Times New Roman"/>
                <w:noProof/>
                <w:color w:val="808080"/>
                <w:sz w:val="20"/>
                <w:szCs w:val="20"/>
                <w:lang w:val="en-IE"/>
              </w:rPr>
            </w:pPr>
            <w:r w:rsidRPr="00F7117B">
              <w:rPr>
                <w:rFonts w:ascii="Times New Roman" w:hAnsi="Times New Roman"/>
                <w:noProof/>
                <w:color w:val="808080"/>
                <w:sz w:val="20"/>
                <w:lang w:val="en-IE"/>
              </w:rPr>
              <w:t xml:space="preserve"> </w:t>
            </w:r>
          </w:p>
        </w:tc>
        <w:tc>
          <w:tcPr>
            <w:tcW w:w="1594" w:type="dxa"/>
            <w:tcBorders>
              <w:top w:val="nil"/>
              <w:left w:val="nil"/>
              <w:bottom w:val="nil"/>
              <w:right w:val="single" w:sz="8" w:space="0" w:color="auto"/>
            </w:tcBorders>
            <w:shd w:val="clear" w:color="000000" w:fill="F2F2F2"/>
            <w:noWrap/>
            <w:vAlign w:val="bottom"/>
            <w:hideMark/>
          </w:tcPr>
          <w:p w:rsidR="008C5021" w:rsidRPr="00F7117B" w:rsidRDefault="008C5021" w:rsidP="008C5021">
            <w:pPr>
              <w:spacing w:after="0" w:line="240" w:lineRule="auto"/>
              <w:jc w:val="center"/>
              <w:rPr>
                <w:rFonts w:ascii="Times New Roman" w:eastAsia="Times New Roman" w:hAnsi="Times New Roman" w:cs="Times New Roman"/>
                <w:noProof/>
                <w:sz w:val="20"/>
                <w:szCs w:val="20"/>
                <w:lang w:val="en-IE"/>
              </w:rPr>
            </w:pPr>
            <w:r w:rsidRPr="00F7117B">
              <w:rPr>
                <w:rFonts w:ascii="Times New Roman" w:hAnsi="Times New Roman"/>
                <w:noProof/>
                <w:sz w:val="20"/>
                <w:lang w:val="en-IE"/>
              </w:rPr>
              <w:t xml:space="preserve"> </w:t>
            </w:r>
          </w:p>
        </w:tc>
      </w:tr>
      <w:tr w:rsidR="008C5021" w:rsidRPr="008C5021" w:rsidTr="008C5021">
        <w:trPr>
          <w:trHeight w:val="255"/>
        </w:trPr>
        <w:tc>
          <w:tcPr>
            <w:tcW w:w="3686" w:type="dxa"/>
            <w:tcBorders>
              <w:top w:val="nil"/>
              <w:left w:val="single" w:sz="4" w:space="0" w:color="auto"/>
              <w:bottom w:val="nil"/>
              <w:right w:val="nil"/>
            </w:tcBorders>
            <w:shd w:val="clear" w:color="auto" w:fill="auto"/>
            <w:noWrap/>
            <w:vAlign w:val="center"/>
            <w:hideMark/>
          </w:tcPr>
          <w:p w:rsidR="008C5021" w:rsidRPr="008C5021" w:rsidRDefault="008C5021" w:rsidP="008C5021">
            <w:pPr>
              <w:spacing w:after="0" w:line="240" w:lineRule="auto"/>
              <w:ind w:firstLineChars="200" w:firstLine="400"/>
              <w:rPr>
                <w:rFonts w:ascii="Times New Roman" w:eastAsia="Times New Roman" w:hAnsi="Times New Roman" w:cs="Times New Roman"/>
                <w:b/>
                <w:bCs/>
                <w:noProof/>
                <w:sz w:val="20"/>
                <w:szCs w:val="20"/>
              </w:rPr>
            </w:pPr>
            <w:r>
              <w:rPr>
                <w:rFonts w:ascii="Times New Roman" w:hAnsi="Times New Roman"/>
                <w:b/>
                <w:noProof/>
                <w:sz w:val="20"/>
              </w:rPr>
              <w:t>Subtotal</w:t>
            </w:r>
          </w:p>
        </w:tc>
        <w:tc>
          <w:tcPr>
            <w:tcW w:w="1594" w:type="dxa"/>
            <w:tcBorders>
              <w:top w:val="nil"/>
              <w:left w:val="single" w:sz="8" w:space="0" w:color="auto"/>
              <w:bottom w:val="dotted"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666" w:type="dxa"/>
            <w:tcBorders>
              <w:top w:val="nil"/>
              <w:left w:val="nil"/>
              <w:bottom w:val="dotted"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dotted"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dotted"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nil"/>
              <w:bottom w:val="dotted"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94" w:type="dxa"/>
            <w:tcBorders>
              <w:top w:val="nil"/>
              <w:left w:val="nil"/>
              <w:bottom w:val="dotted"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r>
      <w:tr w:rsidR="008C5021" w:rsidRPr="008C5021" w:rsidTr="008C5021">
        <w:trPr>
          <w:trHeight w:val="255"/>
        </w:trPr>
        <w:tc>
          <w:tcPr>
            <w:tcW w:w="3686" w:type="dxa"/>
            <w:tcBorders>
              <w:top w:val="nil"/>
              <w:left w:val="single" w:sz="4" w:space="0" w:color="auto"/>
              <w:bottom w:val="single" w:sz="4" w:space="0" w:color="auto"/>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Europa-Kommissionen i alt</w:t>
            </w:r>
          </w:p>
        </w:tc>
        <w:tc>
          <w:tcPr>
            <w:tcW w:w="1594" w:type="dxa"/>
            <w:tcBorders>
              <w:top w:val="nil"/>
              <w:left w:val="single" w:sz="8" w:space="0" w:color="auto"/>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666"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600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950"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r>
      <w:tr w:rsidR="008C5021" w:rsidRPr="008C5021" w:rsidTr="00C61397">
        <w:trPr>
          <w:trHeight w:val="255"/>
        </w:trPr>
        <w:tc>
          <w:tcPr>
            <w:tcW w:w="3686" w:type="dxa"/>
            <w:tcBorders>
              <w:top w:val="nil"/>
              <w:left w:val="single" w:sz="4" w:space="0" w:color="auto"/>
              <w:bottom w:val="nil"/>
              <w:right w:val="nil"/>
            </w:tcBorders>
            <w:shd w:val="clear" w:color="auto" w:fill="auto"/>
            <w:noWrap/>
            <w:vAlign w:val="bottom"/>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Tilskud fra investeringsfaciliteten (*)</w:t>
            </w:r>
          </w:p>
        </w:tc>
        <w:tc>
          <w:tcPr>
            <w:tcW w:w="1594" w:type="dxa"/>
            <w:tcBorders>
              <w:top w:val="nil"/>
              <w:left w:val="single" w:sz="8" w:space="0" w:color="auto"/>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666" w:type="dxa"/>
            <w:tcBorders>
              <w:top w:val="nil"/>
              <w:left w:val="nil"/>
              <w:bottom w:val="dotted" w:sz="4"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dotted" w:sz="4"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94" w:type="dxa"/>
            <w:tcBorders>
              <w:top w:val="nil"/>
              <w:left w:val="nil"/>
              <w:bottom w:val="dotted" w:sz="4"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r>
      <w:tr w:rsidR="008C5021" w:rsidRPr="008C5021" w:rsidTr="008C5021">
        <w:trPr>
          <w:trHeight w:val="255"/>
        </w:trPr>
        <w:tc>
          <w:tcPr>
            <w:tcW w:w="3686" w:type="dxa"/>
            <w:tcBorders>
              <w:top w:val="nil"/>
              <w:left w:val="single" w:sz="4" w:space="0" w:color="auto"/>
              <w:bottom w:val="single" w:sz="4" w:space="0" w:color="auto"/>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EIB i alt</w:t>
            </w:r>
          </w:p>
        </w:tc>
        <w:tc>
          <w:tcPr>
            <w:tcW w:w="1594" w:type="dxa"/>
            <w:tcBorders>
              <w:top w:val="nil"/>
              <w:left w:val="single" w:sz="8" w:space="0" w:color="auto"/>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666"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950"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4"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r>
      <w:tr w:rsidR="008C5021" w:rsidRPr="008C5021" w:rsidTr="008C5021">
        <w:trPr>
          <w:trHeight w:val="270"/>
        </w:trPr>
        <w:tc>
          <w:tcPr>
            <w:tcW w:w="3686" w:type="dxa"/>
            <w:tcBorders>
              <w:top w:val="nil"/>
              <w:left w:val="single" w:sz="4" w:space="0" w:color="auto"/>
              <w:bottom w:val="single" w:sz="4" w:space="0" w:color="auto"/>
              <w:right w:val="nil"/>
            </w:tcBorders>
            <w:shd w:val="clear" w:color="auto" w:fill="auto"/>
            <w:noWrap/>
            <w:vAlign w:val="center"/>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Europa-Kommissionen + EIB I ALT</w:t>
            </w:r>
          </w:p>
        </w:tc>
        <w:tc>
          <w:tcPr>
            <w:tcW w:w="1594" w:type="dxa"/>
            <w:tcBorders>
              <w:top w:val="nil"/>
              <w:left w:val="single" w:sz="8" w:space="0" w:color="auto"/>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666" w:type="dxa"/>
            <w:tcBorders>
              <w:top w:val="nil"/>
              <w:left w:val="nil"/>
              <w:bottom w:val="single" w:sz="8"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600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950" w:type="dxa"/>
            <w:tcBorders>
              <w:top w:val="nil"/>
              <w:left w:val="nil"/>
              <w:bottom w:val="single" w:sz="8"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8" w:space="0" w:color="auto"/>
              <w:right w:val="single" w:sz="8" w:space="0" w:color="auto"/>
            </w:tcBorders>
            <w:shd w:val="clear" w:color="000000" w:fill="F2F2F2"/>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0</w:t>
            </w:r>
          </w:p>
        </w:tc>
      </w:tr>
    </w:tbl>
    <w:p w:rsidR="00512389" w:rsidRPr="006E1DA9" w:rsidRDefault="006E1DA9" w:rsidP="006E1DA9">
      <w:pPr>
        <w:rPr>
          <w:noProof/>
          <w:sz w:val="16"/>
          <w:szCs w:val="16"/>
        </w:rPr>
      </w:pPr>
      <w:r>
        <w:rPr>
          <w:noProof/>
          <w:sz w:val="16"/>
        </w:rPr>
        <w:t>* Herunder tilskud til teknisk bistand og rentegodtgørelser fra den nuværende EUF og IRS-udbetaling under tidligere EUF'er.</w:t>
      </w:r>
    </w:p>
    <w:tbl>
      <w:tblPr>
        <w:tblW w:w="13608" w:type="dxa"/>
        <w:tblInd w:w="108" w:type="dxa"/>
        <w:tblLayout w:type="fixed"/>
        <w:tblLook w:val="04A0" w:firstRow="1" w:lastRow="0" w:firstColumn="1" w:lastColumn="0" w:noHBand="0" w:noVBand="1"/>
      </w:tblPr>
      <w:tblGrid>
        <w:gridCol w:w="3686"/>
        <w:gridCol w:w="1665"/>
        <w:gridCol w:w="1701"/>
        <w:gridCol w:w="1594"/>
        <w:gridCol w:w="1950"/>
        <w:gridCol w:w="1594"/>
        <w:gridCol w:w="1418"/>
      </w:tblGrid>
      <w:tr w:rsidR="008C5021" w:rsidRPr="008C5021" w:rsidTr="008C5021">
        <w:trPr>
          <w:trHeight w:val="255"/>
        </w:trPr>
        <w:tc>
          <w:tcPr>
            <w:tcW w:w="3686" w:type="dxa"/>
            <w:tcBorders>
              <w:top w:val="nil"/>
              <w:left w:val="nil"/>
              <w:bottom w:val="nil"/>
              <w:right w:val="nil"/>
            </w:tcBorders>
            <w:shd w:val="clear" w:color="auto" w:fill="auto"/>
            <w:noWrap/>
            <w:vAlign w:val="bottom"/>
            <w:hideMark/>
          </w:tcPr>
          <w:p w:rsidR="008C5021" w:rsidRPr="008C5021" w:rsidRDefault="008C5021" w:rsidP="008C5021">
            <w:pPr>
              <w:spacing w:after="0" w:line="240" w:lineRule="auto"/>
              <w:rPr>
                <w:rFonts w:ascii="Times New Roman" w:eastAsia="Times New Roman" w:hAnsi="Times New Roman" w:cs="Times New Roman"/>
                <w:noProof/>
                <w:sz w:val="24"/>
                <w:szCs w:val="24"/>
                <w:lang w:eastAsia="en-GB"/>
              </w:rPr>
            </w:pPr>
          </w:p>
        </w:tc>
        <w:tc>
          <w:tcPr>
            <w:tcW w:w="3366"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Tal for 2022</w:t>
            </w:r>
          </w:p>
        </w:tc>
        <w:tc>
          <w:tcPr>
            <w:tcW w:w="354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2023</w:t>
            </w:r>
          </w:p>
        </w:tc>
        <w:tc>
          <w:tcPr>
            <w:tcW w:w="3012"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r>
      <w:tr w:rsidR="008C5021" w:rsidRPr="008C5021" w:rsidTr="008C5021">
        <w:trPr>
          <w:trHeight w:val="510"/>
        </w:trPr>
        <w:tc>
          <w:tcPr>
            <w:tcW w:w="3686" w:type="dxa"/>
            <w:tcBorders>
              <w:top w:val="nil"/>
              <w:left w:val="nil"/>
              <w:bottom w:val="nil"/>
              <w:right w:val="nil"/>
            </w:tcBorders>
            <w:shd w:val="clear" w:color="auto" w:fill="auto"/>
            <w:noWrap/>
            <w:hideMark/>
          </w:tcPr>
          <w:p w:rsidR="008C5021" w:rsidRPr="008C5021" w:rsidRDefault="008C5021" w:rsidP="008C50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665" w:type="dxa"/>
            <w:tcBorders>
              <w:top w:val="nil"/>
              <w:left w:val="single" w:sz="8" w:space="0" w:color="auto"/>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701"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950"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594" w:type="dxa"/>
            <w:tcBorders>
              <w:top w:val="nil"/>
              <w:left w:val="nil"/>
              <w:bottom w:val="single" w:sz="4" w:space="0" w:color="auto"/>
              <w:right w:val="single" w:sz="4" w:space="0" w:color="auto"/>
            </w:tcBorders>
            <w:shd w:val="clear" w:color="auto" w:fill="auto"/>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418" w:type="dxa"/>
            <w:tcBorders>
              <w:top w:val="nil"/>
              <w:left w:val="nil"/>
              <w:bottom w:val="single" w:sz="4" w:space="0" w:color="auto"/>
              <w:right w:val="single" w:sz="8" w:space="0" w:color="auto"/>
            </w:tcBorders>
            <w:shd w:val="clear" w:color="000000" w:fill="F2F2F2"/>
            <w:vAlign w:val="center"/>
            <w:hideMark/>
          </w:tcPr>
          <w:p w:rsidR="008C5021" w:rsidRPr="008C5021" w:rsidRDefault="008C5021" w:rsidP="008C50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r>
      <w:tr w:rsidR="008C5021" w:rsidRPr="008C5021" w:rsidTr="00C61397">
        <w:trPr>
          <w:trHeight w:val="27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8C5021" w:rsidRPr="008C5021" w:rsidRDefault="008C5021" w:rsidP="008C50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Investeringsfaciliteten som en revolverende fond**</w:t>
            </w:r>
          </w:p>
        </w:tc>
        <w:tc>
          <w:tcPr>
            <w:tcW w:w="1665" w:type="dxa"/>
            <w:tcBorders>
              <w:top w:val="nil"/>
              <w:left w:val="single" w:sz="8" w:space="0" w:color="auto"/>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701" w:type="dxa"/>
            <w:tcBorders>
              <w:top w:val="nil"/>
              <w:left w:val="nil"/>
              <w:bottom w:val="single" w:sz="8"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950" w:type="dxa"/>
            <w:tcBorders>
              <w:top w:val="nil"/>
              <w:left w:val="nil"/>
              <w:bottom w:val="single" w:sz="8"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c>
          <w:tcPr>
            <w:tcW w:w="1594" w:type="dxa"/>
            <w:tcBorders>
              <w:top w:val="nil"/>
              <w:left w:val="nil"/>
              <w:bottom w:val="single" w:sz="8" w:space="0" w:color="auto"/>
              <w:right w:val="single" w:sz="4"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418" w:type="dxa"/>
            <w:tcBorders>
              <w:top w:val="nil"/>
              <w:left w:val="nil"/>
              <w:bottom w:val="single" w:sz="8" w:space="0" w:color="auto"/>
              <w:right w:val="single" w:sz="8" w:space="0" w:color="auto"/>
            </w:tcBorders>
            <w:shd w:val="clear" w:color="auto" w:fill="auto"/>
            <w:noWrap/>
            <w:vAlign w:val="bottom"/>
            <w:hideMark/>
          </w:tcPr>
          <w:p w:rsidR="008C5021" w:rsidRPr="008C5021" w:rsidRDefault="008C5021" w:rsidP="008C5021">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0</w:t>
            </w:r>
          </w:p>
        </w:tc>
      </w:tr>
    </w:tbl>
    <w:p w:rsidR="00806869" w:rsidRDefault="00806869" w:rsidP="006E1DA9">
      <w:pPr>
        <w:rPr>
          <w:noProof/>
          <w:sz w:val="16"/>
          <w:szCs w:val="16"/>
        </w:rPr>
      </w:pPr>
    </w:p>
    <w:p w:rsidR="006E1DA9" w:rsidRPr="006E1DA9" w:rsidRDefault="006E1DA9" w:rsidP="006E1DA9">
      <w:pPr>
        <w:rPr>
          <w:noProof/>
          <w:sz w:val="16"/>
          <w:szCs w:val="16"/>
        </w:rPr>
      </w:pPr>
      <w:r>
        <w:rPr>
          <w:noProof/>
          <w:sz w:val="16"/>
        </w:rPr>
        <w:t>**Forpligtelsen under den revolverende fond kan ikke sidestilles med budgetforpligtelser. Der rapporteres derfor særskilt herom.</w:t>
      </w:r>
    </w:p>
    <w:p w:rsidR="00806869" w:rsidRDefault="00980393" w:rsidP="008C5021">
      <w:pPr>
        <w:pStyle w:val="Heading2"/>
        <w:rPr>
          <w:noProof/>
        </w:rPr>
      </w:pPr>
      <w:r>
        <w:rPr>
          <w:noProof/>
        </w:rPr>
        <w:br w:type="page"/>
        <w:t>Bilag 2: Overslag over betalinger</w:t>
      </w:r>
      <w:r>
        <w:rPr>
          <w:rStyle w:val="FootnoteReference"/>
          <w:noProof/>
        </w:rPr>
        <w:footnoteReference w:id="6"/>
      </w:r>
      <w:r>
        <w:rPr>
          <w:noProof/>
        </w:rPr>
        <w:t xml:space="preserve"> for perioden 2022 til 2024 (mio. EUR)</w:t>
      </w:r>
    </w:p>
    <w:tbl>
      <w:tblPr>
        <w:tblW w:w="12891" w:type="dxa"/>
        <w:tblInd w:w="108" w:type="dxa"/>
        <w:tblLook w:val="04A0" w:firstRow="1" w:lastRow="0" w:firstColumn="1" w:lastColumn="0" w:noHBand="0" w:noVBand="1"/>
      </w:tblPr>
      <w:tblGrid>
        <w:gridCol w:w="3851"/>
        <w:gridCol w:w="1440"/>
        <w:gridCol w:w="1520"/>
        <w:gridCol w:w="1560"/>
        <w:gridCol w:w="1560"/>
        <w:gridCol w:w="1400"/>
        <w:gridCol w:w="1560"/>
      </w:tblGrid>
      <w:tr w:rsidR="00702690" w:rsidRPr="00702690" w:rsidTr="00702690">
        <w:trPr>
          <w:trHeight w:val="270"/>
        </w:trPr>
        <w:tc>
          <w:tcPr>
            <w:tcW w:w="3851" w:type="dxa"/>
            <w:tcBorders>
              <w:top w:val="single" w:sz="8" w:space="0" w:color="AEAAAA" w:themeColor="background2" w:themeShade="BF"/>
              <w:left w:val="nil"/>
              <w:bottom w:val="nil"/>
              <w:right w:val="nil"/>
            </w:tcBorders>
            <w:shd w:val="clear" w:color="auto" w:fill="auto"/>
            <w:noWrap/>
            <w:vAlign w:val="center"/>
            <w:hideMark/>
          </w:tcPr>
          <w:p w:rsidR="00702690" w:rsidRPr="00702690" w:rsidRDefault="00702690" w:rsidP="00702690">
            <w:pPr>
              <w:spacing w:after="0" w:line="240" w:lineRule="auto"/>
              <w:rPr>
                <w:rFonts w:ascii="Times New Roman" w:eastAsia="Times New Roman" w:hAnsi="Times New Roman" w:cs="Times New Roman"/>
                <w:noProof/>
                <w:sz w:val="24"/>
                <w:szCs w:val="24"/>
                <w:lang w:eastAsia="en-GB"/>
              </w:rPr>
            </w:pPr>
          </w:p>
        </w:tc>
        <w:tc>
          <w:tcPr>
            <w:tcW w:w="2960" w:type="dxa"/>
            <w:gridSpan w:val="2"/>
            <w:tcBorders>
              <w:top w:val="single" w:sz="8" w:space="0" w:color="AEAAAA" w:themeColor="background2" w:themeShade="BF"/>
              <w:left w:val="single" w:sz="8" w:space="0" w:color="auto"/>
              <w:bottom w:val="nil"/>
              <w:right w:val="single" w:sz="8" w:space="0" w:color="000000"/>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2022</w:t>
            </w:r>
          </w:p>
        </w:tc>
        <w:tc>
          <w:tcPr>
            <w:tcW w:w="3120" w:type="dxa"/>
            <w:gridSpan w:val="2"/>
            <w:tcBorders>
              <w:top w:val="single" w:sz="8" w:space="0" w:color="AEAAAA" w:themeColor="background2" w:themeShade="BF"/>
              <w:left w:val="nil"/>
              <w:bottom w:val="nil"/>
              <w:right w:val="single" w:sz="8" w:space="0" w:color="000000"/>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2023</w:t>
            </w:r>
          </w:p>
        </w:tc>
        <w:tc>
          <w:tcPr>
            <w:tcW w:w="2960" w:type="dxa"/>
            <w:gridSpan w:val="2"/>
            <w:tcBorders>
              <w:top w:val="single" w:sz="8" w:space="0" w:color="AEAAAA" w:themeColor="background2" w:themeShade="BF"/>
              <w:left w:val="nil"/>
              <w:bottom w:val="nil"/>
              <w:right w:val="single" w:sz="8" w:space="0" w:color="000000"/>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r>
      <w:tr w:rsidR="00702690" w:rsidRPr="00702690" w:rsidTr="00225D2F">
        <w:trPr>
          <w:trHeight w:val="740"/>
        </w:trPr>
        <w:tc>
          <w:tcPr>
            <w:tcW w:w="3851" w:type="dxa"/>
            <w:tcBorders>
              <w:top w:val="nil"/>
              <w:left w:val="nil"/>
              <w:bottom w:val="single" w:sz="6" w:space="0" w:color="auto"/>
              <w:right w:val="nil"/>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lang w:eastAsia="en-GB"/>
              </w:rPr>
            </w:pPr>
          </w:p>
        </w:tc>
        <w:tc>
          <w:tcPr>
            <w:tcW w:w="1440" w:type="dxa"/>
            <w:tcBorders>
              <w:top w:val="single" w:sz="8" w:space="0" w:color="auto"/>
              <w:left w:val="single" w:sz="8" w:space="0" w:color="auto"/>
              <w:bottom w:val="single" w:sz="6" w:space="0" w:color="auto"/>
              <w:right w:val="single" w:sz="4" w:space="0" w:color="auto"/>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20" w:type="dxa"/>
            <w:tcBorders>
              <w:top w:val="single" w:sz="8" w:space="0" w:color="auto"/>
              <w:left w:val="nil"/>
              <w:bottom w:val="single" w:sz="6" w:space="0" w:color="auto"/>
              <w:right w:val="single" w:sz="8" w:space="0" w:color="auto"/>
            </w:tcBorders>
            <w:shd w:val="clear" w:color="000000" w:fill="D9D9D9"/>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560" w:type="dxa"/>
            <w:tcBorders>
              <w:top w:val="single" w:sz="8" w:space="0" w:color="auto"/>
              <w:left w:val="nil"/>
              <w:bottom w:val="single" w:sz="6" w:space="0" w:color="auto"/>
              <w:right w:val="single" w:sz="4" w:space="0" w:color="auto"/>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60" w:type="dxa"/>
            <w:tcBorders>
              <w:top w:val="single" w:sz="8" w:space="0" w:color="auto"/>
              <w:left w:val="nil"/>
              <w:bottom w:val="single" w:sz="6" w:space="0" w:color="auto"/>
              <w:right w:val="single" w:sz="8" w:space="0" w:color="auto"/>
            </w:tcBorders>
            <w:shd w:val="clear" w:color="000000" w:fill="D9D9D9"/>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400" w:type="dxa"/>
            <w:tcBorders>
              <w:top w:val="single" w:sz="8" w:space="0" w:color="auto"/>
              <w:left w:val="nil"/>
              <w:bottom w:val="single" w:sz="6" w:space="0" w:color="auto"/>
              <w:right w:val="single" w:sz="4" w:space="0" w:color="auto"/>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60" w:type="dxa"/>
            <w:tcBorders>
              <w:top w:val="single" w:sz="8" w:space="0" w:color="auto"/>
              <w:left w:val="nil"/>
              <w:bottom w:val="single" w:sz="6" w:space="0" w:color="auto"/>
              <w:right w:val="single" w:sz="8" w:space="0" w:color="auto"/>
            </w:tcBorders>
            <w:shd w:val="clear" w:color="000000" w:fill="D9D9D9"/>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r>
      <w:tr w:rsidR="00702690" w:rsidRPr="00702690" w:rsidTr="00225D2F">
        <w:trPr>
          <w:trHeight w:val="260"/>
        </w:trPr>
        <w:tc>
          <w:tcPr>
            <w:tcW w:w="3851" w:type="dxa"/>
            <w:tcBorders>
              <w:top w:val="single" w:sz="6" w:space="0" w:color="auto"/>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Regioner</w:t>
            </w:r>
          </w:p>
        </w:tc>
        <w:tc>
          <w:tcPr>
            <w:tcW w:w="1440" w:type="dxa"/>
            <w:tcBorders>
              <w:top w:val="single" w:sz="6" w:space="0" w:color="auto"/>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20" w:type="dxa"/>
            <w:tcBorders>
              <w:top w:val="single" w:sz="6" w:space="0" w:color="auto"/>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w:t>
            </w:r>
          </w:p>
        </w:tc>
        <w:tc>
          <w:tcPr>
            <w:tcW w:w="1560" w:type="dxa"/>
            <w:tcBorders>
              <w:top w:val="single" w:sz="6" w:space="0" w:color="auto"/>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single" w:sz="6" w:space="0" w:color="auto"/>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single" w:sz="6" w:space="0" w:color="auto"/>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single" w:sz="6" w:space="0" w:color="auto"/>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000000" w:fill="FFFFFF"/>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østlige og det centrale Afrika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506</w:t>
            </w:r>
          </w:p>
        </w:tc>
        <w:tc>
          <w:tcPr>
            <w:tcW w:w="1520" w:type="dxa"/>
            <w:tcBorders>
              <w:top w:val="nil"/>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425</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000000" w:fill="FFFFFF"/>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vestlige og det sydlige Afrika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1 003</w:t>
            </w:r>
          </w:p>
        </w:tc>
        <w:tc>
          <w:tcPr>
            <w:tcW w:w="1520" w:type="dxa"/>
            <w:tcBorders>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975</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Caribien</w:t>
            </w:r>
          </w:p>
        </w:tc>
        <w:tc>
          <w:tcPr>
            <w:tcW w:w="1440" w:type="dxa"/>
            <w:tcBorders>
              <w:top w:val="nil"/>
              <w:left w:val="single"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156</w:t>
            </w:r>
          </w:p>
        </w:tc>
        <w:tc>
          <w:tcPr>
            <w:tcW w:w="1520" w:type="dxa"/>
            <w:tcBorders>
              <w:left w:val="single" w:sz="6" w:space="0" w:color="auto"/>
              <w:right w:val="single" w:sz="6" w:space="0" w:color="auto"/>
            </w:tcBorders>
            <w:shd w:val="clear" w:color="auto" w:fill="D9D9D9" w:themeFill="background1" w:themeFillShade="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115</w:t>
            </w:r>
          </w:p>
        </w:tc>
        <w:tc>
          <w:tcPr>
            <w:tcW w:w="1560" w:type="dxa"/>
            <w:tcBorders>
              <w:top w:val="nil"/>
              <w:left w:val="single" w:sz="6"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dashed" w:sz="4" w:space="0" w:color="auto"/>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Stillehavsområdet</w:t>
            </w:r>
          </w:p>
        </w:tc>
        <w:tc>
          <w:tcPr>
            <w:tcW w:w="1440" w:type="dxa"/>
            <w:tcBorders>
              <w:top w:val="nil"/>
              <w:left w:val="single" w:sz="4" w:space="0" w:color="auto"/>
              <w:bottom w:val="dashed"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84</w:t>
            </w:r>
          </w:p>
        </w:tc>
        <w:tc>
          <w:tcPr>
            <w:tcW w:w="1520" w:type="dxa"/>
            <w:tcBorders>
              <w:left w:val="single" w:sz="6" w:space="0" w:color="auto"/>
              <w:bottom w:val="dashed" w:sz="4" w:space="0" w:color="auto"/>
              <w:right w:val="single" w:sz="6" w:space="0" w:color="auto"/>
            </w:tcBorders>
            <w:shd w:val="clear" w:color="000000" w:fill="D9D9D9"/>
            <w:noWrap/>
            <w:vAlign w:val="bottom"/>
            <w:hideMark/>
          </w:tcPr>
          <w:p w:rsidR="00702690" w:rsidRPr="00225D2F"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79</w:t>
            </w:r>
          </w:p>
        </w:tc>
        <w:tc>
          <w:tcPr>
            <w:tcW w:w="1560" w:type="dxa"/>
            <w:tcBorders>
              <w:top w:val="nil"/>
              <w:left w:val="single" w:sz="6" w:space="0" w:color="auto"/>
              <w:bottom w:val="dashed"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dashed"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dashed" w:sz="4" w:space="0" w:color="auto"/>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single" w:sz="4" w:space="0" w:color="auto"/>
              <w:bottom w:val="dashed"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dashed" w:sz="4" w:space="0" w:color="auto"/>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Subtotal*</w:t>
            </w:r>
          </w:p>
        </w:tc>
        <w:tc>
          <w:tcPr>
            <w:tcW w:w="1440" w:type="dxa"/>
            <w:tcBorders>
              <w:top w:val="dashed" w:sz="4" w:space="0" w:color="auto"/>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1 749</w:t>
            </w:r>
          </w:p>
        </w:tc>
        <w:tc>
          <w:tcPr>
            <w:tcW w:w="1520" w:type="dxa"/>
            <w:tcBorders>
              <w:top w:val="dashed" w:sz="4" w:space="0" w:color="auto"/>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1 594</w:t>
            </w:r>
          </w:p>
        </w:tc>
        <w:tc>
          <w:tcPr>
            <w:tcW w:w="1560" w:type="dxa"/>
            <w:tcBorders>
              <w:top w:val="dashed" w:sz="4" w:space="0" w:color="auto"/>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dashed" w:sz="4" w:space="0" w:color="auto"/>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dashed" w:sz="4" w:space="0" w:color="auto"/>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dashed" w:sz="4" w:space="0" w:color="auto"/>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 xml:space="preserve">Andet </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 xml:space="preserve">Særlige foranstaltninger med henblik på fødevaresikkerhed </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211</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Menneskelig udvikling, menneskerettigheder</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60</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46</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EU-Afrika, fredsfaciliteten for Afrika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95</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97</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EUTF Afrika</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331</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318</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bottom w:val="nil"/>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Planeten og velstand</w:t>
            </w:r>
          </w:p>
        </w:tc>
        <w:tc>
          <w:tcPr>
            <w:tcW w:w="1440" w:type="dxa"/>
            <w:tcBorders>
              <w:top w:val="nil"/>
              <w:left w:val="single" w:sz="4" w:space="0" w:color="auto"/>
              <w:bottom w:val="nil"/>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198</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175</w:t>
            </w:r>
          </w:p>
        </w:tc>
        <w:tc>
          <w:tcPr>
            <w:tcW w:w="1560" w:type="dxa"/>
            <w:tcBorders>
              <w:top w:val="nil"/>
              <w:left w:val="single" w:sz="6" w:space="0" w:color="auto"/>
              <w:bottom w:val="nil"/>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nil"/>
              <w:left w:val="single" w:sz="4" w:space="0" w:color="auto"/>
              <w:bottom w:val="nil"/>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nil"/>
              <w:left w:val="single" w:sz="6" w:space="0" w:color="auto"/>
              <w:right w:val="nil"/>
            </w:tcBorders>
            <w:shd w:val="clear" w:color="auto" w:fill="auto"/>
            <w:noWrap/>
            <w:vAlign w:val="bottom"/>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Ressourcer, evaluering, procedurer</w:t>
            </w:r>
          </w:p>
        </w:tc>
        <w:tc>
          <w:tcPr>
            <w:tcW w:w="1440" w:type="dxa"/>
            <w:tcBorders>
              <w:top w:val="nil"/>
              <w:left w:val="single"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52</w:t>
            </w:r>
          </w:p>
        </w:tc>
        <w:tc>
          <w:tcPr>
            <w:tcW w:w="1520" w:type="dxa"/>
            <w:tcBorders>
              <w:left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51</w:t>
            </w:r>
          </w:p>
        </w:tc>
        <w:tc>
          <w:tcPr>
            <w:tcW w:w="1560" w:type="dxa"/>
            <w:tcBorders>
              <w:top w:val="nil"/>
              <w:left w:val="single" w:sz="6"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400" w:type="dxa"/>
            <w:tcBorders>
              <w:top w:val="nil"/>
              <w:left w:val="nil"/>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lang w:eastAsia="en-GB"/>
              </w:rPr>
            </w:pPr>
          </w:p>
        </w:tc>
        <w:tc>
          <w:tcPr>
            <w:tcW w:w="1560" w:type="dxa"/>
            <w:tcBorders>
              <w:top w:val="nil"/>
              <w:left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w:t>
            </w:r>
          </w:p>
        </w:tc>
      </w:tr>
      <w:tr w:rsidR="00702690" w:rsidRPr="00702690" w:rsidTr="00225D2F">
        <w:trPr>
          <w:trHeight w:val="260"/>
        </w:trPr>
        <w:tc>
          <w:tcPr>
            <w:tcW w:w="3851" w:type="dxa"/>
            <w:tcBorders>
              <w:top w:val="nil"/>
              <w:left w:val="single" w:sz="6" w:space="0" w:color="auto"/>
              <w:bottom w:val="dashed" w:sz="4" w:space="0" w:color="auto"/>
              <w:right w:val="nil"/>
            </w:tcBorders>
            <w:shd w:val="clear" w:color="auto" w:fill="auto"/>
            <w:noWrap/>
            <w:vAlign w:val="bottom"/>
            <w:hideMark/>
          </w:tcPr>
          <w:p w:rsidR="00702690" w:rsidRPr="00F7117B" w:rsidRDefault="00702690" w:rsidP="00702690">
            <w:pPr>
              <w:spacing w:after="0" w:line="240" w:lineRule="auto"/>
              <w:ind w:firstLineChars="200" w:firstLine="400"/>
              <w:rPr>
                <w:rFonts w:ascii="Times New Roman" w:eastAsia="Times New Roman" w:hAnsi="Times New Roman" w:cs="Times New Roman"/>
                <w:noProof/>
                <w:sz w:val="20"/>
                <w:szCs w:val="20"/>
                <w:lang w:val="en-IE"/>
              </w:rPr>
            </w:pPr>
            <w:r w:rsidRPr="00F7117B">
              <w:rPr>
                <w:rFonts w:ascii="Times New Roman" w:hAnsi="Times New Roman"/>
                <w:noProof/>
                <w:sz w:val="20"/>
                <w:lang w:val="en-IE"/>
              </w:rPr>
              <w:t>GD ECHO, EACEA, GD EAC</w:t>
            </w:r>
          </w:p>
        </w:tc>
        <w:tc>
          <w:tcPr>
            <w:tcW w:w="1440" w:type="dxa"/>
            <w:tcBorders>
              <w:top w:val="nil"/>
              <w:left w:val="single" w:sz="4" w:space="0" w:color="auto"/>
              <w:bottom w:val="dashed" w:sz="4"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sidRPr="00F7117B">
              <w:rPr>
                <w:rFonts w:ascii="Times New Roman" w:hAnsi="Times New Roman"/>
                <w:noProof/>
                <w:color w:val="808080"/>
                <w:sz w:val="20"/>
                <w:lang w:val="en-IE"/>
              </w:rPr>
              <w:t xml:space="preserve">   </w:t>
            </w:r>
            <w:r>
              <w:rPr>
                <w:rFonts w:ascii="Times New Roman" w:hAnsi="Times New Roman"/>
                <w:noProof/>
                <w:color w:val="808080"/>
                <w:sz w:val="20"/>
              </w:rPr>
              <w:t>15</w:t>
            </w:r>
          </w:p>
        </w:tc>
        <w:tc>
          <w:tcPr>
            <w:tcW w:w="1520" w:type="dxa"/>
            <w:tcBorders>
              <w:top w:val="nil"/>
              <w:left w:val="single" w:sz="6" w:space="0" w:color="auto"/>
              <w:bottom w:val="dashed"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8</w:t>
            </w:r>
          </w:p>
        </w:tc>
        <w:tc>
          <w:tcPr>
            <w:tcW w:w="1560" w:type="dxa"/>
            <w:tcBorders>
              <w:top w:val="nil"/>
              <w:left w:val="single" w:sz="6" w:space="0" w:color="auto"/>
              <w:bottom w:val="dashed"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nil"/>
              <w:bottom w:val="dashed"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nil"/>
              <w:left w:val="nil"/>
              <w:bottom w:val="dashed" w:sz="4" w:space="0" w:color="auto"/>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single" w:sz="4" w:space="0" w:color="auto"/>
              <w:bottom w:val="dashed"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dashed" w:sz="4" w:space="0" w:color="auto"/>
              <w:left w:val="single" w:sz="6" w:space="0" w:color="auto"/>
              <w:bottom w:val="single" w:sz="6" w:space="0" w:color="auto"/>
              <w:right w:val="nil"/>
            </w:tcBorders>
            <w:shd w:val="clear" w:color="auto" w:fill="auto"/>
            <w:noWrap/>
            <w:vAlign w:val="center"/>
            <w:hideMark/>
          </w:tcPr>
          <w:p w:rsidR="00702690" w:rsidRPr="00702690" w:rsidRDefault="00702690" w:rsidP="00702690">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Subtotal*</w:t>
            </w:r>
          </w:p>
        </w:tc>
        <w:tc>
          <w:tcPr>
            <w:tcW w:w="1440" w:type="dxa"/>
            <w:tcBorders>
              <w:top w:val="dashed" w:sz="4" w:space="0" w:color="auto"/>
              <w:left w:val="single" w:sz="4" w:space="0" w:color="auto"/>
              <w:bottom w:val="single" w:sz="6" w:space="0" w:color="auto"/>
              <w:right w:val="single" w:sz="6"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751</w:t>
            </w:r>
          </w:p>
        </w:tc>
        <w:tc>
          <w:tcPr>
            <w:tcW w:w="1520" w:type="dxa"/>
            <w:tcBorders>
              <w:top w:val="dashed" w:sz="4" w:space="0" w:color="auto"/>
              <w:left w:val="single" w:sz="6" w:space="0" w:color="auto"/>
              <w:bottom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906</w:t>
            </w:r>
          </w:p>
        </w:tc>
        <w:tc>
          <w:tcPr>
            <w:tcW w:w="1560" w:type="dxa"/>
            <w:tcBorders>
              <w:top w:val="dashed" w:sz="4" w:space="0" w:color="auto"/>
              <w:left w:val="single" w:sz="6" w:space="0" w:color="auto"/>
              <w:bottom w:val="single" w:sz="6"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dashed" w:sz="4" w:space="0" w:color="auto"/>
              <w:left w:val="nil"/>
              <w:bottom w:val="single" w:sz="6"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c>
          <w:tcPr>
            <w:tcW w:w="1400" w:type="dxa"/>
            <w:tcBorders>
              <w:top w:val="dashed" w:sz="4" w:space="0" w:color="auto"/>
              <w:left w:val="nil"/>
              <w:bottom w:val="single" w:sz="6" w:space="0" w:color="auto"/>
              <w:right w:val="nil"/>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lang w:eastAsia="en-GB"/>
              </w:rPr>
            </w:pPr>
          </w:p>
        </w:tc>
        <w:tc>
          <w:tcPr>
            <w:tcW w:w="1560" w:type="dxa"/>
            <w:tcBorders>
              <w:top w:val="dashed" w:sz="4" w:space="0" w:color="auto"/>
              <w:left w:val="single" w:sz="4" w:space="0" w:color="auto"/>
              <w:bottom w:val="single" w:sz="6"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w:t>
            </w:r>
          </w:p>
        </w:tc>
      </w:tr>
      <w:tr w:rsidR="00702690" w:rsidRPr="00702690" w:rsidTr="00225D2F">
        <w:trPr>
          <w:trHeight w:val="260"/>
        </w:trPr>
        <w:tc>
          <w:tcPr>
            <w:tcW w:w="3851" w:type="dxa"/>
            <w:tcBorders>
              <w:top w:val="single" w:sz="6" w:space="0" w:color="auto"/>
              <w:left w:val="single" w:sz="6" w:space="0" w:color="auto"/>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Europa-Kommissionen i alt*</w:t>
            </w:r>
          </w:p>
        </w:tc>
        <w:tc>
          <w:tcPr>
            <w:tcW w:w="1440" w:type="dxa"/>
            <w:tcBorders>
              <w:top w:val="single" w:sz="6"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2 500</w:t>
            </w:r>
          </w:p>
        </w:tc>
        <w:tc>
          <w:tcPr>
            <w:tcW w:w="1520" w:type="dxa"/>
            <w:tcBorders>
              <w:top w:val="single" w:sz="6"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2 500</w:t>
            </w:r>
          </w:p>
        </w:tc>
        <w:tc>
          <w:tcPr>
            <w:tcW w:w="1560" w:type="dxa"/>
            <w:tcBorders>
              <w:top w:val="single" w:sz="6"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1 800</w:t>
            </w:r>
          </w:p>
        </w:tc>
        <w:tc>
          <w:tcPr>
            <w:tcW w:w="1560" w:type="dxa"/>
            <w:tcBorders>
              <w:top w:val="single" w:sz="6"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1 800</w:t>
            </w:r>
          </w:p>
        </w:tc>
        <w:tc>
          <w:tcPr>
            <w:tcW w:w="1400" w:type="dxa"/>
            <w:tcBorders>
              <w:top w:val="single" w:sz="6"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60" w:type="dxa"/>
            <w:tcBorders>
              <w:top w:val="single" w:sz="6" w:space="0" w:color="auto"/>
              <w:left w:val="nil"/>
              <w:bottom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1 300</w:t>
            </w:r>
          </w:p>
        </w:tc>
      </w:tr>
      <w:tr w:rsidR="00702690" w:rsidRPr="00702690" w:rsidTr="00225D2F">
        <w:trPr>
          <w:trHeight w:val="260"/>
        </w:trPr>
        <w:tc>
          <w:tcPr>
            <w:tcW w:w="3851"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Tilskud fra investeringsfaciliteten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233</w:t>
            </w:r>
          </w:p>
        </w:tc>
        <w:tc>
          <w:tcPr>
            <w:tcW w:w="152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208</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single" w:sz="4" w:space="0" w:color="auto"/>
              <w:left w:val="nil"/>
              <w:bottom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151</w:t>
            </w:r>
          </w:p>
        </w:tc>
      </w:tr>
      <w:tr w:rsidR="00702690" w:rsidRPr="00702690" w:rsidTr="00225D2F">
        <w:trPr>
          <w:trHeight w:val="260"/>
        </w:trPr>
        <w:tc>
          <w:tcPr>
            <w:tcW w:w="3851"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EIB i alt***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233</w:t>
            </w:r>
          </w:p>
        </w:tc>
        <w:tc>
          <w:tcPr>
            <w:tcW w:w="152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233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208</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208</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60" w:type="dxa"/>
            <w:tcBorders>
              <w:top w:val="single" w:sz="4" w:space="0" w:color="auto"/>
              <w:left w:val="nil"/>
              <w:bottom w:val="single" w:sz="4" w:space="0" w:color="auto"/>
              <w:right w:val="single" w:sz="6" w:space="0" w:color="auto"/>
            </w:tcBorders>
            <w:shd w:val="clear" w:color="000000" w:fill="D9D9D9"/>
            <w:noWrap/>
            <w:vAlign w:val="bottom"/>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151</w:t>
            </w:r>
          </w:p>
        </w:tc>
      </w:tr>
      <w:tr w:rsidR="00702690" w:rsidRPr="00702690" w:rsidTr="00225D2F">
        <w:trPr>
          <w:trHeight w:val="300"/>
        </w:trPr>
        <w:tc>
          <w:tcPr>
            <w:tcW w:w="3851" w:type="dxa"/>
            <w:tcBorders>
              <w:top w:val="single" w:sz="4" w:space="0" w:color="auto"/>
              <w:left w:val="single" w:sz="6" w:space="0" w:color="auto"/>
              <w:bottom w:val="single" w:sz="6" w:space="0" w:color="auto"/>
              <w:right w:val="nil"/>
            </w:tcBorders>
            <w:shd w:val="clear" w:color="auto" w:fill="auto"/>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Europa-Kommissionen + EIB I ALT*</w:t>
            </w:r>
          </w:p>
        </w:tc>
        <w:tc>
          <w:tcPr>
            <w:tcW w:w="1440"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2 733</w:t>
            </w:r>
          </w:p>
        </w:tc>
        <w:tc>
          <w:tcPr>
            <w:tcW w:w="1520" w:type="dxa"/>
            <w:tcBorders>
              <w:top w:val="single" w:sz="4" w:space="0" w:color="auto"/>
              <w:left w:val="nil"/>
              <w:bottom w:val="single" w:sz="6" w:space="0" w:color="auto"/>
              <w:right w:val="nil"/>
            </w:tcBorders>
            <w:shd w:val="clear" w:color="000000" w:fill="D9D9D9"/>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2 733</w:t>
            </w:r>
          </w:p>
        </w:tc>
        <w:tc>
          <w:tcPr>
            <w:tcW w:w="1560" w:type="dxa"/>
            <w:tcBorders>
              <w:top w:val="single" w:sz="4" w:space="0" w:color="auto"/>
              <w:left w:val="single" w:sz="4" w:space="0" w:color="auto"/>
              <w:bottom w:val="single" w:sz="6" w:space="0" w:color="auto"/>
              <w:right w:val="single" w:sz="4" w:space="0" w:color="auto"/>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2 008</w:t>
            </w:r>
          </w:p>
        </w:tc>
        <w:tc>
          <w:tcPr>
            <w:tcW w:w="1560" w:type="dxa"/>
            <w:tcBorders>
              <w:top w:val="single" w:sz="4" w:space="0" w:color="auto"/>
              <w:left w:val="nil"/>
              <w:bottom w:val="single" w:sz="6" w:space="0" w:color="auto"/>
              <w:right w:val="single" w:sz="4" w:space="0" w:color="auto"/>
            </w:tcBorders>
            <w:shd w:val="clear" w:color="000000" w:fill="D9D9D9"/>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2 008</w:t>
            </w:r>
          </w:p>
        </w:tc>
        <w:tc>
          <w:tcPr>
            <w:tcW w:w="1400" w:type="dxa"/>
            <w:tcBorders>
              <w:top w:val="single" w:sz="4" w:space="0" w:color="auto"/>
              <w:left w:val="nil"/>
              <w:bottom w:val="single" w:sz="6" w:space="0" w:color="auto"/>
              <w:right w:val="nil"/>
            </w:tcBorders>
            <w:shd w:val="clear" w:color="auto" w:fill="auto"/>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w:t>
            </w:r>
          </w:p>
        </w:tc>
        <w:tc>
          <w:tcPr>
            <w:tcW w:w="1560" w:type="dxa"/>
            <w:tcBorders>
              <w:top w:val="single" w:sz="4" w:space="0" w:color="auto"/>
              <w:left w:val="single" w:sz="4" w:space="0" w:color="auto"/>
              <w:bottom w:val="single" w:sz="6" w:space="0" w:color="auto"/>
              <w:right w:val="single" w:sz="6" w:space="0" w:color="auto"/>
            </w:tcBorders>
            <w:shd w:val="clear" w:color="000000" w:fill="D9D9D9"/>
            <w:noWrap/>
            <w:vAlign w:val="center"/>
            <w:hideMark/>
          </w:tcPr>
          <w:p w:rsidR="00702690" w:rsidRPr="00702690" w:rsidRDefault="00702690" w:rsidP="00702690">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1 451</w:t>
            </w:r>
          </w:p>
        </w:tc>
      </w:tr>
    </w:tbl>
    <w:p w:rsidR="006E1DA9" w:rsidRPr="00D17C76" w:rsidRDefault="005A1423" w:rsidP="005A1423">
      <w:pPr>
        <w:pStyle w:val="Text1"/>
        <w:ind w:left="426"/>
        <w:rPr>
          <w:noProof/>
          <w:color w:val="000000" w:themeColor="text1"/>
          <w:sz w:val="14"/>
          <w:szCs w:val="14"/>
        </w:rPr>
      </w:pPr>
      <w:r>
        <w:rPr>
          <w:noProof/>
          <w:color w:val="000000" w:themeColor="text1"/>
          <w:sz w:val="14"/>
        </w:rPr>
        <w:t>*På grund af afrundingerne kan summen af de enkelte afrundede beløb afvige en smule fra de tilsvarende samlede beløb.</w:t>
      </w:r>
    </w:p>
    <w:p w:rsidR="006E1DA9" w:rsidRPr="00D17C76" w:rsidRDefault="005A1423" w:rsidP="005A1423">
      <w:pPr>
        <w:pStyle w:val="Text1"/>
        <w:ind w:left="284"/>
        <w:rPr>
          <w:noProof/>
          <w:color w:val="000000" w:themeColor="text1"/>
          <w:sz w:val="16"/>
          <w:szCs w:val="16"/>
        </w:rPr>
      </w:pPr>
      <w:r>
        <w:rPr>
          <w:noProof/>
          <w:color w:val="000000" w:themeColor="text1"/>
          <w:sz w:val="14"/>
        </w:rPr>
        <w:t>** Herunder tilskud til teknisk bistand og rentegodtgørelser fra den nuværende EUF og IRS-udbetaling under tidligere EUF'er.</w:t>
      </w:r>
    </w:p>
    <w:tbl>
      <w:tblPr>
        <w:tblW w:w="12756" w:type="dxa"/>
        <w:tblInd w:w="108" w:type="dxa"/>
        <w:tblLook w:val="04A0" w:firstRow="1" w:lastRow="0" w:firstColumn="1" w:lastColumn="0" w:noHBand="0" w:noVBand="1"/>
      </w:tblPr>
      <w:tblGrid>
        <w:gridCol w:w="3716"/>
        <w:gridCol w:w="1440"/>
        <w:gridCol w:w="1520"/>
        <w:gridCol w:w="1560"/>
        <w:gridCol w:w="1560"/>
        <w:gridCol w:w="1400"/>
        <w:gridCol w:w="1560"/>
      </w:tblGrid>
      <w:tr w:rsidR="00216B83" w:rsidRPr="00216B83" w:rsidTr="00216B83">
        <w:trPr>
          <w:trHeight w:val="270"/>
        </w:trPr>
        <w:tc>
          <w:tcPr>
            <w:tcW w:w="3716" w:type="dxa"/>
            <w:tcBorders>
              <w:top w:val="nil"/>
              <w:left w:val="nil"/>
              <w:bottom w:val="nil"/>
              <w:right w:val="nil"/>
            </w:tcBorders>
            <w:shd w:val="clear" w:color="auto" w:fill="auto"/>
            <w:noWrap/>
            <w:vAlign w:val="bottom"/>
            <w:hideMark/>
          </w:tcPr>
          <w:p w:rsidR="00216B83" w:rsidRPr="00216B83" w:rsidRDefault="00216B83" w:rsidP="00216B83">
            <w:pPr>
              <w:spacing w:after="0" w:line="240" w:lineRule="auto"/>
              <w:rPr>
                <w:rFonts w:ascii="Times New Roman" w:eastAsia="Times New Roman" w:hAnsi="Times New Roman" w:cs="Times New Roman"/>
                <w:noProof/>
                <w:sz w:val="24"/>
                <w:szCs w:val="24"/>
                <w:lang w:eastAsia="en-GB"/>
              </w:rPr>
            </w:pPr>
          </w:p>
        </w:tc>
        <w:tc>
          <w:tcPr>
            <w:tcW w:w="296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2022</w:t>
            </w:r>
          </w:p>
        </w:tc>
        <w:tc>
          <w:tcPr>
            <w:tcW w:w="3120" w:type="dxa"/>
            <w:gridSpan w:val="2"/>
            <w:tcBorders>
              <w:top w:val="single" w:sz="8" w:space="0" w:color="auto"/>
              <w:left w:val="nil"/>
              <w:bottom w:val="nil"/>
              <w:right w:val="single" w:sz="8" w:space="0" w:color="000000"/>
            </w:tcBorders>
            <w:shd w:val="clear" w:color="auto" w:fill="auto"/>
            <w:noWrap/>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2023</w:t>
            </w:r>
          </w:p>
        </w:tc>
        <w:tc>
          <w:tcPr>
            <w:tcW w:w="2960" w:type="dxa"/>
            <w:gridSpan w:val="2"/>
            <w:tcBorders>
              <w:top w:val="single" w:sz="8" w:space="0" w:color="auto"/>
              <w:left w:val="nil"/>
              <w:bottom w:val="nil"/>
              <w:right w:val="single" w:sz="8" w:space="0" w:color="000000"/>
            </w:tcBorders>
            <w:shd w:val="clear" w:color="auto" w:fill="auto"/>
            <w:noWrap/>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r>
      <w:tr w:rsidR="00216B83" w:rsidRPr="00216B83" w:rsidTr="00216B83">
        <w:trPr>
          <w:trHeight w:val="530"/>
        </w:trPr>
        <w:tc>
          <w:tcPr>
            <w:tcW w:w="3716" w:type="dxa"/>
            <w:tcBorders>
              <w:top w:val="nil"/>
              <w:left w:val="nil"/>
              <w:bottom w:val="nil"/>
              <w:right w:val="nil"/>
            </w:tcBorders>
            <w:shd w:val="clear" w:color="auto" w:fill="auto"/>
            <w:noWrap/>
            <w:hideMark/>
          </w:tcPr>
          <w:p w:rsidR="00216B83" w:rsidRPr="00216B83" w:rsidRDefault="00216B83" w:rsidP="00216B83">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2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560"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6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c>
          <w:tcPr>
            <w:tcW w:w="1400"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juni 2022</w:t>
            </w:r>
          </w:p>
        </w:tc>
        <w:tc>
          <w:tcPr>
            <w:tcW w:w="156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16B83" w:rsidRPr="00216B83" w:rsidRDefault="00216B83" w:rsidP="00216B83">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oktober 2022</w:t>
            </w:r>
          </w:p>
        </w:tc>
      </w:tr>
      <w:tr w:rsidR="00216B83" w:rsidRPr="00216B83" w:rsidTr="00216B83">
        <w:trPr>
          <w:trHeight w:val="270"/>
        </w:trPr>
        <w:tc>
          <w:tcPr>
            <w:tcW w:w="3716" w:type="dxa"/>
            <w:tcBorders>
              <w:top w:val="single" w:sz="4" w:space="0" w:color="auto"/>
              <w:left w:val="single" w:sz="4" w:space="0" w:color="auto"/>
              <w:bottom w:val="single" w:sz="4" w:space="0" w:color="auto"/>
              <w:right w:val="nil"/>
            </w:tcBorders>
            <w:shd w:val="clear" w:color="auto" w:fill="auto"/>
            <w:noWrap/>
            <w:vAlign w:val="bottom"/>
            <w:hideMark/>
          </w:tcPr>
          <w:p w:rsidR="00216B83" w:rsidRPr="00216B83" w:rsidRDefault="00216B83" w:rsidP="00216B83">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Investeringsfaciliteten som en revolverende fond***</w:t>
            </w:r>
          </w:p>
        </w:tc>
        <w:tc>
          <w:tcPr>
            <w:tcW w:w="1440" w:type="dxa"/>
            <w:tcBorders>
              <w:top w:val="nil"/>
              <w:left w:val="single" w:sz="8" w:space="0" w:color="auto"/>
              <w:bottom w:val="single" w:sz="8" w:space="0" w:color="auto"/>
              <w:right w:val="single" w:sz="8" w:space="0" w:color="auto"/>
            </w:tcBorders>
            <w:shd w:val="clear" w:color="000000" w:fill="FFFFFF"/>
            <w:vAlign w:val="center"/>
            <w:hideMark/>
          </w:tcPr>
          <w:p w:rsidR="00216B83" w:rsidRPr="00216B83" w:rsidRDefault="00216B83" w:rsidP="00216B83">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754</w:t>
            </w:r>
          </w:p>
        </w:tc>
        <w:tc>
          <w:tcPr>
            <w:tcW w:w="1520" w:type="dxa"/>
            <w:tcBorders>
              <w:top w:val="nil"/>
              <w:left w:val="single" w:sz="4" w:space="0" w:color="auto"/>
              <w:bottom w:val="single" w:sz="8" w:space="0" w:color="auto"/>
              <w:right w:val="single" w:sz="8" w:space="0" w:color="auto"/>
            </w:tcBorders>
            <w:shd w:val="clear" w:color="000000" w:fill="D9D9D9"/>
            <w:vAlign w:val="center"/>
            <w:hideMark/>
          </w:tcPr>
          <w:p w:rsidR="00216B83" w:rsidRPr="00216B83" w:rsidRDefault="00702690" w:rsidP="00216B83">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754 </w:t>
            </w:r>
          </w:p>
        </w:tc>
        <w:tc>
          <w:tcPr>
            <w:tcW w:w="1560" w:type="dxa"/>
            <w:tcBorders>
              <w:top w:val="nil"/>
              <w:left w:val="single" w:sz="4" w:space="0" w:color="auto"/>
              <w:bottom w:val="single" w:sz="8" w:space="0" w:color="auto"/>
              <w:right w:val="single" w:sz="8" w:space="0" w:color="auto"/>
            </w:tcBorders>
            <w:shd w:val="clear" w:color="000000" w:fill="FFFFFF"/>
            <w:noWrap/>
            <w:vAlign w:val="bottom"/>
            <w:hideMark/>
          </w:tcPr>
          <w:p w:rsidR="00216B83" w:rsidRPr="00216B83" w:rsidRDefault="00216B83" w:rsidP="00216B83">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650</w:t>
            </w:r>
          </w:p>
        </w:tc>
        <w:tc>
          <w:tcPr>
            <w:tcW w:w="1560" w:type="dxa"/>
            <w:tcBorders>
              <w:top w:val="nil"/>
              <w:left w:val="single" w:sz="4" w:space="0" w:color="auto"/>
              <w:bottom w:val="single" w:sz="8" w:space="0" w:color="auto"/>
              <w:right w:val="single" w:sz="8" w:space="0" w:color="auto"/>
            </w:tcBorders>
            <w:shd w:val="clear" w:color="000000" w:fill="D9D9D9"/>
            <w:noWrap/>
            <w:vAlign w:val="bottom"/>
            <w:hideMark/>
          </w:tcPr>
          <w:p w:rsidR="00216B83" w:rsidRPr="00216B83" w:rsidRDefault="00216B83" w:rsidP="00216B83">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650</w:t>
            </w:r>
          </w:p>
        </w:tc>
        <w:tc>
          <w:tcPr>
            <w:tcW w:w="1400" w:type="dxa"/>
            <w:tcBorders>
              <w:top w:val="nil"/>
              <w:left w:val="single" w:sz="4" w:space="0" w:color="auto"/>
              <w:bottom w:val="single" w:sz="8" w:space="0" w:color="auto"/>
              <w:right w:val="single" w:sz="8" w:space="0" w:color="auto"/>
            </w:tcBorders>
            <w:shd w:val="clear" w:color="000000" w:fill="FFFFFF"/>
            <w:noWrap/>
            <w:vAlign w:val="bottom"/>
            <w:hideMark/>
          </w:tcPr>
          <w:p w:rsidR="00216B83" w:rsidRPr="00216B83" w:rsidRDefault="00216B83" w:rsidP="00216B83">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w:t>
            </w:r>
          </w:p>
        </w:tc>
        <w:tc>
          <w:tcPr>
            <w:tcW w:w="1560" w:type="dxa"/>
            <w:tcBorders>
              <w:top w:val="nil"/>
              <w:left w:val="single" w:sz="4" w:space="0" w:color="auto"/>
              <w:bottom w:val="single" w:sz="8" w:space="0" w:color="auto"/>
              <w:right w:val="single" w:sz="8" w:space="0" w:color="auto"/>
            </w:tcBorders>
            <w:shd w:val="clear" w:color="000000" w:fill="D9D9D9"/>
            <w:noWrap/>
            <w:vAlign w:val="bottom"/>
            <w:hideMark/>
          </w:tcPr>
          <w:p w:rsidR="00216B83" w:rsidRPr="00216B83" w:rsidRDefault="00702690" w:rsidP="00216B83">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416 </w:t>
            </w:r>
          </w:p>
        </w:tc>
      </w:tr>
    </w:tbl>
    <w:p w:rsidR="009041D8" w:rsidRPr="009041D8" w:rsidRDefault="009041D8" w:rsidP="009041D8">
      <w:pPr>
        <w:pStyle w:val="Text1"/>
        <w:rPr>
          <w:noProof/>
          <w:sz w:val="14"/>
          <w:szCs w:val="14"/>
        </w:rPr>
      </w:pPr>
    </w:p>
    <w:p w:rsidR="009041D8" w:rsidRPr="009041D8" w:rsidRDefault="009041D8" w:rsidP="009041D8">
      <w:pPr>
        <w:rPr>
          <w:noProof/>
        </w:rPr>
        <w:sectPr w:rsidR="009041D8" w:rsidRPr="009041D8" w:rsidSect="00153072">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40" w:right="1440" w:bottom="1276" w:left="1276" w:header="709" w:footer="709" w:gutter="0"/>
          <w:cols w:space="720"/>
          <w:docGrid w:linePitch="360"/>
        </w:sectPr>
      </w:pPr>
    </w:p>
    <w:p w:rsidR="00062F97" w:rsidRDefault="00062F97" w:rsidP="00062F97">
      <w:pPr>
        <w:pStyle w:val="Heading2"/>
        <w:ind w:right="-32"/>
        <w:rPr>
          <w:noProof/>
        </w:rPr>
      </w:pPr>
      <w:r>
        <w:rPr>
          <w:noProof/>
        </w:rPr>
        <w:t>Bilag 3: Finansielle overslag for perioden 2022-2024 og ikkebindende skøn for perioden 2025-2026 (mio. EUR)</w:t>
      </w:r>
    </w:p>
    <w:tbl>
      <w:tblPr>
        <w:tblW w:w="10774" w:type="dxa"/>
        <w:tblInd w:w="-885" w:type="dxa"/>
        <w:tblLook w:val="04A0" w:firstRow="1" w:lastRow="0" w:firstColumn="1" w:lastColumn="0" w:noHBand="0" w:noVBand="1"/>
      </w:tblPr>
      <w:tblGrid>
        <w:gridCol w:w="284"/>
        <w:gridCol w:w="576"/>
        <w:gridCol w:w="3819"/>
        <w:gridCol w:w="1357"/>
        <w:gridCol w:w="817"/>
        <w:gridCol w:w="992"/>
        <w:gridCol w:w="1357"/>
        <w:gridCol w:w="817"/>
        <w:gridCol w:w="1134"/>
      </w:tblGrid>
      <w:tr w:rsidR="001B3C1A" w:rsidRPr="001B3C1A" w:rsidTr="003367B8">
        <w:trPr>
          <w:trHeight w:val="1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4"/>
                <w:szCs w:val="24"/>
                <w:lang w:eastAsia="en-GB"/>
              </w:rPr>
            </w:pPr>
          </w:p>
        </w:tc>
        <w:tc>
          <w:tcPr>
            <w:tcW w:w="576"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6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81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992"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6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right"/>
              <w:rPr>
                <w:rFonts w:ascii="Times New Roman" w:eastAsia="Times New Roman" w:hAnsi="Times New Roman" w:cs="Times New Roman"/>
                <w:noProof/>
                <w:sz w:val="20"/>
                <w:szCs w:val="20"/>
                <w:lang w:eastAsia="en-GB"/>
              </w:rPr>
            </w:pPr>
          </w:p>
        </w:tc>
        <w:tc>
          <w:tcPr>
            <w:tcW w:w="817"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3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r>
      <w:tr w:rsidR="001B3C1A" w:rsidRPr="001B3C1A" w:rsidTr="003367B8">
        <w:trPr>
          <w:trHeight w:val="253"/>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right"/>
              <w:rPr>
                <w:rFonts w:ascii="Times New Roman" w:eastAsia="Times New Roman" w:hAnsi="Times New Roman" w:cs="Times New Roman"/>
                <w:noProof/>
                <w:sz w:val="20"/>
                <w:szCs w:val="20"/>
                <w:lang w:eastAsia="en-GB"/>
              </w:rPr>
            </w:pPr>
          </w:p>
        </w:tc>
        <w:tc>
          <w:tcPr>
            <w:tcW w:w="576"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2977"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Meddelelse fra juni 2022 </w:t>
            </w:r>
            <w:r>
              <w:rPr>
                <w:rFonts w:ascii="Times New Roman" w:hAnsi="Times New Roman"/>
                <w:b/>
                <w:noProof/>
                <w:sz w:val="18"/>
                <w:vertAlign w:val="superscript"/>
              </w:rPr>
              <w:t>1</w:t>
            </w:r>
          </w:p>
        </w:tc>
        <w:tc>
          <w:tcPr>
            <w:tcW w:w="3118" w:type="dxa"/>
            <w:gridSpan w:val="3"/>
            <w:tcBorders>
              <w:top w:val="single" w:sz="8" w:space="0" w:color="auto"/>
              <w:left w:val="nil"/>
              <w:bottom w:val="single" w:sz="4" w:space="0" w:color="auto"/>
              <w:right w:val="single" w:sz="8" w:space="0" w:color="000000"/>
            </w:tcBorders>
            <w:shd w:val="clear" w:color="auto" w:fill="auto"/>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 xml:space="preserve">Meddelelse fra oktober 2022 </w:t>
            </w:r>
            <w:r>
              <w:rPr>
                <w:rFonts w:ascii="Times New Roman" w:hAnsi="Times New Roman"/>
                <w:b/>
                <w:noProof/>
                <w:color w:val="000000"/>
                <w:sz w:val="18"/>
                <w:vertAlign w:val="superscript"/>
              </w:rPr>
              <w:t>1</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lang w:eastAsia="en-GB"/>
              </w:rPr>
            </w:pPr>
          </w:p>
        </w:tc>
        <w:tc>
          <w:tcPr>
            <w:tcW w:w="576"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3819" w:type="dxa"/>
            <w:tcBorders>
              <w:top w:val="nil"/>
              <w:left w:val="nil"/>
              <w:bottom w:val="nil"/>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noProof/>
                <w:sz w:val="20"/>
                <w:szCs w:val="20"/>
                <w:lang w:eastAsia="en-GB"/>
              </w:rPr>
            </w:pP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Kommissionen</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EIB</w:t>
            </w:r>
            <w:r>
              <w:rPr>
                <w:rFonts w:ascii="Times New Roman" w:hAnsi="Times New Roman"/>
                <w:b/>
                <w:noProof/>
                <w:sz w:val="18"/>
                <w:vertAlign w:val="superscript"/>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I ALT</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Kommissionen</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EIB</w:t>
            </w:r>
            <w:r>
              <w:rPr>
                <w:rFonts w:ascii="Times New Roman" w:hAnsi="Times New Roman"/>
                <w:b/>
                <w:noProof/>
                <w:color w:val="000000"/>
                <w:sz w:val="18"/>
                <w:vertAlign w:val="superscript"/>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rPr>
            </w:pPr>
            <w:r>
              <w:rPr>
                <w:rFonts w:ascii="Times New Roman" w:hAnsi="Times New Roman"/>
                <w:b/>
                <w:noProof/>
                <w:color w:val="000000"/>
                <w:sz w:val="18"/>
              </w:rPr>
              <w:t>I ALT</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color w:val="000000"/>
                <w:sz w:val="18"/>
                <w:szCs w:val="18"/>
                <w:lang w:eastAsia="en-GB"/>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3819" w:type="dxa"/>
            <w:tcBorders>
              <w:top w:val="single" w:sz="4" w:space="0" w:color="auto"/>
              <w:left w:val="nil"/>
              <w:bottom w:val="single" w:sz="4" w:space="0" w:color="auto"/>
              <w:right w:val="nil"/>
            </w:tcBorders>
            <w:shd w:val="clear" w:color="000000" w:fill="FFFFFF"/>
            <w:noWrap/>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rPr>
            </w:pPr>
            <w:r>
              <w:rPr>
                <w:rFonts w:ascii="Times New Roman" w:hAnsi="Times New Roman"/>
                <w:b/>
                <w:noProof/>
                <w:sz w:val="18"/>
              </w:rPr>
              <w:t>Saldo pr. 31.12.2021</w:t>
            </w:r>
            <w:r>
              <w:rPr>
                <w:rFonts w:ascii="Times New Roman" w:hAnsi="Times New Roman"/>
                <w:noProof/>
                <w:sz w:val="18"/>
                <w:vertAlign w:val="superscript"/>
              </w:rPr>
              <w:t>4</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994</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472</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1 467</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994</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472</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1 467</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2022</w:t>
            </w: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2 800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2 800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1 100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1 200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1 100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1 200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700</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Tilbageførte beløb </w:t>
            </w:r>
            <w:r>
              <w:rPr>
                <w:rFonts w:ascii="Times New Roman" w:hAnsi="Times New Roman"/>
                <w:noProof/>
                <w:sz w:val="18"/>
                <w:vertAlign w:val="superscript"/>
              </w:rPr>
              <w:t>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348</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Bidrag og tilpasninger i 2022, modtaget i 2021</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156</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Inddrevne beløb, renter og tilpasning</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9. EUF</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Betalinger i alt </w:t>
            </w:r>
            <w:r>
              <w:rPr>
                <w:rFonts w:ascii="Times New Roman" w:hAnsi="Times New Roman"/>
                <w:noProof/>
                <w:sz w:val="18"/>
                <w:vertAlign w:val="superscript"/>
              </w:rPr>
              <w:t>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987</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3 487</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987</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3 487</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single" w:sz="4" w:space="0" w:color="auto"/>
              <w:left w:val="nil"/>
              <w:bottom w:val="single" w:sz="4" w:space="0" w:color="auto"/>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b/>
                <w:noProof/>
                <w:sz w:val="18"/>
                <w:szCs w:val="18"/>
              </w:rPr>
            </w:pPr>
            <w:r>
              <w:rPr>
                <w:rFonts w:ascii="Times New Roman" w:hAnsi="Times New Roman"/>
                <w:b/>
                <w:noProof/>
                <w:sz w:val="18"/>
              </w:rPr>
              <w:t>Saldo pr. 31.12.2022</w:t>
            </w:r>
            <w:r>
              <w:rPr>
                <w:rFonts w:ascii="Times New Roman" w:hAnsi="Times New Roman"/>
                <w:b/>
                <w:noProof/>
                <w:sz w:val="18"/>
                <w:vertAlign w:val="superscript"/>
              </w:rPr>
              <w:t>4</w:t>
            </w:r>
          </w:p>
        </w:tc>
        <w:tc>
          <w:tcPr>
            <w:tcW w:w="11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835</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133</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969</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835</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133</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969</w:t>
            </w:r>
          </w:p>
        </w:tc>
      </w:tr>
      <w:tr w:rsidR="001B3C1A" w:rsidRPr="001B3C1A" w:rsidTr="003367B8">
        <w:trPr>
          <w:trHeight w:val="263"/>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2023</w:t>
            </w: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2 100</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1 800</w:t>
            </w:r>
          </w:p>
        </w:tc>
        <w:tc>
          <w:tcPr>
            <w:tcW w:w="81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2 100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750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850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650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750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 xml:space="preserve">Tilbageførte beløb </w:t>
            </w:r>
            <w:r>
              <w:rPr>
                <w:rFonts w:ascii="Times New Roman" w:hAnsi="Times New Roman"/>
                <w:noProof/>
                <w:color w:val="000000"/>
                <w:sz w:val="18"/>
                <w:vertAlign w:val="superscript"/>
              </w:rPr>
              <w:t>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384</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Bidrag og tilpasninger i 2023, modtaget i 2022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Inddrevne beløb, renter og tilpasning</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9. EUF</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-42,5</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-42,5   </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 xml:space="preserve">Betalinger i alt </w:t>
            </w:r>
            <w:r>
              <w:rPr>
                <w:rFonts w:ascii="Times New Roman" w:hAnsi="Times New Roman"/>
                <w:noProof/>
                <w:color w:val="000000"/>
                <w:sz w:val="18"/>
                <w:vertAlign w:val="superscript"/>
              </w:rPr>
              <w:t>3</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858</w:t>
            </w:r>
          </w:p>
        </w:tc>
        <w:tc>
          <w:tcPr>
            <w:tcW w:w="992"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2 658</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1 800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858</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2 658</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single" w:sz="4" w:space="0" w:color="auto"/>
              <w:left w:val="nil"/>
              <w:bottom w:val="single" w:sz="4" w:space="0" w:color="auto"/>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b/>
                <w:noProof/>
                <w:color w:val="000000"/>
                <w:sz w:val="18"/>
                <w:szCs w:val="18"/>
              </w:rPr>
            </w:pPr>
            <w:r>
              <w:rPr>
                <w:rFonts w:ascii="Times New Roman" w:hAnsi="Times New Roman"/>
                <w:b/>
                <w:noProof/>
                <w:color w:val="000000"/>
                <w:sz w:val="18"/>
              </w:rPr>
              <w:t>Saldo pr. 31.12.2023</w:t>
            </w:r>
            <w:r>
              <w:rPr>
                <w:rFonts w:ascii="Times New Roman" w:hAnsi="Times New Roman"/>
                <w:b/>
                <w:noProof/>
                <w:color w:val="000000"/>
                <w:sz w:val="18"/>
                <w:vertAlign w:val="superscript"/>
              </w:rPr>
              <w:t>4</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835</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41</w:t>
            </w:r>
            <w:r>
              <w:rPr>
                <w:rFonts w:ascii="Times New Roman" w:hAnsi="Times New Roman"/>
                <w:noProof/>
                <w:color w:val="000000"/>
                <w:sz w:val="18"/>
                <w:vertAlign w:val="superscript"/>
              </w:rPr>
              <w:t>6</w:t>
            </w:r>
          </w:p>
        </w:tc>
        <w:tc>
          <w:tcPr>
            <w:tcW w:w="992" w:type="dxa"/>
            <w:tcBorders>
              <w:top w:val="nil"/>
              <w:left w:val="nil"/>
              <w:bottom w:val="single" w:sz="4" w:space="0" w:color="auto"/>
              <w:right w:val="single" w:sz="8"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795</w:t>
            </w:r>
          </w:p>
        </w:tc>
        <w:tc>
          <w:tcPr>
            <w:tcW w:w="1167" w:type="dxa"/>
            <w:tcBorders>
              <w:top w:val="nil"/>
              <w:left w:val="single" w:sz="4" w:space="0" w:color="auto"/>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rPr>
              <w:t xml:space="preserve">   823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41</w:t>
            </w:r>
            <w:r>
              <w:rPr>
                <w:rFonts w:ascii="Times New Roman" w:hAnsi="Times New Roman"/>
                <w:noProof/>
                <w:color w:val="000000"/>
                <w:sz w:val="18"/>
                <w:vertAlign w:val="superscript"/>
              </w:rPr>
              <w:t>6</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782</w:t>
            </w:r>
          </w:p>
        </w:tc>
      </w:tr>
      <w:tr w:rsidR="001B3C1A" w:rsidRPr="001B3C1A" w:rsidTr="003367B8">
        <w:trPr>
          <w:trHeight w:val="263"/>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2024</w:t>
            </w: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2024:</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1 500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1 800</w:t>
            </w:r>
          </w:p>
        </w:tc>
        <w:tc>
          <w:tcPr>
            <w:tcW w:w="1167" w:type="dxa"/>
            <w:tcBorders>
              <w:top w:val="single" w:sz="4" w:space="0" w:color="auto"/>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1 300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1 600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700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 tranche</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Tilbageførte beløb </w:t>
            </w:r>
            <w:r>
              <w:rPr>
                <w:rFonts w:ascii="Times New Roman" w:hAnsi="Times New Roman"/>
                <w:noProof/>
                <w:sz w:val="18"/>
                <w:vertAlign w:val="superscript"/>
              </w:rPr>
              <w:t>2</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381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381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Bidrag og tilpasninger i 2024, modtaget i 2023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Inddrevne beløb, renter og tilpasning</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5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FF45A6">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9. EUF</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nil"/>
              <w:left w:val="nil"/>
              <w:bottom w:val="nil"/>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noProof/>
                <w:sz w:val="18"/>
                <w:szCs w:val="18"/>
              </w:rPr>
            </w:pPr>
            <w:r>
              <w:rPr>
                <w:rFonts w:ascii="Times New Roman" w:hAnsi="Times New Roman"/>
                <w:noProof/>
                <w:sz w:val="18"/>
              </w:rPr>
              <w:t xml:space="preserve">Betalinger i alt </w:t>
            </w:r>
            <w:r>
              <w:rPr>
                <w:rFonts w:ascii="Times New Roman" w:hAnsi="Times New Roman"/>
                <w:noProof/>
                <w:sz w:val="18"/>
                <w:vertAlign w:val="superscript"/>
              </w:rPr>
              <w:t>3</w:t>
            </w:r>
          </w:p>
        </w:tc>
        <w:tc>
          <w:tcPr>
            <w:tcW w:w="1167" w:type="dxa"/>
            <w:tcBorders>
              <w:top w:val="nil"/>
              <w:left w:val="single" w:sz="8" w:space="0" w:color="auto"/>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81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992" w:type="dxa"/>
            <w:tcBorders>
              <w:top w:val="nil"/>
              <w:left w:val="nil"/>
              <w:bottom w:val="nil"/>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w:t>
            </w:r>
          </w:p>
        </w:tc>
        <w:tc>
          <w:tcPr>
            <w:tcW w:w="1167" w:type="dxa"/>
            <w:tcBorders>
              <w:top w:val="nil"/>
              <w:left w:val="nil"/>
              <w:bottom w:val="nil"/>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1 300</w:t>
            </w:r>
          </w:p>
        </w:tc>
        <w:tc>
          <w:tcPr>
            <w:tcW w:w="817" w:type="dxa"/>
            <w:tcBorders>
              <w:top w:val="nil"/>
              <w:left w:val="nil"/>
              <w:bottom w:val="nil"/>
              <w:right w:val="single" w:sz="4"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-567 </w:t>
            </w:r>
          </w:p>
        </w:tc>
        <w:tc>
          <w:tcPr>
            <w:tcW w:w="1134" w:type="dxa"/>
            <w:tcBorders>
              <w:top w:val="nil"/>
              <w:left w:val="nil"/>
              <w:bottom w:val="nil"/>
              <w:right w:val="single" w:sz="8"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1 867</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noProof/>
                <w:sz w:val="18"/>
                <w:szCs w:val="18"/>
                <w:lang w:eastAsia="en-GB"/>
              </w:rPr>
            </w:pPr>
          </w:p>
        </w:tc>
        <w:tc>
          <w:tcPr>
            <w:tcW w:w="576" w:type="dxa"/>
            <w:vMerge/>
            <w:tcBorders>
              <w:top w:val="nil"/>
              <w:left w:val="single" w:sz="4" w:space="0" w:color="auto"/>
              <w:bottom w:val="single" w:sz="4" w:space="0" w:color="000000"/>
              <w:right w:val="single" w:sz="4" w:space="0" w:color="auto"/>
            </w:tcBorders>
            <w:vAlign w:val="center"/>
            <w:hideMark/>
          </w:tcPr>
          <w:p w:rsidR="001B3C1A" w:rsidRPr="001B3C1A" w:rsidRDefault="001B3C1A" w:rsidP="001B3C1A">
            <w:pPr>
              <w:spacing w:after="0" w:line="240" w:lineRule="auto"/>
              <w:rPr>
                <w:rFonts w:ascii="Times New Roman" w:eastAsia="Times New Roman" w:hAnsi="Times New Roman" w:cs="Times New Roman"/>
                <w:b/>
                <w:bCs/>
                <w:noProof/>
                <w:sz w:val="18"/>
                <w:szCs w:val="18"/>
                <w:lang w:eastAsia="en-GB"/>
              </w:rPr>
            </w:pPr>
          </w:p>
        </w:tc>
        <w:tc>
          <w:tcPr>
            <w:tcW w:w="3819" w:type="dxa"/>
            <w:tcBorders>
              <w:top w:val="single" w:sz="4" w:space="0" w:color="auto"/>
              <w:left w:val="nil"/>
              <w:bottom w:val="single" w:sz="4" w:space="0" w:color="auto"/>
              <w:right w:val="nil"/>
            </w:tcBorders>
            <w:shd w:val="clear" w:color="auto" w:fill="auto"/>
            <w:noWrap/>
            <w:vAlign w:val="center"/>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pr. 31.12.2024</w:t>
            </w:r>
            <w:r>
              <w:rPr>
                <w:rFonts w:ascii="Times New Roman" w:hAnsi="Times New Roman"/>
                <w:b/>
                <w:noProof/>
                <w:color w:val="000000"/>
                <w:sz w:val="18"/>
                <w:vertAlign w:val="superscript"/>
              </w:rPr>
              <w:t>4</w:t>
            </w:r>
          </w:p>
        </w:tc>
        <w:tc>
          <w:tcPr>
            <w:tcW w:w="11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823</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B3C1A" w:rsidRPr="001B3C1A" w:rsidRDefault="004C75BC"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73</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1B3C1A" w:rsidRPr="001B3C1A" w:rsidRDefault="001B3C1A" w:rsidP="004C75BC">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896</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2025</w:t>
            </w:r>
          </w:p>
        </w:tc>
        <w:tc>
          <w:tcPr>
            <w:tcW w:w="3819" w:type="dxa"/>
            <w:tcBorders>
              <w:top w:val="nil"/>
              <w:left w:val="nil"/>
              <w:bottom w:val="single" w:sz="4" w:space="0" w:color="auto"/>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UK's bidrag for 2025</w:t>
            </w:r>
            <w:r>
              <w:rPr>
                <w:rFonts w:ascii="Times New Roman" w:hAnsi="Times New Roman"/>
                <w:b/>
                <w:noProof/>
                <w:color w:val="000000"/>
                <w:sz w:val="18"/>
                <w:vertAlign w:val="superscript"/>
              </w:rPr>
              <w:t>5</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900</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992"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909</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900</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909</w:t>
            </w:r>
          </w:p>
        </w:tc>
      </w:tr>
      <w:tr w:rsidR="001B3C1A" w:rsidRPr="001B3C1A" w:rsidTr="003367B8">
        <w:trPr>
          <w:trHeight w:val="280"/>
        </w:trPr>
        <w:tc>
          <w:tcPr>
            <w:tcW w:w="284" w:type="dxa"/>
            <w:tcBorders>
              <w:top w:val="nil"/>
              <w:left w:val="nil"/>
              <w:bottom w:val="nil"/>
              <w:right w:val="nil"/>
            </w:tcBorders>
            <w:shd w:val="clear" w:color="auto" w:fill="auto"/>
            <w:noWrap/>
            <w:vAlign w:val="bottom"/>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lang w:eastAsia="en-GB"/>
              </w:rPr>
            </w:pP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2026</w:t>
            </w:r>
          </w:p>
        </w:tc>
        <w:tc>
          <w:tcPr>
            <w:tcW w:w="3819" w:type="dxa"/>
            <w:tcBorders>
              <w:top w:val="nil"/>
              <w:left w:val="nil"/>
              <w:bottom w:val="single" w:sz="4" w:space="0" w:color="auto"/>
              <w:right w:val="nil"/>
            </w:tcBorders>
            <w:shd w:val="clear" w:color="auto" w:fill="auto"/>
            <w:vAlign w:val="bottom"/>
            <w:hideMark/>
          </w:tcPr>
          <w:p w:rsidR="001B3C1A" w:rsidRPr="001B3C1A" w:rsidRDefault="001B3C1A" w:rsidP="001B3C1A">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UK's bidrag for 2026</w:t>
            </w:r>
            <w:r>
              <w:rPr>
                <w:rFonts w:ascii="Times New Roman" w:hAnsi="Times New Roman"/>
                <w:b/>
                <w:noProof/>
                <w:color w:val="000000"/>
                <w:sz w:val="18"/>
                <w:vertAlign w:val="superscript"/>
              </w:rPr>
              <w:t>5</w:t>
            </w: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w:t>
            </w:r>
          </w:p>
        </w:tc>
        <w:tc>
          <w:tcPr>
            <w:tcW w:w="116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600</w:t>
            </w:r>
          </w:p>
        </w:tc>
        <w:tc>
          <w:tcPr>
            <w:tcW w:w="817" w:type="dxa"/>
            <w:tcBorders>
              <w:top w:val="nil"/>
              <w:left w:val="nil"/>
              <w:bottom w:val="single" w:sz="4" w:space="0" w:color="auto"/>
              <w:right w:val="single" w:sz="4"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1134" w:type="dxa"/>
            <w:tcBorders>
              <w:top w:val="nil"/>
              <w:left w:val="nil"/>
              <w:bottom w:val="single" w:sz="4" w:space="0" w:color="auto"/>
              <w:right w:val="single" w:sz="8" w:space="0" w:color="auto"/>
            </w:tcBorders>
            <w:shd w:val="clear" w:color="auto" w:fill="auto"/>
            <w:noWrap/>
            <w:vAlign w:val="center"/>
            <w:hideMark/>
          </w:tcPr>
          <w:p w:rsidR="001B3C1A" w:rsidRPr="001B3C1A" w:rsidRDefault="001B3C1A" w:rsidP="001B3C1A">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600</w:t>
            </w:r>
          </w:p>
        </w:tc>
      </w:tr>
    </w:tbl>
    <w:p w:rsidR="006D1DA0" w:rsidRDefault="006D1DA0" w:rsidP="006D1DA0">
      <w:pPr>
        <w:pStyle w:val="Text1"/>
        <w:rPr>
          <w:noProof/>
        </w:rPr>
      </w:pPr>
    </w:p>
    <w:tbl>
      <w:tblPr>
        <w:tblW w:w="13354" w:type="dxa"/>
        <w:tblInd w:w="-601" w:type="dxa"/>
        <w:tblLook w:val="04A0" w:firstRow="1" w:lastRow="0" w:firstColumn="1" w:lastColumn="0" w:noHBand="0" w:noVBand="1"/>
      </w:tblPr>
      <w:tblGrid>
        <w:gridCol w:w="676"/>
        <w:gridCol w:w="11120"/>
        <w:gridCol w:w="222"/>
        <w:gridCol w:w="1336"/>
      </w:tblGrid>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1</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Operationelt disponible beløb.</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r w:rsidR="003B59D8" w:rsidRPr="003B59D8" w:rsidTr="003B59D8">
        <w:trPr>
          <w:trHeight w:val="369"/>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2</w:t>
            </w:r>
          </w:p>
        </w:tc>
        <w:tc>
          <w:tcPr>
            <w:tcW w:w="12678" w:type="dxa"/>
            <w:gridSpan w:val="3"/>
            <w:tcBorders>
              <w:top w:val="nil"/>
              <w:left w:val="nil"/>
              <w:bottom w:val="nil"/>
              <w:right w:val="nil"/>
            </w:tcBorders>
            <w:shd w:val="clear" w:color="auto" w:fill="auto"/>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Fratrukket afskrivninger, EIB-administrationsgebyrer og andre omkostninger såsom swaps/risikoafdækning; omfatter ikke UK's andel af tilbageførsler,</w:t>
            </w:r>
            <w:r>
              <w:rPr>
                <w:noProof/>
              </w:rPr>
              <w:t xml:space="preserve"> </w:t>
            </w:r>
            <w:r>
              <w:rPr>
                <w:rFonts w:ascii="Times New Roman" w:hAnsi="Times New Roman"/>
                <w:noProof/>
                <w:sz w:val="18"/>
              </w:rPr>
              <w:t>som i henhold til udtrædelsesaftalens artikel 153, ikke må genanvendes. For nærmere oplysninger henvises til Investeringsfacilitetens årsregnskaber.</w:t>
            </w: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3</w:t>
            </w:r>
          </w:p>
        </w:tc>
        <w:tc>
          <w:tcPr>
            <w:tcW w:w="11120" w:type="dxa"/>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Inklusive rentegodtgørelser under tidligere EUF'er.</w:t>
            </w:r>
          </w:p>
        </w:tc>
        <w:tc>
          <w:tcPr>
            <w:tcW w:w="222"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20"/>
                <w:szCs w:val="20"/>
                <w:lang w:eastAsia="en-GB"/>
              </w:rPr>
            </w:pP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4</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Disse saldi omfatter ikke: i) modtaget samfinansiering, ii) bogførte indtægter, der endnu ikke er tildelt en bestemt EUF-post.</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3B59D8"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5</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Artikel 19, stk. 2, litra d), i finansforordningen: ikkebindende overslag, på grundlag af en statistisk metode, over de forventede årlige bidrag</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r w:rsidR="003B59D8" w:rsidRPr="003B59D8" w:rsidTr="003B59D8">
        <w:trPr>
          <w:trHeight w:val="240"/>
        </w:trPr>
        <w:tc>
          <w:tcPr>
            <w:tcW w:w="676" w:type="dxa"/>
            <w:tcBorders>
              <w:top w:val="nil"/>
              <w:left w:val="nil"/>
              <w:bottom w:val="nil"/>
              <w:right w:val="nil"/>
            </w:tcBorders>
            <w:shd w:val="clear" w:color="auto" w:fill="auto"/>
            <w:noWrap/>
            <w:hideMark/>
          </w:tcPr>
          <w:p w:rsidR="003B59D8" w:rsidRPr="003B59D8" w:rsidRDefault="007B6ABE" w:rsidP="003B59D8">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vertAlign w:val="superscript"/>
              </w:rPr>
              <w:t>6</w:t>
            </w:r>
          </w:p>
        </w:tc>
        <w:tc>
          <w:tcPr>
            <w:tcW w:w="11342" w:type="dxa"/>
            <w:gridSpan w:val="2"/>
            <w:tcBorders>
              <w:top w:val="nil"/>
              <w:left w:val="nil"/>
              <w:bottom w:val="nil"/>
              <w:right w:val="nil"/>
            </w:tcBorders>
            <w:shd w:val="clear" w:color="auto" w:fill="auto"/>
            <w:noWrap/>
            <w:vAlign w:val="center"/>
            <w:hideMark/>
          </w:tcPr>
          <w:p w:rsidR="003B59D8" w:rsidRPr="003B59D8" w:rsidRDefault="003B59D8" w:rsidP="003B59D8">
            <w:pPr>
              <w:spacing w:after="0" w:line="240" w:lineRule="auto"/>
              <w:rPr>
                <w:rFonts w:ascii="Times New Roman" w:eastAsia="Times New Roman" w:hAnsi="Times New Roman" w:cs="Times New Roman"/>
                <w:noProof/>
                <w:sz w:val="18"/>
                <w:szCs w:val="18"/>
              </w:rPr>
            </w:pPr>
            <w:r>
              <w:rPr>
                <w:rFonts w:ascii="Times New Roman" w:hAnsi="Times New Roman"/>
                <w:noProof/>
                <w:sz w:val="18"/>
              </w:rPr>
              <w:t>Som følge af investeringsfacilitetens natur bør investeringsfacilitetens årsregnskaber konsulteres for at få det fulde billede og en detaljeret balance ved årets udgang.</w:t>
            </w:r>
          </w:p>
        </w:tc>
        <w:tc>
          <w:tcPr>
            <w:tcW w:w="1336" w:type="dxa"/>
            <w:tcBorders>
              <w:top w:val="nil"/>
              <w:left w:val="nil"/>
              <w:bottom w:val="nil"/>
              <w:right w:val="nil"/>
            </w:tcBorders>
            <w:shd w:val="clear" w:color="auto" w:fill="auto"/>
            <w:noWrap/>
            <w:vAlign w:val="bottom"/>
            <w:hideMark/>
          </w:tcPr>
          <w:p w:rsidR="003B59D8" w:rsidRPr="003B59D8" w:rsidRDefault="003B59D8" w:rsidP="003B59D8">
            <w:pPr>
              <w:spacing w:after="0" w:line="240" w:lineRule="auto"/>
              <w:rPr>
                <w:rFonts w:ascii="Times New Roman" w:eastAsia="Times New Roman" w:hAnsi="Times New Roman" w:cs="Times New Roman"/>
                <w:noProof/>
                <w:sz w:val="18"/>
                <w:szCs w:val="18"/>
                <w:lang w:eastAsia="en-GB"/>
              </w:rPr>
            </w:pPr>
          </w:p>
        </w:tc>
      </w:tr>
    </w:tbl>
    <w:p w:rsidR="008B1C56" w:rsidRPr="008B1C56" w:rsidRDefault="008B1C56" w:rsidP="00E643F1">
      <w:pPr>
        <w:pStyle w:val="Text1"/>
        <w:ind w:left="0"/>
        <w:rPr>
          <w:noProof/>
        </w:rPr>
        <w:sectPr w:rsidR="008B1C56" w:rsidRPr="008B1C56" w:rsidSect="00153072">
          <w:headerReference w:type="even" r:id="rId28"/>
          <w:headerReference w:type="default" r:id="rId29"/>
          <w:footerReference w:type="even" r:id="rId30"/>
          <w:footerReference w:type="default" r:id="rId31"/>
          <w:headerReference w:type="first" r:id="rId32"/>
          <w:footerReference w:type="first" r:id="rId33"/>
          <w:pgSz w:w="11906" w:h="16838" w:code="9"/>
          <w:pgMar w:top="1276" w:right="1440" w:bottom="1440" w:left="1134" w:header="709" w:footer="709" w:gutter="0"/>
          <w:cols w:space="720"/>
          <w:docGrid w:linePitch="360"/>
        </w:sectPr>
      </w:pPr>
    </w:p>
    <w:p w:rsidR="00062F97" w:rsidRDefault="00062F97" w:rsidP="00D60228">
      <w:pPr>
        <w:pStyle w:val="Heading2"/>
        <w:ind w:right="-32"/>
        <w:rPr>
          <w:noProof/>
        </w:rPr>
      </w:pPr>
      <w:r>
        <w:rPr>
          <w:noProof/>
        </w:rPr>
        <w:t xml:space="preserve"> Bilag 4: Medlemsstaternes og UK's bidrag for 2023 (EUR)</w:t>
      </w:r>
    </w:p>
    <w:tbl>
      <w:tblPr>
        <w:tblW w:w="13183" w:type="dxa"/>
        <w:tblInd w:w="-601" w:type="dxa"/>
        <w:tblLook w:val="04A0" w:firstRow="1" w:lastRow="0" w:firstColumn="1" w:lastColumn="0" w:noHBand="0" w:noVBand="1"/>
      </w:tblPr>
      <w:tblGrid>
        <w:gridCol w:w="1906"/>
        <w:gridCol w:w="987"/>
        <w:gridCol w:w="1275"/>
        <w:gridCol w:w="1134"/>
        <w:gridCol w:w="1185"/>
        <w:gridCol w:w="1134"/>
        <w:gridCol w:w="1185"/>
        <w:gridCol w:w="1134"/>
        <w:gridCol w:w="1418"/>
        <w:gridCol w:w="1276"/>
        <w:gridCol w:w="1275"/>
      </w:tblGrid>
      <w:tr w:rsidR="00C12871" w:rsidRPr="00C12871" w:rsidTr="00C12871">
        <w:trPr>
          <w:trHeight w:val="283"/>
        </w:trPr>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MEDLEMSSTATERNE OG UK</w:t>
            </w:r>
          </w:p>
        </w:tc>
        <w:tc>
          <w:tcPr>
            <w:tcW w:w="987" w:type="dxa"/>
            <w:vMerge w:val="restart"/>
            <w:tcBorders>
              <w:top w:val="single" w:sz="4" w:space="0" w:color="auto"/>
              <w:left w:val="single" w:sz="4" w:space="0" w:color="auto"/>
              <w:bottom w:val="single" w:sz="4" w:space="0" w:color="000000"/>
              <w:right w:val="nil"/>
            </w:tcBorders>
            <w:shd w:val="clear" w:color="000000" w:fill="C0C0C0"/>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Nøgle for 11. EUF (%)</w:t>
            </w:r>
          </w:p>
        </w:tc>
        <w:tc>
          <w:tcPr>
            <w:tcW w:w="240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 tranche</w:t>
            </w:r>
          </w:p>
        </w:tc>
        <w:tc>
          <w:tcPr>
            <w:tcW w:w="2268" w:type="dxa"/>
            <w:gridSpan w:val="2"/>
            <w:tcBorders>
              <w:top w:val="single" w:sz="8" w:space="0" w:color="auto"/>
              <w:left w:val="nil"/>
              <w:bottom w:val="single" w:sz="8" w:space="0" w:color="auto"/>
              <w:right w:val="single" w:sz="4" w:space="0" w:color="auto"/>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 tranche</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3. tranche</w:t>
            </w:r>
          </w:p>
        </w:tc>
        <w:tc>
          <w:tcPr>
            <w:tcW w:w="1418" w:type="dxa"/>
            <w:vMerge w:val="restart"/>
            <w:tcBorders>
              <w:top w:val="single" w:sz="8" w:space="0" w:color="auto"/>
              <w:left w:val="nil"/>
              <w:bottom w:val="single" w:sz="8" w:space="0" w:color="000000"/>
              <w:right w:val="nil"/>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I alt</w:t>
            </w:r>
            <w:r>
              <w:rPr>
                <w:noProof/>
              </w:rPr>
              <w:t xml:space="preserve"> </w:t>
            </w:r>
            <w:r>
              <w:rPr>
                <w:noProof/>
              </w:rPr>
              <w:br/>
            </w:r>
            <w:r>
              <w:rPr>
                <w:rFonts w:ascii="Times New Roman" w:hAnsi="Times New Roman"/>
                <w:b/>
                <w:noProof/>
                <w:sz w:val="16"/>
              </w:rPr>
              <w:t>Kommissionen</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EIB i alt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I alt 2023</w:t>
            </w:r>
          </w:p>
        </w:tc>
      </w:tr>
      <w:tr w:rsidR="00C12871" w:rsidRPr="00C12871" w:rsidTr="00C12871">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987"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4"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nil"/>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4" w:type="dxa"/>
            <w:tcBorders>
              <w:top w:val="nil"/>
              <w:left w:val="nil"/>
              <w:bottom w:val="nil"/>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4"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418" w:type="dxa"/>
            <w:vMerge/>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C12871">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987"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418" w:type="dxa"/>
            <w:vMerge/>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BELGIEN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24 369 525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21 120 255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12 997 080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58 486 860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68 234 670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BULGARIEN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1 638 975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1 420 445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874 120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3 933 540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4 589 130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TJEKKIET</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5 980 875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5 183 425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3 189 800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14 354 100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16 746 450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DANMARK</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14 853 375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12 872 925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7 921 800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35 648 100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41 589 450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TYSKLAND</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154 348 500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133 768 700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82 319 200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370 436 400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432 175 800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ESTLAND</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647 625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561 275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345 400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1 554 300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1 813 350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IRLAND</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7 050 450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6 110 390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3 760 240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16 921 080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19 741 260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GRÆKENLAND</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11 305 125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9 797 775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6 029 400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27 132 300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31 654 350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SPANIEN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59 493 600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51 561 120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31 729 920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142 784 640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166 582 080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FRANKRIG</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133 595 175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115 782 485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71 250 760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320 628 420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374 066 490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KROATIEN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1 688 850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1 463 670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900 720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4 053 240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4 728 780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ITALIEN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93 975 675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81 445 585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50 120 360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225 541 620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263 131 890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CYPERN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837 150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725 530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446 480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2 009 160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2 344 020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LETLAND</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870 900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754 780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464 480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2 090 160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2 438 520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LITAUEN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1 355 775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1 175 005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723 080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3 253 860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3 796 170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LUXEMBOURG</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1 913 175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1 658 085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4 591 620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5 356 890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UNGARN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4 609 200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3 994 640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2 458 240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11 062 080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12 905 760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ΜΑLTA</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285 075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247 065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152 040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684 180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798 210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NEDERLANDENE</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35 825 850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31 049 070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19 107 120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85 982 040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100 312 380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ØSTRIG</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17 981 775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15 584 205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9 590 280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43 156 260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50 348 970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15 055 050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13 047 710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8 029 360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36 132 120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42 154 140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8 975 925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7 779 135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4 787 160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21 542 220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25 132 590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RUMÆNIEN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5 386 125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4 667 975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2 872 600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12 926 700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15 081 150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SLOVENIEN</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1 683 900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1 459 380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898 080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4 041 360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4 714 920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SLOVAKIET</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2 821 200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2 445 040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1 504 640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6 770 880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7 899 360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FINLAND</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11 318 175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9 809 085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6 036 360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27 163 620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31 690 890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SVERIGE</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22 043 325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19 104 215</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11 756 440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52 903 980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61 721 310</w:t>
            </w:r>
          </w:p>
        </w:tc>
      </w:tr>
      <w:tr w:rsidR="00C12871" w:rsidRPr="00C12871" w:rsidTr="00C12871">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DET FORENEDE KONGERIGE</w:t>
            </w:r>
          </w:p>
        </w:tc>
        <w:tc>
          <w:tcPr>
            <w:tcW w:w="987"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110 089 650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95 411 030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58 714 480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418"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264 215 160</w:t>
            </w:r>
          </w:p>
        </w:tc>
        <w:tc>
          <w:tcPr>
            <w:tcW w:w="1276"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275"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308 251 020</w:t>
            </w:r>
          </w:p>
        </w:tc>
      </w:tr>
      <w:tr w:rsidR="00C12871" w:rsidRPr="00C12871" w:rsidTr="00C12871">
        <w:trPr>
          <w:trHeight w:val="283"/>
        </w:trPr>
        <w:tc>
          <w:tcPr>
            <w:tcW w:w="1282"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og UK I ALT</w:t>
            </w:r>
          </w:p>
        </w:tc>
        <w:tc>
          <w:tcPr>
            <w:tcW w:w="987" w:type="dxa"/>
            <w:tcBorders>
              <w:top w:val="single" w:sz="8" w:space="0" w:color="auto"/>
              <w:left w:val="nil"/>
              <w:bottom w:val="single" w:sz="8" w:space="0" w:color="auto"/>
              <w:right w:val="nil"/>
            </w:tcBorders>
            <w:shd w:val="clear" w:color="000000" w:fill="BFBFBF"/>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275"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750 000 000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650 000 000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400 000 000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418"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1 800 000 000</w:t>
            </w:r>
          </w:p>
        </w:tc>
        <w:tc>
          <w:tcPr>
            <w:tcW w:w="127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275"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2 100 000 000</w:t>
            </w:r>
          </w:p>
        </w:tc>
      </w:tr>
    </w:tbl>
    <w:p w:rsidR="00980393" w:rsidRDefault="00980393" w:rsidP="009C4694">
      <w:pPr>
        <w:pStyle w:val="Text1"/>
        <w:rPr>
          <w:noProof/>
        </w:rPr>
      </w:pPr>
    </w:p>
    <w:p w:rsidR="00980393" w:rsidRDefault="00980393" w:rsidP="00980393">
      <w:pPr>
        <w:rPr>
          <w:noProof/>
        </w:rPr>
        <w:sectPr w:rsidR="00980393" w:rsidSect="00153072">
          <w:headerReference w:type="even" r:id="rId34"/>
          <w:headerReference w:type="default" r:id="rId35"/>
          <w:footerReference w:type="even" r:id="rId36"/>
          <w:footerReference w:type="default" r:id="rId37"/>
          <w:headerReference w:type="first" r:id="rId38"/>
          <w:footerReference w:type="first" r:id="rId39"/>
          <w:pgSz w:w="16838" w:h="11906" w:orient="landscape" w:code="9"/>
          <w:pgMar w:top="1440" w:right="1440" w:bottom="1276" w:left="1440" w:header="709" w:footer="709" w:gutter="0"/>
          <w:cols w:space="720"/>
          <w:docGrid w:linePitch="360"/>
        </w:sectPr>
      </w:pPr>
    </w:p>
    <w:p w:rsidR="00062F97" w:rsidRDefault="00062F97" w:rsidP="00062F97">
      <w:pPr>
        <w:pStyle w:val="Heading2"/>
        <w:spacing w:after="0"/>
        <w:rPr>
          <w:noProof/>
        </w:rPr>
      </w:pPr>
      <w:r>
        <w:rPr>
          <w:noProof/>
        </w:rPr>
        <w:t>Bilag 5: Medlemsstaternes og UK's bidrag for 2024 (EUR)</w:t>
      </w:r>
    </w:p>
    <w:tbl>
      <w:tblPr>
        <w:tblW w:w="12900" w:type="dxa"/>
        <w:tblInd w:w="-34" w:type="dxa"/>
        <w:tblLook w:val="04A0" w:firstRow="1" w:lastRow="0" w:firstColumn="1" w:lastColumn="0" w:noHBand="0" w:noVBand="1"/>
      </w:tblPr>
      <w:tblGrid>
        <w:gridCol w:w="1906"/>
        <w:gridCol w:w="1120"/>
        <w:gridCol w:w="1185"/>
        <w:gridCol w:w="1133"/>
        <w:gridCol w:w="1185"/>
        <w:gridCol w:w="1134"/>
        <w:gridCol w:w="1185"/>
        <w:gridCol w:w="1100"/>
        <w:gridCol w:w="8"/>
        <w:gridCol w:w="1268"/>
        <w:gridCol w:w="8"/>
        <w:gridCol w:w="1292"/>
        <w:gridCol w:w="8"/>
        <w:gridCol w:w="1136"/>
      </w:tblGrid>
      <w:tr w:rsidR="00C12871" w:rsidRPr="00C12871" w:rsidTr="007B67D4">
        <w:trPr>
          <w:trHeight w:val="283"/>
        </w:trPr>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MEDLEMSSTATERNE OG UK</w:t>
            </w:r>
          </w:p>
        </w:tc>
        <w:tc>
          <w:tcPr>
            <w:tcW w:w="1120" w:type="dxa"/>
            <w:vMerge w:val="restart"/>
            <w:tcBorders>
              <w:top w:val="single" w:sz="4" w:space="0" w:color="auto"/>
              <w:left w:val="single" w:sz="4" w:space="0" w:color="auto"/>
              <w:bottom w:val="single" w:sz="4" w:space="0" w:color="000000"/>
              <w:right w:val="nil"/>
            </w:tcBorders>
            <w:shd w:val="clear" w:color="000000" w:fill="C0C0C0"/>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Nøgle for 11. EUF (%)</w:t>
            </w:r>
          </w:p>
        </w:tc>
        <w:tc>
          <w:tcPr>
            <w:tcW w:w="2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 tranche</w:t>
            </w:r>
          </w:p>
        </w:tc>
        <w:tc>
          <w:tcPr>
            <w:tcW w:w="2268" w:type="dxa"/>
            <w:gridSpan w:val="2"/>
            <w:tcBorders>
              <w:top w:val="single" w:sz="8" w:space="0" w:color="auto"/>
              <w:left w:val="nil"/>
              <w:bottom w:val="single" w:sz="8" w:space="0" w:color="auto"/>
              <w:right w:val="single" w:sz="4" w:space="0" w:color="auto"/>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 tranche</w:t>
            </w:r>
          </w:p>
        </w:tc>
        <w:tc>
          <w:tcPr>
            <w:tcW w:w="224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3. tranche</w:t>
            </w:r>
          </w:p>
        </w:tc>
        <w:tc>
          <w:tcPr>
            <w:tcW w:w="1276" w:type="dxa"/>
            <w:gridSpan w:val="2"/>
            <w:tcBorders>
              <w:top w:val="single" w:sz="8" w:space="0" w:color="auto"/>
              <w:left w:val="nil"/>
              <w:bottom w:val="single" w:sz="8" w:space="0" w:color="000000"/>
              <w:right w:val="nil"/>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I alt</w:t>
            </w:r>
            <w:r>
              <w:rPr>
                <w:noProof/>
              </w:rPr>
              <w:t xml:space="preserve"> </w:t>
            </w:r>
            <w:r>
              <w:rPr>
                <w:noProof/>
              </w:rPr>
              <w:br/>
            </w:r>
            <w:r>
              <w:rPr>
                <w:rFonts w:ascii="Times New Roman" w:hAnsi="Times New Roman"/>
                <w:b/>
                <w:noProof/>
                <w:sz w:val="16"/>
              </w:rPr>
              <w:t>Kommissionen</w:t>
            </w:r>
          </w:p>
        </w:tc>
        <w:tc>
          <w:tcPr>
            <w:tcW w:w="1300"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EIB i alt</w:t>
            </w:r>
          </w:p>
        </w:tc>
        <w:tc>
          <w:tcPr>
            <w:tcW w:w="11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I alt 2024</w:t>
            </w:r>
          </w:p>
        </w:tc>
      </w:tr>
      <w:tr w:rsidR="00C12871" w:rsidRPr="00C12871" w:rsidTr="007B67D4">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20"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3"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3"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nil"/>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4" w:type="dxa"/>
            <w:tcBorders>
              <w:top w:val="nil"/>
              <w:left w:val="nil"/>
              <w:bottom w:val="nil"/>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single" w:sz="8" w:space="0" w:color="auto"/>
              <w:bottom w:val="nil"/>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00" w:type="dxa"/>
            <w:tcBorders>
              <w:top w:val="nil"/>
              <w:left w:val="nil"/>
              <w:bottom w:val="nil"/>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gridSpan w:val="2"/>
            <w:vMerge w:val="restart"/>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300"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7B67D4">
        <w:trPr>
          <w:trHeight w:val="225"/>
        </w:trPr>
        <w:tc>
          <w:tcPr>
            <w:tcW w:w="1282" w:type="dxa"/>
            <w:vMerge/>
            <w:tcBorders>
              <w:top w:val="single" w:sz="4" w:space="0" w:color="auto"/>
              <w:left w:val="single" w:sz="4" w:space="0" w:color="auto"/>
              <w:bottom w:val="single" w:sz="4" w:space="0" w:color="000000"/>
              <w:right w:val="single" w:sz="4"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20" w:type="dxa"/>
            <w:vMerge/>
            <w:tcBorders>
              <w:top w:val="single" w:sz="4" w:space="0" w:color="auto"/>
              <w:left w:val="single" w:sz="4" w:space="0" w:color="auto"/>
              <w:bottom w:val="single" w:sz="4"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3"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3"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nil"/>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00" w:type="dxa"/>
            <w:tcBorders>
              <w:top w:val="nil"/>
              <w:left w:val="nil"/>
              <w:bottom w:val="single" w:sz="8" w:space="0" w:color="auto"/>
              <w:right w:val="single" w:sz="8" w:space="0" w:color="auto"/>
            </w:tcBorders>
            <w:shd w:val="clear" w:color="auto" w:fill="auto"/>
            <w:noWrap/>
            <w:vAlign w:val="bottom"/>
            <w:hideMark/>
          </w:tcPr>
          <w:p w:rsidR="00C12871" w:rsidRPr="00C12871" w:rsidRDefault="00C12871" w:rsidP="00C12871">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6" w:type="dxa"/>
            <w:gridSpan w:val="2"/>
            <w:vMerge/>
            <w:tcBorders>
              <w:top w:val="single" w:sz="8" w:space="0" w:color="auto"/>
              <w:left w:val="nil"/>
              <w:bottom w:val="single" w:sz="8" w:space="0" w:color="000000"/>
              <w:right w:val="nil"/>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300" w:type="dxa"/>
            <w:gridSpan w:val="2"/>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c>
          <w:tcPr>
            <w:tcW w:w="1144" w:type="dxa"/>
            <w:gridSpan w:val="2"/>
            <w:vMerge/>
            <w:tcBorders>
              <w:top w:val="single" w:sz="8" w:space="0" w:color="auto"/>
              <w:left w:val="single" w:sz="8" w:space="0" w:color="auto"/>
              <w:bottom w:val="single" w:sz="8" w:space="0" w:color="000000"/>
              <w:right w:val="single" w:sz="8" w:space="0" w:color="auto"/>
            </w:tcBorders>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lang w:eastAsia="en-GB"/>
              </w:rPr>
            </w:pP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BELGIEN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19 495 620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12 997 080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3 249 270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42 240 510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51 988 320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BULGARIEN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1 311 180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874 120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218 530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2 840 890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3 496 480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TJEKKIET</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4 784 700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3 189 800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797 450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10 366 850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12 759 200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DANMARK</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11 882 700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7 921 800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1 980 450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25 745 850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31 687 200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TYSKLAND</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123 478 800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82 319 200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20 579 800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267 537 400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329 276 800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ESTLAND</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518 100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345 400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86 350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1 122 550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1 381 600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IRLAND</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5 640 360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3 760 240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940 060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12 220 780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15 040 960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GRÆKENLAND</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9 044 100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6 029 400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1 507 350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19 595 550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24 117 600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SPANIEN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47 594 880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31 729 920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7 932 480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103 122 240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126 919 680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FRANKRIG</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106 876 140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71 250 760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17 812 690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231 564 970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285 003 040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KROATIEN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1 351 080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900 720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225 180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2 927 340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3 602 880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ITALIEN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75 180 540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50 120 360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12 530 090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162 891 170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200 481 440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CYPERN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669 720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446 480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111 620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1 451 060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1 785 920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LETLAND</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696 720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464 480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116 120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1 509 560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1 857 920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LITAUEN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1 084 620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723 080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180 770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2 350 010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2 892 320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LUXEMBOURG</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1 530 540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1 020 360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255 090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3 316 170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4 081 440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UNGARN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3 687 360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2 458 240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614 560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7 989 280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9 832 960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ΜΑLTA</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228 060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152 040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38 010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494 130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608 160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NEDERLANDENE</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28 660 680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19 107 120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4 776 780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62 098 140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76 428 480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ØSTRIG</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14 385 420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9 590 280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2 397 570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31 168 410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38 361 120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12 044 040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8 029 360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2 007 340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26 095 420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32 117 440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7 180 740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4 787 160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1 196 790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15 558 270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19 148 640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RUMÆNIEN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4 308 900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2 872 600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718 150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9 335 950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11 490 400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SLOVENIEN</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1 347 120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898 080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224 520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2 918 760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3 592 320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SLOVAKIET</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2 256 960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1 504 640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376 160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4 890 080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6 018 560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FINLAND</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9 054 540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6 036 360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1 509 090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19 618 170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24 145 440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SVERIGE</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17 634 660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11 756 440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2 939 110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38 208 430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47 025 760</w:t>
            </w:r>
          </w:p>
        </w:tc>
      </w:tr>
      <w:tr w:rsidR="00C12871" w:rsidRPr="00C12871" w:rsidTr="007B67D4">
        <w:trPr>
          <w:trHeight w:val="240"/>
        </w:trPr>
        <w:tc>
          <w:tcPr>
            <w:tcW w:w="1282" w:type="dxa"/>
            <w:tcBorders>
              <w:top w:val="nil"/>
              <w:left w:val="single" w:sz="4" w:space="0" w:color="auto"/>
              <w:bottom w:val="nil"/>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DET FORENEDE KONGERIGE</w:t>
            </w:r>
          </w:p>
        </w:tc>
        <w:tc>
          <w:tcPr>
            <w:tcW w:w="1120" w:type="dxa"/>
            <w:tcBorders>
              <w:top w:val="nil"/>
              <w:left w:val="nil"/>
              <w:bottom w:val="nil"/>
              <w:right w:val="nil"/>
            </w:tcBorders>
            <w:shd w:val="clear" w:color="000000" w:fill="C0C0C0"/>
            <w:noWrap/>
            <w:vAlign w:val="center"/>
            <w:hideMark/>
          </w:tcPr>
          <w:p w:rsidR="00C12871" w:rsidRPr="00C12871" w:rsidRDefault="00C12871" w:rsidP="00C12871">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14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88 071 720</w:t>
            </w:r>
          </w:p>
        </w:tc>
        <w:tc>
          <w:tcPr>
            <w:tcW w:w="1133"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58 714 480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134"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100" w:type="dxa"/>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14 678 620</w:t>
            </w:r>
          </w:p>
        </w:tc>
        <w:tc>
          <w:tcPr>
            <w:tcW w:w="1276"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190 822 060</w:t>
            </w:r>
          </w:p>
        </w:tc>
        <w:tc>
          <w:tcPr>
            <w:tcW w:w="1300"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144" w:type="dxa"/>
            <w:gridSpan w:val="2"/>
            <w:tcBorders>
              <w:top w:val="nil"/>
              <w:left w:val="single" w:sz="4" w:space="0" w:color="auto"/>
              <w:bottom w:val="nil"/>
              <w:right w:val="single" w:sz="8" w:space="0" w:color="auto"/>
            </w:tcBorders>
            <w:shd w:val="clear" w:color="000000" w:fill="FFFFFF"/>
            <w:noWrap/>
            <w:vAlign w:val="bottom"/>
            <w:hideMark/>
          </w:tcPr>
          <w:p w:rsidR="00C12871" w:rsidRPr="00C12871" w:rsidRDefault="00C12871" w:rsidP="00C12871">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234 857 920</w:t>
            </w:r>
          </w:p>
        </w:tc>
      </w:tr>
      <w:tr w:rsidR="00C12871" w:rsidRPr="00C12871" w:rsidTr="007B67D4">
        <w:trPr>
          <w:trHeight w:val="283"/>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871" w:rsidRPr="00C12871" w:rsidRDefault="00C12871" w:rsidP="00C12871">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og UK I ALT</w:t>
            </w:r>
          </w:p>
        </w:tc>
        <w:tc>
          <w:tcPr>
            <w:tcW w:w="1120" w:type="dxa"/>
            <w:tcBorders>
              <w:top w:val="single" w:sz="4" w:space="0" w:color="auto"/>
              <w:left w:val="nil"/>
              <w:bottom w:val="single" w:sz="4" w:space="0" w:color="auto"/>
              <w:right w:val="nil"/>
            </w:tcBorders>
            <w:shd w:val="clear" w:color="000000" w:fill="C0C0C0"/>
            <w:noWrap/>
            <w:vAlign w:val="center"/>
            <w:hideMark/>
          </w:tcPr>
          <w:p w:rsidR="00C12871" w:rsidRPr="00C12871" w:rsidRDefault="00C12871" w:rsidP="00C12871">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4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600 000 000</w:t>
            </w:r>
          </w:p>
        </w:tc>
        <w:tc>
          <w:tcPr>
            <w:tcW w:w="113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400 000 000</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10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100 000 000</w:t>
            </w:r>
          </w:p>
        </w:tc>
        <w:tc>
          <w:tcPr>
            <w:tcW w:w="1276"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1 300 000 000</w:t>
            </w:r>
          </w:p>
        </w:tc>
        <w:tc>
          <w:tcPr>
            <w:tcW w:w="1300"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1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2871" w:rsidRPr="00C12871" w:rsidRDefault="00C12871" w:rsidP="00C12871">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1 600 000 000</w:t>
            </w:r>
          </w:p>
        </w:tc>
      </w:tr>
    </w:tbl>
    <w:p w:rsidR="00D13DA4" w:rsidRPr="00D13DA4" w:rsidRDefault="00D13DA4" w:rsidP="00D13DA4">
      <w:pPr>
        <w:pStyle w:val="Text1"/>
        <w:rPr>
          <w:noProof/>
        </w:rPr>
      </w:pPr>
    </w:p>
    <w:p w:rsidR="00980393" w:rsidRDefault="00980393" w:rsidP="00980393">
      <w:pPr>
        <w:pStyle w:val="Heading2"/>
        <w:numPr>
          <w:ilvl w:val="0"/>
          <w:numId w:val="0"/>
        </w:numPr>
        <w:spacing w:after="0"/>
        <w:ind w:left="850"/>
        <w:rPr>
          <w:noProof/>
        </w:rPr>
        <w:sectPr w:rsidR="00980393" w:rsidSect="00153072">
          <w:headerReference w:type="even" r:id="rId40"/>
          <w:headerReference w:type="default" r:id="rId41"/>
          <w:footerReference w:type="even" r:id="rId42"/>
          <w:footerReference w:type="default" r:id="rId43"/>
          <w:headerReference w:type="first" r:id="rId44"/>
          <w:footerReference w:type="first" r:id="rId45"/>
          <w:pgSz w:w="16838" w:h="11906" w:orient="landscape" w:code="9"/>
          <w:pgMar w:top="1440" w:right="1440" w:bottom="1276" w:left="1440" w:header="709" w:footer="709" w:gutter="0"/>
          <w:cols w:space="720"/>
          <w:docGrid w:linePitch="360"/>
        </w:sectPr>
      </w:pPr>
    </w:p>
    <w:p w:rsidR="00062F97" w:rsidRDefault="00062F97" w:rsidP="00062F97">
      <w:pPr>
        <w:pStyle w:val="Heading2"/>
        <w:spacing w:after="0"/>
        <w:rPr>
          <w:noProof/>
        </w:rPr>
      </w:pPr>
      <w:r>
        <w:rPr>
          <w:noProof/>
        </w:rPr>
        <w:t>Bilag 6: Medlemsstaternes og UK's bidrag for 2022-2026 (EUR)</w:t>
      </w:r>
    </w:p>
    <w:tbl>
      <w:tblPr>
        <w:tblpPr w:leftFromText="180" w:rightFromText="180" w:vertAnchor="text" w:horzAnchor="margin" w:tblpY="19"/>
        <w:tblW w:w="13650" w:type="dxa"/>
        <w:tblLook w:val="04A0" w:firstRow="1" w:lastRow="0" w:firstColumn="1" w:lastColumn="0" w:noHBand="0" w:noVBand="1"/>
      </w:tblPr>
      <w:tblGrid>
        <w:gridCol w:w="1906"/>
        <w:gridCol w:w="1025"/>
        <w:gridCol w:w="1185"/>
        <w:gridCol w:w="992"/>
        <w:gridCol w:w="1276"/>
        <w:gridCol w:w="992"/>
        <w:gridCol w:w="1276"/>
        <w:gridCol w:w="1134"/>
        <w:gridCol w:w="1185"/>
        <w:gridCol w:w="850"/>
        <w:gridCol w:w="1276"/>
        <w:gridCol w:w="851"/>
      </w:tblGrid>
      <w:tr w:rsidR="0029276F" w:rsidRPr="00C21E19" w:rsidTr="0029276F">
        <w:trPr>
          <w:trHeight w:val="128"/>
        </w:trPr>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MEDLEMSSTATERNE OG UK</w:t>
            </w:r>
          </w:p>
        </w:tc>
        <w:tc>
          <w:tcPr>
            <w:tcW w:w="102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Nøgle for 11. EUF (%)</w:t>
            </w:r>
          </w:p>
        </w:tc>
        <w:tc>
          <w:tcPr>
            <w:tcW w:w="2094"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2022</w:t>
            </w:r>
          </w:p>
        </w:tc>
        <w:tc>
          <w:tcPr>
            <w:tcW w:w="2268"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2023</w:t>
            </w:r>
          </w:p>
        </w:tc>
        <w:tc>
          <w:tcPr>
            <w:tcW w:w="241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2024</w:t>
            </w:r>
          </w:p>
        </w:tc>
        <w:tc>
          <w:tcPr>
            <w:tcW w:w="1883"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2025</w:t>
            </w:r>
          </w:p>
        </w:tc>
        <w:tc>
          <w:tcPr>
            <w:tcW w:w="21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2026</w:t>
            </w:r>
          </w:p>
        </w:tc>
      </w:tr>
      <w:tr w:rsidR="0029276F" w:rsidRPr="00C21E19" w:rsidTr="0029276F">
        <w:trPr>
          <w:trHeight w:val="61"/>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025"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10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992" w:type="dxa"/>
            <w:tcBorders>
              <w:top w:val="nil"/>
              <w:left w:val="nil"/>
              <w:bottom w:val="nil"/>
              <w:right w:val="nil"/>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tcBorders>
              <w:top w:val="nil"/>
              <w:left w:val="single" w:sz="8" w:space="0" w:color="auto"/>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r>
              <w:rPr>
                <w:rStyle w:val="FootnoteReference"/>
                <w:rFonts w:ascii="Times New Roman" w:eastAsia="Times New Roman" w:hAnsi="Times New Roman" w:cs="Times New Roman"/>
                <w:noProof/>
                <w:sz w:val="16"/>
                <w:szCs w:val="16"/>
                <w:lang w:eastAsia="en-GB"/>
              </w:rPr>
              <w:footnoteReference w:id="7"/>
            </w:r>
          </w:p>
        </w:tc>
      </w:tr>
      <w:tr w:rsidR="0029276F" w:rsidRPr="00C21E19" w:rsidTr="0029276F">
        <w:trPr>
          <w:trHeight w:val="136"/>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025" w:type="dxa"/>
            <w:vMerge/>
            <w:tcBorders>
              <w:top w:val="single" w:sz="8" w:space="0" w:color="auto"/>
              <w:left w:val="single" w:sz="8" w:space="0" w:color="auto"/>
              <w:bottom w:val="single" w:sz="8" w:space="0" w:color="000000"/>
              <w:right w:val="single" w:sz="8" w:space="0" w:color="auto"/>
            </w:tcBorders>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lang w:eastAsia="en-GB"/>
              </w:rPr>
            </w:pPr>
          </w:p>
        </w:tc>
        <w:tc>
          <w:tcPr>
            <w:tcW w:w="1102"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992"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6" w:type="dxa"/>
            <w:tcBorders>
              <w:top w:val="nil"/>
              <w:left w:val="nil"/>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992" w:type="dxa"/>
            <w:tcBorders>
              <w:top w:val="nil"/>
              <w:left w:val="nil"/>
              <w:bottom w:val="single" w:sz="8" w:space="0" w:color="auto"/>
              <w:right w:val="nil"/>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6" w:type="dxa"/>
            <w:tcBorders>
              <w:top w:val="nil"/>
              <w:left w:val="single" w:sz="8" w:space="0" w:color="auto"/>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033" w:type="dxa"/>
            <w:tcBorders>
              <w:top w:val="nil"/>
              <w:left w:val="nil"/>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850"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6" w:type="dxa"/>
            <w:tcBorders>
              <w:top w:val="nil"/>
              <w:left w:val="nil"/>
              <w:bottom w:val="single" w:sz="8" w:space="0" w:color="auto"/>
              <w:right w:val="single" w:sz="4"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851" w:type="dxa"/>
            <w:tcBorders>
              <w:top w:val="nil"/>
              <w:left w:val="nil"/>
              <w:bottom w:val="single" w:sz="8" w:space="0" w:color="auto"/>
              <w:right w:val="single" w:sz="8" w:space="0" w:color="auto"/>
            </w:tcBorders>
            <w:shd w:val="clear" w:color="000000" w:fill="FFFFF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BELGIEN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3,24927</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81 231 750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9 747 810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58 486 860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9 747 810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42 240 510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9 747 810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29 243 430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292 434</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19 495 620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BULGARIEN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0,21853</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5 463 250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655 590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3 933 540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655 590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2 840 890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655 590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1 966 770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19 668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1 311 180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TJEKKIET</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0,79745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19 936 250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2 392 350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14 354 100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2 392 350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10 366 850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2 392 350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7 177 050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71 771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4 784 700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DANMARK</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1,98045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49 511 250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5 941 350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35 648 100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5 941 350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25 745 850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5 941 350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17 824 050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178 241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11 882 700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TYSKLAND</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20,57980</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514 495 000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61 739 400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370 436 400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61 739 400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267 537 400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61 739 400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185 218 200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1 852 182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123 478 800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ESTLAND</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0,08635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2 158 750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259 050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1 554 300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259 050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1 122 550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259 050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777 150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7 772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518 100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IRLAND</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0,94006</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23 501 500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2 820 180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16 921 080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2 820 180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12 220 780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2 820 180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8 460 540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84 605</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5 640 360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GRÆKENLAND</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1,50735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37 683 750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4 522 050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27 132 300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4 522 050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19 595 550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4 522 050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13 566 150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135 662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9 044 100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SPANIEN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7,93248</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198 312 000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23 797 440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142 784 640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23 797 440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103 122 240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23 797 440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71 392 320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713 923</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47 594 880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FRANKRIG</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17,81269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445 317 250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53 438 070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320 628 420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53 438 070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231 564 970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53 438 070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160 314 210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1 603 142</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106 876 140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KROATIEN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0,22518</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5 629 500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675 540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4 053 240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675 540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2 927 340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675 540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2 026 620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20 266</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1 351 080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ITALIEN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12,53009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313 252 250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37 590 270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225 541 620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37 590 270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162 891 170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37 590 270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112 770 810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1 127 708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75 180 540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CYPERN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0,11162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2 790 500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334 860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2 009 160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334 860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1 451 060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334 860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1 004 580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10 046</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669 720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LETLAND</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0,11612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2 903 000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348 360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2 090 160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348 360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1 509 560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348 360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1 045 080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10 451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696 720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LITAUEN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0,18077</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4 519 250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542 310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3 253 860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542 310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2 350 010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542 310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1 626 930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16 269</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1 084 620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LUXEMBOURG</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0,25509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6 377 250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765 270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4 591 620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765 270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3 316 170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765 270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2 295 810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22 958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1 530 540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UNGARN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0,61456</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15 364 000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1 843 680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11 062 080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1 843 680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7 989 280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1 843 680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5 531 040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55 310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3 687 360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MALTA</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0,03801</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950 250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114 030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684 180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114 030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494 130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114 030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342 090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3 421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228 060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NEDERLANDENE</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4,77678</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119 419 500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14 330 340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85 982 040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14 330 340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62 098 140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14 330 340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42 991 020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429 910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28 660 680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ØSTRIG</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2,39757</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59 939 250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7 192 710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43 156 260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7 192 710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31 168 410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7 192 710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21 578 130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215 781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14 385 420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POLEN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2,00734</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50 183 500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6 022 020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36 132 120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6 022 020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26 095 420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6 022 020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18 066 060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180 661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12 044 040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PORTUGAL</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1,19679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29 919 750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3 590 370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21 542 220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3 590 370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15 558 270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3 590 370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10 771 110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107 711</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7 180 740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RUMÆNIEN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0,71815</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17 953 750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2 154 450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12 926 700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2 154 450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9 335 950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2 154 450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6 463 350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64 634</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4 308 900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SLOVENIEN</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0,22452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5 613 000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673 560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4 041 360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673 560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2 918 760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673 560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2 020 680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20 207</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1 347 120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SLOVAKIET</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0,37616</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9 404 000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1 128 480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6 770 880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1 128 480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4 890 080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1 128 480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3 385 440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33 854</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2 256 960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FINLAND</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1,50909</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37 727 250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4 527 270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27 163 620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4 527 270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19 618 170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4 527 270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13 581 810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135 818</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9 054 540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SVERIGE</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2,93911</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73 477 750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8 817 330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52 903 980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8 817 330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38 208 430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8 817 330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26 451 990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264 520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17 634 660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240"/>
        </w:trPr>
        <w:tc>
          <w:tcPr>
            <w:tcW w:w="1843" w:type="dxa"/>
            <w:tcBorders>
              <w:top w:val="nil"/>
              <w:left w:val="single" w:sz="8" w:space="0" w:color="auto"/>
              <w:bottom w:val="nil"/>
              <w:right w:val="single" w:sz="8" w:space="0" w:color="auto"/>
            </w:tcBorders>
            <w:shd w:val="clear" w:color="000000" w:fill="FFFFFF"/>
            <w:noWrap/>
            <w:vAlign w:val="center"/>
            <w:hideMark/>
          </w:tcPr>
          <w:p w:rsidR="0029276F" w:rsidRPr="00C21E19" w:rsidRDefault="0029276F" w:rsidP="0029276F">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DET FORENEDE KONGERIGE</w:t>
            </w:r>
          </w:p>
        </w:tc>
        <w:tc>
          <w:tcPr>
            <w:tcW w:w="1025" w:type="dxa"/>
            <w:tcBorders>
              <w:top w:val="nil"/>
              <w:left w:val="nil"/>
              <w:bottom w:val="nil"/>
              <w:right w:val="single" w:sz="8" w:space="0" w:color="auto"/>
            </w:tcBorders>
            <w:shd w:val="clear" w:color="000000" w:fill="BFBFBF"/>
            <w:noWrap/>
            <w:vAlign w:val="bottom"/>
            <w:hideMark/>
          </w:tcPr>
          <w:p w:rsidR="0029276F" w:rsidRPr="00C21E19" w:rsidRDefault="0029276F" w:rsidP="0029276F">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14,67862</w:t>
            </w:r>
          </w:p>
        </w:tc>
        <w:tc>
          <w:tcPr>
            <w:tcW w:w="1102"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366 965 500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44 035 860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264 215 160</w:t>
            </w:r>
          </w:p>
        </w:tc>
        <w:tc>
          <w:tcPr>
            <w:tcW w:w="992"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44 035 860</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190 822 060</w:t>
            </w:r>
          </w:p>
        </w:tc>
        <w:tc>
          <w:tcPr>
            <w:tcW w:w="1134"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44 035 860</w:t>
            </w:r>
          </w:p>
        </w:tc>
        <w:tc>
          <w:tcPr>
            <w:tcW w:w="1033"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132 107 580</w:t>
            </w:r>
          </w:p>
        </w:tc>
        <w:tc>
          <w:tcPr>
            <w:tcW w:w="850"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1 321 076</w:t>
            </w:r>
          </w:p>
        </w:tc>
        <w:tc>
          <w:tcPr>
            <w:tcW w:w="1276" w:type="dxa"/>
            <w:tcBorders>
              <w:top w:val="nil"/>
              <w:left w:val="nil"/>
              <w:bottom w:val="nil"/>
              <w:right w:val="single" w:sz="4" w:space="0" w:color="auto"/>
            </w:tcBorders>
            <w:shd w:val="clear" w:color="000000" w:fill="FFFFFF"/>
            <w:noWrap/>
            <w:vAlign w:val="bottom"/>
            <w:hideMark/>
          </w:tcPr>
          <w:p w:rsidR="0029276F" w:rsidRPr="00C21E19" w:rsidRDefault="0029276F" w:rsidP="0029276F">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88 071 720</w:t>
            </w:r>
          </w:p>
        </w:tc>
        <w:tc>
          <w:tcPr>
            <w:tcW w:w="851" w:type="dxa"/>
            <w:tcBorders>
              <w:top w:val="nil"/>
              <w:left w:val="nil"/>
              <w:bottom w:val="nil"/>
              <w:right w:val="single" w:sz="8" w:space="0" w:color="auto"/>
            </w:tcBorders>
            <w:shd w:val="clear" w:color="000000" w:fill="FFFFFF"/>
            <w:noWrap/>
            <w:vAlign w:val="bottom"/>
            <w:hideMark/>
          </w:tcPr>
          <w:p w:rsidR="0029276F" w:rsidRPr="00C21E19" w:rsidRDefault="0029276F" w:rsidP="0029276F">
            <w:pPr>
              <w:spacing w:after="0" w:line="240" w:lineRule="auto"/>
              <w:rPr>
                <w:rFonts w:ascii="Times New Roman" w:eastAsia="Times New Roman" w:hAnsi="Times New Roman" w:cs="Times New Roman"/>
                <w:noProof/>
                <w:sz w:val="14"/>
                <w:szCs w:val="14"/>
              </w:rPr>
            </w:pPr>
            <w:r>
              <w:rPr>
                <w:rFonts w:ascii="Times New Roman" w:hAnsi="Times New Roman"/>
                <w:noProof/>
                <w:sz w:val="14"/>
              </w:rPr>
              <w:t xml:space="preserve"> </w:t>
            </w:r>
          </w:p>
        </w:tc>
      </w:tr>
      <w:tr w:rsidR="0029276F" w:rsidRPr="00C21E19" w:rsidTr="0029276F">
        <w:trPr>
          <w:trHeight w:val="147"/>
        </w:trPr>
        <w:tc>
          <w:tcPr>
            <w:tcW w:w="184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og UK I ALT</w:t>
            </w:r>
          </w:p>
        </w:tc>
        <w:tc>
          <w:tcPr>
            <w:tcW w:w="1025"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02"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2 500 000 000</w:t>
            </w:r>
          </w:p>
        </w:tc>
        <w:tc>
          <w:tcPr>
            <w:tcW w:w="992"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300 000 000</w:t>
            </w:r>
          </w:p>
        </w:tc>
        <w:tc>
          <w:tcPr>
            <w:tcW w:w="1276"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1 800 000 000</w:t>
            </w:r>
          </w:p>
        </w:tc>
        <w:tc>
          <w:tcPr>
            <w:tcW w:w="992"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300 000 000</w:t>
            </w:r>
          </w:p>
        </w:tc>
        <w:tc>
          <w:tcPr>
            <w:tcW w:w="1276"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1 300 000 000</w:t>
            </w:r>
          </w:p>
        </w:tc>
        <w:tc>
          <w:tcPr>
            <w:tcW w:w="1134"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300 000 000</w:t>
            </w:r>
          </w:p>
        </w:tc>
        <w:tc>
          <w:tcPr>
            <w:tcW w:w="1033"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900 000 000</w:t>
            </w:r>
          </w:p>
        </w:tc>
        <w:tc>
          <w:tcPr>
            <w:tcW w:w="850" w:type="dxa"/>
            <w:tcBorders>
              <w:top w:val="single" w:sz="8" w:space="0" w:color="auto"/>
              <w:left w:val="nil"/>
              <w:bottom w:val="single" w:sz="8" w:space="0" w:color="auto"/>
              <w:right w:val="single" w:sz="8"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9 000 000</w:t>
            </w:r>
          </w:p>
        </w:tc>
        <w:tc>
          <w:tcPr>
            <w:tcW w:w="1276" w:type="dxa"/>
            <w:tcBorders>
              <w:top w:val="single" w:sz="8" w:space="0" w:color="auto"/>
              <w:left w:val="nil"/>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600 000 000</w:t>
            </w:r>
          </w:p>
        </w:tc>
        <w:tc>
          <w:tcPr>
            <w:tcW w:w="851" w:type="dxa"/>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 xml:space="preserve"> </w:t>
            </w:r>
          </w:p>
        </w:tc>
      </w:tr>
      <w:tr w:rsidR="0029276F" w:rsidRPr="00C21E19" w:rsidTr="0029276F">
        <w:trPr>
          <w:trHeight w:val="50"/>
        </w:trPr>
        <w:tc>
          <w:tcPr>
            <w:tcW w:w="1843" w:type="dxa"/>
            <w:tcBorders>
              <w:top w:val="nil"/>
              <w:left w:val="nil"/>
              <w:bottom w:val="nil"/>
              <w:right w:val="nil"/>
            </w:tcBorders>
            <w:shd w:val="clear" w:color="000000" w:fill="FFFFFF"/>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 xml:space="preserve"> </w:t>
            </w:r>
          </w:p>
        </w:tc>
        <w:tc>
          <w:tcPr>
            <w:tcW w:w="1025" w:type="dxa"/>
            <w:tcBorders>
              <w:top w:val="nil"/>
              <w:left w:val="nil"/>
              <w:bottom w:val="nil"/>
              <w:right w:val="nil"/>
            </w:tcBorders>
            <w:shd w:val="clear" w:color="000000" w:fill="FFFFFF"/>
            <w:noWrap/>
            <w:vAlign w:val="center"/>
            <w:hideMark/>
          </w:tcPr>
          <w:p w:rsidR="0029276F" w:rsidRPr="00C21E19" w:rsidRDefault="0029276F" w:rsidP="0029276F">
            <w:pPr>
              <w:spacing w:after="0" w:line="240" w:lineRule="auto"/>
              <w:rPr>
                <w:rFonts w:ascii="Times New Roman" w:eastAsia="Times New Roman" w:hAnsi="Times New Roman" w:cs="Times New Roman"/>
                <w:b/>
                <w:bCs/>
                <w:noProof/>
                <w:sz w:val="14"/>
                <w:szCs w:val="14"/>
                <w:lang w:eastAsia="en-GB"/>
              </w:rPr>
            </w:pPr>
          </w:p>
        </w:tc>
        <w:tc>
          <w:tcPr>
            <w:tcW w:w="2094"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2 800 000 000</w:t>
            </w:r>
          </w:p>
        </w:tc>
        <w:tc>
          <w:tcPr>
            <w:tcW w:w="2268"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2 100 000 000</w:t>
            </w:r>
          </w:p>
        </w:tc>
        <w:tc>
          <w:tcPr>
            <w:tcW w:w="2410"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1 600 000 000</w:t>
            </w:r>
          </w:p>
        </w:tc>
        <w:tc>
          <w:tcPr>
            <w:tcW w:w="1883"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909 000 000</w:t>
            </w:r>
          </w:p>
        </w:tc>
        <w:tc>
          <w:tcPr>
            <w:tcW w:w="2127" w:type="dxa"/>
            <w:gridSpan w:val="2"/>
            <w:tcBorders>
              <w:top w:val="single" w:sz="8" w:space="0" w:color="auto"/>
              <w:left w:val="nil"/>
              <w:bottom w:val="single" w:sz="8" w:space="0" w:color="auto"/>
              <w:right w:val="single" w:sz="8" w:space="0" w:color="000000"/>
            </w:tcBorders>
            <w:shd w:val="clear" w:color="000000" w:fill="A6A6A6"/>
            <w:noWrap/>
            <w:vAlign w:val="center"/>
            <w:hideMark/>
          </w:tcPr>
          <w:p w:rsidR="0029276F" w:rsidRPr="00C21E19" w:rsidRDefault="0029276F" w:rsidP="0029276F">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600 000 000</w:t>
            </w:r>
          </w:p>
        </w:tc>
      </w:tr>
    </w:tbl>
    <w:p w:rsidR="009839CE" w:rsidRPr="009839CE" w:rsidRDefault="009839CE" w:rsidP="0029276F">
      <w:pPr>
        <w:rPr>
          <w:noProof/>
        </w:rPr>
      </w:pPr>
    </w:p>
    <w:sectPr w:rsidR="009839CE" w:rsidRPr="009839CE" w:rsidSect="00153072">
      <w:headerReference w:type="even" r:id="rId46"/>
      <w:headerReference w:type="default" r:id="rId47"/>
      <w:footerReference w:type="even" r:id="rId48"/>
      <w:footerReference w:type="default" r:id="rId49"/>
      <w:headerReference w:type="first" r:id="rId50"/>
      <w:footerReference w:type="first" r:id="rId51"/>
      <w:pgSz w:w="16838" w:h="11906" w:orient="landscape"/>
      <w:pgMar w:top="1440" w:right="1440" w:bottom="1276"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2D" w:rsidRDefault="0053102D" w:rsidP="00062F97">
      <w:pPr>
        <w:spacing w:after="0" w:line="240" w:lineRule="auto"/>
      </w:pPr>
      <w:r>
        <w:separator/>
      </w:r>
    </w:p>
  </w:endnote>
  <w:endnote w:type="continuationSeparator" w:id="0">
    <w:p w:rsidR="0053102D" w:rsidRDefault="0053102D" w:rsidP="0006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5" w:rsidRPr="00775AD5" w:rsidRDefault="00775AD5" w:rsidP="00775AD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912772"/>
      <w:docPartObj>
        <w:docPartGallery w:val="Page Numbers (Bottom of Page)"/>
        <w:docPartUnique/>
      </w:docPartObj>
    </w:sdtPr>
    <w:sdtEndPr>
      <w:rPr>
        <w:noProof/>
      </w:rPr>
    </w:sdtEndPr>
    <w:sdtContent>
      <w:p w:rsidR="0053102D" w:rsidRDefault="0053102D">
        <w:pPr>
          <w:pStyle w:val="Footer"/>
          <w:jc w:val="center"/>
        </w:pPr>
        <w:r>
          <w:fldChar w:fldCharType="begin"/>
        </w:r>
        <w:r>
          <w:instrText xml:space="preserve"> PAGE   \* MERGEFORMAT </w:instrText>
        </w:r>
        <w:r>
          <w:fldChar w:fldCharType="separate"/>
        </w:r>
        <w:r w:rsidR="00775AD5">
          <w:rPr>
            <w:noProof/>
          </w:rPr>
          <w:t>8</w:t>
        </w:r>
        <w:r>
          <w:fldChar w:fldCharType="end"/>
        </w:r>
      </w:p>
    </w:sdtContent>
  </w:sdt>
  <w:p w:rsidR="0053102D" w:rsidRDefault="0053102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966884"/>
      <w:docPartObj>
        <w:docPartGallery w:val="Page Numbers (Bottom of Page)"/>
        <w:docPartUnique/>
      </w:docPartObj>
    </w:sdtPr>
    <w:sdtEndPr>
      <w:rPr>
        <w:noProof/>
      </w:rPr>
    </w:sdtEndPr>
    <w:sdtContent>
      <w:p w:rsidR="0053102D" w:rsidRDefault="0053102D">
        <w:pPr>
          <w:pStyle w:val="Footer"/>
          <w:jc w:val="center"/>
        </w:pPr>
        <w:r>
          <w:fldChar w:fldCharType="begin"/>
        </w:r>
        <w:r>
          <w:instrText xml:space="preserve"> PAGE   \* MERGEFORMAT </w:instrText>
        </w:r>
        <w:r>
          <w:fldChar w:fldCharType="separate"/>
        </w:r>
        <w:r w:rsidR="00775AD5">
          <w:rPr>
            <w:noProof/>
          </w:rPr>
          <w:t>9</w:t>
        </w:r>
        <w:r>
          <w:fldChar w:fldCharType="end"/>
        </w:r>
      </w:p>
    </w:sdtContent>
  </w:sdt>
  <w:p w:rsidR="0053102D" w:rsidRDefault="005310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837846"/>
      <w:docPartObj>
        <w:docPartGallery w:val="Page Numbers (Bottom of Page)"/>
        <w:docPartUnique/>
      </w:docPartObj>
    </w:sdtPr>
    <w:sdtEndPr>
      <w:rPr>
        <w:noProof/>
      </w:rPr>
    </w:sdtEndPr>
    <w:sdtContent>
      <w:p w:rsidR="0053102D" w:rsidRDefault="0053102D">
        <w:pPr>
          <w:pStyle w:val="Footer"/>
          <w:jc w:val="center"/>
        </w:pPr>
        <w:r>
          <w:fldChar w:fldCharType="begin"/>
        </w:r>
        <w:r>
          <w:instrText xml:space="preserve"> PAGE   \* MERGEFORMAT </w:instrText>
        </w:r>
        <w:r>
          <w:fldChar w:fldCharType="separate"/>
        </w:r>
        <w:r w:rsidR="00775AD5">
          <w:rPr>
            <w:noProof/>
          </w:rPr>
          <w:t>10</w:t>
        </w:r>
        <w:r>
          <w:fldChar w:fldCharType="end"/>
        </w:r>
      </w:p>
    </w:sdtContent>
  </w:sdt>
  <w:p w:rsidR="0053102D" w:rsidRDefault="0053102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66" w:rsidRPr="00775AD5" w:rsidRDefault="00775AD5" w:rsidP="00775AD5">
    <w:pPr>
      <w:pStyle w:val="FooterCoverPage"/>
      <w:rPr>
        <w:rFonts w:ascii="Arial" w:hAnsi="Arial" w:cs="Arial"/>
        <w:b/>
        <w:sz w:val="48"/>
      </w:rPr>
    </w:pPr>
    <w:r w:rsidRPr="00775AD5">
      <w:rPr>
        <w:rFonts w:ascii="Arial" w:hAnsi="Arial" w:cs="Arial"/>
        <w:b/>
        <w:sz w:val="48"/>
      </w:rPr>
      <w:t>DA</w:t>
    </w:r>
    <w:r w:rsidRPr="00775AD5">
      <w:rPr>
        <w:rFonts w:ascii="Arial" w:hAnsi="Arial" w:cs="Arial"/>
        <w:b/>
        <w:sz w:val="48"/>
      </w:rPr>
      <w:tab/>
    </w:r>
    <w:r w:rsidRPr="00775AD5">
      <w:rPr>
        <w:rFonts w:ascii="Arial" w:hAnsi="Arial" w:cs="Arial"/>
        <w:b/>
        <w:sz w:val="48"/>
      </w:rPr>
      <w:tab/>
    </w:r>
    <w:r w:rsidRPr="00775AD5">
      <w:tab/>
    </w:r>
    <w:r w:rsidRPr="00775AD5">
      <w:rPr>
        <w:rFonts w:ascii="Arial" w:hAnsi="Arial" w:cs="Arial"/>
        <w:b/>
        <w:sz w:val="48"/>
      </w:rPr>
      <w:t>DA</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2463"/>
      <w:docPartObj>
        <w:docPartGallery w:val="Page Numbers (Bottom of Page)"/>
        <w:docPartUnique/>
      </w:docPartObj>
    </w:sdtPr>
    <w:sdtEndPr>
      <w:rPr>
        <w:noProof/>
      </w:rPr>
    </w:sdtEndPr>
    <w:sdtContent>
      <w:p w:rsidR="0053102D" w:rsidRDefault="0053102D">
        <w:pPr>
          <w:pStyle w:val="Footer"/>
          <w:jc w:val="center"/>
        </w:pPr>
        <w:r>
          <w:fldChar w:fldCharType="begin"/>
        </w:r>
        <w:r>
          <w:instrText xml:space="preserve"> PAGE   \* MERGEFORMAT </w:instrText>
        </w:r>
        <w:r>
          <w:fldChar w:fldCharType="separate"/>
        </w:r>
        <w:r w:rsidR="00775AD5">
          <w:rPr>
            <w:noProof/>
          </w:rPr>
          <w:t>12</w:t>
        </w:r>
        <w:r>
          <w:fldChar w:fldCharType="end"/>
        </w:r>
      </w:p>
    </w:sdtContent>
  </w:sdt>
  <w:p w:rsidR="0053102D" w:rsidRDefault="0053102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5" w:rsidRPr="00775AD5" w:rsidRDefault="00775AD5" w:rsidP="00775AD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551974"/>
      <w:docPartObj>
        <w:docPartGallery w:val="Page Numbers (Bottom of Page)"/>
        <w:docPartUnique/>
      </w:docPartObj>
    </w:sdtPr>
    <w:sdtEndPr>
      <w:rPr>
        <w:noProof/>
      </w:rPr>
    </w:sdtEndPr>
    <w:sdtContent>
      <w:p w:rsidR="0053102D" w:rsidRDefault="0053102D">
        <w:pPr>
          <w:pStyle w:val="Footer"/>
          <w:jc w:val="center"/>
        </w:pPr>
        <w:r>
          <w:fldChar w:fldCharType="begin"/>
        </w:r>
        <w:r>
          <w:instrText xml:space="preserve"> PAGE   \* MERGEFORMAT </w:instrText>
        </w:r>
        <w:r>
          <w:fldChar w:fldCharType="separate"/>
        </w:r>
        <w:r w:rsidR="00775AD5">
          <w:rPr>
            <w:noProof/>
          </w:rPr>
          <w:t>1</w:t>
        </w:r>
        <w:r>
          <w:fldChar w:fldCharType="end"/>
        </w:r>
      </w:p>
    </w:sdtContent>
  </w:sdt>
  <w:p w:rsidR="0053102D" w:rsidRDefault="005310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43136"/>
      <w:docPartObj>
        <w:docPartGallery w:val="Page Numbers (Bottom of Page)"/>
        <w:docPartUnique/>
      </w:docPartObj>
    </w:sdtPr>
    <w:sdtEndPr>
      <w:rPr>
        <w:noProof/>
      </w:rPr>
    </w:sdtEndPr>
    <w:sdtContent>
      <w:p w:rsidR="0053102D" w:rsidRDefault="0053102D">
        <w:pPr>
          <w:pStyle w:val="Footer"/>
          <w:jc w:val="center"/>
        </w:pPr>
        <w:r>
          <w:fldChar w:fldCharType="begin"/>
        </w:r>
        <w:r>
          <w:instrText xml:space="preserve"> PAGE   \* MERGEFORMAT </w:instrText>
        </w:r>
        <w:r>
          <w:fldChar w:fldCharType="separate"/>
        </w:r>
        <w:r w:rsidR="00775AD5">
          <w:rPr>
            <w:noProof/>
          </w:rPr>
          <w:t>7</w:t>
        </w:r>
        <w:r>
          <w:fldChar w:fldCharType="end"/>
        </w:r>
      </w:p>
    </w:sdtContent>
  </w:sdt>
  <w:p w:rsidR="0053102D" w:rsidRDefault="0053102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2D" w:rsidRDefault="0053102D" w:rsidP="00062F97">
      <w:pPr>
        <w:spacing w:after="0" w:line="240" w:lineRule="auto"/>
      </w:pPr>
      <w:r>
        <w:separator/>
      </w:r>
    </w:p>
  </w:footnote>
  <w:footnote w:type="continuationSeparator" w:id="0">
    <w:p w:rsidR="0053102D" w:rsidRDefault="0053102D" w:rsidP="00062F97">
      <w:pPr>
        <w:spacing w:after="0" w:line="240" w:lineRule="auto"/>
      </w:pPr>
      <w:r>
        <w:continuationSeparator/>
      </w:r>
    </w:p>
  </w:footnote>
  <w:footnote w:id="1">
    <w:p w:rsidR="0053102D" w:rsidRPr="00C274A4" w:rsidRDefault="0053102D" w:rsidP="00062F97">
      <w:pPr>
        <w:pStyle w:val="FootnoteText"/>
        <w:rPr>
          <w:sz w:val="16"/>
          <w:szCs w:val="16"/>
        </w:rPr>
      </w:pPr>
      <w:r>
        <w:rPr>
          <w:rStyle w:val="FootnoteReference"/>
          <w:sz w:val="16"/>
          <w:szCs w:val="16"/>
        </w:rPr>
        <w:footnoteRef/>
      </w:r>
      <w:r>
        <w:rPr>
          <w:sz w:val="16"/>
        </w:rPr>
        <w:t xml:space="preserve"> </w:t>
      </w:r>
      <w:r>
        <w:tab/>
      </w:r>
      <w:r w:rsidRPr="00C274A4">
        <w:rPr>
          <w:sz w:val="16"/>
          <w:szCs w:val="16"/>
        </w:rPr>
        <w:t>I dette dokument tages der hensyn til artikel 152 og 153 i aftalen om Det Forenede Kongerige Storbritannien og Nordirlands udtræden af Den Europæiske Union og Det Europæiske Atomenergifællesskab, hvori det fastsættes, at Det Forenede Kongerige forbliver part i EUF indtil ophøret af 11. EUF og alle tidligere uafsluttede EUF'er. Det Forenede Kongeriges andel af frigjorte midler fra projekter under 11. EUF eller tidligere EUF'er må imidlertid ikke genanvendes.</w:t>
      </w:r>
    </w:p>
  </w:footnote>
  <w:footnote w:id="2">
    <w:p w:rsidR="0053102D" w:rsidRPr="00C274A4" w:rsidRDefault="0053102D" w:rsidP="00062F97">
      <w:pPr>
        <w:pStyle w:val="FootnoteText"/>
        <w:rPr>
          <w:noProof/>
          <w:sz w:val="16"/>
          <w:szCs w:val="16"/>
        </w:rPr>
      </w:pPr>
      <w:r w:rsidRPr="00C274A4">
        <w:rPr>
          <w:rStyle w:val="FootnoteReference"/>
          <w:sz w:val="16"/>
          <w:szCs w:val="16"/>
        </w:rPr>
        <w:footnoteRef/>
      </w:r>
      <w:r w:rsidRPr="00C274A4">
        <w:rPr>
          <w:sz w:val="16"/>
          <w:szCs w:val="16"/>
        </w:rPr>
        <w:t xml:space="preserve"> </w:t>
      </w:r>
      <w:r w:rsidR="00FA0348" w:rsidRPr="00C274A4">
        <w:rPr>
          <w:sz w:val="16"/>
          <w:szCs w:val="16"/>
        </w:rPr>
        <w:tab/>
      </w:r>
      <w:r w:rsidRPr="00C274A4">
        <w:rPr>
          <w:sz w:val="16"/>
          <w:szCs w:val="16"/>
        </w:rPr>
        <w:t>Rådets forordning (EU) 2018/1877 af 26. november 2018 om finansforordningen for 11. Europæiske Udviklingsfond og om ophævelse af Rådets forordning (EU) 2015/323 (EUT L 307 af 3.12.2018, s. 1).</w:t>
      </w:r>
    </w:p>
  </w:footnote>
  <w:footnote w:id="3">
    <w:p w:rsidR="0053102D" w:rsidRPr="00286258" w:rsidRDefault="0053102D">
      <w:pPr>
        <w:pStyle w:val="FootnoteText"/>
        <w:rPr>
          <w:sz w:val="16"/>
          <w:szCs w:val="16"/>
        </w:rPr>
      </w:pPr>
      <w:r w:rsidRPr="00C274A4">
        <w:rPr>
          <w:rStyle w:val="FootnoteReference"/>
          <w:sz w:val="16"/>
          <w:szCs w:val="16"/>
        </w:rPr>
        <w:footnoteRef/>
      </w:r>
      <w:r w:rsidRPr="00C274A4">
        <w:rPr>
          <w:sz w:val="16"/>
          <w:szCs w:val="16"/>
        </w:rPr>
        <w:t xml:space="preserve"> </w:t>
      </w:r>
      <w:r w:rsidRPr="00C274A4">
        <w:rPr>
          <w:sz w:val="16"/>
          <w:szCs w:val="16"/>
        </w:rPr>
        <w:tab/>
        <w:t>Disponering over midler fra den 10. og 11. EUF i overensstemmelse med Rådets afgørelse (EU) 2022/1223 af 12. juli 2022 om tildeling af midler, der er frigjort fra projekter under 10. og 11. Europæiske Udviklingsfond, til finansiering af foranstaltninger til håndtering af fødevaresikkerhedskrisen og det økonomiske chok i landene i Afrika, Caribien og Stillehavet (ACS) i forlængelse af Ruslands angrebskrig mod Ukraine.</w:t>
      </w:r>
    </w:p>
  </w:footnote>
  <w:footnote w:id="4">
    <w:p w:rsidR="0053102D" w:rsidRPr="00810B91" w:rsidRDefault="0053102D" w:rsidP="00810B91">
      <w:pPr>
        <w:pStyle w:val="FootnoteText"/>
        <w:ind w:left="142" w:hanging="142"/>
      </w:pPr>
      <w:r>
        <w:rPr>
          <w:rStyle w:val="FootnoteReference"/>
        </w:rPr>
        <w:footnoteRef/>
      </w:r>
      <w:r>
        <w:t xml:space="preserve"> Med denne tilbagebetaling vil det samlede beløb, der siden 2015 er blevet tilbagebetalt til "EU-15-medlemsstaterne" fra den niende reserve, nå op på 1,9 mia. EUR.</w:t>
      </w:r>
    </w:p>
  </w:footnote>
  <w:footnote w:id="5">
    <w:p w:rsidR="0053102D" w:rsidRDefault="0053102D" w:rsidP="00806869">
      <w:pPr>
        <w:pStyle w:val="FootnoteText"/>
        <w:ind w:left="142" w:hanging="142"/>
      </w:pPr>
      <w:r>
        <w:rPr>
          <w:rStyle w:val="FootnoteReference"/>
        </w:rPr>
        <w:footnoteRef/>
      </w:r>
      <w:r>
        <w:t xml:space="preserve"> Bruttoforpligtelser, dvs. uden fradrag af frigjorte beløb.</w:t>
      </w:r>
    </w:p>
  </w:footnote>
  <w:footnote w:id="6">
    <w:p w:rsidR="0053102D" w:rsidRDefault="0053102D" w:rsidP="00806869">
      <w:pPr>
        <w:pStyle w:val="FootnoteText"/>
        <w:ind w:left="142" w:hanging="142"/>
      </w:pPr>
      <w:r>
        <w:rPr>
          <w:rStyle w:val="FootnoteReference"/>
        </w:rPr>
        <w:footnoteRef/>
      </w:r>
      <w:r>
        <w:t xml:space="preserve"> Bruttobetalinger, dvs. uden fradrag af inddrevne beløb.</w:t>
      </w:r>
    </w:p>
  </w:footnote>
  <w:footnote w:id="7">
    <w:p w:rsidR="0053102D" w:rsidRPr="00567712" w:rsidRDefault="0053102D" w:rsidP="0029276F">
      <w:pPr>
        <w:pStyle w:val="FootnoteText"/>
      </w:pPr>
      <w:r>
        <w:rPr>
          <w:rStyle w:val="FootnoteReference"/>
        </w:rPr>
        <w:footnoteRef/>
      </w:r>
      <w:r>
        <w:t xml:space="preserve"> Ifølge aktuelle prognoser vil EIB have indkaldt hele sin andel af den 11. EUF ved udgangen af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5" w:rsidRPr="00775AD5" w:rsidRDefault="00775AD5" w:rsidP="00775A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5" w:rsidRPr="00775AD5" w:rsidRDefault="00775AD5" w:rsidP="00775AD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D5" w:rsidRPr="00775AD5" w:rsidRDefault="00775AD5" w:rsidP="00775AD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D" w:rsidRDefault="00531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12FA4"/>
    <w:multiLevelType w:val="multilevel"/>
    <w:tmpl w:val="8144A012"/>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sz w:val="24"/>
        <w:szCs w:val="24"/>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90B139A-F5D9-46C1-91BE-E3279EDDA1D6"/>
    <w:docVar w:name="LW_COVERPAGE_TYPE" w:val="1"/>
    <w:docVar w:name="LW_CROSSREFERENCE" w:val="&lt;UNUSED&gt;"/>
    <w:docVar w:name="LW_DocType" w:val="NORMAL"/>
    <w:docVar w:name="LW_EMISSION" w:val="7.10.2022"/>
    <w:docVar w:name="LW_EMISSION_ISODATE" w:val="2022-10-07"/>
    <w:docVar w:name="LW_EMISSION_LOCATION" w:val="BRX"/>
    <w:docVar w:name="LW_EMISSION_PREFIX" w:val="Bruxelles, den "/>
    <w:docVar w:name="LW_EMISSION_SUFFIX" w:val=" "/>
    <w:docVar w:name="LW_ID_DOCTYPE_NONLW" w:val="CP-010"/>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2) 4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inansielle oplysninger om Den Europæiske Udviklingsfond_x000d__x000d__x000d__x000b__x000d__x000d__x000d__x000b__x000d__x000d__x000d__x000b_Den Europæiske Udviklingsfond (EUF): overslag over forpligtelser, betalinger og bidrag fra parterne i Den Europæiske Udviklingsfond for 2022, 2023 og 2024 og ikkebindende overslag for årene 2025-2026"/>
    <w:docVar w:name="LW_TYPE.DOC.CP" w:val="MEDDELELSE FRA KOMMISSIONEN TIL RÅDET"/>
    <w:docVar w:name="LW_TYPE.DOC.CP.USERTEXT" w:val="&lt;EMPTY&gt;"/>
    <w:docVar w:name="LwApiVersions" w:val="LW4CoDe 1.23.2.0; LW 8.0, Build 20211117"/>
  </w:docVars>
  <w:rsids>
    <w:rsidRoot w:val="00062F97"/>
    <w:rsid w:val="00012EB0"/>
    <w:rsid w:val="00014706"/>
    <w:rsid w:val="00016E8A"/>
    <w:rsid w:val="00032A37"/>
    <w:rsid w:val="0003343A"/>
    <w:rsid w:val="00054342"/>
    <w:rsid w:val="000622F9"/>
    <w:rsid w:val="00062F97"/>
    <w:rsid w:val="00077E75"/>
    <w:rsid w:val="00090CA5"/>
    <w:rsid w:val="000948DA"/>
    <w:rsid w:val="00097BD6"/>
    <w:rsid w:val="000A747A"/>
    <w:rsid w:val="000B7B69"/>
    <w:rsid w:val="000E0A83"/>
    <w:rsid w:val="000F1385"/>
    <w:rsid w:val="0011105F"/>
    <w:rsid w:val="0011560D"/>
    <w:rsid w:val="00145F72"/>
    <w:rsid w:val="001512AA"/>
    <w:rsid w:val="00151B5C"/>
    <w:rsid w:val="00153072"/>
    <w:rsid w:val="001579DA"/>
    <w:rsid w:val="001642E1"/>
    <w:rsid w:val="00170C52"/>
    <w:rsid w:val="001763DE"/>
    <w:rsid w:val="001A4EFB"/>
    <w:rsid w:val="001A5EFF"/>
    <w:rsid w:val="001B0CF3"/>
    <w:rsid w:val="001B3C1A"/>
    <w:rsid w:val="001B5E83"/>
    <w:rsid w:val="001C125D"/>
    <w:rsid w:val="001C5682"/>
    <w:rsid w:val="001D09B1"/>
    <w:rsid w:val="001D1675"/>
    <w:rsid w:val="001D44AF"/>
    <w:rsid w:val="001D5519"/>
    <w:rsid w:val="001E477C"/>
    <w:rsid w:val="00212F4C"/>
    <w:rsid w:val="00216B83"/>
    <w:rsid w:val="00225D2F"/>
    <w:rsid w:val="00235EAC"/>
    <w:rsid w:val="00241621"/>
    <w:rsid w:val="002553EB"/>
    <w:rsid w:val="00261DC1"/>
    <w:rsid w:val="00270529"/>
    <w:rsid w:val="00283EAD"/>
    <w:rsid w:val="00285107"/>
    <w:rsid w:val="00286258"/>
    <w:rsid w:val="00286FA8"/>
    <w:rsid w:val="0029276F"/>
    <w:rsid w:val="00292DD9"/>
    <w:rsid w:val="00294239"/>
    <w:rsid w:val="002A4B6B"/>
    <w:rsid w:val="002B0A14"/>
    <w:rsid w:val="002F7AFD"/>
    <w:rsid w:val="00301866"/>
    <w:rsid w:val="003069D8"/>
    <w:rsid w:val="00307EFE"/>
    <w:rsid w:val="003216E5"/>
    <w:rsid w:val="00335061"/>
    <w:rsid w:val="003367B8"/>
    <w:rsid w:val="00353BCB"/>
    <w:rsid w:val="003757A9"/>
    <w:rsid w:val="00386669"/>
    <w:rsid w:val="00395A51"/>
    <w:rsid w:val="003A1887"/>
    <w:rsid w:val="003A798F"/>
    <w:rsid w:val="003B512E"/>
    <w:rsid w:val="003B59D8"/>
    <w:rsid w:val="003B7719"/>
    <w:rsid w:val="003C1832"/>
    <w:rsid w:val="003E1174"/>
    <w:rsid w:val="003E66FD"/>
    <w:rsid w:val="003E6879"/>
    <w:rsid w:val="003F33BF"/>
    <w:rsid w:val="004040BF"/>
    <w:rsid w:val="00415281"/>
    <w:rsid w:val="004347A5"/>
    <w:rsid w:val="0045166A"/>
    <w:rsid w:val="004575AD"/>
    <w:rsid w:val="00465FA1"/>
    <w:rsid w:val="00470B19"/>
    <w:rsid w:val="004711D5"/>
    <w:rsid w:val="004806B4"/>
    <w:rsid w:val="004B0311"/>
    <w:rsid w:val="004B6DAB"/>
    <w:rsid w:val="004C3682"/>
    <w:rsid w:val="004C75BC"/>
    <w:rsid w:val="004D078B"/>
    <w:rsid w:val="004F1C25"/>
    <w:rsid w:val="004F6774"/>
    <w:rsid w:val="00501B8E"/>
    <w:rsid w:val="00506627"/>
    <w:rsid w:val="00512389"/>
    <w:rsid w:val="005164FE"/>
    <w:rsid w:val="00517A99"/>
    <w:rsid w:val="005278E8"/>
    <w:rsid w:val="0053102D"/>
    <w:rsid w:val="00531BEC"/>
    <w:rsid w:val="00533BBD"/>
    <w:rsid w:val="005549F9"/>
    <w:rsid w:val="00567712"/>
    <w:rsid w:val="00573F58"/>
    <w:rsid w:val="00585AD7"/>
    <w:rsid w:val="005A1423"/>
    <w:rsid w:val="005A474F"/>
    <w:rsid w:val="005B1578"/>
    <w:rsid w:val="005F3FE1"/>
    <w:rsid w:val="00602DC6"/>
    <w:rsid w:val="006031DE"/>
    <w:rsid w:val="00612FB3"/>
    <w:rsid w:val="00620B16"/>
    <w:rsid w:val="00622FD5"/>
    <w:rsid w:val="006243A6"/>
    <w:rsid w:val="00627F13"/>
    <w:rsid w:val="00630C2E"/>
    <w:rsid w:val="00632794"/>
    <w:rsid w:val="006651BF"/>
    <w:rsid w:val="00665FBA"/>
    <w:rsid w:val="00673D94"/>
    <w:rsid w:val="0068225A"/>
    <w:rsid w:val="00686131"/>
    <w:rsid w:val="006874F6"/>
    <w:rsid w:val="006A12B7"/>
    <w:rsid w:val="006A3F3F"/>
    <w:rsid w:val="006B0CA4"/>
    <w:rsid w:val="006D1DA0"/>
    <w:rsid w:val="006D7535"/>
    <w:rsid w:val="006E1D19"/>
    <w:rsid w:val="006E1DA9"/>
    <w:rsid w:val="006E2284"/>
    <w:rsid w:val="006F1830"/>
    <w:rsid w:val="00702690"/>
    <w:rsid w:val="00717701"/>
    <w:rsid w:val="00747E8F"/>
    <w:rsid w:val="00752B4D"/>
    <w:rsid w:val="007673DB"/>
    <w:rsid w:val="00775AD5"/>
    <w:rsid w:val="007A7FE1"/>
    <w:rsid w:val="007B4622"/>
    <w:rsid w:val="007B48EE"/>
    <w:rsid w:val="007B67D4"/>
    <w:rsid w:val="007B6ABE"/>
    <w:rsid w:val="007E445D"/>
    <w:rsid w:val="008052BE"/>
    <w:rsid w:val="008054DC"/>
    <w:rsid w:val="00806869"/>
    <w:rsid w:val="00810B91"/>
    <w:rsid w:val="008114CB"/>
    <w:rsid w:val="00813F26"/>
    <w:rsid w:val="0081406B"/>
    <w:rsid w:val="00834BEF"/>
    <w:rsid w:val="00840AE1"/>
    <w:rsid w:val="008439B0"/>
    <w:rsid w:val="008459E6"/>
    <w:rsid w:val="00860895"/>
    <w:rsid w:val="008706C9"/>
    <w:rsid w:val="00885874"/>
    <w:rsid w:val="00892B21"/>
    <w:rsid w:val="008B1C56"/>
    <w:rsid w:val="008B35A0"/>
    <w:rsid w:val="008C5021"/>
    <w:rsid w:val="008F389F"/>
    <w:rsid w:val="009041D8"/>
    <w:rsid w:val="00910D28"/>
    <w:rsid w:val="00952498"/>
    <w:rsid w:val="0097081B"/>
    <w:rsid w:val="00980393"/>
    <w:rsid w:val="00981C05"/>
    <w:rsid w:val="009839CE"/>
    <w:rsid w:val="00985FCF"/>
    <w:rsid w:val="00990FA5"/>
    <w:rsid w:val="0099577D"/>
    <w:rsid w:val="009A0D3E"/>
    <w:rsid w:val="009A67A4"/>
    <w:rsid w:val="009A7EAB"/>
    <w:rsid w:val="009B130A"/>
    <w:rsid w:val="009C4694"/>
    <w:rsid w:val="009F0368"/>
    <w:rsid w:val="009F0666"/>
    <w:rsid w:val="00A06D11"/>
    <w:rsid w:val="00A07C26"/>
    <w:rsid w:val="00A16C14"/>
    <w:rsid w:val="00A25EDB"/>
    <w:rsid w:val="00A26E12"/>
    <w:rsid w:val="00A412A4"/>
    <w:rsid w:val="00A52A0C"/>
    <w:rsid w:val="00AB2247"/>
    <w:rsid w:val="00AC12E3"/>
    <w:rsid w:val="00AE37D7"/>
    <w:rsid w:val="00AE5267"/>
    <w:rsid w:val="00AE6204"/>
    <w:rsid w:val="00B30C68"/>
    <w:rsid w:val="00B3383C"/>
    <w:rsid w:val="00B47CFB"/>
    <w:rsid w:val="00B5073F"/>
    <w:rsid w:val="00B530C1"/>
    <w:rsid w:val="00B54397"/>
    <w:rsid w:val="00B66431"/>
    <w:rsid w:val="00B72128"/>
    <w:rsid w:val="00B76092"/>
    <w:rsid w:val="00BB143C"/>
    <w:rsid w:val="00BD68DE"/>
    <w:rsid w:val="00BD6DF0"/>
    <w:rsid w:val="00BE63CC"/>
    <w:rsid w:val="00BF5E6F"/>
    <w:rsid w:val="00BF70A5"/>
    <w:rsid w:val="00C03A75"/>
    <w:rsid w:val="00C10815"/>
    <w:rsid w:val="00C12871"/>
    <w:rsid w:val="00C13895"/>
    <w:rsid w:val="00C14254"/>
    <w:rsid w:val="00C179BF"/>
    <w:rsid w:val="00C21E19"/>
    <w:rsid w:val="00C22F65"/>
    <w:rsid w:val="00C274A4"/>
    <w:rsid w:val="00C31381"/>
    <w:rsid w:val="00C31670"/>
    <w:rsid w:val="00C61397"/>
    <w:rsid w:val="00C7550F"/>
    <w:rsid w:val="00C87DCA"/>
    <w:rsid w:val="00C9551C"/>
    <w:rsid w:val="00CD034E"/>
    <w:rsid w:val="00CD0CAE"/>
    <w:rsid w:val="00CD1C15"/>
    <w:rsid w:val="00CE71B2"/>
    <w:rsid w:val="00CF607A"/>
    <w:rsid w:val="00D13DA4"/>
    <w:rsid w:val="00D17C76"/>
    <w:rsid w:val="00D60228"/>
    <w:rsid w:val="00D76B69"/>
    <w:rsid w:val="00D81450"/>
    <w:rsid w:val="00D912D7"/>
    <w:rsid w:val="00DA311D"/>
    <w:rsid w:val="00DA7DD8"/>
    <w:rsid w:val="00DB3F96"/>
    <w:rsid w:val="00DB590E"/>
    <w:rsid w:val="00DC321F"/>
    <w:rsid w:val="00DC4A4C"/>
    <w:rsid w:val="00DD4916"/>
    <w:rsid w:val="00DE5900"/>
    <w:rsid w:val="00E03858"/>
    <w:rsid w:val="00E27CE5"/>
    <w:rsid w:val="00E308F8"/>
    <w:rsid w:val="00E643F1"/>
    <w:rsid w:val="00E72958"/>
    <w:rsid w:val="00E86CC1"/>
    <w:rsid w:val="00E91F64"/>
    <w:rsid w:val="00E949F1"/>
    <w:rsid w:val="00E95766"/>
    <w:rsid w:val="00EB0F15"/>
    <w:rsid w:val="00EC7E53"/>
    <w:rsid w:val="00EE16E0"/>
    <w:rsid w:val="00EF0C54"/>
    <w:rsid w:val="00EF2E10"/>
    <w:rsid w:val="00F17DDC"/>
    <w:rsid w:val="00F63826"/>
    <w:rsid w:val="00F64E5A"/>
    <w:rsid w:val="00F7117B"/>
    <w:rsid w:val="00F7198F"/>
    <w:rsid w:val="00F774B5"/>
    <w:rsid w:val="00F90535"/>
    <w:rsid w:val="00FA0348"/>
    <w:rsid w:val="00FA6153"/>
    <w:rsid w:val="00FA6D89"/>
    <w:rsid w:val="00FB07F6"/>
    <w:rsid w:val="00FB34BD"/>
    <w:rsid w:val="00FC2A01"/>
    <w:rsid w:val="00FD4D15"/>
    <w:rsid w:val="00FE433A"/>
    <w:rsid w:val="00FE4C9A"/>
    <w:rsid w:val="00FE60B7"/>
    <w:rsid w:val="00FE6E39"/>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chartTrackingRefBased/>
  <w15:docId w15:val="{A5CAD07B-D14B-4075-B2C0-03D1B76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062F97"/>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rsid w:val="00062F97"/>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rsid w:val="00062F97"/>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rsid w:val="00062F97"/>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62F97"/>
    <w:rPr>
      <w:color w:val="0000FF"/>
      <w:shd w:val="clear" w:color="auto" w:fill="auto"/>
    </w:rPr>
  </w:style>
  <w:style w:type="paragraph" w:styleId="Header">
    <w:name w:val="header"/>
    <w:basedOn w:val="Normal"/>
    <w:link w:val="HeaderChar"/>
    <w:uiPriority w:val="99"/>
    <w:unhideWhenUsed/>
    <w:rsid w:val="00062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7"/>
  </w:style>
  <w:style w:type="paragraph" w:styleId="Footer">
    <w:name w:val="footer"/>
    <w:basedOn w:val="Normal"/>
    <w:link w:val="FooterChar"/>
    <w:uiPriority w:val="99"/>
    <w:unhideWhenUsed/>
    <w:rsid w:val="00062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7"/>
  </w:style>
  <w:style w:type="paragraph" w:customStyle="1" w:styleId="Pagedecouverture">
    <w:name w:val="Page de couverture"/>
    <w:basedOn w:val="Normal"/>
    <w:next w:val="Normal"/>
    <w:rsid w:val="00062F9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62F9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62F97"/>
    <w:rPr>
      <w:rFonts w:ascii="Times New Roman" w:hAnsi="Times New Roman" w:cs="Times New Roman"/>
      <w:sz w:val="24"/>
    </w:rPr>
  </w:style>
  <w:style w:type="paragraph" w:customStyle="1" w:styleId="FooterSensitivity">
    <w:name w:val="Footer Sensitivity"/>
    <w:basedOn w:val="Normal"/>
    <w:link w:val="FooterSensitivityChar"/>
    <w:rsid w:val="00062F9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62F97"/>
    <w:rPr>
      <w:rFonts w:ascii="Times New Roman" w:hAnsi="Times New Roman" w:cs="Times New Roman"/>
      <w:b/>
      <w:sz w:val="32"/>
    </w:rPr>
  </w:style>
  <w:style w:type="paragraph" w:customStyle="1" w:styleId="HeaderCoverPage">
    <w:name w:val="Header Cover Page"/>
    <w:basedOn w:val="Normal"/>
    <w:link w:val="HeaderCoverPageChar"/>
    <w:rsid w:val="00062F9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62F97"/>
    <w:rPr>
      <w:rFonts w:ascii="Times New Roman" w:hAnsi="Times New Roman" w:cs="Times New Roman"/>
      <w:sz w:val="24"/>
    </w:rPr>
  </w:style>
  <w:style w:type="paragraph" w:customStyle="1" w:styleId="HeaderSensitivity">
    <w:name w:val="Header Sensitivity"/>
    <w:basedOn w:val="Normal"/>
    <w:link w:val="HeaderSensitivityChar"/>
    <w:rsid w:val="00062F9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62F97"/>
    <w:rPr>
      <w:rFonts w:ascii="Times New Roman" w:hAnsi="Times New Roman" w:cs="Times New Roman"/>
      <w:b/>
      <w:sz w:val="32"/>
    </w:rPr>
  </w:style>
  <w:style w:type="paragraph" w:customStyle="1" w:styleId="HeaderSensitivityRight">
    <w:name w:val="Header Sensitivity Right"/>
    <w:basedOn w:val="Normal"/>
    <w:link w:val="HeaderSensitivityRightChar"/>
    <w:rsid w:val="00062F9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62F97"/>
    <w:rPr>
      <w:rFonts w:ascii="Times New Roman" w:hAnsi="Times New Roman" w:cs="Times New Roman"/>
      <w:sz w:val="28"/>
    </w:rPr>
  </w:style>
  <w:style w:type="character" w:customStyle="1" w:styleId="Heading1Char">
    <w:name w:val="Heading 1 Char"/>
    <w:basedOn w:val="DefaultParagraphFont"/>
    <w:link w:val="Heading1"/>
    <w:uiPriority w:val="9"/>
    <w:rsid w:val="00062F97"/>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sid w:val="00062F97"/>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sid w:val="00062F97"/>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sid w:val="00062F97"/>
    <w:rPr>
      <w:rFonts w:ascii="Times New Roman" w:eastAsia="Times New Roman" w:hAnsi="Times New Roman" w:cs="Times New Roman"/>
      <w:bCs/>
      <w:iCs/>
      <w:sz w:val="24"/>
      <w:lang w:eastAsia="en-GB"/>
    </w:rPr>
  </w:style>
  <w:style w:type="paragraph" w:customStyle="1" w:styleId="Text1">
    <w:name w:val="Text 1"/>
    <w:basedOn w:val="Normal"/>
    <w:rsid w:val="00062F97"/>
    <w:pPr>
      <w:spacing w:before="120" w:after="120" w:line="240" w:lineRule="auto"/>
      <w:ind w:left="850"/>
      <w:jc w:val="both"/>
    </w:pPr>
    <w:rPr>
      <w:rFonts w:ascii="Times New Roman" w:eastAsia="Times New Roman" w:hAnsi="Times New Roman" w:cs="Times New Roman"/>
      <w:sz w:val="24"/>
      <w:lang w:eastAsia="en-GB"/>
    </w:rPr>
  </w:style>
  <w:style w:type="paragraph" w:styleId="FootnoteText">
    <w:name w:val="footnote text"/>
    <w:basedOn w:val="Normal"/>
    <w:link w:val="FootnoteTextChar"/>
    <w:uiPriority w:val="99"/>
    <w:unhideWhenUsed/>
    <w:rsid w:val="00062F97"/>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062F97"/>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062F97"/>
    <w:rPr>
      <w:vertAlign w:val="superscript"/>
    </w:rPr>
  </w:style>
  <w:style w:type="paragraph" w:styleId="BalloonText">
    <w:name w:val="Balloon Text"/>
    <w:basedOn w:val="Normal"/>
    <w:link w:val="BalloonTextChar"/>
    <w:uiPriority w:val="99"/>
    <w:semiHidden/>
    <w:unhideWhenUsed/>
    <w:rsid w:val="00531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BEC"/>
    <w:rPr>
      <w:rFonts w:ascii="Segoe UI" w:hAnsi="Segoe UI" w:cs="Segoe UI"/>
      <w:sz w:val="18"/>
      <w:szCs w:val="18"/>
    </w:rPr>
  </w:style>
  <w:style w:type="character" w:styleId="CommentReference">
    <w:name w:val="annotation reference"/>
    <w:basedOn w:val="DefaultParagraphFont"/>
    <w:uiPriority w:val="99"/>
    <w:semiHidden/>
    <w:unhideWhenUsed/>
    <w:rsid w:val="007A7FE1"/>
    <w:rPr>
      <w:sz w:val="16"/>
      <w:szCs w:val="16"/>
    </w:rPr>
  </w:style>
  <w:style w:type="paragraph" w:styleId="CommentText">
    <w:name w:val="annotation text"/>
    <w:basedOn w:val="Normal"/>
    <w:link w:val="CommentTextChar"/>
    <w:uiPriority w:val="99"/>
    <w:semiHidden/>
    <w:unhideWhenUsed/>
    <w:rsid w:val="007A7FE1"/>
    <w:pPr>
      <w:spacing w:line="240" w:lineRule="auto"/>
    </w:pPr>
    <w:rPr>
      <w:sz w:val="20"/>
      <w:szCs w:val="20"/>
    </w:rPr>
  </w:style>
  <w:style w:type="character" w:customStyle="1" w:styleId="CommentTextChar">
    <w:name w:val="Comment Text Char"/>
    <w:basedOn w:val="DefaultParagraphFont"/>
    <w:link w:val="CommentText"/>
    <w:uiPriority w:val="99"/>
    <w:semiHidden/>
    <w:rsid w:val="007A7FE1"/>
    <w:rPr>
      <w:sz w:val="20"/>
      <w:szCs w:val="20"/>
    </w:rPr>
  </w:style>
  <w:style w:type="paragraph" w:styleId="CommentSubject">
    <w:name w:val="annotation subject"/>
    <w:basedOn w:val="CommentText"/>
    <w:next w:val="CommentText"/>
    <w:link w:val="CommentSubjectChar"/>
    <w:uiPriority w:val="99"/>
    <w:semiHidden/>
    <w:unhideWhenUsed/>
    <w:rsid w:val="007A7FE1"/>
    <w:rPr>
      <w:b/>
      <w:bCs/>
    </w:rPr>
  </w:style>
  <w:style w:type="character" w:customStyle="1" w:styleId="CommentSubjectChar">
    <w:name w:val="Comment Subject Char"/>
    <w:basedOn w:val="CommentTextChar"/>
    <w:link w:val="CommentSubject"/>
    <w:uiPriority w:val="99"/>
    <w:semiHidden/>
    <w:rsid w:val="007A7FE1"/>
    <w:rPr>
      <w:b/>
      <w:bCs/>
      <w:sz w:val="20"/>
      <w:szCs w:val="20"/>
    </w:rPr>
  </w:style>
  <w:style w:type="character" w:customStyle="1" w:styleId="markedcontent">
    <w:name w:val="markedcontent"/>
    <w:basedOn w:val="DefaultParagraphFont"/>
    <w:rsid w:val="00885874"/>
  </w:style>
  <w:style w:type="paragraph" w:styleId="EndnoteText">
    <w:name w:val="endnote text"/>
    <w:basedOn w:val="Normal"/>
    <w:link w:val="EndnoteTextChar"/>
    <w:uiPriority w:val="99"/>
    <w:semiHidden/>
    <w:unhideWhenUsed/>
    <w:rsid w:val="00C14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254"/>
    <w:rPr>
      <w:sz w:val="20"/>
      <w:szCs w:val="20"/>
    </w:rPr>
  </w:style>
  <w:style w:type="character" w:styleId="EndnoteReference">
    <w:name w:val="endnote reference"/>
    <w:basedOn w:val="DefaultParagraphFont"/>
    <w:uiPriority w:val="99"/>
    <w:semiHidden/>
    <w:unhideWhenUsed/>
    <w:rsid w:val="00C14254"/>
    <w:rPr>
      <w:vertAlign w:val="superscript"/>
    </w:rPr>
  </w:style>
  <w:style w:type="paragraph" w:styleId="NormalWeb">
    <w:name w:val="Normal (Web)"/>
    <w:basedOn w:val="Normal"/>
    <w:uiPriority w:val="99"/>
    <w:semiHidden/>
    <w:unhideWhenUsed/>
    <w:rsid w:val="00AC12E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AC12E3"/>
    <w:pPr>
      <w:spacing w:after="0" w:line="240" w:lineRule="auto"/>
    </w:pPr>
  </w:style>
  <w:style w:type="paragraph" w:styleId="ListParagraph">
    <w:name w:val="List Paragraph"/>
    <w:basedOn w:val="Normal"/>
    <w:uiPriority w:val="34"/>
    <w:qFormat/>
    <w:rsid w:val="00FE4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4805">
      <w:bodyDiv w:val="1"/>
      <w:marLeft w:val="0"/>
      <w:marRight w:val="0"/>
      <w:marTop w:val="0"/>
      <w:marBottom w:val="0"/>
      <w:divBdr>
        <w:top w:val="none" w:sz="0" w:space="0" w:color="auto"/>
        <w:left w:val="none" w:sz="0" w:space="0" w:color="auto"/>
        <w:bottom w:val="none" w:sz="0" w:space="0" w:color="auto"/>
        <w:right w:val="none" w:sz="0" w:space="0" w:color="auto"/>
      </w:divBdr>
    </w:div>
    <w:div w:id="43256483">
      <w:bodyDiv w:val="1"/>
      <w:marLeft w:val="0"/>
      <w:marRight w:val="0"/>
      <w:marTop w:val="0"/>
      <w:marBottom w:val="0"/>
      <w:divBdr>
        <w:top w:val="none" w:sz="0" w:space="0" w:color="auto"/>
        <w:left w:val="none" w:sz="0" w:space="0" w:color="auto"/>
        <w:bottom w:val="none" w:sz="0" w:space="0" w:color="auto"/>
        <w:right w:val="none" w:sz="0" w:space="0" w:color="auto"/>
      </w:divBdr>
    </w:div>
    <w:div w:id="153497331">
      <w:bodyDiv w:val="1"/>
      <w:marLeft w:val="0"/>
      <w:marRight w:val="0"/>
      <w:marTop w:val="0"/>
      <w:marBottom w:val="0"/>
      <w:divBdr>
        <w:top w:val="none" w:sz="0" w:space="0" w:color="auto"/>
        <w:left w:val="none" w:sz="0" w:space="0" w:color="auto"/>
        <w:bottom w:val="none" w:sz="0" w:space="0" w:color="auto"/>
        <w:right w:val="none" w:sz="0" w:space="0" w:color="auto"/>
      </w:divBdr>
    </w:div>
    <w:div w:id="163010851">
      <w:bodyDiv w:val="1"/>
      <w:marLeft w:val="0"/>
      <w:marRight w:val="0"/>
      <w:marTop w:val="0"/>
      <w:marBottom w:val="0"/>
      <w:divBdr>
        <w:top w:val="none" w:sz="0" w:space="0" w:color="auto"/>
        <w:left w:val="none" w:sz="0" w:space="0" w:color="auto"/>
        <w:bottom w:val="none" w:sz="0" w:space="0" w:color="auto"/>
        <w:right w:val="none" w:sz="0" w:space="0" w:color="auto"/>
      </w:divBdr>
    </w:div>
    <w:div w:id="217514706">
      <w:bodyDiv w:val="1"/>
      <w:marLeft w:val="0"/>
      <w:marRight w:val="0"/>
      <w:marTop w:val="0"/>
      <w:marBottom w:val="0"/>
      <w:divBdr>
        <w:top w:val="none" w:sz="0" w:space="0" w:color="auto"/>
        <w:left w:val="none" w:sz="0" w:space="0" w:color="auto"/>
        <w:bottom w:val="none" w:sz="0" w:space="0" w:color="auto"/>
        <w:right w:val="none" w:sz="0" w:space="0" w:color="auto"/>
      </w:divBdr>
    </w:div>
    <w:div w:id="235164877">
      <w:bodyDiv w:val="1"/>
      <w:marLeft w:val="0"/>
      <w:marRight w:val="0"/>
      <w:marTop w:val="0"/>
      <w:marBottom w:val="0"/>
      <w:divBdr>
        <w:top w:val="none" w:sz="0" w:space="0" w:color="auto"/>
        <w:left w:val="none" w:sz="0" w:space="0" w:color="auto"/>
        <w:bottom w:val="none" w:sz="0" w:space="0" w:color="auto"/>
        <w:right w:val="none" w:sz="0" w:space="0" w:color="auto"/>
      </w:divBdr>
    </w:div>
    <w:div w:id="311912547">
      <w:bodyDiv w:val="1"/>
      <w:marLeft w:val="0"/>
      <w:marRight w:val="0"/>
      <w:marTop w:val="0"/>
      <w:marBottom w:val="0"/>
      <w:divBdr>
        <w:top w:val="none" w:sz="0" w:space="0" w:color="auto"/>
        <w:left w:val="none" w:sz="0" w:space="0" w:color="auto"/>
        <w:bottom w:val="none" w:sz="0" w:space="0" w:color="auto"/>
        <w:right w:val="none" w:sz="0" w:space="0" w:color="auto"/>
      </w:divBdr>
    </w:div>
    <w:div w:id="334765063">
      <w:bodyDiv w:val="1"/>
      <w:marLeft w:val="0"/>
      <w:marRight w:val="0"/>
      <w:marTop w:val="0"/>
      <w:marBottom w:val="0"/>
      <w:divBdr>
        <w:top w:val="none" w:sz="0" w:space="0" w:color="auto"/>
        <w:left w:val="none" w:sz="0" w:space="0" w:color="auto"/>
        <w:bottom w:val="none" w:sz="0" w:space="0" w:color="auto"/>
        <w:right w:val="none" w:sz="0" w:space="0" w:color="auto"/>
      </w:divBdr>
    </w:div>
    <w:div w:id="385684840">
      <w:bodyDiv w:val="1"/>
      <w:marLeft w:val="0"/>
      <w:marRight w:val="0"/>
      <w:marTop w:val="0"/>
      <w:marBottom w:val="0"/>
      <w:divBdr>
        <w:top w:val="none" w:sz="0" w:space="0" w:color="auto"/>
        <w:left w:val="none" w:sz="0" w:space="0" w:color="auto"/>
        <w:bottom w:val="none" w:sz="0" w:space="0" w:color="auto"/>
        <w:right w:val="none" w:sz="0" w:space="0" w:color="auto"/>
      </w:divBdr>
    </w:div>
    <w:div w:id="447622192">
      <w:bodyDiv w:val="1"/>
      <w:marLeft w:val="0"/>
      <w:marRight w:val="0"/>
      <w:marTop w:val="0"/>
      <w:marBottom w:val="0"/>
      <w:divBdr>
        <w:top w:val="none" w:sz="0" w:space="0" w:color="auto"/>
        <w:left w:val="none" w:sz="0" w:space="0" w:color="auto"/>
        <w:bottom w:val="none" w:sz="0" w:space="0" w:color="auto"/>
        <w:right w:val="none" w:sz="0" w:space="0" w:color="auto"/>
      </w:divBdr>
    </w:div>
    <w:div w:id="470562787">
      <w:bodyDiv w:val="1"/>
      <w:marLeft w:val="0"/>
      <w:marRight w:val="0"/>
      <w:marTop w:val="0"/>
      <w:marBottom w:val="0"/>
      <w:divBdr>
        <w:top w:val="none" w:sz="0" w:space="0" w:color="auto"/>
        <w:left w:val="none" w:sz="0" w:space="0" w:color="auto"/>
        <w:bottom w:val="none" w:sz="0" w:space="0" w:color="auto"/>
        <w:right w:val="none" w:sz="0" w:space="0" w:color="auto"/>
      </w:divBdr>
    </w:div>
    <w:div w:id="529339486">
      <w:bodyDiv w:val="1"/>
      <w:marLeft w:val="0"/>
      <w:marRight w:val="0"/>
      <w:marTop w:val="0"/>
      <w:marBottom w:val="0"/>
      <w:divBdr>
        <w:top w:val="none" w:sz="0" w:space="0" w:color="auto"/>
        <w:left w:val="none" w:sz="0" w:space="0" w:color="auto"/>
        <w:bottom w:val="none" w:sz="0" w:space="0" w:color="auto"/>
        <w:right w:val="none" w:sz="0" w:space="0" w:color="auto"/>
      </w:divBdr>
    </w:div>
    <w:div w:id="530841653">
      <w:bodyDiv w:val="1"/>
      <w:marLeft w:val="0"/>
      <w:marRight w:val="0"/>
      <w:marTop w:val="0"/>
      <w:marBottom w:val="0"/>
      <w:divBdr>
        <w:top w:val="none" w:sz="0" w:space="0" w:color="auto"/>
        <w:left w:val="none" w:sz="0" w:space="0" w:color="auto"/>
        <w:bottom w:val="none" w:sz="0" w:space="0" w:color="auto"/>
        <w:right w:val="none" w:sz="0" w:space="0" w:color="auto"/>
      </w:divBdr>
    </w:div>
    <w:div w:id="539514778">
      <w:bodyDiv w:val="1"/>
      <w:marLeft w:val="0"/>
      <w:marRight w:val="0"/>
      <w:marTop w:val="0"/>
      <w:marBottom w:val="0"/>
      <w:divBdr>
        <w:top w:val="none" w:sz="0" w:space="0" w:color="auto"/>
        <w:left w:val="none" w:sz="0" w:space="0" w:color="auto"/>
        <w:bottom w:val="none" w:sz="0" w:space="0" w:color="auto"/>
        <w:right w:val="none" w:sz="0" w:space="0" w:color="auto"/>
      </w:divBdr>
    </w:div>
    <w:div w:id="545410966">
      <w:bodyDiv w:val="1"/>
      <w:marLeft w:val="0"/>
      <w:marRight w:val="0"/>
      <w:marTop w:val="0"/>
      <w:marBottom w:val="0"/>
      <w:divBdr>
        <w:top w:val="none" w:sz="0" w:space="0" w:color="auto"/>
        <w:left w:val="none" w:sz="0" w:space="0" w:color="auto"/>
        <w:bottom w:val="none" w:sz="0" w:space="0" w:color="auto"/>
        <w:right w:val="none" w:sz="0" w:space="0" w:color="auto"/>
      </w:divBdr>
    </w:div>
    <w:div w:id="573273817">
      <w:bodyDiv w:val="1"/>
      <w:marLeft w:val="0"/>
      <w:marRight w:val="0"/>
      <w:marTop w:val="0"/>
      <w:marBottom w:val="0"/>
      <w:divBdr>
        <w:top w:val="none" w:sz="0" w:space="0" w:color="auto"/>
        <w:left w:val="none" w:sz="0" w:space="0" w:color="auto"/>
        <w:bottom w:val="none" w:sz="0" w:space="0" w:color="auto"/>
        <w:right w:val="none" w:sz="0" w:space="0" w:color="auto"/>
      </w:divBdr>
    </w:div>
    <w:div w:id="573786071">
      <w:bodyDiv w:val="1"/>
      <w:marLeft w:val="0"/>
      <w:marRight w:val="0"/>
      <w:marTop w:val="0"/>
      <w:marBottom w:val="0"/>
      <w:divBdr>
        <w:top w:val="none" w:sz="0" w:space="0" w:color="auto"/>
        <w:left w:val="none" w:sz="0" w:space="0" w:color="auto"/>
        <w:bottom w:val="none" w:sz="0" w:space="0" w:color="auto"/>
        <w:right w:val="none" w:sz="0" w:space="0" w:color="auto"/>
      </w:divBdr>
    </w:div>
    <w:div w:id="579483391">
      <w:bodyDiv w:val="1"/>
      <w:marLeft w:val="0"/>
      <w:marRight w:val="0"/>
      <w:marTop w:val="0"/>
      <w:marBottom w:val="0"/>
      <w:divBdr>
        <w:top w:val="none" w:sz="0" w:space="0" w:color="auto"/>
        <w:left w:val="none" w:sz="0" w:space="0" w:color="auto"/>
        <w:bottom w:val="none" w:sz="0" w:space="0" w:color="auto"/>
        <w:right w:val="none" w:sz="0" w:space="0" w:color="auto"/>
      </w:divBdr>
    </w:div>
    <w:div w:id="592860506">
      <w:bodyDiv w:val="1"/>
      <w:marLeft w:val="0"/>
      <w:marRight w:val="0"/>
      <w:marTop w:val="0"/>
      <w:marBottom w:val="0"/>
      <w:divBdr>
        <w:top w:val="none" w:sz="0" w:space="0" w:color="auto"/>
        <w:left w:val="none" w:sz="0" w:space="0" w:color="auto"/>
        <w:bottom w:val="none" w:sz="0" w:space="0" w:color="auto"/>
        <w:right w:val="none" w:sz="0" w:space="0" w:color="auto"/>
      </w:divBdr>
    </w:div>
    <w:div w:id="647129024">
      <w:bodyDiv w:val="1"/>
      <w:marLeft w:val="0"/>
      <w:marRight w:val="0"/>
      <w:marTop w:val="0"/>
      <w:marBottom w:val="0"/>
      <w:divBdr>
        <w:top w:val="none" w:sz="0" w:space="0" w:color="auto"/>
        <w:left w:val="none" w:sz="0" w:space="0" w:color="auto"/>
        <w:bottom w:val="none" w:sz="0" w:space="0" w:color="auto"/>
        <w:right w:val="none" w:sz="0" w:space="0" w:color="auto"/>
      </w:divBdr>
    </w:div>
    <w:div w:id="657419901">
      <w:bodyDiv w:val="1"/>
      <w:marLeft w:val="0"/>
      <w:marRight w:val="0"/>
      <w:marTop w:val="0"/>
      <w:marBottom w:val="0"/>
      <w:divBdr>
        <w:top w:val="none" w:sz="0" w:space="0" w:color="auto"/>
        <w:left w:val="none" w:sz="0" w:space="0" w:color="auto"/>
        <w:bottom w:val="none" w:sz="0" w:space="0" w:color="auto"/>
        <w:right w:val="none" w:sz="0" w:space="0" w:color="auto"/>
      </w:divBdr>
    </w:div>
    <w:div w:id="681664962">
      <w:bodyDiv w:val="1"/>
      <w:marLeft w:val="0"/>
      <w:marRight w:val="0"/>
      <w:marTop w:val="0"/>
      <w:marBottom w:val="0"/>
      <w:divBdr>
        <w:top w:val="none" w:sz="0" w:space="0" w:color="auto"/>
        <w:left w:val="none" w:sz="0" w:space="0" w:color="auto"/>
        <w:bottom w:val="none" w:sz="0" w:space="0" w:color="auto"/>
        <w:right w:val="none" w:sz="0" w:space="0" w:color="auto"/>
      </w:divBdr>
    </w:div>
    <w:div w:id="705985739">
      <w:bodyDiv w:val="1"/>
      <w:marLeft w:val="0"/>
      <w:marRight w:val="0"/>
      <w:marTop w:val="0"/>
      <w:marBottom w:val="0"/>
      <w:divBdr>
        <w:top w:val="none" w:sz="0" w:space="0" w:color="auto"/>
        <w:left w:val="none" w:sz="0" w:space="0" w:color="auto"/>
        <w:bottom w:val="none" w:sz="0" w:space="0" w:color="auto"/>
        <w:right w:val="none" w:sz="0" w:space="0" w:color="auto"/>
      </w:divBdr>
    </w:div>
    <w:div w:id="734931834">
      <w:bodyDiv w:val="1"/>
      <w:marLeft w:val="0"/>
      <w:marRight w:val="0"/>
      <w:marTop w:val="0"/>
      <w:marBottom w:val="0"/>
      <w:divBdr>
        <w:top w:val="none" w:sz="0" w:space="0" w:color="auto"/>
        <w:left w:val="none" w:sz="0" w:space="0" w:color="auto"/>
        <w:bottom w:val="none" w:sz="0" w:space="0" w:color="auto"/>
        <w:right w:val="none" w:sz="0" w:space="0" w:color="auto"/>
      </w:divBdr>
    </w:div>
    <w:div w:id="772280976">
      <w:bodyDiv w:val="1"/>
      <w:marLeft w:val="0"/>
      <w:marRight w:val="0"/>
      <w:marTop w:val="0"/>
      <w:marBottom w:val="0"/>
      <w:divBdr>
        <w:top w:val="none" w:sz="0" w:space="0" w:color="auto"/>
        <w:left w:val="none" w:sz="0" w:space="0" w:color="auto"/>
        <w:bottom w:val="none" w:sz="0" w:space="0" w:color="auto"/>
        <w:right w:val="none" w:sz="0" w:space="0" w:color="auto"/>
      </w:divBdr>
    </w:div>
    <w:div w:id="849567707">
      <w:bodyDiv w:val="1"/>
      <w:marLeft w:val="0"/>
      <w:marRight w:val="0"/>
      <w:marTop w:val="0"/>
      <w:marBottom w:val="0"/>
      <w:divBdr>
        <w:top w:val="none" w:sz="0" w:space="0" w:color="auto"/>
        <w:left w:val="none" w:sz="0" w:space="0" w:color="auto"/>
        <w:bottom w:val="none" w:sz="0" w:space="0" w:color="auto"/>
        <w:right w:val="none" w:sz="0" w:space="0" w:color="auto"/>
      </w:divBdr>
    </w:div>
    <w:div w:id="849754872">
      <w:bodyDiv w:val="1"/>
      <w:marLeft w:val="0"/>
      <w:marRight w:val="0"/>
      <w:marTop w:val="0"/>
      <w:marBottom w:val="0"/>
      <w:divBdr>
        <w:top w:val="none" w:sz="0" w:space="0" w:color="auto"/>
        <w:left w:val="none" w:sz="0" w:space="0" w:color="auto"/>
        <w:bottom w:val="none" w:sz="0" w:space="0" w:color="auto"/>
        <w:right w:val="none" w:sz="0" w:space="0" w:color="auto"/>
      </w:divBdr>
    </w:div>
    <w:div w:id="877663883">
      <w:bodyDiv w:val="1"/>
      <w:marLeft w:val="0"/>
      <w:marRight w:val="0"/>
      <w:marTop w:val="0"/>
      <w:marBottom w:val="0"/>
      <w:divBdr>
        <w:top w:val="none" w:sz="0" w:space="0" w:color="auto"/>
        <w:left w:val="none" w:sz="0" w:space="0" w:color="auto"/>
        <w:bottom w:val="none" w:sz="0" w:space="0" w:color="auto"/>
        <w:right w:val="none" w:sz="0" w:space="0" w:color="auto"/>
      </w:divBdr>
    </w:div>
    <w:div w:id="882904894">
      <w:bodyDiv w:val="1"/>
      <w:marLeft w:val="0"/>
      <w:marRight w:val="0"/>
      <w:marTop w:val="0"/>
      <w:marBottom w:val="0"/>
      <w:divBdr>
        <w:top w:val="none" w:sz="0" w:space="0" w:color="auto"/>
        <w:left w:val="none" w:sz="0" w:space="0" w:color="auto"/>
        <w:bottom w:val="none" w:sz="0" w:space="0" w:color="auto"/>
        <w:right w:val="none" w:sz="0" w:space="0" w:color="auto"/>
      </w:divBdr>
    </w:div>
    <w:div w:id="884560722">
      <w:bodyDiv w:val="1"/>
      <w:marLeft w:val="0"/>
      <w:marRight w:val="0"/>
      <w:marTop w:val="0"/>
      <w:marBottom w:val="0"/>
      <w:divBdr>
        <w:top w:val="none" w:sz="0" w:space="0" w:color="auto"/>
        <w:left w:val="none" w:sz="0" w:space="0" w:color="auto"/>
        <w:bottom w:val="none" w:sz="0" w:space="0" w:color="auto"/>
        <w:right w:val="none" w:sz="0" w:space="0" w:color="auto"/>
      </w:divBdr>
    </w:div>
    <w:div w:id="938558720">
      <w:bodyDiv w:val="1"/>
      <w:marLeft w:val="0"/>
      <w:marRight w:val="0"/>
      <w:marTop w:val="0"/>
      <w:marBottom w:val="0"/>
      <w:divBdr>
        <w:top w:val="none" w:sz="0" w:space="0" w:color="auto"/>
        <w:left w:val="none" w:sz="0" w:space="0" w:color="auto"/>
        <w:bottom w:val="none" w:sz="0" w:space="0" w:color="auto"/>
        <w:right w:val="none" w:sz="0" w:space="0" w:color="auto"/>
      </w:divBdr>
    </w:div>
    <w:div w:id="985816633">
      <w:bodyDiv w:val="1"/>
      <w:marLeft w:val="0"/>
      <w:marRight w:val="0"/>
      <w:marTop w:val="0"/>
      <w:marBottom w:val="0"/>
      <w:divBdr>
        <w:top w:val="none" w:sz="0" w:space="0" w:color="auto"/>
        <w:left w:val="none" w:sz="0" w:space="0" w:color="auto"/>
        <w:bottom w:val="none" w:sz="0" w:space="0" w:color="auto"/>
        <w:right w:val="none" w:sz="0" w:space="0" w:color="auto"/>
      </w:divBdr>
    </w:div>
    <w:div w:id="1065568325">
      <w:bodyDiv w:val="1"/>
      <w:marLeft w:val="0"/>
      <w:marRight w:val="0"/>
      <w:marTop w:val="0"/>
      <w:marBottom w:val="0"/>
      <w:divBdr>
        <w:top w:val="none" w:sz="0" w:space="0" w:color="auto"/>
        <w:left w:val="none" w:sz="0" w:space="0" w:color="auto"/>
        <w:bottom w:val="none" w:sz="0" w:space="0" w:color="auto"/>
        <w:right w:val="none" w:sz="0" w:space="0" w:color="auto"/>
      </w:divBdr>
    </w:div>
    <w:div w:id="1116556253">
      <w:bodyDiv w:val="1"/>
      <w:marLeft w:val="0"/>
      <w:marRight w:val="0"/>
      <w:marTop w:val="0"/>
      <w:marBottom w:val="0"/>
      <w:divBdr>
        <w:top w:val="none" w:sz="0" w:space="0" w:color="auto"/>
        <w:left w:val="none" w:sz="0" w:space="0" w:color="auto"/>
        <w:bottom w:val="none" w:sz="0" w:space="0" w:color="auto"/>
        <w:right w:val="none" w:sz="0" w:space="0" w:color="auto"/>
      </w:divBdr>
    </w:div>
    <w:div w:id="1126046783">
      <w:bodyDiv w:val="1"/>
      <w:marLeft w:val="0"/>
      <w:marRight w:val="0"/>
      <w:marTop w:val="0"/>
      <w:marBottom w:val="0"/>
      <w:divBdr>
        <w:top w:val="none" w:sz="0" w:space="0" w:color="auto"/>
        <w:left w:val="none" w:sz="0" w:space="0" w:color="auto"/>
        <w:bottom w:val="none" w:sz="0" w:space="0" w:color="auto"/>
        <w:right w:val="none" w:sz="0" w:space="0" w:color="auto"/>
      </w:divBdr>
    </w:div>
    <w:div w:id="1158575219">
      <w:bodyDiv w:val="1"/>
      <w:marLeft w:val="0"/>
      <w:marRight w:val="0"/>
      <w:marTop w:val="0"/>
      <w:marBottom w:val="0"/>
      <w:divBdr>
        <w:top w:val="none" w:sz="0" w:space="0" w:color="auto"/>
        <w:left w:val="none" w:sz="0" w:space="0" w:color="auto"/>
        <w:bottom w:val="none" w:sz="0" w:space="0" w:color="auto"/>
        <w:right w:val="none" w:sz="0" w:space="0" w:color="auto"/>
      </w:divBdr>
    </w:div>
    <w:div w:id="1269772026">
      <w:bodyDiv w:val="1"/>
      <w:marLeft w:val="0"/>
      <w:marRight w:val="0"/>
      <w:marTop w:val="0"/>
      <w:marBottom w:val="0"/>
      <w:divBdr>
        <w:top w:val="none" w:sz="0" w:space="0" w:color="auto"/>
        <w:left w:val="none" w:sz="0" w:space="0" w:color="auto"/>
        <w:bottom w:val="none" w:sz="0" w:space="0" w:color="auto"/>
        <w:right w:val="none" w:sz="0" w:space="0" w:color="auto"/>
      </w:divBdr>
    </w:div>
    <w:div w:id="1314724289">
      <w:bodyDiv w:val="1"/>
      <w:marLeft w:val="0"/>
      <w:marRight w:val="0"/>
      <w:marTop w:val="0"/>
      <w:marBottom w:val="0"/>
      <w:divBdr>
        <w:top w:val="none" w:sz="0" w:space="0" w:color="auto"/>
        <w:left w:val="none" w:sz="0" w:space="0" w:color="auto"/>
        <w:bottom w:val="none" w:sz="0" w:space="0" w:color="auto"/>
        <w:right w:val="none" w:sz="0" w:space="0" w:color="auto"/>
      </w:divBdr>
    </w:div>
    <w:div w:id="1316759291">
      <w:bodyDiv w:val="1"/>
      <w:marLeft w:val="0"/>
      <w:marRight w:val="0"/>
      <w:marTop w:val="0"/>
      <w:marBottom w:val="0"/>
      <w:divBdr>
        <w:top w:val="none" w:sz="0" w:space="0" w:color="auto"/>
        <w:left w:val="none" w:sz="0" w:space="0" w:color="auto"/>
        <w:bottom w:val="none" w:sz="0" w:space="0" w:color="auto"/>
        <w:right w:val="none" w:sz="0" w:space="0" w:color="auto"/>
      </w:divBdr>
    </w:div>
    <w:div w:id="1328943975">
      <w:bodyDiv w:val="1"/>
      <w:marLeft w:val="0"/>
      <w:marRight w:val="0"/>
      <w:marTop w:val="0"/>
      <w:marBottom w:val="0"/>
      <w:divBdr>
        <w:top w:val="none" w:sz="0" w:space="0" w:color="auto"/>
        <w:left w:val="none" w:sz="0" w:space="0" w:color="auto"/>
        <w:bottom w:val="none" w:sz="0" w:space="0" w:color="auto"/>
        <w:right w:val="none" w:sz="0" w:space="0" w:color="auto"/>
      </w:divBdr>
    </w:div>
    <w:div w:id="1403681072">
      <w:bodyDiv w:val="1"/>
      <w:marLeft w:val="0"/>
      <w:marRight w:val="0"/>
      <w:marTop w:val="0"/>
      <w:marBottom w:val="0"/>
      <w:divBdr>
        <w:top w:val="none" w:sz="0" w:space="0" w:color="auto"/>
        <w:left w:val="none" w:sz="0" w:space="0" w:color="auto"/>
        <w:bottom w:val="none" w:sz="0" w:space="0" w:color="auto"/>
        <w:right w:val="none" w:sz="0" w:space="0" w:color="auto"/>
      </w:divBdr>
    </w:div>
    <w:div w:id="1403985465">
      <w:bodyDiv w:val="1"/>
      <w:marLeft w:val="0"/>
      <w:marRight w:val="0"/>
      <w:marTop w:val="0"/>
      <w:marBottom w:val="0"/>
      <w:divBdr>
        <w:top w:val="none" w:sz="0" w:space="0" w:color="auto"/>
        <w:left w:val="none" w:sz="0" w:space="0" w:color="auto"/>
        <w:bottom w:val="none" w:sz="0" w:space="0" w:color="auto"/>
        <w:right w:val="none" w:sz="0" w:space="0" w:color="auto"/>
      </w:divBdr>
    </w:div>
    <w:div w:id="1450733569">
      <w:bodyDiv w:val="1"/>
      <w:marLeft w:val="0"/>
      <w:marRight w:val="0"/>
      <w:marTop w:val="0"/>
      <w:marBottom w:val="0"/>
      <w:divBdr>
        <w:top w:val="none" w:sz="0" w:space="0" w:color="auto"/>
        <w:left w:val="none" w:sz="0" w:space="0" w:color="auto"/>
        <w:bottom w:val="none" w:sz="0" w:space="0" w:color="auto"/>
        <w:right w:val="none" w:sz="0" w:space="0" w:color="auto"/>
      </w:divBdr>
    </w:div>
    <w:div w:id="1455708857">
      <w:bodyDiv w:val="1"/>
      <w:marLeft w:val="0"/>
      <w:marRight w:val="0"/>
      <w:marTop w:val="0"/>
      <w:marBottom w:val="0"/>
      <w:divBdr>
        <w:top w:val="none" w:sz="0" w:space="0" w:color="auto"/>
        <w:left w:val="none" w:sz="0" w:space="0" w:color="auto"/>
        <w:bottom w:val="none" w:sz="0" w:space="0" w:color="auto"/>
        <w:right w:val="none" w:sz="0" w:space="0" w:color="auto"/>
      </w:divBdr>
    </w:div>
    <w:div w:id="1459839184">
      <w:bodyDiv w:val="1"/>
      <w:marLeft w:val="0"/>
      <w:marRight w:val="0"/>
      <w:marTop w:val="0"/>
      <w:marBottom w:val="0"/>
      <w:divBdr>
        <w:top w:val="none" w:sz="0" w:space="0" w:color="auto"/>
        <w:left w:val="none" w:sz="0" w:space="0" w:color="auto"/>
        <w:bottom w:val="none" w:sz="0" w:space="0" w:color="auto"/>
        <w:right w:val="none" w:sz="0" w:space="0" w:color="auto"/>
      </w:divBdr>
    </w:div>
    <w:div w:id="1472743833">
      <w:bodyDiv w:val="1"/>
      <w:marLeft w:val="0"/>
      <w:marRight w:val="0"/>
      <w:marTop w:val="0"/>
      <w:marBottom w:val="0"/>
      <w:divBdr>
        <w:top w:val="none" w:sz="0" w:space="0" w:color="auto"/>
        <w:left w:val="none" w:sz="0" w:space="0" w:color="auto"/>
        <w:bottom w:val="none" w:sz="0" w:space="0" w:color="auto"/>
        <w:right w:val="none" w:sz="0" w:space="0" w:color="auto"/>
      </w:divBdr>
    </w:div>
    <w:div w:id="1473674433">
      <w:bodyDiv w:val="1"/>
      <w:marLeft w:val="0"/>
      <w:marRight w:val="0"/>
      <w:marTop w:val="0"/>
      <w:marBottom w:val="0"/>
      <w:divBdr>
        <w:top w:val="none" w:sz="0" w:space="0" w:color="auto"/>
        <w:left w:val="none" w:sz="0" w:space="0" w:color="auto"/>
        <w:bottom w:val="none" w:sz="0" w:space="0" w:color="auto"/>
        <w:right w:val="none" w:sz="0" w:space="0" w:color="auto"/>
      </w:divBdr>
    </w:div>
    <w:div w:id="1521509771">
      <w:bodyDiv w:val="1"/>
      <w:marLeft w:val="0"/>
      <w:marRight w:val="0"/>
      <w:marTop w:val="0"/>
      <w:marBottom w:val="0"/>
      <w:divBdr>
        <w:top w:val="none" w:sz="0" w:space="0" w:color="auto"/>
        <w:left w:val="none" w:sz="0" w:space="0" w:color="auto"/>
        <w:bottom w:val="none" w:sz="0" w:space="0" w:color="auto"/>
        <w:right w:val="none" w:sz="0" w:space="0" w:color="auto"/>
      </w:divBdr>
    </w:div>
    <w:div w:id="1546941832">
      <w:bodyDiv w:val="1"/>
      <w:marLeft w:val="0"/>
      <w:marRight w:val="0"/>
      <w:marTop w:val="0"/>
      <w:marBottom w:val="0"/>
      <w:divBdr>
        <w:top w:val="none" w:sz="0" w:space="0" w:color="auto"/>
        <w:left w:val="none" w:sz="0" w:space="0" w:color="auto"/>
        <w:bottom w:val="none" w:sz="0" w:space="0" w:color="auto"/>
        <w:right w:val="none" w:sz="0" w:space="0" w:color="auto"/>
      </w:divBdr>
    </w:div>
    <w:div w:id="1630434850">
      <w:bodyDiv w:val="1"/>
      <w:marLeft w:val="0"/>
      <w:marRight w:val="0"/>
      <w:marTop w:val="0"/>
      <w:marBottom w:val="0"/>
      <w:divBdr>
        <w:top w:val="none" w:sz="0" w:space="0" w:color="auto"/>
        <w:left w:val="none" w:sz="0" w:space="0" w:color="auto"/>
        <w:bottom w:val="none" w:sz="0" w:space="0" w:color="auto"/>
        <w:right w:val="none" w:sz="0" w:space="0" w:color="auto"/>
      </w:divBdr>
    </w:div>
    <w:div w:id="1640769480">
      <w:bodyDiv w:val="1"/>
      <w:marLeft w:val="0"/>
      <w:marRight w:val="0"/>
      <w:marTop w:val="0"/>
      <w:marBottom w:val="0"/>
      <w:divBdr>
        <w:top w:val="none" w:sz="0" w:space="0" w:color="auto"/>
        <w:left w:val="none" w:sz="0" w:space="0" w:color="auto"/>
        <w:bottom w:val="none" w:sz="0" w:space="0" w:color="auto"/>
        <w:right w:val="none" w:sz="0" w:space="0" w:color="auto"/>
      </w:divBdr>
    </w:div>
    <w:div w:id="1661692447">
      <w:bodyDiv w:val="1"/>
      <w:marLeft w:val="0"/>
      <w:marRight w:val="0"/>
      <w:marTop w:val="0"/>
      <w:marBottom w:val="0"/>
      <w:divBdr>
        <w:top w:val="none" w:sz="0" w:space="0" w:color="auto"/>
        <w:left w:val="none" w:sz="0" w:space="0" w:color="auto"/>
        <w:bottom w:val="none" w:sz="0" w:space="0" w:color="auto"/>
        <w:right w:val="none" w:sz="0" w:space="0" w:color="auto"/>
      </w:divBdr>
    </w:div>
    <w:div w:id="1676153175">
      <w:bodyDiv w:val="1"/>
      <w:marLeft w:val="0"/>
      <w:marRight w:val="0"/>
      <w:marTop w:val="0"/>
      <w:marBottom w:val="0"/>
      <w:divBdr>
        <w:top w:val="none" w:sz="0" w:space="0" w:color="auto"/>
        <w:left w:val="none" w:sz="0" w:space="0" w:color="auto"/>
        <w:bottom w:val="none" w:sz="0" w:space="0" w:color="auto"/>
        <w:right w:val="none" w:sz="0" w:space="0" w:color="auto"/>
      </w:divBdr>
    </w:div>
    <w:div w:id="1682968768">
      <w:bodyDiv w:val="1"/>
      <w:marLeft w:val="0"/>
      <w:marRight w:val="0"/>
      <w:marTop w:val="0"/>
      <w:marBottom w:val="0"/>
      <w:divBdr>
        <w:top w:val="none" w:sz="0" w:space="0" w:color="auto"/>
        <w:left w:val="none" w:sz="0" w:space="0" w:color="auto"/>
        <w:bottom w:val="none" w:sz="0" w:space="0" w:color="auto"/>
        <w:right w:val="none" w:sz="0" w:space="0" w:color="auto"/>
      </w:divBdr>
    </w:div>
    <w:div w:id="1696350042">
      <w:bodyDiv w:val="1"/>
      <w:marLeft w:val="0"/>
      <w:marRight w:val="0"/>
      <w:marTop w:val="0"/>
      <w:marBottom w:val="0"/>
      <w:divBdr>
        <w:top w:val="none" w:sz="0" w:space="0" w:color="auto"/>
        <w:left w:val="none" w:sz="0" w:space="0" w:color="auto"/>
        <w:bottom w:val="none" w:sz="0" w:space="0" w:color="auto"/>
        <w:right w:val="none" w:sz="0" w:space="0" w:color="auto"/>
      </w:divBdr>
    </w:div>
    <w:div w:id="1744793750">
      <w:bodyDiv w:val="1"/>
      <w:marLeft w:val="0"/>
      <w:marRight w:val="0"/>
      <w:marTop w:val="0"/>
      <w:marBottom w:val="0"/>
      <w:divBdr>
        <w:top w:val="none" w:sz="0" w:space="0" w:color="auto"/>
        <w:left w:val="none" w:sz="0" w:space="0" w:color="auto"/>
        <w:bottom w:val="none" w:sz="0" w:space="0" w:color="auto"/>
        <w:right w:val="none" w:sz="0" w:space="0" w:color="auto"/>
      </w:divBdr>
    </w:div>
    <w:div w:id="1766415991">
      <w:bodyDiv w:val="1"/>
      <w:marLeft w:val="0"/>
      <w:marRight w:val="0"/>
      <w:marTop w:val="0"/>
      <w:marBottom w:val="0"/>
      <w:divBdr>
        <w:top w:val="none" w:sz="0" w:space="0" w:color="auto"/>
        <w:left w:val="none" w:sz="0" w:space="0" w:color="auto"/>
        <w:bottom w:val="none" w:sz="0" w:space="0" w:color="auto"/>
        <w:right w:val="none" w:sz="0" w:space="0" w:color="auto"/>
      </w:divBdr>
    </w:div>
    <w:div w:id="1801075935">
      <w:bodyDiv w:val="1"/>
      <w:marLeft w:val="0"/>
      <w:marRight w:val="0"/>
      <w:marTop w:val="0"/>
      <w:marBottom w:val="0"/>
      <w:divBdr>
        <w:top w:val="none" w:sz="0" w:space="0" w:color="auto"/>
        <w:left w:val="none" w:sz="0" w:space="0" w:color="auto"/>
        <w:bottom w:val="none" w:sz="0" w:space="0" w:color="auto"/>
        <w:right w:val="none" w:sz="0" w:space="0" w:color="auto"/>
      </w:divBdr>
    </w:div>
    <w:div w:id="1850875659">
      <w:bodyDiv w:val="1"/>
      <w:marLeft w:val="0"/>
      <w:marRight w:val="0"/>
      <w:marTop w:val="0"/>
      <w:marBottom w:val="0"/>
      <w:divBdr>
        <w:top w:val="none" w:sz="0" w:space="0" w:color="auto"/>
        <w:left w:val="none" w:sz="0" w:space="0" w:color="auto"/>
        <w:bottom w:val="none" w:sz="0" w:space="0" w:color="auto"/>
        <w:right w:val="none" w:sz="0" w:space="0" w:color="auto"/>
      </w:divBdr>
    </w:div>
    <w:div w:id="1867592677">
      <w:bodyDiv w:val="1"/>
      <w:marLeft w:val="0"/>
      <w:marRight w:val="0"/>
      <w:marTop w:val="0"/>
      <w:marBottom w:val="0"/>
      <w:divBdr>
        <w:top w:val="none" w:sz="0" w:space="0" w:color="auto"/>
        <w:left w:val="none" w:sz="0" w:space="0" w:color="auto"/>
        <w:bottom w:val="none" w:sz="0" w:space="0" w:color="auto"/>
        <w:right w:val="none" w:sz="0" w:space="0" w:color="auto"/>
      </w:divBdr>
    </w:div>
    <w:div w:id="1914122853">
      <w:bodyDiv w:val="1"/>
      <w:marLeft w:val="0"/>
      <w:marRight w:val="0"/>
      <w:marTop w:val="0"/>
      <w:marBottom w:val="0"/>
      <w:divBdr>
        <w:top w:val="none" w:sz="0" w:space="0" w:color="auto"/>
        <w:left w:val="none" w:sz="0" w:space="0" w:color="auto"/>
        <w:bottom w:val="none" w:sz="0" w:space="0" w:color="auto"/>
        <w:right w:val="none" w:sz="0" w:space="0" w:color="auto"/>
      </w:divBdr>
    </w:div>
    <w:div w:id="2000814462">
      <w:bodyDiv w:val="1"/>
      <w:marLeft w:val="0"/>
      <w:marRight w:val="0"/>
      <w:marTop w:val="0"/>
      <w:marBottom w:val="0"/>
      <w:divBdr>
        <w:top w:val="none" w:sz="0" w:space="0" w:color="auto"/>
        <w:left w:val="none" w:sz="0" w:space="0" w:color="auto"/>
        <w:bottom w:val="none" w:sz="0" w:space="0" w:color="auto"/>
        <w:right w:val="none" w:sz="0" w:space="0" w:color="auto"/>
      </w:divBdr>
    </w:div>
    <w:div w:id="2128086624">
      <w:bodyDiv w:val="1"/>
      <w:marLeft w:val="0"/>
      <w:marRight w:val="0"/>
      <w:marTop w:val="0"/>
      <w:marBottom w:val="0"/>
      <w:divBdr>
        <w:top w:val="none" w:sz="0" w:space="0" w:color="auto"/>
        <w:left w:val="none" w:sz="0" w:space="0" w:color="auto"/>
        <w:bottom w:val="none" w:sz="0" w:space="0" w:color="auto"/>
        <w:right w:val="none" w:sz="0" w:space="0" w:color="auto"/>
      </w:divBdr>
    </w:div>
    <w:div w:id="21317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image" Target="media/image1.emf"/><Relationship Id="rId5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7E25-E707-4B6C-94AC-97BD64AB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4729</Words>
  <Characters>18684</Characters>
  <Application>Microsoft Office Word</Application>
  <DocSecurity>0</DocSecurity>
  <Lines>2335</Lines>
  <Paragraphs>1951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2022-03-30T12:34:00Z</cp:lastPrinted>
  <dcterms:created xsi:type="dcterms:W3CDTF">2022-09-14T15:07:00Z</dcterms:created>
  <dcterms:modified xsi:type="dcterms:W3CDTF">2022-10-05T09:35:00Z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CP-010</vt:lpwstr>
  </property>
  <property fmtid="{D5CDD505-2E9C-101B-9397-08002B2CF9AE}" pid="7" name="Last edited using">
    <vt:lpwstr>LW 8.1, Build 20220902</vt:lpwstr>
  </property>
  <property fmtid="{D5CDD505-2E9C-101B-9397-08002B2CF9AE}" pid="8" name="Created using">
    <vt:lpwstr>LW 8.0, Build 20220128</vt:lpwstr>
  </property>
  <property name="OP_sanitized" fmtid="{D5CDD505-2E9C-101B-9397-08002B2CF9AE}" pid="9">
    <vt:lpwstr>True</vt:lpwstr>
  </property>
</Properties>
</file>