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0A6B4" w14:textId="17D9F18C" w:rsidR="00593F6B" w:rsidRDefault="009E6EE0" w:rsidP="009E6EE0">
      <w:pPr>
        <w:pStyle w:val="Pagedecouverture"/>
        <w:rPr>
          <w:noProof/>
        </w:rPr>
      </w:pPr>
      <w:bookmarkStart w:id="0" w:name="LW_BM_COVERPAGE"/>
      <w:r>
        <w:rPr>
          <w:noProof/>
        </w:rPr>
        <w:pict w14:anchorId="17F777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D05C9A8B-364D-44FB-9598-F9BD9C6DD542" style="width:455.25pt;height:324pt">
            <v:imagedata r:id="rId8" o:title=""/>
          </v:shape>
        </w:pict>
      </w:r>
    </w:p>
    <w:bookmarkEnd w:id="0"/>
    <w:p w14:paraId="6DD839BB" w14:textId="77777777" w:rsidR="00AA655D" w:rsidRDefault="00AA655D" w:rsidP="00AA655D">
      <w:pPr>
        <w:rPr>
          <w:noProof/>
        </w:rPr>
        <w:sectPr w:rsidR="00AA655D" w:rsidSect="009E6EE0">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67E705EF" w14:textId="2B6C7D57" w:rsidR="00A04160" w:rsidRPr="00A04160" w:rsidRDefault="00A04160" w:rsidP="00A04160">
      <w:pPr>
        <w:pStyle w:val="Typedudocument"/>
        <w:rPr>
          <w:noProof/>
          <w:lang w:val="da-DK"/>
        </w:rPr>
      </w:pPr>
      <w:bookmarkStart w:id="1" w:name="_GoBack"/>
      <w:bookmarkEnd w:id="1"/>
      <w:r w:rsidRPr="00A04160">
        <w:rPr>
          <w:noProof/>
          <w:lang w:val="da-DK"/>
        </w:rPr>
        <w:lastRenderedPageBreak/>
        <w:t>RAPPORT FRA KOMMISSIONEN TIL EUROPA-PARLAMENTET OG RÅDET</w:t>
      </w:r>
    </w:p>
    <w:p w14:paraId="698399C9" w14:textId="48569CD8" w:rsidR="00A04160" w:rsidRPr="00A04160" w:rsidRDefault="00A04160" w:rsidP="00A04160">
      <w:pPr>
        <w:pStyle w:val="Titreobjet"/>
        <w:rPr>
          <w:noProof/>
          <w:lang w:val="da-DK"/>
        </w:rPr>
      </w:pPr>
      <w:r w:rsidRPr="00A04160">
        <w:rPr>
          <w:noProof/>
          <w:lang w:val="da-DK"/>
        </w:rPr>
        <w:t>om gennemførelse af forordning (EU) 2021/821 om en EU-ordning for kontrol med eksport, mæglervirksomhed, teknisk bistand, transit og overførsel i forbindelse med produkter med dobbelt anvendelse</w:t>
      </w:r>
    </w:p>
    <w:p w14:paraId="337A4BEE" w14:textId="7F869809" w:rsidR="00AA655D" w:rsidRPr="006B47D4" w:rsidRDefault="00AA655D" w:rsidP="00AA655D">
      <w:pPr>
        <w:keepNext/>
        <w:tabs>
          <w:tab w:val="left" w:pos="850"/>
        </w:tabs>
        <w:spacing w:after="120"/>
        <w:ind w:left="850" w:hanging="850"/>
        <w:jc w:val="both"/>
        <w:outlineLvl w:val="0"/>
        <w:rPr>
          <w:b/>
          <w:smallCaps/>
          <w:noProof/>
          <w:lang w:val="da-DK"/>
        </w:rPr>
      </w:pPr>
      <w:r w:rsidRPr="006B47D4">
        <w:rPr>
          <w:b/>
          <w:smallCaps/>
          <w:noProof/>
          <w:lang w:val="da-DK"/>
        </w:rPr>
        <w:t>1.</w:t>
      </w:r>
      <w:r w:rsidRPr="006B47D4">
        <w:rPr>
          <w:noProof/>
          <w:lang w:val="da-DK"/>
        </w:rPr>
        <w:tab/>
      </w:r>
      <w:r w:rsidRPr="006B47D4">
        <w:rPr>
          <w:b/>
          <w:smallCaps/>
          <w:noProof/>
          <w:lang w:val="da-DK"/>
        </w:rPr>
        <w:t>Indledning</w:t>
      </w:r>
    </w:p>
    <w:p w14:paraId="75BFB06A" w14:textId="7361D179" w:rsidR="00566F87" w:rsidRPr="006B47D4" w:rsidRDefault="00AA655D" w:rsidP="001322C7">
      <w:pPr>
        <w:autoSpaceDE w:val="0"/>
        <w:autoSpaceDN w:val="0"/>
        <w:adjustRightInd w:val="0"/>
        <w:spacing w:before="200" w:after="200"/>
        <w:jc w:val="both"/>
        <w:rPr>
          <w:noProof/>
          <w:lang w:val="da-DK"/>
        </w:rPr>
      </w:pPr>
      <w:r w:rsidRPr="006B47D4">
        <w:rPr>
          <w:noProof/>
          <w:lang w:val="da-DK"/>
        </w:rPr>
        <w:t>Denne rapport indeholder oplysninger om gennemførelsen af EU's eksportkontrol af produkter med dobbelt anvendelse i 2021 og indeholder aggregerede eksportkontroldata for 2020. Den er udarbejdet af Kommissionen med input fra medlemsstaterne</w:t>
      </w:r>
      <w:r>
        <w:rPr>
          <w:noProof/>
          <w:vertAlign w:val="superscript"/>
        </w:rPr>
        <w:footnoteReference w:id="1"/>
      </w:r>
      <w:r w:rsidRPr="006B47D4">
        <w:rPr>
          <w:noProof/>
          <w:lang w:val="da-DK"/>
        </w:rPr>
        <w:t xml:space="preserve"> i Koordinationsgruppen for Produkter med Dobbelt Anvendelse (DUCG). I 2021 blev der vedtaget en ny eksportkontrolforordning, som markerer en vigtig milepæl i udviklingen af EU's eksportkontrolpolitik</w:t>
      </w:r>
      <w:r>
        <w:rPr>
          <w:rStyle w:val="FootnoteReference"/>
          <w:noProof/>
        </w:rPr>
        <w:footnoteReference w:id="2"/>
      </w:r>
      <w:r w:rsidRPr="006B47D4">
        <w:rPr>
          <w:noProof/>
          <w:lang w:val="da-DK"/>
        </w:rPr>
        <w:t>.</w:t>
      </w:r>
    </w:p>
    <w:p w14:paraId="55DFD33C" w14:textId="77777777" w:rsidR="00672FC3" w:rsidRPr="006B47D4" w:rsidRDefault="00B823D9" w:rsidP="00AA655D">
      <w:pPr>
        <w:spacing w:before="100" w:beforeAutospacing="1" w:after="100" w:afterAutospacing="1"/>
        <w:jc w:val="both"/>
        <w:rPr>
          <w:noProof/>
          <w:lang w:val="da-DK"/>
        </w:rPr>
      </w:pPr>
      <w:r w:rsidRPr="006B47D4">
        <w:rPr>
          <w:noProof/>
          <w:lang w:val="da-DK"/>
        </w:rPr>
        <w:t xml:space="preserve">Denne rapport vedtages sammen med årsberetningen om screening af udenlandske direkte investeringer (UDI), da både eksportkontrol og UDI-screening giver strategisk handels- og investeringskontrol for at garantere sikkerheden i Den Europæiske Union. </w:t>
      </w:r>
    </w:p>
    <w:p w14:paraId="06B7810A" w14:textId="3CE1C9ED" w:rsidR="00DE7589" w:rsidRPr="006B47D4" w:rsidRDefault="00DE7589" w:rsidP="00AA655D">
      <w:pPr>
        <w:spacing w:before="100" w:beforeAutospacing="1" w:after="100" w:afterAutospacing="1"/>
        <w:jc w:val="both"/>
        <w:rPr>
          <w:noProof/>
          <w:lang w:val="da-DK"/>
        </w:rPr>
      </w:pPr>
      <w:r w:rsidRPr="006B47D4">
        <w:rPr>
          <w:noProof/>
          <w:lang w:val="da-DK"/>
        </w:rPr>
        <w:t xml:space="preserve">Rapporten dækker aktiviteter i 2021 og omfatter derfor ikke aspekter af eksportkontrol, der er berørt af, eller foranstaltninger, der er truffet i form af eksportrestriktioner som reaktion på Ruslands angrebskrig i Ukraine. Disse begivenheder har bragt spørgsmålet om russisk og belarusisk adgang til teknologier med dobbelt anvendelse i skarp politisk fokus, om end i en kontekst med Den Europæiske Unions anvendelse af sanktioner, herunder eksportforbud og -restriktioner. </w:t>
      </w:r>
    </w:p>
    <w:p w14:paraId="48DE00BF" w14:textId="77777777" w:rsidR="00AA655D" w:rsidRPr="006B47D4" w:rsidRDefault="00AA655D" w:rsidP="00AA655D">
      <w:pPr>
        <w:keepNext/>
        <w:tabs>
          <w:tab w:val="left" w:pos="850"/>
        </w:tabs>
        <w:spacing w:after="120"/>
        <w:ind w:left="850" w:hanging="850"/>
        <w:jc w:val="both"/>
        <w:outlineLvl w:val="0"/>
        <w:rPr>
          <w:b/>
          <w:smallCaps/>
          <w:noProof/>
          <w:lang w:val="da-DK"/>
        </w:rPr>
      </w:pPr>
      <w:bookmarkStart w:id="2" w:name="_Toc368065771"/>
      <w:r w:rsidRPr="006B47D4">
        <w:rPr>
          <w:b/>
          <w:smallCaps/>
          <w:noProof/>
          <w:lang w:val="da-DK"/>
        </w:rPr>
        <w:t>2.</w:t>
      </w:r>
      <w:r w:rsidRPr="006B47D4">
        <w:rPr>
          <w:noProof/>
          <w:lang w:val="da-DK"/>
        </w:rPr>
        <w:tab/>
      </w:r>
      <w:r w:rsidRPr="006B47D4">
        <w:rPr>
          <w:b/>
          <w:smallCaps/>
          <w:noProof/>
          <w:lang w:val="da-DK"/>
        </w:rPr>
        <w:t>Udviklingen af politikken og de retlige rammer</w:t>
      </w:r>
      <w:bookmarkEnd w:id="2"/>
    </w:p>
    <w:p w14:paraId="07CF8E5C" w14:textId="77777777" w:rsidR="00AA655D" w:rsidRPr="006B47D4" w:rsidRDefault="00AA655D" w:rsidP="00AA655D">
      <w:pPr>
        <w:keepNext/>
        <w:tabs>
          <w:tab w:val="left" w:pos="850"/>
        </w:tabs>
        <w:spacing w:after="120"/>
        <w:ind w:left="850" w:hanging="850"/>
        <w:jc w:val="both"/>
        <w:outlineLvl w:val="1"/>
        <w:rPr>
          <w:b/>
          <w:noProof/>
          <w:lang w:val="da-DK"/>
        </w:rPr>
      </w:pPr>
      <w:bookmarkStart w:id="3" w:name="_Toc368065772"/>
      <w:r w:rsidRPr="006B47D4">
        <w:rPr>
          <w:b/>
          <w:noProof/>
          <w:lang w:val="da-DK"/>
        </w:rPr>
        <w:t>2.1.</w:t>
      </w:r>
      <w:r w:rsidRPr="006B47D4">
        <w:rPr>
          <w:noProof/>
          <w:lang w:val="da-DK"/>
        </w:rPr>
        <w:tab/>
      </w:r>
      <w:r w:rsidRPr="006B47D4">
        <w:rPr>
          <w:b/>
          <w:noProof/>
          <w:lang w:val="da-DK"/>
        </w:rPr>
        <w:t xml:space="preserve">Eksportkontrolpolitik </w:t>
      </w:r>
    </w:p>
    <w:p w14:paraId="40951346" w14:textId="77777777" w:rsidR="00FC2A23" w:rsidRPr="006B47D4" w:rsidRDefault="00FC2A23" w:rsidP="00ED213C">
      <w:pPr>
        <w:pStyle w:val="Briefingtext"/>
        <w:rPr>
          <w:rFonts w:ascii="Times New Roman" w:hAnsi="Times New Roman" w:cs="Times New Roman"/>
          <w:noProof/>
          <w:sz w:val="24"/>
          <w:lang w:val="da-DK"/>
        </w:rPr>
      </w:pPr>
      <w:r w:rsidRPr="006B47D4">
        <w:rPr>
          <w:rFonts w:ascii="Times New Roman" w:hAnsi="Times New Roman"/>
          <w:noProof/>
          <w:sz w:val="24"/>
          <w:lang w:val="da-DK"/>
        </w:rPr>
        <w:t>2.1.1</w:t>
      </w:r>
      <w:r w:rsidRPr="006B47D4">
        <w:rPr>
          <w:noProof/>
          <w:lang w:val="da-DK"/>
        </w:rPr>
        <w:tab/>
      </w:r>
      <w:r w:rsidRPr="006B47D4">
        <w:rPr>
          <w:rFonts w:ascii="Times New Roman" w:hAnsi="Times New Roman"/>
          <w:noProof/>
          <w:sz w:val="24"/>
          <w:lang w:val="da-DK"/>
        </w:rPr>
        <w:t>Modernisering af EU's eksportkontrol — ny eksportkontrolforordning</w:t>
      </w:r>
    </w:p>
    <w:p w14:paraId="32113295" w14:textId="1ECE91B2" w:rsidR="00D94BA7" w:rsidRPr="006B47D4" w:rsidRDefault="00234D91" w:rsidP="00ED213C">
      <w:pPr>
        <w:pStyle w:val="Briefingtext"/>
        <w:rPr>
          <w:rFonts w:ascii="Times New Roman" w:eastAsiaTheme="minorHAnsi" w:hAnsi="Times New Roman" w:cs="Times New Roman"/>
          <w:noProof/>
          <w:sz w:val="24"/>
          <w:lang w:val="da-DK"/>
        </w:rPr>
      </w:pPr>
      <w:r w:rsidRPr="006B47D4">
        <w:rPr>
          <w:rFonts w:ascii="Times New Roman" w:hAnsi="Times New Roman"/>
          <w:noProof/>
          <w:sz w:val="24"/>
          <w:lang w:val="da-DK"/>
        </w:rPr>
        <w:t>Efter vedtagelsen af en ny eksportkontrolforordning den 19. maj 2021 og dens ikrafttræden den 9. september 2021 har Kommissionen og medlemsstaterne indledt en effektiv gennemførelse</w:t>
      </w:r>
      <w:r>
        <w:rPr>
          <w:rStyle w:val="FootnoteReference"/>
          <w:rFonts w:ascii="Times New Roman" w:hAnsi="Times New Roman" w:cs="Times New Roman"/>
          <w:noProof/>
          <w:sz w:val="24"/>
        </w:rPr>
        <w:footnoteReference w:id="3"/>
      </w:r>
      <w:r w:rsidRPr="006B47D4">
        <w:rPr>
          <w:rFonts w:ascii="Times New Roman" w:hAnsi="Times New Roman"/>
          <w:noProof/>
          <w:sz w:val="24"/>
          <w:lang w:val="da-DK"/>
        </w:rPr>
        <w:t xml:space="preserve"> heraf på en række nye områder — f.eks. gennemsigtighed, håndhævelse og kapacitetsopbygning. DUCG spillede en central rolle som beskrevet i kapitel 3 nedenfor og udvidede EU's "institutionelle infrastruktur" for eksportkontrol gennem oprettelsen af en række ekspertgrupper til at udvikle nye politikker, retningslinjer, procedurer osv. I bilaget til denne rapport beskrives de forskellige arbejdsområder og de tilhørende vejledende tidsplaner.</w:t>
      </w:r>
    </w:p>
    <w:p w14:paraId="58CE42E9" w14:textId="77777777" w:rsidR="00FC2A23" w:rsidRPr="006B47D4" w:rsidRDefault="00FC2A23" w:rsidP="00AA655D">
      <w:pPr>
        <w:adjustRightInd w:val="0"/>
        <w:jc w:val="both"/>
        <w:rPr>
          <w:noProof/>
          <w:lang w:val="da-DK"/>
        </w:rPr>
      </w:pPr>
      <w:r w:rsidRPr="006B47D4">
        <w:rPr>
          <w:noProof/>
          <w:lang w:val="da-DK"/>
        </w:rPr>
        <w:t>2.1.2</w:t>
      </w:r>
      <w:r w:rsidRPr="006B47D4">
        <w:rPr>
          <w:noProof/>
          <w:lang w:val="da-DK"/>
        </w:rPr>
        <w:tab/>
        <w:t>Høringer og opsøgende aktiviteter</w:t>
      </w:r>
    </w:p>
    <w:p w14:paraId="7BE9DB1A" w14:textId="77777777" w:rsidR="00FC2A23" w:rsidRPr="006B47D4" w:rsidRDefault="00FC2A23" w:rsidP="00AA655D">
      <w:pPr>
        <w:adjustRightInd w:val="0"/>
        <w:jc w:val="both"/>
        <w:rPr>
          <w:noProof/>
          <w:lang w:val="da-DK"/>
        </w:rPr>
      </w:pPr>
    </w:p>
    <w:p w14:paraId="55877B51" w14:textId="77777777" w:rsidR="00F840E8" w:rsidRPr="006B47D4" w:rsidRDefault="00AE4F8A" w:rsidP="00F840E8">
      <w:pPr>
        <w:adjustRightInd w:val="0"/>
        <w:jc w:val="both"/>
        <w:rPr>
          <w:noProof/>
          <w:lang w:val="da-DK"/>
        </w:rPr>
      </w:pPr>
      <w:r w:rsidRPr="006B47D4">
        <w:rPr>
          <w:noProof/>
          <w:lang w:val="da-DK"/>
        </w:rPr>
        <w:t>I 2021 gennemførte Kommissionen en række målrettede høringer af interessenter fra erhvervslivet og civilsamfundet</w:t>
      </w:r>
      <w:r>
        <w:rPr>
          <w:rStyle w:val="FootnoteReference"/>
          <w:noProof/>
        </w:rPr>
        <w:footnoteReference w:id="4"/>
      </w:r>
      <w:r w:rsidRPr="006B47D4">
        <w:rPr>
          <w:noProof/>
          <w:lang w:val="da-DK"/>
        </w:rPr>
        <w:t>, bl.a. om prioriteterne for det nyoprettede handels- og teknologiråd mellem EU og USA — se afsnit 2.1.3. Kommissionen arrangerede også sammen med det slovenske formandskab for Rådet for Den Europæiske Union det årlige eksportkontrolforum den 8. december 2021. Dette gav mulighed for at udveksle synspunkter om gennemførelsen af EU's eksportkontrol og den moderniserede EU-eksportkontrolordning med mere end 800 interessenter fra erhvervslivet og civilsamfundet</w:t>
      </w:r>
      <w:r>
        <w:rPr>
          <w:rStyle w:val="FootnoteReference"/>
          <w:noProof/>
        </w:rPr>
        <w:footnoteReference w:id="5"/>
      </w:r>
      <w:r w:rsidRPr="006B47D4">
        <w:rPr>
          <w:noProof/>
          <w:lang w:val="da-DK"/>
        </w:rPr>
        <w:t xml:space="preserve">. </w:t>
      </w:r>
    </w:p>
    <w:p w14:paraId="4992AA77" w14:textId="77777777" w:rsidR="003B2BCC" w:rsidRPr="006B47D4" w:rsidRDefault="003B2BCC" w:rsidP="00F840E8">
      <w:pPr>
        <w:adjustRightInd w:val="0"/>
        <w:jc w:val="both"/>
        <w:rPr>
          <w:noProof/>
          <w:lang w:val="da-DK"/>
        </w:rPr>
      </w:pPr>
    </w:p>
    <w:p w14:paraId="1AA2817B" w14:textId="665ACBF2" w:rsidR="00BA7E94" w:rsidRPr="006B47D4" w:rsidRDefault="00C52F45" w:rsidP="00AE4F8A">
      <w:pPr>
        <w:keepNext/>
        <w:adjustRightInd w:val="0"/>
        <w:jc w:val="both"/>
        <w:rPr>
          <w:noProof/>
          <w:lang w:val="da-DK"/>
        </w:rPr>
      </w:pPr>
      <w:r w:rsidRPr="006B47D4">
        <w:rPr>
          <w:noProof/>
          <w:lang w:val="da-DK"/>
        </w:rPr>
        <w:t>2.1.3</w:t>
      </w:r>
      <w:r w:rsidRPr="006B47D4">
        <w:rPr>
          <w:noProof/>
          <w:lang w:val="da-DK"/>
        </w:rPr>
        <w:tab/>
        <w:t xml:space="preserve">Samarbejde med tredjelande </w:t>
      </w:r>
    </w:p>
    <w:p w14:paraId="674E14E3" w14:textId="77777777" w:rsidR="006B5489" w:rsidRPr="006B47D4" w:rsidRDefault="006B5489" w:rsidP="00AA655D">
      <w:pPr>
        <w:adjustRightInd w:val="0"/>
        <w:jc w:val="both"/>
        <w:rPr>
          <w:noProof/>
          <w:lang w:val="da-DK"/>
        </w:rPr>
      </w:pPr>
    </w:p>
    <w:p w14:paraId="39843410" w14:textId="43F96FB0" w:rsidR="00D00286" w:rsidRPr="006B47D4" w:rsidRDefault="00AD489D" w:rsidP="00611E09">
      <w:pPr>
        <w:adjustRightInd w:val="0"/>
        <w:jc w:val="both"/>
        <w:rPr>
          <w:noProof/>
          <w:lang w:val="da-DK"/>
        </w:rPr>
      </w:pPr>
      <w:r w:rsidRPr="006B47D4">
        <w:rPr>
          <w:noProof/>
          <w:lang w:val="da-DK"/>
        </w:rPr>
        <w:t>I juni 2021 oprettede EU og USA Handels- og teknologirådet, som mødtes for første gang i Pittsburgh den 29. september 2021 og nåede til enighed om en ambitiøs fælles erklæring, bl.a. vedrørende samarbejde om eksportkontrol</w:t>
      </w:r>
      <w:r>
        <w:rPr>
          <w:rStyle w:val="FootnoteReference"/>
          <w:noProof/>
        </w:rPr>
        <w:footnoteReference w:id="6"/>
      </w:r>
      <w:r w:rsidRPr="006B47D4">
        <w:rPr>
          <w:noProof/>
          <w:lang w:val="da-DK"/>
        </w:rPr>
        <w:t xml:space="preserve">. En af de ti arbejdsgrupper beskæftiger sig med eksportkontrol og udveksling af oplysninger og arbejder med emner som lovgivningsmæssig og reguleringsmæssig udvikling, risikovurderinger og god praksis vedrørende udstedelse af tilladelser samt tilgange til erhvervslivets overholdelse og til håndhævelse. Desuden har denne arbejdsgruppe til formål at fremme konvergerende tilgange til kontrol af følsomme teknologier med dobbelt anvendelse og i fællesskab foretage opsøgende arbejde i erhvervslivet om kontrol med eksport af produkter med dobbelt anvendelse. </w:t>
      </w:r>
    </w:p>
    <w:p w14:paraId="1FCE1D5C" w14:textId="77777777" w:rsidR="00D00286" w:rsidRPr="006B47D4" w:rsidRDefault="00D00286" w:rsidP="00611E09">
      <w:pPr>
        <w:adjustRightInd w:val="0"/>
        <w:jc w:val="both"/>
        <w:rPr>
          <w:noProof/>
          <w:lang w:val="da-DK"/>
        </w:rPr>
      </w:pPr>
    </w:p>
    <w:p w14:paraId="41491A34" w14:textId="77777777" w:rsidR="003F48E9" w:rsidRPr="006B47D4" w:rsidRDefault="00D00286" w:rsidP="00611E09">
      <w:pPr>
        <w:adjustRightInd w:val="0"/>
        <w:jc w:val="both"/>
        <w:rPr>
          <w:noProof/>
          <w:lang w:val="da-DK"/>
        </w:rPr>
      </w:pPr>
      <w:r w:rsidRPr="006B47D4">
        <w:rPr>
          <w:noProof/>
          <w:lang w:val="da-DK"/>
        </w:rPr>
        <w:t xml:space="preserve">Handels- og teknologirådet har til formål at sikre større koordinering af tilgange til handels- og teknologispørgsmål, således at der anlægges en holistisk tilgang på tværs af forskellige arbejdsområder. I denne forbindelse påvirkes aspekter af andre grupper såsom dem, der vedrører sikre forsyningskæder, og navnlig halvledere, eller screeningen af udenlandske investeringer også af eksportkontrollen. </w:t>
      </w:r>
    </w:p>
    <w:p w14:paraId="2C7F172E" w14:textId="77777777" w:rsidR="00EE54F5" w:rsidRPr="006B47D4" w:rsidRDefault="00EE54F5" w:rsidP="003F48E9">
      <w:pPr>
        <w:adjustRightInd w:val="0"/>
        <w:jc w:val="both"/>
        <w:rPr>
          <w:noProof/>
          <w:lang w:val="da-DK"/>
        </w:rPr>
      </w:pPr>
    </w:p>
    <w:p w14:paraId="22A914D5" w14:textId="77777777" w:rsidR="004F028A" w:rsidRPr="006B47D4" w:rsidRDefault="00AE4F8A" w:rsidP="00611E09">
      <w:pPr>
        <w:adjustRightInd w:val="0"/>
        <w:jc w:val="both"/>
        <w:rPr>
          <w:noProof/>
          <w:lang w:val="da-DK"/>
        </w:rPr>
      </w:pPr>
      <w:r w:rsidRPr="006B47D4">
        <w:rPr>
          <w:noProof/>
          <w:lang w:val="da-DK"/>
        </w:rPr>
        <w:t>Overordnet set blev EU og USA i Pittsburgh enige om at styrke samarbejdet på følgende områder:</w:t>
      </w:r>
    </w:p>
    <w:p w14:paraId="4B90F00B" w14:textId="77777777" w:rsidR="00AE4F8A" w:rsidRPr="006B47D4" w:rsidRDefault="00AE4F8A" w:rsidP="00611E09">
      <w:pPr>
        <w:adjustRightInd w:val="0"/>
        <w:jc w:val="both"/>
        <w:rPr>
          <w:noProof/>
          <w:lang w:val="da-DK"/>
        </w:rPr>
      </w:pPr>
    </w:p>
    <w:p w14:paraId="1255A679" w14:textId="46EA0891" w:rsidR="004F028A" w:rsidRPr="006B47D4" w:rsidRDefault="004F028A" w:rsidP="00E22496">
      <w:pPr>
        <w:pStyle w:val="ListParagraph"/>
        <w:numPr>
          <w:ilvl w:val="0"/>
          <w:numId w:val="5"/>
        </w:numPr>
        <w:adjustRightInd w:val="0"/>
        <w:jc w:val="both"/>
        <w:rPr>
          <w:rFonts w:ascii="Times New Roman" w:hAnsi="Times New Roman" w:cs="Times New Roman"/>
          <w:noProof/>
          <w:sz w:val="24"/>
          <w:lang w:val="da-DK"/>
        </w:rPr>
      </w:pPr>
      <w:r w:rsidRPr="006B47D4">
        <w:rPr>
          <w:rFonts w:ascii="Times New Roman" w:hAnsi="Times New Roman"/>
          <w:noProof/>
          <w:sz w:val="24"/>
          <w:lang w:val="da-DK"/>
        </w:rPr>
        <w:t>tekniske høringer om nuværende og kommende lovgivningsmæssige og reguleringsmæssige udviklinger, herunder regelmæssige tilpasninger af kontrollister og specifikke tilladelsesundtagelser/generelle eksporttilladelser og udarbejdelse af retningslinjer</w:t>
      </w:r>
    </w:p>
    <w:p w14:paraId="7AE02694" w14:textId="77777777" w:rsidR="004F028A" w:rsidRPr="006B47D4" w:rsidRDefault="004F028A" w:rsidP="00E22496">
      <w:pPr>
        <w:pStyle w:val="ListParagraph"/>
        <w:numPr>
          <w:ilvl w:val="0"/>
          <w:numId w:val="5"/>
        </w:numPr>
        <w:adjustRightInd w:val="0"/>
        <w:jc w:val="both"/>
        <w:rPr>
          <w:rFonts w:ascii="Times New Roman" w:hAnsi="Times New Roman" w:cs="Times New Roman"/>
          <w:noProof/>
          <w:sz w:val="24"/>
          <w:lang w:val="da-DK"/>
        </w:rPr>
      </w:pPr>
      <w:r w:rsidRPr="006B47D4">
        <w:rPr>
          <w:rFonts w:ascii="Times New Roman" w:hAnsi="Times New Roman"/>
          <w:noProof/>
          <w:sz w:val="24"/>
          <w:lang w:val="da-DK"/>
        </w:rPr>
        <w:t>tekniske høringer og udvikling af konvergerende metoder til kontrol af følsomme teknologier med dobbelt anvendelse og udveksling af oplysninger om risici i forbindelse med eksport eller overførsel af følsomme teknologier til bestemmelsessteder og enheder, der giver anledning til bekymring</w:t>
      </w:r>
    </w:p>
    <w:p w14:paraId="0434E591" w14:textId="77777777" w:rsidR="004F028A" w:rsidRPr="006B47D4" w:rsidRDefault="004F028A" w:rsidP="00E22496">
      <w:pPr>
        <w:pStyle w:val="ListParagraph"/>
        <w:numPr>
          <w:ilvl w:val="0"/>
          <w:numId w:val="5"/>
        </w:numPr>
        <w:adjustRightInd w:val="0"/>
        <w:jc w:val="both"/>
        <w:rPr>
          <w:rFonts w:ascii="Times New Roman" w:hAnsi="Times New Roman" w:cs="Times New Roman"/>
          <w:noProof/>
          <w:sz w:val="24"/>
          <w:lang w:val="da-DK"/>
        </w:rPr>
      </w:pPr>
      <w:r w:rsidRPr="006B47D4">
        <w:rPr>
          <w:rFonts w:ascii="Times New Roman" w:hAnsi="Times New Roman"/>
          <w:noProof/>
          <w:sz w:val="24"/>
          <w:lang w:val="da-DK"/>
        </w:rPr>
        <w:t>tekniske høringer om overholdelses- og håndhævelsestilgange og -foranstaltninger</w:t>
      </w:r>
    </w:p>
    <w:p w14:paraId="7C57B16E" w14:textId="1B5782BD" w:rsidR="004F028A" w:rsidRPr="006B47D4" w:rsidRDefault="004F028A" w:rsidP="00E22496">
      <w:pPr>
        <w:pStyle w:val="ListParagraph"/>
        <w:numPr>
          <w:ilvl w:val="0"/>
          <w:numId w:val="5"/>
        </w:numPr>
        <w:adjustRightInd w:val="0"/>
        <w:jc w:val="both"/>
        <w:rPr>
          <w:rFonts w:ascii="Times New Roman" w:hAnsi="Times New Roman" w:cs="Times New Roman"/>
          <w:noProof/>
          <w:sz w:val="24"/>
          <w:lang w:val="da-DK"/>
        </w:rPr>
      </w:pPr>
      <w:r w:rsidRPr="006B47D4">
        <w:rPr>
          <w:rFonts w:ascii="Times New Roman" w:hAnsi="Times New Roman"/>
          <w:noProof/>
          <w:sz w:val="24"/>
          <w:lang w:val="da-DK"/>
        </w:rPr>
        <w:t xml:space="preserve">bistand til kapacitetsopbygning til tredjelande med henblik på at udvikle deres retlige rammer og støtte deres kapacitet til at gennemføre og håndhæve kontrollen </w:t>
      </w:r>
    </w:p>
    <w:p w14:paraId="4B3ECD49" w14:textId="77777777" w:rsidR="008C1E2F" w:rsidRPr="006B47D4" w:rsidRDefault="004F028A" w:rsidP="00E22496">
      <w:pPr>
        <w:pStyle w:val="ListParagraph"/>
        <w:numPr>
          <w:ilvl w:val="0"/>
          <w:numId w:val="5"/>
        </w:numPr>
        <w:adjustRightInd w:val="0"/>
        <w:jc w:val="both"/>
        <w:rPr>
          <w:rFonts w:ascii="Times New Roman" w:hAnsi="Times New Roman" w:cs="Times New Roman"/>
          <w:noProof/>
          <w:sz w:val="24"/>
          <w:lang w:val="da-DK"/>
        </w:rPr>
      </w:pPr>
      <w:r w:rsidRPr="006B47D4">
        <w:rPr>
          <w:rFonts w:ascii="Times New Roman" w:hAnsi="Times New Roman"/>
          <w:noProof/>
          <w:sz w:val="24"/>
          <w:lang w:val="da-DK"/>
        </w:rPr>
        <w:t>tekniske høringer om multilateralt og internationalt samarbejde, herunder ved behov i forbindelse med multilaterale eksportkontrolordninger.</w:t>
      </w:r>
    </w:p>
    <w:p w14:paraId="43563AF7" w14:textId="77777777" w:rsidR="00611E09" w:rsidRPr="006B47D4" w:rsidRDefault="00611E09" w:rsidP="00D33243">
      <w:pPr>
        <w:adjustRightInd w:val="0"/>
        <w:jc w:val="both"/>
        <w:rPr>
          <w:noProof/>
          <w:lang w:val="da-DK"/>
        </w:rPr>
      </w:pPr>
    </w:p>
    <w:p w14:paraId="5E210094" w14:textId="77777777" w:rsidR="008A7E98" w:rsidRPr="006B47D4" w:rsidRDefault="00611E09" w:rsidP="00E72244">
      <w:pPr>
        <w:adjustRightInd w:val="0"/>
        <w:jc w:val="both"/>
        <w:rPr>
          <w:noProof/>
          <w:lang w:val="da-DK"/>
        </w:rPr>
      </w:pPr>
      <w:r w:rsidRPr="006B47D4">
        <w:rPr>
          <w:noProof/>
          <w:lang w:val="da-DK"/>
        </w:rPr>
        <w:t>Handels- og teknologirådets eksportkontrolarbejdsgruppe samarbejdede aktivt med interessenter for at forberede sit arbejde. Der blev afholdt et fælles interessentmøde den 27. oktober 2021</w:t>
      </w:r>
      <w:r>
        <w:rPr>
          <w:rStyle w:val="FootnoteReference"/>
          <w:noProof/>
        </w:rPr>
        <w:footnoteReference w:id="7"/>
      </w:r>
      <w:r w:rsidRPr="006B47D4">
        <w:rPr>
          <w:noProof/>
          <w:lang w:val="da-DK"/>
        </w:rPr>
        <w:t xml:space="preserve"> med deltagelse af mere end 200 repræsentanter fra erhvervslivet og civilsamfundet og akademiske eksperter for at drøfte prioriteterne, og dette blev efterfulgt af offentlige høringer i december 2021 og januar 2022 — parallelt med USA</w:t>
      </w:r>
      <w:r>
        <w:rPr>
          <w:rStyle w:val="FootnoteReference"/>
          <w:noProof/>
        </w:rPr>
        <w:footnoteReference w:id="8"/>
      </w:r>
      <w:r w:rsidRPr="006B47D4">
        <w:rPr>
          <w:noProof/>
          <w:lang w:val="da-DK"/>
        </w:rPr>
        <w:t>.</w:t>
      </w:r>
    </w:p>
    <w:p w14:paraId="3320085B" w14:textId="77777777" w:rsidR="008A7E98" w:rsidRPr="006B47D4" w:rsidRDefault="008A7E98" w:rsidP="00D33243">
      <w:pPr>
        <w:adjustRightInd w:val="0"/>
        <w:jc w:val="both"/>
        <w:rPr>
          <w:noProof/>
          <w:lang w:val="da-DK"/>
        </w:rPr>
      </w:pPr>
    </w:p>
    <w:p w14:paraId="6EED55AF" w14:textId="77777777" w:rsidR="003F48E9" w:rsidRPr="006B47D4" w:rsidRDefault="003F48E9" w:rsidP="003F48E9">
      <w:pPr>
        <w:adjustRightInd w:val="0"/>
        <w:jc w:val="both"/>
        <w:rPr>
          <w:noProof/>
          <w:lang w:val="da-DK"/>
        </w:rPr>
      </w:pPr>
      <w:r w:rsidRPr="006B47D4">
        <w:rPr>
          <w:noProof/>
          <w:lang w:val="da-DK"/>
        </w:rPr>
        <w:t>Den 26. oktober 2021 organiserede Kommissionen en eksportkontroldialog med de seks partnere på Vestbalkan</w:t>
      </w:r>
      <w:r>
        <w:rPr>
          <w:rStyle w:val="FootnoteReference"/>
          <w:noProof/>
        </w:rPr>
        <w:footnoteReference w:id="9"/>
      </w:r>
      <w:r w:rsidRPr="006B47D4">
        <w:rPr>
          <w:noProof/>
          <w:lang w:val="da-DK"/>
        </w:rPr>
        <w:t xml:space="preserve"> for at støtte deres bestræbelser på at tilpasse sig </w:t>
      </w:r>
      <w:r w:rsidRPr="006B47D4">
        <w:rPr>
          <w:i/>
          <w:iCs/>
          <w:noProof/>
          <w:lang w:val="da-DK"/>
        </w:rPr>
        <w:t>gældende fællesskabsret</w:t>
      </w:r>
      <w:r w:rsidRPr="006B47D4">
        <w:rPr>
          <w:noProof/>
          <w:lang w:val="da-DK"/>
        </w:rPr>
        <w:t xml:space="preserve">, herunder EU's kontrol med eksport af produkter med dobbelt anvendelse. EU bekræftede på ny, at det er rede til fortsat at støtte tilpasningen til EU's eksportkontrol, og tilbød at stille EU's elektroniske tilladelsesværktøj til rådighed for landene på Vestbalkan på deres anmodning. </w:t>
      </w:r>
    </w:p>
    <w:p w14:paraId="21FD177B" w14:textId="77777777" w:rsidR="00BA7E94" w:rsidRPr="006B47D4" w:rsidRDefault="00BA7E94" w:rsidP="00AA655D">
      <w:pPr>
        <w:adjustRightInd w:val="0"/>
        <w:jc w:val="both"/>
        <w:rPr>
          <w:noProof/>
          <w:lang w:val="da-DK"/>
        </w:rPr>
      </w:pPr>
    </w:p>
    <w:p w14:paraId="057A9BBC" w14:textId="77777777" w:rsidR="00AA655D" w:rsidRPr="006B47D4" w:rsidRDefault="00AA655D" w:rsidP="007B799A">
      <w:pPr>
        <w:keepNext/>
        <w:tabs>
          <w:tab w:val="left" w:pos="850"/>
        </w:tabs>
        <w:spacing w:after="120"/>
        <w:ind w:left="850" w:hanging="850"/>
        <w:jc w:val="both"/>
        <w:outlineLvl w:val="1"/>
        <w:rPr>
          <w:b/>
          <w:noProof/>
          <w:lang w:val="da-DK"/>
        </w:rPr>
      </w:pPr>
      <w:r w:rsidRPr="006B47D4">
        <w:rPr>
          <w:b/>
          <w:noProof/>
          <w:lang w:val="da-DK"/>
        </w:rPr>
        <w:t>2.2.</w:t>
      </w:r>
      <w:r w:rsidRPr="006B47D4">
        <w:rPr>
          <w:noProof/>
          <w:lang w:val="da-DK"/>
        </w:rPr>
        <w:tab/>
      </w:r>
      <w:r w:rsidRPr="006B47D4">
        <w:rPr>
          <w:b/>
          <w:noProof/>
          <w:lang w:val="da-DK"/>
        </w:rPr>
        <w:t xml:space="preserve">Ændringer i henhold til forordning (EU) 2021/821 </w:t>
      </w:r>
      <w:bookmarkEnd w:id="3"/>
    </w:p>
    <w:p w14:paraId="4BB52ACD" w14:textId="67903948" w:rsidR="00AA655D" w:rsidRPr="006B47D4" w:rsidRDefault="00FC2A23" w:rsidP="007B799A">
      <w:pPr>
        <w:keepNext/>
        <w:contextualSpacing/>
        <w:jc w:val="both"/>
        <w:rPr>
          <w:noProof/>
          <w:u w:val="single"/>
          <w:lang w:val="da-DK"/>
        </w:rPr>
      </w:pPr>
      <w:bookmarkStart w:id="4" w:name="DQCNUMB_1"/>
      <w:bookmarkEnd w:id="4"/>
      <w:r w:rsidRPr="006B47D4">
        <w:rPr>
          <w:noProof/>
          <w:u w:val="single"/>
          <w:lang w:val="da-DK"/>
        </w:rPr>
        <w:t>2.2.1 Ajourføring af EU's kontrolliste</w:t>
      </w:r>
    </w:p>
    <w:p w14:paraId="0037DA76" w14:textId="77777777" w:rsidR="00AA655D" w:rsidRPr="006B47D4" w:rsidRDefault="00AA655D" w:rsidP="00E4160C">
      <w:pPr>
        <w:keepNext/>
        <w:contextualSpacing/>
        <w:jc w:val="both"/>
        <w:rPr>
          <w:noProof/>
          <w:lang w:val="da-DK"/>
        </w:rPr>
      </w:pPr>
    </w:p>
    <w:p w14:paraId="79C48820" w14:textId="62462518" w:rsidR="00AA655D" w:rsidRPr="006B47D4" w:rsidRDefault="00A3660F" w:rsidP="00AA655D">
      <w:pPr>
        <w:contextualSpacing/>
        <w:jc w:val="both"/>
        <w:rPr>
          <w:noProof/>
          <w:lang w:val="da-DK"/>
        </w:rPr>
      </w:pPr>
      <w:r w:rsidRPr="006B47D4">
        <w:rPr>
          <w:noProof/>
          <w:lang w:val="da-DK"/>
        </w:rPr>
        <w:t>EU's kontrolliste i bilag I til forordningen indeholder i alt væsentligt en liste over produkter med dobbelt anvendelse, herunder software og teknologi, som bør underkastes kontrol, da de kan anvendes til både civile og militære formål. Den ajourføres regelmæssigt for at afspejle ændringer i de multilaterale eksportkontrolordninger. Den blev ændret én gang i 2021</w:t>
      </w:r>
      <w:r>
        <w:rPr>
          <w:noProof/>
          <w:vertAlign w:val="superscript"/>
        </w:rPr>
        <w:footnoteReference w:id="10"/>
      </w:r>
      <w:r w:rsidRPr="006B47D4">
        <w:rPr>
          <w:noProof/>
          <w:lang w:val="da-DK"/>
        </w:rPr>
        <w:t xml:space="preserve"> for at indarbejde de afgørelser, der blev vedtaget fra marts til december 2020 inden for rammerne af disse ordninger (navnlig i henhold til Wassenaararrangementet og Australiengruppen). </w:t>
      </w:r>
    </w:p>
    <w:p w14:paraId="03A73ABA" w14:textId="77777777" w:rsidR="00AA655D" w:rsidRPr="006B47D4" w:rsidRDefault="00AA655D" w:rsidP="00AA655D">
      <w:pPr>
        <w:contextualSpacing/>
        <w:jc w:val="both"/>
        <w:rPr>
          <w:noProof/>
          <w:lang w:val="da-DK"/>
        </w:rPr>
      </w:pPr>
    </w:p>
    <w:p w14:paraId="4184A040" w14:textId="7FCF8446" w:rsidR="00F517AC" w:rsidRPr="006B47D4" w:rsidRDefault="007B6F8D" w:rsidP="00E35074">
      <w:pPr>
        <w:pBdr>
          <w:top w:val="single" w:sz="4" w:space="1" w:color="auto"/>
          <w:left w:val="single" w:sz="4" w:space="4" w:color="auto"/>
          <w:bottom w:val="single" w:sz="4" w:space="1" w:color="auto"/>
          <w:right w:val="single" w:sz="4" w:space="4" w:color="auto"/>
        </w:pBdr>
        <w:jc w:val="both"/>
        <w:rPr>
          <w:b/>
          <w:noProof/>
          <w:sz w:val="22"/>
          <w:lang w:val="da-DK"/>
        </w:rPr>
      </w:pPr>
      <w:r w:rsidRPr="006B47D4">
        <w:rPr>
          <w:b/>
          <w:noProof/>
          <w:sz w:val="22"/>
          <w:lang w:val="da-DK"/>
        </w:rPr>
        <w:t>Ændringer af EU's kontrolliste i 2021</w:t>
      </w:r>
    </w:p>
    <w:p w14:paraId="18049750" w14:textId="77777777" w:rsidR="005A04DF" w:rsidRPr="006B47D4" w:rsidRDefault="005A04DF" w:rsidP="005A04DF">
      <w:pPr>
        <w:pBdr>
          <w:top w:val="single" w:sz="4" w:space="1" w:color="auto"/>
          <w:left w:val="single" w:sz="4" w:space="4" w:color="auto"/>
          <w:bottom w:val="single" w:sz="4" w:space="1" w:color="auto"/>
          <w:right w:val="single" w:sz="4" w:space="4" w:color="auto"/>
        </w:pBdr>
        <w:jc w:val="both"/>
        <w:rPr>
          <w:noProof/>
          <w:sz w:val="22"/>
          <w:lang w:val="da-DK"/>
        </w:rPr>
      </w:pPr>
    </w:p>
    <w:p w14:paraId="1B5109E2" w14:textId="1467A288" w:rsidR="005A04DF" w:rsidRPr="006B47D4" w:rsidRDefault="005A04DF" w:rsidP="00933503">
      <w:pPr>
        <w:pBdr>
          <w:top w:val="single" w:sz="4" w:space="1" w:color="auto"/>
          <w:left w:val="single" w:sz="4" w:space="4" w:color="auto"/>
          <w:bottom w:val="single" w:sz="4" w:space="1" w:color="auto"/>
          <w:right w:val="single" w:sz="4" w:space="4" w:color="auto"/>
        </w:pBdr>
        <w:jc w:val="both"/>
        <w:rPr>
          <w:noProof/>
          <w:sz w:val="22"/>
          <w:lang w:val="da-DK"/>
        </w:rPr>
      </w:pPr>
      <w:r w:rsidRPr="006B47D4">
        <w:rPr>
          <w:noProof/>
          <w:sz w:val="22"/>
          <w:lang w:val="da-DK"/>
        </w:rPr>
        <w:t xml:space="preserve">Ændringerne vedrører navnlig kontrol med bioindeslutningskamre, isolatorer eller biologiske sikkerhedsskabe (2B352.f.2 note 2) for at medtage enhver isolator, der opfylder alle de egenskaber, der er nævnt i beskrivelsen af produktet, uanset dets påtænkte anvendelse og betegnelse. EU's kontrolliste for 2021 indfører også en ændring af definitionen af "superlegeringer" for at præcisere sådanne materialers maksimale trækstyrke. </w:t>
      </w:r>
    </w:p>
    <w:p w14:paraId="0EF4EE19" w14:textId="77777777" w:rsidR="005A04DF" w:rsidRPr="006B47D4" w:rsidRDefault="005A04DF" w:rsidP="005A04DF">
      <w:pPr>
        <w:pBdr>
          <w:top w:val="single" w:sz="4" w:space="1" w:color="auto"/>
          <w:left w:val="single" w:sz="4" w:space="4" w:color="auto"/>
          <w:bottom w:val="single" w:sz="4" w:space="1" w:color="auto"/>
          <w:right w:val="single" w:sz="4" w:space="4" w:color="auto"/>
        </w:pBdr>
        <w:jc w:val="both"/>
        <w:rPr>
          <w:noProof/>
          <w:sz w:val="22"/>
          <w:lang w:val="da-DK"/>
        </w:rPr>
      </w:pPr>
    </w:p>
    <w:p w14:paraId="655EF8DA" w14:textId="77777777" w:rsidR="00AA655D" w:rsidRPr="006B47D4" w:rsidRDefault="00AA655D" w:rsidP="00AA655D">
      <w:pPr>
        <w:jc w:val="both"/>
        <w:rPr>
          <w:noProof/>
          <w:lang w:val="da-DK"/>
        </w:rPr>
      </w:pPr>
    </w:p>
    <w:p w14:paraId="077DBB7F" w14:textId="35A2BE64" w:rsidR="00AA655D" w:rsidRPr="006B47D4" w:rsidRDefault="00AA655D" w:rsidP="00AA655D">
      <w:pPr>
        <w:jc w:val="both"/>
        <w:rPr>
          <w:noProof/>
          <w:lang w:val="da-DK"/>
        </w:rPr>
      </w:pPr>
      <w:r w:rsidRPr="006B47D4">
        <w:rPr>
          <w:noProof/>
          <w:lang w:val="da-DK"/>
        </w:rPr>
        <w:t>Den ajourførte og konsoliderede EU-kontrolliste trådte i kraft den 07. januar 2022, hvilket gjorde det muligt for EU at opfylde sine internationale forpligtelser. Kommissionen offentliggjorde en vejledning med en oversigt over alle ændringer af EU's kontrolliste for produkter med dobbelt anvendelse fra 2021, der er sammenfattet i et "sammenfattende notat"</w:t>
      </w:r>
      <w:r>
        <w:rPr>
          <w:noProof/>
          <w:vertAlign w:val="superscript"/>
        </w:rPr>
        <w:footnoteReference w:id="11"/>
      </w:r>
      <w:r w:rsidRPr="006B47D4">
        <w:rPr>
          <w:noProof/>
          <w:lang w:val="da-DK"/>
        </w:rPr>
        <w:t>.</w:t>
      </w:r>
    </w:p>
    <w:p w14:paraId="7D8EAF54" w14:textId="77777777" w:rsidR="00AA655D" w:rsidRPr="006B47D4" w:rsidRDefault="00AA655D" w:rsidP="00AA655D">
      <w:pPr>
        <w:jc w:val="both"/>
        <w:rPr>
          <w:noProof/>
          <w:lang w:val="da-DK"/>
        </w:rPr>
      </w:pPr>
    </w:p>
    <w:p w14:paraId="65E9328F" w14:textId="77777777" w:rsidR="00AA655D" w:rsidRPr="006B47D4" w:rsidRDefault="00AA655D" w:rsidP="007B799A">
      <w:pPr>
        <w:keepNext/>
        <w:tabs>
          <w:tab w:val="left" w:pos="850"/>
        </w:tabs>
        <w:spacing w:after="120"/>
        <w:ind w:left="850" w:hanging="850"/>
        <w:jc w:val="both"/>
        <w:outlineLvl w:val="1"/>
        <w:rPr>
          <w:b/>
          <w:noProof/>
          <w:lang w:val="da-DK"/>
        </w:rPr>
      </w:pPr>
      <w:bookmarkStart w:id="5" w:name="_Toc368065773"/>
      <w:r w:rsidRPr="006B47D4">
        <w:rPr>
          <w:b/>
          <w:noProof/>
          <w:lang w:val="da-DK"/>
        </w:rPr>
        <w:t>2.3.</w:t>
      </w:r>
      <w:r w:rsidRPr="006B47D4">
        <w:rPr>
          <w:noProof/>
          <w:lang w:val="da-DK"/>
        </w:rPr>
        <w:tab/>
      </w:r>
      <w:r w:rsidRPr="006B47D4">
        <w:rPr>
          <w:b/>
          <w:noProof/>
          <w:lang w:val="da-DK"/>
        </w:rPr>
        <w:t>Nationale gennemførelses- og håndhævelsesforanstaltninger</w:t>
      </w:r>
      <w:bookmarkEnd w:id="5"/>
    </w:p>
    <w:p w14:paraId="3E457A55" w14:textId="77777777" w:rsidR="00AA655D" w:rsidRPr="006B47D4" w:rsidRDefault="00DF60EB" w:rsidP="007B799A">
      <w:pPr>
        <w:keepNext/>
        <w:spacing w:before="100" w:beforeAutospacing="1" w:after="100" w:afterAutospacing="1"/>
        <w:jc w:val="both"/>
        <w:rPr>
          <w:noProof/>
          <w:u w:val="single"/>
          <w:lang w:val="da-DK"/>
        </w:rPr>
      </w:pPr>
      <w:r w:rsidRPr="006B47D4">
        <w:rPr>
          <w:noProof/>
          <w:u w:val="single"/>
          <w:lang w:val="da-DK"/>
        </w:rPr>
        <w:t xml:space="preserve">2.3.1 Gennemførelsesforanstaltninger </w:t>
      </w:r>
    </w:p>
    <w:p w14:paraId="0A72D551" w14:textId="2B38FCD1" w:rsidR="00A3660F" w:rsidRPr="006B47D4" w:rsidRDefault="00AA655D" w:rsidP="00AA655D">
      <w:pPr>
        <w:spacing w:before="100" w:beforeAutospacing="1" w:after="100" w:afterAutospacing="1"/>
        <w:jc w:val="both"/>
        <w:rPr>
          <w:noProof/>
          <w:lang w:val="da-DK"/>
        </w:rPr>
      </w:pPr>
      <w:r w:rsidRPr="006B47D4">
        <w:rPr>
          <w:noProof/>
          <w:lang w:val="da-DK"/>
        </w:rPr>
        <w:t>Forordningen er bindende i alle enkeltheder og gælder umiddelbart i hver medlemsstat. Det fastsættes imidlertid, at medlemsstaterne kan træffe visse foranstaltninger til gennemførelse af specifikke bestemmelser, f.eks. om der skal anmodes om en tilladelse for visse produkter med dobbelt anvendelse, hvis eksportøren kan have mistanke om, at produkterne vil blive anvendt på en måde, der ikke er tilladt i henhold til forordningen. Den kræver, at oplysninger om disse nationale foranstaltninger offentliggøres i Den Europæiske Unions Tidende. Kommissionen offentliggjorde derfor den 8. februar 2021</w:t>
      </w:r>
      <w:r>
        <w:rPr>
          <w:noProof/>
          <w:vertAlign w:val="superscript"/>
        </w:rPr>
        <w:footnoteReference w:id="12"/>
      </w:r>
      <w:r w:rsidRPr="006B47D4">
        <w:rPr>
          <w:noProof/>
          <w:lang w:val="da-DK"/>
        </w:rPr>
        <w:t xml:space="preserve"> en orienterende note, der giver et ajourført overblik over de foranstaltninger, som medlemsstaterne har truffet, bl.a. udvidelse af kontrollen med mæglervirksomhed og transit, udvidelse af kontrollen til at omfatte produkter, som af hensyn til den offentlige sikkerhed og menneskerettighederne ikke er opført på listen, indførelse af nationale generelle eksporttilladelser, anvendelse af kontrol med overførsler inden for EU af produkter, der ikke er opført på listen. Denne orienterende note afspejler EU's indsats for at sikre gennemsigtighed i gældende regler og dets bestræbelser på at støtte en konsekvent og effektiv gennemførelse af eksportørkontrol i hele EU.</w:t>
      </w:r>
    </w:p>
    <w:p w14:paraId="726E2E02" w14:textId="77777777" w:rsidR="00AA655D" w:rsidRPr="006B47D4" w:rsidRDefault="00DF60EB" w:rsidP="008C4021">
      <w:pPr>
        <w:keepNext/>
        <w:spacing w:before="100" w:beforeAutospacing="1" w:after="100" w:afterAutospacing="1"/>
        <w:jc w:val="both"/>
        <w:rPr>
          <w:noProof/>
          <w:u w:val="single"/>
          <w:lang w:val="da-DK"/>
        </w:rPr>
      </w:pPr>
      <w:r w:rsidRPr="006B47D4">
        <w:rPr>
          <w:noProof/>
          <w:u w:val="single"/>
          <w:lang w:val="da-DK"/>
        </w:rPr>
        <w:t xml:space="preserve">2.3.2 Håndhævelsesforanstaltninger </w:t>
      </w:r>
    </w:p>
    <w:p w14:paraId="07E7FBAA" w14:textId="77777777" w:rsidR="00AA655D" w:rsidRPr="006B47D4" w:rsidRDefault="003B2BCC" w:rsidP="00AA655D">
      <w:pPr>
        <w:spacing w:before="100" w:beforeAutospacing="1" w:after="100" w:afterAutospacing="1"/>
        <w:jc w:val="both"/>
        <w:rPr>
          <w:noProof/>
          <w:lang w:val="da-DK"/>
        </w:rPr>
      </w:pPr>
      <w:r w:rsidRPr="006B47D4">
        <w:rPr>
          <w:noProof/>
          <w:lang w:val="da-DK"/>
        </w:rPr>
        <w:t>Kommissionen blev ikke underrettet om nogen ny udvikling i 2021. Listen over nationale håndhævelsesforanstaltninger, der blev offentliggjort sammen med den årlige eksportkontrolrapport</w:t>
      </w:r>
      <w:r>
        <w:rPr>
          <w:rStyle w:val="FootnoteReference"/>
          <w:noProof/>
        </w:rPr>
        <w:footnoteReference w:id="13"/>
      </w:r>
      <w:r w:rsidRPr="006B47D4">
        <w:rPr>
          <w:noProof/>
          <w:lang w:val="da-DK"/>
        </w:rPr>
        <w:t xml:space="preserve"> for 2019, er fortsat gyldig.</w:t>
      </w:r>
    </w:p>
    <w:p w14:paraId="69AE62D3" w14:textId="77777777" w:rsidR="00933503" w:rsidRPr="006B47D4" w:rsidRDefault="00933503" w:rsidP="00B50753">
      <w:pPr>
        <w:keepNext/>
        <w:tabs>
          <w:tab w:val="left" w:pos="850"/>
        </w:tabs>
        <w:spacing w:after="120"/>
        <w:ind w:left="850" w:hanging="850"/>
        <w:jc w:val="both"/>
        <w:outlineLvl w:val="1"/>
        <w:rPr>
          <w:b/>
          <w:noProof/>
          <w:lang w:val="da-DK"/>
        </w:rPr>
      </w:pPr>
      <w:r w:rsidRPr="006B47D4">
        <w:rPr>
          <w:b/>
          <w:noProof/>
          <w:lang w:val="da-DK"/>
        </w:rPr>
        <w:t>2.4. Eksport fra Nordirland</w:t>
      </w:r>
    </w:p>
    <w:p w14:paraId="62123016" w14:textId="77777777" w:rsidR="00933503" w:rsidRPr="006B47D4" w:rsidRDefault="00933503" w:rsidP="00933503">
      <w:pPr>
        <w:jc w:val="both"/>
        <w:rPr>
          <w:noProof/>
          <w:lang w:val="da-DK"/>
        </w:rPr>
      </w:pPr>
      <w:r w:rsidRPr="006B47D4">
        <w:rPr>
          <w:noProof/>
          <w:lang w:val="da-DK"/>
        </w:rPr>
        <w:t>Udførslen af produkter med dobbelt anvendelse fra EU til Det Forenede Kongerige blev underlagt kontrol i henhold til forordningen med Det Forenede Kongeriges udtræden af Unionen den 1. januar 2021 på samme måde som eksport til ethvert andet tredjeland.</w:t>
      </w:r>
    </w:p>
    <w:p w14:paraId="6ECBAA5C" w14:textId="77777777" w:rsidR="00933503" w:rsidRPr="006B47D4" w:rsidRDefault="00933503" w:rsidP="00933503">
      <w:pPr>
        <w:jc w:val="both"/>
        <w:rPr>
          <w:noProof/>
          <w:lang w:val="da-DK"/>
        </w:rPr>
      </w:pPr>
    </w:p>
    <w:p w14:paraId="16537A9E" w14:textId="711632AA" w:rsidR="00E72244" w:rsidRPr="006B47D4" w:rsidRDefault="00933503" w:rsidP="00933503">
      <w:pPr>
        <w:jc w:val="both"/>
        <w:rPr>
          <w:noProof/>
          <w:lang w:val="da-DK"/>
        </w:rPr>
      </w:pPr>
      <w:r w:rsidRPr="006B47D4">
        <w:rPr>
          <w:noProof/>
          <w:lang w:val="da-DK"/>
        </w:rPr>
        <w:t>Der er fastsat særlige ordninger i protokollen om Nordirland (NI)</w:t>
      </w:r>
      <w:r>
        <w:rPr>
          <w:rStyle w:val="FootnoteReference"/>
          <w:noProof/>
        </w:rPr>
        <w:footnoteReference w:id="14"/>
      </w:r>
      <w:r w:rsidRPr="006B47D4">
        <w:rPr>
          <w:noProof/>
          <w:lang w:val="da-DK"/>
        </w:rPr>
        <w:t>, som fastsætter, at forordningen finder anvendelse på og i Det Forenede Kongerige for så vidt angår Nordirland</w:t>
      </w:r>
      <w:r>
        <w:rPr>
          <w:rStyle w:val="FootnoteReference"/>
          <w:noProof/>
        </w:rPr>
        <w:footnoteReference w:id="15"/>
      </w:r>
      <w:r w:rsidRPr="006B47D4">
        <w:rPr>
          <w:noProof/>
          <w:lang w:val="da-DK"/>
        </w:rPr>
        <w:t>, idet Det Forenede Kongerige fungerer som kompetent myndighed i henhold til forordningen for eksport fra Nordirland til tredjelande uden for EU. Kommissionen har udviklet et særligt sikkert elektronisk værktøj til at støtte udvekslingen af oplysninger med Det Forenede Kongeriges kompetente myndighed med ansvar for anvendelsen af forordningen i og fra Nordirland. Dette gør det muligt for denne myndighed at få adgang til oplysninger om afslag på i alt væsentligt identiske transaktioner, der er udstedt af EU-medlemsstaterne, og at have bilaterale samråd med den udstedende medlemsstat som fastsat i forordningen</w:t>
      </w:r>
      <w:r>
        <w:rPr>
          <w:rStyle w:val="FootnoteReference"/>
          <w:noProof/>
        </w:rPr>
        <w:footnoteReference w:id="16"/>
      </w:r>
      <w:r w:rsidRPr="006B47D4">
        <w:rPr>
          <w:noProof/>
          <w:lang w:val="da-DK"/>
        </w:rPr>
        <w:t xml:space="preserve">. </w:t>
      </w:r>
    </w:p>
    <w:p w14:paraId="1B93C828" w14:textId="77777777" w:rsidR="00F72887" w:rsidRPr="006B47D4" w:rsidRDefault="00F72887" w:rsidP="00E72244">
      <w:pPr>
        <w:jc w:val="both"/>
        <w:rPr>
          <w:noProof/>
          <w:lang w:val="da-DK"/>
        </w:rPr>
      </w:pPr>
    </w:p>
    <w:p w14:paraId="0F726852" w14:textId="77777777" w:rsidR="00AA655D" w:rsidRPr="006B47D4" w:rsidRDefault="00AA655D" w:rsidP="00AA655D">
      <w:pPr>
        <w:keepNext/>
        <w:tabs>
          <w:tab w:val="left" w:pos="850"/>
        </w:tabs>
        <w:spacing w:after="120"/>
        <w:ind w:left="850" w:hanging="850"/>
        <w:jc w:val="both"/>
        <w:outlineLvl w:val="0"/>
        <w:rPr>
          <w:b/>
          <w:smallCaps/>
          <w:noProof/>
          <w:lang w:val="da-DK"/>
        </w:rPr>
      </w:pPr>
      <w:bookmarkStart w:id="6" w:name="_Toc368065775"/>
      <w:r w:rsidRPr="006B47D4">
        <w:rPr>
          <w:b/>
          <w:smallCaps/>
          <w:noProof/>
          <w:lang w:val="da-DK"/>
        </w:rPr>
        <w:t>3.</w:t>
      </w:r>
      <w:r w:rsidRPr="006B47D4">
        <w:rPr>
          <w:noProof/>
          <w:lang w:val="da-DK"/>
        </w:rPr>
        <w:tab/>
      </w:r>
      <w:r w:rsidRPr="006B47D4">
        <w:rPr>
          <w:b/>
          <w:smallCaps/>
          <w:noProof/>
          <w:lang w:val="da-DK"/>
        </w:rPr>
        <w:t>Aktiviteterne i Koordinationsgruppen for Produkter med Dobbelt Anvendelse</w:t>
      </w:r>
      <w:bookmarkEnd w:id="6"/>
    </w:p>
    <w:p w14:paraId="3318D7B3" w14:textId="2566AADD" w:rsidR="00AA655D" w:rsidRPr="006B47D4" w:rsidRDefault="00C6061E" w:rsidP="00AA655D">
      <w:pPr>
        <w:spacing w:before="100" w:beforeAutospacing="1" w:after="100" w:afterAutospacing="1"/>
        <w:jc w:val="both"/>
        <w:rPr>
          <w:noProof/>
          <w:lang w:val="da-DK"/>
        </w:rPr>
      </w:pPr>
      <w:r w:rsidRPr="006B47D4">
        <w:rPr>
          <w:noProof/>
          <w:lang w:val="da-DK"/>
        </w:rPr>
        <w:t>DUCG samler eksperter fra Kommissionen og medlemsstaterne for at undersøge ethvert spørgsmål vedrørende anvendelsen af eksportkontrol</w:t>
      </w:r>
      <w:r>
        <w:rPr>
          <w:rStyle w:val="FootnoteReference"/>
          <w:noProof/>
        </w:rPr>
        <w:footnoteReference w:id="17"/>
      </w:r>
      <w:r w:rsidRPr="006B47D4">
        <w:rPr>
          <w:noProof/>
          <w:lang w:val="da-DK"/>
        </w:rPr>
        <w:t xml:space="preserve">. Den afholdt seks møder i 2021. </w:t>
      </w:r>
    </w:p>
    <w:p w14:paraId="5B17B38F" w14:textId="77777777" w:rsidR="00AA655D" w:rsidRPr="006B47D4" w:rsidRDefault="00AA655D" w:rsidP="00AA655D">
      <w:pPr>
        <w:keepNext/>
        <w:tabs>
          <w:tab w:val="left" w:pos="850"/>
        </w:tabs>
        <w:spacing w:after="120"/>
        <w:ind w:left="850" w:hanging="850"/>
        <w:jc w:val="both"/>
        <w:outlineLvl w:val="1"/>
        <w:rPr>
          <w:b/>
          <w:noProof/>
          <w:lang w:val="da-DK"/>
        </w:rPr>
      </w:pPr>
      <w:r w:rsidRPr="006B47D4">
        <w:rPr>
          <w:b/>
          <w:noProof/>
          <w:lang w:val="da-DK"/>
        </w:rPr>
        <w:t>3.1.</w:t>
      </w:r>
      <w:r w:rsidRPr="006B47D4">
        <w:rPr>
          <w:noProof/>
          <w:lang w:val="da-DK"/>
        </w:rPr>
        <w:tab/>
      </w:r>
      <w:r w:rsidRPr="006B47D4">
        <w:rPr>
          <w:b/>
          <w:noProof/>
          <w:lang w:val="da-DK"/>
        </w:rPr>
        <w:t>Høringer om spørgsmål vedrørende gennemførelsen — generel informationsudveksling</w:t>
      </w:r>
    </w:p>
    <w:p w14:paraId="3750645E" w14:textId="33AC9241" w:rsidR="00AA655D" w:rsidRPr="006B47D4" w:rsidRDefault="00AA655D" w:rsidP="003A26B9">
      <w:pPr>
        <w:jc w:val="both"/>
        <w:rPr>
          <w:noProof/>
          <w:lang w:val="da-DK"/>
        </w:rPr>
      </w:pPr>
      <w:r w:rsidRPr="006B47D4">
        <w:rPr>
          <w:noProof/>
          <w:lang w:val="da-DK"/>
        </w:rPr>
        <w:t xml:space="preserve">Kommissionen og medlemsstaternes repræsentanter i DUCG gennemførte </w:t>
      </w:r>
      <w:r w:rsidRPr="006B47D4">
        <w:rPr>
          <w:b/>
          <w:bCs/>
          <w:i/>
          <w:iCs/>
          <w:noProof/>
          <w:lang w:val="da-DK"/>
        </w:rPr>
        <w:t>generelle informationsudvekslinger om eksportkontrolspørgsmål</w:t>
      </w:r>
      <w:r w:rsidRPr="006B47D4">
        <w:rPr>
          <w:noProof/>
          <w:lang w:val="da-DK"/>
        </w:rPr>
        <w:t xml:space="preserve">, herunder til støtte for den lovgivningsmæssige modernisering af EU's eksportkontrol. </w:t>
      </w:r>
    </w:p>
    <w:p w14:paraId="222747D0" w14:textId="77777777" w:rsidR="00AA655D" w:rsidRPr="006B47D4" w:rsidRDefault="00AA655D" w:rsidP="00AA655D">
      <w:pPr>
        <w:jc w:val="both"/>
        <w:rPr>
          <w:noProof/>
          <w:lang w:val="da-DK"/>
        </w:rPr>
      </w:pPr>
    </w:p>
    <w:p w14:paraId="57FAABFC" w14:textId="703E5A66" w:rsidR="00AA655D" w:rsidRPr="006B47D4" w:rsidRDefault="001B5C4A" w:rsidP="003A26B9">
      <w:pPr>
        <w:pStyle w:val="Default"/>
        <w:jc w:val="both"/>
        <w:rPr>
          <w:rFonts w:ascii="Times New Roman" w:eastAsia="Calibri" w:hAnsi="Times New Roman" w:cs="Times New Roman"/>
          <w:noProof/>
          <w:lang w:val="da-DK"/>
        </w:rPr>
      </w:pPr>
      <w:r w:rsidRPr="006B47D4">
        <w:rPr>
          <w:rFonts w:ascii="Times New Roman" w:hAnsi="Times New Roman"/>
          <w:noProof/>
          <w:lang w:val="da-DK"/>
        </w:rPr>
        <w:t xml:space="preserve">Kommissionen koordinerede en udveksling af oplysninger mellem medlemsstaterne i DUCG vedrørende </w:t>
      </w:r>
      <w:r w:rsidRPr="006B47D4">
        <w:rPr>
          <w:rFonts w:ascii="Times New Roman" w:hAnsi="Times New Roman"/>
          <w:b/>
          <w:i/>
          <w:noProof/>
          <w:lang w:val="da-DK"/>
        </w:rPr>
        <w:t>nationale gennemførelsesforanstaltninger</w:t>
      </w:r>
      <w:r w:rsidRPr="006B47D4">
        <w:rPr>
          <w:rFonts w:ascii="Times New Roman" w:hAnsi="Times New Roman"/>
          <w:noProof/>
          <w:lang w:val="da-DK"/>
        </w:rPr>
        <w:t xml:space="preserve"> og foretog ajourføringen af den orienterende note om nationale foranstaltninger med støtte fra Koordinationsgruppen for Produkter med Dobbelt Anvendelse</w:t>
      </w:r>
      <w:r>
        <w:rPr>
          <w:rFonts w:ascii="Times New Roman" w:eastAsia="Calibri" w:hAnsi="Times New Roman" w:cs="Times New Roman"/>
          <w:noProof/>
          <w:vertAlign w:val="superscript"/>
        </w:rPr>
        <w:footnoteReference w:id="18"/>
      </w:r>
      <w:r w:rsidRPr="006B47D4">
        <w:rPr>
          <w:rFonts w:ascii="Times New Roman" w:hAnsi="Times New Roman"/>
          <w:noProof/>
          <w:lang w:val="da-DK"/>
        </w:rPr>
        <w:t>.</w:t>
      </w:r>
    </w:p>
    <w:p w14:paraId="46A4CFF1" w14:textId="77777777" w:rsidR="00FE6013" w:rsidRPr="006B47D4" w:rsidRDefault="00FE6013" w:rsidP="00AA655D">
      <w:pPr>
        <w:pStyle w:val="Default"/>
        <w:jc w:val="both"/>
        <w:rPr>
          <w:rFonts w:ascii="Times New Roman" w:eastAsia="Calibri" w:hAnsi="Times New Roman" w:cs="Times New Roman"/>
          <w:noProof/>
          <w:lang w:val="da-DK"/>
        </w:rPr>
      </w:pPr>
    </w:p>
    <w:p w14:paraId="3BCA31E2" w14:textId="231EFA96" w:rsidR="00FE6013" w:rsidRPr="006B47D4" w:rsidRDefault="00FE6013" w:rsidP="003A26B9">
      <w:pPr>
        <w:pStyle w:val="Default"/>
        <w:jc w:val="both"/>
        <w:rPr>
          <w:rFonts w:ascii="Times New Roman" w:eastAsia="Calibri" w:hAnsi="Times New Roman" w:cs="Times New Roman"/>
          <w:noProof/>
          <w:lang w:val="da-DK"/>
        </w:rPr>
      </w:pPr>
      <w:r w:rsidRPr="006B47D4">
        <w:rPr>
          <w:rFonts w:ascii="Times New Roman" w:hAnsi="Times New Roman"/>
          <w:noProof/>
          <w:lang w:val="da-DK"/>
        </w:rPr>
        <w:t>Med ikrafttrædelsen af den nye forordning i september 2021 begyndte DUCG at arbejde med dens gennemførelse og aftalte regelmæssigt at udveksle oplysninger. Kommissionen opfordrede f.eks. medlemsstaterne i DUCG til at begynde at overveje de nye bestemmelser i forordningen, som kræver offentliggørelse af nationale foranstaltninger og nationale kontrollister (artikel 9 og 10).</w:t>
      </w:r>
    </w:p>
    <w:p w14:paraId="56E88311" w14:textId="77777777" w:rsidR="001B5C4A" w:rsidRPr="006B47D4" w:rsidRDefault="001B5C4A" w:rsidP="00AA655D">
      <w:pPr>
        <w:pStyle w:val="Default"/>
        <w:jc w:val="both"/>
        <w:rPr>
          <w:rFonts w:ascii="Times New Roman" w:eastAsia="Calibri" w:hAnsi="Times New Roman" w:cs="Times New Roman"/>
          <w:noProof/>
          <w:lang w:val="da-DK"/>
        </w:rPr>
      </w:pPr>
    </w:p>
    <w:p w14:paraId="30F90675" w14:textId="146E56E1" w:rsidR="00AA655D" w:rsidRPr="006B47D4" w:rsidRDefault="00AA655D" w:rsidP="003A26B9">
      <w:pPr>
        <w:pStyle w:val="Default"/>
        <w:jc w:val="both"/>
        <w:rPr>
          <w:rFonts w:ascii="Times New Roman" w:eastAsia="Calibri" w:hAnsi="Times New Roman" w:cs="Times New Roman"/>
          <w:noProof/>
          <w:lang w:val="da-DK"/>
        </w:rPr>
      </w:pPr>
      <w:r w:rsidRPr="006B47D4">
        <w:rPr>
          <w:rFonts w:ascii="Times New Roman" w:hAnsi="Times New Roman"/>
          <w:noProof/>
          <w:lang w:val="da-DK"/>
        </w:rPr>
        <w:t xml:space="preserve">Kommissionen indsamlede oplysninger om </w:t>
      </w:r>
      <w:r w:rsidRPr="006B47D4">
        <w:rPr>
          <w:rFonts w:ascii="Times New Roman" w:hAnsi="Times New Roman"/>
          <w:b/>
          <w:bCs/>
          <w:i/>
          <w:iCs/>
          <w:noProof/>
          <w:lang w:val="da-DK"/>
        </w:rPr>
        <w:t>tilladelsesdata</w:t>
      </w:r>
      <w:r w:rsidRPr="006B47D4">
        <w:rPr>
          <w:rFonts w:ascii="Times New Roman" w:hAnsi="Times New Roman"/>
          <w:noProof/>
          <w:lang w:val="da-DK"/>
        </w:rPr>
        <w:t xml:space="preserve"> </w:t>
      </w:r>
      <w:r w:rsidRPr="006B47D4">
        <w:rPr>
          <w:rFonts w:ascii="Times New Roman" w:hAnsi="Times New Roman"/>
          <w:i/>
          <w:iCs/>
          <w:noProof/>
          <w:lang w:val="da-DK"/>
        </w:rPr>
        <w:t>med støtte fra DUCG</w:t>
      </w:r>
      <w:r w:rsidRPr="006B47D4">
        <w:rPr>
          <w:rFonts w:ascii="Times New Roman" w:hAnsi="Times New Roman"/>
          <w:noProof/>
          <w:lang w:val="da-DK"/>
        </w:rPr>
        <w:t xml:space="preserve"> for at give et overblik over gennemførelsen af eksportkontroller og øge den offentlige gennemsigtighed i EU's kontrol med eksport af produkter med dobbelt anvendelse (der blev anvendt EU 2020-aggregerede data ved udarbejdelsen af denne årsrapport)</w:t>
      </w:r>
      <w:r w:rsidRPr="006B47D4">
        <w:rPr>
          <w:noProof/>
          <w:lang w:val="da-DK"/>
        </w:rPr>
        <w:t>.</w:t>
      </w:r>
      <w:r w:rsidRPr="006B47D4">
        <w:rPr>
          <w:rFonts w:ascii="Times New Roman" w:hAnsi="Times New Roman"/>
          <w:noProof/>
          <w:lang w:val="da-DK"/>
        </w:rPr>
        <w:t xml:space="preserve"> </w:t>
      </w:r>
    </w:p>
    <w:p w14:paraId="5C7983D4" w14:textId="77777777" w:rsidR="00D529BB" w:rsidRPr="006B47D4" w:rsidRDefault="00D529BB" w:rsidP="00D529BB">
      <w:pPr>
        <w:pStyle w:val="Default"/>
        <w:jc w:val="both"/>
        <w:rPr>
          <w:rFonts w:ascii="Times New Roman" w:eastAsia="Calibri" w:hAnsi="Times New Roman" w:cs="Times New Roman"/>
          <w:noProof/>
          <w:lang w:val="da-DK"/>
        </w:rPr>
      </w:pPr>
    </w:p>
    <w:p w14:paraId="3CC3473D" w14:textId="52CE8DBD" w:rsidR="00AA655D" w:rsidRDefault="00161E18" w:rsidP="00AA655D">
      <w:pPr>
        <w:jc w:val="both"/>
        <w:rPr>
          <w:noProof/>
        </w:rPr>
      </w:pPr>
      <w:r w:rsidRPr="006B47D4">
        <w:rPr>
          <w:noProof/>
          <w:lang w:val="da-DK"/>
        </w:rPr>
        <w:t xml:space="preserve">DUCG gennemførte </w:t>
      </w:r>
      <w:r w:rsidRPr="006B47D4">
        <w:rPr>
          <w:b/>
          <w:bCs/>
          <w:i/>
          <w:iCs/>
          <w:noProof/>
          <w:lang w:val="da-DK"/>
        </w:rPr>
        <w:t>en teknisk udveksling af oplysninger om anvendelsen af kontrol med cyberovervågningsteknologier</w:t>
      </w:r>
      <w:r w:rsidRPr="006B47D4">
        <w:rPr>
          <w:noProof/>
          <w:lang w:val="da-DK"/>
        </w:rPr>
        <w:t xml:space="preserve"> i 2020. Data indsamlet fra medlemsstaterne viser et fald i antallet af tilladelser til eksport af disse teknologier (se tabel 1) med i alt 39 tilladelser til opførte cyberovervågningsprodukter</w:t>
      </w:r>
      <w:r>
        <w:rPr>
          <w:rStyle w:val="FootnoteReference"/>
          <w:noProof/>
        </w:rPr>
        <w:footnoteReference w:id="19"/>
      </w:r>
      <w:r w:rsidRPr="006B47D4">
        <w:rPr>
          <w:noProof/>
          <w:lang w:val="da-DK"/>
        </w:rPr>
        <w:t xml:space="preserve"> udstedt i 2020. </w:t>
      </w:r>
      <w:r>
        <w:rPr>
          <w:noProof/>
        </w:rPr>
        <w:t xml:space="preserve">I samme periode blev der givet 32 afslag for cyberovervågningsprodukter. </w:t>
      </w:r>
    </w:p>
    <w:p w14:paraId="59206A4B" w14:textId="387273BB" w:rsidR="006F4A24" w:rsidRDefault="006F4A24" w:rsidP="00AA655D">
      <w:pPr>
        <w:jc w:val="both"/>
        <w:rPr>
          <w:noProof/>
        </w:rPr>
      </w:pPr>
    </w:p>
    <w:p w14:paraId="19CE9864" w14:textId="6596E982" w:rsidR="006F4A24" w:rsidRPr="00F72887" w:rsidRDefault="006B47D4" w:rsidP="00AA655D">
      <w:pPr>
        <w:jc w:val="both"/>
        <w:rPr>
          <w:noProof/>
        </w:rPr>
      </w:pPr>
      <w:r>
        <w:rPr>
          <w:noProof/>
          <w:lang w:val="en-GB" w:eastAsia="en-GB"/>
        </w:rPr>
        <w:drawing>
          <wp:inline distT="0" distB="0" distL="0" distR="0" wp14:anchorId="7E02AFF9" wp14:editId="6C2C98D2">
            <wp:extent cx="6010910" cy="28083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45208" cy="2824350"/>
                    </a:xfrm>
                    <a:prstGeom prst="rect">
                      <a:avLst/>
                    </a:prstGeom>
                    <a:noFill/>
                  </pic:spPr>
                </pic:pic>
              </a:graphicData>
            </a:graphic>
          </wp:inline>
        </w:drawing>
      </w:r>
    </w:p>
    <w:p w14:paraId="0F117B76" w14:textId="6193DD2E" w:rsidR="005A616B" w:rsidRPr="006B47D4" w:rsidRDefault="00F72887" w:rsidP="00AA655D">
      <w:pPr>
        <w:jc w:val="both"/>
        <w:rPr>
          <w:noProof/>
          <w:lang w:val="da-DK"/>
        </w:rPr>
      </w:pPr>
      <w:r w:rsidRPr="006B47D4">
        <w:rPr>
          <w:noProof/>
          <w:lang w:val="da-DK"/>
        </w:rPr>
        <w:t xml:space="preserve"> </w:t>
      </w:r>
    </w:p>
    <w:p w14:paraId="2CBA0FEC" w14:textId="77777777" w:rsidR="00277A08" w:rsidRPr="006B47D4" w:rsidRDefault="005A616B" w:rsidP="00AA655D">
      <w:pPr>
        <w:jc w:val="both"/>
        <w:rPr>
          <w:i/>
          <w:noProof/>
          <w:sz w:val="20"/>
          <w:lang w:val="da-DK"/>
        </w:rPr>
      </w:pPr>
      <w:r w:rsidRPr="006B47D4">
        <w:rPr>
          <w:i/>
          <w:noProof/>
          <w:sz w:val="20"/>
          <w:lang w:val="da-DK"/>
        </w:rPr>
        <w:t>Tabel 1: Antal individuelle tilladelser til cyberovervågningsprodukter, der er opført på listen.</w:t>
      </w:r>
    </w:p>
    <w:p w14:paraId="79019118" w14:textId="77777777" w:rsidR="00F72887" w:rsidRPr="006B47D4" w:rsidRDefault="00F72887" w:rsidP="00AA655D">
      <w:pPr>
        <w:jc w:val="both"/>
        <w:rPr>
          <w:noProof/>
          <w:lang w:val="da-DK"/>
        </w:rPr>
      </w:pPr>
    </w:p>
    <w:p w14:paraId="4C28470B" w14:textId="77777777" w:rsidR="00AA655D" w:rsidRPr="006B47D4" w:rsidRDefault="00AA655D" w:rsidP="007B799A">
      <w:pPr>
        <w:keepNext/>
        <w:tabs>
          <w:tab w:val="left" w:pos="850"/>
        </w:tabs>
        <w:spacing w:after="120"/>
        <w:ind w:left="850" w:hanging="850"/>
        <w:jc w:val="both"/>
        <w:outlineLvl w:val="1"/>
        <w:rPr>
          <w:b/>
          <w:noProof/>
          <w:lang w:val="da-DK"/>
        </w:rPr>
      </w:pPr>
      <w:r w:rsidRPr="006B47D4">
        <w:rPr>
          <w:b/>
          <w:noProof/>
          <w:lang w:val="da-DK"/>
        </w:rPr>
        <w:t>3.2.</w:t>
      </w:r>
      <w:r w:rsidRPr="006B47D4">
        <w:rPr>
          <w:noProof/>
          <w:lang w:val="da-DK"/>
        </w:rPr>
        <w:tab/>
      </w:r>
      <w:r w:rsidRPr="006B47D4">
        <w:rPr>
          <w:b/>
          <w:noProof/>
          <w:lang w:val="da-DK"/>
        </w:rPr>
        <w:t xml:space="preserve">Teknisk udveksling af oplysninger — gennemførelsesspørgsmål </w:t>
      </w:r>
    </w:p>
    <w:p w14:paraId="1A4CA346" w14:textId="44CEF25F" w:rsidR="000813D6" w:rsidRPr="006B47D4" w:rsidRDefault="00E47706" w:rsidP="00E47706">
      <w:pPr>
        <w:pStyle w:val="ListParagraph"/>
        <w:ind w:left="0"/>
        <w:jc w:val="both"/>
        <w:rPr>
          <w:rFonts w:ascii="Times New Roman" w:hAnsi="Times New Roman" w:cs="Times New Roman"/>
          <w:noProof/>
          <w:sz w:val="24"/>
          <w:lang w:val="da-DK"/>
        </w:rPr>
      </w:pPr>
      <w:bookmarkStart w:id="7" w:name="_Toc368065777"/>
      <w:r w:rsidRPr="006B47D4">
        <w:rPr>
          <w:rFonts w:ascii="Times New Roman" w:hAnsi="Times New Roman"/>
          <w:noProof/>
          <w:sz w:val="24"/>
          <w:lang w:val="da-DK"/>
        </w:rPr>
        <w:t>Under Kommissionens koordinering tog DUCG initiativer til at løse visse problemer med den tekniske gennemførelse og nedsatte særlige ekspertgrupper til at gennemføre kravene i den nye forordning.</w:t>
      </w:r>
    </w:p>
    <w:p w14:paraId="09208009" w14:textId="77777777" w:rsidR="000813D6" w:rsidRPr="006B47D4" w:rsidRDefault="000813D6" w:rsidP="000813D6">
      <w:pPr>
        <w:pStyle w:val="ListParagraph"/>
        <w:ind w:left="0"/>
        <w:jc w:val="both"/>
        <w:rPr>
          <w:rFonts w:ascii="Times New Roman" w:hAnsi="Times New Roman" w:cs="Times New Roman"/>
          <w:noProof/>
          <w:sz w:val="24"/>
          <w:lang w:val="da-DK"/>
        </w:rPr>
      </w:pPr>
    </w:p>
    <w:p w14:paraId="3EDC9750" w14:textId="555E59BF" w:rsidR="008B1E49" w:rsidRPr="006B47D4" w:rsidRDefault="00E47706" w:rsidP="00E47706">
      <w:pPr>
        <w:pStyle w:val="ListParagraph"/>
        <w:ind w:left="0"/>
        <w:jc w:val="both"/>
        <w:rPr>
          <w:rFonts w:ascii="Times New Roman" w:hAnsi="Times New Roman" w:cs="Times New Roman"/>
          <w:noProof/>
          <w:sz w:val="24"/>
          <w:lang w:val="da-DK"/>
        </w:rPr>
      </w:pPr>
      <w:r w:rsidRPr="006B47D4">
        <w:rPr>
          <w:rFonts w:ascii="Times New Roman" w:hAnsi="Times New Roman"/>
          <w:noProof/>
          <w:sz w:val="24"/>
          <w:lang w:val="da-DK"/>
        </w:rPr>
        <w:t>Medlemsstaternes kompetente myndigheder i DUCG ydede teknisk ekspertise til støtte for ajourføringerne af EU's kontrolliste og indledte drøftelser om en række specifikke gennemførelsesspørgsmål såsom behovet for at forbedre informationsudvekslingen i forbindelse med generelle EU-eksporttilladelser og globale tilladelser eller udviklingen af en høringsmekanisme mellem kompetente myndigheder vedrørende oplysninger om eksportører, der anvender globale tilladelser.</w:t>
      </w:r>
    </w:p>
    <w:p w14:paraId="2FA59AD3" w14:textId="77777777" w:rsidR="00B8354C" w:rsidRPr="006B47D4" w:rsidRDefault="00B8354C" w:rsidP="00AA655D">
      <w:pPr>
        <w:pStyle w:val="ListParagraph"/>
        <w:ind w:left="0"/>
        <w:jc w:val="both"/>
        <w:rPr>
          <w:rFonts w:ascii="Times New Roman" w:hAnsi="Times New Roman" w:cs="Times New Roman"/>
          <w:noProof/>
          <w:sz w:val="24"/>
          <w:lang w:val="da-DK"/>
        </w:rPr>
      </w:pPr>
    </w:p>
    <w:p w14:paraId="7F31646B" w14:textId="77777777" w:rsidR="00B8354C" w:rsidRPr="006B47D4" w:rsidRDefault="00553BA1" w:rsidP="00FE3D3A">
      <w:pPr>
        <w:jc w:val="both"/>
        <w:rPr>
          <w:noProof/>
          <w:lang w:val="da-DK"/>
        </w:rPr>
      </w:pPr>
      <w:r w:rsidRPr="006B47D4">
        <w:rPr>
          <w:noProof/>
          <w:lang w:val="da-DK"/>
        </w:rPr>
        <w:t xml:space="preserve">Med hensyn til tekniske ekspertgrupper, hvis rolle nu anerkendes i den nye forordning, blev </w:t>
      </w:r>
      <w:r w:rsidRPr="006B47D4">
        <w:rPr>
          <w:noProof/>
          <w:u w:val="single"/>
          <w:lang w:val="da-DK"/>
        </w:rPr>
        <w:t>ekspertgruppen for overvågningsteknologi (STEG)</w:t>
      </w:r>
      <w:r w:rsidRPr="006B47D4">
        <w:rPr>
          <w:noProof/>
          <w:lang w:val="da-DK"/>
        </w:rPr>
        <w:t xml:space="preserve"> reaktiveret, og dens kommissorium blev revideret for at afspejle de nye bestemmelser i forordningen. STEG giver eksperter fra medlemsstaterne mulighed for at bidrage til udviklingen af EU's kontrol med eksport af cyberovervågningsteknologier. STEG's mandat omfatter udveksling af oplysninger om risici i forbindelse med eksport af cyberovervågningsprodukter og tekniske drøftelser af specifikke cyberovervågningsprodukter samt udvikling af due diligence-retningslinjer for eksportører. I 2021 udvekslede eksperter oplysninger, der var relevante for visse produkter, såsom overvågningscentre og datalagringsløsninger, overvågningskøretøjer og Voice over Internet-protokolsystemerne (VoIP) — som led i deres tekniske gennemgang af potentielle cyberovervågningsteknologier. </w:t>
      </w:r>
    </w:p>
    <w:p w14:paraId="24E65FEC" w14:textId="77777777" w:rsidR="00B8354C" w:rsidRPr="006B47D4" w:rsidRDefault="00B8354C" w:rsidP="00B8354C">
      <w:pPr>
        <w:pStyle w:val="ListParagraph"/>
        <w:jc w:val="both"/>
        <w:rPr>
          <w:rFonts w:ascii="Times New Roman" w:hAnsi="Times New Roman" w:cs="Times New Roman"/>
          <w:noProof/>
          <w:sz w:val="24"/>
          <w:lang w:val="da-DK"/>
        </w:rPr>
      </w:pPr>
    </w:p>
    <w:p w14:paraId="34FAAEBC" w14:textId="63D36BB5" w:rsidR="00B8354C" w:rsidRPr="006B47D4" w:rsidRDefault="00613135" w:rsidP="00E47706">
      <w:pPr>
        <w:jc w:val="both"/>
        <w:rPr>
          <w:noProof/>
          <w:lang w:val="da-DK"/>
        </w:rPr>
      </w:pPr>
      <w:r w:rsidRPr="006B47D4">
        <w:rPr>
          <w:noProof/>
          <w:u w:val="single"/>
          <w:lang w:val="da-DK"/>
        </w:rPr>
        <w:t>Den tekniske ekspertgruppe om udvikling af retningslinjer for forskning med dobbelt anvendelse</w:t>
      </w:r>
      <w:r w:rsidRPr="006B47D4">
        <w:rPr>
          <w:noProof/>
          <w:lang w:val="da-DK"/>
        </w:rPr>
        <w:t xml:space="preserve"> (TEG-DUR) færdiggjorde EU's vejledning om interne overholdelsesprogrammer for forskning, der omfatter produkter med dobbelt anvendelse, som også gælder for overførsel af teknologi og viden i tilknytning til denne forskning. Denne vejledning blev vedtaget som en henstilling fra Kommissionen i september 2021</w:t>
      </w:r>
      <w:r>
        <w:rPr>
          <w:rStyle w:val="FootnoteReference"/>
          <w:noProof/>
        </w:rPr>
        <w:footnoteReference w:id="20"/>
      </w:r>
      <w:r w:rsidRPr="006B47D4">
        <w:rPr>
          <w:noProof/>
          <w:lang w:val="da-DK"/>
        </w:rPr>
        <w:t xml:space="preserve"> og har til formål at hjælpe forskere, forskningsledere og personale på universiteter og i forskningsorganisationer med ansvar for regelefterlevelse med at afdække, styre og afbøde de risici, der er forbundet med samarbejde med partnere uden for EU (eller forskere fra lande uden for EU) om forskningsprojekter, som kan underkastes eksportkontrol vedrørende dobbelt anvendelse. EU's retningslinjer fungerer som et fælles referenceredskab for medlemsstaternes kompetente myndigheder i forbindelse med udviklingen af outreachprogrammer og i forbindelse med afgørelser om eksporttilladelser for produkter med dobbelt anvendelse, der er opført på listen i bilag I til forordningen. Vejledningen er ikke-bindende, og forskningsorganisationer og forskere har fortsat ansvaret for at opfylde deres forpligtelser i henhold til forordningen. DUCG begyndte efterfølgende at udarbejde en handlingsplan til støtte for gennemførelsen og overvågningen af vejledningen.</w:t>
      </w:r>
    </w:p>
    <w:p w14:paraId="100E3F83" w14:textId="77777777" w:rsidR="00B8354C" w:rsidRPr="006B47D4" w:rsidRDefault="00B8354C" w:rsidP="00B8354C">
      <w:pPr>
        <w:pStyle w:val="ListParagraph"/>
        <w:jc w:val="both"/>
        <w:rPr>
          <w:rFonts w:ascii="Times New Roman" w:hAnsi="Times New Roman" w:cs="Times New Roman"/>
          <w:noProof/>
          <w:sz w:val="24"/>
          <w:lang w:val="da-DK"/>
        </w:rPr>
      </w:pPr>
    </w:p>
    <w:p w14:paraId="0DA73692" w14:textId="1FDA0ED9" w:rsidR="00B8354C" w:rsidRPr="006B47D4" w:rsidRDefault="001E51C4" w:rsidP="00A534CB">
      <w:pPr>
        <w:pStyle w:val="ListParagraph"/>
        <w:ind w:left="0"/>
        <w:jc w:val="both"/>
        <w:rPr>
          <w:rFonts w:ascii="Times New Roman" w:hAnsi="Times New Roman" w:cs="Times New Roman"/>
          <w:noProof/>
          <w:sz w:val="24"/>
          <w:lang w:val="da-DK"/>
        </w:rPr>
      </w:pPr>
      <w:r w:rsidRPr="006B47D4">
        <w:rPr>
          <w:rFonts w:ascii="Times New Roman" w:hAnsi="Times New Roman"/>
          <w:noProof/>
          <w:sz w:val="24"/>
          <w:lang w:val="da-DK"/>
        </w:rPr>
        <w:t xml:space="preserve">Der blev oprettet en ny </w:t>
      </w:r>
      <w:r w:rsidRPr="006B47D4">
        <w:rPr>
          <w:rFonts w:ascii="Times New Roman" w:hAnsi="Times New Roman"/>
          <w:noProof/>
          <w:sz w:val="24"/>
          <w:u w:val="single"/>
          <w:lang w:val="da-DK"/>
        </w:rPr>
        <w:t>teknisk ekspertgruppe om fremspirende teknologier</w:t>
      </w:r>
      <w:r w:rsidRPr="006B47D4">
        <w:rPr>
          <w:rFonts w:ascii="Times New Roman" w:hAnsi="Times New Roman"/>
          <w:noProof/>
          <w:sz w:val="24"/>
          <w:lang w:val="da-DK"/>
        </w:rPr>
        <w:t xml:space="preserve"> (ETEG) som et særligt forum for udveksling af oplysninger om risici i forbindelse med eksport af nye teknologier og de udfordringer, der er forbundet med kontrollen hermed. ETEG holdt sit første møde i oktober 2021.</w:t>
      </w:r>
    </w:p>
    <w:p w14:paraId="62E5386F" w14:textId="77777777" w:rsidR="00613135" w:rsidRPr="006B47D4" w:rsidRDefault="00613135" w:rsidP="00B8354C">
      <w:pPr>
        <w:pStyle w:val="ListParagraph"/>
        <w:ind w:left="0"/>
        <w:jc w:val="both"/>
        <w:rPr>
          <w:rFonts w:ascii="Times New Roman" w:hAnsi="Times New Roman" w:cs="Times New Roman"/>
          <w:noProof/>
          <w:sz w:val="24"/>
          <w:lang w:val="da-DK"/>
        </w:rPr>
      </w:pPr>
    </w:p>
    <w:p w14:paraId="0EB2D969" w14:textId="787D0DB8" w:rsidR="000859BC" w:rsidRPr="006B47D4" w:rsidRDefault="005530D5" w:rsidP="001E51C4">
      <w:pPr>
        <w:jc w:val="both"/>
        <w:rPr>
          <w:noProof/>
          <w:lang w:val="da-DK"/>
        </w:rPr>
      </w:pPr>
      <w:r w:rsidRPr="006B47D4">
        <w:rPr>
          <w:noProof/>
          <w:lang w:val="da-DK"/>
        </w:rPr>
        <w:t xml:space="preserve">Kommissionen udarbejdede også et udkast til kommissorium — godkendt af DUCG — for en </w:t>
      </w:r>
      <w:r w:rsidRPr="006B47D4">
        <w:rPr>
          <w:noProof/>
          <w:u w:val="single"/>
          <w:lang w:val="da-DK"/>
        </w:rPr>
        <w:t>teknisk ekspertgruppe om dataindsamling og gennemsigtighed</w:t>
      </w:r>
      <w:r w:rsidRPr="006B47D4">
        <w:rPr>
          <w:noProof/>
          <w:lang w:val="da-DK"/>
        </w:rPr>
        <w:t xml:space="preserve"> (TEG-Transparency) og for en koordineringsmekanisme for håndhævelse (ECM), som skal støtte udveksling af oplysninger og udarbejdelse af bedste praksis mellem tilladelsesudstedende og håndhævende myndigheder i EU.</w:t>
      </w:r>
    </w:p>
    <w:p w14:paraId="7E4B57E0" w14:textId="77777777" w:rsidR="000859BC" w:rsidRPr="006B47D4" w:rsidRDefault="000859BC" w:rsidP="00AF5618">
      <w:pPr>
        <w:jc w:val="both"/>
        <w:rPr>
          <w:noProof/>
          <w:lang w:val="da-DK"/>
        </w:rPr>
      </w:pPr>
    </w:p>
    <w:p w14:paraId="2B771833" w14:textId="77777777" w:rsidR="00AF5618" w:rsidRPr="006B47D4" w:rsidRDefault="00AF5618" w:rsidP="00D44B9E">
      <w:pPr>
        <w:jc w:val="both"/>
        <w:rPr>
          <w:noProof/>
          <w:lang w:val="da-DK"/>
        </w:rPr>
      </w:pPr>
      <w:r w:rsidRPr="006B47D4">
        <w:rPr>
          <w:noProof/>
          <w:lang w:val="da-DK"/>
        </w:rPr>
        <w:t xml:space="preserve">Og endelig havde DUCG indledende drøftelser om nedsættelse af en </w:t>
      </w:r>
      <w:r w:rsidRPr="006B47D4">
        <w:rPr>
          <w:noProof/>
          <w:u w:val="single"/>
          <w:lang w:val="da-DK"/>
        </w:rPr>
        <w:t>teknisk ekspertgruppe om kapacitetsopbygning</w:t>
      </w:r>
      <w:r w:rsidRPr="006B47D4">
        <w:rPr>
          <w:noProof/>
          <w:lang w:val="da-DK"/>
        </w:rPr>
        <w:t xml:space="preserve"> med henblik på at støtte regelmæssig uddannelse og udveksling af ekspertise i miljøet inden for produkter med dobbelt anvendelse i EU.</w:t>
      </w:r>
    </w:p>
    <w:p w14:paraId="12E81EB1" w14:textId="77777777" w:rsidR="00AA655D" w:rsidRPr="006B47D4" w:rsidRDefault="00AA655D" w:rsidP="00A44C7E">
      <w:pPr>
        <w:pStyle w:val="ListParagraph"/>
        <w:ind w:left="0"/>
        <w:jc w:val="both"/>
        <w:rPr>
          <w:noProof/>
          <w:lang w:val="da-DK"/>
        </w:rPr>
      </w:pPr>
    </w:p>
    <w:p w14:paraId="6DEE2EAF" w14:textId="77777777" w:rsidR="00AA655D" w:rsidRPr="006B47D4" w:rsidRDefault="00AA655D" w:rsidP="00AA655D">
      <w:pPr>
        <w:keepNext/>
        <w:tabs>
          <w:tab w:val="left" w:pos="850"/>
        </w:tabs>
        <w:spacing w:after="120"/>
        <w:ind w:left="850" w:hanging="850"/>
        <w:jc w:val="both"/>
        <w:outlineLvl w:val="1"/>
        <w:rPr>
          <w:b/>
          <w:noProof/>
          <w:lang w:val="da-DK"/>
        </w:rPr>
      </w:pPr>
      <w:r w:rsidRPr="006B47D4">
        <w:rPr>
          <w:b/>
          <w:noProof/>
          <w:lang w:val="da-DK"/>
        </w:rPr>
        <w:t>3.3.</w:t>
      </w:r>
      <w:r w:rsidRPr="006B47D4">
        <w:rPr>
          <w:noProof/>
          <w:lang w:val="da-DK"/>
        </w:rPr>
        <w:tab/>
      </w:r>
      <w:r w:rsidRPr="006B47D4">
        <w:rPr>
          <w:b/>
          <w:noProof/>
          <w:lang w:val="da-DK"/>
        </w:rPr>
        <w:t>EU's retningslinjer for eksportkontrol vedrørende produkter med dobbelt anvendelse</w:t>
      </w:r>
      <w:bookmarkEnd w:id="7"/>
    </w:p>
    <w:p w14:paraId="6581ED3A" w14:textId="77777777" w:rsidR="00427377" w:rsidRPr="006B47D4" w:rsidRDefault="00427377" w:rsidP="00AA655D">
      <w:pPr>
        <w:spacing w:before="100" w:beforeAutospacing="1" w:after="100" w:afterAutospacing="1"/>
        <w:jc w:val="both"/>
        <w:rPr>
          <w:noProof/>
          <w:lang w:val="da-DK"/>
        </w:rPr>
      </w:pPr>
      <w:r w:rsidRPr="006B47D4">
        <w:rPr>
          <w:noProof/>
          <w:lang w:val="da-DK"/>
        </w:rPr>
        <w:t>Retningslinjerne for forskning med dobbelt anvendelse, der er nævnt i afsnit 3.2 ovenfor, blev vedtaget af Kommissionen og offentliggjort den 23. september 2021</w:t>
      </w:r>
      <w:r>
        <w:rPr>
          <w:rStyle w:val="FootnoteReference"/>
          <w:noProof/>
        </w:rPr>
        <w:footnoteReference w:id="21"/>
      </w:r>
      <w:r w:rsidRPr="006B47D4">
        <w:rPr>
          <w:noProof/>
          <w:lang w:val="da-DK"/>
        </w:rPr>
        <w:t xml:space="preserve">. </w:t>
      </w:r>
    </w:p>
    <w:p w14:paraId="4476BB70" w14:textId="77777777" w:rsidR="00E73C9B" w:rsidRPr="006B47D4" w:rsidRDefault="00453DEE" w:rsidP="005530D5">
      <w:pPr>
        <w:spacing w:before="100" w:beforeAutospacing="1" w:after="100" w:afterAutospacing="1"/>
        <w:jc w:val="both"/>
        <w:rPr>
          <w:noProof/>
          <w:lang w:val="da-DK"/>
        </w:rPr>
      </w:pPr>
      <w:r w:rsidRPr="006B47D4">
        <w:rPr>
          <w:noProof/>
          <w:lang w:val="da-DK"/>
        </w:rPr>
        <w:t xml:space="preserve">Den nye forordning indfører bestemmelser om kontrol med eksport af cyberovervågningsprodukter, der ikke er opført på listen, som skal understøttes af retningslinjer, som eksportørerne skal følge for at støtte deres effektive gennemførelse. Disse kontroller imødegår risikoen for, at sådanne produkter anvendes i forbindelse med intern undertrykkelse eller alvorlige krænkelser af menneskerettighederne og/eller den humanitære folkeret. STEG har arbejdet på at udarbejde disse retningslinjer, herunder bl.a. due diligence-foranstaltninger til vurdering af risici i forbindelse med eksport af sådanne produkter til slutbrugere og til specifikke endelige anvendelsesformål.  </w:t>
      </w:r>
    </w:p>
    <w:p w14:paraId="1A018AB6" w14:textId="1389C768" w:rsidR="00F46B8C" w:rsidRPr="006B47D4" w:rsidRDefault="00AA655D" w:rsidP="00FF7F39">
      <w:pPr>
        <w:keepNext/>
        <w:tabs>
          <w:tab w:val="left" w:pos="850"/>
        </w:tabs>
        <w:spacing w:after="120"/>
        <w:ind w:left="850" w:hanging="850"/>
        <w:jc w:val="both"/>
        <w:outlineLvl w:val="1"/>
        <w:rPr>
          <w:noProof/>
          <w:lang w:val="da-DK"/>
        </w:rPr>
      </w:pPr>
      <w:bookmarkStart w:id="8" w:name="_Toc368065779"/>
      <w:r w:rsidRPr="006B47D4">
        <w:rPr>
          <w:b/>
          <w:noProof/>
          <w:lang w:val="da-DK"/>
        </w:rPr>
        <w:t>3.4.</w:t>
      </w:r>
      <w:r w:rsidRPr="006B47D4">
        <w:rPr>
          <w:noProof/>
          <w:lang w:val="da-DK"/>
        </w:rPr>
        <w:tab/>
      </w:r>
      <w:r w:rsidRPr="006B47D4">
        <w:rPr>
          <w:b/>
          <w:noProof/>
          <w:lang w:val="da-DK"/>
        </w:rPr>
        <w:t xml:space="preserve">IT-værktøjer til udveksling af oplysninger mellem medlemsstaterne og til brug for elektroniske tilladelser </w:t>
      </w:r>
      <w:bookmarkEnd w:id="8"/>
    </w:p>
    <w:p w14:paraId="4833257C" w14:textId="77777777" w:rsidR="00D44B9E" w:rsidRPr="006B47D4" w:rsidRDefault="00F46B8C" w:rsidP="00D736A8">
      <w:pPr>
        <w:jc w:val="both"/>
        <w:rPr>
          <w:rFonts w:ascii="-webkit-standard" w:hAnsi="-webkit-standard"/>
          <w:noProof/>
          <w:lang w:val="da-DK"/>
        </w:rPr>
      </w:pPr>
      <w:r w:rsidRPr="006B47D4">
        <w:rPr>
          <w:rFonts w:ascii="-webkit-standard" w:hAnsi="-webkit-standard"/>
          <w:noProof/>
          <w:lang w:val="da-DK"/>
        </w:rPr>
        <w:t xml:space="preserve">Kommissionen fortsatte med støtte fra DUCG med at udvikle e-systemet for produkter med dobbelt anvendelse (DUeS) som IT-rygraden i EU's eksportkontrolnetværk. Denne platform spiller en central rolle i den effektive anvendelse af forordningen, f.eks. informationsudvekslingen omhandlet i artikel 5. </w:t>
      </w:r>
    </w:p>
    <w:p w14:paraId="6D31D6D1" w14:textId="77777777" w:rsidR="00A44C7E" w:rsidRPr="006B47D4" w:rsidRDefault="00A44C7E" w:rsidP="00D736A8">
      <w:pPr>
        <w:jc w:val="both"/>
        <w:rPr>
          <w:rFonts w:ascii="-webkit-standard" w:hAnsi="-webkit-standard"/>
          <w:noProof/>
          <w:lang w:val="da-DK"/>
        </w:rPr>
      </w:pPr>
    </w:p>
    <w:p w14:paraId="2C0B08C9" w14:textId="77777777" w:rsidR="009111B9" w:rsidRPr="006B47D4" w:rsidRDefault="009111B9" w:rsidP="00D736A8">
      <w:pPr>
        <w:jc w:val="both"/>
        <w:rPr>
          <w:rFonts w:ascii="-webkit-standard" w:hAnsi="-webkit-standard"/>
          <w:noProof/>
          <w:lang w:val="da-DK"/>
        </w:rPr>
      </w:pPr>
      <w:r w:rsidRPr="006B47D4">
        <w:rPr>
          <w:rFonts w:ascii="-webkit-standard" w:hAnsi="-webkit-standard"/>
          <w:noProof/>
          <w:lang w:val="da-DK"/>
        </w:rPr>
        <w:t>Der blev udviklet nye funktioner for at støtte udvekslingen af oplysninger om afslag på overførsler inden for EU og for at støtte de kompetente myndigheders regelmæssige gennemgang og ajourføring af oplysninger om afslag.</w:t>
      </w:r>
    </w:p>
    <w:p w14:paraId="3E5CE069" w14:textId="77777777" w:rsidR="009111B9" w:rsidRPr="006B47D4" w:rsidRDefault="009111B9" w:rsidP="00D736A8">
      <w:pPr>
        <w:jc w:val="both"/>
        <w:rPr>
          <w:rFonts w:ascii="-webkit-standard" w:hAnsi="-webkit-standard"/>
          <w:noProof/>
          <w:lang w:val="da-DK"/>
        </w:rPr>
      </w:pPr>
    </w:p>
    <w:p w14:paraId="0C19EA60" w14:textId="77777777" w:rsidR="00E63524" w:rsidRPr="006B47D4" w:rsidRDefault="009111B9" w:rsidP="00D736A8">
      <w:pPr>
        <w:jc w:val="both"/>
        <w:rPr>
          <w:rFonts w:ascii="-webkit-standard" w:hAnsi="-webkit-standard"/>
          <w:noProof/>
          <w:lang w:val="da-DK"/>
        </w:rPr>
      </w:pPr>
      <w:r w:rsidRPr="006B47D4">
        <w:rPr>
          <w:rFonts w:ascii="-webkit-standard" w:hAnsi="-webkit-standard"/>
          <w:noProof/>
          <w:lang w:val="da-DK"/>
        </w:rPr>
        <w:t xml:space="preserve">Som følge af brexit blev der i januar 2021 indført en ny funktion til støtte for informationsudveksling med Det Forenede Kongerige i henhold til NI-protokollen. </w:t>
      </w:r>
    </w:p>
    <w:p w14:paraId="59410A43" w14:textId="77777777" w:rsidR="00473192" w:rsidRPr="006B47D4" w:rsidRDefault="00473192" w:rsidP="00AA655D">
      <w:pPr>
        <w:jc w:val="both"/>
        <w:rPr>
          <w:rFonts w:ascii="-webkit-standard" w:hAnsi="-webkit-standard"/>
          <w:noProof/>
          <w:lang w:val="da-DK"/>
        </w:rPr>
      </w:pPr>
    </w:p>
    <w:p w14:paraId="2F339EAF" w14:textId="0F5EF0A1" w:rsidR="00150045" w:rsidRPr="006B47D4" w:rsidRDefault="0060453A" w:rsidP="009D6D2B">
      <w:pPr>
        <w:jc w:val="both"/>
        <w:rPr>
          <w:rFonts w:ascii="-webkit-standard" w:hAnsi="-webkit-standard"/>
          <w:noProof/>
          <w:lang w:val="da-DK"/>
        </w:rPr>
      </w:pPr>
      <w:r w:rsidRPr="006B47D4">
        <w:rPr>
          <w:rFonts w:ascii="-webkit-standard" w:hAnsi="-webkit-standard"/>
          <w:noProof/>
          <w:lang w:val="da-DK"/>
        </w:rPr>
        <w:t xml:space="preserve">Efter flere års forberedelser var 2021 det første år, hvor e-tilladelsessystemet eLicensing for produkter med dobbelt anvendelse blev indført i to medlemsstater — Letland og Rumænien. eLicensing gør det muligt for kompetente myndigheder og eksportører at forvalte kontrollen online mere effektivt og mindske den administrative byrde, der er forbundet med kontrol. Det har til formål at erstatte offlinesystemer eller forældede nationale elektroniske systemer, hvilket giver mulighed for en mere fleksibel udveksling af oplysninger — herunder i forbindelse med indberetning af tilladelsesdata til Kommissionen — og skaber yderligere muligheder for udveksling af data i hele EU. Udviklingen af tilladelsessystemet eLicensing fortsatte i 2021, og andre kompetente myndigheder tilsluttede sig pilotprojektet (Italien og Belgien — regionen Vallonien, der tager systemet i brug i 2022, og Slovenien, der forventes at gøre det i begyndelsen af 2023). Uden for EU er Kommissionen som led i sine dialoger med partnerlande i færd med at undersøge mulighederne for at stille eLicensing-værktøjet til rådighed for partnere, f.eks. den nationale myndighed i Bosnien-Hercegovina, som har vist interesse for at anvende det. </w:t>
      </w:r>
    </w:p>
    <w:p w14:paraId="6A5B5A17" w14:textId="77777777" w:rsidR="00150045" w:rsidRPr="006B47D4" w:rsidRDefault="00150045" w:rsidP="00150045">
      <w:pPr>
        <w:jc w:val="both"/>
        <w:rPr>
          <w:rFonts w:ascii="-webkit-standard" w:hAnsi="-webkit-standard"/>
          <w:noProof/>
          <w:lang w:val="da-DK"/>
        </w:rPr>
      </w:pPr>
    </w:p>
    <w:p w14:paraId="4D9C1F3D" w14:textId="0FF70471" w:rsidR="0068231A" w:rsidRPr="006B47D4" w:rsidRDefault="00150045" w:rsidP="00150045">
      <w:pPr>
        <w:jc w:val="both"/>
        <w:rPr>
          <w:rFonts w:ascii="-webkit-standard" w:hAnsi="-webkit-standard"/>
          <w:noProof/>
          <w:lang w:val="da-DK"/>
        </w:rPr>
      </w:pPr>
      <w:r w:rsidRPr="006B47D4">
        <w:rPr>
          <w:noProof/>
          <w:lang w:val="da-DK"/>
        </w:rPr>
        <w:t>eLicensing-projektet udvikler sig også i nye retninger for at gøre kontrollen mere effektiv, f.eks. ved at forbinde eLicensing-systemet med de nationale toldsystemer via toldmyndighedernes kvikskrankemiljø.</w:t>
      </w:r>
      <w:r w:rsidRPr="006B47D4">
        <w:rPr>
          <w:rFonts w:ascii="-webkit-standard" w:hAnsi="-webkit-standard"/>
          <w:noProof/>
          <w:lang w:val="da-DK"/>
        </w:rPr>
        <w:t xml:space="preserve"> Dette vil gøre det meget lettere at udveksle oplysninger på tværs af grænserne og med toldmyndighederne, hvilket vil reducere regelbyrden for operatørerne og give mulighed for automatisk masseadministration af tilladelser. Dette vil ske via "Certification Exchange"-platformen "CERTEX", der forvaltes af GD TAXUD. </w:t>
      </w:r>
    </w:p>
    <w:p w14:paraId="79673CCD" w14:textId="77777777" w:rsidR="00CF0448" w:rsidRPr="006B47D4" w:rsidRDefault="00CF0448" w:rsidP="00150045">
      <w:pPr>
        <w:jc w:val="both"/>
        <w:rPr>
          <w:rFonts w:ascii="-webkit-standard" w:hAnsi="-webkit-standard"/>
          <w:noProof/>
          <w:lang w:val="da-DK"/>
        </w:rPr>
      </w:pPr>
    </w:p>
    <w:p w14:paraId="3621C95B" w14:textId="3A349090" w:rsidR="00A74C55" w:rsidRPr="006B47D4" w:rsidRDefault="00A74C55" w:rsidP="00A74C55">
      <w:pPr>
        <w:jc w:val="both"/>
        <w:rPr>
          <w:rFonts w:ascii="-webkit-standard" w:hAnsi="-webkit-standard"/>
          <w:noProof/>
          <w:lang w:val="da-DK"/>
        </w:rPr>
      </w:pPr>
      <w:r w:rsidRPr="006B47D4">
        <w:rPr>
          <w:rFonts w:ascii="-webkit-standard" w:hAnsi="-webkit-standard"/>
          <w:noProof/>
          <w:lang w:val="da-DK"/>
        </w:rPr>
        <w:t xml:space="preserve">Efter anmodning fra medlemsstater, der allerede anvender eLicensing-systemer, iværksatte Kommissionen et nyt "eLicensing bridge"-projekt for at gøre det muligt at forbinde de nationale tilladelsessystemer med toldsystemerne. </w:t>
      </w:r>
    </w:p>
    <w:p w14:paraId="60D50463" w14:textId="77777777" w:rsidR="00A74C55" w:rsidRPr="006B47D4" w:rsidRDefault="00A74C55" w:rsidP="00150045">
      <w:pPr>
        <w:jc w:val="both"/>
        <w:rPr>
          <w:rFonts w:ascii="-webkit-standard" w:hAnsi="-webkit-standard"/>
          <w:noProof/>
          <w:lang w:val="da-DK"/>
        </w:rPr>
      </w:pPr>
    </w:p>
    <w:p w14:paraId="3A4DB4FD" w14:textId="77777777" w:rsidR="00AA655D" w:rsidRPr="006B47D4" w:rsidRDefault="00AA655D" w:rsidP="00AA655D">
      <w:pPr>
        <w:keepNext/>
        <w:tabs>
          <w:tab w:val="left" w:pos="850"/>
        </w:tabs>
        <w:spacing w:after="120"/>
        <w:ind w:left="850" w:hanging="850"/>
        <w:jc w:val="both"/>
        <w:outlineLvl w:val="1"/>
        <w:rPr>
          <w:b/>
          <w:noProof/>
          <w:lang w:val="da-DK"/>
        </w:rPr>
      </w:pPr>
      <w:bookmarkStart w:id="9" w:name="_Toc368065781"/>
      <w:r w:rsidRPr="006B47D4">
        <w:rPr>
          <w:b/>
          <w:noProof/>
          <w:lang w:val="da-DK"/>
        </w:rPr>
        <w:t>3.5.</w:t>
      </w:r>
      <w:r w:rsidRPr="006B47D4">
        <w:rPr>
          <w:noProof/>
          <w:lang w:val="da-DK"/>
        </w:rPr>
        <w:tab/>
      </w:r>
      <w:r w:rsidRPr="006B47D4">
        <w:rPr>
          <w:b/>
          <w:noProof/>
          <w:lang w:val="da-DK"/>
        </w:rPr>
        <w:t>Gennemførelse og håndhævelse</w:t>
      </w:r>
      <w:bookmarkEnd w:id="9"/>
    </w:p>
    <w:p w14:paraId="522516D1" w14:textId="670AE85E" w:rsidR="00AA655D" w:rsidRPr="006B47D4" w:rsidRDefault="00AA655D" w:rsidP="00AA655D">
      <w:pPr>
        <w:spacing w:before="100" w:beforeAutospacing="1" w:after="100" w:afterAutospacing="1"/>
        <w:jc w:val="both"/>
        <w:rPr>
          <w:noProof/>
          <w:lang w:val="da-DK"/>
        </w:rPr>
      </w:pPr>
      <w:r w:rsidRPr="006B47D4">
        <w:rPr>
          <w:noProof/>
          <w:lang w:val="da-DK"/>
        </w:rPr>
        <w:t xml:space="preserve">Kommissionen overvågede en udveksling af oplysninger om gennemførelsen og håndhævelsen af kontroller med støtte fra DUCG. Ifølge de foreliggende data bestod EU's eksportkontrolnetværk — som omfatter medarbejderne i medlemsstaternes kompetente licensudstedende myndigheder og Kommissionen — af over 345 medarbejdere. Med hensyn til håndhævelse på nationalt plan blev der registreret 78 overtrædelser af eksportkontrolbestemmelserne i 2020, mens otte administrative sanktioner og syv strafferetlige sanktioner blev anvendt af de nationale retshåndhævende myndigheder. </w:t>
      </w:r>
    </w:p>
    <w:p w14:paraId="73E91FA6" w14:textId="77777777" w:rsidR="00AA655D" w:rsidRPr="006B47D4" w:rsidRDefault="001926CB" w:rsidP="008C4021">
      <w:pPr>
        <w:keepNext/>
        <w:spacing w:before="100" w:beforeAutospacing="1" w:after="100" w:afterAutospacing="1"/>
        <w:jc w:val="both"/>
        <w:rPr>
          <w:b/>
          <w:noProof/>
          <w:lang w:val="da-DK"/>
        </w:rPr>
      </w:pPr>
      <w:r w:rsidRPr="006B47D4">
        <w:rPr>
          <w:b/>
          <w:noProof/>
          <w:lang w:val="da-DK"/>
        </w:rPr>
        <w:t>3.6.</w:t>
      </w:r>
      <w:r w:rsidRPr="006B47D4">
        <w:rPr>
          <w:noProof/>
          <w:lang w:val="da-DK"/>
        </w:rPr>
        <w:tab/>
      </w:r>
      <w:r w:rsidRPr="006B47D4">
        <w:rPr>
          <w:b/>
          <w:noProof/>
          <w:lang w:val="da-DK"/>
        </w:rPr>
        <w:t>Kapacitetsopbygning</w:t>
      </w:r>
    </w:p>
    <w:p w14:paraId="51700755" w14:textId="4FB23896" w:rsidR="001D3C5E" w:rsidRPr="006B47D4" w:rsidRDefault="001D3C5E" w:rsidP="00AA655D">
      <w:pPr>
        <w:spacing w:before="100" w:beforeAutospacing="1" w:after="100" w:afterAutospacing="1"/>
        <w:jc w:val="both"/>
        <w:rPr>
          <w:noProof/>
          <w:highlight w:val="yellow"/>
          <w:lang w:val="da-DK"/>
        </w:rPr>
      </w:pPr>
      <w:r w:rsidRPr="006B47D4">
        <w:rPr>
          <w:noProof/>
          <w:lang w:val="da-DK"/>
        </w:rPr>
        <w:t>I 2021 bidrog Kommissionens Fælles Forskningscenter med støtte fra GD Handel og DUCG til forberedelsen af det 14. tekniske JRC-NNSA-seminar for tilladelsesudstedende myndigheder. Dette blev organiseret af Kommissionens Fælles Forskningscenter og det amerikanske energiministerium. Det blev afholdt over flere gange mellem september og november 2021. Seminaret fokuserede på cyberovervågning, kryptovalutaer, blockchain og spredningsfinansiering.</w:t>
      </w:r>
    </w:p>
    <w:p w14:paraId="51D63499" w14:textId="77777777" w:rsidR="00AA655D" w:rsidRPr="006B47D4" w:rsidRDefault="001926CB" w:rsidP="00AA655D">
      <w:pPr>
        <w:spacing w:before="100" w:beforeAutospacing="1" w:after="100" w:afterAutospacing="1"/>
        <w:jc w:val="both"/>
        <w:rPr>
          <w:b/>
          <w:noProof/>
          <w:lang w:val="da-DK"/>
        </w:rPr>
      </w:pPr>
      <w:r w:rsidRPr="006B47D4">
        <w:rPr>
          <w:b/>
          <w:noProof/>
          <w:lang w:val="da-DK"/>
        </w:rPr>
        <w:t>3.7.</w:t>
      </w:r>
      <w:r w:rsidRPr="006B47D4">
        <w:rPr>
          <w:noProof/>
          <w:lang w:val="da-DK"/>
        </w:rPr>
        <w:tab/>
      </w:r>
      <w:r w:rsidRPr="006B47D4">
        <w:rPr>
          <w:b/>
          <w:noProof/>
          <w:lang w:val="da-DK"/>
        </w:rPr>
        <w:t xml:space="preserve">Gennemsigtighed og dialog med erhvervslivet og den akademiske verden </w:t>
      </w:r>
    </w:p>
    <w:p w14:paraId="21ACC0ED" w14:textId="70588335" w:rsidR="00F840E8" w:rsidRPr="006B47D4" w:rsidRDefault="00F840E8" w:rsidP="009D6D2B">
      <w:pPr>
        <w:spacing w:before="100" w:beforeAutospacing="1" w:after="100" w:afterAutospacing="1"/>
        <w:jc w:val="both"/>
        <w:rPr>
          <w:noProof/>
          <w:lang w:val="da-DK"/>
        </w:rPr>
      </w:pPr>
      <w:r w:rsidRPr="006B47D4">
        <w:rPr>
          <w:noProof/>
          <w:lang w:val="da-DK"/>
        </w:rPr>
        <w:t>Som nævnt i afsnit 2.1.2 organiserede Kommissionen — med støtte fra DUCG — eksportkontrolforummet 2021 og udarbejdede dokumentation til støtte for eksportørerne i forbindelse med gennemførelsen af forordningen, herunder retningslinjer for forskning med dobbelt anvendelse og et samlet ændringsnotat 2020, der forklarer ændringerne i kontrollisten.</w:t>
      </w:r>
    </w:p>
    <w:p w14:paraId="7B721AC9" w14:textId="77777777" w:rsidR="00114F71" w:rsidRPr="006B47D4" w:rsidRDefault="00114F71" w:rsidP="00114F71">
      <w:pPr>
        <w:keepNext/>
        <w:tabs>
          <w:tab w:val="left" w:pos="850"/>
        </w:tabs>
        <w:spacing w:after="120"/>
        <w:jc w:val="both"/>
        <w:outlineLvl w:val="0"/>
        <w:rPr>
          <w:b/>
          <w:smallCaps/>
          <w:noProof/>
          <w:lang w:val="da-DK"/>
        </w:rPr>
      </w:pPr>
      <w:r w:rsidRPr="006B47D4">
        <w:rPr>
          <w:b/>
          <w:smallCaps/>
          <w:noProof/>
          <w:lang w:val="da-DK"/>
        </w:rPr>
        <w:t>4.</w:t>
      </w:r>
      <w:r w:rsidRPr="006B47D4">
        <w:rPr>
          <w:noProof/>
          <w:lang w:val="da-DK"/>
        </w:rPr>
        <w:tab/>
      </w:r>
      <w:r w:rsidRPr="006B47D4">
        <w:rPr>
          <w:b/>
          <w:smallCaps/>
          <w:noProof/>
          <w:lang w:val="da-DK"/>
        </w:rPr>
        <w:t xml:space="preserve">EU's eksportkontrol — nøgledata </w:t>
      </w:r>
    </w:p>
    <w:p w14:paraId="637A974A" w14:textId="34A17CB7" w:rsidR="00114F71" w:rsidRPr="006B47D4" w:rsidRDefault="00114F71" w:rsidP="00A46A0C">
      <w:pPr>
        <w:spacing w:before="100" w:beforeAutospacing="1" w:after="100" w:afterAutospacing="1"/>
        <w:jc w:val="both"/>
        <w:rPr>
          <w:noProof/>
          <w:lang w:val="da-DK"/>
        </w:rPr>
      </w:pPr>
      <w:r w:rsidRPr="006B47D4">
        <w:rPr>
          <w:noProof/>
          <w:lang w:val="da-DK"/>
        </w:rPr>
        <w:t xml:space="preserve">Det er i øjeblikket fortsat vanskeligt at indhente pålidelige oplysninger om den samlede eksport af produkter med dobbelt anvendelse (herunder produkter med dobbelt anvendelse, der ikke er opført på listen), da der ikke findes nogen officiel kategori for "produkter med dobbelt anvendelse" i officielle økonomiske statistikker/handelsstatistikker. Kommissionen og medlemsstaterne indsamler imidlertid data, der gør det muligt at foretage en tilnærmelsesvis vurdering af udførslen af varer med dobbelt anvendelse, dels på grundlag af specifikke tilladelsesdata indsamlet af de kompetente myndigheder, dels på grundlag af statistikker for eksportangivelser til EU's toldmyndigheder, som omfatter varer med dobbelt anvendelse. Nedenfor findes et skøn over eksportdata for 2020. Det skal bemærkes, at de fremlagte skøn ikke omfatter tjenesteydelser eller immaterielle teknologioverførsler relateret til handel med produkter med dobbelt anvendelse. </w:t>
      </w:r>
    </w:p>
    <w:p w14:paraId="710ADEE7" w14:textId="77777777" w:rsidR="00114F71" w:rsidRPr="006B47D4" w:rsidRDefault="00114F71" w:rsidP="00114F71">
      <w:pPr>
        <w:keepNext/>
        <w:tabs>
          <w:tab w:val="left" w:pos="850"/>
        </w:tabs>
        <w:spacing w:after="120"/>
        <w:ind w:left="850" w:hanging="850"/>
        <w:jc w:val="both"/>
        <w:outlineLvl w:val="1"/>
        <w:rPr>
          <w:b/>
          <w:noProof/>
          <w:lang w:val="da-DK"/>
        </w:rPr>
      </w:pPr>
      <w:r w:rsidRPr="006B47D4">
        <w:rPr>
          <w:b/>
          <w:noProof/>
          <w:lang w:val="da-DK"/>
        </w:rPr>
        <w:t>4.1.</w:t>
      </w:r>
      <w:r w:rsidRPr="006B47D4">
        <w:rPr>
          <w:noProof/>
          <w:lang w:val="da-DK"/>
        </w:rPr>
        <w:tab/>
      </w:r>
      <w:r w:rsidRPr="006B47D4">
        <w:rPr>
          <w:b/>
          <w:noProof/>
          <w:lang w:val="da-DK"/>
        </w:rPr>
        <w:t xml:space="preserve">EU's handel med produkter med dobbelt anvendelse: produkter og bestemmelseslande </w:t>
      </w:r>
    </w:p>
    <w:p w14:paraId="491628C5" w14:textId="47AFB782" w:rsidR="00114F71" w:rsidRPr="006B47D4" w:rsidRDefault="00114F71" w:rsidP="00114F71">
      <w:pPr>
        <w:spacing w:before="100" w:beforeAutospacing="1" w:after="100" w:afterAutospacing="1"/>
        <w:jc w:val="both"/>
        <w:rPr>
          <w:noProof/>
          <w:lang w:val="da-DK"/>
        </w:rPr>
      </w:pPr>
      <w:r w:rsidRPr="006B47D4">
        <w:rPr>
          <w:noProof/>
          <w:lang w:val="da-DK"/>
        </w:rPr>
        <w:t>I 2021 fandt forordningen primært anvendelse på eksport af ca. 1 884 produkter med dobbelt anvendelse, der er opført i bilag I ("EU's kontrolliste") og klassificeret i ti kategorier fra bilag I til forordning (EU) 821/2021</w:t>
      </w:r>
      <w:r>
        <w:rPr>
          <w:rStyle w:val="FootnoteReference"/>
          <w:noProof/>
        </w:rPr>
        <w:footnoteReference w:id="22"/>
      </w:r>
      <w:r w:rsidRPr="006B47D4">
        <w:rPr>
          <w:noProof/>
          <w:lang w:val="da-DK"/>
        </w:rPr>
        <w:t xml:space="preserve"> (figur 1). Disse produkter med dobbelt anvendelse vedrører ca. 1 000 "varer" fra "toldnomenklaturen", herunder kemikalier, metaller og ikkemetalholdige mineralske produkter, computere, elektroniske og optiske produkter, elektrisk udstyr, maskiner, køretøjer og transportudstyr osv. og ligger typisk i den højteknologiske ende af dette store blandede vareområde. </w:t>
      </w:r>
    </w:p>
    <w:p w14:paraId="7226FA49" w14:textId="4CF06D61" w:rsidR="00114F71" w:rsidRPr="002214D4" w:rsidRDefault="002B2632" w:rsidP="00114F71">
      <w:pPr>
        <w:spacing w:after="120"/>
        <w:jc w:val="both"/>
        <w:rPr>
          <w:noProof/>
        </w:rPr>
      </w:pPr>
      <w:r>
        <w:rPr>
          <w:noProof/>
          <w:lang w:val="en-GB" w:eastAsia="en-GB"/>
        </w:rPr>
        <w:drawing>
          <wp:inline distT="0" distB="0" distL="0" distR="0" wp14:anchorId="7F44A780" wp14:editId="415028EF">
            <wp:extent cx="6018116" cy="2697968"/>
            <wp:effectExtent l="0" t="0" r="1905"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8289" cy="2707012"/>
                    </a:xfrm>
                    <a:prstGeom prst="rect">
                      <a:avLst/>
                    </a:prstGeom>
                    <a:noFill/>
                  </pic:spPr>
                </pic:pic>
              </a:graphicData>
            </a:graphic>
          </wp:inline>
        </w:drawing>
      </w:r>
    </w:p>
    <w:p w14:paraId="5C5CB1DD" w14:textId="77777777" w:rsidR="00114F71" w:rsidRPr="006B47D4" w:rsidRDefault="00114F71" w:rsidP="00114F71">
      <w:pPr>
        <w:spacing w:after="100" w:afterAutospacing="1"/>
        <w:jc w:val="both"/>
        <w:rPr>
          <w:i/>
          <w:noProof/>
          <w:sz w:val="20"/>
          <w:lang w:val="da-DK"/>
        </w:rPr>
      </w:pPr>
      <w:r w:rsidRPr="006B47D4">
        <w:rPr>
          <w:noProof/>
          <w:lang w:val="da-DK"/>
        </w:rPr>
        <w:t xml:space="preserve"> </w:t>
      </w:r>
      <w:r w:rsidRPr="006B47D4">
        <w:rPr>
          <w:noProof/>
          <w:lang w:val="da-DK"/>
        </w:rPr>
        <w:br/>
      </w:r>
      <w:r w:rsidRPr="006B47D4">
        <w:rPr>
          <w:i/>
          <w:noProof/>
          <w:sz w:val="20"/>
          <w:lang w:val="da-DK"/>
        </w:rPr>
        <w:t>Figur 1: Antal angivelser med dobbelt anvendelse, der er opført i de ti kategorier i bilag I til forordning (EU) 2021/821.</w:t>
      </w:r>
    </w:p>
    <w:p w14:paraId="6B204220" w14:textId="77777777" w:rsidR="00114F71" w:rsidRDefault="00114F71" w:rsidP="00114F71">
      <w:pPr>
        <w:spacing w:after="100" w:afterAutospacing="1"/>
        <w:jc w:val="both"/>
        <w:rPr>
          <w:noProof/>
        </w:rPr>
      </w:pPr>
      <w:r w:rsidRPr="006B47D4">
        <w:rPr>
          <w:noProof/>
          <w:lang w:val="da-DK"/>
        </w:rPr>
        <w:t>Statistiske skøn over den relative betydning af handelen med produkter med dobbelt anvendelse viser, at eksporten af produkter med dobbelt anvendelse udgør ca. 2,7 % af EU-27's samlede eksport (inden for og uden for EU) inden for det brede toldvareområde "eksport af produkter med dobbelt anvendelse"</w:t>
      </w:r>
      <w:r>
        <w:rPr>
          <w:noProof/>
          <w:vertAlign w:val="superscript"/>
        </w:rPr>
        <w:footnoteReference w:id="23"/>
      </w:r>
      <w:r w:rsidRPr="006B47D4">
        <w:rPr>
          <w:noProof/>
          <w:lang w:val="da-DK"/>
        </w:rPr>
        <w:t xml:space="preserve">, der i varierende grad kan omfatte visse produkter med dobbelt anvendelse (figur 2). Dette ville bringe værdien af handelen med produkter med dobbelt anvendelse op på 128 mia. </w:t>
      </w:r>
      <w:r>
        <w:rPr>
          <w:noProof/>
        </w:rPr>
        <w:t xml:space="preserve">EUR i 2020. </w:t>
      </w:r>
    </w:p>
    <w:p w14:paraId="4F95B378" w14:textId="5B0C7F2E" w:rsidR="00114F71" w:rsidRPr="003361D2" w:rsidRDefault="002B2632" w:rsidP="00114F71">
      <w:pPr>
        <w:spacing w:after="100" w:afterAutospacing="1"/>
        <w:jc w:val="center"/>
        <w:rPr>
          <w:noProof/>
        </w:rPr>
      </w:pPr>
      <w:r>
        <w:rPr>
          <w:noProof/>
          <w:lang w:val="en-GB" w:eastAsia="en-GB"/>
        </w:rPr>
        <w:drawing>
          <wp:inline distT="0" distB="0" distL="0" distR="0" wp14:anchorId="3FA742A9" wp14:editId="4343ED47">
            <wp:extent cx="3743325" cy="221738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65818" cy="2230713"/>
                    </a:xfrm>
                    <a:prstGeom prst="rect">
                      <a:avLst/>
                    </a:prstGeom>
                    <a:noFill/>
                  </pic:spPr>
                </pic:pic>
              </a:graphicData>
            </a:graphic>
          </wp:inline>
        </w:drawing>
      </w:r>
    </w:p>
    <w:p w14:paraId="3D12E786" w14:textId="77777777" w:rsidR="00114F71" w:rsidRPr="006B47D4" w:rsidRDefault="00114F71" w:rsidP="00114F71">
      <w:pPr>
        <w:spacing w:after="100" w:afterAutospacing="1"/>
        <w:jc w:val="center"/>
        <w:rPr>
          <w:i/>
          <w:noProof/>
          <w:sz w:val="20"/>
          <w:lang w:val="da-DK"/>
        </w:rPr>
      </w:pPr>
      <w:r w:rsidRPr="006B47D4">
        <w:rPr>
          <w:i/>
          <w:noProof/>
          <w:sz w:val="20"/>
          <w:lang w:val="da-DK"/>
        </w:rPr>
        <w:t>Figur 2: Statistiske skøn over eksport af produkter med dobbelt anvendelse inden for og uden for EU.</w:t>
      </w:r>
    </w:p>
    <w:p w14:paraId="1948CCDC" w14:textId="6B1AA574" w:rsidR="00114F71" w:rsidRPr="006B47D4" w:rsidRDefault="00114F71" w:rsidP="00D76008">
      <w:pPr>
        <w:spacing w:before="100" w:beforeAutospacing="1" w:after="100" w:afterAutospacing="1"/>
        <w:jc w:val="both"/>
        <w:rPr>
          <w:noProof/>
          <w:lang w:val="da-DK"/>
        </w:rPr>
      </w:pPr>
      <w:r w:rsidRPr="006B47D4">
        <w:rPr>
          <w:noProof/>
          <w:lang w:val="da-DK"/>
        </w:rPr>
        <w:t>Statistiske skøn viser også de vigtigste bestemmelseslande, hvortil der udføres, og viser, at en stor del af udførslen af produkter med dobbelt anvendelse er rettet mod lande, der er opført på listen over Den Europæiske Unions generelle eksporttilladelser. Rangordningen af bestemmelseslande afspejler EU's eksportmarked i en "kurv" af varer, der hovedsagelig vedrører produkter med dobbelt anvendelse (figur 3 og 4)</w:t>
      </w:r>
      <w:r>
        <w:rPr>
          <w:noProof/>
          <w:vertAlign w:val="superscript"/>
        </w:rPr>
        <w:footnoteReference w:id="24"/>
      </w:r>
      <w:r w:rsidRPr="006B47D4">
        <w:rPr>
          <w:noProof/>
          <w:lang w:val="da-DK"/>
        </w:rPr>
        <w:t xml:space="preserve">. </w:t>
      </w:r>
    </w:p>
    <w:p w14:paraId="18E7CAD9" w14:textId="3FE55A82" w:rsidR="00114F71" w:rsidRDefault="002B2632" w:rsidP="00114F71">
      <w:pPr>
        <w:spacing w:before="100" w:beforeAutospacing="1" w:after="100" w:afterAutospacing="1"/>
        <w:jc w:val="both"/>
        <w:rPr>
          <w:noProof/>
        </w:rPr>
      </w:pPr>
      <w:r>
        <w:rPr>
          <w:noProof/>
          <w:lang w:val="en-GB" w:eastAsia="en-GB"/>
        </w:rPr>
        <w:drawing>
          <wp:inline distT="0" distB="0" distL="0" distR="0" wp14:anchorId="1A64138C" wp14:editId="3EDA1922">
            <wp:extent cx="5834450" cy="442499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0961" cy="4429934"/>
                    </a:xfrm>
                    <a:prstGeom prst="rect">
                      <a:avLst/>
                    </a:prstGeom>
                    <a:noFill/>
                  </pic:spPr>
                </pic:pic>
              </a:graphicData>
            </a:graphic>
          </wp:inline>
        </w:drawing>
      </w:r>
    </w:p>
    <w:p w14:paraId="0F5D9FC8" w14:textId="77777777" w:rsidR="00114F71" w:rsidRPr="006B47D4" w:rsidRDefault="00114F71" w:rsidP="00114F71">
      <w:pPr>
        <w:spacing w:after="100" w:afterAutospacing="1"/>
        <w:jc w:val="center"/>
        <w:rPr>
          <w:i/>
          <w:noProof/>
          <w:sz w:val="20"/>
          <w:lang w:val="da-DK"/>
        </w:rPr>
      </w:pPr>
      <w:r w:rsidRPr="006B47D4">
        <w:rPr>
          <w:i/>
          <w:noProof/>
          <w:sz w:val="20"/>
          <w:lang w:val="da-DK"/>
        </w:rPr>
        <w:t>Figur 3: Skøn over EU's eksport af produkter med dobbelt anvendelse: De 25 største eksportbestemmelseslande og deres underregioner i 2020.</w:t>
      </w:r>
    </w:p>
    <w:p w14:paraId="15C770EF" w14:textId="77777777" w:rsidR="00114F71" w:rsidRPr="006B47D4" w:rsidRDefault="00114F71" w:rsidP="00114F71">
      <w:pPr>
        <w:spacing w:after="100" w:afterAutospacing="1"/>
        <w:jc w:val="center"/>
        <w:rPr>
          <w:i/>
          <w:noProof/>
          <w:sz w:val="20"/>
          <w:lang w:val="da-DK"/>
        </w:rPr>
      </w:pPr>
    </w:p>
    <w:p w14:paraId="1F4439EC" w14:textId="237998B9" w:rsidR="00114F71" w:rsidRDefault="002B2632" w:rsidP="00114F71">
      <w:pPr>
        <w:spacing w:before="120" w:after="100" w:afterAutospacing="1"/>
        <w:rPr>
          <w:noProof/>
        </w:rPr>
      </w:pPr>
      <w:r>
        <w:rPr>
          <w:noProof/>
          <w:lang w:val="en-GB" w:eastAsia="en-GB"/>
        </w:rPr>
        <w:drawing>
          <wp:inline distT="0" distB="0" distL="0" distR="0" wp14:anchorId="2A814786" wp14:editId="1217DCFF">
            <wp:extent cx="6292850" cy="3826622"/>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96055" cy="3828571"/>
                    </a:xfrm>
                    <a:prstGeom prst="rect">
                      <a:avLst/>
                    </a:prstGeom>
                    <a:noFill/>
                  </pic:spPr>
                </pic:pic>
              </a:graphicData>
            </a:graphic>
          </wp:inline>
        </w:drawing>
      </w:r>
    </w:p>
    <w:p w14:paraId="176ED5F3" w14:textId="77777777" w:rsidR="00114F71" w:rsidRPr="006B47D4" w:rsidRDefault="00114F71" w:rsidP="00114F71">
      <w:pPr>
        <w:spacing w:before="120" w:after="100" w:afterAutospacing="1"/>
        <w:jc w:val="center"/>
        <w:rPr>
          <w:i/>
          <w:noProof/>
          <w:sz w:val="20"/>
          <w:lang w:val="da-DK"/>
        </w:rPr>
      </w:pPr>
      <w:r w:rsidRPr="006B47D4">
        <w:rPr>
          <w:i/>
          <w:noProof/>
          <w:sz w:val="20"/>
          <w:lang w:val="da-DK"/>
        </w:rPr>
        <w:t>Figur 4: Skøn over EU's eksport af produkter med dobbelt anvendelse: bestemmelseslande fordelt på regioner og subregioner i 2020</w:t>
      </w:r>
    </w:p>
    <w:p w14:paraId="12127C22" w14:textId="77777777" w:rsidR="00114F71" w:rsidRPr="006B47D4" w:rsidRDefault="00114F71" w:rsidP="00114F71">
      <w:pPr>
        <w:keepNext/>
        <w:tabs>
          <w:tab w:val="left" w:pos="850"/>
        </w:tabs>
        <w:spacing w:after="120"/>
        <w:ind w:left="850" w:hanging="850"/>
        <w:jc w:val="both"/>
        <w:outlineLvl w:val="1"/>
        <w:rPr>
          <w:b/>
          <w:noProof/>
          <w:lang w:val="da-DK"/>
        </w:rPr>
      </w:pPr>
      <w:r w:rsidRPr="006B47D4">
        <w:rPr>
          <w:b/>
          <w:noProof/>
          <w:lang w:val="da-DK"/>
        </w:rPr>
        <w:t>4.2.</w:t>
      </w:r>
      <w:r w:rsidRPr="006B47D4">
        <w:rPr>
          <w:noProof/>
          <w:lang w:val="da-DK"/>
        </w:rPr>
        <w:tab/>
      </w:r>
      <w:r w:rsidRPr="006B47D4">
        <w:rPr>
          <w:b/>
          <w:noProof/>
          <w:lang w:val="da-DK"/>
        </w:rPr>
        <w:t xml:space="preserve">EU-tilladelser vedrørende produkter med dobbelt anvendelse: ansøgninger, tilladelser, afslag </w:t>
      </w:r>
    </w:p>
    <w:p w14:paraId="6A30E84F" w14:textId="7B21EEF1" w:rsidR="00114F71" w:rsidRPr="006B47D4" w:rsidRDefault="00114F71" w:rsidP="00114F71">
      <w:pPr>
        <w:spacing w:before="100" w:beforeAutospacing="1" w:after="100" w:afterAutospacing="1"/>
        <w:jc w:val="both"/>
        <w:rPr>
          <w:noProof/>
          <w:lang w:val="da-DK"/>
        </w:rPr>
      </w:pPr>
      <w:r w:rsidRPr="006B47D4">
        <w:rPr>
          <w:noProof/>
          <w:lang w:val="da-DK"/>
        </w:rPr>
        <w:t xml:space="preserve">I lyset af forordningens artikel 23, stk. 2, hvori det hedder, at </w:t>
      </w:r>
      <w:r w:rsidRPr="006B47D4">
        <w:rPr>
          <w:i/>
          <w:iCs/>
          <w:noProof/>
          <w:lang w:val="da-DK"/>
        </w:rPr>
        <w:t>medlemsstaterne i samarbejde med Kommissionen træffer alle hensigtsmæssige foranstaltninger til at etablere et direkte samarbejde og udveksling af oplysninger mellem de kompetente myndigheder med henblik på at øge effektiviteten af Unionens eksportkontrolordning</w:t>
      </w:r>
      <w:r w:rsidRPr="006B47D4">
        <w:rPr>
          <w:noProof/>
          <w:lang w:val="da-DK"/>
        </w:rPr>
        <w:t>, har Kommissionen og medlemsstaterne udvekslet data om tilladelser og oplysninger for at forbedre forståelsen af eksportkontrollen og dens økonomiske virkninger. Denne udveksling støttes af DUCG. Nogle af de oplysninger, der blev indsamlet for rapporteringsperioden, er gengivet nedenfor. Det skal dog bemærkes, at ikke alle medlemsstater indsamler alle data. Nedenstående oplysninger repræsenterer et tilnærmelsesvist skøn over de samlede mængder og værdier baseret på de data, som medlemsstaterne har stillet til rådighed.</w:t>
      </w:r>
    </w:p>
    <w:p w14:paraId="714D153C" w14:textId="4833DAE2" w:rsidR="00114F71" w:rsidRPr="006B47D4" w:rsidRDefault="00FC33F0" w:rsidP="00FC33F0">
      <w:pPr>
        <w:spacing w:after="120"/>
        <w:jc w:val="both"/>
        <w:rPr>
          <w:noProof/>
          <w:lang w:val="da-DK"/>
        </w:rPr>
      </w:pPr>
      <w:r w:rsidRPr="006B47D4">
        <w:rPr>
          <w:noProof/>
          <w:lang w:val="da-DK"/>
        </w:rPr>
        <w:t>I 2020 nåede den samlede værdi</w:t>
      </w:r>
      <w:r>
        <w:rPr>
          <w:noProof/>
          <w:vertAlign w:val="superscript"/>
        </w:rPr>
        <w:footnoteReference w:id="25"/>
      </w:r>
      <w:r w:rsidRPr="006B47D4">
        <w:rPr>
          <w:noProof/>
          <w:lang w:val="da-DK"/>
        </w:rPr>
        <w:t xml:space="preserve"> af ansøgningerne op på 38,4 mia. EUR, og den kontrollerede eksport af produkter med dobbelt anvendelse udgjorde således 2,3 % af den samlede eksport til lande uden for EU-27. Den tilladte handel med produkter med dobbelt anvendelse beløb sig til 31 mia. EUR, hvilket svarer til 1,9 % af den samlede eksport til lande uden for EU-27, idet størstedelen af transaktionerne blev tilladt gennem individuelle tilladelser</w:t>
      </w:r>
      <w:r>
        <w:rPr>
          <w:rStyle w:val="FootnoteReference"/>
          <w:noProof/>
        </w:rPr>
        <w:footnoteReference w:id="26"/>
      </w:r>
      <w:r w:rsidRPr="006B47D4">
        <w:rPr>
          <w:noProof/>
          <w:lang w:val="da-DK"/>
        </w:rPr>
        <w:t xml:space="preserve"> (ca. 19 412 individuelle tilladelser udstedt i 2020) og globale tilladelser</w:t>
      </w:r>
      <w:r>
        <w:rPr>
          <w:rStyle w:val="FootnoteReference"/>
          <w:noProof/>
        </w:rPr>
        <w:footnoteReference w:id="27"/>
      </w:r>
      <w:r w:rsidRPr="006B47D4">
        <w:rPr>
          <w:noProof/>
          <w:lang w:val="da-DK"/>
        </w:rPr>
        <w:t xml:space="preserve"> (udtrykt i værdi). Kun en lille del af udførslen blev rent faktisk afslået: Der blev givet 559 afslag i 2020, hvilket svarer til ca. 1,4 % af værdien af den kontrollerede eksport af produkter med dobbelt anvendelse i det pågældende år og 0,03 % af den samlede eksport til lande uden for EU-27. Forskelle i data, der tyder på et fald i forhold til de foregående år, skyldes brexit og det forhold, at Det Forenede Kongerige ikke har fremlagt data siden 2019. Hvad angår bestemmelsessteder for eksporttilladelser, tegnede de 25 vigtigste bestemmelsessteder uden for EU sig for 94 % af den tilladte værdi, hvoraf de vigtigste bestemmelsessteder er Kina, USA, Taiwan, Sydkorea og Rusland. Med hensyn til overførsler inden for EU var de vigtigste bestemmelsessteder Frankrig, Sverige, Finland, Tyskland, Spanien og Belgien. En opdeling af tilladelser efter kategorier af produkter i bilag I til forordningen om produkter med dobbelt anvendelse viser, at hovedkategorien målt på værdi i 2020 var kategori 5 for telekommunikation og "informationssikkerhed" efterfulgt af kategori 0 for nukleare materialer, anlæg og udstyr og kategori 3 for elektronik.</w:t>
      </w:r>
    </w:p>
    <w:p w14:paraId="35348646" w14:textId="1E92C543" w:rsidR="00114F71" w:rsidRDefault="002B2632" w:rsidP="00114F71">
      <w:pPr>
        <w:spacing w:before="100" w:beforeAutospacing="1" w:after="100" w:afterAutospacing="1"/>
        <w:jc w:val="center"/>
        <w:rPr>
          <w:noProof/>
        </w:rPr>
      </w:pPr>
      <w:r>
        <w:rPr>
          <w:noProof/>
          <w:lang w:val="en-GB" w:eastAsia="en-GB"/>
        </w:rPr>
        <w:drawing>
          <wp:inline distT="0" distB="0" distL="0" distR="0" wp14:anchorId="358E1AEC" wp14:editId="0FE746D5">
            <wp:extent cx="4242442" cy="2354580"/>
            <wp:effectExtent l="0" t="0" r="5715"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1953" cy="2359859"/>
                    </a:xfrm>
                    <a:prstGeom prst="rect">
                      <a:avLst/>
                    </a:prstGeom>
                    <a:noFill/>
                  </pic:spPr>
                </pic:pic>
              </a:graphicData>
            </a:graphic>
          </wp:inline>
        </w:drawing>
      </w:r>
    </w:p>
    <w:p w14:paraId="3B0FFF6D" w14:textId="77777777" w:rsidR="00114F71" w:rsidRPr="006B47D4" w:rsidRDefault="00114F71" w:rsidP="00114F71">
      <w:pPr>
        <w:spacing w:after="240"/>
        <w:jc w:val="center"/>
        <w:rPr>
          <w:i/>
          <w:noProof/>
          <w:sz w:val="20"/>
          <w:lang w:val="da-DK"/>
        </w:rPr>
      </w:pPr>
      <w:r w:rsidRPr="006B47D4">
        <w:rPr>
          <w:noProof/>
          <w:lang w:val="da-DK"/>
        </w:rPr>
        <w:t xml:space="preserve"> </w:t>
      </w:r>
      <w:r w:rsidRPr="006B47D4">
        <w:rPr>
          <w:i/>
          <w:noProof/>
          <w:sz w:val="20"/>
          <w:lang w:val="da-DK"/>
        </w:rPr>
        <w:t>Figur 5: Mængde (antal) af tilladelser og afslag i perioden 2016-2020</w:t>
      </w:r>
      <w:r>
        <w:rPr>
          <w:i/>
          <w:noProof/>
          <w:sz w:val="20"/>
          <w:vertAlign w:val="superscript"/>
        </w:rPr>
        <w:footnoteReference w:id="28"/>
      </w:r>
      <w:r w:rsidRPr="006B47D4">
        <w:rPr>
          <w:i/>
          <w:noProof/>
          <w:sz w:val="20"/>
          <w:lang w:val="da-DK"/>
        </w:rPr>
        <w:t>.</w:t>
      </w:r>
    </w:p>
    <w:p w14:paraId="6FC6C3D3" w14:textId="1282AAEF" w:rsidR="00114F71" w:rsidRDefault="002B2632" w:rsidP="00114F71">
      <w:pPr>
        <w:spacing w:after="120"/>
        <w:jc w:val="center"/>
        <w:rPr>
          <w:noProof/>
        </w:rPr>
      </w:pPr>
      <w:r>
        <w:rPr>
          <w:noProof/>
          <w:lang w:val="en-GB" w:eastAsia="en-GB"/>
        </w:rPr>
        <w:drawing>
          <wp:inline distT="0" distB="0" distL="0" distR="0" wp14:anchorId="09F9AC92" wp14:editId="2E4CEC4C">
            <wp:extent cx="4115146" cy="2303145"/>
            <wp:effectExtent l="0" t="0" r="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28857" cy="2310819"/>
                    </a:xfrm>
                    <a:prstGeom prst="rect">
                      <a:avLst/>
                    </a:prstGeom>
                    <a:noFill/>
                  </pic:spPr>
                </pic:pic>
              </a:graphicData>
            </a:graphic>
          </wp:inline>
        </w:drawing>
      </w:r>
    </w:p>
    <w:p w14:paraId="37535D94" w14:textId="77777777" w:rsidR="00114F71" w:rsidRPr="006B47D4" w:rsidRDefault="00114F71" w:rsidP="00114F71">
      <w:pPr>
        <w:spacing w:after="120"/>
        <w:jc w:val="center"/>
        <w:rPr>
          <w:i/>
          <w:noProof/>
          <w:sz w:val="20"/>
          <w:vertAlign w:val="superscript"/>
          <w:lang w:val="da-DK"/>
        </w:rPr>
      </w:pPr>
      <w:r w:rsidRPr="006B47D4">
        <w:rPr>
          <w:i/>
          <w:noProof/>
          <w:sz w:val="20"/>
          <w:lang w:val="da-DK"/>
        </w:rPr>
        <w:t>Figur 6: Værdi (mio. EUR) af tilladelser og afslag i perioden 2016-2020.</w:t>
      </w:r>
      <w:r w:rsidRPr="006B47D4">
        <w:rPr>
          <w:i/>
          <w:noProof/>
          <w:sz w:val="20"/>
          <w:vertAlign w:val="superscript"/>
          <w:lang w:val="da-DK"/>
        </w:rPr>
        <w:t xml:space="preserve"> </w:t>
      </w:r>
    </w:p>
    <w:p w14:paraId="1439CE36" w14:textId="77777777" w:rsidR="00114F71" w:rsidRPr="006B47D4" w:rsidRDefault="00114F71" w:rsidP="00114F71">
      <w:pPr>
        <w:spacing w:after="120"/>
        <w:jc w:val="center"/>
        <w:rPr>
          <w:i/>
          <w:noProof/>
          <w:sz w:val="20"/>
          <w:vertAlign w:val="superscript"/>
          <w:lang w:val="da-DK"/>
        </w:rPr>
      </w:pPr>
    </w:p>
    <w:p w14:paraId="08A8A01F" w14:textId="6CC414D2" w:rsidR="00114F71" w:rsidRPr="00B31C58" w:rsidRDefault="002B2632" w:rsidP="00114F71">
      <w:pPr>
        <w:spacing w:after="120"/>
        <w:jc w:val="center"/>
        <w:rPr>
          <w:i/>
          <w:noProof/>
          <w:vertAlign w:val="superscript"/>
        </w:rPr>
      </w:pPr>
      <w:r>
        <w:rPr>
          <w:i/>
          <w:noProof/>
          <w:vertAlign w:val="superscript"/>
          <w:lang w:val="en-GB" w:eastAsia="en-GB"/>
        </w:rPr>
        <w:drawing>
          <wp:inline distT="0" distB="0" distL="0" distR="0" wp14:anchorId="5D7299CD" wp14:editId="58114B83">
            <wp:extent cx="4564341" cy="3154045"/>
            <wp:effectExtent l="0" t="0" r="8255"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0155" cy="3158062"/>
                    </a:xfrm>
                    <a:prstGeom prst="rect">
                      <a:avLst/>
                    </a:prstGeom>
                    <a:noFill/>
                  </pic:spPr>
                </pic:pic>
              </a:graphicData>
            </a:graphic>
          </wp:inline>
        </w:drawing>
      </w:r>
    </w:p>
    <w:p w14:paraId="48138912" w14:textId="77777777" w:rsidR="00114F71" w:rsidRPr="006B47D4" w:rsidRDefault="00114F71" w:rsidP="00114F71">
      <w:pPr>
        <w:spacing w:after="120"/>
        <w:jc w:val="center"/>
        <w:rPr>
          <w:i/>
          <w:noProof/>
          <w:sz w:val="20"/>
          <w:lang w:val="da-DK"/>
        </w:rPr>
      </w:pPr>
      <w:r w:rsidRPr="006B47D4">
        <w:rPr>
          <w:i/>
          <w:noProof/>
          <w:sz w:val="20"/>
          <w:lang w:val="da-DK"/>
        </w:rPr>
        <w:t>Figur 7: Mængde (antal) af tilladelser pr. type tilladelse i 2020.</w:t>
      </w:r>
    </w:p>
    <w:p w14:paraId="307E6024" w14:textId="77777777" w:rsidR="00114F71" w:rsidRPr="006B47D4" w:rsidRDefault="00114F71" w:rsidP="00114F71">
      <w:pPr>
        <w:spacing w:after="120"/>
        <w:jc w:val="center"/>
        <w:rPr>
          <w:i/>
          <w:noProof/>
          <w:sz w:val="20"/>
          <w:lang w:val="da-DK"/>
        </w:rPr>
      </w:pPr>
    </w:p>
    <w:p w14:paraId="7B3B0E6E" w14:textId="10B041EC" w:rsidR="00114F71" w:rsidRDefault="002B2632" w:rsidP="00114F71">
      <w:pPr>
        <w:spacing w:after="120"/>
        <w:jc w:val="center"/>
        <w:rPr>
          <w:i/>
          <w:noProof/>
          <w:sz w:val="20"/>
        </w:rPr>
      </w:pPr>
      <w:r>
        <w:rPr>
          <w:i/>
          <w:noProof/>
          <w:sz w:val="20"/>
          <w:lang w:val="en-GB" w:eastAsia="en-GB"/>
        </w:rPr>
        <w:drawing>
          <wp:inline distT="0" distB="0" distL="0" distR="0" wp14:anchorId="442F7CAB" wp14:editId="658B0D8C">
            <wp:extent cx="4560288" cy="31623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61537" cy="3163166"/>
                    </a:xfrm>
                    <a:prstGeom prst="rect">
                      <a:avLst/>
                    </a:prstGeom>
                    <a:noFill/>
                  </pic:spPr>
                </pic:pic>
              </a:graphicData>
            </a:graphic>
          </wp:inline>
        </w:drawing>
      </w:r>
    </w:p>
    <w:p w14:paraId="23A58B7F" w14:textId="77777777" w:rsidR="00114F71" w:rsidRPr="006B47D4" w:rsidRDefault="00114F71" w:rsidP="00114F71">
      <w:pPr>
        <w:spacing w:after="100" w:afterAutospacing="1"/>
        <w:jc w:val="center"/>
        <w:rPr>
          <w:i/>
          <w:noProof/>
          <w:sz w:val="20"/>
          <w:lang w:val="da-DK"/>
        </w:rPr>
      </w:pPr>
      <w:r w:rsidRPr="006B47D4">
        <w:rPr>
          <w:i/>
          <w:noProof/>
          <w:sz w:val="20"/>
          <w:lang w:val="da-DK"/>
        </w:rPr>
        <w:t>Figur 8: Værdi (mio. EUR) af tilladelser pr. type i 2020.</w:t>
      </w:r>
    </w:p>
    <w:p w14:paraId="20E55297" w14:textId="77777777" w:rsidR="00114F71" w:rsidRPr="006B47D4" w:rsidRDefault="00114F71" w:rsidP="00114F71">
      <w:pPr>
        <w:pStyle w:val="ListParagraph"/>
        <w:spacing w:before="60" w:after="60"/>
        <w:ind w:left="0"/>
        <w:contextualSpacing/>
        <w:jc w:val="both"/>
        <w:rPr>
          <w:rFonts w:ascii="Times New Roman" w:eastAsiaTheme="minorHAnsi" w:hAnsi="Times New Roman" w:cs="Times New Roman"/>
          <w:noProof/>
          <w:sz w:val="24"/>
          <w:lang w:val="da-DK"/>
        </w:rPr>
      </w:pPr>
    </w:p>
    <w:p w14:paraId="189E4153" w14:textId="5726FEED" w:rsidR="00114F71" w:rsidRDefault="006D7E83" w:rsidP="00114F71">
      <w:pPr>
        <w:keepNext/>
        <w:rPr>
          <w:noProof/>
        </w:rPr>
      </w:pPr>
      <w:r>
        <w:rPr>
          <w:noProof/>
          <w:lang w:val="en-GB" w:eastAsia="en-GB"/>
        </w:rPr>
        <w:drawing>
          <wp:inline distT="0" distB="0" distL="0" distR="0" wp14:anchorId="07AD971B" wp14:editId="0F9F8BF4">
            <wp:extent cx="6324600" cy="3787297"/>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32958" cy="3792302"/>
                    </a:xfrm>
                    <a:prstGeom prst="rect">
                      <a:avLst/>
                    </a:prstGeom>
                    <a:noFill/>
                  </pic:spPr>
                </pic:pic>
              </a:graphicData>
            </a:graphic>
          </wp:inline>
        </w:drawing>
      </w:r>
    </w:p>
    <w:p w14:paraId="0A3CD829" w14:textId="65F1935E" w:rsidR="00114F71" w:rsidRPr="006B47D4" w:rsidRDefault="00114F71" w:rsidP="00114F71">
      <w:pPr>
        <w:spacing w:after="100" w:afterAutospacing="1"/>
        <w:jc w:val="center"/>
        <w:rPr>
          <w:i/>
          <w:noProof/>
          <w:sz w:val="20"/>
          <w:lang w:val="da-DK"/>
        </w:rPr>
      </w:pPr>
      <w:r w:rsidRPr="006B47D4">
        <w:rPr>
          <w:i/>
          <w:noProof/>
          <w:sz w:val="20"/>
          <w:lang w:val="da-DK"/>
        </w:rPr>
        <w:t xml:space="preserve">Figur 9: De </w:t>
      </w:r>
      <w:r w:rsidR="006D7E83">
        <w:rPr>
          <w:i/>
          <w:noProof/>
          <w:sz w:val="20"/>
          <w:lang w:val="da-DK"/>
        </w:rPr>
        <w:t>primære</w:t>
      </w:r>
      <w:r w:rsidRPr="006B47D4">
        <w:rPr>
          <w:i/>
          <w:noProof/>
          <w:sz w:val="20"/>
          <w:lang w:val="da-DK"/>
        </w:rPr>
        <w:t xml:space="preserve"> bestemmelsessteder uden for EU for tilladelser i 2020.  </w:t>
      </w:r>
    </w:p>
    <w:p w14:paraId="5B3D498D" w14:textId="77777777" w:rsidR="00114F71" w:rsidRPr="006B47D4" w:rsidRDefault="00114F71" w:rsidP="00114F71">
      <w:pPr>
        <w:spacing w:after="100" w:afterAutospacing="1"/>
        <w:jc w:val="center"/>
        <w:rPr>
          <w:i/>
          <w:noProof/>
          <w:sz w:val="20"/>
          <w:lang w:val="da-DK"/>
        </w:rPr>
      </w:pPr>
    </w:p>
    <w:p w14:paraId="593B89F3" w14:textId="77777777" w:rsidR="00FA2028" w:rsidRPr="006B47D4" w:rsidRDefault="00FA2028" w:rsidP="00114F71">
      <w:pPr>
        <w:keepNext/>
        <w:jc w:val="center"/>
        <w:rPr>
          <w:noProof/>
          <w:lang w:val="da-DK"/>
        </w:rPr>
      </w:pPr>
    </w:p>
    <w:p w14:paraId="5C282669" w14:textId="75FE8D05" w:rsidR="00FA2028" w:rsidRDefault="006D7E83" w:rsidP="00114F71">
      <w:pPr>
        <w:keepNext/>
        <w:jc w:val="center"/>
        <w:rPr>
          <w:noProof/>
        </w:rPr>
      </w:pPr>
      <w:r>
        <w:rPr>
          <w:noProof/>
          <w:lang w:val="en-GB" w:eastAsia="en-GB"/>
        </w:rPr>
        <w:drawing>
          <wp:inline distT="0" distB="0" distL="0" distR="0" wp14:anchorId="6F0CBA19" wp14:editId="4E1E86AC">
            <wp:extent cx="6022340" cy="358599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48963" cy="3601848"/>
                    </a:xfrm>
                    <a:prstGeom prst="rect">
                      <a:avLst/>
                    </a:prstGeom>
                    <a:noFill/>
                  </pic:spPr>
                </pic:pic>
              </a:graphicData>
            </a:graphic>
          </wp:inline>
        </w:drawing>
      </w:r>
    </w:p>
    <w:p w14:paraId="0B568302" w14:textId="77777777" w:rsidR="00114F71" w:rsidRDefault="00114F71" w:rsidP="00114F71">
      <w:pPr>
        <w:keepNext/>
        <w:jc w:val="center"/>
        <w:rPr>
          <w:noProof/>
        </w:rPr>
      </w:pPr>
    </w:p>
    <w:p w14:paraId="10EC96AE" w14:textId="77777777" w:rsidR="00114F71" w:rsidRPr="006B47D4" w:rsidRDefault="00114F71" w:rsidP="00114F71">
      <w:pPr>
        <w:spacing w:after="100" w:afterAutospacing="1"/>
        <w:jc w:val="center"/>
        <w:rPr>
          <w:i/>
          <w:noProof/>
          <w:sz w:val="20"/>
          <w:lang w:val="da-DK"/>
        </w:rPr>
      </w:pPr>
      <w:r w:rsidRPr="006B47D4">
        <w:rPr>
          <w:i/>
          <w:noProof/>
          <w:sz w:val="20"/>
          <w:lang w:val="da-DK"/>
        </w:rPr>
        <w:t>Figur 10: Bestemmelsessteder inden for EU for tilladelser i 2020.</w:t>
      </w:r>
    </w:p>
    <w:p w14:paraId="5F5D5877" w14:textId="77777777" w:rsidR="00114F71" w:rsidRPr="006B47D4" w:rsidRDefault="00114F71" w:rsidP="00114F71">
      <w:pPr>
        <w:rPr>
          <w:b/>
          <w:noProof/>
          <w:lang w:val="da-DK"/>
        </w:rPr>
      </w:pPr>
    </w:p>
    <w:p w14:paraId="1B17C378" w14:textId="0C81BC42" w:rsidR="00114F71" w:rsidRDefault="006D7E83" w:rsidP="00114F71">
      <w:pPr>
        <w:keepNext/>
        <w:rPr>
          <w:noProof/>
        </w:rPr>
      </w:pPr>
      <w:r>
        <w:rPr>
          <w:noProof/>
          <w:lang w:val="en-GB" w:eastAsia="en-GB"/>
        </w:rPr>
        <w:drawing>
          <wp:inline distT="0" distB="0" distL="0" distR="0" wp14:anchorId="75EF31BD" wp14:editId="01F20A30">
            <wp:extent cx="6169660" cy="3473954"/>
            <wp:effectExtent l="0" t="0" r="254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76388" cy="3477743"/>
                    </a:xfrm>
                    <a:prstGeom prst="rect">
                      <a:avLst/>
                    </a:prstGeom>
                    <a:noFill/>
                  </pic:spPr>
                </pic:pic>
              </a:graphicData>
            </a:graphic>
          </wp:inline>
        </w:drawing>
      </w:r>
    </w:p>
    <w:p w14:paraId="79B29E31" w14:textId="77777777" w:rsidR="00114F71" w:rsidRPr="006B47D4" w:rsidRDefault="00114F71" w:rsidP="00114F71">
      <w:pPr>
        <w:spacing w:after="100" w:afterAutospacing="1"/>
        <w:jc w:val="center"/>
        <w:rPr>
          <w:i/>
          <w:noProof/>
          <w:sz w:val="20"/>
          <w:lang w:val="da-DK"/>
        </w:rPr>
      </w:pPr>
      <w:r w:rsidRPr="006B47D4">
        <w:rPr>
          <w:noProof/>
          <w:lang w:val="da-DK"/>
        </w:rPr>
        <w:t xml:space="preserve"> </w:t>
      </w:r>
      <w:r w:rsidRPr="006B47D4">
        <w:rPr>
          <w:noProof/>
          <w:lang w:val="da-DK"/>
        </w:rPr>
        <w:br/>
      </w:r>
      <w:r w:rsidRPr="006B47D4">
        <w:rPr>
          <w:i/>
          <w:noProof/>
          <w:sz w:val="20"/>
          <w:lang w:val="da-DK"/>
        </w:rPr>
        <w:t>Figur 11: Tilladelser fordelt på de ti kategorier i bilag I til forordningen om produkter med dobbelt anvendelse.</w:t>
      </w:r>
    </w:p>
    <w:p w14:paraId="546BC891" w14:textId="77777777" w:rsidR="00FA2028" w:rsidRPr="006B47D4" w:rsidRDefault="00FA2028" w:rsidP="00114F71">
      <w:pPr>
        <w:spacing w:after="100" w:afterAutospacing="1"/>
        <w:jc w:val="center"/>
        <w:rPr>
          <w:i/>
          <w:noProof/>
          <w:sz w:val="20"/>
          <w:lang w:val="da-DK"/>
        </w:rPr>
      </w:pPr>
    </w:p>
    <w:p w14:paraId="45FA4BCD" w14:textId="26D643CF" w:rsidR="00AA655D" w:rsidRPr="006B47D4" w:rsidRDefault="00AA655D" w:rsidP="00AA655D">
      <w:pPr>
        <w:keepNext/>
        <w:tabs>
          <w:tab w:val="left" w:pos="850"/>
        </w:tabs>
        <w:spacing w:after="120"/>
        <w:ind w:left="850" w:hanging="850"/>
        <w:jc w:val="both"/>
        <w:outlineLvl w:val="0"/>
        <w:rPr>
          <w:b/>
          <w:smallCaps/>
          <w:noProof/>
          <w:lang w:val="da-DK"/>
        </w:rPr>
      </w:pPr>
      <w:bookmarkStart w:id="10" w:name="DQCNUMB_3"/>
      <w:bookmarkEnd w:id="10"/>
      <w:r w:rsidRPr="006B47D4">
        <w:rPr>
          <w:b/>
          <w:smallCaps/>
          <w:noProof/>
          <w:lang w:val="da-DK"/>
        </w:rPr>
        <w:t>5.</w:t>
      </w:r>
      <w:r w:rsidRPr="006B47D4">
        <w:rPr>
          <w:noProof/>
          <w:lang w:val="da-DK"/>
        </w:rPr>
        <w:tab/>
      </w:r>
      <w:r w:rsidRPr="006B47D4">
        <w:rPr>
          <w:b/>
          <w:smallCaps/>
          <w:noProof/>
          <w:lang w:val="da-DK"/>
        </w:rPr>
        <w:t>Konklusion</w:t>
      </w:r>
    </w:p>
    <w:p w14:paraId="2E3ACB3E" w14:textId="77777777" w:rsidR="00B41926" w:rsidRPr="006B47D4" w:rsidRDefault="004423DD" w:rsidP="004C057A">
      <w:pPr>
        <w:jc w:val="both"/>
        <w:rPr>
          <w:noProof/>
          <w:lang w:val="da-DK"/>
        </w:rPr>
      </w:pPr>
      <w:r w:rsidRPr="006B47D4">
        <w:rPr>
          <w:noProof/>
          <w:lang w:val="da-DK"/>
        </w:rPr>
        <w:t xml:space="preserve">I forlængelse af de forskellige foranstaltninger, der blev iværksat i 2021, vil Kommissionen og medlemsstaterne fortsat fokusere på at opfylde de nye krav og mandater i henhold til den nye forordning. Dette omfatter videreførelse af arbejdet i de forskellige tekniske ekspertgrupper med henblik på øget kontrol med cyberovervågningsteknologier, øget informationsudveksling og gennemsigtighed, håndhævelse af eksportkontrol, fremspirende teknologier og udvikling af EU's kapacitetsopbygnings- og uddannelsesprogrammer for medlemsstaternes tilladelsesudstedende og håndhævende myndigheder. </w:t>
      </w:r>
    </w:p>
    <w:p w14:paraId="2093E636" w14:textId="77777777" w:rsidR="001926CB" w:rsidRPr="006B47D4" w:rsidRDefault="001926CB" w:rsidP="00CA7673">
      <w:pPr>
        <w:jc w:val="both"/>
        <w:rPr>
          <w:noProof/>
          <w:lang w:val="da-DK"/>
        </w:rPr>
      </w:pPr>
    </w:p>
    <w:p w14:paraId="64F3738A" w14:textId="60D73494" w:rsidR="00AA655D" w:rsidRPr="006B47D4" w:rsidRDefault="004C057A" w:rsidP="001926CB">
      <w:pPr>
        <w:jc w:val="both"/>
        <w:rPr>
          <w:noProof/>
          <w:lang w:val="da-DK"/>
        </w:rPr>
      </w:pPr>
      <w:r w:rsidRPr="006B47D4">
        <w:rPr>
          <w:noProof/>
          <w:lang w:val="da-DK"/>
        </w:rPr>
        <w:t>Disse EU-foranstaltninger i henhold til den nye forordning vil også gøre det muligt for EU at samarbejde mere effektivt med partnere for at fremme den globale konvergens i kontrollen, mindske handelsgnidninger og øge forudsigeligheden for virksomheder, fremme EU's værdier og opretholde international fred og sikkerhed.</w:t>
      </w:r>
    </w:p>
    <w:p w14:paraId="6AA471BC" w14:textId="77777777" w:rsidR="00B930EF" w:rsidRPr="006B47D4" w:rsidRDefault="00B930EF" w:rsidP="001926CB">
      <w:pPr>
        <w:jc w:val="both"/>
        <w:rPr>
          <w:noProof/>
          <w:lang w:val="da-DK"/>
        </w:rPr>
      </w:pPr>
    </w:p>
    <w:p w14:paraId="7315068B" w14:textId="77777777" w:rsidR="008D2CCC" w:rsidRPr="00BA5D55" w:rsidRDefault="008D2CCC" w:rsidP="008D2CCC">
      <w:pPr>
        <w:jc w:val="both"/>
        <w:rPr>
          <w:b/>
          <w:noProof/>
          <w:lang w:val="da-DK"/>
        </w:rPr>
        <w:sectPr w:rsidR="008D2CCC" w:rsidRPr="00BA5D55">
          <w:headerReference w:type="even" r:id="rId27"/>
          <w:headerReference w:type="default" r:id="rId28"/>
          <w:footerReference w:type="even" r:id="rId29"/>
          <w:footerReference w:type="default" r:id="rId30"/>
          <w:headerReference w:type="first" r:id="rId31"/>
          <w:footerReference w:type="first" r:id="rId32"/>
          <w:pgSz w:w="11906" w:h="16838"/>
          <w:pgMar w:top="1417" w:right="1417" w:bottom="1417" w:left="1417" w:header="708" w:footer="708" w:gutter="0"/>
          <w:cols w:space="720"/>
          <w:docGrid w:linePitch="360"/>
        </w:sectPr>
      </w:pPr>
    </w:p>
    <w:p w14:paraId="78A12498" w14:textId="77777777" w:rsidR="008D2CCC" w:rsidRPr="00BA5D55" w:rsidRDefault="008D2CCC" w:rsidP="008D2CCC">
      <w:pPr>
        <w:jc w:val="both"/>
        <w:rPr>
          <w:b/>
          <w:noProof/>
          <w:lang w:val="da-DK"/>
        </w:rPr>
      </w:pPr>
    </w:p>
    <w:tbl>
      <w:tblPr>
        <w:tblW w:w="15706" w:type="dxa"/>
        <w:tblInd w:w="-1387" w:type="dxa"/>
        <w:tblLayout w:type="fixed"/>
        <w:tblCellMar>
          <w:left w:w="0" w:type="dxa"/>
          <w:right w:w="0" w:type="dxa"/>
        </w:tblCellMar>
        <w:tblLook w:val="0420" w:firstRow="1" w:lastRow="0" w:firstColumn="0" w:lastColumn="0" w:noHBand="0" w:noVBand="1"/>
      </w:tblPr>
      <w:tblGrid>
        <w:gridCol w:w="1535"/>
        <w:gridCol w:w="1619"/>
        <w:gridCol w:w="1619"/>
        <w:gridCol w:w="1756"/>
        <w:gridCol w:w="1484"/>
        <w:gridCol w:w="1348"/>
        <w:gridCol w:w="1349"/>
        <w:gridCol w:w="1307"/>
        <w:gridCol w:w="738"/>
        <w:gridCol w:w="738"/>
        <w:gridCol w:w="738"/>
        <w:gridCol w:w="1475"/>
      </w:tblGrid>
      <w:tr w:rsidR="00B930EF" w:rsidRPr="00454CF6" w14:paraId="610F321C" w14:textId="77777777" w:rsidTr="00570EDA">
        <w:trPr>
          <w:trHeight w:val="811"/>
        </w:trPr>
        <w:tc>
          <w:tcPr>
            <w:tcW w:w="6529" w:type="dxa"/>
            <w:gridSpan w:val="4"/>
            <w:tcBorders>
              <w:top w:val="single" w:sz="8" w:space="0" w:color="BFBFBF"/>
              <w:left w:val="single" w:sz="6" w:space="0" w:color="FFFFFF"/>
              <w:bottom w:val="single" w:sz="8" w:space="0" w:color="BFBFBF"/>
              <w:right w:val="single" w:sz="8" w:space="0" w:color="BFBFBF"/>
            </w:tcBorders>
            <w:shd w:val="clear" w:color="auto" w:fill="FFC000"/>
            <w:tcMar>
              <w:top w:w="72" w:type="dxa"/>
              <w:left w:w="144" w:type="dxa"/>
              <w:bottom w:w="72" w:type="dxa"/>
              <w:right w:w="144" w:type="dxa"/>
            </w:tcMar>
            <w:vAlign w:val="center"/>
            <w:hideMark/>
          </w:tcPr>
          <w:p w14:paraId="078B50A6" w14:textId="77777777" w:rsidR="00B930EF" w:rsidRPr="00BA5D55" w:rsidRDefault="00B930EF" w:rsidP="007C1E5E">
            <w:pPr>
              <w:jc w:val="center"/>
              <w:rPr>
                <w:rFonts w:ascii="Arial" w:eastAsia="Times New Roman" w:hAnsi="Arial" w:cs="Arial"/>
                <w:noProof/>
                <w:color w:val="000000" w:themeColor="text1"/>
                <w:kern w:val="24"/>
                <w:sz w:val="36"/>
                <w:szCs w:val="36"/>
                <w:lang w:eastAsia="fr-BE"/>
              </w:rPr>
            </w:pPr>
            <w:r w:rsidRPr="00BA5D55">
              <w:rPr>
                <w:rFonts w:ascii="Arial" w:eastAsia="Times New Roman" w:hAnsi="Arial" w:cs="Arial"/>
                <w:noProof/>
                <w:color w:val="000000" w:themeColor="text1"/>
                <w:kern w:val="24"/>
                <w:sz w:val="36"/>
                <w:szCs w:val="36"/>
                <w:lang w:eastAsia="fr-BE"/>
              </w:rPr>
              <w:t>2021</w:t>
            </w:r>
          </w:p>
        </w:tc>
        <w:tc>
          <w:tcPr>
            <w:tcW w:w="5488" w:type="dxa"/>
            <w:gridSpan w:val="4"/>
            <w:tcBorders>
              <w:top w:val="single" w:sz="8" w:space="0" w:color="BFBFBF"/>
              <w:left w:val="single" w:sz="8" w:space="0" w:color="BFBFBF"/>
              <w:bottom w:val="single" w:sz="8" w:space="0" w:color="BFBFBF"/>
              <w:right w:val="single" w:sz="8" w:space="0" w:color="BFBFBF"/>
            </w:tcBorders>
            <w:shd w:val="clear" w:color="auto" w:fill="00B050"/>
            <w:tcMar>
              <w:top w:w="72" w:type="dxa"/>
              <w:left w:w="144" w:type="dxa"/>
              <w:bottom w:w="72" w:type="dxa"/>
              <w:right w:w="144" w:type="dxa"/>
            </w:tcMar>
            <w:vAlign w:val="center"/>
            <w:hideMark/>
          </w:tcPr>
          <w:p w14:paraId="06A1AC8D" w14:textId="77777777" w:rsidR="00B930EF" w:rsidRPr="00454CF6" w:rsidRDefault="00B930EF" w:rsidP="007C1E5E">
            <w:pPr>
              <w:jc w:val="center"/>
              <w:rPr>
                <w:rFonts w:ascii="Arial" w:eastAsia="Times New Roman" w:hAnsi="Arial" w:cs="Arial"/>
                <w:noProof/>
                <w:sz w:val="36"/>
              </w:rPr>
            </w:pPr>
            <w:r>
              <w:rPr>
                <w:rFonts w:ascii="Arial" w:hAnsi="Arial"/>
                <w:noProof/>
                <w:color w:val="000000" w:themeColor="text1"/>
                <w:sz w:val="36"/>
              </w:rPr>
              <w:t>2022</w:t>
            </w:r>
          </w:p>
        </w:tc>
        <w:tc>
          <w:tcPr>
            <w:tcW w:w="3689" w:type="dxa"/>
            <w:gridSpan w:val="4"/>
            <w:tcBorders>
              <w:top w:val="single" w:sz="8" w:space="0" w:color="BFBFBF"/>
              <w:left w:val="single" w:sz="8" w:space="0" w:color="BFBFBF"/>
              <w:bottom w:val="single" w:sz="8" w:space="0" w:color="BFBFBF"/>
              <w:right w:val="single" w:sz="8" w:space="0" w:color="BFBFBF"/>
            </w:tcBorders>
            <w:shd w:val="clear" w:color="auto" w:fill="0070C0"/>
            <w:tcMar>
              <w:top w:w="72" w:type="dxa"/>
              <w:left w:w="144" w:type="dxa"/>
              <w:bottom w:w="72" w:type="dxa"/>
              <w:right w:w="144" w:type="dxa"/>
            </w:tcMar>
            <w:vAlign w:val="center"/>
            <w:hideMark/>
          </w:tcPr>
          <w:p w14:paraId="03655233" w14:textId="77777777" w:rsidR="00B930EF" w:rsidRPr="00454CF6" w:rsidRDefault="00B930EF" w:rsidP="007C1E5E">
            <w:pPr>
              <w:jc w:val="center"/>
              <w:rPr>
                <w:rFonts w:ascii="Arial" w:eastAsia="Times New Roman" w:hAnsi="Arial" w:cs="Arial"/>
                <w:noProof/>
                <w:sz w:val="36"/>
              </w:rPr>
            </w:pPr>
            <w:r>
              <w:rPr>
                <w:rFonts w:ascii="Arial" w:hAnsi="Arial"/>
                <w:noProof/>
                <w:color w:val="000000" w:themeColor="text1"/>
                <w:sz w:val="36"/>
              </w:rPr>
              <w:t>2023</w:t>
            </w:r>
          </w:p>
        </w:tc>
      </w:tr>
      <w:tr w:rsidR="009264D9" w:rsidRPr="00454CF6" w14:paraId="3954FEB4" w14:textId="77777777" w:rsidTr="00570EDA">
        <w:trPr>
          <w:trHeight w:val="811"/>
        </w:trPr>
        <w:tc>
          <w:tcPr>
            <w:tcW w:w="1535"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1F02563B" w14:textId="77777777" w:rsidR="00B930EF" w:rsidRPr="00454CF6" w:rsidRDefault="00B930EF" w:rsidP="007C1E5E">
            <w:pPr>
              <w:jc w:val="center"/>
              <w:rPr>
                <w:rFonts w:ascii="Arial" w:eastAsia="Times New Roman" w:hAnsi="Arial" w:cs="Arial"/>
                <w:noProof/>
                <w:sz w:val="36"/>
              </w:rPr>
            </w:pPr>
            <w:r>
              <w:rPr>
                <w:rFonts w:ascii="Arial" w:hAnsi="Arial"/>
                <w:noProof/>
                <w:color w:val="000000" w:themeColor="text1"/>
              </w:rPr>
              <w:t>Q1</w:t>
            </w:r>
          </w:p>
        </w:tc>
        <w:tc>
          <w:tcPr>
            <w:tcW w:w="161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7B2EB27" w14:textId="77777777" w:rsidR="00B930EF" w:rsidRPr="00454CF6" w:rsidRDefault="00B930EF" w:rsidP="007C1E5E">
            <w:pPr>
              <w:jc w:val="center"/>
              <w:rPr>
                <w:rFonts w:ascii="Arial" w:eastAsia="Times New Roman" w:hAnsi="Arial" w:cs="Arial"/>
                <w:noProof/>
                <w:sz w:val="36"/>
              </w:rPr>
            </w:pPr>
            <w:r>
              <w:rPr>
                <w:rFonts w:ascii="Arial" w:hAnsi="Arial"/>
                <w:noProof/>
                <w:color w:val="000000" w:themeColor="text1"/>
              </w:rPr>
              <w:t>Q2</w:t>
            </w:r>
          </w:p>
        </w:tc>
        <w:tc>
          <w:tcPr>
            <w:tcW w:w="161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65F40936" w14:textId="77777777" w:rsidR="00B930EF" w:rsidRPr="00454CF6" w:rsidRDefault="00B930EF" w:rsidP="007C1E5E">
            <w:pPr>
              <w:jc w:val="center"/>
              <w:rPr>
                <w:rFonts w:ascii="Arial" w:eastAsia="Times New Roman" w:hAnsi="Arial" w:cs="Arial"/>
                <w:noProof/>
                <w:sz w:val="36"/>
              </w:rPr>
            </w:pPr>
            <w:r>
              <w:rPr>
                <w:rFonts w:ascii="Arial" w:hAnsi="Arial"/>
                <w:noProof/>
                <w:color w:val="000000" w:themeColor="text1"/>
              </w:rPr>
              <w:t>Q3</w:t>
            </w:r>
          </w:p>
        </w:tc>
        <w:tc>
          <w:tcPr>
            <w:tcW w:w="175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5E1258D9" w14:textId="77777777" w:rsidR="00B930EF" w:rsidRPr="00454CF6" w:rsidRDefault="00B930EF" w:rsidP="007C1E5E">
            <w:pPr>
              <w:jc w:val="center"/>
              <w:rPr>
                <w:rFonts w:ascii="Arial" w:eastAsia="Times New Roman" w:hAnsi="Arial" w:cs="Arial"/>
                <w:noProof/>
                <w:sz w:val="36"/>
              </w:rPr>
            </w:pPr>
            <w:r>
              <w:rPr>
                <w:rFonts w:ascii="Arial" w:hAnsi="Arial"/>
                <w:noProof/>
                <w:color w:val="000000" w:themeColor="text1"/>
              </w:rPr>
              <w:t>Q4</w:t>
            </w:r>
          </w:p>
        </w:tc>
        <w:tc>
          <w:tcPr>
            <w:tcW w:w="148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vAlign w:val="center"/>
            <w:hideMark/>
          </w:tcPr>
          <w:p w14:paraId="00E75CD2" w14:textId="77777777" w:rsidR="00B930EF" w:rsidRPr="00454CF6" w:rsidRDefault="00B930EF" w:rsidP="007C1E5E">
            <w:pPr>
              <w:jc w:val="center"/>
              <w:rPr>
                <w:rFonts w:ascii="Arial" w:eastAsia="Times New Roman" w:hAnsi="Arial" w:cs="Arial"/>
                <w:noProof/>
                <w:sz w:val="36"/>
              </w:rPr>
            </w:pPr>
            <w:r>
              <w:rPr>
                <w:rFonts w:ascii="Arial" w:hAnsi="Arial"/>
                <w:noProof/>
                <w:color w:val="000000" w:themeColor="text1"/>
              </w:rPr>
              <w:t>Q1</w:t>
            </w:r>
          </w:p>
        </w:tc>
        <w:tc>
          <w:tcPr>
            <w:tcW w:w="1348"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vAlign w:val="center"/>
            <w:hideMark/>
          </w:tcPr>
          <w:p w14:paraId="46E08B8D" w14:textId="77777777" w:rsidR="00B930EF" w:rsidRPr="00454CF6" w:rsidRDefault="00B930EF" w:rsidP="007C1E5E">
            <w:pPr>
              <w:jc w:val="center"/>
              <w:rPr>
                <w:rFonts w:ascii="Arial" w:eastAsia="Times New Roman" w:hAnsi="Arial" w:cs="Arial"/>
                <w:noProof/>
                <w:sz w:val="36"/>
              </w:rPr>
            </w:pPr>
            <w:r>
              <w:rPr>
                <w:rFonts w:ascii="Arial" w:hAnsi="Arial"/>
                <w:noProof/>
                <w:color w:val="000000" w:themeColor="text1"/>
              </w:rPr>
              <w:t>Q2</w:t>
            </w:r>
          </w:p>
        </w:tc>
        <w:tc>
          <w:tcPr>
            <w:tcW w:w="1349"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vAlign w:val="center"/>
            <w:hideMark/>
          </w:tcPr>
          <w:p w14:paraId="2F5680F5" w14:textId="77777777" w:rsidR="00B930EF" w:rsidRPr="00454CF6" w:rsidRDefault="00B930EF" w:rsidP="007C1E5E">
            <w:pPr>
              <w:jc w:val="center"/>
              <w:rPr>
                <w:rFonts w:ascii="Arial" w:eastAsia="Times New Roman" w:hAnsi="Arial" w:cs="Arial"/>
                <w:noProof/>
                <w:sz w:val="36"/>
              </w:rPr>
            </w:pPr>
            <w:r>
              <w:rPr>
                <w:rFonts w:ascii="Arial" w:hAnsi="Arial"/>
                <w:noProof/>
                <w:color w:val="000000" w:themeColor="text1"/>
              </w:rPr>
              <w:t>Q3</w:t>
            </w:r>
          </w:p>
        </w:tc>
        <w:tc>
          <w:tcPr>
            <w:tcW w:w="1307"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vAlign w:val="center"/>
            <w:hideMark/>
          </w:tcPr>
          <w:p w14:paraId="249E090D" w14:textId="77777777" w:rsidR="00B930EF" w:rsidRPr="00454CF6" w:rsidRDefault="00B930EF" w:rsidP="007C1E5E">
            <w:pPr>
              <w:jc w:val="center"/>
              <w:rPr>
                <w:rFonts w:ascii="Arial" w:eastAsia="Times New Roman" w:hAnsi="Arial" w:cs="Arial"/>
                <w:noProof/>
                <w:sz w:val="36"/>
              </w:rPr>
            </w:pPr>
            <w:r>
              <w:rPr>
                <w:rFonts w:ascii="Arial" w:hAnsi="Arial"/>
                <w:noProof/>
                <w:color w:val="000000" w:themeColor="text1"/>
              </w:rPr>
              <w:t>Q4</w:t>
            </w:r>
          </w:p>
        </w:tc>
        <w:tc>
          <w:tcPr>
            <w:tcW w:w="738"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5DCE0D97" w14:textId="77777777" w:rsidR="00B930EF" w:rsidRPr="00454CF6" w:rsidRDefault="00B930EF" w:rsidP="007C1E5E">
            <w:pPr>
              <w:jc w:val="center"/>
              <w:rPr>
                <w:rFonts w:ascii="Arial" w:eastAsia="Times New Roman" w:hAnsi="Arial" w:cs="Arial"/>
                <w:noProof/>
                <w:sz w:val="36"/>
              </w:rPr>
            </w:pPr>
            <w:r>
              <w:rPr>
                <w:rFonts w:ascii="Arial" w:hAnsi="Arial"/>
                <w:noProof/>
                <w:color w:val="000000" w:themeColor="text1"/>
              </w:rPr>
              <w:t>Q1</w:t>
            </w:r>
          </w:p>
        </w:tc>
        <w:tc>
          <w:tcPr>
            <w:tcW w:w="738"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44EC39D7" w14:textId="77777777" w:rsidR="00B930EF" w:rsidRPr="00454CF6" w:rsidRDefault="00B930EF" w:rsidP="007C1E5E">
            <w:pPr>
              <w:jc w:val="center"/>
              <w:rPr>
                <w:rFonts w:ascii="Arial" w:eastAsia="Times New Roman" w:hAnsi="Arial" w:cs="Arial"/>
                <w:noProof/>
                <w:sz w:val="36"/>
              </w:rPr>
            </w:pPr>
            <w:r>
              <w:rPr>
                <w:rFonts w:ascii="Arial" w:hAnsi="Arial"/>
                <w:noProof/>
                <w:color w:val="000000" w:themeColor="text1"/>
              </w:rPr>
              <w:t>Q2</w:t>
            </w:r>
          </w:p>
        </w:tc>
        <w:tc>
          <w:tcPr>
            <w:tcW w:w="738"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573BABB" w14:textId="77777777" w:rsidR="00B930EF" w:rsidRPr="00454CF6" w:rsidRDefault="00B930EF" w:rsidP="007C1E5E">
            <w:pPr>
              <w:jc w:val="center"/>
              <w:rPr>
                <w:rFonts w:ascii="Arial" w:eastAsia="Times New Roman" w:hAnsi="Arial" w:cs="Arial"/>
                <w:noProof/>
                <w:sz w:val="36"/>
              </w:rPr>
            </w:pPr>
            <w:r>
              <w:rPr>
                <w:rFonts w:ascii="Arial" w:hAnsi="Arial"/>
                <w:noProof/>
                <w:color w:val="000000" w:themeColor="text1"/>
              </w:rPr>
              <w:t>Q3</w:t>
            </w:r>
          </w:p>
        </w:tc>
        <w:tc>
          <w:tcPr>
            <w:tcW w:w="1475"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3CF78AB" w14:textId="77777777" w:rsidR="00B930EF" w:rsidRPr="00454CF6" w:rsidRDefault="00B930EF" w:rsidP="007C1E5E">
            <w:pPr>
              <w:jc w:val="center"/>
              <w:rPr>
                <w:rFonts w:ascii="Arial" w:eastAsia="Times New Roman" w:hAnsi="Arial" w:cs="Arial"/>
                <w:noProof/>
                <w:sz w:val="36"/>
              </w:rPr>
            </w:pPr>
            <w:r>
              <w:rPr>
                <w:rFonts w:ascii="Arial" w:hAnsi="Arial"/>
                <w:noProof/>
                <w:color w:val="000000" w:themeColor="text1"/>
              </w:rPr>
              <w:t>Q4</w:t>
            </w:r>
          </w:p>
        </w:tc>
      </w:tr>
      <w:tr w:rsidR="009264D9" w:rsidRPr="00424719" w14:paraId="33F0F9B0" w14:textId="77777777" w:rsidTr="00570EDA">
        <w:trPr>
          <w:trHeight w:val="1170"/>
        </w:trPr>
        <w:tc>
          <w:tcPr>
            <w:tcW w:w="1535"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CBC1D47" w14:textId="77777777" w:rsidR="00B930EF" w:rsidRPr="00412BA3" w:rsidRDefault="00B930EF" w:rsidP="007C1E5E">
            <w:pPr>
              <w:spacing w:line="256" w:lineRule="auto"/>
              <w:rPr>
                <w:rFonts w:ascii="Arial" w:eastAsia="Times New Roman" w:hAnsi="Arial" w:cs="Arial"/>
                <w:noProof/>
                <w:sz w:val="22"/>
                <w:szCs w:val="22"/>
              </w:rPr>
            </w:pPr>
          </w:p>
        </w:tc>
        <w:tc>
          <w:tcPr>
            <w:tcW w:w="1619" w:type="dxa"/>
            <w:tcBorders>
              <w:top w:val="single" w:sz="8" w:space="0" w:color="BFBFBF"/>
              <w:left w:val="single" w:sz="8" w:space="0" w:color="BFBFBF"/>
              <w:bottom w:val="single" w:sz="8" w:space="0" w:color="BFBFBF"/>
              <w:right w:val="single" w:sz="8" w:space="0" w:color="BFBFBF"/>
            </w:tcBorders>
            <w:shd w:val="clear" w:color="auto" w:fill="ED8D2F"/>
            <w:tcMar>
              <w:top w:w="72" w:type="dxa"/>
              <w:left w:w="144" w:type="dxa"/>
              <w:bottom w:w="72" w:type="dxa"/>
              <w:right w:w="144" w:type="dxa"/>
            </w:tcMar>
            <w:vAlign w:val="center"/>
            <w:hideMark/>
          </w:tcPr>
          <w:p w14:paraId="27BBF720" w14:textId="77777777" w:rsidR="00B930EF" w:rsidRPr="009264D9" w:rsidRDefault="00B930EF" w:rsidP="007C1E5E">
            <w:pPr>
              <w:jc w:val="center"/>
              <w:textAlignment w:val="baseline"/>
              <w:rPr>
                <w:rFonts w:ascii="Arial" w:eastAsia="Times New Roman" w:hAnsi="Arial" w:cs="Arial"/>
                <w:noProof/>
                <w:sz w:val="20"/>
                <w:lang w:val="da-DK"/>
              </w:rPr>
            </w:pPr>
            <w:r w:rsidRPr="009264D9">
              <w:rPr>
                <w:rFonts w:ascii="Calibri" w:hAnsi="Calibri"/>
                <w:noProof/>
                <w:color w:val="FFFFFF"/>
                <w:sz w:val="20"/>
                <w:lang w:val="da-DK"/>
              </w:rPr>
              <w:t>Reaktivering af ekspertgruppen vedrørende overvågningsteknologi</w:t>
            </w:r>
          </w:p>
        </w:tc>
        <w:tc>
          <w:tcPr>
            <w:tcW w:w="161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7104414B" w14:textId="562FC95C" w:rsidR="00B930EF" w:rsidRPr="00412BA3" w:rsidRDefault="00412BA3" w:rsidP="007C1E5E">
            <w:pPr>
              <w:rPr>
                <w:rFonts w:ascii="Arial" w:eastAsia="Times New Roman" w:hAnsi="Arial" w:cs="Arial"/>
                <w:noProof/>
                <w:sz w:val="22"/>
                <w:szCs w:val="22"/>
                <w:lang w:val="da-DK"/>
              </w:rPr>
            </w:pPr>
            <w:r w:rsidRPr="00412BA3">
              <w:rPr>
                <w:rFonts w:ascii="Calibri" w:hAnsi="Calibri"/>
                <w:noProof/>
                <w:sz w:val="22"/>
                <w:szCs w:val="22"/>
                <w:lang w:val="en-GB" w:eastAsia="en-GB"/>
              </w:rPr>
              <mc:AlternateContent>
                <mc:Choice Requires="wps">
                  <w:drawing>
                    <wp:anchor distT="0" distB="0" distL="114300" distR="114300" simplePos="0" relativeHeight="251587072" behindDoc="0" locked="0" layoutInCell="1" allowOverlap="1" wp14:anchorId="5143CFAE" wp14:editId="6EFF2140">
                      <wp:simplePos x="0" y="0"/>
                      <wp:positionH relativeFrom="column">
                        <wp:posOffset>-57785</wp:posOffset>
                      </wp:positionH>
                      <wp:positionV relativeFrom="paragraph">
                        <wp:posOffset>375285</wp:posOffset>
                      </wp:positionV>
                      <wp:extent cx="7959090" cy="477520"/>
                      <wp:effectExtent l="0" t="0" r="3810" b="0"/>
                      <wp:wrapNone/>
                      <wp:docPr id="2" name="Google Shape;136;p3"/>
                      <wp:cNvGraphicFramePr/>
                      <a:graphic xmlns:a="http://schemas.openxmlformats.org/drawingml/2006/main">
                        <a:graphicData uri="http://schemas.microsoft.com/office/word/2010/wordprocessingShape">
                          <wps:wsp>
                            <wps:cNvSpPr/>
                            <wps:spPr>
                              <a:xfrm>
                                <a:off x="0" y="0"/>
                                <a:ext cx="7959090" cy="477520"/>
                              </a:xfrm>
                              <a:prstGeom prst="homePlate">
                                <a:avLst>
                                  <a:gd name="adj" fmla="val 50000"/>
                                </a:avLst>
                              </a:prstGeom>
                              <a:solidFill>
                                <a:srgbClr val="ED8D2F"/>
                              </a:solidFill>
                              <a:ln>
                                <a:noFill/>
                              </a:ln>
                            </wps:spPr>
                            <wps:txbx>
                              <w:txbxContent>
                                <w:p w14:paraId="348D05ED" w14:textId="77777777" w:rsidR="00B930EF" w:rsidRPr="008D2CCC" w:rsidRDefault="00B930EF" w:rsidP="00B930EF">
                                  <w:pPr>
                                    <w:pStyle w:val="NormalWeb"/>
                                    <w:spacing w:after="0"/>
                                    <w:jc w:val="center"/>
                                    <w:textAlignment w:val="baseline"/>
                                    <w:rPr>
                                      <w:sz w:val="22"/>
                                      <w:lang w:val="da-DK"/>
                                    </w:rPr>
                                  </w:pPr>
                                  <w:r w:rsidRPr="008D2CCC">
                                    <w:rPr>
                                      <w:rFonts w:ascii="Calibri" w:hAnsi="Calibri"/>
                                      <w:color w:val="FFFFFF"/>
                                      <w:sz w:val="22"/>
                                      <w:lang w:val="da-DK"/>
                                    </w:rPr>
                                    <w:t>Teknisk støtte til artikel 5 Kontroller/offentliggørelse af "EU-overvågningsliste"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143CFA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Google Shape;136;p3" o:spid="_x0000_s1026" type="#_x0000_t15" style="position:absolute;margin-left:-4.55pt;margin-top:29.55pt;width:626.7pt;height:37.6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" adj="20952" fillcolor="#ed8d2f" stroked="f">
                      <v:textbox inset="2.53958mm,1.2694mm,2.53958mm,1.2694mm">
                        <w:txbxContent>
                          <w:p w14:paraId="348D05ED" w14:textId="77777777" w:rsidR="00B930EF" w:rsidRPr="008D2CCC" w:rsidRDefault="00B930EF" w:rsidP="00B930EF">
                            <w:pPr>
                              <w:pStyle w:val="NormalWeb"/>
                              <w:spacing w:after="0"/>
                              <w:jc w:val="center"/>
                              <w:textAlignment w:val="baseline"/>
                              <w:rPr>
                                <w:sz w:val="22"/>
                                <w:lang w:val="da-DK"/>
                              </w:rPr>
                            </w:pPr>
                            <w:r w:rsidRPr="008D2CCC">
                              <w:rPr>
                                <w:rFonts w:ascii="Calibri" w:hAnsi="Calibri"/>
                                <w:color w:val="FFFFFF"/>
                                <w:sz w:val="22"/>
                                <w:lang w:val="da-DK"/>
                              </w:rPr>
                              <w:t>Teknisk støtte til artikel 5 Kontroller/offentliggørelse af "EU-overvågningsliste"</w:t>
                            </w:r>
                          </w:p>
                        </w:txbxContent>
                      </v:textbox>
                    </v:shape>
                  </w:pict>
                </mc:Fallback>
              </mc:AlternateContent>
            </w:r>
            <w:r w:rsidR="00B930EF" w:rsidRPr="00412BA3">
              <w:rPr>
                <w:rFonts w:ascii="Calibri" w:hAnsi="Calibri"/>
                <w:noProof/>
                <w:sz w:val="22"/>
                <w:szCs w:val="22"/>
                <w:lang w:val="en-GB" w:eastAsia="en-GB"/>
              </w:rPr>
              <mc:AlternateContent>
                <mc:Choice Requires="wps">
                  <w:drawing>
                    <wp:anchor distT="0" distB="0" distL="114300" distR="114300" simplePos="0" relativeHeight="251564544" behindDoc="0" locked="0" layoutInCell="1" allowOverlap="1" wp14:anchorId="4497707B" wp14:editId="77413F51">
                      <wp:simplePos x="0" y="0"/>
                      <wp:positionH relativeFrom="column">
                        <wp:posOffset>-67945</wp:posOffset>
                      </wp:positionH>
                      <wp:positionV relativeFrom="paragraph">
                        <wp:posOffset>-48260</wp:posOffset>
                      </wp:positionV>
                      <wp:extent cx="4949190" cy="457200"/>
                      <wp:effectExtent l="0" t="0" r="3810" b="0"/>
                      <wp:wrapNone/>
                      <wp:docPr id="1" name="Google Shape;136;p3"/>
                      <wp:cNvGraphicFramePr/>
                      <a:graphic xmlns:a="http://schemas.openxmlformats.org/drawingml/2006/main">
                        <a:graphicData uri="http://schemas.microsoft.com/office/word/2010/wordprocessingShape">
                          <wps:wsp>
                            <wps:cNvSpPr/>
                            <wps:spPr>
                              <a:xfrm>
                                <a:off x="0" y="0"/>
                                <a:ext cx="4949190" cy="457200"/>
                              </a:xfrm>
                              <a:prstGeom prst="homePlate">
                                <a:avLst>
                                  <a:gd name="adj" fmla="val 50000"/>
                                </a:avLst>
                              </a:prstGeom>
                              <a:solidFill>
                                <a:srgbClr val="ED8D2F"/>
                              </a:solidFill>
                              <a:ln>
                                <a:noFill/>
                              </a:ln>
                            </wps:spPr>
                            <wps:txbx>
                              <w:txbxContent>
                                <w:p w14:paraId="4029CFA4" w14:textId="77777777" w:rsidR="00B930EF" w:rsidRPr="008D2CCC" w:rsidRDefault="00B930EF" w:rsidP="00B930EF">
                                  <w:pPr>
                                    <w:pStyle w:val="NormalWeb"/>
                                    <w:spacing w:after="0"/>
                                    <w:jc w:val="center"/>
                                    <w:textAlignment w:val="baseline"/>
                                    <w:rPr>
                                      <w:sz w:val="22"/>
                                    </w:rPr>
                                  </w:pPr>
                                  <w:r w:rsidRPr="008D2CCC">
                                    <w:rPr>
                                      <w:rFonts w:ascii="Calibri" w:hAnsi="Calibri"/>
                                      <w:color w:val="FFFFFF"/>
                                      <w:sz w:val="22"/>
                                    </w:rPr>
                                    <w:t>Due diligence-retningslinjer</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497707B" id="_x0000_s1027" type="#_x0000_t15" style="position:absolute;margin-left:-5.35pt;margin-top:-3.8pt;width:389.7pt;height:36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" adj="20602" fillcolor="#ed8d2f" stroked="f">
                      <v:textbox inset="2.53958mm,1.2694mm,2.53958mm,1.2694mm">
                        <w:txbxContent>
                          <w:p w14:paraId="4029CFA4" w14:textId="77777777" w:rsidR="00B930EF" w:rsidRPr="008D2CCC" w:rsidRDefault="00B930EF" w:rsidP="00B930EF">
                            <w:pPr>
                              <w:pStyle w:val="NormalWeb"/>
                              <w:spacing w:after="0"/>
                              <w:jc w:val="center"/>
                              <w:textAlignment w:val="baseline"/>
                              <w:rPr>
                                <w:sz w:val="22"/>
                              </w:rPr>
                            </w:pPr>
                            <w:r w:rsidRPr="008D2CCC">
                              <w:rPr>
                                <w:rFonts w:ascii="Calibri" w:hAnsi="Calibri"/>
                                <w:color w:val="FFFFFF"/>
                                <w:sz w:val="22"/>
                              </w:rPr>
                              <w:t>Due diligence-retningslinjer</w:t>
                            </w:r>
                          </w:p>
                        </w:txbxContent>
                      </v:textbox>
                    </v:shape>
                  </w:pict>
                </mc:Fallback>
              </mc:AlternateContent>
            </w:r>
            <w:r w:rsidR="00B930EF" w:rsidRPr="00412BA3">
              <w:rPr>
                <w:rFonts w:ascii="Calibri" w:hAnsi="Calibri"/>
                <w:noProof/>
                <w:sz w:val="22"/>
                <w:szCs w:val="22"/>
                <w:lang w:val="da-DK"/>
              </w:rPr>
              <w:t xml:space="preserve"> </w:t>
            </w:r>
          </w:p>
        </w:tc>
        <w:tc>
          <w:tcPr>
            <w:tcW w:w="175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4B49BCB4" w14:textId="77777777" w:rsidR="00B930EF" w:rsidRPr="00412BA3" w:rsidRDefault="00B930EF" w:rsidP="007C1E5E">
            <w:pPr>
              <w:spacing w:line="256" w:lineRule="auto"/>
              <w:rPr>
                <w:rFonts w:ascii="Arial" w:eastAsia="Times New Roman" w:hAnsi="Arial" w:cs="Arial"/>
                <w:noProof/>
                <w:sz w:val="22"/>
                <w:szCs w:val="22"/>
                <w:lang w:val="da-DK"/>
              </w:rPr>
            </w:pPr>
          </w:p>
        </w:tc>
        <w:tc>
          <w:tcPr>
            <w:tcW w:w="148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66D912F0" w14:textId="77777777" w:rsidR="00B930EF" w:rsidRPr="00412BA3" w:rsidRDefault="00B930EF" w:rsidP="007C1E5E">
            <w:pPr>
              <w:spacing w:line="256" w:lineRule="auto"/>
              <w:rPr>
                <w:rFonts w:ascii="Calibri" w:eastAsia="Calibri" w:hAnsi="Calibri"/>
                <w:noProof/>
                <w:sz w:val="22"/>
                <w:szCs w:val="22"/>
                <w:lang w:val="da-DK"/>
              </w:rPr>
            </w:pPr>
          </w:p>
        </w:tc>
        <w:tc>
          <w:tcPr>
            <w:tcW w:w="1348"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30B88151" w14:textId="77777777" w:rsidR="00B930EF" w:rsidRPr="00412BA3" w:rsidRDefault="00B930EF" w:rsidP="007C1E5E">
            <w:pPr>
              <w:spacing w:line="256" w:lineRule="auto"/>
              <w:rPr>
                <w:rFonts w:ascii="Calibri" w:eastAsia="Calibri" w:hAnsi="Calibri"/>
                <w:noProof/>
                <w:sz w:val="22"/>
                <w:szCs w:val="22"/>
                <w:lang w:val="da-DK"/>
              </w:rPr>
            </w:pPr>
          </w:p>
        </w:tc>
        <w:tc>
          <w:tcPr>
            <w:tcW w:w="1349"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3145CB21" w14:textId="77777777" w:rsidR="00B930EF" w:rsidRPr="00412BA3" w:rsidRDefault="00B930EF" w:rsidP="007C1E5E">
            <w:pPr>
              <w:spacing w:line="256" w:lineRule="auto"/>
              <w:rPr>
                <w:rFonts w:ascii="Calibri" w:eastAsia="Calibri" w:hAnsi="Calibri"/>
                <w:noProof/>
                <w:sz w:val="22"/>
                <w:szCs w:val="22"/>
                <w:lang w:val="da-DK"/>
              </w:rPr>
            </w:pPr>
          </w:p>
        </w:tc>
        <w:tc>
          <w:tcPr>
            <w:tcW w:w="1307"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5D8E8E7F" w14:textId="77777777" w:rsidR="00B930EF" w:rsidRPr="00412BA3" w:rsidRDefault="00B930EF" w:rsidP="007C1E5E">
            <w:pPr>
              <w:spacing w:line="256" w:lineRule="auto"/>
              <w:rPr>
                <w:rFonts w:ascii="Calibri" w:eastAsia="Calibri" w:hAnsi="Calibri"/>
                <w:noProof/>
                <w:sz w:val="22"/>
                <w:szCs w:val="22"/>
                <w:lang w:val="da-DK"/>
              </w:rPr>
            </w:pPr>
          </w:p>
        </w:tc>
        <w:tc>
          <w:tcPr>
            <w:tcW w:w="738"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40FD925A" w14:textId="77777777" w:rsidR="00B930EF" w:rsidRPr="00412BA3" w:rsidRDefault="00B930EF" w:rsidP="007C1E5E">
            <w:pPr>
              <w:spacing w:line="256" w:lineRule="auto"/>
              <w:rPr>
                <w:rFonts w:ascii="Calibri" w:eastAsia="Calibri" w:hAnsi="Calibri"/>
                <w:noProof/>
                <w:sz w:val="22"/>
                <w:szCs w:val="22"/>
                <w:lang w:val="da-DK"/>
              </w:rPr>
            </w:pPr>
          </w:p>
        </w:tc>
        <w:tc>
          <w:tcPr>
            <w:tcW w:w="738"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5AE455F8" w14:textId="77777777" w:rsidR="00B930EF" w:rsidRPr="00412BA3" w:rsidRDefault="00B930EF" w:rsidP="007C1E5E">
            <w:pPr>
              <w:spacing w:line="256" w:lineRule="auto"/>
              <w:rPr>
                <w:rFonts w:ascii="Calibri" w:eastAsia="Calibri" w:hAnsi="Calibri"/>
                <w:noProof/>
                <w:sz w:val="22"/>
                <w:szCs w:val="22"/>
                <w:lang w:val="da-DK"/>
              </w:rPr>
            </w:pPr>
          </w:p>
        </w:tc>
        <w:tc>
          <w:tcPr>
            <w:tcW w:w="738"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4C2EBAE" w14:textId="77777777" w:rsidR="00B930EF" w:rsidRPr="00412BA3" w:rsidRDefault="00B930EF" w:rsidP="007C1E5E">
            <w:pPr>
              <w:spacing w:line="256" w:lineRule="auto"/>
              <w:rPr>
                <w:rFonts w:ascii="Calibri" w:eastAsia="Calibri" w:hAnsi="Calibri"/>
                <w:noProof/>
                <w:sz w:val="22"/>
                <w:szCs w:val="22"/>
                <w:lang w:val="da-DK"/>
              </w:rPr>
            </w:pPr>
          </w:p>
        </w:tc>
        <w:tc>
          <w:tcPr>
            <w:tcW w:w="1475"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44D82ADB" w14:textId="77777777" w:rsidR="00B930EF" w:rsidRPr="00412BA3" w:rsidRDefault="00B930EF" w:rsidP="007C1E5E">
            <w:pPr>
              <w:spacing w:line="256" w:lineRule="auto"/>
              <w:rPr>
                <w:rFonts w:ascii="Calibri" w:eastAsia="Calibri" w:hAnsi="Calibri"/>
                <w:noProof/>
                <w:sz w:val="22"/>
                <w:szCs w:val="22"/>
                <w:lang w:val="da-DK"/>
              </w:rPr>
            </w:pPr>
          </w:p>
        </w:tc>
      </w:tr>
      <w:tr w:rsidR="009264D9" w:rsidRPr="00424719" w14:paraId="50A82EF9" w14:textId="77777777" w:rsidTr="00570EDA">
        <w:trPr>
          <w:trHeight w:val="683"/>
        </w:trPr>
        <w:tc>
          <w:tcPr>
            <w:tcW w:w="1535"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EA79E84" w14:textId="77777777" w:rsidR="00B930EF" w:rsidRPr="00412BA3" w:rsidRDefault="00B930EF" w:rsidP="007C1E5E">
            <w:pPr>
              <w:spacing w:line="256" w:lineRule="auto"/>
              <w:rPr>
                <w:rFonts w:ascii="Calibri" w:eastAsia="Calibri" w:hAnsi="Calibri"/>
                <w:noProof/>
                <w:sz w:val="22"/>
                <w:szCs w:val="22"/>
                <w:lang w:val="da-DK"/>
              </w:rPr>
            </w:pPr>
          </w:p>
        </w:tc>
        <w:tc>
          <w:tcPr>
            <w:tcW w:w="161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F791607" w14:textId="77777777" w:rsidR="00B930EF" w:rsidRPr="00412BA3" w:rsidRDefault="00B930EF" w:rsidP="007C1E5E">
            <w:pPr>
              <w:spacing w:line="256" w:lineRule="auto"/>
              <w:rPr>
                <w:rFonts w:ascii="Calibri" w:eastAsia="Calibri" w:hAnsi="Calibri"/>
                <w:noProof/>
                <w:sz w:val="22"/>
                <w:szCs w:val="22"/>
                <w:lang w:val="da-DK"/>
              </w:rPr>
            </w:pPr>
          </w:p>
        </w:tc>
        <w:tc>
          <w:tcPr>
            <w:tcW w:w="1619" w:type="dxa"/>
            <w:tcBorders>
              <w:top w:val="single" w:sz="8" w:space="0" w:color="BFBFBF"/>
              <w:left w:val="single" w:sz="8" w:space="0" w:color="BFBFBF"/>
              <w:bottom w:val="single" w:sz="8" w:space="0" w:color="BFBFBF"/>
              <w:right w:val="single" w:sz="8" w:space="0" w:color="BFBFBF"/>
            </w:tcBorders>
            <w:shd w:val="clear" w:color="auto" w:fill="002060"/>
            <w:tcMar>
              <w:top w:w="72" w:type="dxa"/>
              <w:left w:w="144" w:type="dxa"/>
              <w:bottom w:w="72" w:type="dxa"/>
              <w:right w:w="144" w:type="dxa"/>
            </w:tcMar>
            <w:vAlign w:val="center"/>
            <w:hideMark/>
          </w:tcPr>
          <w:p w14:paraId="234EEFD9" w14:textId="39BEFBE4" w:rsidR="00B930EF" w:rsidRPr="00412BA3" w:rsidRDefault="00B930EF" w:rsidP="007C1E5E">
            <w:pPr>
              <w:jc w:val="center"/>
              <w:textAlignment w:val="baseline"/>
              <w:rPr>
                <w:rFonts w:ascii="Arial" w:eastAsia="Times New Roman" w:hAnsi="Arial" w:cs="Arial"/>
                <w:noProof/>
                <w:sz w:val="22"/>
                <w:szCs w:val="22"/>
                <w:lang w:val="da-DK"/>
              </w:rPr>
            </w:pPr>
            <w:r w:rsidRPr="00412BA3">
              <w:rPr>
                <w:rFonts w:ascii="Calibri" w:hAnsi="Calibri"/>
                <w:noProof/>
                <w:color w:val="FFFFFF"/>
                <w:sz w:val="22"/>
                <w:szCs w:val="22"/>
                <w:lang w:val="da-DK"/>
              </w:rPr>
              <w:t>Nedsættelse af ekspert</w:t>
            </w:r>
            <w:r w:rsidR="009264D9">
              <w:rPr>
                <w:rFonts w:ascii="Calibri" w:hAnsi="Calibri"/>
                <w:noProof/>
                <w:color w:val="FFFFFF"/>
                <w:sz w:val="22"/>
                <w:szCs w:val="22"/>
                <w:lang w:val="da-DK"/>
              </w:rPr>
              <w:t>-</w:t>
            </w:r>
            <w:r w:rsidRPr="00412BA3">
              <w:rPr>
                <w:rFonts w:ascii="Calibri" w:hAnsi="Calibri"/>
                <w:noProof/>
                <w:color w:val="FFFFFF"/>
                <w:sz w:val="22"/>
                <w:szCs w:val="22"/>
                <w:lang w:val="da-DK"/>
              </w:rPr>
              <w:t>gruppe for ny teknologi</w:t>
            </w:r>
          </w:p>
        </w:tc>
        <w:tc>
          <w:tcPr>
            <w:tcW w:w="175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2654217D" w14:textId="77777777" w:rsidR="00B930EF" w:rsidRPr="00412BA3" w:rsidRDefault="00B930EF" w:rsidP="007C1E5E">
            <w:pPr>
              <w:rPr>
                <w:rFonts w:ascii="Arial" w:eastAsia="Times New Roman" w:hAnsi="Arial" w:cs="Arial"/>
                <w:noProof/>
                <w:sz w:val="22"/>
                <w:szCs w:val="22"/>
                <w:lang w:val="da-DK"/>
              </w:rPr>
            </w:pPr>
            <w:r w:rsidRPr="00412BA3">
              <w:rPr>
                <w:rFonts w:ascii="Calibri" w:hAnsi="Calibri"/>
                <w:noProof/>
                <w:sz w:val="22"/>
                <w:szCs w:val="22"/>
                <w:lang w:val="en-GB" w:eastAsia="en-GB"/>
              </w:rPr>
              <mc:AlternateContent>
                <mc:Choice Requires="wps">
                  <w:drawing>
                    <wp:anchor distT="0" distB="0" distL="114300" distR="114300" simplePos="0" relativeHeight="251609600" behindDoc="0" locked="0" layoutInCell="1" allowOverlap="1" wp14:anchorId="10A4D684" wp14:editId="080FAC68">
                      <wp:simplePos x="0" y="0"/>
                      <wp:positionH relativeFrom="column">
                        <wp:posOffset>-23495</wp:posOffset>
                      </wp:positionH>
                      <wp:positionV relativeFrom="paragraph">
                        <wp:posOffset>1905</wp:posOffset>
                      </wp:positionV>
                      <wp:extent cx="6973570" cy="652780"/>
                      <wp:effectExtent l="0" t="0" r="0" b="0"/>
                      <wp:wrapNone/>
                      <wp:docPr id="8" name="Google Shape;137;p3"/>
                      <wp:cNvGraphicFramePr/>
                      <a:graphic xmlns:a="http://schemas.openxmlformats.org/drawingml/2006/main">
                        <a:graphicData uri="http://schemas.microsoft.com/office/word/2010/wordprocessingShape">
                          <wps:wsp>
                            <wps:cNvSpPr/>
                            <wps:spPr>
                              <a:xfrm>
                                <a:off x="0" y="0"/>
                                <a:ext cx="6973570" cy="652780"/>
                              </a:xfrm>
                              <a:prstGeom prst="homePlate">
                                <a:avLst>
                                  <a:gd name="adj" fmla="val 50000"/>
                                </a:avLst>
                              </a:prstGeom>
                              <a:solidFill>
                                <a:srgbClr val="002060"/>
                              </a:solidFill>
                              <a:ln>
                                <a:noFill/>
                              </a:ln>
                            </wps:spPr>
                            <wps:txbx>
                              <w:txbxContent>
                                <w:p w14:paraId="40C463D9" w14:textId="77777777" w:rsidR="00B930EF" w:rsidRPr="006B47D4" w:rsidRDefault="00B930EF" w:rsidP="00B930EF">
                                  <w:pPr>
                                    <w:pStyle w:val="NormalWeb"/>
                                    <w:spacing w:after="0"/>
                                    <w:jc w:val="center"/>
                                    <w:textAlignment w:val="baseline"/>
                                    <w:rPr>
                                      <w:lang w:val="da-DK"/>
                                    </w:rPr>
                                  </w:pPr>
                                  <w:r w:rsidRPr="006B47D4">
                                    <w:rPr>
                                      <w:rFonts w:ascii="Calibri" w:hAnsi="Calibri"/>
                                      <w:color w:val="FFFFFF"/>
                                      <w:lang w:val="da-DK"/>
                                    </w:rPr>
                                    <w:t>Teknisk støtte til kontrol med fremspirende teknologier</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A4D684" id="Google Shape;137;p3" o:spid="_x0000_s1028" type="#_x0000_t15" style="position:absolute;margin-left:-1.85pt;margin-top:.15pt;width:549.1pt;height:51.4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" adj="20589" fillcolor="#002060" stroked="f">
                      <v:textbox inset="2.53958mm,1.2694mm,2.53958mm,1.2694mm">
                        <w:txbxContent>
                          <w:p w14:paraId="40C463D9" w14:textId="77777777" w:rsidR="00B930EF" w:rsidRPr="006B47D4" w:rsidRDefault="00B930EF" w:rsidP="00B930EF">
                            <w:pPr>
                              <w:pStyle w:val="NormalWeb"/>
                              <w:spacing w:after="0"/>
                              <w:jc w:val="center"/>
                              <w:textAlignment w:val="baseline"/>
                              <w:rPr>
                                <w:lang w:val="da-DK"/>
                              </w:rPr>
                            </w:pPr>
                            <w:r w:rsidRPr="006B47D4">
                              <w:rPr>
                                <w:rFonts w:ascii="Calibri" w:hAnsi="Calibri"/>
                                <w:color w:val="FFFFFF"/>
                                <w:lang w:val="da-DK"/>
                              </w:rPr>
                              <w:t>Teknisk støtte til kontrol med fremspirende teknologier</w:t>
                            </w:r>
                          </w:p>
                        </w:txbxContent>
                      </v:textbox>
                    </v:shape>
                  </w:pict>
                </mc:Fallback>
              </mc:AlternateContent>
            </w:r>
          </w:p>
        </w:tc>
        <w:tc>
          <w:tcPr>
            <w:tcW w:w="148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04958118" w14:textId="77777777" w:rsidR="00B930EF" w:rsidRPr="00412BA3" w:rsidRDefault="00B930EF" w:rsidP="007C1E5E">
            <w:pPr>
              <w:spacing w:line="256" w:lineRule="auto"/>
              <w:rPr>
                <w:rFonts w:ascii="Arial" w:eastAsia="Times New Roman" w:hAnsi="Arial" w:cs="Arial"/>
                <w:noProof/>
                <w:sz w:val="22"/>
                <w:szCs w:val="22"/>
                <w:lang w:val="da-DK"/>
              </w:rPr>
            </w:pPr>
          </w:p>
        </w:tc>
        <w:tc>
          <w:tcPr>
            <w:tcW w:w="1348"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76863089" w14:textId="77777777" w:rsidR="00B930EF" w:rsidRPr="00412BA3" w:rsidRDefault="00B930EF" w:rsidP="007C1E5E">
            <w:pPr>
              <w:spacing w:line="256" w:lineRule="auto"/>
              <w:rPr>
                <w:rFonts w:ascii="Calibri" w:eastAsia="Calibri" w:hAnsi="Calibri"/>
                <w:noProof/>
                <w:sz w:val="22"/>
                <w:szCs w:val="22"/>
                <w:lang w:val="da-DK"/>
              </w:rPr>
            </w:pPr>
          </w:p>
        </w:tc>
        <w:tc>
          <w:tcPr>
            <w:tcW w:w="1349"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1500E82A" w14:textId="77777777" w:rsidR="00B930EF" w:rsidRPr="00412BA3" w:rsidRDefault="00B930EF" w:rsidP="007C1E5E">
            <w:pPr>
              <w:spacing w:line="256" w:lineRule="auto"/>
              <w:rPr>
                <w:rFonts w:ascii="Calibri" w:eastAsia="Calibri" w:hAnsi="Calibri"/>
                <w:noProof/>
                <w:sz w:val="22"/>
                <w:szCs w:val="22"/>
                <w:lang w:val="da-DK"/>
              </w:rPr>
            </w:pPr>
          </w:p>
        </w:tc>
        <w:tc>
          <w:tcPr>
            <w:tcW w:w="1307"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5ED7586A" w14:textId="77777777" w:rsidR="00B930EF" w:rsidRPr="00412BA3" w:rsidRDefault="00B930EF" w:rsidP="007C1E5E">
            <w:pPr>
              <w:spacing w:line="256" w:lineRule="auto"/>
              <w:rPr>
                <w:rFonts w:ascii="Calibri" w:eastAsia="Calibri" w:hAnsi="Calibri"/>
                <w:noProof/>
                <w:sz w:val="22"/>
                <w:szCs w:val="22"/>
                <w:lang w:val="da-DK"/>
              </w:rPr>
            </w:pPr>
          </w:p>
        </w:tc>
        <w:tc>
          <w:tcPr>
            <w:tcW w:w="738"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667CD74" w14:textId="77777777" w:rsidR="00B930EF" w:rsidRPr="00412BA3" w:rsidRDefault="00B930EF" w:rsidP="007C1E5E">
            <w:pPr>
              <w:spacing w:line="256" w:lineRule="auto"/>
              <w:rPr>
                <w:rFonts w:ascii="Calibri" w:eastAsia="Calibri" w:hAnsi="Calibri"/>
                <w:noProof/>
                <w:sz w:val="22"/>
                <w:szCs w:val="22"/>
                <w:lang w:val="da-DK"/>
              </w:rPr>
            </w:pPr>
          </w:p>
        </w:tc>
        <w:tc>
          <w:tcPr>
            <w:tcW w:w="738"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574180AE" w14:textId="77777777" w:rsidR="00B930EF" w:rsidRPr="00412BA3" w:rsidRDefault="00B930EF" w:rsidP="007C1E5E">
            <w:pPr>
              <w:spacing w:line="256" w:lineRule="auto"/>
              <w:rPr>
                <w:rFonts w:ascii="Calibri" w:eastAsia="Calibri" w:hAnsi="Calibri"/>
                <w:noProof/>
                <w:sz w:val="22"/>
                <w:szCs w:val="22"/>
                <w:lang w:val="da-DK"/>
              </w:rPr>
            </w:pPr>
          </w:p>
        </w:tc>
        <w:tc>
          <w:tcPr>
            <w:tcW w:w="738"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6F26D21" w14:textId="77777777" w:rsidR="00B930EF" w:rsidRPr="00412BA3" w:rsidRDefault="00B930EF" w:rsidP="007C1E5E">
            <w:pPr>
              <w:spacing w:line="256" w:lineRule="auto"/>
              <w:rPr>
                <w:rFonts w:ascii="Calibri" w:eastAsia="Calibri" w:hAnsi="Calibri"/>
                <w:noProof/>
                <w:sz w:val="22"/>
                <w:szCs w:val="22"/>
                <w:lang w:val="da-DK"/>
              </w:rPr>
            </w:pPr>
          </w:p>
        </w:tc>
        <w:tc>
          <w:tcPr>
            <w:tcW w:w="1475"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1D513D45" w14:textId="77777777" w:rsidR="00B930EF" w:rsidRPr="00412BA3" w:rsidRDefault="00B930EF" w:rsidP="007C1E5E">
            <w:pPr>
              <w:spacing w:line="256" w:lineRule="auto"/>
              <w:rPr>
                <w:rFonts w:ascii="Calibri" w:eastAsia="Calibri" w:hAnsi="Calibri"/>
                <w:noProof/>
                <w:sz w:val="22"/>
                <w:szCs w:val="22"/>
                <w:lang w:val="da-DK"/>
              </w:rPr>
            </w:pPr>
          </w:p>
        </w:tc>
      </w:tr>
      <w:tr w:rsidR="009264D9" w:rsidRPr="00424719" w14:paraId="79D13B64" w14:textId="77777777" w:rsidTr="00570EDA">
        <w:trPr>
          <w:trHeight w:val="811"/>
        </w:trPr>
        <w:tc>
          <w:tcPr>
            <w:tcW w:w="1535"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5F1ED50E" w14:textId="77777777" w:rsidR="00B930EF" w:rsidRPr="00412BA3" w:rsidRDefault="00B930EF" w:rsidP="007C1E5E">
            <w:pPr>
              <w:rPr>
                <w:noProof/>
                <w:sz w:val="22"/>
                <w:szCs w:val="22"/>
                <w:lang w:val="da-DK"/>
              </w:rPr>
            </w:pPr>
            <w:r w:rsidRPr="00412BA3">
              <w:rPr>
                <w:rFonts w:ascii="Calibri" w:hAnsi="Calibri"/>
                <w:noProof/>
                <w:sz w:val="22"/>
                <w:szCs w:val="22"/>
                <w:lang w:val="en-GB" w:eastAsia="en-GB"/>
              </w:rPr>
              <mc:AlternateContent>
                <mc:Choice Requires="wps">
                  <w:drawing>
                    <wp:anchor distT="0" distB="0" distL="114300" distR="114300" simplePos="0" relativeHeight="251632128" behindDoc="0" locked="0" layoutInCell="1" allowOverlap="1" wp14:anchorId="3400B4DE" wp14:editId="6942A87A">
                      <wp:simplePos x="0" y="0"/>
                      <wp:positionH relativeFrom="column">
                        <wp:posOffset>-78740</wp:posOffset>
                      </wp:positionH>
                      <wp:positionV relativeFrom="paragraph">
                        <wp:posOffset>-7942</wp:posOffset>
                      </wp:positionV>
                      <wp:extent cx="9725660" cy="552178"/>
                      <wp:effectExtent l="0" t="0" r="8890" b="635"/>
                      <wp:wrapNone/>
                      <wp:docPr id="5" name="Google Shape;137;p3"/>
                      <wp:cNvGraphicFramePr/>
                      <a:graphic xmlns:a="http://schemas.openxmlformats.org/drawingml/2006/main">
                        <a:graphicData uri="http://schemas.microsoft.com/office/word/2010/wordprocessingShape">
                          <wps:wsp>
                            <wps:cNvSpPr/>
                            <wps:spPr>
                              <a:xfrm>
                                <a:off x="0" y="0"/>
                                <a:ext cx="9725660" cy="552178"/>
                              </a:xfrm>
                              <a:prstGeom prst="homePlate">
                                <a:avLst>
                                  <a:gd name="adj" fmla="val 50000"/>
                                </a:avLst>
                              </a:prstGeom>
                              <a:solidFill>
                                <a:srgbClr val="034EA2">
                                  <a:lumMod val="40000"/>
                                  <a:lumOff val="60000"/>
                                </a:srgbClr>
                              </a:solidFill>
                              <a:ln>
                                <a:noFill/>
                              </a:ln>
                            </wps:spPr>
                            <wps:txbx>
                              <w:txbxContent>
                                <w:p w14:paraId="69350C4B" w14:textId="77777777" w:rsidR="00B930EF" w:rsidRPr="006B47D4" w:rsidRDefault="00B930EF" w:rsidP="00B930EF">
                                  <w:pPr>
                                    <w:pStyle w:val="NormalWeb"/>
                                    <w:spacing w:after="0"/>
                                    <w:jc w:val="center"/>
                                    <w:textAlignment w:val="baseline"/>
                                    <w:rPr>
                                      <w:lang w:val="da-DK"/>
                                    </w:rPr>
                                  </w:pPr>
                                  <w:r w:rsidRPr="006B47D4">
                                    <w:rPr>
                                      <w:rFonts w:ascii="Calibri" w:hAnsi="Calibri"/>
                                      <w:color w:val="FFFFFF"/>
                                      <w:lang w:val="da-DK"/>
                                    </w:rPr>
                                    <w:t>Samarbejde med partnere om cyberovervågningsprodukter og nye teknologier inden for andre spørgsmål (USA, Japan)</w:t>
                                  </w:r>
                                </w:p>
                              </w:txbxContent>
                            </wps:txbx>
                            <wps:bodyPr spcFirstLastPara="1" wrap="square" lIns="91425" tIns="45700" rIns="91425" bIns="45700" anchor="ctr" anchorCtr="0">
                              <a:noAutofit/>
                            </wps:bodyPr>
                          </wps:wsp>
                        </a:graphicData>
                      </a:graphic>
                      <wp14:sizeRelH relativeFrom="margin">
                        <wp14:pctWidth>0</wp14:pctWidth>
                      </wp14:sizeRelH>
                      <wp14:sizeRelV relativeFrom="page">
                        <wp14:pctHeight>0</wp14:pctHeight>
                      </wp14:sizeRelV>
                    </wp:anchor>
                  </w:drawing>
                </mc:Choice>
                <mc:Fallback>
                  <w:pict>
                    <v:shape w14:anchorId="3400B4DE" id="_x0000_s1029" type="#_x0000_t15" style="position:absolute;margin-left:-6.2pt;margin-top:-.65pt;width:765.8pt;height:43.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" adj="20987" fillcolor="#78b6fc" stroked="f">
                      <v:textbox inset="2.53958mm,1.2694mm,2.53958mm,1.2694mm">
                        <w:txbxContent>
                          <w:p w14:paraId="69350C4B" w14:textId="77777777" w:rsidR="00B930EF" w:rsidRPr="006B47D4" w:rsidRDefault="00B930EF" w:rsidP="00B930EF">
                            <w:pPr>
                              <w:pStyle w:val="NormalWeb"/>
                              <w:spacing w:after="0"/>
                              <w:jc w:val="center"/>
                              <w:textAlignment w:val="baseline"/>
                              <w:rPr>
                                <w:lang w:val="da-DK"/>
                              </w:rPr>
                            </w:pPr>
                            <w:r w:rsidRPr="006B47D4">
                              <w:rPr>
                                <w:rFonts w:ascii="Calibri" w:hAnsi="Calibri"/>
                                <w:color w:val="FFFFFF"/>
                                <w:lang w:val="da-DK"/>
                              </w:rPr>
                              <w:t>Samarbejde med partnere om cyberovervågningsprodukter og nye teknologier inden for andre spørgsmål (USA, Japan)</w:t>
                            </w:r>
                          </w:p>
                        </w:txbxContent>
                      </v:textbox>
                    </v:shape>
                  </w:pict>
                </mc:Fallback>
              </mc:AlternateContent>
            </w:r>
          </w:p>
        </w:tc>
        <w:tc>
          <w:tcPr>
            <w:tcW w:w="161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CE068AE" w14:textId="77777777" w:rsidR="00B930EF" w:rsidRPr="00412BA3" w:rsidRDefault="00B930EF" w:rsidP="007C1E5E">
            <w:pPr>
              <w:spacing w:line="256" w:lineRule="auto"/>
              <w:rPr>
                <w:noProof/>
                <w:sz w:val="22"/>
                <w:szCs w:val="22"/>
                <w:lang w:val="da-DK"/>
              </w:rPr>
            </w:pPr>
          </w:p>
        </w:tc>
        <w:tc>
          <w:tcPr>
            <w:tcW w:w="161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81CB8F3" w14:textId="77777777" w:rsidR="00B930EF" w:rsidRPr="00412BA3" w:rsidRDefault="00B930EF" w:rsidP="007C1E5E">
            <w:pPr>
              <w:spacing w:line="256" w:lineRule="auto"/>
              <w:rPr>
                <w:rFonts w:ascii="Calibri" w:eastAsia="Calibri" w:hAnsi="Calibri"/>
                <w:noProof/>
                <w:sz w:val="22"/>
                <w:szCs w:val="22"/>
                <w:lang w:val="da-DK"/>
              </w:rPr>
            </w:pPr>
          </w:p>
        </w:tc>
        <w:tc>
          <w:tcPr>
            <w:tcW w:w="175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50EFFEAB" w14:textId="77777777" w:rsidR="00B930EF" w:rsidRPr="00412BA3" w:rsidRDefault="00B930EF" w:rsidP="007C1E5E">
            <w:pPr>
              <w:spacing w:line="256" w:lineRule="auto"/>
              <w:rPr>
                <w:rFonts w:ascii="Calibri" w:eastAsia="Calibri" w:hAnsi="Calibri"/>
                <w:noProof/>
                <w:sz w:val="22"/>
                <w:szCs w:val="22"/>
                <w:lang w:val="da-DK"/>
              </w:rPr>
            </w:pPr>
          </w:p>
        </w:tc>
        <w:tc>
          <w:tcPr>
            <w:tcW w:w="148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2209CF66" w14:textId="77777777" w:rsidR="00B930EF" w:rsidRPr="00412BA3" w:rsidRDefault="00B930EF" w:rsidP="007C1E5E">
            <w:pPr>
              <w:spacing w:line="256" w:lineRule="auto"/>
              <w:rPr>
                <w:rFonts w:ascii="Calibri" w:eastAsia="Calibri" w:hAnsi="Calibri"/>
                <w:noProof/>
                <w:sz w:val="22"/>
                <w:szCs w:val="22"/>
                <w:lang w:val="da-DK"/>
              </w:rPr>
            </w:pPr>
          </w:p>
        </w:tc>
        <w:tc>
          <w:tcPr>
            <w:tcW w:w="1348"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6D663765" w14:textId="77777777" w:rsidR="00B930EF" w:rsidRPr="00412BA3" w:rsidRDefault="00B930EF" w:rsidP="007C1E5E">
            <w:pPr>
              <w:spacing w:line="256" w:lineRule="auto"/>
              <w:rPr>
                <w:rFonts w:ascii="Calibri" w:eastAsia="Calibri" w:hAnsi="Calibri"/>
                <w:noProof/>
                <w:sz w:val="22"/>
                <w:szCs w:val="22"/>
                <w:lang w:val="da-DK"/>
              </w:rPr>
            </w:pPr>
          </w:p>
        </w:tc>
        <w:tc>
          <w:tcPr>
            <w:tcW w:w="1349"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05681881" w14:textId="77777777" w:rsidR="00B930EF" w:rsidRPr="00412BA3" w:rsidRDefault="00B930EF" w:rsidP="007C1E5E">
            <w:pPr>
              <w:spacing w:line="256" w:lineRule="auto"/>
              <w:rPr>
                <w:rFonts w:ascii="Calibri" w:eastAsia="Calibri" w:hAnsi="Calibri"/>
                <w:noProof/>
                <w:sz w:val="22"/>
                <w:szCs w:val="22"/>
                <w:lang w:val="da-DK"/>
              </w:rPr>
            </w:pPr>
          </w:p>
        </w:tc>
        <w:tc>
          <w:tcPr>
            <w:tcW w:w="1307"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0580B541" w14:textId="77777777" w:rsidR="00B930EF" w:rsidRPr="00412BA3" w:rsidRDefault="00B930EF" w:rsidP="007C1E5E">
            <w:pPr>
              <w:spacing w:line="256" w:lineRule="auto"/>
              <w:rPr>
                <w:rFonts w:ascii="Calibri" w:eastAsia="Calibri" w:hAnsi="Calibri"/>
                <w:noProof/>
                <w:sz w:val="22"/>
                <w:szCs w:val="22"/>
                <w:lang w:val="da-DK"/>
              </w:rPr>
            </w:pPr>
          </w:p>
        </w:tc>
        <w:tc>
          <w:tcPr>
            <w:tcW w:w="738"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5B62E6B" w14:textId="77777777" w:rsidR="00B930EF" w:rsidRPr="00412BA3" w:rsidRDefault="00B930EF" w:rsidP="007C1E5E">
            <w:pPr>
              <w:spacing w:line="256" w:lineRule="auto"/>
              <w:rPr>
                <w:rFonts w:ascii="Calibri" w:eastAsia="Calibri" w:hAnsi="Calibri"/>
                <w:noProof/>
                <w:sz w:val="22"/>
                <w:szCs w:val="22"/>
                <w:lang w:val="da-DK"/>
              </w:rPr>
            </w:pPr>
          </w:p>
        </w:tc>
        <w:tc>
          <w:tcPr>
            <w:tcW w:w="738"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291F945E" w14:textId="77777777" w:rsidR="00B930EF" w:rsidRPr="00412BA3" w:rsidRDefault="00B930EF" w:rsidP="007C1E5E">
            <w:pPr>
              <w:spacing w:line="256" w:lineRule="auto"/>
              <w:rPr>
                <w:rFonts w:ascii="Calibri" w:eastAsia="Calibri" w:hAnsi="Calibri"/>
                <w:noProof/>
                <w:sz w:val="22"/>
                <w:szCs w:val="22"/>
                <w:lang w:val="da-DK"/>
              </w:rPr>
            </w:pPr>
          </w:p>
        </w:tc>
        <w:tc>
          <w:tcPr>
            <w:tcW w:w="738"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B8B974A" w14:textId="77777777" w:rsidR="00B930EF" w:rsidRPr="00412BA3" w:rsidRDefault="00B930EF" w:rsidP="007C1E5E">
            <w:pPr>
              <w:spacing w:line="256" w:lineRule="auto"/>
              <w:rPr>
                <w:rFonts w:ascii="Calibri" w:eastAsia="Calibri" w:hAnsi="Calibri"/>
                <w:noProof/>
                <w:sz w:val="22"/>
                <w:szCs w:val="22"/>
                <w:lang w:val="da-DK"/>
              </w:rPr>
            </w:pPr>
          </w:p>
        </w:tc>
        <w:tc>
          <w:tcPr>
            <w:tcW w:w="1475"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7537D41C" w14:textId="77777777" w:rsidR="00B930EF" w:rsidRPr="00412BA3" w:rsidRDefault="00B930EF" w:rsidP="007C1E5E">
            <w:pPr>
              <w:spacing w:line="256" w:lineRule="auto"/>
              <w:rPr>
                <w:rFonts w:ascii="Calibri" w:eastAsia="Calibri" w:hAnsi="Calibri"/>
                <w:noProof/>
                <w:sz w:val="22"/>
                <w:szCs w:val="22"/>
                <w:lang w:val="da-DK"/>
              </w:rPr>
            </w:pPr>
          </w:p>
        </w:tc>
      </w:tr>
      <w:tr w:rsidR="009264D9" w:rsidRPr="00424719" w14:paraId="451A2144" w14:textId="77777777" w:rsidTr="00570EDA">
        <w:trPr>
          <w:trHeight w:val="1077"/>
        </w:trPr>
        <w:tc>
          <w:tcPr>
            <w:tcW w:w="1535"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6AE06A08" w14:textId="77777777" w:rsidR="00B930EF" w:rsidRPr="00412BA3" w:rsidRDefault="00B930EF" w:rsidP="007C1E5E">
            <w:pPr>
              <w:spacing w:line="256" w:lineRule="auto"/>
              <w:rPr>
                <w:rFonts w:ascii="Calibri" w:eastAsia="Calibri" w:hAnsi="Calibri"/>
                <w:noProof/>
                <w:sz w:val="22"/>
                <w:szCs w:val="22"/>
                <w:lang w:val="da-DK"/>
              </w:rPr>
            </w:pPr>
          </w:p>
        </w:tc>
        <w:tc>
          <w:tcPr>
            <w:tcW w:w="161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E5094BD" w14:textId="77777777" w:rsidR="00B930EF" w:rsidRPr="00412BA3" w:rsidRDefault="00B930EF" w:rsidP="007C1E5E">
            <w:pPr>
              <w:spacing w:line="256" w:lineRule="auto"/>
              <w:rPr>
                <w:rFonts w:ascii="Calibri" w:eastAsia="Calibri" w:hAnsi="Calibri"/>
                <w:noProof/>
                <w:sz w:val="22"/>
                <w:szCs w:val="22"/>
                <w:lang w:val="da-DK"/>
              </w:rPr>
            </w:pPr>
          </w:p>
        </w:tc>
        <w:tc>
          <w:tcPr>
            <w:tcW w:w="1619" w:type="dxa"/>
            <w:tcBorders>
              <w:top w:val="single" w:sz="8" w:space="0" w:color="BFBFBF"/>
              <w:left w:val="single" w:sz="8" w:space="0" w:color="BFBFBF"/>
              <w:bottom w:val="single" w:sz="8" w:space="0" w:color="BFBFBF"/>
              <w:right w:val="single" w:sz="8" w:space="0" w:color="BFBFBF"/>
            </w:tcBorders>
            <w:shd w:val="clear" w:color="auto" w:fill="FFFFFF" w:themeFill="background1"/>
            <w:tcMar>
              <w:top w:w="72" w:type="dxa"/>
              <w:left w:w="144" w:type="dxa"/>
              <w:bottom w:w="72" w:type="dxa"/>
              <w:right w:w="144" w:type="dxa"/>
            </w:tcMar>
            <w:hideMark/>
          </w:tcPr>
          <w:p w14:paraId="3466FCCA" w14:textId="77777777" w:rsidR="00B930EF" w:rsidRPr="00412BA3" w:rsidRDefault="00B930EF" w:rsidP="007C1E5E">
            <w:pPr>
              <w:jc w:val="center"/>
              <w:textAlignment w:val="baseline"/>
              <w:rPr>
                <w:rFonts w:ascii="Arial" w:eastAsia="Times New Roman" w:hAnsi="Arial" w:cs="Arial"/>
                <w:noProof/>
                <w:sz w:val="22"/>
                <w:szCs w:val="22"/>
                <w:lang w:val="da-DK"/>
              </w:rPr>
            </w:pPr>
          </w:p>
        </w:tc>
        <w:tc>
          <w:tcPr>
            <w:tcW w:w="175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6DFC9AF6" w14:textId="2295F050" w:rsidR="00B930EF" w:rsidRPr="00412BA3" w:rsidRDefault="00B930EF" w:rsidP="007C1E5E">
            <w:pPr>
              <w:rPr>
                <w:rFonts w:ascii="Arial" w:eastAsia="Times New Roman" w:hAnsi="Arial" w:cs="Arial"/>
                <w:noProof/>
                <w:sz w:val="22"/>
                <w:szCs w:val="22"/>
                <w:lang w:val="da-DK"/>
              </w:rPr>
            </w:pPr>
            <w:r w:rsidRPr="00412BA3">
              <w:rPr>
                <w:rFonts w:ascii="Calibri" w:hAnsi="Calibri"/>
                <w:noProof/>
                <w:sz w:val="22"/>
                <w:szCs w:val="22"/>
                <w:lang w:val="en-GB" w:eastAsia="en-GB"/>
              </w:rPr>
              <mc:AlternateContent>
                <mc:Choice Requires="wps">
                  <w:drawing>
                    <wp:anchor distT="0" distB="0" distL="114300" distR="114300" simplePos="0" relativeHeight="251654656" behindDoc="0" locked="0" layoutInCell="1" allowOverlap="1" wp14:anchorId="798C1E28" wp14:editId="5772B6DE">
                      <wp:simplePos x="0" y="0"/>
                      <wp:positionH relativeFrom="column">
                        <wp:posOffset>879693</wp:posOffset>
                      </wp:positionH>
                      <wp:positionV relativeFrom="paragraph">
                        <wp:posOffset>-67149</wp:posOffset>
                      </wp:positionV>
                      <wp:extent cx="3534770" cy="668740"/>
                      <wp:effectExtent l="0" t="0" r="8890" b="0"/>
                      <wp:wrapNone/>
                      <wp:docPr id="6" name="Google Shape;141;p3"/>
                      <wp:cNvGraphicFramePr/>
                      <a:graphic xmlns:a="http://schemas.openxmlformats.org/drawingml/2006/main">
                        <a:graphicData uri="http://schemas.microsoft.com/office/word/2010/wordprocessingShape">
                          <wps:wsp>
                            <wps:cNvSpPr/>
                            <wps:spPr>
                              <a:xfrm>
                                <a:off x="0" y="0"/>
                                <a:ext cx="3534770" cy="668740"/>
                              </a:xfrm>
                              <a:prstGeom prst="homePlate">
                                <a:avLst>
                                  <a:gd name="adj" fmla="val 50000"/>
                                </a:avLst>
                              </a:prstGeom>
                              <a:solidFill>
                                <a:srgbClr val="6AA84F"/>
                              </a:solidFill>
                              <a:ln>
                                <a:noFill/>
                              </a:ln>
                            </wps:spPr>
                            <wps:txbx>
                              <w:txbxContent>
                                <w:p w14:paraId="43D5E9F3" w14:textId="77777777" w:rsidR="00B930EF" w:rsidRPr="006B47D4" w:rsidRDefault="00B930EF" w:rsidP="00B930EF">
                                  <w:pPr>
                                    <w:pStyle w:val="NormalWeb"/>
                                    <w:spacing w:after="0"/>
                                    <w:jc w:val="center"/>
                                    <w:textAlignment w:val="baseline"/>
                                    <w:rPr>
                                      <w:lang w:val="da-DK"/>
                                    </w:rPr>
                                  </w:pPr>
                                  <w:r w:rsidRPr="006B47D4">
                                    <w:rPr>
                                      <w:rFonts w:ascii="Calibri" w:hAnsi="Calibri"/>
                                      <w:color w:val="FFFFFF"/>
                                      <w:sz w:val="22"/>
                                      <w:lang w:val="da-DK"/>
                                    </w:rPr>
                                    <w:t>Udvikling af særlige IT-værktøjer og udvikling af retningslinjer for gennemsigtighed</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8C1E28" id="Google Shape;141;p3" o:spid="_x0000_s1030" type="#_x0000_t15" style="position:absolute;margin-left:69.25pt;margin-top:-5.3pt;width:278.35pt;height:5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" adj="19557" fillcolor="#6aa84f" stroked="f">
                      <v:textbox inset="2.53958mm,1.2694mm,2.53958mm,1.2694mm">
                        <w:txbxContent>
                          <w:p w14:paraId="43D5E9F3" w14:textId="77777777" w:rsidR="00B930EF" w:rsidRPr="006B47D4" w:rsidRDefault="00B930EF" w:rsidP="00B930EF">
                            <w:pPr>
                              <w:pStyle w:val="NormalWeb"/>
                              <w:spacing w:after="0"/>
                              <w:jc w:val="center"/>
                              <w:textAlignment w:val="baseline"/>
                              <w:rPr>
                                <w:lang w:val="da-DK"/>
                              </w:rPr>
                            </w:pPr>
                            <w:r w:rsidRPr="006B47D4">
                              <w:rPr>
                                <w:rFonts w:ascii="Calibri" w:hAnsi="Calibri"/>
                                <w:color w:val="FFFFFF"/>
                                <w:sz w:val="22"/>
                                <w:lang w:val="da-DK"/>
                              </w:rPr>
                              <w:t>Udvikling af særlige IT-værktøjer og udvikling af retningslinjer for gennemsigtighed</w:t>
                            </w:r>
                          </w:p>
                        </w:txbxContent>
                      </v:textbox>
                    </v:shape>
                  </w:pict>
                </mc:Fallback>
              </mc:AlternateContent>
            </w:r>
            <w:r w:rsidRPr="00412BA3">
              <w:rPr>
                <w:rFonts w:ascii="Calibri" w:hAnsi="Calibri"/>
                <w:noProof/>
                <w:color w:val="FFFFFF"/>
                <w:sz w:val="22"/>
                <w:szCs w:val="22"/>
                <w:lang w:val="da-DK"/>
              </w:rPr>
              <w:t>Nedsættelse af t</w:t>
            </w:r>
            <w:r w:rsidR="009264D9">
              <w:rPr>
                <w:rFonts w:ascii="Calibri" w:hAnsi="Calibri"/>
                <w:noProof/>
                <w:color w:val="FFFFFF"/>
                <w:sz w:val="22"/>
                <w:szCs w:val="22"/>
                <w:lang w:val="da-DK"/>
              </w:rPr>
              <w:t>eknisk gruppe for gennemsigtigh</w:t>
            </w:r>
            <w:r w:rsidRPr="00412BA3">
              <w:rPr>
                <w:rFonts w:ascii="Calibri" w:hAnsi="Calibri"/>
                <w:noProof/>
                <w:color w:val="FFFFFF"/>
                <w:sz w:val="22"/>
                <w:szCs w:val="22"/>
                <w:lang w:val="da-DK"/>
              </w:rPr>
              <w:t>d</w:t>
            </w:r>
            <w:r w:rsidRPr="00412BA3">
              <w:rPr>
                <w:rFonts w:ascii="Calibri" w:hAnsi="Calibri"/>
                <w:noProof/>
                <w:sz w:val="22"/>
                <w:szCs w:val="22"/>
                <w:lang w:val="da-DK"/>
              </w:rPr>
              <w:t xml:space="preserve"> </w:t>
            </w:r>
          </w:p>
        </w:tc>
        <w:tc>
          <w:tcPr>
            <w:tcW w:w="148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0ED1B772" w14:textId="77777777" w:rsidR="00B930EF" w:rsidRPr="00412BA3" w:rsidRDefault="00B930EF" w:rsidP="007C1E5E">
            <w:pPr>
              <w:spacing w:line="256" w:lineRule="auto"/>
              <w:rPr>
                <w:rFonts w:ascii="Arial" w:eastAsia="Times New Roman" w:hAnsi="Arial" w:cs="Arial"/>
                <w:noProof/>
                <w:sz w:val="22"/>
                <w:szCs w:val="22"/>
                <w:lang w:val="da-DK"/>
              </w:rPr>
            </w:pPr>
          </w:p>
        </w:tc>
        <w:tc>
          <w:tcPr>
            <w:tcW w:w="1348"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1E774F6E" w14:textId="77777777" w:rsidR="00B930EF" w:rsidRPr="00412BA3" w:rsidRDefault="00B930EF" w:rsidP="007C1E5E">
            <w:pPr>
              <w:spacing w:line="256" w:lineRule="auto"/>
              <w:rPr>
                <w:rFonts w:ascii="Calibri" w:eastAsia="Calibri" w:hAnsi="Calibri"/>
                <w:noProof/>
                <w:sz w:val="22"/>
                <w:szCs w:val="22"/>
                <w:lang w:val="da-DK"/>
              </w:rPr>
            </w:pPr>
          </w:p>
        </w:tc>
        <w:tc>
          <w:tcPr>
            <w:tcW w:w="1349"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622EFF95" w14:textId="77777777" w:rsidR="00B930EF" w:rsidRPr="00412BA3" w:rsidRDefault="00B930EF" w:rsidP="007C1E5E">
            <w:pPr>
              <w:spacing w:line="256" w:lineRule="auto"/>
              <w:rPr>
                <w:rFonts w:ascii="Calibri" w:eastAsia="Calibri" w:hAnsi="Calibri"/>
                <w:noProof/>
                <w:sz w:val="22"/>
                <w:szCs w:val="22"/>
                <w:lang w:val="da-DK"/>
              </w:rPr>
            </w:pPr>
          </w:p>
        </w:tc>
        <w:tc>
          <w:tcPr>
            <w:tcW w:w="1307"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400FE20D" w14:textId="77777777" w:rsidR="00B930EF" w:rsidRPr="00412BA3" w:rsidRDefault="00B930EF" w:rsidP="007C1E5E">
            <w:pPr>
              <w:spacing w:line="256" w:lineRule="auto"/>
              <w:rPr>
                <w:rFonts w:ascii="Calibri" w:eastAsia="Calibri" w:hAnsi="Calibri"/>
                <w:noProof/>
                <w:sz w:val="22"/>
                <w:szCs w:val="22"/>
                <w:lang w:val="da-DK"/>
              </w:rPr>
            </w:pPr>
          </w:p>
        </w:tc>
        <w:tc>
          <w:tcPr>
            <w:tcW w:w="738"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C5FEE48" w14:textId="77777777" w:rsidR="00B930EF" w:rsidRPr="00412BA3" w:rsidRDefault="00B930EF" w:rsidP="007C1E5E">
            <w:pPr>
              <w:rPr>
                <w:noProof/>
                <w:sz w:val="22"/>
                <w:szCs w:val="22"/>
                <w:lang w:val="da-DK"/>
              </w:rPr>
            </w:pPr>
            <w:r w:rsidRPr="00412BA3">
              <w:rPr>
                <w:rFonts w:ascii="Calibri" w:hAnsi="Calibri"/>
                <w:noProof/>
                <w:sz w:val="22"/>
                <w:szCs w:val="22"/>
                <w:lang w:val="en-GB" w:eastAsia="en-GB"/>
              </w:rPr>
              <mc:AlternateContent>
                <mc:Choice Requires="wps">
                  <w:drawing>
                    <wp:anchor distT="0" distB="0" distL="114300" distR="114300" simplePos="0" relativeHeight="251724288" behindDoc="0" locked="0" layoutInCell="1" allowOverlap="1" wp14:anchorId="037D0E30" wp14:editId="3B5F0970">
                      <wp:simplePos x="0" y="0"/>
                      <wp:positionH relativeFrom="column">
                        <wp:posOffset>60183</wp:posOffset>
                      </wp:positionH>
                      <wp:positionV relativeFrom="paragraph">
                        <wp:posOffset>-67150</wp:posOffset>
                      </wp:positionV>
                      <wp:extent cx="2097405" cy="668655"/>
                      <wp:effectExtent l="0" t="0" r="0" b="0"/>
                      <wp:wrapNone/>
                      <wp:docPr id="11" name="Google Shape;141;p3"/>
                      <wp:cNvGraphicFramePr/>
                      <a:graphic xmlns:a="http://schemas.openxmlformats.org/drawingml/2006/main">
                        <a:graphicData uri="http://schemas.microsoft.com/office/word/2010/wordprocessingShape">
                          <wps:wsp>
                            <wps:cNvSpPr/>
                            <wps:spPr>
                              <a:xfrm>
                                <a:off x="0" y="0"/>
                                <a:ext cx="2097405" cy="668655"/>
                              </a:xfrm>
                              <a:prstGeom prst="homePlate">
                                <a:avLst>
                                  <a:gd name="adj" fmla="val 50000"/>
                                </a:avLst>
                              </a:prstGeom>
                              <a:solidFill>
                                <a:srgbClr val="6AA84F"/>
                              </a:solidFill>
                              <a:ln>
                                <a:noFill/>
                              </a:ln>
                            </wps:spPr>
                            <wps:txbx>
                              <w:txbxContent>
                                <w:p w14:paraId="5449E716" w14:textId="44C6254F" w:rsidR="00B930EF" w:rsidRDefault="00B930EF" w:rsidP="00B930EF">
                                  <w:pPr>
                                    <w:pStyle w:val="NormalWeb"/>
                                    <w:spacing w:after="0"/>
                                    <w:jc w:val="center"/>
                                    <w:textAlignment w:val="baseline"/>
                                  </w:pPr>
                                  <w:r>
                                    <w:rPr>
                                      <w:rFonts w:ascii="Calibri" w:hAnsi="Calibri"/>
                                      <w:color w:val="FFFFFF"/>
                                      <w:sz w:val="22"/>
                                    </w:rPr>
                                    <w:t xml:space="preserve">Årsrapport 2023 </w:t>
                                  </w:r>
                                  <w:r w:rsidR="009264D9">
                                    <w:rPr>
                                      <w:rFonts w:ascii="Calibri" w:hAnsi="Calibri"/>
                                      <w:color w:val="FFFFFF"/>
                                      <w:sz w:val="22"/>
                                    </w:rPr>
                                    <w:br/>
                                  </w:r>
                                  <w:r>
                                    <w:rPr>
                                      <w:rFonts w:ascii="Calibri" w:hAnsi="Calibri"/>
                                      <w:color w:val="FFFFFF"/>
                                      <w:sz w:val="22"/>
                                    </w:rPr>
                                    <w:t>(inkl. data for 2022)</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7D0E30" id="_x0000_s1031" type="#_x0000_t15" style="position:absolute;margin-left:4.75pt;margin-top:-5.3pt;width:165.15pt;height:52.6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" adj="18157" fillcolor="#6aa84f" stroked="f">
                      <v:textbox inset="2.53958mm,1.2694mm,2.53958mm,1.2694mm">
                        <w:txbxContent>
                          <w:p w14:paraId="5449E716" w14:textId="44C6254F" w:rsidR="00B930EF" w:rsidRDefault="00B930EF" w:rsidP="00B930EF">
                            <w:pPr>
                              <w:pStyle w:val="NormalWeb"/>
                              <w:spacing w:after="0"/>
                              <w:jc w:val="center"/>
                              <w:textAlignment w:val="baseline"/>
                            </w:pPr>
                            <w:r>
                              <w:rPr>
                                <w:rFonts w:ascii="Calibri" w:hAnsi="Calibri"/>
                                <w:color w:val="FFFFFF"/>
                                <w:sz w:val="22"/>
                              </w:rPr>
                              <w:t xml:space="preserve">Årsrapport 2023 </w:t>
                            </w:r>
                            <w:r w:rsidR="009264D9">
                              <w:rPr>
                                <w:rFonts w:ascii="Calibri" w:hAnsi="Calibri"/>
                                <w:color w:val="FFFFFF"/>
                                <w:sz w:val="22"/>
                              </w:rPr>
                              <w:br/>
                            </w:r>
                            <w:r>
                              <w:rPr>
                                <w:rFonts w:ascii="Calibri" w:hAnsi="Calibri"/>
                                <w:color w:val="FFFFFF"/>
                                <w:sz w:val="22"/>
                              </w:rPr>
                              <w:t>(inkl. data for 2022)</w:t>
                            </w:r>
                          </w:p>
                        </w:txbxContent>
                      </v:textbox>
                    </v:shape>
                  </w:pict>
                </mc:Fallback>
              </mc:AlternateContent>
            </w:r>
          </w:p>
        </w:tc>
        <w:tc>
          <w:tcPr>
            <w:tcW w:w="738"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474506AA" w14:textId="77777777" w:rsidR="00B930EF" w:rsidRPr="00412BA3" w:rsidRDefault="00B930EF" w:rsidP="007C1E5E">
            <w:pPr>
              <w:spacing w:line="256" w:lineRule="auto"/>
              <w:rPr>
                <w:noProof/>
                <w:sz w:val="22"/>
                <w:szCs w:val="22"/>
                <w:lang w:val="da-DK"/>
              </w:rPr>
            </w:pPr>
          </w:p>
        </w:tc>
        <w:tc>
          <w:tcPr>
            <w:tcW w:w="738"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E1D7EAD" w14:textId="77777777" w:rsidR="00B930EF" w:rsidRPr="00412BA3" w:rsidRDefault="00B930EF" w:rsidP="007C1E5E">
            <w:pPr>
              <w:spacing w:line="256" w:lineRule="auto"/>
              <w:rPr>
                <w:rFonts w:ascii="Calibri" w:eastAsia="Calibri" w:hAnsi="Calibri"/>
                <w:noProof/>
                <w:sz w:val="22"/>
                <w:szCs w:val="22"/>
                <w:lang w:val="da-DK"/>
              </w:rPr>
            </w:pPr>
          </w:p>
        </w:tc>
        <w:tc>
          <w:tcPr>
            <w:tcW w:w="1475"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C91814D" w14:textId="77777777" w:rsidR="00B930EF" w:rsidRPr="00412BA3" w:rsidRDefault="00B930EF" w:rsidP="007C1E5E">
            <w:pPr>
              <w:spacing w:line="256" w:lineRule="auto"/>
              <w:rPr>
                <w:rFonts w:ascii="Calibri" w:eastAsia="Calibri" w:hAnsi="Calibri"/>
                <w:noProof/>
                <w:sz w:val="22"/>
                <w:szCs w:val="22"/>
                <w:lang w:val="da-DK"/>
              </w:rPr>
            </w:pPr>
          </w:p>
        </w:tc>
      </w:tr>
      <w:tr w:rsidR="009264D9" w:rsidRPr="00424719" w14:paraId="6782AB96" w14:textId="77777777" w:rsidTr="00570EDA">
        <w:trPr>
          <w:trHeight w:val="582"/>
        </w:trPr>
        <w:tc>
          <w:tcPr>
            <w:tcW w:w="1535"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167B13AF" w14:textId="77777777" w:rsidR="00B930EF" w:rsidRPr="00412BA3" w:rsidRDefault="00B930EF" w:rsidP="007C1E5E">
            <w:pPr>
              <w:spacing w:line="256" w:lineRule="auto"/>
              <w:rPr>
                <w:rFonts w:ascii="Calibri" w:eastAsia="Calibri" w:hAnsi="Calibri"/>
                <w:noProof/>
                <w:sz w:val="22"/>
                <w:szCs w:val="22"/>
                <w:lang w:val="da-DK"/>
              </w:rPr>
            </w:pPr>
          </w:p>
        </w:tc>
        <w:tc>
          <w:tcPr>
            <w:tcW w:w="161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AAEDC39" w14:textId="77777777" w:rsidR="00B930EF" w:rsidRPr="00412BA3" w:rsidRDefault="00B930EF" w:rsidP="007C1E5E">
            <w:pPr>
              <w:spacing w:line="256" w:lineRule="auto"/>
              <w:rPr>
                <w:rFonts w:ascii="Calibri" w:eastAsia="Calibri" w:hAnsi="Calibri"/>
                <w:noProof/>
                <w:sz w:val="22"/>
                <w:szCs w:val="22"/>
                <w:lang w:val="da-DK"/>
              </w:rPr>
            </w:pPr>
          </w:p>
        </w:tc>
        <w:tc>
          <w:tcPr>
            <w:tcW w:w="1619" w:type="dxa"/>
            <w:tcBorders>
              <w:top w:val="single" w:sz="8" w:space="0" w:color="BFBFBF"/>
              <w:left w:val="single" w:sz="8" w:space="0" w:color="BFBFBF"/>
              <w:bottom w:val="single" w:sz="8" w:space="0" w:color="BFBFBF"/>
              <w:right w:val="single" w:sz="8" w:space="0" w:color="BFBFBF"/>
            </w:tcBorders>
            <w:shd w:val="clear" w:color="auto" w:fill="C00000"/>
            <w:tcMar>
              <w:top w:w="72" w:type="dxa"/>
              <w:left w:w="144" w:type="dxa"/>
              <w:bottom w:w="72" w:type="dxa"/>
              <w:right w:w="144" w:type="dxa"/>
            </w:tcMar>
            <w:hideMark/>
          </w:tcPr>
          <w:p w14:paraId="71431A4C" w14:textId="681431AF" w:rsidR="00B930EF" w:rsidRPr="009264D9" w:rsidRDefault="00B930EF" w:rsidP="007C1E5E">
            <w:pPr>
              <w:jc w:val="center"/>
              <w:textAlignment w:val="baseline"/>
              <w:rPr>
                <w:rFonts w:ascii="Arial" w:eastAsia="Times New Roman" w:hAnsi="Arial" w:cs="Arial"/>
                <w:noProof/>
                <w:sz w:val="20"/>
                <w:lang w:val="da-DK"/>
              </w:rPr>
            </w:pPr>
            <w:r w:rsidRPr="009264D9">
              <w:rPr>
                <w:rFonts w:ascii="Calibri" w:hAnsi="Calibri"/>
                <w:noProof/>
                <w:color w:val="FFFFFF"/>
                <w:sz w:val="20"/>
                <w:lang w:val="da-DK"/>
              </w:rPr>
              <w:t xml:space="preserve">Nedsættelse af en </w:t>
            </w:r>
            <w:r w:rsidR="009264D9" w:rsidRPr="009264D9">
              <w:rPr>
                <w:rFonts w:ascii="Calibri" w:hAnsi="Calibri"/>
                <w:noProof/>
                <w:color w:val="FFFFFF"/>
                <w:sz w:val="20"/>
                <w:lang w:val="da-DK"/>
              </w:rPr>
              <w:t>hand-</w:t>
            </w:r>
            <w:r w:rsidRPr="009264D9">
              <w:rPr>
                <w:rFonts w:ascii="Calibri" w:hAnsi="Calibri"/>
                <w:noProof/>
                <w:color w:val="FFFFFF"/>
                <w:sz w:val="20"/>
                <w:lang w:val="da-DK"/>
              </w:rPr>
              <w:t>hævelsesgruppe</w:t>
            </w:r>
          </w:p>
        </w:tc>
        <w:tc>
          <w:tcPr>
            <w:tcW w:w="175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654BA2A" w14:textId="77777777" w:rsidR="00B930EF" w:rsidRPr="009264D9" w:rsidRDefault="00B930EF" w:rsidP="007C1E5E">
            <w:pPr>
              <w:rPr>
                <w:rFonts w:ascii="Arial" w:eastAsia="Times New Roman" w:hAnsi="Arial" w:cs="Arial"/>
                <w:noProof/>
                <w:sz w:val="22"/>
                <w:szCs w:val="22"/>
                <w:lang w:val="da-DK"/>
              </w:rPr>
            </w:pPr>
            <w:r w:rsidRPr="00412BA3">
              <w:rPr>
                <w:rFonts w:ascii="Calibri" w:hAnsi="Calibri"/>
                <w:noProof/>
                <w:sz w:val="22"/>
                <w:szCs w:val="22"/>
                <w:lang w:val="en-GB" w:eastAsia="en-GB"/>
              </w:rPr>
              <mc:AlternateContent>
                <mc:Choice Requires="wps">
                  <w:drawing>
                    <wp:anchor distT="0" distB="0" distL="114300" distR="114300" simplePos="0" relativeHeight="251678208" behindDoc="0" locked="0" layoutInCell="1" allowOverlap="1" wp14:anchorId="65D66B0D" wp14:editId="495FBCE2">
                      <wp:simplePos x="0" y="0"/>
                      <wp:positionH relativeFrom="column">
                        <wp:posOffset>-75650</wp:posOffset>
                      </wp:positionH>
                      <wp:positionV relativeFrom="paragraph">
                        <wp:posOffset>-40934</wp:posOffset>
                      </wp:positionV>
                      <wp:extent cx="6980555" cy="573206"/>
                      <wp:effectExtent l="0" t="0" r="0" b="0"/>
                      <wp:wrapNone/>
                      <wp:docPr id="12" name="Google Shape;142;p3"/>
                      <wp:cNvGraphicFramePr/>
                      <a:graphic xmlns:a="http://schemas.openxmlformats.org/drawingml/2006/main">
                        <a:graphicData uri="http://schemas.microsoft.com/office/word/2010/wordprocessingShape">
                          <wps:wsp>
                            <wps:cNvSpPr/>
                            <wps:spPr>
                              <a:xfrm>
                                <a:off x="0" y="0"/>
                                <a:ext cx="6980555" cy="573206"/>
                              </a:xfrm>
                              <a:prstGeom prst="homePlate">
                                <a:avLst>
                                  <a:gd name="adj" fmla="val 50000"/>
                                </a:avLst>
                              </a:prstGeom>
                              <a:solidFill>
                                <a:srgbClr val="C00000"/>
                              </a:solidFill>
                              <a:ln>
                                <a:noFill/>
                              </a:ln>
                            </wps:spPr>
                            <wps:txbx>
                              <w:txbxContent>
                                <w:p w14:paraId="6BDA5B5C" w14:textId="38D66A9F" w:rsidR="00B930EF" w:rsidRPr="006B47D4" w:rsidRDefault="00B930EF" w:rsidP="00B930EF">
                                  <w:pPr>
                                    <w:pStyle w:val="NormalWeb"/>
                                    <w:spacing w:after="0"/>
                                    <w:jc w:val="center"/>
                                    <w:textAlignment w:val="baseline"/>
                                    <w:rPr>
                                      <w:lang w:val="da-DK"/>
                                    </w:rPr>
                                  </w:pPr>
                                  <w:r w:rsidRPr="006B47D4">
                                    <w:rPr>
                                      <w:rFonts w:ascii="Calibri" w:hAnsi="Calibri"/>
                                      <w:color w:val="FFFFFF"/>
                                      <w:sz w:val="22"/>
                                      <w:lang w:val="da-DK"/>
                                    </w:rPr>
                                    <w:t xml:space="preserve">Gennemførelse af særlige foranstaltninger (f.eks. værktøjer til udveksling af oplysninger, </w:t>
                                  </w:r>
                                  <w:r w:rsidR="009264D9">
                                    <w:rPr>
                                      <w:rFonts w:ascii="Calibri" w:hAnsi="Calibri"/>
                                      <w:color w:val="FFFFFF"/>
                                      <w:sz w:val="22"/>
                                      <w:lang w:val="da-DK"/>
                                    </w:rPr>
                                    <w:br/>
                                  </w:r>
                                  <w:r w:rsidRPr="006B47D4">
                                    <w:rPr>
                                      <w:rFonts w:ascii="Calibri" w:hAnsi="Calibri"/>
                                      <w:color w:val="FFFFFF"/>
                                      <w:sz w:val="22"/>
                                      <w:lang w:val="da-DK"/>
                                    </w:rPr>
                                    <w:t>vejledende noter, fælles operationer)</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D66B0D" id="Google Shape;142;p3" o:spid="_x0000_s1032" type="#_x0000_t15" style="position:absolute;margin-left:-5.95pt;margin-top:-3.2pt;width:549.65pt;height:45.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" adj="20713" fillcolor="#c00000" stroked="f">
                      <v:textbox inset="2.53958mm,1.2694mm,2.53958mm,1.2694mm">
                        <w:txbxContent>
                          <w:p w14:paraId="6BDA5B5C" w14:textId="38D66A9F" w:rsidR="00B930EF" w:rsidRPr="006B47D4" w:rsidRDefault="00B930EF" w:rsidP="00B930EF">
                            <w:pPr>
                              <w:pStyle w:val="NormalWeb"/>
                              <w:spacing w:after="0"/>
                              <w:jc w:val="center"/>
                              <w:textAlignment w:val="baseline"/>
                              <w:rPr>
                                <w:lang w:val="da-DK"/>
                              </w:rPr>
                            </w:pPr>
                            <w:r w:rsidRPr="006B47D4">
                              <w:rPr>
                                <w:rFonts w:ascii="Calibri" w:hAnsi="Calibri"/>
                                <w:color w:val="FFFFFF"/>
                                <w:sz w:val="22"/>
                                <w:lang w:val="da-DK"/>
                              </w:rPr>
                              <w:t xml:space="preserve">Gennemførelse af særlige foranstaltninger (f.eks. værktøjer til udveksling af oplysninger, </w:t>
                            </w:r>
                            <w:r w:rsidR="009264D9">
                              <w:rPr>
                                <w:rFonts w:ascii="Calibri" w:hAnsi="Calibri"/>
                                <w:color w:val="FFFFFF"/>
                                <w:sz w:val="22"/>
                                <w:lang w:val="da-DK"/>
                              </w:rPr>
                              <w:br/>
                            </w:r>
                            <w:r w:rsidRPr="006B47D4">
                              <w:rPr>
                                <w:rFonts w:ascii="Calibri" w:hAnsi="Calibri"/>
                                <w:color w:val="FFFFFF"/>
                                <w:sz w:val="22"/>
                                <w:lang w:val="da-DK"/>
                              </w:rPr>
                              <w:t>vejledende noter, fælles operationer)</w:t>
                            </w:r>
                          </w:p>
                        </w:txbxContent>
                      </v:textbox>
                    </v:shape>
                  </w:pict>
                </mc:Fallback>
              </mc:AlternateContent>
            </w:r>
          </w:p>
        </w:tc>
        <w:tc>
          <w:tcPr>
            <w:tcW w:w="148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6B76AE1A" w14:textId="77777777" w:rsidR="00B930EF" w:rsidRPr="009264D9" w:rsidRDefault="00B930EF" w:rsidP="007C1E5E">
            <w:pPr>
              <w:spacing w:line="256" w:lineRule="auto"/>
              <w:rPr>
                <w:rFonts w:ascii="Arial" w:eastAsia="Times New Roman" w:hAnsi="Arial" w:cs="Arial"/>
                <w:noProof/>
                <w:sz w:val="22"/>
                <w:szCs w:val="22"/>
                <w:lang w:val="da-DK"/>
              </w:rPr>
            </w:pPr>
          </w:p>
        </w:tc>
        <w:tc>
          <w:tcPr>
            <w:tcW w:w="1348"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43021B46" w14:textId="77777777" w:rsidR="00B930EF" w:rsidRPr="009264D9" w:rsidRDefault="00B930EF" w:rsidP="007C1E5E">
            <w:pPr>
              <w:spacing w:line="256" w:lineRule="auto"/>
              <w:rPr>
                <w:rFonts w:ascii="Calibri" w:eastAsia="Calibri" w:hAnsi="Calibri"/>
                <w:noProof/>
                <w:sz w:val="22"/>
                <w:szCs w:val="22"/>
                <w:lang w:val="da-DK"/>
              </w:rPr>
            </w:pPr>
          </w:p>
        </w:tc>
        <w:tc>
          <w:tcPr>
            <w:tcW w:w="1349"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42DD21C6" w14:textId="77777777" w:rsidR="00B930EF" w:rsidRPr="009264D9" w:rsidRDefault="00B930EF" w:rsidP="007C1E5E">
            <w:pPr>
              <w:spacing w:line="256" w:lineRule="auto"/>
              <w:rPr>
                <w:rFonts w:ascii="Calibri" w:eastAsia="Calibri" w:hAnsi="Calibri"/>
                <w:noProof/>
                <w:sz w:val="22"/>
                <w:szCs w:val="22"/>
                <w:lang w:val="da-DK"/>
              </w:rPr>
            </w:pPr>
          </w:p>
        </w:tc>
        <w:tc>
          <w:tcPr>
            <w:tcW w:w="1307"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38657E80" w14:textId="77777777" w:rsidR="00B930EF" w:rsidRPr="009264D9" w:rsidRDefault="00B930EF" w:rsidP="007C1E5E">
            <w:pPr>
              <w:spacing w:line="256" w:lineRule="auto"/>
              <w:rPr>
                <w:rFonts w:ascii="Calibri" w:eastAsia="Calibri" w:hAnsi="Calibri"/>
                <w:noProof/>
                <w:sz w:val="22"/>
                <w:szCs w:val="22"/>
                <w:lang w:val="da-DK"/>
              </w:rPr>
            </w:pPr>
          </w:p>
        </w:tc>
        <w:tc>
          <w:tcPr>
            <w:tcW w:w="738"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28B2B89D" w14:textId="77777777" w:rsidR="00B930EF" w:rsidRPr="009264D9" w:rsidRDefault="00B930EF" w:rsidP="007C1E5E">
            <w:pPr>
              <w:spacing w:line="256" w:lineRule="auto"/>
              <w:rPr>
                <w:rFonts w:ascii="Calibri" w:eastAsia="Calibri" w:hAnsi="Calibri"/>
                <w:noProof/>
                <w:sz w:val="22"/>
                <w:szCs w:val="22"/>
                <w:lang w:val="da-DK"/>
              </w:rPr>
            </w:pPr>
          </w:p>
        </w:tc>
        <w:tc>
          <w:tcPr>
            <w:tcW w:w="738"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6B6116C8" w14:textId="77777777" w:rsidR="00B930EF" w:rsidRPr="009264D9" w:rsidRDefault="00B930EF" w:rsidP="007C1E5E">
            <w:pPr>
              <w:spacing w:line="256" w:lineRule="auto"/>
              <w:rPr>
                <w:rFonts w:ascii="Calibri" w:eastAsia="Calibri" w:hAnsi="Calibri"/>
                <w:noProof/>
                <w:sz w:val="22"/>
                <w:szCs w:val="22"/>
                <w:lang w:val="da-DK"/>
              </w:rPr>
            </w:pPr>
          </w:p>
        </w:tc>
        <w:tc>
          <w:tcPr>
            <w:tcW w:w="738"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6B3D5E5" w14:textId="77777777" w:rsidR="00B930EF" w:rsidRPr="009264D9" w:rsidRDefault="00B930EF" w:rsidP="007C1E5E">
            <w:pPr>
              <w:spacing w:line="256" w:lineRule="auto"/>
              <w:rPr>
                <w:rFonts w:ascii="Calibri" w:eastAsia="Calibri" w:hAnsi="Calibri"/>
                <w:noProof/>
                <w:sz w:val="22"/>
                <w:szCs w:val="22"/>
                <w:lang w:val="da-DK"/>
              </w:rPr>
            </w:pPr>
          </w:p>
        </w:tc>
        <w:tc>
          <w:tcPr>
            <w:tcW w:w="1475"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C216093" w14:textId="77777777" w:rsidR="00B930EF" w:rsidRPr="009264D9" w:rsidRDefault="00B930EF" w:rsidP="007C1E5E">
            <w:pPr>
              <w:spacing w:line="256" w:lineRule="auto"/>
              <w:rPr>
                <w:rFonts w:ascii="Calibri" w:eastAsia="Calibri" w:hAnsi="Calibri"/>
                <w:noProof/>
                <w:sz w:val="22"/>
                <w:szCs w:val="22"/>
                <w:lang w:val="da-DK"/>
              </w:rPr>
            </w:pPr>
          </w:p>
        </w:tc>
      </w:tr>
      <w:tr w:rsidR="009264D9" w:rsidRPr="00412BA3" w14:paraId="31C05CA4" w14:textId="77777777" w:rsidTr="00570EDA">
        <w:trPr>
          <w:trHeight w:val="1090"/>
        </w:trPr>
        <w:tc>
          <w:tcPr>
            <w:tcW w:w="1535"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1AFD7E93" w14:textId="77777777" w:rsidR="00B930EF" w:rsidRPr="009264D9" w:rsidRDefault="00B930EF" w:rsidP="007C1E5E">
            <w:pPr>
              <w:spacing w:line="256" w:lineRule="auto"/>
              <w:rPr>
                <w:rFonts w:ascii="Calibri" w:eastAsia="Calibri" w:hAnsi="Calibri"/>
                <w:noProof/>
                <w:sz w:val="22"/>
                <w:szCs w:val="22"/>
                <w:lang w:val="da-DK"/>
              </w:rPr>
            </w:pPr>
          </w:p>
        </w:tc>
        <w:tc>
          <w:tcPr>
            <w:tcW w:w="161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9ED8228" w14:textId="77777777" w:rsidR="00B930EF" w:rsidRPr="009264D9" w:rsidRDefault="00B930EF" w:rsidP="007C1E5E">
            <w:pPr>
              <w:spacing w:line="256" w:lineRule="auto"/>
              <w:rPr>
                <w:rFonts w:ascii="Calibri" w:eastAsia="Calibri" w:hAnsi="Calibri"/>
                <w:noProof/>
                <w:sz w:val="22"/>
                <w:szCs w:val="22"/>
                <w:lang w:val="da-DK"/>
              </w:rPr>
            </w:pPr>
          </w:p>
        </w:tc>
        <w:tc>
          <w:tcPr>
            <w:tcW w:w="161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77A6E735" w14:textId="77777777" w:rsidR="00B930EF" w:rsidRPr="009264D9" w:rsidRDefault="00B930EF" w:rsidP="007C1E5E">
            <w:pPr>
              <w:spacing w:line="256" w:lineRule="auto"/>
              <w:rPr>
                <w:rFonts w:ascii="Calibri" w:eastAsia="Calibri" w:hAnsi="Calibri"/>
                <w:noProof/>
                <w:sz w:val="22"/>
                <w:szCs w:val="22"/>
                <w:lang w:val="da-DK"/>
              </w:rPr>
            </w:pPr>
          </w:p>
        </w:tc>
        <w:tc>
          <w:tcPr>
            <w:tcW w:w="1756" w:type="dxa"/>
            <w:tcBorders>
              <w:top w:val="single" w:sz="8" w:space="0" w:color="BFBFBF"/>
              <w:left w:val="single" w:sz="8" w:space="0" w:color="BFBFBF"/>
              <w:bottom w:val="single" w:sz="8" w:space="0" w:color="BFBFBF"/>
              <w:right w:val="single" w:sz="8" w:space="0" w:color="BFBFBF"/>
            </w:tcBorders>
            <w:shd w:val="clear" w:color="auto" w:fill="DD7E6B"/>
            <w:tcMar>
              <w:top w:w="72" w:type="dxa"/>
              <w:left w:w="144" w:type="dxa"/>
              <w:bottom w:w="72" w:type="dxa"/>
              <w:right w:w="144" w:type="dxa"/>
            </w:tcMar>
            <w:hideMark/>
          </w:tcPr>
          <w:p w14:paraId="019338E6" w14:textId="7431E095" w:rsidR="00B930EF" w:rsidRPr="009264D9" w:rsidRDefault="00B930EF" w:rsidP="009264D9">
            <w:pPr>
              <w:jc w:val="center"/>
              <w:textAlignment w:val="baseline"/>
              <w:rPr>
                <w:rFonts w:ascii="Arial" w:eastAsia="Times New Roman" w:hAnsi="Arial" w:cs="Arial"/>
                <w:noProof/>
                <w:sz w:val="20"/>
              </w:rPr>
            </w:pPr>
            <w:r w:rsidRPr="009264D9">
              <w:rPr>
                <w:rFonts w:ascii="Calibri" w:hAnsi="Calibri"/>
                <w:noProof/>
                <w:color w:val="FFFFFF"/>
                <w:sz w:val="20"/>
              </w:rPr>
              <w:t>Nedsættelse af en kapacitetsopbygningsgruppe</w:t>
            </w:r>
          </w:p>
        </w:tc>
        <w:tc>
          <w:tcPr>
            <w:tcW w:w="148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1204DB98" w14:textId="77777777" w:rsidR="00B930EF" w:rsidRPr="00412BA3" w:rsidRDefault="00B930EF" w:rsidP="007C1E5E">
            <w:pPr>
              <w:rPr>
                <w:rFonts w:ascii="Arial" w:eastAsia="Times New Roman" w:hAnsi="Arial" w:cs="Arial"/>
                <w:noProof/>
                <w:sz w:val="22"/>
                <w:szCs w:val="22"/>
              </w:rPr>
            </w:pPr>
            <w:r w:rsidRPr="00412BA3">
              <w:rPr>
                <w:rFonts w:ascii="Calibri" w:hAnsi="Calibri"/>
                <w:noProof/>
                <w:sz w:val="22"/>
                <w:szCs w:val="22"/>
                <w:lang w:val="en-GB" w:eastAsia="en-GB"/>
              </w:rPr>
              <mc:AlternateContent>
                <mc:Choice Requires="wps">
                  <w:drawing>
                    <wp:anchor distT="0" distB="0" distL="114300" distR="114300" simplePos="0" relativeHeight="251700736" behindDoc="0" locked="0" layoutInCell="1" allowOverlap="1" wp14:anchorId="3C709EF7" wp14:editId="43767F5D">
                      <wp:simplePos x="0" y="0"/>
                      <wp:positionH relativeFrom="column">
                        <wp:posOffset>-76200</wp:posOffset>
                      </wp:positionH>
                      <wp:positionV relativeFrom="paragraph">
                        <wp:posOffset>30158</wp:posOffset>
                      </wp:positionV>
                      <wp:extent cx="2537460" cy="710360"/>
                      <wp:effectExtent l="0" t="0" r="0" b="0"/>
                      <wp:wrapNone/>
                      <wp:docPr id="13" name="Google Shape;139;p3"/>
                      <wp:cNvGraphicFramePr/>
                      <a:graphic xmlns:a="http://schemas.openxmlformats.org/drawingml/2006/main">
                        <a:graphicData uri="http://schemas.microsoft.com/office/word/2010/wordprocessingShape">
                          <wps:wsp>
                            <wps:cNvSpPr/>
                            <wps:spPr>
                              <a:xfrm>
                                <a:off x="0" y="0"/>
                                <a:ext cx="2537460" cy="710360"/>
                              </a:xfrm>
                              <a:prstGeom prst="homePlate">
                                <a:avLst>
                                  <a:gd name="adj" fmla="val 50000"/>
                                </a:avLst>
                              </a:prstGeom>
                              <a:solidFill>
                                <a:srgbClr val="DD7E6B"/>
                              </a:solidFill>
                              <a:ln>
                                <a:noFill/>
                              </a:ln>
                            </wps:spPr>
                            <wps:txbx>
                              <w:txbxContent>
                                <w:p w14:paraId="31685C92" w14:textId="77777777" w:rsidR="00B930EF" w:rsidRDefault="00B930EF" w:rsidP="00B930EF">
                                  <w:pPr>
                                    <w:pStyle w:val="NormalWeb"/>
                                    <w:spacing w:after="0"/>
                                    <w:jc w:val="center"/>
                                    <w:textAlignment w:val="baseline"/>
                                  </w:pPr>
                                  <w:r>
                                    <w:rPr>
                                      <w:rFonts w:ascii="Calibri" w:hAnsi="Calibri"/>
                                      <w:color w:val="FFFFFF"/>
                                      <w:sz w:val="22"/>
                                    </w:rPr>
                                    <w:t>Gennemførlighedsundersøgelse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709EF7" id="Google Shape;139;p3" o:spid="_x0000_s1033" type="#_x0000_t15" style="position:absolute;margin-left:-6pt;margin-top:2.35pt;width:199.8pt;height:55.9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" adj="18577" fillcolor="#dd7e6b" stroked="f">
                      <v:textbox inset="2.53958mm,1.2694mm,2.53958mm,1.2694mm">
                        <w:txbxContent>
                          <w:p w14:paraId="31685C92" w14:textId="77777777" w:rsidR="00B930EF" w:rsidRDefault="00B930EF" w:rsidP="00B930EF">
                            <w:pPr>
                              <w:pStyle w:val="NormalWeb"/>
                              <w:spacing w:after="0"/>
                              <w:jc w:val="center"/>
                              <w:textAlignment w:val="baseline"/>
                            </w:pPr>
                            <w:r>
                              <w:rPr>
                                <w:rFonts w:ascii="Calibri" w:hAnsi="Calibri"/>
                                <w:color w:val="FFFFFF"/>
                                <w:sz w:val="22"/>
                              </w:rPr>
                              <w:t>Gennemførlighedsundersøgelse</w:t>
                            </w:r>
                          </w:p>
                        </w:txbxContent>
                      </v:textbox>
                    </v:shape>
                  </w:pict>
                </mc:Fallback>
              </mc:AlternateContent>
            </w:r>
          </w:p>
        </w:tc>
        <w:tc>
          <w:tcPr>
            <w:tcW w:w="1348"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5F691A67" w14:textId="77777777" w:rsidR="00B930EF" w:rsidRPr="00412BA3" w:rsidRDefault="00B930EF" w:rsidP="007C1E5E">
            <w:pPr>
              <w:spacing w:line="256" w:lineRule="auto"/>
              <w:rPr>
                <w:rFonts w:ascii="Arial" w:eastAsia="Times New Roman" w:hAnsi="Arial" w:cs="Arial"/>
                <w:noProof/>
                <w:sz w:val="22"/>
                <w:szCs w:val="22"/>
              </w:rPr>
            </w:pPr>
          </w:p>
        </w:tc>
        <w:tc>
          <w:tcPr>
            <w:tcW w:w="1349"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5E26C67F" w14:textId="3FF0CCF1" w:rsidR="00B930EF" w:rsidRPr="00412BA3" w:rsidRDefault="00B930EF" w:rsidP="007C1E5E">
            <w:pPr>
              <w:rPr>
                <w:noProof/>
                <w:sz w:val="22"/>
                <w:szCs w:val="22"/>
              </w:rPr>
            </w:pPr>
          </w:p>
        </w:tc>
        <w:tc>
          <w:tcPr>
            <w:tcW w:w="1307"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1099D141" w14:textId="13F30BE6" w:rsidR="00B930EF" w:rsidRPr="00412BA3" w:rsidRDefault="009264D9" w:rsidP="007C1E5E">
            <w:pPr>
              <w:spacing w:line="256" w:lineRule="auto"/>
              <w:rPr>
                <w:noProof/>
                <w:sz w:val="22"/>
                <w:szCs w:val="22"/>
              </w:rPr>
            </w:pPr>
            <w:r w:rsidRPr="00412BA3">
              <w:rPr>
                <w:rFonts w:ascii="Calibri" w:hAnsi="Calibri"/>
                <w:noProof/>
                <w:sz w:val="22"/>
                <w:szCs w:val="22"/>
                <w:lang w:val="en-GB" w:eastAsia="en-GB"/>
              </w:rPr>
              <mc:AlternateContent>
                <mc:Choice Requires="wps">
                  <w:drawing>
                    <wp:anchor distT="0" distB="0" distL="114300" distR="114300" simplePos="0" relativeHeight="251747840" behindDoc="0" locked="0" layoutInCell="1" allowOverlap="1" wp14:anchorId="5AB63106" wp14:editId="22C888F8">
                      <wp:simplePos x="0" y="0"/>
                      <wp:positionH relativeFrom="column">
                        <wp:posOffset>180340</wp:posOffset>
                      </wp:positionH>
                      <wp:positionV relativeFrom="paragraph">
                        <wp:posOffset>23173</wp:posOffset>
                      </wp:positionV>
                      <wp:extent cx="1501140" cy="702310"/>
                      <wp:effectExtent l="0" t="0" r="3810" b="2540"/>
                      <wp:wrapNone/>
                      <wp:docPr id="14" name="Google Shape;139;p3"/>
                      <wp:cNvGraphicFramePr/>
                      <a:graphic xmlns:a="http://schemas.openxmlformats.org/drawingml/2006/main">
                        <a:graphicData uri="http://schemas.microsoft.com/office/word/2010/wordprocessingShape">
                          <wps:wsp>
                            <wps:cNvSpPr/>
                            <wps:spPr>
                              <a:xfrm>
                                <a:off x="0" y="0"/>
                                <a:ext cx="1501140" cy="702310"/>
                              </a:xfrm>
                              <a:prstGeom prst="homePlate">
                                <a:avLst>
                                  <a:gd name="adj" fmla="val 50000"/>
                                </a:avLst>
                              </a:prstGeom>
                              <a:solidFill>
                                <a:srgbClr val="DD7E6B"/>
                              </a:solidFill>
                              <a:ln>
                                <a:noFill/>
                              </a:ln>
                            </wps:spPr>
                            <wps:txbx>
                              <w:txbxContent>
                                <w:p w14:paraId="1A1BEDB7" w14:textId="77777777" w:rsidR="00B930EF" w:rsidRDefault="00B930EF" w:rsidP="00B930EF">
                                  <w:pPr>
                                    <w:pStyle w:val="NormalWeb"/>
                                    <w:spacing w:after="0"/>
                                    <w:jc w:val="center"/>
                                    <w:textAlignment w:val="baseline"/>
                                  </w:pPr>
                                  <w:r>
                                    <w:rPr>
                                      <w:rFonts w:ascii="Calibri" w:hAnsi="Calibri"/>
                                      <w:color w:val="FFFFFF"/>
                                      <w:sz w:val="22"/>
                                    </w:rPr>
                                    <w:t>Undervisningsplan for EU-uddannelsesprogram</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B63106" id="_x0000_s1034" type="#_x0000_t15" style="position:absolute;margin-left:14.2pt;margin-top:1.8pt;width:118.2pt;height:55.3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" adj="16547" fillcolor="#dd7e6b" stroked="f">
                      <v:textbox inset="2.53958mm,1.2694mm,2.53958mm,1.2694mm">
                        <w:txbxContent>
                          <w:p w14:paraId="1A1BEDB7" w14:textId="77777777" w:rsidR="00B930EF" w:rsidRDefault="00B930EF" w:rsidP="00B930EF">
                            <w:pPr>
                              <w:pStyle w:val="NormalWeb"/>
                              <w:spacing w:after="0"/>
                              <w:jc w:val="center"/>
                              <w:textAlignment w:val="baseline"/>
                            </w:pPr>
                            <w:r>
                              <w:rPr>
                                <w:rFonts w:ascii="Calibri" w:hAnsi="Calibri"/>
                                <w:color w:val="FFFFFF"/>
                                <w:sz w:val="22"/>
                              </w:rPr>
                              <w:t>Undervisningsplan for EU-uddannelsesprogram</w:t>
                            </w:r>
                          </w:p>
                        </w:txbxContent>
                      </v:textbox>
                    </v:shape>
                  </w:pict>
                </mc:Fallback>
              </mc:AlternateContent>
            </w:r>
          </w:p>
        </w:tc>
        <w:tc>
          <w:tcPr>
            <w:tcW w:w="738"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77FD594A" w14:textId="04A61492" w:rsidR="00B930EF" w:rsidRPr="00412BA3" w:rsidRDefault="00B930EF" w:rsidP="007C1E5E">
            <w:pPr>
              <w:rPr>
                <w:noProof/>
                <w:sz w:val="22"/>
                <w:szCs w:val="22"/>
              </w:rPr>
            </w:pPr>
          </w:p>
        </w:tc>
        <w:tc>
          <w:tcPr>
            <w:tcW w:w="738"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4D57724E" w14:textId="77777777" w:rsidR="00B930EF" w:rsidRPr="00412BA3" w:rsidRDefault="00B930EF" w:rsidP="007C1E5E">
            <w:pPr>
              <w:spacing w:line="256" w:lineRule="auto"/>
              <w:rPr>
                <w:noProof/>
                <w:sz w:val="22"/>
                <w:szCs w:val="22"/>
              </w:rPr>
            </w:pPr>
          </w:p>
        </w:tc>
        <w:tc>
          <w:tcPr>
            <w:tcW w:w="738"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2EC8EF15" w14:textId="34037681" w:rsidR="00B930EF" w:rsidRPr="00412BA3" w:rsidRDefault="009264D9" w:rsidP="007C1E5E">
            <w:pPr>
              <w:spacing w:line="256" w:lineRule="auto"/>
              <w:rPr>
                <w:rFonts w:ascii="Calibri" w:eastAsia="Calibri" w:hAnsi="Calibri"/>
                <w:noProof/>
                <w:sz w:val="22"/>
                <w:szCs w:val="22"/>
              </w:rPr>
            </w:pPr>
            <w:r w:rsidRPr="00412BA3">
              <w:rPr>
                <w:rFonts w:ascii="Calibri" w:hAnsi="Calibri"/>
                <w:noProof/>
                <w:sz w:val="22"/>
                <w:szCs w:val="22"/>
                <w:lang w:val="en-GB" w:eastAsia="en-GB"/>
              </w:rPr>
              <mc:AlternateContent>
                <mc:Choice Requires="wps">
                  <w:drawing>
                    <wp:anchor distT="0" distB="0" distL="114300" distR="114300" simplePos="0" relativeHeight="251772416" behindDoc="0" locked="0" layoutInCell="1" allowOverlap="1" wp14:anchorId="477A5FD0" wp14:editId="524672B3">
                      <wp:simplePos x="0" y="0"/>
                      <wp:positionH relativeFrom="column">
                        <wp:posOffset>-27940</wp:posOffset>
                      </wp:positionH>
                      <wp:positionV relativeFrom="paragraph">
                        <wp:posOffset>-1592</wp:posOffset>
                      </wp:positionV>
                      <wp:extent cx="1447165" cy="709930"/>
                      <wp:effectExtent l="0" t="0" r="635" b="0"/>
                      <wp:wrapNone/>
                      <wp:docPr id="15" name="Google Shape;139;p3"/>
                      <wp:cNvGraphicFramePr/>
                      <a:graphic xmlns:a="http://schemas.openxmlformats.org/drawingml/2006/main">
                        <a:graphicData uri="http://schemas.microsoft.com/office/word/2010/wordprocessingShape">
                          <wps:wsp>
                            <wps:cNvSpPr/>
                            <wps:spPr>
                              <a:xfrm>
                                <a:off x="0" y="0"/>
                                <a:ext cx="1447165" cy="709930"/>
                              </a:xfrm>
                              <a:prstGeom prst="homePlate">
                                <a:avLst>
                                  <a:gd name="adj" fmla="val 50000"/>
                                </a:avLst>
                              </a:prstGeom>
                              <a:solidFill>
                                <a:srgbClr val="DD7E6B"/>
                              </a:solidFill>
                              <a:ln>
                                <a:noFill/>
                              </a:ln>
                            </wps:spPr>
                            <wps:txbx>
                              <w:txbxContent>
                                <w:p w14:paraId="5DE04533" w14:textId="77777777" w:rsidR="00B930EF" w:rsidRDefault="00B930EF" w:rsidP="00B930EF">
                                  <w:pPr>
                                    <w:pStyle w:val="NormalWeb"/>
                                    <w:spacing w:after="0"/>
                                    <w:jc w:val="center"/>
                                    <w:textAlignment w:val="baseline"/>
                                  </w:pPr>
                                  <w:r>
                                    <w:rPr>
                                      <w:rFonts w:ascii="Calibri" w:hAnsi="Calibri"/>
                                      <w:color w:val="FFFFFF"/>
                                      <w:sz w:val="22"/>
                                    </w:rPr>
                                    <w:t>Program-kick-off</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7A5FD0" id="_x0000_s1035" type="#_x0000_t15" style="position:absolute;margin-left:-2.2pt;margin-top:-.15pt;width:113.95pt;height:55.9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" adj="16302" fillcolor="#dd7e6b" stroked="f">
                      <v:textbox inset="2.53958mm,1.2694mm,2.53958mm,1.2694mm">
                        <w:txbxContent>
                          <w:p w14:paraId="5DE04533" w14:textId="77777777" w:rsidR="00B930EF" w:rsidRDefault="00B930EF" w:rsidP="00B930EF">
                            <w:pPr>
                              <w:pStyle w:val="NormalWeb"/>
                              <w:spacing w:after="0"/>
                              <w:jc w:val="center"/>
                              <w:textAlignment w:val="baseline"/>
                            </w:pPr>
                            <w:r>
                              <w:rPr>
                                <w:rFonts w:ascii="Calibri" w:hAnsi="Calibri"/>
                                <w:color w:val="FFFFFF"/>
                                <w:sz w:val="22"/>
                              </w:rPr>
                              <w:t>Program-kick-off</w:t>
                            </w:r>
                          </w:p>
                        </w:txbxContent>
                      </v:textbox>
                    </v:shape>
                  </w:pict>
                </mc:Fallback>
              </mc:AlternateContent>
            </w:r>
          </w:p>
        </w:tc>
        <w:tc>
          <w:tcPr>
            <w:tcW w:w="1475"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6D88BCD0" w14:textId="61E547E1" w:rsidR="00B930EF" w:rsidRPr="00412BA3" w:rsidRDefault="00B930EF" w:rsidP="007C1E5E">
            <w:pPr>
              <w:spacing w:line="256" w:lineRule="auto"/>
              <w:rPr>
                <w:rFonts w:ascii="Calibri" w:eastAsia="Calibri" w:hAnsi="Calibri"/>
                <w:noProof/>
                <w:sz w:val="22"/>
                <w:szCs w:val="22"/>
              </w:rPr>
            </w:pPr>
          </w:p>
        </w:tc>
      </w:tr>
    </w:tbl>
    <w:p w14:paraId="3BAEDAC4" w14:textId="77777777" w:rsidR="00B930EF" w:rsidRPr="00412BA3" w:rsidRDefault="00B930EF" w:rsidP="001926CB">
      <w:pPr>
        <w:jc w:val="both"/>
        <w:rPr>
          <w:b/>
          <w:noProof/>
          <w:sz w:val="22"/>
          <w:szCs w:val="22"/>
        </w:rPr>
      </w:pPr>
    </w:p>
    <w:sectPr w:rsidR="00B930EF" w:rsidRPr="00412BA3" w:rsidSect="00F37385">
      <w:headerReference w:type="even" r:id="rId33"/>
      <w:headerReference w:type="default" r:id="rId34"/>
      <w:footerReference w:type="even" r:id="rId35"/>
      <w:footerReference w:type="default" r:id="rId36"/>
      <w:headerReference w:type="first" r:id="rId37"/>
      <w:footerReference w:type="first" r:id="rId38"/>
      <w:pgSz w:w="15840" w:h="12240"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FF43B" w16cex:dateUtc="2022-05-18T20:39:00Z"/>
  <w16cex:commentExtensible w16cex:durableId="262FF400" w16cex:dateUtc="2022-05-18T20:38:00Z"/>
  <w16cex:commentExtensible w16cex:durableId="262FF47F" w16cex:dateUtc="2022-05-18T20:41:00Z"/>
  <w16cex:commentExtensible w16cex:durableId="262FF4BB" w16cex:dateUtc="2022-05-18T20:42:00Z"/>
  <w16cex:commentExtensible w16cex:durableId="262FF820" w16cex:dateUtc="2022-05-18T20:56:00Z"/>
  <w16cex:commentExtensible w16cex:durableId="262FF6C6" w16cex:dateUtc="2022-05-18T20:50:00Z"/>
  <w16cex:commentExtensible w16cex:durableId="262FF6FB" w16cex:dateUtc="2022-05-18T20:51:00Z"/>
  <w16cex:commentExtensible w16cex:durableId="262FF908" w16cex:dateUtc="2022-05-18T21:00:00Z"/>
  <w16cex:commentExtensible w16cex:durableId="2630659D" w16cex:dateUtc="2022-05-19T04:43:00Z"/>
  <w16cex:commentExtensible w16cex:durableId="26306647" w16cex:dateUtc="2022-05-19T04:46:00Z"/>
  <w16cex:commentExtensible w16cex:durableId="26306648" w16cex:dateUtc="2022-05-19T04:46:00Z"/>
  <w16cex:commentExtensible w16cex:durableId="26306A02" w16cex:dateUtc="2022-05-19T05:02:00Z"/>
  <w16cex:commentExtensible w16cex:durableId="2630687A" w16cex:dateUtc="2022-05-19T04:55:00Z"/>
  <w16cex:commentExtensible w16cex:durableId="26306EB5" w16cex:dateUtc="2022-05-19T05:22:00Z"/>
  <w16cex:commentExtensible w16cex:durableId="26306F31" w16cex:dateUtc="2022-05-19T05:24:00Z"/>
  <w16cex:commentExtensible w16cex:durableId="26306F7F" w16cex:dateUtc="2022-05-19T05:25:00Z"/>
  <w16cex:commentExtensible w16cex:durableId="26307497" w16cex:dateUtc="2022-05-19T05:47:00Z"/>
  <w16cex:commentExtensible w16cex:durableId="263070A0" w16cex:dateUtc="2022-05-19T05:30:00Z"/>
  <w16cex:commentExtensible w16cex:durableId="26307092" w16cex:dateUtc="2022-05-19T05:30:00Z"/>
  <w16cex:commentExtensible w16cex:durableId="263070D0" w16cex:dateUtc="2022-05-19T05:31:00Z"/>
  <w16cex:commentExtensible w16cex:durableId="26307144" w16cex:dateUtc="2022-05-19T05:33:00Z"/>
  <w16cex:commentExtensible w16cex:durableId="2630711E" w16cex:dateUtc="2022-05-19T05:32:00Z"/>
  <w16cex:commentExtensible w16cex:durableId="262FEDA7" w16cex:dateUtc="2022-05-17T09:57:00Z"/>
  <w16cex:commentExtensible w16cex:durableId="262FEDA8" w16cex:dateUtc="2022-05-17T09:58:00Z"/>
  <w16cex:commentExtensible w16cex:durableId="2630730C" w16cex:dateUtc="2022-05-19T05:41:00Z"/>
  <w16cex:commentExtensible w16cex:durableId="2630742B" w16cex:dateUtc="2022-05-19T05:45:00Z"/>
  <w16cex:commentExtensible w16cex:durableId="263074C5" w16cex:dateUtc="2022-05-19T05:48:00Z"/>
  <w16cex:commentExtensible w16cex:durableId="2630775D" w16cex:dateUtc="2022-05-19T05:59:00Z"/>
  <w16cex:commentExtensible w16cex:durableId="26307549" w16cex:dateUtc="2022-05-19T05:50:00Z"/>
  <w16cex:commentExtensible w16cex:durableId="262FEDA9" w16cex:dateUtc="2022-05-17T10: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2062DC" w16cid:durableId="262FF43B"/>
  <w16cid:commentId w16cid:paraId="142D1FEC" w16cid:durableId="262FF400"/>
  <w16cid:commentId w16cid:paraId="25E53286" w16cid:durableId="262FF47F"/>
  <w16cid:commentId w16cid:paraId="4F2038DB" w16cid:durableId="262FF4BB"/>
  <w16cid:commentId w16cid:paraId="7378F62A" w16cid:durableId="262FF820"/>
  <w16cid:commentId w16cid:paraId="1F6C9D8E" w16cid:durableId="262FF6C6"/>
  <w16cid:commentId w16cid:paraId="03247523" w16cid:durableId="262FF6FB"/>
  <w16cid:commentId w16cid:paraId="3D57F74D" w16cid:durableId="262FF908"/>
  <w16cid:commentId w16cid:paraId="73B8A297" w16cid:durableId="2630659D"/>
  <w16cid:commentId w16cid:paraId="0CA11C54" w16cid:durableId="26306647"/>
  <w16cid:commentId w16cid:paraId="75D07285" w16cid:durableId="26306648"/>
  <w16cid:commentId w16cid:paraId="1F9B4DFE" w16cid:durableId="26306A02"/>
  <w16cid:commentId w16cid:paraId="1D8E66C8" w16cid:durableId="2630687A"/>
  <w16cid:commentId w16cid:paraId="0F9399D5" w16cid:durableId="26306EB5"/>
  <w16cid:commentId w16cid:paraId="230BC999" w16cid:durableId="26306F31"/>
  <w16cid:commentId w16cid:paraId="1741621C" w16cid:durableId="26306F7F"/>
  <w16cid:commentId w16cid:paraId="43B4947F" w16cid:durableId="26307497"/>
  <w16cid:commentId w16cid:paraId="35184114" w16cid:durableId="263070A0"/>
  <w16cid:commentId w16cid:paraId="34202578" w16cid:durableId="26307092"/>
  <w16cid:commentId w16cid:paraId="61A6564C" w16cid:durableId="263070D0"/>
  <w16cid:commentId w16cid:paraId="1CBB9215" w16cid:durableId="26307144"/>
  <w16cid:commentId w16cid:paraId="0C9D4AB4" w16cid:durableId="2630711E"/>
  <w16cid:commentId w16cid:paraId="576BEFB5" w16cid:durableId="262FEDA7"/>
  <w16cid:commentId w16cid:paraId="0EF2B0D0" w16cid:durableId="262FEDA8"/>
  <w16cid:commentId w16cid:paraId="46ABAD77" w16cid:durableId="2630730C"/>
  <w16cid:commentId w16cid:paraId="087D94C8" w16cid:durableId="2630742B"/>
  <w16cid:commentId w16cid:paraId="0354301A" w16cid:durableId="263074C5"/>
  <w16cid:commentId w16cid:paraId="6748E52E" w16cid:durableId="2630775D"/>
  <w16cid:commentId w16cid:paraId="1C88B467" w16cid:durableId="26307549"/>
  <w16cid:commentId w16cid:paraId="0F75CFB7" w16cid:durableId="262FEDA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EA380" w14:textId="77777777" w:rsidR="00E3345E" w:rsidRDefault="00E3345E" w:rsidP="00AA655D">
      <w:r>
        <w:separator/>
      </w:r>
    </w:p>
  </w:endnote>
  <w:endnote w:type="continuationSeparator" w:id="0">
    <w:p w14:paraId="04B17DF7" w14:textId="77777777" w:rsidR="00E3345E" w:rsidRDefault="00E3345E" w:rsidP="00AA6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kit-standar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C44DA" w14:textId="77777777" w:rsidR="009E6EE0" w:rsidRPr="009E6EE0" w:rsidRDefault="009E6EE0" w:rsidP="009E6E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0DA79" w14:textId="4A772CA6" w:rsidR="00A04160" w:rsidRPr="009E6EE0" w:rsidRDefault="009E6EE0" w:rsidP="009E6EE0">
    <w:pPr>
      <w:pStyle w:val="FooterCoverPage"/>
      <w:rPr>
        <w:rFonts w:ascii="Arial" w:hAnsi="Arial" w:cs="Arial"/>
        <w:b/>
        <w:sz w:val="48"/>
      </w:rPr>
    </w:pPr>
    <w:r w:rsidRPr="009E6EE0">
      <w:rPr>
        <w:rFonts w:ascii="Arial" w:hAnsi="Arial" w:cs="Arial"/>
        <w:b/>
        <w:sz w:val="48"/>
      </w:rPr>
      <w:t>DA</w:t>
    </w:r>
    <w:r w:rsidRPr="009E6EE0">
      <w:rPr>
        <w:rFonts w:ascii="Arial" w:hAnsi="Arial" w:cs="Arial"/>
        <w:b/>
        <w:sz w:val="48"/>
      </w:rPr>
      <w:tab/>
    </w:r>
    <w:r w:rsidRPr="009E6EE0">
      <w:rPr>
        <w:rFonts w:ascii="Arial" w:hAnsi="Arial" w:cs="Arial"/>
        <w:b/>
        <w:sz w:val="48"/>
      </w:rPr>
      <w:tab/>
    </w:r>
    <w:r w:rsidRPr="009E6EE0">
      <w:tab/>
    </w:r>
    <w:r w:rsidRPr="009E6EE0">
      <w:rPr>
        <w:rFonts w:ascii="Arial" w:hAnsi="Arial" w:cs="Arial"/>
        <w:b/>
        <w:sz w:val="48"/>
      </w:rPr>
      <w:t>DA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C281D" w14:textId="77777777" w:rsidR="009E6EE0" w:rsidRPr="009E6EE0" w:rsidRDefault="009E6EE0" w:rsidP="009E6EE0">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45537" w14:textId="77777777" w:rsidR="008D2CCC" w:rsidRDefault="008D2C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351895"/>
      <w:docPartObj>
        <w:docPartGallery w:val="Page Numbers (Bottom of Page)"/>
        <w:docPartUnique/>
      </w:docPartObj>
    </w:sdtPr>
    <w:sdtEndPr>
      <w:rPr>
        <w:noProof/>
      </w:rPr>
    </w:sdtEndPr>
    <w:sdtContent>
      <w:p w14:paraId="40E3C565" w14:textId="6FD77CB3" w:rsidR="008D2CCC" w:rsidRDefault="008D2CCC">
        <w:pPr>
          <w:pStyle w:val="Footer"/>
          <w:jc w:val="center"/>
        </w:pPr>
        <w:r>
          <w:fldChar w:fldCharType="begin"/>
        </w:r>
        <w:r>
          <w:instrText xml:space="preserve"> PAGE   \* MERGEFORMAT </w:instrText>
        </w:r>
        <w:r>
          <w:fldChar w:fldCharType="separate"/>
        </w:r>
        <w:r w:rsidR="009E6EE0">
          <w:rPr>
            <w:noProof/>
          </w:rPr>
          <w:t>1</w:t>
        </w:r>
        <w:r>
          <w:rPr>
            <w:noProof/>
          </w:rPr>
          <w:fldChar w:fldCharType="end"/>
        </w:r>
      </w:p>
    </w:sdtContent>
  </w:sdt>
  <w:p w14:paraId="7D189DB6" w14:textId="77777777" w:rsidR="008D2CCC" w:rsidRDefault="008D2CC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41E5D" w14:textId="77777777" w:rsidR="008D2CCC" w:rsidRDefault="008D2CC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A35FB" w14:textId="77777777" w:rsidR="00153595" w:rsidRDefault="009E6E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C5D0B" w14:textId="77777777" w:rsidR="00153595" w:rsidRDefault="009E6EE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6D1D9" w14:textId="77777777" w:rsidR="00153595" w:rsidRDefault="009E6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7B4B9" w14:textId="77777777" w:rsidR="00E3345E" w:rsidRDefault="00E3345E" w:rsidP="00AA655D">
      <w:r>
        <w:separator/>
      </w:r>
    </w:p>
  </w:footnote>
  <w:footnote w:type="continuationSeparator" w:id="0">
    <w:p w14:paraId="7640760E" w14:textId="77777777" w:rsidR="00E3345E" w:rsidRDefault="00E3345E" w:rsidP="00AA655D">
      <w:r>
        <w:continuationSeparator/>
      </w:r>
    </w:p>
  </w:footnote>
  <w:footnote w:id="1">
    <w:p w14:paraId="2D698357" w14:textId="77777777" w:rsidR="009A3092" w:rsidRPr="006B47D4" w:rsidRDefault="009A3092" w:rsidP="00AA655D">
      <w:pPr>
        <w:jc w:val="both"/>
        <w:rPr>
          <w:sz w:val="20"/>
          <w:lang w:val="da-DK"/>
        </w:rPr>
      </w:pPr>
      <w:r>
        <w:rPr>
          <w:rStyle w:val="FootnoteReference"/>
        </w:rPr>
        <w:footnoteRef/>
      </w:r>
      <w:r w:rsidRPr="006B47D4">
        <w:rPr>
          <w:lang w:val="da-DK"/>
        </w:rPr>
        <w:t xml:space="preserve"> </w:t>
      </w:r>
      <w:r w:rsidRPr="006B47D4">
        <w:rPr>
          <w:sz w:val="20"/>
          <w:lang w:val="da-DK"/>
        </w:rPr>
        <w:t>Nogle af medlemsstaternes kompetente myndigheder rapporterer også offentligt om handel med produkter med dobbelt anvendelse.</w:t>
      </w:r>
    </w:p>
  </w:footnote>
  <w:footnote w:id="2">
    <w:p w14:paraId="43E06D68" w14:textId="77777777" w:rsidR="009A3092" w:rsidRPr="006B47D4" w:rsidRDefault="009A3092" w:rsidP="005C3629">
      <w:pPr>
        <w:pStyle w:val="FootnoteText"/>
        <w:rPr>
          <w:lang w:val="da-DK"/>
        </w:rPr>
      </w:pPr>
      <w:r>
        <w:rPr>
          <w:rStyle w:val="FootnoteReference"/>
        </w:rPr>
        <w:footnoteRef/>
      </w:r>
      <w:r w:rsidRPr="006B47D4">
        <w:rPr>
          <w:lang w:val="da-DK"/>
        </w:rPr>
        <w:t xml:space="preserve"> Europa-Parlamentets og Rådets forordning (EU) 2021/821 af 20. maj 2021 om en EU-ordning for kontrol med eksport, mæglervirksomhed, teknisk bistand, transit og overførsel i forbindelse med produkter med dobbelt anvendelse (omarbejdning) (EUT L 206 af 11.6.2021, s. 1) - </w:t>
      </w:r>
      <w:hyperlink r:id="rId1" w:history="1">
        <w:r w:rsidRPr="006B47D4">
          <w:rPr>
            <w:rStyle w:val="Hyperlink"/>
            <w:lang w:val="da-DK"/>
          </w:rPr>
          <w:t>https://eur-lex.europa.eu/eli/reg/2021/821/oj?locale=da</w:t>
        </w:r>
      </w:hyperlink>
      <w:r w:rsidRPr="006B47D4">
        <w:rPr>
          <w:lang w:val="da-DK"/>
        </w:rPr>
        <w:t>.</w:t>
      </w:r>
    </w:p>
  </w:footnote>
  <w:footnote w:id="3">
    <w:p w14:paraId="13D20F97" w14:textId="77777777" w:rsidR="009A3092" w:rsidRPr="006B47D4" w:rsidRDefault="009A3092">
      <w:pPr>
        <w:pStyle w:val="FootnoteText"/>
        <w:rPr>
          <w:lang w:val="da-DK"/>
        </w:rPr>
      </w:pPr>
      <w:r>
        <w:rPr>
          <w:rStyle w:val="FootnoteReference"/>
        </w:rPr>
        <w:footnoteRef/>
      </w:r>
      <w:r w:rsidRPr="006B47D4">
        <w:rPr>
          <w:lang w:val="da-DK"/>
        </w:rPr>
        <w:t xml:space="preserve"> Den foregående årsrapport indeholder en beskrivelse af de vigtigste elementer i den nye forordning (afsnit 2.1.1. modernisering af lovgivningen).</w:t>
      </w:r>
    </w:p>
  </w:footnote>
  <w:footnote w:id="4">
    <w:p w14:paraId="7CACE167" w14:textId="77777777" w:rsidR="009A3092" w:rsidRPr="006B47D4" w:rsidRDefault="009A3092">
      <w:pPr>
        <w:pStyle w:val="FootnoteText"/>
        <w:rPr>
          <w:lang w:val="da-DK"/>
        </w:rPr>
      </w:pPr>
      <w:r>
        <w:rPr>
          <w:rStyle w:val="FootnoteReference"/>
        </w:rPr>
        <w:footnoteRef/>
      </w:r>
      <w:r w:rsidRPr="006B47D4">
        <w:rPr>
          <w:lang w:val="da-DK"/>
        </w:rPr>
        <w:t xml:space="preserve"> Dette er også en del af vores "partnerskab med den private sektor", som er et centralt element i moderniseringen af EU's eksportkontrol.</w:t>
      </w:r>
    </w:p>
  </w:footnote>
  <w:footnote w:id="5">
    <w:p w14:paraId="0F502C8C" w14:textId="67D0E445" w:rsidR="009A3092" w:rsidRPr="006B47D4" w:rsidRDefault="009A3092">
      <w:pPr>
        <w:pStyle w:val="FootnoteText"/>
        <w:rPr>
          <w:lang w:val="da-DK"/>
        </w:rPr>
      </w:pPr>
      <w:r>
        <w:rPr>
          <w:rStyle w:val="FootnoteReference"/>
        </w:rPr>
        <w:footnoteRef/>
      </w:r>
      <w:r w:rsidRPr="006B47D4">
        <w:rPr>
          <w:lang w:val="da-DK"/>
        </w:rPr>
        <w:t xml:space="preserve"> https://trade.ec.europa.eu/doclib/docs/2021/november/tradoc_159949.pdf.</w:t>
      </w:r>
    </w:p>
  </w:footnote>
  <w:footnote w:id="6">
    <w:p w14:paraId="11C9C1B7" w14:textId="77777777" w:rsidR="009A3092" w:rsidRPr="006B47D4" w:rsidRDefault="009A3092">
      <w:pPr>
        <w:pStyle w:val="FootnoteText"/>
        <w:rPr>
          <w:lang w:val="da-DK"/>
        </w:rPr>
      </w:pPr>
      <w:r>
        <w:rPr>
          <w:rStyle w:val="FootnoteReference"/>
        </w:rPr>
        <w:footnoteRef/>
      </w:r>
      <w:r w:rsidRPr="006B47D4">
        <w:rPr>
          <w:lang w:val="da-DK"/>
        </w:rPr>
        <w:t xml:space="preserve"> </w:t>
      </w:r>
      <w:hyperlink r:id="rId2" w:history="1">
        <w:r w:rsidRPr="006B47D4">
          <w:rPr>
            <w:rStyle w:val="Hyperlink"/>
            <w:lang w:val="da-DK"/>
          </w:rPr>
          <w:t>https://ec.europa.eu/commission/presscorner/detail/da/STATEMENT_21_4951</w:t>
        </w:r>
      </w:hyperlink>
      <w:r w:rsidRPr="006B47D4">
        <w:rPr>
          <w:lang w:val="da-DK"/>
        </w:rPr>
        <w:t xml:space="preserve">. </w:t>
      </w:r>
    </w:p>
  </w:footnote>
  <w:footnote w:id="7">
    <w:p w14:paraId="04194E91" w14:textId="3249E142" w:rsidR="009A3092" w:rsidRPr="002C0330" w:rsidRDefault="009A3092">
      <w:pPr>
        <w:pStyle w:val="FootnoteText"/>
        <w:rPr>
          <w:lang w:val="da-DK"/>
        </w:rPr>
      </w:pPr>
      <w:r>
        <w:rPr>
          <w:rStyle w:val="FootnoteReference"/>
        </w:rPr>
        <w:footnoteRef/>
      </w:r>
      <w:r w:rsidRPr="006B47D4">
        <w:rPr>
          <w:lang w:val="da-DK"/>
        </w:rPr>
        <w:t xml:space="preserve"> </w:t>
      </w:r>
      <w:hyperlink r:id="rId3" w:history="1">
        <w:r w:rsidRPr="006B47D4">
          <w:rPr>
            <w:rStyle w:val="Hyperlink"/>
            <w:lang w:val="da-DK"/>
          </w:rPr>
          <w:t>https://trade.ec.europa.eu/doclib/docs/2021/december/tradoc_159950.pdf</w:t>
        </w:r>
      </w:hyperlink>
      <w:r w:rsidR="002C0330" w:rsidRPr="002C0330">
        <w:rPr>
          <w:lang w:val="da-DK"/>
        </w:rPr>
        <w:t>.</w:t>
      </w:r>
    </w:p>
  </w:footnote>
  <w:footnote w:id="8">
    <w:p w14:paraId="59E7D648" w14:textId="79D1645F" w:rsidR="00D00286" w:rsidRPr="002C0330" w:rsidRDefault="00D00286">
      <w:pPr>
        <w:pStyle w:val="FootnoteText"/>
      </w:pPr>
      <w:r>
        <w:rPr>
          <w:rStyle w:val="FootnoteReference"/>
        </w:rPr>
        <w:footnoteRef/>
      </w:r>
      <w:r w:rsidRPr="002C0330">
        <w:t xml:space="preserve"> </w:t>
      </w:r>
      <w:hyperlink r:id="rId4" w:history="1">
        <w:r w:rsidR="002C0330">
          <w:rPr>
            <w:rStyle w:val="Hyperlink"/>
          </w:rPr>
          <w:t>Summary public feedback consultation Working Group 7 | Futurium (europa.eu)</w:t>
        </w:r>
      </w:hyperlink>
      <w:r w:rsidRPr="002C0330">
        <w:t xml:space="preserve">. </w:t>
      </w:r>
    </w:p>
  </w:footnote>
  <w:footnote w:id="9">
    <w:p w14:paraId="2E147E8B" w14:textId="77777777" w:rsidR="009A3092" w:rsidRPr="00424719" w:rsidRDefault="009A3092" w:rsidP="003F48E9">
      <w:pPr>
        <w:pStyle w:val="FootnoteText"/>
        <w:rPr>
          <w:lang w:val="de-DE"/>
        </w:rPr>
      </w:pPr>
      <w:r>
        <w:rPr>
          <w:rStyle w:val="FootnoteReference"/>
        </w:rPr>
        <w:footnoteRef/>
      </w:r>
      <w:r w:rsidRPr="00424719">
        <w:rPr>
          <w:lang w:val="de-DE"/>
        </w:rPr>
        <w:t xml:space="preserve"> Albanien, Bosnien-Hercegovina, Kosovo, Montenegro, Nordmakedonien og Serbien.</w:t>
      </w:r>
    </w:p>
  </w:footnote>
  <w:footnote w:id="10">
    <w:p w14:paraId="63477409" w14:textId="77777777" w:rsidR="009A3092" w:rsidRPr="006B47D4" w:rsidRDefault="009A3092" w:rsidP="003F1C04">
      <w:pPr>
        <w:pStyle w:val="FootnoteText"/>
        <w:jc w:val="both"/>
        <w:rPr>
          <w:lang w:val="da-DK"/>
        </w:rPr>
      </w:pPr>
      <w:r>
        <w:rPr>
          <w:rStyle w:val="FootnoteReference"/>
        </w:rPr>
        <w:footnoteRef/>
      </w:r>
      <w:r w:rsidRPr="006B47D4">
        <w:rPr>
          <w:lang w:val="da-DK"/>
        </w:rPr>
        <w:t xml:space="preserve"> Kommissionens delegerede forordning (EU) 2022/1 af 20. oktober 2021 (EUT L 3 af 6.1.2022, s. 1).</w:t>
      </w:r>
    </w:p>
  </w:footnote>
  <w:footnote w:id="11">
    <w:p w14:paraId="77267077" w14:textId="77777777" w:rsidR="009A3092" w:rsidRPr="006B47D4" w:rsidRDefault="009A3092" w:rsidP="002C0330">
      <w:pPr>
        <w:pStyle w:val="FootnoteText"/>
        <w:rPr>
          <w:lang w:val="da-DK"/>
        </w:rPr>
      </w:pPr>
      <w:r>
        <w:rPr>
          <w:rStyle w:val="FootnoteReference"/>
        </w:rPr>
        <w:footnoteRef/>
      </w:r>
      <w:r w:rsidRPr="006B47D4">
        <w:rPr>
          <w:lang w:val="da-DK"/>
        </w:rPr>
        <w:t xml:space="preserve"> Det sammenfattende notat kan findes på:  </w:t>
      </w:r>
      <w:hyperlink r:id="rId5" w:history="1">
        <w:r w:rsidRPr="006B47D4">
          <w:rPr>
            <w:rStyle w:val="Hyperlink"/>
            <w:lang w:val="da-DK"/>
          </w:rPr>
          <w:t>https://trade.ec.europa.eu/doclib/docs/2021/november/tradoc_159903.pdf</w:t>
        </w:r>
      </w:hyperlink>
      <w:r w:rsidRPr="006B47D4">
        <w:rPr>
          <w:lang w:val="da-DK"/>
        </w:rPr>
        <w:t xml:space="preserve">. </w:t>
      </w:r>
    </w:p>
  </w:footnote>
  <w:footnote w:id="12">
    <w:p w14:paraId="18B5856F" w14:textId="588D3863" w:rsidR="009A3092" w:rsidRPr="006B47D4" w:rsidRDefault="009A3092" w:rsidP="00AA655D">
      <w:pPr>
        <w:pStyle w:val="FootnoteText"/>
        <w:rPr>
          <w:rStyle w:val="Hyperlink"/>
          <w:lang w:val="da-DK"/>
        </w:rPr>
      </w:pPr>
      <w:r>
        <w:rPr>
          <w:rStyle w:val="FootnoteReference"/>
        </w:rPr>
        <w:footnoteRef/>
      </w:r>
      <w:r w:rsidRPr="006B47D4">
        <w:rPr>
          <w:lang w:val="da-DK"/>
        </w:rPr>
        <w:t xml:space="preserve"> </w:t>
      </w:r>
      <w:hyperlink r:id="rId6" w:history="1">
        <w:r w:rsidRPr="006B47D4">
          <w:rPr>
            <w:rStyle w:val="Hyperlink"/>
            <w:lang w:val="da-DK"/>
          </w:rPr>
          <w:t>https://trade.ec.europa.eu/doclib/docs/2022/februarT/tradoc_160037.pdf</w:t>
        </w:r>
      </w:hyperlink>
      <w:r w:rsidRPr="006B47D4">
        <w:rPr>
          <w:lang w:val="da-DK"/>
        </w:rPr>
        <w:t xml:space="preserve">. </w:t>
      </w:r>
      <w:r w:rsidRPr="006B47D4">
        <w:rPr>
          <w:rStyle w:val="Hyperlink"/>
          <w:lang w:val="da-DK"/>
        </w:rPr>
        <w:t xml:space="preserve"> </w:t>
      </w:r>
    </w:p>
  </w:footnote>
  <w:footnote w:id="13">
    <w:p w14:paraId="06CCC513" w14:textId="77777777" w:rsidR="009A3092" w:rsidRPr="006B47D4" w:rsidRDefault="009A3092">
      <w:pPr>
        <w:pStyle w:val="FootnoteText"/>
        <w:rPr>
          <w:rStyle w:val="Hyperlink"/>
          <w:lang w:val="da-DK"/>
        </w:rPr>
      </w:pPr>
      <w:r>
        <w:rPr>
          <w:rStyle w:val="FootnoteReference"/>
        </w:rPr>
        <w:footnoteRef/>
      </w:r>
      <w:r w:rsidRPr="006B47D4">
        <w:rPr>
          <w:rStyle w:val="Hyperlink"/>
          <w:lang w:val="da-DK"/>
        </w:rPr>
        <w:t xml:space="preserve"> </w:t>
      </w:r>
      <w:hyperlink r:id="rId7" w:history="1">
        <w:r w:rsidRPr="006B47D4">
          <w:rPr>
            <w:rStyle w:val="Hyperlink"/>
            <w:lang w:val="da-DK"/>
          </w:rPr>
          <w:t>https://ec.europa.eu/transparency/documents-register/detail?ref=COM(2019)562&amp;lang=da</w:t>
        </w:r>
      </w:hyperlink>
      <w:r w:rsidRPr="006B47D4">
        <w:rPr>
          <w:lang w:val="da-DK"/>
        </w:rPr>
        <w:t>.</w:t>
      </w:r>
      <w:r w:rsidRPr="006B47D4">
        <w:rPr>
          <w:rStyle w:val="Hyperlink"/>
          <w:lang w:val="da-DK"/>
        </w:rPr>
        <w:t xml:space="preserve"> </w:t>
      </w:r>
    </w:p>
  </w:footnote>
  <w:footnote w:id="14">
    <w:p w14:paraId="78B123E5" w14:textId="77777777" w:rsidR="009A3092" w:rsidRPr="006B47D4" w:rsidRDefault="009A3092" w:rsidP="00933503">
      <w:pPr>
        <w:pStyle w:val="Default"/>
        <w:rPr>
          <w:rFonts w:ascii="Times New Roman" w:eastAsia="Calibri" w:hAnsi="Times New Roman" w:cs="Times New Roman"/>
          <w:sz w:val="20"/>
          <w:lang w:val="da-DK"/>
        </w:rPr>
      </w:pPr>
      <w:r>
        <w:rPr>
          <w:rStyle w:val="FootnoteReference"/>
          <w:sz w:val="22"/>
        </w:rPr>
        <w:footnoteRef/>
      </w:r>
      <w:r w:rsidRPr="006B47D4">
        <w:rPr>
          <w:lang w:val="da-DK"/>
        </w:rPr>
        <w:t xml:space="preserve"> </w:t>
      </w:r>
      <w:r w:rsidRPr="006B47D4">
        <w:rPr>
          <w:rFonts w:ascii="Times New Roman" w:hAnsi="Times New Roman"/>
          <w:sz w:val="20"/>
          <w:lang w:val="da-DK"/>
        </w:rPr>
        <w:t xml:space="preserve">EUT L 29 af 31.1.2020, s. 7 ("udtrædelsesaftalen").  </w:t>
      </w:r>
    </w:p>
  </w:footnote>
  <w:footnote w:id="15">
    <w:p w14:paraId="3EBAF8A9" w14:textId="77777777" w:rsidR="009A3092" w:rsidRPr="006B47D4" w:rsidRDefault="009A3092" w:rsidP="00933503">
      <w:pPr>
        <w:pStyle w:val="FootnoteText"/>
        <w:rPr>
          <w:lang w:val="da-DK"/>
        </w:rPr>
      </w:pPr>
      <w:r>
        <w:rPr>
          <w:rStyle w:val="FootnoteReference"/>
        </w:rPr>
        <w:footnoteRef/>
      </w:r>
      <w:r w:rsidRPr="006B47D4">
        <w:rPr>
          <w:lang w:val="da-DK"/>
        </w:rPr>
        <w:t xml:space="preserve"> NI-protokollens artikel 5, stk. 4, samt afsnit 47 i bilag 2 til nævnte protokol.</w:t>
      </w:r>
    </w:p>
  </w:footnote>
  <w:footnote w:id="16">
    <w:p w14:paraId="25E23799" w14:textId="77777777" w:rsidR="009A3092" w:rsidRPr="006B47D4" w:rsidRDefault="009A3092">
      <w:pPr>
        <w:pStyle w:val="FootnoteText"/>
        <w:rPr>
          <w:lang w:val="da-DK"/>
        </w:rPr>
      </w:pPr>
      <w:r>
        <w:rPr>
          <w:rStyle w:val="FootnoteReference"/>
        </w:rPr>
        <w:footnoteRef/>
      </w:r>
      <w:r w:rsidRPr="006B47D4">
        <w:rPr>
          <w:lang w:val="da-DK"/>
        </w:rPr>
        <w:t xml:space="preserve"> DUCG godkendte denne nye DUeS-funktionalitet.</w:t>
      </w:r>
    </w:p>
  </w:footnote>
  <w:footnote w:id="17">
    <w:p w14:paraId="727BB801" w14:textId="77777777" w:rsidR="009A3092" w:rsidRPr="006B47D4" w:rsidRDefault="009A3092">
      <w:pPr>
        <w:pStyle w:val="FootnoteText"/>
        <w:rPr>
          <w:lang w:val="da-DK"/>
        </w:rPr>
      </w:pPr>
      <w:r>
        <w:rPr>
          <w:rStyle w:val="FootnoteReference"/>
        </w:rPr>
        <w:footnoteRef/>
      </w:r>
      <w:r w:rsidRPr="006B47D4">
        <w:rPr>
          <w:lang w:val="da-DK"/>
        </w:rPr>
        <w:t xml:space="preserve"> Denne rapport er også den årlige rapport, der kræves i henhold til den nye forordning om DUCG's aktiviteter, undersøgelser og høringer.</w:t>
      </w:r>
    </w:p>
  </w:footnote>
  <w:footnote w:id="18">
    <w:p w14:paraId="0F4EECE3" w14:textId="77777777" w:rsidR="009A3092" w:rsidRPr="006B47D4" w:rsidRDefault="009A3092" w:rsidP="001B5C4A">
      <w:pPr>
        <w:pStyle w:val="FootnoteText"/>
        <w:rPr>
          <w:lang w:val="da-DK"/>
        </w:rPr>
      </w:pPr>
      <w:r>
        <w:rPr>
          <w:rStyle w:val="FootnoteReference"/>
        </w:rPr>
        <w:footnoteRef/>
      </w:r>
      <w:r w:rsidRPr="006B47D4">
        <w:rPr>
          <w:lang w:val="da-DK"/>
        </w:rPr>
        <w:t xml:space="preserve"> Den orienterende note blev offentliggjort den 8. februar 2022, EUT-meddelelse 2022/C66/27.</w:t>
      </w:r>
    </w:p>
  </w:footnote>
  <w:footnote w:id="19">
    <w:p w14:paraId="61E270F1" w14:textId="77777777" w:rsidR="009A3092" w:rsidRPr="006B47D4" w:rsidRDefault="009A3092">
      <w:pPr>
        <w:pStyle w:val="FootnoteText"/>
        <w:rPr>
          <w:lang w:val="da-DK"/>
        </w:rPr>
      </w:pPr>
      <w:r>
        <w:rPr>
          <w:rStyle w:val="FootnoteReference"/>
        </w:rPr>
        <w:footnoteRef/>
      </w:r>
      <w:r w:rsidRPr="006B47D4">
        <w:rPr>
          <w:lang w:val="da-DK"/>
        </w:rPr>
        <w:t xml:space="preserve"> Aflytningsudstyr til mobil telekommunikation, IP-netværksovervågningssystemer, intrusionssoftware.</w:t>
      </w:r>
    </w:p>
  </w:footnote>
  <w:footnote w:id="20">
    <w:p w14:paraId="4713BB65" w14:textId="77777777" w:rsidR="009A3092" w:rsidRPr="006B47D4" w:rsidRDefault="009A3092" w:rsidP="00E72244">
      <w:pPr>
        <w:pStyle w:val="FootnoteText"/>
        <w:jc w:val="both"/>
        <w:rPr>
          <w:lang w:val="da-DK"/>
        </w:rPr>
      </w:pPr>
      <w:r>
        <w:rPr>
          <w:rStyle w:val="FootnoteReference"/>
        </w:rPr>
        <w:footnoteRef/>
      </w:r>
      <w:r w:rsidRPr="006B47D4">
        <w:rPr>
          <w:lang w:val="da-DK"/>
        </w:rPr>
        <w:t xml:space="preserve"> Kommissionens henstilling (EU) 2021/1700 af 15. september 2021 om interne programmer til sikring af overholdelse af kontrol med forskning vedrørende produkter med dobbelt anvendelse i henhold til Europa-Parlamentets og Rådets forordning (EU) 2021/821 om en EU-ordning for kontrol med eksport, mæglervirksomhed, teknisk bistand, transit og overførsel i forbindelse med produkter med dobbelt anvendelse.</w:t>
      </w:r>
    </w:p>
  </w:footnote>
  <w:footnote w:id="21">
    <w:p w14:paraId="5B08F678" w14:textId="77777777" w:rsidR="009A3092" w:rsidRPr="006B47D4" w:rsidRDefault="009A3092">
      <w:pPr>
        <w:pStyle w:val="FootnoteText"/>
        <w:rPr>
          <w:lang w:val="da-DK"/>
        </w:rPr>
      </w:pPr>
      <w:r>
        <w:rPr>
          <w:rStyle w:val="FootnoteReference"/>
        </w:rPr>
        <w:footnoteRef/>
      </w:r>
      <w:r w:rsidRPr="006B47D4">
        <w:rPr>
          <w:lang w:val="da-DK"/>
        </w:rPr>
        <w:t xml:space="preserve"> https://eur-lex.europa.eu/legal-content/DA/ALL/?uri=uriserv%3AOJ.L_.2021.338.01.0001.01.ENG.</w:t>
      </w:r>
    </w:p>
  </w:footnote>
  <w:footnote w:id="22">
    <w:p w14:paraId="38B4A3D5" w14:textId="63AAD349" w:rsidR="00E36851" w:rsidRPr="006B47D4" w:rsidRDefault="00E36851" w:rsidP="00E36851">
      <w:pPr>
        <w:pStyle w:val="FootnoteText"/>
        <w:rPr>
          <w:lang w:val="da-DK"/>
        </w:rPr>
      </w:pPr>
      <w:r>
        <w:rPr>
          <w:rStyle w:val="FootnoteReference"/>
        </w:rPr>
        <w:footnoteRef/>
      </w:r>
      <w:r w:rsidRPr="006B47D4">
        <w:rPr>
          <w:lang w:val="da-DK"/>
        </w:rPr>
        <w:t xml:space="preserve"> Listen over kategorier afspejler Wassenaararrangementets liste, hvortil kategori 0 for nukleare produkter blev tilføjet.</w:t>
      </w:r>
    </w:p>
  </w:footnote>
  <w:footnote w:id="23">
    <w:p w14:paraId="01E43F33" w14:textId="479DA586" w:rsidR="009A3092" w:rsidRPr="006B47D4" w:rsidRDefault="009A3092" w:rsidP="00114F71">
      <w:pPr>
        <w:pStyle w:val="FootnoteText"/>
        <w:jc w:val="both"/>
        <w:rPr>
          <w:lang w:val="da-DK"/>
        </w:rPr>
      </w:pPr>
      <w:r>
        <w:rPr>
          <w:rStyle w:val="FootnoteReference"/>
        </w:rPr>
        <w:footnoteRef/>
      </w:r>
      <w:r w:rsidRPr="006B47D4">
        <w:rPr>
          <w:lang w:val="da-DK"/>
        </w:rPr>
        <w:t xml:space="preserve"> Den statistiske metode, der er udviklet af Kommissionens Fælles Forskningscenter, anvender en sammenligningstabel, der er udarbejdet af Kommissionens told- og skatteafdeling (GD TAXUD), mellem klassifikationsnumre med dobbelt anvendelse og toldkoder og Eurostats Comext-data samt tilladelsesdata fra EU-27-medlemsstaterne. Begrebet</w:t>
      </w:r>
      <w:r w:rsidRPr="006B47D4">
        <w:rPr>
          <w:i/>
          <w:iCs/>
          <w:lang w:val="da-DK"/>
        </w:rPr>
        <w:t xml:space="preserve"> eksport af produkter med dobbelt anvendelse</w:t>
      </w:r>
      <w:r w:rsidRPr="006B47D4">
        <w:rPr>
          <w:lang w:val="da-DK"/>
        </w:rPr>
        <w:t xml:space="preserve"> henviser til et stort område med blandede varer, som omfatter produkter med dobbelt anvendelse. Handel med produkter med dobbelt anvendelse finder sted</w:t>
      </w:r>
      <w:r w:rsidRPr="006B47D4">
        <w:rPr>
          <w:i/>
          <w:iCs/>
          <w:lang w:val="da-DK"/>
        </w:rPr>
        <w:t xml:space="preserve"> inden for</w:t>
      </w:r>
      <w:r w:rsidRPr="006B47D4">
        <w:rPr>
          <w:lang w:val="da-DK"/>
        </w:rPr>
        <w:t xml:space="preserve"> dette område, men er ikke identisk hermed, da de produkter og varer, der er omfattet af denne toldkategori, vil være meget bredere og omfatte mange produkter, der har rent civile anvendelser, eller som ikke har dobbelt anvendelse.</w:t>
      </w:r>
    </w:p>
    <w:p w14:paraId="2C5946B2" w14:textId="77777777" w:rsidR="009A3092" w:rsidRPr="006B47D4" w:rsidRDefault="009A3092" w:rsidP="00114F71">
      <w:pPr>
        <w:pStyle w:val="FootnoteText"/>
        <w:rPr>
          <w:lang w:val="da-DK"/>
        </w:rPr>
      </w:pPr>
    </w:p>
  </w:footnote>
  <w:footnote w:id="24">
    <w:p w14:paraId="77F9D2DC" w14:textId="77777777" w:rsidR="009A3092" w:rsidRPr="006B47D4" w:rsidRDefault="009A3092" w:rsidP="00114F71">
      <w:pPr>
        <w:pStyle w:val="FootnoteText"/>
        <w:jc w:val="both"/>
        <w:rPr>
          <w:lang w:val="da-DK"/>
        </w:rPr>
      </w:pPr>
      <w:r>
        <w:rPr>
          <w:rStyle w:val="FootnoteReference"/>
        </w:rPr>
        <w:footnoteRef/>
      </w:r>
      <w:r w:rsidRPr="006B47D4">
        <w:rPr>
          <w:lang w:val="da-DK"/>
        </w:rPr>
        <w:t xml:space="preserve"> "Proviantering og bunkring, øvrige" defineres som leverancer af skibs- og luftfartøjsproviant. "Øvrige — lande der ikke er præciseret yderligere" omfatter lande og territorier, som ikke er specificeret i handelen med tredjelande. Disse koder anvendes nemlig som regel for varer, der leveres til offshoreanlæg.</w:t>
      </w:r>
    </w:p>
  </w:footnote>
  <w:footnote w:id="25">
    <w:p w14:paraId="461B3B9B" w14:textId="5F125C21" w:rsidR="009A3092" w:rsidRPr="006B47D4" w:rsidRDefault="009A3092" w:rsidP="00E36851">
      <w:pPr>
        <w:pStyle w:val="FootnoteText"/>
        <w:jc w:val="both"/>
        <w:rPr>
          <w:lang w:val="da-DK"/>
        </w:rPr>
      </w:pPr>
      <w:r>
        <w:rPr>
          <w:rStyle w:val="FootnoteReference"/>
        </w:rPr>
        <w:footnoteRef/>
      </w:r>
      <w:r w:rsidRPr="006B47D4">
        <w:rPr>
          <w:lang w:val="da-DK"/>
        </w:rPr>
        <w:t xml:space="preserve"> Dette tal omfatter værdien af ansøgninger om tilladelser samt meddelelser i henhold til generelle eksporttilladelser.</w:t>
      </w:r>
      <w:r w:rsidRPr="006B47D4">
        <w:rPr>
          <w:sz w:val="24"/>
          <w:lang w:val="da-DK"/>
        </w:rPr>
        <w:t xml:space="preserve"> </w:t>
      </w:r>
      <w:r w:rsidRPr="006B47D4">
        <w:rPr>
          <w:lang w:val="da-DK"/>
        </w:rPr>
        <w:t>Generelle eksporttilladelser tillader eksport af produkter med dobbelt anvendelse til visse bestemmelsessteder på visse betingelser, mens globale tilladelser kan udstedes af de kompetente myndigheder til en enkelt eksportør og kan omfatte flere produkter til flere bestemmelseslande eller slutbrugere.</w:t>
      </w:r>
    </w:p>
  </w:footnote>
  <w:footnote w:id="26">
    <w:p w14:paraId="1DCA828D" w14:textId="77777777" w:rsidR="009A3092" w:rsidRPr="006B47D4" w:rsidRDefault="009A3092" w:rsidP="00114F71">
      <w:pPr>
        <w:pStyle w:val="FootnoteText"/>
        <w:jc w:val="both"/>
        <w:rPr>
          <w:lang w:val="da-DK"/>
        </w:rPr>
      </w:pPr>
      <w:r>
        <w:rPr>
          <w:rStyle w:val="FootnoteReference"/>
        </w:rPr>
        <w:footnoteRef/>
      </w:r>
      <w:r w:rsidRPr="006B47D4">
        <w:rPr>
          <w:lang w:val="da-DK"/>
        </w:rPr>
        <w:t xml:space="preserve"> Individuelle tilladelser er tilladelser, der er udstedt til en bestemt eksportør til en slutbruger eller modtager i et tredjeland, og som dækker et eller flere produkter med dobbelt anvendelse.</w:t>
      </w:r>
    </w:p>
  </w:footnote>
  <w:footnote w:id="27">
    <w:p w14:paraId="7CFF1B82" w14:textId="77777777" w:rsidR="009A3092" w:rsidRPr="006B47D4" w:rsidRDefault="009A3092" w:rsidP="00114F71">
      <w:pPr>
        <w:pStyle w:val="FootnoteText"/>
        <w:jc w:val="both"/>
        <w:rPr>
          <w:lang w:val="da-DK"/>
        </w:rPr>
      </w:pPr>
      <w:r>
        <w:rPr>
          <w:rStyle w:val="FootnoteReference"/>
        </w:rPr>
        <w:footnoteRef/>
      </w:r>
      <w:r w:rsidRPr="006B47D4">
        <w:rPr>
          <w:lang w:val="da-DK"/>
        </w:rPr>
        <w:t xml:space="preserve"> Globale tilladelser er tilladelser, der udstedes til en bestemt eksportør for en type eller kategori af produkter med dobbelt anvendelse, som kan være gyldig for eksport til en eller flere angivne slutbrugere og/eller i et eller flere angivne tredjelande.</w:t>
      </w:r>
    </w:p>
  </w:footnote>
  <w:footnote w:id="28">
    <w:p w14:paraId="61CF4495" w14:textId="77777777" w:rsidR="009A3092" w:rsidRPr="006B47D4" w:rsidRDefault="009A3092" w:rsidP="00114F71">
      <w:pPr>
        <w:pStyle w:val="FootnoteText"/>
        <w:jc w:val="both"/>
        <w:rPr>
          <w:lang w:val="da-DK"/>
        </w:rPr>
      </w:pPr>
      <w:r>
        <w:rPr>
          <w:rStyle w:val="FootnoteReference"/>
          <w:color w:val="808080"/>
        </w:rPr>
        <w:footnoteRef/>
      </w:r>
      <w:r w:rsidRPr="006B47D4">
        <w:rPr>
          <w:color w:val="808080"/>
          <w:lang w:val="da-DK"/>
        </w:rPr>
        <w:t xml:space="preserve"> </w:t>
      </w:r>
      <w:r w:rsidRPr="006B47D4">
        <w:rPr>
          <w:lang w:val="da-DK"/>
        </w:rPr>
        <w:t>I figur 5 og 6 omfatter data vedrørende "ansøgninger" samtlige ansøgninger om tilladelser, herunder meddelelser i henhold til generelle tilladelser, og giver derved et indtryk af de "kontrollerede udførsler", dvs. værdien af de udførsler uden for EU, der er underlagt en tilladelsesprocedure. Der, hvor der ikke fandtes oplysninger om ansøgninger, er graferne udtryk for et skøn baseret på oplysninger om tilladelser. Oplysninger om "tilladelser" omfatter eksport af produkter med dobbelt anvendelse, som enten er blevet tilladt ved individuelle eller globale tilladelser. Det skal bemærkes, at ansøgninger ikke nødvendigvis er lig med summen af tilladelser og afslag, idet nogle ansøgninger måske annulleres, og nogle ansøgninger måske ikke færdigbehandles inden for samme år. "Afslag" omfatter mængden og værdien af den afslåede eksport. Forskelle i data, der tyder på et fald i forhold til de foregående år, skyldes brexit og det forhold, at Det Forenede Kongerige ikke har fremlagt data siden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64207" w14:textId="77777777" w:rsidR="009E6EE0" w:rsidRPr="009E6EE0" w:rsidRDefault="009E6EE0" w:rsidP="009E6E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9A968" w14:textId="77777777" w:rsidR="009E6EE0" w:rsidRPr="009E6EE0" w:rsidRDefault="009E6EE0" w:rsidP="009E6EE0">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C2FB7" w14:textId="77777777" w:rsidR="009E6EE0" w:rsidRPr="009E6EE0" w:rsidRDefault="009E6EE0" w:rsidP="009E6EE0">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FEFA7" w14:textId="77777777" w:rsidR="008D2CCC" w:rsidRDefault="008D2C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52329" w14:textId="77777777" w:rsidR="008D2CCC" w:rsidRDefault="008D2C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A6D2F" w14:textId="77777777" w:rsidR="008D2CCC" w:rsidRDefault="008D2CC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A71C" w14:textId="77777777" w:rsidR="00153595" w:rsidRDefault="009E6EE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C1B3E" w14:textId="77777777" w:rsidR="00153595" w:rsidRPr="006B47D4" w:rsidRDefault="00B25A6B" w:rsidP="00B25A6B">
    <w:pPr>
      <w:pStyle w:val="Header"/>
      <w:jc w:val="center"/>
      <w:rPr>
        <w:lang w:val="da-DK"/>
      </w:rPr>
    </w:pPr>
    <w:r w:rsidRPr="006B47D4">
      <w:rPr>
        <w:lang w:val="da-DK"/>
      </w:rPr>
      <w:t>Bilag — Gennemførelse af den nye forordning om kontrol med eksport af produkter med dobbelt anvendelse — vejledende tidsplaner</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88F0A" w14:textId="77777777" w:rsidR="00153595" w:rsidRDefault="009E6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70590"/>
    <w:multiLevelType w:val="hybridMultilevel"/>
    <w:tmpl w:val="FE2209C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7D33A64"/>
    <w:multiLevelType w:val="hybridMultilevel"/>
    <w:tmpl w:val="A3B2712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415102DD"/>
    <w:multiLevelType w:val="hybridMultilevel"/>
    <w:tmpl w:val="FA94B36E"/>
    <w:lvl w:ilvl="0" w:tplc="DBE68FB4">
      <w:start w:val="1"/>
      <w:numFmt w:val="decimal"/>
      <w:lvlText w:val="%1."/>
      <w:lvlJc w:val="left"/>
      <w:pPr>
        <w:ind w:left="720" w:hanging="360"/>
      </w:pPr>
      <w:rPr>
        <w:rFonts w:hint="default"/>
        <w:b w:val="0"/>
      </w:rPr>
    </w:lvl>
    <w:lvl w:ilvl="1" w:tplc="C4D2513E">
      <w:start w:val="1"/>
      <w:numFmt w:val="lowerRoman"/>
      <w:lvlText w:val="(%2)"/>
      <w:lvlJc w:val="left"/>
      <w:pPr>
        <w:ind w:left="1800" w:hanging="720"/>
      </w:pPr>
      <w:rPr>
        <w:rFonts w:hint="default"/>
      </w:rPr>
    </w:lvl>
    <w:lvl w:ilvl="2" w:tplc="E0082A70">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186CAE"/>
    <w:multiLevelType w:val="hybridMultilevel"/>
    <w:tmpl w:val="25BE5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60282A"/>
    <w:multiLevelType w:val="hybridMultilevel"/>
    <w:tmpl w:val="00CE3F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embedSystemFonts/>
  <w:hideSpellingErrors/>
  <w:hideGrammaticalErrors/>
  <w:activeWritingStyle w:appName="MSWord" w:lang="es-ES" w:vendorID="64" w:dllVersion="6" w:nlCheck="1" w:checkStyle="0"/>
  <w:activeWritingStyle w:appName="MSWord" w:lang="en-GB" w:vendorID="64" w:dllVersion="6" w:nlCheck="1" w:checkStyle="1"/>
  <w:activeWritingStyle w:appName="MSWord" w:lang="nl-NL" w:vendorID="64" w:dllVersion="6" w:nlCheck="1" w:checkStyle="0"/>
  <w:activeWritingStyle w:appName="MSWord" w:lang="en-IE" w:vendorID="64" w:dllVersion="6" w:nlCheck="1" w:checkStyle="1"/>
  <w:activeWritingStyle w:appName="MSWord" w:lang="de-AT" w:vendorID="64" w:dllVersion="6" w:nlCheck="1" w:checkStyle="0"/>
  <w:activeWritingStyle w:appName="MSWord" w:lang="en-US" w:vendorID="64" w:dllVersion="6" w:nlCheck="1" w:checkStyle="1"/>
  <w:activeWritingStyle w:appName="MSWord" w:lang="de-DE" w:vendorID="64" w:dllVersion="6" w:nlCheck="1" w:checkStyle="0"/>
  <w:activeWritingStyle w:appName="MSWord" w:lang="fr-BE" w:vendorID="64" w:dllVersion="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n-IE" w:vendorID="64" w:dllVersion="0" w:nlCheck="1" w:checkStyle="0"/>
  <w:activeWritingStyle w:appName="MSWord" w:lang="de-AT"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de-AT" w:vendorID="64" w:dllVersion="131078" w:nlCheck="1" w:checkStyle="0"/>
  <w:activeWritingStyle w:appName="MSWord" w:lang="en-IE" w:vendorID="64" w:dllVersion="131078" w:nlCheck="1" w:checkStyle="1"/>
  <w:activeWritingStyle w:appName="MSWord" w:lang="de-DE" w:vendorID="64" w:dllVersion="131078" w:nlCheck="1" w:checkStyle="0"/>
  <w:activeWritingStyle w:appName="MSWord" w:lang="da-DK"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drawingGridHorizontalSpacing w:val="120"/>
  <w:displayHorizontalDrawingGridEvery w:val="2"/>
  <w:displayVertic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D05C9A8B-364D-44FB-9598-F9BD9C6DD542"/>
    <w:docVar w:name="LW_COVERPAGE_TYPE" w:val="1"/>
    <w:docVar w:name="LW_CROSSREFERENCE" w:val="&lt;UNUSED&gt;"/>
    <w:docVar w:name="LW_DocType" w:val="NORMAL"/>
    <w:docVar w:name="LW_EMISSION" w:val="1.9.2022"/>
    <w:docVar w:name="LW_EMISSION_ISODATE" w:val="2022-09-01"/>
    <w:docVar w:name="LW_EMISSION_LOCATION" w:val="BRX"/>
    <w:docVar w:name="LW_EMISSION_PREFIX" w:val="Bruxelles, den "/>
    <w:docVar w:name="LW_EMISSION_SUFFIX" w:val=" "/>
    <w:docVar w:name="LW_ID_DOCTYPE_NONLW" w:val="CP-006"/>
    <w:docVar w:name="LW_LANGUE" w:val="DA"/>
    <w:docVar w:name="LW_LEVEL_OF_SENSITIVITY" w:val="Standard treatment"/>
    <w:docVar w:name="LW_NOM.INST" w:val="EUROPA-KOMMISSIONEN"/>
    <w:docVar w:name="LW_NOM.INST_JOINTDOC" w:val="&lt;EMPTY&gt;"/>
    <w:docVar w:name="LW_PART_NBR" w:val="1"/>
    <w:docVar w:name="LW_PART_NBR_TOTAL" w:val="1"/>
    <w:docVar w:name="LW_REF.INST.NEW" w:val="COM"/>
    <w:docVar w:name="LW_REF.INST.NEW_ADOPTED" w:val="final"/>
    <w:docVar w:name="LW_REF.INST.NEW_TEXT" w:val="(2022) 434"/>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om gennemførelse af forordning (EU) 2021/821 om en EU-ordning for kontrol med eksport, mæglervirksomhed, teknisk bistand, transit og overførsel i forbindelse med produkter med dobbelt anvendelse"/>
    <w:docVar w:name="LW_TYPE.DOC.CP" w:val="RAPPORT FRA KOMMISSIONEN TIL EUROPA-PARLAMENTET OG RÅDET"/>
    <w:docVar w:name="LwApiVersions" w:val="LW4CoDe 1.23.2.0; LW 8.0, Build 20211117"/>
  </w:docVars>
  <w:rsids>
    <w:rsidRoot w:val="00AA655D"/>
    <w:rsid w:val="00000409"/>
    <w:rsid w:val="0000201D"/>
    <w:rsid w:val="000034FA"/>
    <w:rsid w:val="00004457"/>
    <w:rsid w:val="00005F6B"/>
    <w:rsid w:val="00006472"/>
    <w:rsid w:val="000071E0"/>
    <w:rsid w:val="00007241"/>
    <w:rsid w:val="000076EC"/>
    <w:rsid w:val="00007861"/>
    <w:rsid w:val="00010CA8"/>
    <w:rsid w:val="00010D89"/>
    <w:rsid w:val="00011C4B"/>
    <w:rsid w:val="00011D3D"/>
    <w:rsid w:val="000121E4"/>
    <w:rsid w:val="00012299"/>
    <w:rsid w:val="00012F0F"/>
    <w:rsid w:val="00013121"/>
    <w:rsid w:val="00013313"/>
    <w:rsid w:val="00013BDE"/>
    <w:rsid w:val="00014570"/>
    <w:rsid w:val="00014664"/>
    <w:rsid w:val="000156A3"/>
    <w:rsid w:val="00015884"/>
    <w:rsid w:val="000167C6"/>
    <w:rsid w:val="0001708D"/>
    <w:rsid w:val="000176B5"/>
    <w:rsid w:val="000178EB"/>
    <w:rsid w:val="00017CBC"/>
    <w:rsid w:val="00017D01"/>
    <w:rsid w:val="00022DA0"/>
    <w:rsid w:val="00022F0B"/>
    <w:rsid w:val="00023304"/>
    <w:rsid w:val="0002384C"/>
    <w:rsid w:val="00026108"/>
    <w:rsid w:val="00026608"/>
    <w:rsid w:val="00027B94"/>
    <w:rsid w:val="00030733"/>
    <w:rsid w:val="00030750"/>
    <w:rsid w:val="0003080F"/>
    <w:rsid w:val="000314C5"/>
    <w:rsid w:val="0003349F"/>
    <w:rsid w:val="0003382D"/>
    <w:rsid w:val="00033EB3"/>
    <w:rsid w:val="0003416D"/>
    <w:rsid w:val="000346C4"/>
    <w:rsid w:val="00034951"/>
    <w:rsid w:val="00034EED"/>
    <w:rsid w:val="0003547C"/>
    <w:rsid w:val="00035E2B"/>
    <w:rsid w:val="00035EDD"/>
    <w:rsid w:val="00040526"/>
    <w:rsid w:val="000407F7"/>
    <w:rsid w:val="000415B7"/>
    <w:rsid w:val="00042D5B"/>
    <w:rsid w:val="00043C54"/>
    <w:rsid w:val="00047334"/>
    <w:rsid w:val="00047D49"/>
    <w:rsid w:val="000513F2"/>
    <w:rsid w:val="00051C52"/>
    <w:rsid w:val="00052A74"/>
    <w:rsid w:val="000530A4"/>
    <w:rsid w:val="00054288"/>
    <w:rsid w:val="00054321"/>
    <w:rsid w:val="000544D4"/>
    <w:rsid w:val="000547AF"/>
    <w:rsid w:val="00054AD2"/>
    <w:rsid w:val="00054F12"/>
    <w:rsid w:val="000550A2"/>
    <w:rsid w:val="0005532D"/>
    <w:rsid w:val="00055673"/>
    <w:rsid w:val="00056620"/>
    <w:rsid w:val="00057FE8"/>
    <w:rsid w:val="00060DF7"/>
    <w:rsid w:val="00064AF4"/>
    <w:rsid w:val="00065581"/>
    <w:rsid w:val="0006615F"/>
    <w:rsid w:val="00067952"/>
    <w:rsid w:val="000718E3"/>
    <w:rsid w:val="00073A06"/>
    <w:rsid w:val="00074391"/>
    <w:rsid w:val="00076330"/>
    <w:rsid w:val="0007661B"/>
    <w:rsid w:val="00076F8C"/>
    <w:rsid w:val="0007787D"/>
    <w:rsid w:val="0008080B"/>
    <w:rsid w:val="00080DF6"/>
    <w:rsid w:val="000813D6"/>
    <w:rsid w:val="0008167E"/>
    <w:rsid w:val="0008168C"/>
    <w:rsid w:val="00082145"/>
    <w:rsid w:val="00083492"/>
    <w:rsid w:val="00083694"/>
    <w:rsid w:val="00083743"/>
    <w:rsid w:val="00083D4B"/>
    <w:rsid w:val="00083EB9"/>
    <w:rsid w:val="000859BC"/>
    <w:rsid w:val="00086411"/>
    <w:rsid w:val="00087025"/>
    <w:rsid w:val="0008757B"/>
    <w:rsid w:val="0009048E"/>
    <w:rsid w:val="00090CA6"/>
    <w:rsid w:val="00090E7F"/>
    <w:rsid w:val="00091234"/>
    <w:rsid w:val="00091458"/>
    <w:rsid w:val="000929DB"/>
    <w:rsid w:val="00092E32"/>
    <w:rsid w:val="00093430"/>
    <w:rsid w:val="000937B1"/>
    <w:rsid w:val="00094DDE"/>
    <w:rsid w:val="0009560B"/>
    <w:rsid w:val="00095A62"/>
    <w:rsid w:val="00095C42"/>
    <w:rsid w:val="00095D06"/>
    <w:rsid w:val="0009631C"/>
    <w:rsid w:val="00096EE9"/>
    <w:rsid w:val="00096FE0"/>
    <w:rsid w:val="00097967"/>
    <w:rsid w:val="00097D47"/>
    <w:rsid w:val="00097E67"/>
    <w:rsid w:val="00097F64"/>
    <w:rsid w:val="000A0B8C"/>
    <w:rsid w:val="000A0C50"/>
    <w:rsid w:val="000A14EB"/>
    <w:rsid w:val="000A18C0"/>
    <w:rsid w:val="000A2811"/>
    <w:rsid w:val="000A3719"/>
    <w:rsid w:val="000A3ACE"/>
    <w:rsid w:val="000A3DC8"/>
    <w:rsid w:val="000A5022"/>
    <w:rsid w:val="000A50FE"/>
    <w:rsid w:val="000A55A5"/>
    <w:rsid w:val="000A6B90"/>
    <w:rsid w:val="000A7C12"/>
    <w:rsid w:val="000B069F"/>
    <w:rsid w:val="000B0953"/>
    <w:rsid w:val="000B0A06"/>
    <w:rsid w:val="000B0EFB"/>
    <w:rsid w:val="000B1502"/>
    <w:rsid w:val="000B1568"/>
    <w:rsid w:val="000B2195"/>
    <w:rsid w:val="000B27C7"/>
    <w:rsid w:val="000B2FF2"/>
    <w:rsid w:val="000B3895"/>
    <w:rsid w:val="000B4C05"/>
    <w:rsid w:val="000B51D5"/>
    <w:rsid w:val="000B6116"/>
    <w:rsid w:val="000B76AC"/>
    <w:rsid w:val="000B7BC7"/>
    <w:rsid w:val="000C04F3"/>
    <w:rsid w:val="000C06D5"/>
    <w:rsid w:val="000C0796"/>
    <w:rsid w:val="000C147E"/>
    <w:rsid w:val="000C263D"/>
    <w:rsid w:val="000C313B"/>
    <w:rsid w:val="000C3481"/>
    <w:rsid w:val="000C400B"/>
    <w:rsid w:val="000C54B6"/>
    <w:rsid w:val="000C6D97"/>
    <w:rsid w:val="000C7038"/>
    <w:rsid w:val="000C710B"/>
    <w:rsid w:val="000C734C"/>
    <w:rsid w:val="000C75D8"/>
    <w:rsid w:val="000D02BB"/>
    <w:rsid w:val="000D0C8B"/>
    <w:rsid w:val="000D0D04"/>
    <w:rsid w:val="000D1495"/>
    <w:rsid w:val="000D232B"/>
    <w:rsid w:val="000D26B1"/>
    <w:rsid w:val="000D279C"/>
    <w:rsid w:val="000D2852"/>
    <w:rsid w:val="000D2B1C"/>
    <w:rsid w:val="000D3FF7"/>
    <w:rsid w:val="000D4593"/>
    <w:rsid w:val="000D489D"/>
    <w:rsid w:val="000D4A4F"/>
    <w:rsid w:val="000D4B29"/>
    <w:rsid w:val="000D515B"/>
    <w:rsid w:val="000D52BC"/>
    <w:rsid w:val="000D5350"/>
    <w:rsid w:val="000D5AF9"/>
    <w:rsid w:val="000D6A32"/>
    <w:rsid w:val="000D707F"/>
    <w:rsid w:val="000D77E3"/>
    <w:rsid w:val="000D7BCA"/>
    <w:rsid w:val="000E03EC"/>
    <w:rsid w:val="000E188C"/>
    <w:rsid w:val="000E29A7"/>
    <w:rsid w:val="000E3007"/>
    <w:rsid w:val="000E3270"/>
    <w:rsid w:val="000E3288"/>
    <w:rsid w:val="000E37FC"/>
    <w:rsid w:val="000E3B93"/>
    <w:rsid w:val="000E56DD"/>
    <w:rsid w:val="000E58EB"/>
    <w:rsid w:val="000E62CE"/>
    <w:rsid w:val="000E6330"/>
    <w:rsid w:val="000E7200"/>
    <w:rsid w:val="000E76E5"/>
    <w:rsid w:val="000F0211"/>
    <w:rsid w:val="000F2637"/>
    <w:rsid w:val="000F4317"/>
    <w:rsid w:val="000F492F"/>
    <w:rsid w:val="000F6B7A"/>
    <w:rsid w:val="000F6E3F"/>
    <w:rsid w:val="000F7039"/>
    <w:rsid w:val="001000DA"/>
    <w:rsid w:val="0010014A"/>
    <w:rsid w:val="00100A21"/>
    <w:rsid w:val="00100B7A"/>
    <w:rsid w:val="00101530"/>
    <w:rsid w:val="001026B1"/>
    <w:rsid w:val="001033A4"/>
    <w:rsid w:val="00103991"/>
    <w:rsid w:val="001048B8"/>
    <w:rsid w:val="001051B9"/>
    <w:rsid w:val="001058B1"/>
    <w:rsid w:val="00107059"/>
    <w:rsid w:val="00107237"/>
    <w:rsid w:val="00107481"/>
    <w:rsid w:val="00107865"/>
    <w:rsid w:val="001117F9"/>
    <w:rsid w:val="00111BB3"/>
    <w:rsid w:val="00112073"/>
    <w:rsid w:val="00112A5B"/>
    <w:rsid w:val="00113143"/>
    <w:rsid w:val="00113855"/>
    <w:rsid w:val="0011475D"/>
    <w:rsid w:val="00114F71"/>
    <w:rsid w:val="00115F25"/>
    <w:rsid w:val="0011694C"/>
    <w:rsid w:val="00116EA1"/>
    <w:rsid w:val="00117510"/>
    <w:rsid w:val="00117B58"/>
    <w:rsid w:val="001207A5"/>
    <w:rsid w:val="00120AD0"/>
    <w:rsid w:val="001212A0"/>
    <w:rsid w:val="001217C4"/>
    <w:rsid w:val="00122114"/>
    <w:rsid w:val="00122271"/>
    <w:rsid w:val="0012309F"/>
    <w:rsid w:val="001231E3"/>
    <w:rsid w:val="0012414D"/>
    <w:rsid w:val="00124CCA"/>
    <w:rsid w:val="00125F96"/>
    <w:rsid w:val="00126B87"/>
    <w:rsid w:val="00127795"/>
    <w:rsid w:val="00127D4A"/>
    <w:rsid w:val="00127D75"/>
    <w:rsid w:val="00130E64"/>
    <w:rsid w:val="0013140C"/>
    <w:rsid w:val="00131AAB"/>
    <w:rsid w:val="00131F95"/>
    <w:rsid w:val="001322C7"/>
    <w:rsid w:val="00132DF5"/>
    <w:rsid w:val="00132E0D"/>
    <w:rsid w:val="001339D4"/>
    <w:rsid w:val="0013537D"/>
    <w:rsid w:val="0013543E"/>
    <w:rsid w:val="001359F8"/>
    <w:rsid w:val="00136479"/>
    <w:rsid w:val="001372A7"/>
    <w:rsid w:val="00137CE3"/>
    <w:rsid w:val="00140982"/>
    <w:rsid w:val="00140A51"/>
    <w:rsid w:val="00140DFC"/>
    <w:rsid w:val="001410F8"/>
    <w:rsid w:val="001415F3"/>
    <w:rsid w:val="001419AE"/>
    <w:rsid w:val="00141AAF"/>
    <w:rsid w:val="00141B65"/>
    <w:rsid w:val="00142F06"/>
    <w:rsid w:val="0014319A"/>
    <w:rsid w:val="00143435"/>
    <w:rsid w:val="0014379D"/>
    <w:rsid w:val="001444FB"/>
    <w:rsid w:val="00144FB7"/>
    <w:rsid w:val="001453E7"/>
    <w:rsid w:val="0014584E"/>
    <w:rsid w:val="00145C69"/>
    <w:rsid w:val="00146949"/>
    <w:rsid w:val="0014741F"/>
    <w:rsid w:val="00147C7F"/>
    <w:rsid w:val="00150045"/>
    <w:rsid w:val="0015019A"/>
    <w:rsid w:val="00150BC1"/>
    <w:rsid w:val="00152469"/>
    <w:rsid w:val="0015257D"/>
    <w:rsid w:val="00152B30"/>
    <w:rsid w:val="00153DE8"/>
    <w:rsid w:val="001545E6"/>
    <w:rsid w:val="00154E13"/>
    <w:rsid w:val="001550C7"/>
    <w:rsid w:val="001552ED"/>
    <w:rsid w:val="001554F6"/>
    <w:rsid w:val="00155A4A"/>
    <w:rsid w:val="00155CC4"/>
    <w:rsid w:val="00156187"/>
    <w:rsid w:val="0015663F"/>
    <w:rsid w:val="00157B7C"/>
    <w:rsid w:val="001606B0"/>
    <w:rsid w:val="00160E21"/>
    <w:rsid w:val="001619DD"/>
    <w:rsid w:val="00161E18"/>
    <w:rsid w:val="00162755"/>
    <w:rsid w:val="001647A0"/>
    <w:rsid w:val="00164B21"/>
    <w:rsid w:val="00165A8F"/>
    <w:rsid w:val="00167413"/>
    <w:rsid w:val="00167AB9"/>
    <w:rsid w:val="0017006B"/>
    <w:rsid w:val="00170308"/>
    <w:rsid w:val="00170671"/>
    <w:rsid w:val="00171266"/>
    <w:rsid w:val="00173126"/>
    <w:rsid w:val="001731FB"/>
    <w:rsid w:val="00173578"/>
    <w:rsid w:val="00174055"/>
    <w:rsid w:val="00174218"/>
    <w:rsid w:val="001742D8"/>
    <w:rsid w:val="0017474D"/>
    <w:rsid w:val="00175F93"/>
    <w:rsid w:val="001762AB"/>
    <w:rsid w:val="00176477"/>
    <w:rsid w:val="00177003"/>
    <w:rsid w:val="001774C3"/>
    <w:rsid w:val="00177857"/>
    <w:rsid w:val="00177D30"/>
    <w:rsid w:val="001800A3"/>
    <w:rsid w:val="0018017C"/>
    <w:rsid w:val="001817D4"/>
    <w:rsid w:val="00181B99"/>
    <w:rsid w:val="00182872"/>
    <w:rsid w:val="001829DA"/>
    <w:rsid w:val="00182A49"/>
    <w:rsid w:val="00182CF5"/>
    <w:rsid w:val="00183266"/>
    <w:rsid w:val="0018336B"/>
    <w:rsid w:val="00183A77"/>
    <w:rsid w:val="0018436D"/>
    <w:rsid w:val="0018453B"/>
    <w:rsid w:val="001860B5"/>
    <w:rsid w:val="00186635"/>
    <w:rsid w:val="00186FAE"/>
    <w:rsid w:val="0019025D"/>
    <w:rsid w:val="0019049D"/>
    <w:rsid w:val="001904D4"/>
    <w:rsid w:val="00190C6F"/>
    <w:rsid w:val="00191C6C"/>
    <w:rsid w:val="00191ED0"/>
    <w:rsid w:val="001923C1"/>
    <w:rsid w:val="001926CB"/>
    <w:rsid w:val="00192872"/>
    <w:rsid w:val="00193BF5"/>
    <w:rsid w:val="00195829"/>
    <w:rsid w:val="001959CD"/>
    <w:rsid w:val="00196490"/>
    <w:rsid w:val="00196F27"/>
    <w:rsid w:val="001972E4"/>
    <w:rsid w:val="001975ED"/>
    <w:rsid w:val="00197B41"/>
    <w:rsid w:val="001A1083"/>
    <w:rsid w:val="001A1366"/>
    <w:rsid w:val="001A180C"/>
    <w:rsid w:val="001A3931"/>
    <w:rsid w:val="001A3D86"/>
    <w:rsid w:val="001A3ED0"/>
    <w:rsid w:val="001A480A"/>
    <w:rsid w:val="001A4E8D"/>
    <w:rsid w:val="001A4FC3"/>
    <w:rsid w:val="001A5631"/>
    <w:rsid w:val="001A5B2F"/>
    <w:rsid w:val="001A69FE"/>
    <w:rsid w:val="001A6A88"/>
    <w:rsid w:val="001A6B2B"/>
    <w:rsid w:val="001A6EE6"/>
    <w:rsid w:val="001B17A6"/>
    <w:rsid w:val="001B210C"/>
    <w:rsid w:val="001B2FA5"/>
    <w:rsid w:val="001B4909"/>
    <w:rsid w:val="001B5C4A"/>
    <w:rsid w:val="001B5CEA"/>
    <w:rsid w:val="001B6299"/>
    <w:rsid w:val="001B6A48"/>
    <w:rsid w:val="001B6D6A"/>
    <w:rsid w:val="001B6E18"/>
    <w:rsid w:val="001C06E1"/>
    <w:rsid w:val="001C0982"/>
    <w:rsid w:val="001C0D1A"/>
    <w:rsid w:val="001C0ED6"/>
    <w:rsid w:val="001C1EB7"/>
    <w:rsid w:val="001C2371"/>
    <w:rsid w:val="001C2E89"/>
    <w:rsid w:val="001C5FC1"/>
    <w:rsid w:val="001C6EDA"/>
    <w:rsid w:val="001C7627"/>
    <w:rsid w:val="001C7966"/>
    <w:rsid w:val="001C7EC7"/>
    <w:rsid w:val="001D0C62"/>
    <w:rsid w:val="001D0F73"/>
    <w:rsid w:val="001D1741"/>
    <w:rsid w:val="001D1803"/>
    <w:rsid w:val="001D2259"/>
    <w:rsid w:val="001D236A"/>
    <w:rsid w:val="001D36C3"/>
    <w:rsid w:val="001D3C5E"/>
    <w:rsid w:val="001D4122"/>
    <w:rsid w:val="001D434A"/>
    <w:rsid w:val="001D53CC"/>
    <w:rsid w:val="001D572A"/>
    <w:rsid w:val="001D60DB"/>
    <w:rsid w:val="001D6A13"/>
    <w:rsid w:val="001D6C4E"/>
    <w:rsid w:val="001D6D14"/>
    <w:rsid w:val="001D7322"/>
    <w:rsid w:val="001D7BB5"/>
    <w:rsid w:val="001E0148"/>
    <w:rsid w:val="001E0B06"/>
    <w:rsid w:val="001E1F44"/>
    <w:rsid w:val="001E230D"/>
    <w:rsid w:val="001E2B2D"/>
    <w:rsid w:val="001E39EF"/>
    <w:rsid w:val="001E490C"/>
    <w:rsid w:val="001E4A83"/>
    <w:rsid w:val="001E4EF3"/>
    <w:rsid w:val="001E4F89"/>
    <w:rsid w:val="001E5167"/>
    <w:rsid w:val="001E51C4"/>
    <w:rsid w:val="001E6478"/>
    <w:rsid w:val="001E68DB"/>
    <w:rsid w:val="001E7E52"/>
    <w:rsid w:val="001F166C"/>
    <w:rsid w:val="001F169C"/>
    <w:rsid w:val="001F1D54"/>
    <w:rsid w:val="001F1F0C"/>
    <w:rsid w:val="001F1F17"/>
    <w:rsid w:val="001F2CD7"/>
    <w:rsid w:val="001F3373"/>
    <w:rsid w:val="001F33E3"/>
    <w:rsid w:val="001F362A"/>
    <w:rsid w:val="001F4483"/>
    <w:rsid w:val="001F48F2"/>
    <w:rsid w:val="001F5B2B"/>
    <w:rsid w:val="001F60B4"/>
    <w:rsid w:val="001F6214"/>
    <w:rsid w:val="001F6C99"/>
    <w:rsid w:val="001F7303"/>
    <w:rsid w:val="001F7A22"/>
    <w:rsid w:val="0020055A"/>
    <w:rsid w:val="00200A52"/>
    <w:rsid w:val="0020139A"/>
    <w:rsid w:val="00201A60"/>
    <w:rsid w:val="00201F7D"/>
    <w:rsid w:val="00202FCE"/>
    <w:rsid w:val="0020330B"/>
    <w:rsid w:val="00203600"/>
    <w:rsid w:val="002042E4"/>
    <w:rsid w:val="00204755"/>
    <w:rsid w:val="002053A7"/>
    <w:rsid w:val="00205675"/>
    <w:rsid w:val="00205E48"/>
    <w:rsid w:val="002060D5"/>
    <w:rsid w:val="00206BD8"/>
    <w:rsid w:val="002112CF"/>
    <w:rsid w:val="00212A2D"/>
    <w:rsid w:val="0021395F"/>
    <w:rsid w:val="00213EE7"/>
    <w:rsid w:val="00214406"/>
    <w:rsid w:val="00214D80"/>
    <w:rsid w:val="002150CE"/>
    <w:rsid w:val="00215684"/>
    <w:rsid w:val="00215A7E"/>
    <w:rsid w:val="00215E28"/>
    <w:rsid w:val="002179F0"/>
    <w:rsid w:val="00220345"/>
    <w:rsid w:val="002208F3"/>
    <w:rsid w:val="00221151"/>
    <w:rsid w:val="002214E6"/>
    <w:rsid w:val="00221BEE"/>
    <w:rsid w:val="002221F6"/>
    <w:rsid w:val="002229C3"/>
    <w:rsid w:val="00222D5F"/>
    <w:rsid w:val="002237A2"/>
    <w:rsid w:val="00223D5F"/>
    <w:rsid w:val="00224540"/>
    <w:rsid w:val="002248D4"/>
    <w:rsid w:val="00225257"/>
    <w:rsid w:val="00225873"/>
    <w:rsid w:val="00225A71"/>
    <w:rsid w:val="002266DF"/>
    <w:rsid w:val="00226CAB"/>
    <w:rsid w:val="002274A1"/>
    <w:rsid w:val="002276B1"/>
    <w:rsid w:val="002279C3"/>
    <w:rsid w:val="00230B9A"/>
    <w:rsid w:val="00230C53"/>
    <w:rsid w:val="00231A1E"/>
    <w:rsid w:val="00231CD9"/>
    <w:rsid w:val="00231F8D"/>
    <w:rsid w:val="002323E5"/>
    <w:rsid w:val="00232D36"/>
    <w:rsid w:val="00233A69"/>
    <w:rsid w:val="00234AE6"/>
    <w:rsid w:val="00234D91"/>
    <w:rsid w:val="002361AB"/>
    <w:rsid w:val="002363C9"/>
    <w:rsid w:val="00236787"/>
    <w:rsid w:val="00237049"/>
    <w:rsid w:val="002373A0"/>
    <w:rsid w:val="002379FC"/>
    <w:rsid w:val="0024081F"/>
    <w:rsid w:val="002408A4"/>
    <w:rsid w:val="00240B01"/>
    <w:rsid w:val="00241DC3"/>
    <w:rsid w:val="002422D8"/>
    <w:rsid w:val="0024272C"/>
    <w:rsid w:val="0024291D"/>
    <w:rsid w:val="00242C3E"/>
    <w:rsid w:val="00243E82"/>
    <w:rsid w:val="002445E4"/>
    <w:rsid w:val="00244C26"/>
    <w:rsid w:val="002451BC"/>
    <w:rsid w:val="00246070"/>
    <w:rsid w:val="00246A4D"/>
    <w:rsid w:val="002500DF"/>
    <w:rsid w:val="00250EFE"/>
    <w:rsid w:val="00251068"/>
    <w:rsid w:val="00251899"/>
    <w:rsid w:val="00251D16"/>
    <w:rsid w:val="00252160"/>
    <w:rsid w:val="0025223C"/>
    <w:rsid w:val="00252607"/>
    <w:rsid w:val="002541AC"/>
    <w:rsid w:val="0025465A"/>
    <w:rsid w:val="00254CD2"/>
    <w:rsid w:val="0025503C"/>
    <w:rsid w:val="002569B4"/>
    <w:rsid w:val="002569EF"/>
    <w:rsid w:val="00256AC0"/>
    <w:rsid w:val="002570D5"/>
    <w:rsid w:val="00260497"/>
    <w:rsid w:val="00260A62"/>
    <w:rsid w:val="002617B2"/>
    <w:rsid w:val="00261B3D"/>
    <w:rsid w:val="00261D67"/>
    <w:rsid w:val="00261DE1"/>
    <w:rsid w:val="00262744"/>
    <w:rsid w:val="00262A06"/>
    <w:rsid w:val="00263A11"/>
    <w:rsid w:val="00263C9B"/>
    <w:rsid w:val="00263E9A"/>
    <w:rsid w:val="00264107"/>
    <w:rsid w:val="00264613"/>
    <w:rsid w:val="00264A38"/>
    <w:rsid w:val="00264D1E"/>
    <w:rsid w:val="00265548"/>
    <w:rsid w:val="00265AAC"/>
    <w:rsid w:val="00265C96"/>
    <w:rsid w:val="00265ECA"/>
    <w:rsid w:val="002666FC"/>
    <w:rsid w:val="00266BEE"/>
    <w:rsid w:val="00266F2B"/>
    <w:rsid w:val="002671EF"/>
    <w:rsid w:val="00270706"/>
    <w:rsid w:val="00271200"/>
    <w:rsid w:val="0027166B"/>
    <w:rsid w:val="002719B8"/>
    <w:rsid w:val="00271E06"/>
    <w:rsid w:val="00272415"/>
    <w:rsid w:val="002727D3"/>
    <w:rsid w:val="00272AC1"/>
    <w:rsid w:val="00273296"/>
    <w:rsid w:val="00274314"/>
    <w:rsid w:val="0027453B"/>
    <w:rsid w:val="00276E96"/>
    <w:rsid w:val="00277234"/>
    <w:rsid w:val="0027729A"/>
    <w:rsid w:val="00277A08"/>
    <w:rsid w:val="00280955"/>
    <w:rsid w:val="002810BB"/>
    <w:rsid w:val="0028113B"/>
    <w:rsid w:val="0028246A"/>
    <w:rsid w:val="00282567"/>
    <w:rsid w:val="00283548"/>
    <w:rsid w:val="00284547"/>
    <w:rsid w:val="00284D25"/>
    <w:rsid w:val="00284D35"/>
    <w:rsid w:val="00285D5E"/>
    <w:rsid w:val="00286217"/>
    <w:rsid w:val="00286757"/>
    <w:rsid w:val="00287405"/>
    <w:rsid w:val="00287572"/>
    <w:rsid w:val="00287C18"/>
    <w:rsid w:val="002902C7"/>
    <w:rsid w:val="0029060B"/>
    <w:rsid w:val="00290850"/>
    <w:rsid w:val="00290957"/>
    <w:rsid w:val="002909C9"/>
    <w:rsid w:val="00291076"/>
    <w:rsid w:val="002915E4"/>
    <w:rsid w:val="0029195F"/>
    <w:rsid w:val="00292C54"/>
    <w:rsid w:val="00292CF8"/>
    <w:rsid w:val="00293000"/>
    <w:rsid w:val="00293277"/>
    <w:rsid w:val="00293385"/>
    <w:rsid w:val="002935AB"/>
    <w:rsid w:val="0029395C"/>
    <w:rsid w:val="00293B19"/>
    <w:rsid w:val="002940B7"/>
    <w:rsid w:val="0029480B"/>
    <w:rsid w:val="00294D3E"/>
    <w:rsid w:val="002957E0"/>
    <w:rsid w:val="00295EAD"/>
    <w:rsid w:val="002962F2"/>
    <w:rsid w:val="002965B9"/>
    <w:rsid w:val="00296C46"/>
    <w:rsid w:val="00296CF8"/>
    <w:rsid w:val="00297054"/>
    <w:rsid w:val="00297D57"/>
    <w:rsid w:val="002A014D"/>
    <w:rsid w:val="002A06B7"/>
    <w:rsid w:val="002A269D"/>
    <w:rsid w:val="002A2D8F"/>
    <w:rsid w:val="002A3114"/>
    <w:rsid w:val="002A3D6B"/>
    <w:rsid w:val="002A476A"/>
    <w:rsid w:val="002A4E9E"/>
    <w:rsid w:val="002A4EB8"/>
    <w:rsid w:val="002A517C"/>
    <w:rsid w:val="002A55FC"/>
    <w:rsid w:val="002A65A5"/>
    <w:rsid w:val="002A68F8"/>
    <w:rsid w:val="002A7361"/>
    <w:rsid w:val="002A74FA"/>
    <w:rsid w:val="002A75CB"/>
    <w:rsid w:val="002A7DA3"/>
    <w:rsid w:val="002A7F00"/>
    <w:rsid w:val="002B00D3"/>
    <w:rsid w:val="002B17E4"/>
    <w:rsid w:val="002B2632"/>
    <w:rsid w:val="002B2B95"/>
    <w:rsid w:val="002B2D67"/>
    <w:rsid w:val="002B3BEC"/>
    <w:rsid w:val="002B7550"/>
    <w:rsid w:val="002B77DE"/>
    <w:rsid w:val="002B79F2"/>
    <w:rsid w:val="002C0330"/>
    <w:rsid w:val="002C0F63"/>
    <w:rsid w:val="002C1EE2"/>
    <w:rsid w:val="002C26BF"/>
    <w:rsid w:val="002C362E"/>
    <w:rsid w:val="002C3EFC"/>
    <w:rsid w:val="002C41B9"/>
    <w:rsid w:val="002C51D0"/>
    <w:rsid w:val="002C6022"/>
    <w:rsid w:val="002D01E5"/>
    <w:rsid w:val="002D0A45"/>
    <w:rsid w:val="002D1038"/>
    <w:rsid w:val="002D1395"/>
    <w:rsid w:val="002D17F0"/>
    <w:rsid w:val="002D30D1"/>
    <w:rsid w:val="002D3775"/>
    <w:rsid w:val="002D413F"/>
    <w:rsid w:val="002D51AB"/>
    <w:rsid w:val="002D5A0E"/>
    <w:rsid w:val="002D5BCC"/>
    <w:rsid w:val="002D6A2C"/>
    <w:rsid w:val="002D7AC4"/>
    <w:rsid w:val="002D7B5F"/>
    <w:rsid w:val="002E0141"/>
    <w:rsid w:val="002E0648"/>
    <w:rsid w:val="002E0803"/>
    <w:rsid w:val="002E2673"/>
    <w:rsid w:val="002E3CE4"/>
    <w:rsid w:val="002E4C52"/>
    <w:rsid w:val="002E6AAD"/>
    <w:rsid w:val="002E6DEB"/>
    <w:rsid w:val="002E752F"/>
    <w:rsid w:val="002F01D8"/>
    <w:rsid w:val="002F15BF"/>
    <w:rsid w:val="002F1C45"/>
    <w:rsid w:val="002F2B11"/>
    <w:rsid w:val="002F3E7F"/>
    <w:rsid w:val="002F3F32"/>
    <w:rsid w:val="002F4AC0"/>
    <w:rsid w:val="002F4F7D"/>
    <w:rsid w:val="002F5E15"/>
    <w:rsid w:val="002F6EE5"/>
    <w:rsid w:val="002F6F78"/>
    <w:rsid w:val="002F7DE6"/>
    <w:rsid w:val="002F7E52"/>
    <w:rsid w:val="002F7FBF"/>
    <w:rsid w:val="003003A5"/>
    <w:rsid w:val="003026BE"/>
    <w:rsid w:val="00303368"/>
    <w:rsid w:val="003033E7"/>
    <w:rsid w:val="0030355D"/>
    <w:rsid w:val="0030375D"/>
    <w:rsid w:val="003044FB"/>
    <w:rsid w:val="003049ED"/>
    <w:rsid w:val="00306372"/>
    <w:rsid w:val="00306FA6"/>
    <w:rsid w:val="003075C2"/>
    <w:rsid w:val="00307CAE"/>
    <w:rsid w:val="00310390"/>
    <w:rsid w:val="00310E0B"/>
    <w:rsid w:val="00311DA1"/>
    <w:rsid w:val="003120DB"/>
    <w:rsid w:val="003125B2"/>
    <w:rsid w:val="003126E4"/>
    <w:rsid w:val="00312BEE"/>
    <w:rsid w:val="00313B11"/>
    <w:rsid w:val="00313B3E"/>
    <w:rsid w:val="00314EC5"/>
    <w:rsid w:val="00316D9E"/>
    <w:rsid w:val="003174B6"/>
    <w:rsid w:val="00317A24"/>
    <w:rsid w:val="00317E8B"/>
    <w:rsid w:val="00320077"/>
    <w:rsid w:val="003204CD"/>
    <w:rsid w:val="00321F5B"/>
    <w:rsid w:val="0032223A"/>
    <w:rsid w:val="00322283"/>
    <w:rsid w:val="0032237D"/>
    <w:rsid w:val="00322781"/>
    <w:rsid w:val="003234AD"/>
    <w:rsid w:val="003235C7"/>
    <w:rsid w:val="003245B9"/>
    <w:rsid w:val="00324871"/>
    <w:rsid w:val="00324CCB"/>
    <w:rsid w:val="00324EFF"/>
    <w:rsid w:val="00325645"/>
    <w:rsid w:val="00326187"/>
    <w:rsid w:val="00326483"/>
    <w:rsid w:val="0032698B"/>
    <w:rsid w:val="00326E86"/>
    <w:rsid w:val="00326FEA"/>
    <w:rsid w:val="00327A23"/>
    <w:rsid w:val="00327B37"/>
    <w:rsid w:val="003309DA"/>
    <w:rsid w:val="00331BC3"/>
    <w:rsid w:val="00332484"/>
    <w:rsid w:val="00333499"/>
    <w:rsid w:val="00334471"/>
    <w:rsid w:val="00335043"/>
    <w:rsid w:val="003352D5"/>
    <w:rsid w:val="003375B6"/>
    <w:rsid w:val="00337BAB"/>
    <w:rsid w:val="00340523"/>
    <w:rsid w:val="00341FEE"/>
    <w:rsid w:val="003425A8"/>
    <w:rsid w:val="00343891"/>
    <w:rsid w:val="003444B0"/>
    <w:rsid w:val="00344D85"/>
    <w:rsid w:val="0034525E"/>
    <w:rsid w:val="00345495"/>
    <w:rsid w:val="0034585F"/>
    <w:rsid w:val="00345C7E"/>
    <w:rsid w:val="00345D29"/>
    <w:rsid w:val="003467C4"/>
    <w:rsid w:val="00346F3C"/>
    <w:rsid w:val="003472B6"/>
    <w:rsid w:val="003478B9"/>
    <w:rsid w:val="00347FA4"/>
    <w:rsid w:val="00350C83"/>
    <w:rsid w:val="003517C9"/>
    <w:rsid w:val="00351C17"/>
    <w:rsid w:val="003534B0"/>
    <w:rsid w:val="003538C4"/>
    <w:rsid w:val="00355959"/>
    <w:rsid w:val="0035624E"/>
    <w:rsid w:val="00357002"/>
    <w:rsid w:val="0035772F"/>
    <w:rsid w:val="00360232"/>
    <w:rsid w:val="003606C3"/>
    <w:rsid w:val="003613D1"/>
    <w:rsid w:val="003615F5"/>
    <w:rsid w:val="0036160B"/>
    <w:rsid w:val="003627FB"/>
    <w:rsid w:val="00362C65"/>
    <w:rsid w:val="0036359B"/>
    <w:rsid w:val="00364905"/>
    <w:rsid w:val="00364F78"/>
    <w:rsid w:val="00365C14"/>
    <w:rsid w:val="00367033"/>
    <w:rsid w:val="003673E7"/>
    <w:rsid w:val="003678CD"/>
    <w:rsid w:val="003679DC"/>
    <w:rsid w:val="00370052"/>
    <w:rsid w:val="00371E26"/>
    <w:rsid w:val="00372116"/>
    <w:rsid w:val="00373694"/>
    <w:rsid w:val="0037408E"/>
    <w:rsid w:val="003755C8"/>
    <w:rsid w:val="003757CC"/>
    <w:rsid w:val="00375EAF"/>
    <w:rsid w:val="00376241"/>
    <w:rsid w:val="00377C17"/>
    <w:rsid w:val="00380594"/>
    <w:rsid w:val="00380EE7"/>
    <w:rsid w:val="003814F7"/>
    <w:rsid w:val="00382027"/>
    <w:rsid w:val="00382665"/>
    <w:rsid w:val="00382A91"/>
    <w:rsid w:val="00382DB3"/>
    <w:rsid w:val="00382E78"/>
    <w:rsid w:val="00383C21"/>
    <w:rsid w:val="00384976"/>
    <w:rsid w:val="00385156"/>
    <w:rsid w:val="0038578F"/>
    <w:rsid w:val="00385868"/>
    <w:rsid w:val="0038590C"/>
    <w:rsid w:val="00385E4D"/>
    <w:rsid w:val="00386074"/>
    <w:rsid w:val="00386FA1"/>
    <w:rsid w:val="00387039"/>
    <w:rsid w:val="00387756"/>
    <w:rsid w:val="00390411"/>
    <w:rsid w:val="00390426"/>
    <w:rsid w:val="0039049F"/>
    <w:rsid w:val="00390AD5"/>
    <w:rsid w:val="0039115C"/>
    <w:rsid w:val="0039193A"/>
    <w:rsid w:val="00392B75"/>
    <w:rsid w:val="00393B4A"/>
    <w:rsid w:val="00394867"/>
    <w:rsid w:val="00394FAF"/>
    <w:rsid w:val="0039645B"/>
    <w:rsid w:val="00396C90"/>
    <w:rsid w:val="003A0061"/>
    <w:rsid w:val="003A01F7"/>
    <w:rsid w:val="003A09BC"/>
    <w:rsid w:val="003A1A3A"/>
    <w:rsid w:val="003A26B9"/>
    <w:rsid w:val="003A2EAE"/>
    <w:rsid w:val="003A465A"/>
    <w:rsid w:val="003A4994"/>
    <w:rsid w:val="003A4E40"/>
    <w:rsid w:val="003A575B"/>
    <w:rsid w:val="003A5D81"/>
    <w:rsid w:val="003A624C"/>
    <w:rsid w:val="003A6997"/>
    <w:rsid w:val="003A69F3"/>
    <w:rsid w:val="003A6B01"/>
    <w:rsid w:val="003A6BB5"/>
    <w:rsid w:val="003A6F36"/>
    <w:rsid w:val="003A70D8"/>
    <w:rsid w:val="003A7262"/>
    <w:rsid w:val="003A7ECE"/>
    <w:rsid w:val="003B01C0"/>
    <w:rsid w:val="003B04EE"/>
    <w:rsid w:val="003B1019"/>
    <w:rsid w:val="003B18C5"/>
    <w:rsid w:val="003B20BC"/>
    <w:rsid w:val="003B2BCC"/>
    <w:rsid w:val="003B44FC"/>
    <w:rsid w:val="003B470A"/>
    <w:rsid w:val="003B4D77"/>
    <w:rsid w:val="003B5178"/>
    <w:rsid w:val="003B567C"/>
    <w:rsid w:val="003B5749"/>
    <w:rsid w:val="003B6F78"/>
    <w:rsid w:val="003B7421"/>
    <w:rsid w:val="003B78F9"/>
    <w:rsid w:val="003C0857"/>
    <w:rsid w:val="003C1178"/>
    <w:rsid w:val="003C1AEB"/>
    <w:rsid w:val="003C2B4A"/>
    <w:rsid w:val="003C37FA"/>
    <w:rsid w:val="003C3C12"/>
    <w:rsid w:val="003C4999"/>
    <w:rsid w:val="003C4E0F"/>
    <w:rsid w:val="003C5C9A"/>
    <w:rsid w:val="003C5F08"/>
    <w:rsid w:val="003C64BA"/>
    <w:rsid w:val="003C6707"/>
    <w:rsid w:val="003C77ED"/>
    <w:rsid w:val="003C7F15"/>
    <w:rsid w:val="003D02B7"/>
    <w:rsid w:val="003D06ED"/>
    <w:rsid w:val="003D297F"/>
    <w:rsid w:val="003D2DF2"/>
    <w:rsid w:val="003D4202"/>
    <w:rsid w:val="003D42E9"/>
    <w:rsid w:val="003D4ED5"/>
    <w:rsid w:val="003D5C42"/>
    <w:rsid w:val="003D5E08"/>
    <w:rsid w:val="003D70A7"/>
    <w:rsid w:val="003D779A"/>
    <w:rsid w:val="003E09E0"/>
    <w:rsid w:val="003E0C13"/>
    <w:rsid w:val="003E1808"/>
    <w:rsid w:val="003E1B61"/>
    <w:rsid w:val="003E23F8"/>
    <w:rsid w:val="003E26E2"/>
    <w:rsid w:val="003E3046"/>
    <w:rsid w:val="003E42B8"/>
    <w:rsid w:val="003E4353"/>
    <w:rsid w:val="003E54D4"/>
    <w:rsid w:val="003E5AAA"/>
    <w:rsid w:val="003E5D34"/>
    <w:rsid w:val="003E5E50"/>
    <w:rsid w:val="003E6D18"/>
    <w:rsid w:val="003E6FF0"/>
    <w:rsid w:val="003E78A7"/>
    <w:rsid w:val="003E7F09"/>
    <w:rsid w:val="003F078F"/>
    <w:rsid w:val="003F0809"/>
    <w:rsid w:val="003F0AEA"/>
    <w:rsid w:val="003F0E22"/>
    <w:rsid w:val="003F1737"/>
    <w:rsid w:val="003F1C04"/>
    <w:rsid w:val="003F1FF1"/>
    <w:rsid w:val="003F21F7"/>
    <w:rsid w:val="003F2B51"/>
    <w:rsid w:val="003F314C"/>
    <w:rsid w:val="003F3BCF"/>
    <w:rsid w:val="003F48E9"/>
    <w:rsid w:val="003F4973"/>
    <w:rsid w:val="003F566B"/>
    <w:rsid w:val="003F5B2C"/>
    <w:rsid w:val="003F634B"/>
    <w:rsid w:val="003F7578"/>
    <w:rsid w:val="003F7804"/>
    <w:rsid w:val="003F78DE"/>
    <w:rsid w:val="004006C6"/>
    <w:rsid w:val="00400E4B"/>
    <w:rsid w:val="004025DD"/>
    <w:rsid w:val="00403A4A"/>
    <w:rsid w:val="00404278"/>
    <w:rsid w:val="00404DAA"/>
    <w:rsid w:val="00405B66"/>
    <w:rsid w:val="00406FDC"/>
    <w:rsid w:val="004071E9"/>
    <w:rsid w:val="004072D3"/>
    <w:rsid w:val="0041057C"/>
    <w:rsid w:val="00410C73"/>
    <w:rsid w:val="00411187"/>
    <w:rsid w:val="004114A0"/>
    <w:rsid w:val="00411A0B"/>
    <w:rsid w:val="00411D5C"/>
    <w:rsid w:val="00412179"/>
    <w:rsid w:val="00412BA3"/>
    <w:rsid w:val="00413FC4"/>
    <w:rsid w:val="004141C2"/>
    <w:rsid w:val="004154F3"/>
    <w:rsid w:val="004156B9"/>
    <w:rsid w:val="00415775"/>
    <w:rsid w:val="0041621F"/>
    <w:rsid w:val="004170FB"/>
    <w:rsid w:val="004171E4"/>
    <w:rsid w:val="00417C25"/>
    <w:rsid w:val="004216C2"/>
    <w:rsid w:val="00422605"/>
    <w:rsid w:val="00422FE1"/>
    <w:rsid w:val="0042313F"/>
    <w:rsid w:val="004236DA"/>
    <w:rsid w:val="00424575"/>
    <w:rsid w:val="00424719"/>
    <w:rsid w:val="004249C6"/>
    <w:rsid w:val="0042592A"/>
    <w:rsid w:val="00426E75"/>
    <w:rsid w:val="0042709F"/>
    <w:rsid w:val="00427377"/>
    <w:rsid w:val="004279FD"/>
    <w:rsid w:val="00430041"/>
    <w:rsid w:val="00430274"/>
    <w:rsid w:val="00430BC7"/>
    <w:rsid w:val="0043148C"/>
    <w:rsid w:val="00432263"/>
    <w:rsid w:val="004322D1"/>
    <w:rsid w:val="00433877"/>
    <w:rsid w:val="00435253"/>
    <w:rsid w:val="00435B75"/>
    <w:rsid w:val="00435B93"/>
    <w:rsid w:val="00436E1B"/>
    <w:rsid w:val="00436F11"/>
    <w:rsid w:val="00437AE4"/>
    <w:rsid w:val="00437BD3"/>
    <w:rsid w:val="00440F08"/>
    <w:rsid w:val="00441273"/>
    <w:rsid w:val="00441589"/>
    <w:rsid w:val="00441C35"/>
    <w:rsid w:val="004423DD"/>
    <w:rsid w:val="00442634"/>
    <w:rsid w:val="004427EC"/>
    <w:rsid w:val="004432C9"/>
    <w:rsid w:val="00443ACA"/>
    <w:rsid w:val="00444839"/>
    <w:rsid w:val="00444C4F"/>
    <w:rsid w:val="00444D3A"/>
    <w:rsid w:val="00445A03"/>
    <w:rsid w:val="00446B19"/>
    <w:rsid w:val="00450C7A"/>
    <w:rsid w:val="004512DA"/>
    <w:rsid w:val="004514A2"/>
    <w:rsid w:val="004529D8"/>
    <w:rsid w:val="00452ADB"/>
    <w:rsid w:val="00453174"/>
    <w:rsid w:val="00453B03"/>
    <w:rsid w:val="00453C10"/>
    <w:rsid w:val="00453DEE"/>
    <w:rsid w:val="00454518"/>
    <w:rsid w:val="0045488A"/>
    <w:rsid w:val="004552C6"/>
    <w:rsid w:val="004558EE"/>
    <w:rsid w:val="004559FB"/>
    <w:rsid w:val="0045648E"/>
    <w:rsid w:val="004574BC"/>
    <w:rsid w:val="00457637"/>
    <w:rsid w:val="004579CD"/>
    <w:rsid w:val="004605E1"/>
    <w:rsid w:val="0046106D"/>
    <w:rsid w:val="004610FD"/>
    <w:rsid w:val="00461DEE"/>
    <w:rsid w:val="00461EF8"/>
    <w:rsid w:val="00462556"/>
    <w:rsid w:val="004655F4"/>
    <w:rsid w:val="00465EC1"/>
    <w:rsid w:val="00465F00"/>
    <w:rsid w:val="004661B1"/>
    <w:rsid w:val="00466C04"/>
    <w:rsid w:val="00467389"/>
    <w:rsid w:val="004712BE"/>
    <w:rsid w:val="00471E32"/>
    <w:rsid w:val="00472D5E"/>
    <w:rsid w:val="00473192"/>
    <w:rsid w:val="0047346D"/>
    <w:rsid w:val="00474229"/>
    <w:rsid w:val="0047521F"/>
    <w:rsid w:val="00476185"/>
    <w:rsid w:val="00476217"/>
    <w:rsid w:val="00476B88"/>
    <w:rsid w:val="00477550"/>
    <w:rsid w:val="004776E1"/>
    <w:rsid w:val="00477B8C"/>
    <w:rsid w:val="0048094F"/>
    <w:rsid w:val="004810C4"/>
    <w:rsid w:val="00481810"/>
    <w:rsid w:val="00481CC9"/>
    <w:rsid w:val="00481E3C"/>
    <w:rsid w:val="00481ECE"/>
    <w:rsid w:val="004834D6"/>
    <w:rsid w:val="00483569"/>
    <w:rsid w:val="00483D44"/>
    <w:rsid w:val="00483DD5"/>
    <w:rsid w:val="00483DFD"/>
    <w:rsid w:val="00483EFD"/>
    <w:rsid w:val="00484F5D"/>
    <w:rsid w:val="00485B92"/>
    <w:rsid w:val="004860D0"/>
    <w:rsid w:val="00486588"/>
    <w:rsid w:val="00486709"/>
    <w:rsid w:val="0048692A"/>
    <w:rsid w:val="00486CC2"/>
    <w:rsid w:val="00490175"/>
    <w:rsid w:val="00490E4B"/>
    <w:rsid w:val="004910F2"/>
    <w:rsid w:val="004911BD"/>
    <w:rsid w:val="00491BAC"/>
    <w:rsid w:val="00491C94"/>
    <w:rsid w:val="00491E84"/>
    <w:rsid w:val="00491EB6"/>
    <w:rsid w:val="00491EE1"/>
    <w:rsid w:val="00492D32"/>
    <w:rsid w:val="004935B6"/>
    <w:rsid w:val="0049403D"/>
    <w:rsid w:val="0049460C"/>
    <w:rsid w:val="00494FC0"/>
    <w:rsid w:val="004950D7"/>
    <w:rsid w:val="0049558B"/>
    <w:rsid w:val="004964EF"/>
    <w:rsid w:val="00497666"/>
    <w:rsid w:val="004A0355"/>
    <w:rsid w:val="004A058B"/>
    <w:rsid w:val="004A06CE"/>
    <w:rsid w:val="004A1C42"/>
    <w:rsid w:val="004A227D"/>
    <w:rsid w:val="004A2355"/>
    <w:rsid w:val="004A25A1"/>
    <w:rsid w:val="004A387C"/>
    <w:rsid w:val="004A3C22"/>
    <w:rsid w:val="004A44A0"/>
    <w:rsid w:val="004A5EB8"/>
    <w:rsid w:val="004A6513"/>
    <w:rsid w:val="004A7548"/>
    <w:rsid w:val="004A7C74"/>
    <w:rsid w:val="004B050E"/>
    <w:rsid w:val="004B07BB"/>
    <w:rsid w:val="004B37C2"/>
    <w:rsid w:val="004B4062"/>
    <w:rsid w:val="004B40B1"/>
    <w:rsid w:val="004B43E2"/>
    <w:rsid w:val="004B54C8"/>
    <w:rsid w:val="004B5A90"/>
    <w:rsid w:val="004B5CAE"/>
    <w:rsid w:val="004B5F85"/>
    <w:rsid w:val="004B653D"/>
    <w:rsid w:val="004B6D28"/>
    <w:rsid w:val="004B70CA"/>
    <w:rsid w:val="004B739F"/>
    <w:rsid w:val="004B77FE"/>
    <w:rsid w:val="004B7E35"/>
    <w:rsid w:val="004C057A"/>
    <w:rsid w:val="004C08CF"/>
    <w:rsid w:val="004C0F67"/>
    <w:rsid w:val="004C1641"/>
    <w:rsid w:val="004C1680"/>
    <w:rsid w:val="004C1A34"/>
    <w:rsid w:val="004C3479"/>
    <w:rsid w:val="004C4132"/>
    <w:rsid w:val="004C4A4C"/>
    <w:rsid w:val="004C4EFC"/>
    <w:rsid w:val="004C582C"/>
    <w:rsid w:val="004C68E4"/>
    <w:rsid w:val="004C78B0"/>
    <w:rsid w:val="004D0BAB"/>
    <w:rsid w:val="004D2A1E"/>
    <w:rsid w:val="004D2DF0"/>
    <w:rsid w:val="004D2EDE"/>
    <w:rsid w:val="004D3114"/>
    <w:rsid w:val="004D3281"/>
    <w:rsid w:val="004D3362"/>
    <w:rsid w:val="004D3A52"/>
    <w:rsid w:val="004D3EF6"/>
    <w:rsid w:val="004D504E"/>
    <w:rsid w:val="004D57F8"/>
    <w:rsid w:val="004D5DE3"/>
    <w:rsid w:val="004D644D"/>
    <w:rsid w:val="004D6948"/>
    <w:rsid w:val="004D69FC"/>
    <w:rsid w:val="004D780C"/>
    <w:rsid w:val="004E0982"/>
    <w:rsid w:val="004E1D23"/>
    <w:rsid w:val="004E28F4"/>
    <w:rsid w:val="004E363E"/>
    <w:rsid w:val="004E4560"/>
    <w:rsid w:val="004E6151"/>
    <w:rsid w:val="004E668A"/>
    <w:rsid w:val="004E7651"/>
    <w:rsid w:val="004F0104"/>
    <w:rsid w:val="004F028A"/>
    <w:rsid w:val="004F06F8"/>
    <w:rsid w:val="004F1400"/>
    <w:rsid w:val="004F1B68"/>
    <w:rsid w:val="004F1FAF"/>
    <w:rsid w:val="004F2150"/>
    <w:rsid w:val="004F254D"/>
    <w:rsid w:val="004F2BE3"/>
    <w:rsid w:val="004F32CA"/>
    <w:rsid w:val="004F337F"/>
    <w:rsid w:val="004F3530"/>
    <w:rsid w:val="004F408C"/>
    <w:rsid w:val="004F418F"/>
    <w:rsid w:val="004F44A8"/>
    <w:rsid w:val="004F5766"/>
    <w:rsid w:val="004F578A"/>
    <w:rsid w:val="004F5863"/>
    <w:rsid w:val="004F5C51"/>
    <w:rsid w:val="004F5ECA"/>
    <w:rsid w:val="004F6510"/>
    <w:rsid w:val="004F6ABE"/>
    <w:rsid w:val="00501425"/>
    <w:rsid w:val="00501B01"/>
    <w:rsid w:val="0050274F"/>
    <w:rsid w:val="00502A5C"/>
    <w:rsid w:val="00502C45"/>
    <w:rsid w:val="00502C92"/>
    <w:rsid w:val="00502E00"/>
    <w:rsid w:val="00502F18"/>
    <w:rsid w:val="005033AE"/>
    <w:rsid w:val="00503F7B"/>
    <w:rsid w:val="00504001"/>
    <w:rsid w:val="005055C8"/>
    <w:rsid w:val="005056B6"/>
    <w:rsid w:val="00505A89"/>
    <w:rsid w:val="00505DA1"/>
    <w:rsid w:val="00506215"/>
    <w:rsid w:val="005062A6"/>
    <w:rsid w:val="005067F4"/>
    <w:rsid w:val="00506A41"/>
    <w:rsid w:val="00506D4C"/>
    <w:rsid w:val="00507C70"/>
    <w:rsid w:val="00507DFC"/>
    <w:rsid w:val="00510455"/>
    <w:rsid w:val="0051099F"/>
    <w:rsid w:val="00510EB2"/>
    <w:rsid w:val="005114B7"/>
    <w:rsid w:val="00511559"/>
    <w:rsid w:val="0051175D"/>
    <w:rsid w:val="00512086"/>
    <w:rsid w:val="005142A3"/>
    <w:rsid w:val="00515413"/>
    <w:rsid w:val="00515D6B"/>
    <w:rsid w:val="00515F0E"/>
    <w:rsid w:val="00516549"/>
    <w:rsid w:val="0051672A"/>
    <w:rsid w:val="00517BBB"/>
    <w:rsid w:val="005207C0"/>
    <w:rsid w:val="005222D0"/>
    <w:rsid w:val="0052327E"/>
    <w:rsid w:val="00523551"/>
    <w:rsid w:val="00524F75"/>
    <w:rsid w:val="005250E2"/>
    <w:rsid w:val="0052524C"/>
    <w:rsid w:val="00525D2D"/>
    <w:rsid w:val="00525D56"/>
    <w:rsid w:val="0052614C"/>
    <w:rsid w:val="0052689C"/>
    <w:rsid w:val="00527205"/>
    <w:rsid w:val="00527ED0"/>
    <w:rsid w:val="00530A9B"/>
    <w:rsid w:val="00531BDD"/>
    <w:rsid w:val="00531C7A"/>
    <w:rsid w:val="00531FC6"/>
    <w:rsid w:val="00532AED"/>
    <w:rsid w:val="00534307"/>
    <w:rsid w:val="00534671"/>
    <w:rsid w:val="00534E5F"/>
    <w:rsid w:val="0053527B"/>
    <w:rsid w:val="00535556"/>
    <w:rsid w:val="00535D76"/>
    <w:rsid w:val="0053605D"/>
    <w:rsid w:val="005361CD"/>
    <w:rsid w:val="00537065"/>
    <w:rsid w:val="005370B3"/>
    <w:rsid w:val="005373D2"/>
    <w:rsid w:val="005377D1"/>
    <w:rsid w:val="00537AC0"/>
    <w:rsid w:val="00540B72"/>
    <w:rsid w:val="00540E03"/>
    <w:rsid w:val="0054106F"/>
    <w:rsid w:val="00543100"/>
    <w:rsid w:val="00543FDF"/>
    <w:rsid w:val="00545554"/>
    <w:rsid w:val="005457EE"/>
    <w:rsid w:val="00545E81"/>
    <w:rsid w:val="00546D81"/>
    <w:rsid w:val="00546F98"/>
    <w:rsid w:val="00547BA0"/>
    <w:rsid w:val="00552FF7"/>
    <w:rsid w:val="005530D5"/>
    <w:rsid w:val="00553BA1"/>
    <w:rsid w:val="005549CE"/>
    <w:rsid w:val="00555219"/>
    <w:rsid w:val="00555477"/>
    <w:rsid w:val="00555E88"/>
    <w:rsid w:val="00557045"/>
    <w:rsid w:val="005574A0"/>
    <w:rsid w:val="005574FD"/>
    <w:rsid w:val="0055791F"/>
    <w:rsid w:val="00557F15"/>
    <w:rsid w:val="0056189B"/>
    <w:rsid w:val="00561919"/>
    <w:rsid w:val="00561952"/>
    <w:rsid w:val="005634C2"/>
    <w:rsid w:val="00564560"/>
    <w:rsid w:val="00564A86"/>
    <w:rsid w:val="00565609"/>
    <w:rsid w:val="005661E7"/>
    <w:rsid w:val="00566F87"/>
    <w:rsid w:val="00570D39"/>
    <w:rsid w:val="00570EDA"/>
    <w:rsid w:val="005718E4"/>
    <w:rsid w:val="00571906"/>
    <w:rsid w:val="00571F66"/>
    <w:rsid w:val="005728C5"/>
    <w:rsid w:val="0057300D"/>
    <w:rsid w:val="00573392"/>
    <w:rsid w:val="0057339A"/>
    <w:rsid w:val="0057509A"/>
    <w:rsid w:val="00575262"/>
    <w:rsid w:val="005752E0"/>
    <w:rsid w:val="00575C38"/>
    <w:rsid w:val="005761A7"/>
    <w:rsid w:val="005762EF"/>
    <w:rsid w:val="00577A90"/>
    <w:rsid w:val="005802A9"/>
    <w:rsid w:val="00580305"/>
    <w:rsid w:val="00580DF1"/>
    <w:rsid w:val="0058124C"/>
    <w:rsid w:val="00581830"/>
    <w:rsid w:val="00581B57"/>
    <w:rsid w:val="00582B7C"/>
    <w:rsid w:val="0058303A"/>
    <w:rsid w:val="00583551"/>
    <w:rsid w:val="005835FF"/>
    <w:rsid w:val="00584E85"/>
    <w:rsid w:val="00585E71"/>
    <w:rsid w:val="00586424"/>
    <w:rsid w:val="00586AE2"/>
    <w:rsid w:val="00586FD4"/>
    <w:rsid w:val="005871DA"/>
    <w:rsid w:val="005877C5"/>
    <w:rsid w:val="00587A6B"/>
    <w:rsid w:val="00587C99"/>
    <w:rsid w:val="00590719"/>
    <w:rsid w:val="00590EF5"/>
    <w:rsid w:val="00590FD4"/>
    <w:rsid w:val="00591848"/>
    <w:rsid w:val="00591C9A"/>
    <w:rsid w:val="0059294A"/>
    <w:rsid w:val="00593851"/>
    <w:rsid w:val="00593B24"/>
    <w:rsid w:val="00593F6B"/>
    <w:rsid w:val="0059435A"/>
    <w:rsid w:val="0059479F"/>
    <w:rsid w:val="0059493B"/>
    <w:rsid w:val="00594B70"/>
    <w:rsid w:val="00594E86"/>
    <w:rsid w:val="00596033"/>
    <w:rsid w:val="00596F17"/>
    <w:rsid w:val="005970EA"/>
    <w:rsid w:val="005973A5"/>
    <w:rsid w:val="005A04DF"/>
    <w:rsid w:val="005A073A"/>
    <w:rsid w:val="005A0BC4"/>
    <w:rsid w:val="005A0D66"/>
    <w:rsid w:val="005A0FFA"/>
    <w:rsid w:val="005A10F8"/>
    <w:rsid w:val="005A11DE"/>
    <w:rsid w:val="005A2311"/>
    <w:rsid w:val="005A2E0D"/>
    <w:rsid w:val="005A30E1"/>
    <w:rsid w:val="005A3721"/>
    <w:rsid w:val="005A456D"/>
    <w:rsid w:val="005A5FE1"/>
    <w:rsid w:val="005A616B"/>
    <w:rsid w:val="005A64EA"/>
    <w:rsid w:val="005A676A"/>
    <w:rsid w:val="005A6CA1"/>
    <w:rsid w:val="005A7045"/>
    <w:rsid w:val="005B10AE"/>
    <w:rsid w:val="005B11DA"/>
    <w:rsid w:val="005B1637"/>
    <w:rsid w:val="005B2C19"/>
    <w:rsid w:val="005B338C"/>
    <w:rsid w:val="005B42A6"/>
    <w:rsid w:val="005B4C2F"/>
    <w:rsid w:val="005B5234"/>
    <w:rsid w:val="005B5500"/>
    <w:rsid w:val="005B58E7"/>
    <w:rsid w:val="005B6593"/>
    <w:rsid w:val="005B69BB"/>
    <w:rsid w:val="005B6EE0"/>
    <w:rsid w:val="005B7404"/>
    <w:rsid w:val="005B7A11"/>
    <w:rsid w:val="005C0947"/>
    <w:rsid w:val="005C0D4A"/>
    <w:rsid w:val="005C0E4F"/>
    <w:rsid w:val="005C1938"/>
    <w:rsid w:val="005C1943"/>
    <w:rsid w:val="005C1B42"/>
    <w:rsid w:val="005C24CF"/>
    <w:rsid w:val="005C3330"/>
    <w:rsid w:val="005C3629"/>
    <w:rsid w:val="005C38AF"/>
    <w:rsid w:val="005C582C"/>
    <w:rsid w:val="005C5A19"/>
    <w:rsid w:val="005C5BAE"/>
    <w:rsid w:val="005C641A"/>
    <w:rsid w:val="005D0103"/>
    <w:rsid w:val="005D2087"/>
    <w:rsid w:val="005D26B3"/>
    <w:rsid w:val="005D2C36"/>
    <w:rsid w:val="005D2C9C"/>
    <w:rsid w:val="005D3140"/>
    <w:rsid w:val="005D317D"/>
    <w:rsid w:val="005D4B3E"/>
    <w:rsid w:val="005D50E2"/>
    <w:rsid w:val="005D5372"/>
    <w:rsid w:val="005D5758"/>
    <w:rsid w:val="005D5AC3"/>
    <w:rsid w:val="005D6B60"/>
    <w:rsid w:val="005D6F57"/>
    <w:rsid w:val="005D707B"/>
    <w:rsid w:val="005D72B1"/>
    <w:rsid w:val="005D79C4"/>
    <w:rsid w:val="005E0018"/>
    <w:rsid w:val="005E0364"/>
    <w:rsid w:val="005E0A68"/>
    <w:rsid w:val="005E174E"/>
    <w:rsid w:val="005E23C7"/>
    <w:rsid w:val="005E28F4"/>
    <w:rsid w:val="005E2B84"/>
    <w:rsid w:val="005E2CE9"/>
    <w:rsid w:val="005E3CFE"/>
    <w:rsid w:val="005E4078"/>
    <w:rsid w:val="005E4A8C"/>
    <w:rsid w:val="005E4DFC"/>
    <w:rsid w:val="005E5136"/>
    <w:rsid w:val="005E5F57"/>
    <w:rsid w:val="005E668A"/>
    <w:rsid w:val="005E7069"/>
    <w:rsid w:val="005E733D"/>
    <w:rsid w:val="005E74D8"/>
    <w:rsid w:val="005E7C62"/>
    <w:rsid w:val="005E7DA2"/>
    <w:rsid w:val="005F029F"/>
    <w:rsid w:val="005F0DB0"/>
    <w:rsid w:val="005F139D"/>
    <w:rsid w:val="005F1712"/>
    <w:rsid w:val="005F24C3"/>
    <w:rsid w:val="005F2B13"/>
    <w:rsid w:val="005F2E77"/>
    <w:rsid w:val="005F310F"/>
    <w:rsid w:val="005F34E5"/>
    <w:rsid w:val="005F3536"/>
    <w:rsid w:val="005F3F5C"/>
    <w:rsid w:val="005F43D6"/>
    <w:rsid w:val="005F47EB"/>
    <w:rsid w:val="005F4B8E"/>
    <w:rsid w:val="005F51B4"/>
    <w:rsid w:val="005F560A"/>
    <w:rsid w:val="005F5932"/>
    <w:rsid w:val="005F5E35"/>
    <w:rsid w:val="005F655E"/>
    <w:rsid w:val="005F6BD2"/>
    <w:rsid w:val="005F6D9A"/>
    <w:rsid w:val="005F725F"/>
    <w:rsid w:val="00600A38"/>
    <w:rsid w:val="00601DB7"/>
    <w:rsid w:val="00602C95"/>
    <w:rsid w:val="00603138"/>
    <w:rsid w:val="006031DD"/>
    <w:rsid w:val="00603772"/>
    <w:rsid w:val="00603CAF"/>
    <w:rsid w:val="00604064"/>
    <w:rsid w:val="0060453A"/>
    <w:rsid w:val="00605118"/>
    <w:rsid w:val="00605341"/>
    <w:rsid w:val="00605775"/>
    <w:rsid w:val="00606C56"/>
    <w:rsid w:val="00606EF4"/>
    <w:rsid w:val="00607EE8"/>
    <w:rsid w:val="00607FA7"/>
    <w:rsid w:val="0061125B"/>
    <w:rsid w:val="00611E09"/>
    <w:rsid w:val="00613135"/>
    <w:rsid w:val="006132CC"/>
    <w:rsid w:val="00613D2D"/>
    <w:rsid w:val="0061427F"/>
    <w:rsid w:val="00617132"/>
    <w:rsid w:val="00617345"/>
    <w:rsid w:val="006175B3"/>
    <w:rsid w:val="00617F3C"/>
    <w:rsid w:val="006204D6"/>
    <w:rsid w:val="00620AC3"/>
    <w:rsid w:val="00620BA8"/>
    <w:rsid w:val="006214AB"/>
    <w:rsid w:val="00621B5D"/>
    <w:rsid w:val="00621EC2"/>
    <w:rsid w:val="0062204C"/>
    <w:rsid w:val="006223E2"/>
    <w:rsid w:val="006230E4"/>
    <w:rsid w:val="006231B1"/>
    <w:rsid w:val="006237EA"/>
    <w:rsid w:val="0062430F"/>
    <w:rsid w:val="006244F5"/>
    <w:rsid w:val="00624BCB"/>
    <w:rsid w:val="00625D02"/>
    <w:rsid w:val="006272E0"/>
    <w:rsid w:val="00627386"/>
    <w:rsid w:val="00627FA1"/>
    <w:rsid w:val="00630082"/>
    <w:rsid w:val="0063008E"/>
    <w:rsid w:val="006301FC"/>
    <w:rsid w:val="00630267"/>
    <w:rsid w:val="0063063D"/>
    <w:rsid w:val="00631893"/>
    <w:rsid w:val="00631D2A"/>
    <w:rsid w:val="00632305"/>
    <w:rsid w:val="006323DC"/>
    <w:rsid w:val="00632A60"/>
    <w:rsid w:val="00633FDF"/>
    <w:rsid w:val="0063501E"/>
    <w:rsid w:val="00635F9D"/>
    <w:rsid w:val="00636F91"/>
    <w:rsid w:val="0063751B"/>
    <w:rsid w:val="0063770B"/>
    <w:rsid w:val="00637812"/>
    <w:rsid w:val="00637B20"/>
    <w:rsid w:val="006410A3"/>
    <w:rsid w:val="00641D30"/>
    <w:rsid w:val="006421CD"/>
    <w:rsid w:val="00642A7F"/>
    <w:rsid w:val="00642DFD"/>
    <w:rsid w:val="00645577"/>
    <w:rsid w:val="0064577B"/>
    <w:rsid w:val="00646966"/>
    <w:rsid w:val="00646F64"/>
    <w:rsid w:val="00647277"/>
    <w:rsid w:val="00647562"/>
    <w:rsid w:val="00647A33"/>
    <w:rsid w:val="006513CA"/>
    <w:rsid w:val="00652395"/>
    <w:rsid w:val="0065240E"/>
    <w:rsid w:val="00652426"/>
    <w:rsid w:val="00653408"/>
    <w:rsid w:val="006547C0"/>
    <w:rsid w:val="00654C21"/>
    <w:rsid w:val="00657A08"/>
    <w:rsid w:val="00660475"/>
    <w:rsid w:val="006605E2"/>
    <w:rsid w:val="00660761"/>
    <w:rsid w:val="00660C26"/>
    <w:rsid w:val="006610C2"/>
    <w:rsid w:val="00661492"/>
    <w:rsid w:val="006618B9"/>
    <w:rsid w:val="00662527"/>
    <w:rsid w:val="006628C3"/>
    <w:rsid w:val="006638ED"/>
    <w:rsid w:val="00663E08"/>
    <w:rsid w:val="0066404E"/>
    <w:rsid w:val="00664A52"/>
    <w:rsid w:val="00664A6A"/>
    <w:rsid w:val="00664F1F"/>
    <w:rsid w:val="00666AAD"/>
    <w:rsid w:val="0066768E"/>
    <w:rsid w:val="00670206"/>
    <w:rsid w:val="006705D1"/>
    <w:rsid w:val="00671E4E"/>
    <w:rsid w:val="00671E9F"/>
    <w:rsid w:val="006725E8"/>
    <w:rsid w:val="00672FC3"/>
    <w:rsid w:val="00674768"/>
    <w:rsid w:val="00674B08"/>
    <w:rsid w:val="006756CF"/>
    <w:rsid w:val="006758A3"/>
    <w:rsid w:val="0067647A"/>
    <w:rsid w:val="0068118D"/>
    <w:rsid w:val="00681CA3"/>
    <w:rsid w:val="0068208F"/>
    <w:rsid w:val="0068231A"/>
    <w:rsid w:val="00682A28"/>
    <w:rsid w:val="00682C9E"/>
    <w:rsid w:val="006835BD"/>
    <w:rsid w:val="00683668"/>
    <w:rsid w:val="006853C6"/>
    <w:rsid w:val="0068548C"/>
    <w:rsid w:val="00687631"/>
    <w:rsid w:val="00692217"/>
    <w:rsid w:val="0069406F"/>
    <w:rsid w:val="00694C5D"/>
    <w:rsid w:val="00695414"/>
    <w:rsid w:val="00695E91"/>
    <w:rsid w:val="00695F1F"/>
    <w:rsid w:val="00696235"/>
    <w:rsid w:val="00696BAF"/>
    <w:rsid w:val="00696CD9"/>
    <w:rsid w:val="00696D2B"/>
    <w:rsid w:val="006A1B19"/>
    <w:rsid w:val="006A1F38"/>
    <w:rsid w:val="006A32BD"/>
    <w:rsid w:val="006A3B6C"/>
    <w:rsid w:val="006A509C"/>
    <w:rsid w:val="006A66A3"/>
    <w:rsid w:val="006A67E3"/>
    <w:rsid w:val="006A69D3"/>
    <w:rsid w:val="006A6B95"/>
    <w:rsid w:val="006B053A"/>
    <w:rsid w:val="006B168E"/>
    <w:rsid w:val="006B1746"/>
    <w:rsid w:val="006B396E"/>
    <w:rsid w:val="006B435C"/>
    <w:rsid w:val="006B47D4"/>
    <w:rsid w:val="006B537F"/>
    <w:rsid w:val="006B5489"/>
    <w:rsid w:val="006B5687"/>
    <w:rsid w:val="006B56CB"/>
    <w:rsid w:val="006B6375"/>
    <w:rsid w:val="006B6785"/>
    <w:rsid w:val="006B6B3F"/>
    <w:rsid w:val="006B7330"/>
    <w:rsid w:val="006B7754"/>
    <w:rsid w:val="006B7CB8"/>
    <w:rsid w:val="006C08D9"/>
    <w:rsid w:val="006C1AFA"/>
    <w:rsid w:val="006C2D33"/>
    <w:rsid w:val="006C3201"/>
    <w:rsid w:val="006C33D0"/>
    <w:rsid w:val="006C3B2C"/>
    <w:rsid w:val="006C431F"/>
    <w:rsid w:val="006C4C3A"/>
    <w:rsid w:val="006C4DEA"/>
    <w:rsid w:val="006D1871"/>
    <w:rsid w:val="006D2068"/>
    <w:rsid w:val="006D262B"/>
    <w:rsid w:val="006D28B3"/>
    <w:rsid w:val="006D2AC7"/>
    <w:rsid w:val="006D2E20"/>
    <w:rsid w:val="006D4553"/>
    <w:rsid w:val="006D4E31"/>
    <w:rsid w:val="006D4E3F"/>
    <w:rsid w:val="006D4EB3"/>
    <w:rsid w:val="006D668E"/>
    <w:rsid w:val="006D7E83"/>
    <w:rsid w:val="006E1599"/>
    <w:rsid w:val="006E1C54"/>
    <w:rsid w:val="006E2E24"/>
    <w:rsid w:val="006E35C5"/>
    <w:rsid w:val="006E572C"/>
    <w:rsid w:val="006E5DFF"/>
    <w:rsid w:val="006E7310"/>
    <w:rsid w:val="006E7514"/>
    <w:rsid w:val="006E7E48"/>
    <w:rsid w:val="006F1D44"/>
    <w:rsid w:val="006F2003"/>
    <w:rsid w:val="006F2F28"/>
    <w:rsid w:val="006F3058"/>
    <w:rsid w:val="006F4A24"/>
    <w:rsid w:val="006F551B"/>
    <w:rsid w:val="006F673A"/>
    <w:rsid w:val="006F70DB"/>
    <w:rsid w:val="006F74C2"/>
    <w:rsid w:val="0070097B"/>
    <w:rsid w:val="00700B3E"/>
    <w:rsid w:val="00702284"/>
    <w:rsid w:val="00702919"/>
    <w:rsid w:val="00702E56"/>
    <w:rsid w:val="00707453"/>
    <w:rsid w:val="007077A6"/>
    <w:rsid w:val="00707CB5"/>
    <w:rsid w:val="007103C4"/>
    <w:rsid w:val="00710F95"/>
    <w:rsid w:val="007111EB"/>
    <w:rsid w:val="0071157E"/>
    <w:rsid w:val="00711CCB"/>
    <w:rsid w:val="00713D60"/>
    <w:rsid w:val="0071433B"/>
    <w:rsid w:val="00714CD3"/>
    <w:rsid w:val="007152BC"/>
    <w:rsid w:val="00715609"/>
    <w:rsid w:val="00715627"/>
    <w:rsid w:val="00716C00"/>
    <w:rsid w:val="007203B6"/>
    <w:rsid w:val="00720569"/>
    <w:rsid w:val="0072101F"/>
    <w:rsid w:val="0072110F"/>
    <w:rsid w:val="007227CD"/>
    <w:rsid w:val="00723C49"/>
    <w:rsid w:val="00723C7D"/>
    <w:rsid w:val="00723D66"/>
    <w:rsid w:val="0072446A"/>
    <w:rsid w:val="0072622D"/>
    <w:rsid w:val="007262EE"/>
    <w:rsid w:val="007265B4"/>
    <w:rsid w:val="007266FB"/>
    <w:rsid w:val="0072680D"/>
    <w:rsid w:val="00727A03"/>
    <w:rsid w:val="00730D62"/>
    <w:rsid w:val="00731FA4"/>
    <w:rsid w:val="00732640"/>
    <w:rsid w:val="007326DB"/>
    <w:rsid w:val="00732B20"/>
    <w:rsid w:val="007330B0"/>
    <w:rsid w:val="0073314A"/>
    <w:rsid w:val="00733C71"/>
    <w:rsid w:val="00734025"/>
    <w:rsid w:val="00734145"/>
    <w:rsid w:val="00734648"/>
    <w:rsid w:val="007359C7"/>
    <w:rsid w:val="00735BA9"/>
    <w:rsid w:val="007365EC"/>
    <w:rsid w:val="00737409"/>
    <w:rsid w:val="0074022E"/>
    <w:rsid w:val="0074151D"/>
    <w:rsid w:val="00741F61"/>
    <w:rsid w:val="00741F8E"/>
    <w:rsid w:val="00742362"/>
    <w:rsid w:val="00742B0A"/>
    <w:rsid w:val="00744361"/>
    <w:rsid w:val="007443F0"/>
    <w:rsid w:val="007446FD"/>
    <w:rsid w:val="007447CF"/>
    <w:rsid w:val="00744F22"/>
    <w:rsid w:val="0074520B"/>
    <w:rsid w:val="0074562E"/>
    <w:rsid w:val="007456D8"/>
    <w:rsid w:val="007457A3"/>
    <w:rsid w:val="00745CC5"/>
    <w:rsid w:val="00745CFB"/>
    <w:rsid w:val="0074617C"/>
    <w:rsid w:val="00746FA5"/>
    <w:rsid w:val="007477F1"/>
    <w:rsid w:val="00747831"/>
    <w:rsid w:val="00750145"/>
    <w:rsid w:val="0075054C"/>
    <w:rsid w:val="007506C7"/>
    <w:rsid w:val="00750F9A"/>
    <w:rsid w:val="00750FD8"/>
    <w:rsid w:val="00751D2D"/>
    <w:rsid w:val="007530F1"/>
    <w:rsid w:val="00753744"/>
    <w:rsid w:val="00753D06"/>
    <w:rsid w:val="00754612"/>
    <w:rsid w:val="007556BD"/>
    <w:rsid w:val="00755CE0"/>
    <w:rsid w:val="00755CF3"/>
    <w:rsid w:val="007568FD"/>
    <w:rsid w:val="00756D4F"/>
    <w:rsid w:val="0075760C"/>
    <w:rsid w:val="0076142B"/>
    <w:rsid w:val="00761531"/>
    <w:rsid w:val="007619AC"/>
    <w:rsid w:val="00762036"/>
    <w:rsid w:val="00762F95"/>
    <w:rsid w:val="007642FE"/>
    <w:rsid w:val="00764FA0"/>
    <w:rsid w:val="00764FEE"/>
    <w:rsid w:val="00765E60"/>
    <w:rsid w:val="00767505"/>
    <w:rsid w:val="0076785E"/>
    <w:rsid w:val="00767E0B"/>
    <w:rsid w:val="00767E39"/>
    <w:rsid w:val="007716D4"/>
    <w:rsid w:val="007718E2"/>
    <w:rsid w:val="0077200C"/>
    <w:rsid w:val="0077285B"/>
    <w:rsid w:val="007739CA"/>
    <w:rsid w:val="00773B86"/>
    <w:rsid w:val="00773D79"/>
    <w:rsid w:val="00774171"/>
    <w:rsid w:val="0077689F"/>
    <w:rsid w:val="00777323"/>
    <w:rsid w:val="007775AA"/>
    <w:rsid w:val="00780919"/>
    <w:rsid w:val="00780C76"/>
    <w:rsid w:val="00781FA2"/>
    <w:rsid w:val="007826A0"/>
    <w:rsid w:val="0078338E"/>
    <w:rsid w:val="007837F8"/>
    <w:rsid w:val="00783D3D"/>
    <w:rsid w:val="007845B2"/>
    <w:rsid w:val="00784734"/>
    <w:rsid w:val="00784AA5"/>
    <w:rsid w:val="00784CB1"/>
    <w:rsid w:val="00784D8C"/>
    <w:rsid w:val="00784F0B"/>
    <w:rsid w:val="007869A4"/>
    <w:rsid w:val="0078738D"/>
    <w:rsid w:val="007903E4"/>
    <w:rsid w:val="0079054C"/>
    <w:rsid w:val="00790589"/>
    <w:rsid w:val="007908CB"/>
    <w:rsid w:val="007912A1"/>
    <w:rsid w:val="00791ADE"/>
    <w:rsid w:val="00791FD7"/>
    <w:rsid w:val="00792497"/>
    <w:rsid w:val="0079250A"/>
    <w:rsid w:val="00793C4F"/>
    <w:rsid w:val="007947C5"/>
    <w:rsid w:val="00794CC6"/>
    <w:rsid w:val="00794F7F"/>
    <w:rsid w:val="00795245"/>
    <w:rsid w:val="00795432"/>
    <w:rsid w:val="007955D6"/>
    <w:rsid w:val="00795830"/>
    <w:rsid w:val="00795CCD"/>
    <w:rsid w:val="007960EF"/>
    <w:rsid w:val="0079695A"/>
    <w:rsid w:val="00796A9F"/>
    <w:rsid w:val="00797849"/>
    <w:rsid w:val="007A0770"/>
    <w:rsid w:val="007A0AB6"/>
    <w:rsid w:val="007A0B5E"/>
    <w:rsid w:val="007A0D1E"/>
    <w:rsid w:val="007A0DA4"/>
    <w:rsid w:val="007A0F78"/>
    <w:rsid w:val="007A18D6"/>
    <w:rsid w:val="007A1B14"/>
    <w:rsid w:val="007A20CB"/>
    <w:rsid w:val="007A238D"/>
    <w:rsid w:val="007A2806"/>
    <w:rsid w:val="007A2CEF"/>
    <w:rsid w:val="007A33AB"/>
    <w:rsid w:val="007A39B2"/>
    <w:rsid w:val="007A3DA8"/>
    <w:rsid w:val="007A4D8C"/>
    <w:rsid w:val="007A5719"/>
    <w:rsid w:val="007A5E2B"/>
    <w:rsid w:val="007A5E7E"/>
    <w:rsid w:val="007A6EE3"/>
    <w:rsid w:val="007A7893"/>
    <w:rsid w:val="007A79B5"/>
    <w:rsid w:val="007A7DCE"/>
    <w:rsid w:val="007B058B"/>
    <w:rsid w:val="007B2379"/>
    <w:rsid w:val="007B27E1"/>
    <w:rsid w:val="007B3BE1"/>
    <w:rsid w:val="007B46F2"/>
    <w:rsid w:val="007B4F0A"/>
    <w:rsid w:val="007B56BE"/>
    <w:rsid w:val="007B618C"/>
    <w:rsid w:val="007B6371"/>
    <w:rsid w:val="007B65BF"/>
    <w:rsid w:val="007B6ABB"/>
    <w:rsid w:val="007B6AE5"/>
    <w:rsid w:val="007B6F8D"/>
    <w:rsid w:val="007B799A"/>
    <w:rsid w:val="007B7CBA"/>
    <w:rsid w:val="007C0123"/>
    <w:rsid w:val="007C0E56"/>
    <w:rsid w:val="007C1154"/>
    <w:rsid w:val="007C118D"/>
    <w:rsid w:val="007C13A4"/>
    <w:rsid w:val="007C2184"/>
    <w:rsid w:val="007C23C3"/>
    <w:rsid w:val="007C311A"/>
    <w:rsid w:val="007C39B6"/>
    <w:rsid w:val="007C4098"/>
    <w:rsid w:val="007C43B1"/>
    <w:rsid w:val="007C56E3"/>
    <w:rsid w:val="007C5EDB"/>
    <w:rsid w:val="007C6AFC"/>
    <w:rsid w:val="007C76C8"/>
    <w:rsid w:val="007C796E"/>
    <w:rsid w:val="007C7C6C"/>
    <w:rsid w:val="007D064C"/>
    <w:rsid w:val="007D094B"/>
    <w:rsid w:val="007D0C8A"/>
    <w:rsid w:val="007D1C11"/>
    <w:rsid w:val="007D221A"/>
    <w:rsid w:val="007D36F5"/>
    <w:rsid w:val="007D4749"/>
    <w:rsid w:val="007D4E67"/>
    <w:rsid w:val="007D63A4"/>
    <w:rsid w:val="007D645B"/>
    <w:rsid w:val="007D757F"/>
    <w:rsid w:val="007D77AB"/>
    <w:rsid w:val="007D791B"/>
    <w:rsid w:val="007E128E"/>
    <w:rsid w:val="007E2D17"/>
    <w:rsid w:val="007E3385"/>
    <w:rsid w:val="007E5012"/>
    <w:rsid w:val="007E60AD"/>
    <w:rsid w:val="007E733C"/>
    <w:rsid w:val="007E74AE"/>
    <w:rsid w:val="007E7C46"/>
    <w:rsid w:val="007F003E"/>
    <w:rsid w:val="007F0688"/>
    <w:rsid w:val="007F07C4"/>
    <w:rsid w:val="007F1B77"/>
    <w:rsid w:val="007F298F"/>
    <w:rsid w:val="007F373F"/>
    <w:rsid w:val="007F3BFA"/>
    <w:rsid w:val="007F54B9"/>
    <w:rsid w:val="007F6A67"/>
    <w:rsid w:val="007F7674"/>
    <w:rsid w:val="0080089F"/>
    <w:rsid w:val="0080176B"/>
    <w:rsid w:val="008017FC"/>
    <w:rsid w:val="00801B5D"/>
    <w:rsid w:val="00803648"/>
    <w:rsid w:val="0080414A"/>
    <w:rsid w:val="00805373"/>
    <w:rsid w:val="00806F88"/>
    <w:rsid w:val="008077DC"/>
    <w:rsid w:val="00810723"/>
    <w:rsid w:val="0081093C"/>
    <w:rsid w:val="00812242"/>
    <w:rsid w:val="00812F3F"/>
    <w:rsid w:val="00813206"/>
    <w:rsid w:val="00813369"/>
    <w:rsid w:val="00813E07"/>
    <w:rsid w:val="008147F9"/>
    <w:rsid w:val="0081533B"/>
    <w:rsid w:val="0081691B"/>
    <w:rsid w:val="0081720E"/>
    <w:rsid w:val="00820145"/>
    <w:rsid w:val="00820736"/>
    <w:rsid w:val="0082087D"/>
    <w:rsid w:val="00820C8D"/>
    <w:rsid w:val="00820E78"/>
    <w:rsid w:val="008210AF"/>
    <w:rsid w:val="008217AC"/>
    <w:rsid w:val="008220F3"/>
    <w:rsid w:val="00822398"/>
    <w:rsid w:val="0082359A"/>
    <w:rsid w:val="00824061"/>
    <w:rsid w:val="00824826"/>
    <w:rsid w:val="00827051"/>
    <w:rsid w:val="008309A9"/>
    <w:rsid w:val="00830A58"/>
    <w:rsid w:val="008311FF"/>
    <w:rsid w:val="008316FE"/>
    <w:rsid w:val="00833C77"/>
    <w:rsid w:val="00833D95"/>
    <w:rsid w:val="00833FF4"/>
    <w:rsid w:val="00834064"/>
    <w:rsid w:val="0083543D"/>
    <w:rsid w:val="008356A9"/>
    <w:rsid w:val="00835CAB"/>
    <w:rsid w:val="00835D7D"/>
    <w:rsid w:val="008365FB"/>
    <w:rsid w:val="0083699E"/>
    <w:rsid w:val="00840341"/>
    <w:rsid w:val="00841323"/>
    <w:rsid w:val="00841FCF"/>
    <w:rsid w:val="00842BD6"/>
    <w:rsid w:val="008432F1"/>
    <w:rsid w:val="00843AF9"/>
    <w:rsid w:val="00843B4A"/>
    <w:rsid w:val="008444D4"/>
    <w:rsid w:val="0084573A"/>
    <w:rsid w:val="00845CBA"/>
    <w:rsid w:val="00845E3C"/>
    <w:rsid w:val="00845F30"/>
    <w:rsid w:val="00845FAA"/>
    <w:rsid w:val="008460D6"/>
    <w:rsid w:val="00846D5A"/>
    <w:rsid w:val="00847217"/>
    <w:rsid w:val="00847458"/>
    <w:rsid w:val="0084752E"/>
    <w:rsid w:val="00847539"/>
    <w:rsid w:val="00850878"/>
    <w:rsid w:val="008510BF"/>
    <w:rsid w:val="008512D3"/>
    <w:rsid w:val="00851E24"/>
    <w:rsid w:val="008528D7"/>
    <w:rsid w:val="00852CAB"/>
    <w:rsid w:val="00852CB2"/>
    <w:rsid w:val="00855AC8"/>
    <w:rsid w:val="00856B55"/>
    <w:rsid w:val="00860519"/>
    <w:rsid w:val="00860A4A"/>
    <w:rsid w:val="00861149"/>
    <w:rsid w:val="00861407"/>
    <w:rsid w:val="008617EE"/>
    <w:rsid w:val="00861D64"/>
    <w:rsid w:val="00862070"/>
    <w:rsid w:val="00862635"/>
    <w:rsid w:val="00862784"/>
    <w:rsid w:val="00862AF5"/>
    <w:rsid w:val="00862FFE"/>
    <w:rsid w:val="00863383"/>
    <w:rsid w:val="008633DD"/>
    <w:rsid w:val="00863E58"/>
    <w:rsid w:val="0086668C"/>
    <w:rsid w:val="00866BAE"/>
    <w:rsid w:val="00866F19"/>
    <w:rsid w:val="008673E6"/>
    <w:rsid w:val="00867AC6"/>
    <w:rsid w:val="008702A7"/>
    <w:rsid w:val="008705CA"/>
    <w:rsid w:val="008707B4"/>
    <w:rsid w:val="00870E9C"/>
    <w:rsid w:val="0087143E"/>
    <w:rsid w:val="00871775"/>
    <w:rsid w:val="0087246F"/>
    <w:rsid w:val="0087270C"/>
    <w:rsid w:val="00873BD2"/>
    <w:rsid w:val="008743F5"/>
    <w:rsid w:val="008758B1"/>
    <w:rsid w:val="00875DEA"/>
    <w:rsid w:val="00875E0A"/>
    <w:rsid w:val="008760BE"/>
    <w:rsid w:val="008760E0"/>
    <w:rsid w:val="008766DC"/>
    <w:rsid w:val="0087799C"/>
    <w:rsid w:val="00880064"/>
    <w:rsid w:val="008805F4"/>
    <w:rsid w:val="008808A4"/>
    <w:rsid w:val="0088153C"/>
    <w:rsid w:val="0088199A"/>
    <w:rsid w:val="00882035"/>
    <w:rsid w:val="00883538"/>
    <w:rsid w:val="0088406E"/>
    <w:rsid w:val="008853D3"/>
    <w:rsid w:val="00885AB3"/>
    <w:rsid w:val="00885B50"/>
    <w:rsid w:val="00885D51"/>
    <w:rsid w:val="008871C4"/>
    <w:rsid w:val="00887E25"/>
    <w:rsid w:val="00887EAA"/>
    <w:rsid w:val="0089010A"/>
    <w:rsid w:val="00890471"/>
    <w:rsid w:val="00890B64"/>
    <w:rsid w:val="00891D75"/>
    <w:rsid w:val="00891FC3"/>
    <w:rsid w:val="00892D0E"/>
    <w:rsid w:val="0089316C"/>
    <w:rsid w:val="008931B9"/>
    <w:rsid w:val="0089382F"/>
    <w:rsid w:val="008945BF"/>
    <w:rsid w:val="008954DC"/>
    <w:rsid w:val="008957DB"/>
    <w:rsid w:val="00895FC1"/>
    <w:rsid w:val="00896179"/>
    <w:rsid w:val="008964E7"/>
    <w:rsid w:val="00897C8D"/>
    <w:rsid w:val="008A0094"/>
    <w:rsid w:val="008A0848"/>
    <w:rsid w:val="008A19A5"/>
    <w:rsid w:val="008A1FAE"/>
    <w:rsid w:val="008A3182"/>
    <w:rsid w:val="008A32CE"/>
    <w:rsid w:val="008A49FB"/>
    <w:rsid w:val="008A4FA3"/>
    <w:rsid w:val="008A50C2"/>
    <w:rsid w:val="008A50EB"/>
    <w:rsid w:val="008A54C9"/>
    <w:rsid w:val="008A56D7"/>
    <w:rsid w:val="008A576C"/>
    <w:rsid w:val="008A6010"/>
    <w:rsid w:val="008A61FA"/>
    <w:rsid w:val="008A661D"/>
    <w:rsid w:val="008A6C48"/>
    <w:rsid w:val="008A74FB"/>
    <w:rsid w:val="008A7678"/>
    <w:rsid w:val="008A7ADA"/>
    <w:rsid w:val="008A7E98"/>
    <w:rsid w:val="008B1E49"/>
    <w:rsid w:val="008B2E91"/>
    <w:rsid w:val="008B3434"/>
    <w:rsid w:val="008B3940"/>
    <w:rsid w:val="008B39F1"/>
    <w:rsid w:val="008B5694"/>
    <w:rsid w:val="008B5C01"/>
    <w:rsid w:val="008B6184"/>
    <w:rsid w:val="008B6AD3"/>
    <w:rsid w:val="008B6B74"/>
    <w:rsid w:val="008B6DFA"/>
    <w:rsid w:val="008B7750"/>
    <w:rsid w:val="008B79A4"/>
    <w:rsid w:val="008C0C2D"/>
    <w:rsid w:val="008C0D3F"/>
    <w:rsid w:val="008C1E2F"/>
    <w:rsid w:val="008C23C3"/>
    <w:rsid w:val="008C2769"/>
    <w:rsid w:val="008C2C29"/>
    <w:rsid w:val="008C3156"/>
    <w:rsid w:val="008C3C98"/>
    <w:rsid w:val="008C3FA2"/>
    <w:rsid w:val="008C4021"/>
    <w:rsid w:val="008C544A"/>
    <w:rsid w:val="008C620E"/>
    <w:rsid w:val="008C697D"/>
    <w:rsid w:val="008C6E34"/>
    <w:rsid w:val="008C7018"/>
    <w:rsid w:val="008C7189"/>
    <w:rsid w:val="008C7685"/>
    <w:rsid w:val="008C7A6F"/>
    <w:rsid w:val="008D0247"/>
    <w:rsid w:val="008D2995"/>
    <w:rsid w:val="008D2A34"/>
    <w:rsid w:val="008D2CCC"/>
    <w:rsid w:val="008D3318"/>
    <w:rsid w:val="008D3F18"/>
    <w:rsid w:val="008D3F2B"/>
    <w:rsid w:val="008D4718"/>
    <w:rsid w:val="008D5228"/>
    <w:rsid w:val="008D54D0"/>
    <w:rsid w:val="008D5DF2"/>
    <w:rsid w:val="008D5EA3"/>
    <w:rsid w:val="008D7C04"/>
    <w:rsid w:val="008E127B"/>
    <w:rsid w:val="008E1728"/>
    <w:rsid w:val="008E1E1D"/>
    <w:rsid w:val="008E2871"/>
    <w:rsid w:val="008E30B0"/>
    <w:rsid w:val="008E3750"/>
    <w:rsid w:val="008E3F7D"/>
    <w:rsid w:val="008E3FCE"/>
    <w:rsid w:val="008E47DF"/>
    <w:rsid w:val="008E4AA6"/>
    <w:rsid w:val="008E51B1"/>
    <w:rsid w:val="008E61AA"/>
    <w:rsid w:val="008E622E"/>
    <w:rsid w:val="008E76BF"/>
    <w:rsid w:val="008E7836"/>
    <w:rsid w:val="008E7A79"/>
    <w:rsid w:val="008F0320"/>
    <w:rsid w:val="008F074A"/>
    <w:rsid w:val="008F0D13"/>
    <w:rsid w:val="008F1D5A"/>
    <w:rsid w:val="008F28E3"/>
    <w:rsid w:val="008F2977"/>
    <w:rsid w:val="008F2CAD"/>
    <w:rsid w:val="008F2F5D"/>
    <w:rsid w:val="008F3950"/>
    <w:rsid w:val="008F3D92"/>
    <w:rsid w:val="008F4070"/>
    <w:rsid w:val="008F4DC2"/>
    <w:rsid w:val="008F5036"/>
    <w:rsid w:val="008F522F"/>
    <w:rsid w:val="008F54E2"/>
    <w:rsid w:val="008F5923"/>
    <w:rsid w:val="008F5CD7"/>
    <w:rsid w:val="008F712C"/>
    <w:rsid w:val="008F7E59"/>
    <w:rsid w:val="00900A95"/>
    <w:rsid w:val="00900C9B"/>
    <w:rsid w:val="0090203A"/>
    <w:rsid w:val="009020AC"/>
    <w:rsid w:val="0090275C"/>
    <w:rsid w:val="0090324C"/>
    <w:rsid w:val="00903541"/>
    <w:rsid w:val="00903F92"/>
    <w:rsid w:val="009047B2"/>
    <w:rsid w:val="00905116"/>
    <w:rsid w:val="00907403"/>
    <w:rsid w:val="0090795B"/>
    <w:rsid w:val="00907F56"/>
    <w:rsid w:val="009111B9"/>
    <w:rsid w:val="00911231"/>
    <w:rsid w:val="009119FA"/>
    <w:rsid w:val="00913097"/>
    <w:rsid w:val="00913E8D"/>
    <w:rsid w:val="009164D3"/>
    <w:rsid w:val="00916B8A"/>
    <w:rsid w:val="009173DB"/>
    <w:rsid w:val="00920B72"/>
    <w:rsid w:val="00922C9B"/>
    <w:rsid w:val="009247F0"/>
    <w:rsid w:val="00924A54"/>
    <w:rsid w:val="009264D9"/>
    <w:rsid w:val="00926760"/>
    <w:rsid w:val="00926A6C"/>
    <w:rsid w:val="00926BF1"/>
    <w:rsid w:val="009275EC"/>
    <w:rsid w:val="009278D6"/>
    <w:rsid w:val="00927F23"/>
    <w:rsid w:val="00927F50"/>
    <w:rsid w:val="00930380"/>
    <w:rsid w:val="009303A3"/>
    <w:rsid w:val="00930A3D"/>
    <w:rsid w:val="00930BE0"/>
    <w:rsid w:val="009325A8"/>
    <w:rsid w:val="009332DE"/>
    <w:rsid w:val="00933503"/>
    <w:rsid w:val="00933859"/>
    <w:rsid w:val="009355AF"/>
    <w:rsid w:val="009363AD"/>
    <w:rsid w:val="00936BE7"/>
    <w:rsid w:val="00937700"/>
    <w:rsid w:val="00937AD0"/>
    <w:rsid w:val="00937DDC"/>
    <w:rsid w:val="00941290"/>
    <w:rsid w:val="0094176F"/>
    <w:rsid w:val="00941975"/>
    <w:rsid w:val="00941A63"/>
    <w:rsid w:val="00942219"/>
    <w:rsid w:val="009429C6"/>
    <w:rsid w:val="00943A5A"/>
    <w:rsid w:val="00943D2B"/>
    <w:rsid w:val="009444E6"/>
    <w:rsid w:val="009449F7"/>
    <w:rsid w:val="0094592B"/>
    <w:rsid w:val="00945F75"/>
    <w:rsid w:val="009469E3"/>
    <w:rsid w:val="009500BB"/>
    <w:rsid w:val="0095047D"/>
    <w:rsid w:val="00950738"/>
    <w:rsid w:val="0095080D"/>
    <w:rsid w:val="00950B6C"/>
    <w:rsid w:val="00950BA8"/>
    <w:rsid w:val="0095101A"/>
    <w:rsid w:val="00951362"/>
    <w:rsid w:val="009514DE"/>
    <w:rsid w:val="009515E5"/>
    <w:rsid w:val="00951EC9"/>
    <w:rsid w:val="00953698"/>
    <w:rsid w:val="00953F52"/>
    <w:rsid w:val="00953FA4"/>
    <w:rsid w:val="00954E12"/>
    <w:rsid w:val="009555D0"/>
    <w:rsid w:val="009555E0"/>
    <w:rsid w:val="009569DB"/>
    <w:rsid w:val="009570DA"/>
    <w:rsid w:val="00957162"/>
    <w:rsid w:val="00957688"/>
    <w:rsid w:val="00960238"/>
    <w:rsid w:val="0096040F"/>
    <w:rsid w:val="00960537"/>
    <w:rsid w:val="0096075A"/>
    <w:rsid w:val="00960867"/>
    <w:rsid w:val="00961FB3"/>
    <w:rsid w:val="0096219A"/>
    <w:rsid w:val="0096247C"/>
    <w:rsid w:val="009631CC"/>
    <w:rsid w:val="009639B2"/>
    <w:rsid w:val="0096455C"/>
    <w:rsid w:val="00964A35"/>
    <w:rsid w:val="00964AF4"/>
    <w:rsid w:val="0096610B"/>
    <w:rsid w:val="0096638A"/>
    <w:rsid w:val="00966437"/>
    <w:rsid w:val="00966D40"/>
    <w:rsid w:val="00966D75"/>
    <w:rsid w:val="00967094"/>
    <w:rsid w:val="009678EF"/>
    <w:rsid w:val="00967B89"/>
    <w:rsid w:val="009709A0"/>
    <w:rsid w:val="00970DB3"/>
    <w:rsid w:val="00971675"/>
    <w:rsid w:val="00971BC1"/>
    <w:rsid w:val="00971F41"/>
    <w:rsid w:val="0097357D"/>
    <w:rsid w:val="00973B57"/>
    <w:rsid w:val="00973DCB"/>
    <w:rsid w:val="00974F42"/>
    <w:rsid w:val="009758B6"/>
    <w:rsid w:val="00975FCA"/>
    <w:rsid w:val="00976250"/>
    <w:rsid w:val="0097640C"/>
    <w:rsid w:val="00976E5D"/>
    <w:rsid w:val="00977356"/>
    <w:rsid w:val="009774B8"/>
    <w:rsid w:val="00977C37"/>
    <w:rsid w:val="00980908"/>
    <w:rsid w:val="009809B2"/>
    <w:rsid w:val="0098140B"/>
    <w:rsid w:val="009822B8"/>
    <w:rsid w:val="00982B43"/>
    <w:rsid w:val="00982E42"/>
    <w:rsid w:val="00983BBC"/>
    <w:rsid w:val="00985ED0"/>
    <w:rsid w:val="00985F8A"/>
    <w:rsid w:val="00986DE7"/>
    <w:rsid w:val="0098734B"/>
    <w:rsid w:val="009912AB"/>
    <w:rsid w:val="00991A09"/>
    <w:rsid w:val="00991D08"/>
    <w:rsid w:val="0099208C"/>
    <w:rsid w:val="009925EE"/>
    <w:rsid w:val="009932C5"/>
    <w:rsid w:val="009935F2"/>
    <w:rsid w:val="00994681"/>
    <w:rsid w:val="00994FBC"/>
    <w:rsid w:val="009958AC"/>
    <w:rsid w:val="0099622E"/>
    <w:rsid w:val="00996550"/>
    <w:rsid w:val="0099676F"/>
    <w:rsid w:val="00996D70"/>
    <w:rsid w:val="00997078"/>
    <w:rsid w:val="00997483"/>
    <w:rsid w:val="0099750A"/>
    <w:rsid w:val="00997EBA"/>
    <w:rsid w:val="009A0558"/>
    <w:rsid w:val="009A174B"/>
    <w:rsid w:val="009A20F7"/>
    <w:rsid w:val="009A2C74"/>
    <w:rsid w:val="009A3092"/>
    <w:rsid w:val="009A30DE"/>
    <w:rsid w:val="009A31B2"/>
    <w:rsid w:val="009A325F"/>
    <w:rsid w:val="009A3341"/>
    <w:rsid w:val="009A3B61"/>
    <w:rsid w:val="009A45D2"/>
    <w:rsid w:val="009A4608"/>
    <w:rsid w:val="009A4638"/>
    <w:rsid w:val="009A46F1"/>
    <w:rsid w:val="009A5191"/>
    <w:rsid w:val="009A540D"/>
    <w:rsid w:val="009A5786"/>
    <w:rsid w:val="009A5AF4"/>
    <w:rsid w:val="009A5C77"/>
    <w:rsid w:val="009A6212"/>
    <w:rsid w:val="009A6A37"/>
    <w:rsid w:val="009B14C2"/>
    <w:rsid w:val="009B17AF"/>
    <w:rsid w:val="009B1B57"/>
    <w:rsid w:val="009B2586"/>
    <w:rsid w:val="009B2818"/>
    <w:rsid w:val="009B2AB4"/>
    <w:rsid w:val="009B35AA"/>
    <w:rsid w:val="009B3CDA"/>
    <w:rsid w:val="009B3E05"/>
    <w:rsid w:val="009B4700"/>
    <w:rsid w:val="009B4B9E"/>
    <w:rsid w:val="009B6F49"/>
    <w:rsid w:val="009B7939"/>
    <w:rsid w:val="009C0C62"/>
    <w:rsid w:val="009C0FA8"/>
    <w:rsid w:val="009C164C"/>
    <w:rsid w:val="009C18A9"/>
    <w:rsid w:val="009C2387"/>
    <w:rsid w:val="009C2F3D"/>
    <w:rsid w:val="009C30B5"/>
    <w:rsid w:val="009C387E"/>
    <w:rsid w:val="009C3AC0"/>
    <w:rsid w:val="009C4C97"/>
    <w:rsid w:val="009C4E25"/>
    <w:rsid w:val="009C69CD"/>
    <w:rsid w:val="009C7084"/>
    <w:rsid w:val="009C757B"/>
    <w:rsid w:val="009C769C"/>
    <w:rsid w:val="009C7B7E"/>
    <w:rsid w:val="009D00BB"/>
    <w:rsid w:val="009D0770"/>
    <w:rsid w:val="009D1A57"/>
    <w:rsid w:val="009D3565"/>
    <w:rsid w:val="009D37A1"/>
    <w:rsid w:val="009D392B"/>
    <w:rsid w:val="009D456A"/>
    <w:rsid w:val="009D4571"/>
    <w:rsid w:val="009D4952"/>
    <w:rsid w:val="009D5EEC"/>
    <w:rsid w:val="009D612C"/>
    <w:rsid w:val="009D6372"/>
    <w:rsid w:val="009D6D2B"/>
    <w:rsid w:val="009D784F"/>
    <w:rsid w:val="009E0AF5"/>
    <w:rsid w:val="009E0AF9"/>
    <w:rsid w:val="009E13CD"/>
    <w:rsid w:val="009E1447"/>
    <w:rsid w:val="009E1870"/>
    <w:rsid w:val="009E2EEF"/>
    <w:rsid w:val="009E3307"/>
    <w:rsid w:val="009E3AC4"/>
    <w:rsid w:val="009E60BE"/>
    <w:rsid w:val="009E6EE0"/>
    <w:rsid w:val="009E7731"/>
    <w:rsid w:val="009F04C2"/>
    <w:rsid w:val="009F38F2"/>
    <w:rsid w:val="009F3F57"/>
    <w:rsid w:val="009F4B61"/>
    <w:rsid w:val="009F5DC4"/>
    <w:rsid w:val="009F5F0C"/>
    <w:rsid w:val="009F5F68"/>
    <w:rsid w:val="009F6DC9"/>
    <w:rsid w:val="009F7DB1"/>
    <w:rsid w:val="00A00960"/>
    <w:rsid w:val="00A011D8"/>
    <w:rsid w:val="00A01FC8"/>
    <w:rsid w:val="00A02A59"/>
    <w:rsid w:val="00A02C1E"/>
    <w:rsid w:val="00A02DC5"/>
    <w:rsid w:val="00A03A03"/>
    <w:rsid w:val="00A04160"/>
    <w:rsid w:val="00A04A29"/>
    <w:rsid w:val="00A05CF6"/>
    <w:rsid w:val="00A10C29"/>
    <w:rsid w:val="00A110A6"/>
    <w:rsid w:val="00A11675"/>
    <w:rsid w:val="00A11CA3"/>
    <w:rsid w:val="00A12997"/>
    <w:rsid w:val="00A12C85"/>
    <w:rsid w:val="00A13438"/>
    <w:rsid w:val="00A13849"/>
    <w:rsid w:val="00A13CC3"/>
    <w:rsid w:val="00A14466"/>
    <w:rsid w:val="00A14C82"/>
    <w:rsid w:val="00A16410"/>
    <w:rsid w:val="00A169A5"/>
    <w:rsid w:val="00A17440"/>
    <w:rsid w:val="00A17D26"/>
    <w:rsid w:val="00A17DD0"/>
    <w:rsid w:val="00A215CC"/>
    <w:rsid w:val="00A2384C"/>
    <w:rsid w:val="00A2466B"/>
    <w:rsid w:val="00A24D9A"/>
    <w:rsid w:val="00A25705"/>
    <w:rsid w:val="00A26D79"/>
    <w:rsid w:val="00A27EBF"/>
    <w:rsid w:val="00A300C2"/>
    <w:rsid w:val="00A30ABB"/>
    <w:rsid w:val="00A3114C"/>
    <w:rsid w:val="00A313CB"/>
    <w:rsid w:val="00A31E08"/>
    <w:rsid w:val="00A31FD8"/>
    <w:rsid w:val="00A332BC"/>
    <w:rsid w:val="00A33330"/>
    <w:rsid w:val="00A33A6C"/>
    <w:rsid w:val="00A33B37"/>
    <w:rsid w:val="00A34840"/>
    <w:rsid w:val="00A35FBA"/>
    <w:rsid w:val="00A3660F"/>
    <w:rsid w:val="00A36883"/>
    <w:rsid w:val="00A36AC5"/>
    <w:rsid w:val="00A3775B"/>
    <w:rsid w:val="00A40126"/>
    <w:rsid w:val="00A40A0F"/>
    <w:rsid w:val="00A41405"/>
    <w:rsid w:val="00A415F3"/>
    <w:rsid w:val="00A41A62"/>
    <w:rsid w:val="00A41B94"/>
    <w:rsid w:val="00A42464"/>
    <w:rsid w:val="00A42567"/>
    <w:rsid w:val="00A42B62"/>
    <w:rsid w:val="00A42CAF"/>
    <w:rsid w:val="00A44281"/>
    <w:rsid w:val="00A4474D"/>
    <w:rsid w:val="00A44C7E"/>
    <w:rsid w:val="00A45200"/>
    <w:rsid w:val="00A45487"/>
    <w:rsid w:val="00A45785"/>
    <w:rsid w:val="00A45E11"/>
    <w:rsid w:val="00A46625"/>
    <w:rsid w:val="00A4670B"/>
    <w:rsid w:val="00A46A0C"/>
    <w:rsid w:val="00A46CD9"/>
    <w:rsid w:val="00A47018"/>
    <w:rsid w:val="00A47585"/>
    <w:rsid w:val="00A506C4"/>
    <w:rsid w:val="00A50BC5"/>
    <w:rsid w:val="00A51AC9"/>
    <w:rsid w:val="00A521DE"/>
    <w:rsid w:val="00A52F8F"/>
    <w:rsid w:val="00A534CB"/>
    <w:rsid w:val="00A553B6"/>
    <w:rsid w:val="00A55E7C"/>
    <w:rsid w:val="00A56C2B"/>
    <w:rsid w:val="00A57308"/>
    <w:rsid w:val="00A57713"/>
    <w:rsid w:val="00A57762"/>
    <w:rsid w:val="00A60E5C"/>
    <w:rsid w:val="00A612C6"/>
    <w:rsid w:val="00A61C14"/>
    <w:rsid w:val="00A62E82"/>
    <w:rsid w:val="00A6318C"/>
    <w:rsid w:val="00A63D5B"/>
    <w:rsid w:val="00A646CD"/>
    <w:rsid w:val="00A64726"/>
    <w:rsid w:val="00A64820"/>
    <w:rsid w:val="00A65303"/>
    <w:rsid w:val="00A65F1C"/>
    <w:rsid w:val="00A6616E"/>
    <w:rsid w:val="00A66A62"/>
    <w:rsid w:val="00A66C5C"/>
    <w:rsid w:val="00A701B8"/>
    <w:rsid w:val="00A704F2"/>
    <w:rsid w:val="00A70A05"/>
    <w:rsid w:val="00A7115F"/>
    <w:rsid w:val="00A73A08"/>
    <w:rsid w:val="00A74951"/>
    <w:rsid w:val="00A74C55"/>
    <w:rsid w:val="00A7565A"/>
    <w:rsid w:val="00A758F1"/>
    <w:rsid w:val="00A75EC7"/>
    <w:rsid w:val="00A76783"/>
    <w:rsid w:val="00A76C58"/>
    <w:rsid w:val="00A77259"/>
    <w:rsid w:val="00A77BC1"/>
    <w:rsid w:val="00A77EF0"/>
    <w:rsid w:val="00A802C3"/>
    <w:rsid w:val="00A8052A"/>
    <w:rsid w:val="00A80DAA"/>
    <w:rsid w:val="00A82E9F"/>
    <w:rsid w:val="00A8314E"/>
    <w:rsid w:val="00A837C7"/>
    <w:rsid w:val="00A83853"/>
    <w:rsid w:val="00A850B6"/>
    <w:rsid w:val="00A85809"/>
    <w:rsid w:val="00A859AD"/>
    <w:rsid w:val="00A85B51"/>
    <w:rsid w:val="00A86399"/>
    <w:rsid w:val="00A879CE"/>
    <w:rsid w:val="00A87A50"/>
    <w:rsid w:val="00A90A2B"/>
    <w:rsid w:val="00A9181E"/>
    <w:rsid w:val="00A92F95"/>
    <w:rsid w:val="00A930B2"/>
    <w:rsid w:val="00A94B26"/>
    <w:rsid w:val="00A962F7"/>
    <w:rsid w:val="00AA0D6C"/>
    <w:rsid w:val="00AA1234"/>
    <w:rsid w:val="00AA3E48"/>
    <w:rsid w:val="00AA44EE"/>
    <w:rsid w:val="00AA655D"/>
    <w:rsid w:val="00AA66BB"/>
    <w:rsid w:val="00AA6A50"/>
    <w:rsid w:val="00AB12DF"/>
    <w:rsid w:val="00AB15A9"/>
    <w:rsid w:val="00AB2070"/>
    <w:rsid w:val="00AB2398"/>
    <w:rsid w:val="00AB32E7"/>
    <w:rsid w:val="00AB3E28"/>
    <w:rsid w:val="00AB3E9C"/>
    <w:rsid w:val="00AB4120"/>
    <w:rsid w:val="00AB463B"/>
    <w:rsid w:val="00AB5007"/>
    <w:rsid w:val="00AB6F13"/>
    <w:rsid w:val="00AB7456"/>
    <w:rsid w:val="00AB784D"/>
    <w:rsid w:val="00AB7916"/>
    <w:rsid w:val="00AC1776"/>
    <w:rsid w:val="00AC1E0B"/>
    <w:rsid w:val="00AC1EF9"/>
    <w:rsid w:val="00AC4B33"/>
    <w:rsid w:val="00AC50D3"/>
    <w:rsid w:val="00AC5341"/>
    <w:rsid w:val="00AC63C1"/>
    <w:rsid w:val="00AC656E"/>
    <w:rsid w:val="00AD004D"/>
    <w:rsid w:val="00AD0063"/>
    <w:rsid w:val="00AD01AF"/>
    <w:rsid w:val="00AD0407"/>
    <w:rsid w:val="00AD0409"/>
    <w:rsid w:val="00AD09CE"/>
    <w:rsid w:val="00AD1067"/>
    <w:rsid w:val="00AD17D8"/>
    <w:rsid w:val="00AD1B98"/>
    <w:rsid w:val="00AD47B4"/>
    <w:rsid w:val="00AD489D"/>
    <w:rsid w:val="00AD5510"/>
    <w:rsid w:val="00AD5740"/>
    <w:rsid w:val="00AD67E2"/>
    <w:rsid w:val="00AD698F"/>
    <w:rsid w:val="00AD69ED"/>
    <w:rsid w:val="00AD6AC2"/>
    <w:rsid w:val="00AD7129"/>
    <w:rsid w:val="00AD7B4C"/>
    <w:rsid w:val="00AE1320"/>
    <w:rsid w:val="00AE1E12"/>
    <w:rsid w:val="00AE3996"/>
    <w:rsid w:val="00AE42D1"/>
    <w:rsid w:val="00AE46E8"/>
    <w:rsid w:val="00AE4F8A"/>
    <w:rsid w:val="00AE593E"/>
    <w:rsid w:val="00AE5A47"/>
    <w:rsid w:val="00AE5B65"/>
    <w:rsid w:val="00AE6B98"/>
    <w:rsid w:val="00AE74D3"/>
    <w:rsid w:val="00AE7B7E"/>
    <w:rsid w:val="00AF0496"/>
    <w:rsid w:val="00AF0EAE"/>
    <w:rsid w:val="00AF0F58"/>
    <w:rsid w:val="00AF1AAC"/>
    <w:rsid w:val="00AF1BDB"/>
    <w:rsid w:val="00AF1FB9"/>
    <w:rsid w:val="00AF22A8"/>
    <w:rsid w:val="00AF32B1"/>
    <w:rsid w:val="00AF3987"/>
    <w:rsid w:val="00AF3C12"/>
    <w:rsid w:val="00AF54A5"/>
    <w:rsid w:val="00AF5618"/>
    <w:rsid w:val="00AF5C88"/>
    <w:rsid w:val="00AF64FF"/>
    <w:rsid w:val="00AF6830"/>
    <w:rsid w:val="00AF726D"/>
    <w:rsid w:val="00AF7617"/>
    <w:rsid w:val="00B002A7"/>
    <w:rsid w:val="00B00B7E"/>
    <w:rsid w:val="00B00ED0"/>
    <w:rsid w:val="00B00FDD"/>
    <w:rsid w:val="00B01028"/>
    <w:rsid w:val="00B0143E"/>
    <w:rsid w:val="00B02458"/>
    <w:rsid w:val="00B02A45"/>
    <w:rsid w:val="00B03995"/>
    <w:rsid w:val="00B044A0"/>
    <w:rsid w:val="00B054D7"/>
    <w:rsid w:val="00B055FE"/>
    <w:rsid w:val="00B05784"/>
    <w:rsid w:val="00B0604D"/>
    <w:rsid w:val="00B061BB"/>
    <w:rsid w:val="00B06D01"/>
    <w:rsid w:val="00B0737E"/>
    <w:rsid w:val="00B079C9"/>
    <w:rsid w:val="00B07D0B"/>
    <w:rsid w:val="00B07E84"/>
    <w:rsid w:val="00B07EE8"/>
    <w:rsid w:val="00B111B0"/>
    <w:rsid w:val="00B1135D"/>
    <w:rsid w:val="00B1144B"/>
    <w:rsid w:val="00B12216"/>
    <w:rsid w:val="00B137AA"/>
    <w:rsid w:val="00B14271"/>
    <w:rsid w:val="00B157D9"/>
    <w:rsid w:val="00B1581E"/>
    <w:rsid w:val="00B15EA8"/>
    <w:rsid w:val="00B1619D"/>
    <w:rsid w:val="00B162C8"/>
    <w:rsid w:val="00B16DB0"/>
    <w:rsid w:val="00B16E0F"/>
    <w:rsid w:val="00B16EEB"/>
    <w:rsid w:val="00B17F78"/>
    <w:rsid w:val="00B17FA3"/>
    <w:rsid w:val="00B21B47"/>
    <w:rsid w:val="00B2239F"/>
    <w:rsid w:val="00B22674"/>
    <w:rsid w:val="00B22820"/>
    <w:rsid w:val="00B22C3B"/>
    <w:rsid w:val="00B22CA0"/>
    <w:rsid w:val="00B2350C"/>
    <w:rsid w:val="00B23F93"/>
    <w:rsid w:val="00B2491D"/>
    <w:rsid w:val="00B25169"/>
    <w:rsid w:val="00B257DA"/>
    <w:rsid w:val="00B25984"/>
    <w:rsid w:val="00B25A6B"/>
    <w:rsid w:val="00B25D22"/>
    <w:rsid w:val="00B3078E"/>
    <w:rsid w:val="00B315DE"/>
    <w:rsid w:val="00B32304"/>
    <w:rsid w:val="00B33320"/>
    <w:rsid w:val="00B345AD"/>
    <w:rsid w:val="00B348D0"/>
    <w:rsid w:val="00B35345"/>
    <w:rsid w:val="00B35A43"/>
    <w:rsid w:val="00B35D97"/>
    <w:rsid w:val="00B35E06"/>
    <w:rsid w:val="00B35E5C"/>
    <w:rsid w:val="00B36388"/>
    <w:rsid w:val="00B365E9"/>
    <w:rsid w:val="00B36BB7"/>
    <w:rsid w:val="00B40630"/>
    <w:rsid w:val="00B406E4"/>
    <w:rsid w:val="00B409A9"/>
    <w:rsid w:val="00B40B8A"/>
    <w:rsid w:val="00B41926"/>
    <w:rsid w:val="00B41FBE"/>
    <w:rsid w:val="00B4255F"/>
    <w:rsid w:val="00B42806"/>
    <w:rsid w:val="00B429F6"/>
    <w:rsid w:val="00B43998"/>
    <w:rsid w:val="00B43DF3"/>
    <w:rsid w:val="00B4491C"/>
    <w:rsid w:val="00B44DB5"/>
    <w:rsid w:val="00B45098"/>
    <w:rsid w:val="00B455B9"/>
    <w:rsid w:val="00B45ED8"/>
    <w:rsid w:val="00B46449"/>
    <w:rsid w:val="00B47313"/>
    <w:rsid w:val="00B4777D"/>
    <w:rsid w:val="00B506FA"/>
    <w:rsid w:val="00B50753"/>
    <w:rsid w:val="00B50ECA"/>
    <w:rsid w:val="00B51131"/>
    <w:rsid w:val="00B516ED"/>
    <w:rsid w:val="00B529F3"/>
    <w:rsid w:val="00B54570"/>
    <w:rsid w:val="00B563CA"/>
    <w:rsid w:val="00B569CF"/>
    <w:rsid w:val="00B577B9"/>
    <w:rsid w:val="00B57B33"/>
    <w:rsid w:val="00B57D69"/>
    <w:rsid w:val="00B60753"/>
    <w:rsid w:val="00B61101"/>
    <w:rsid w:val="00B62832"/>
    <w:rsid w:val="00B634F1"/>
    <w:rsid w:val="00B6406F"/>
    <w:rsid w:val="00B64213"/>
    <w:rsid w:val="00B65185"/>
    <w:rsid w:val="00B65286"/>
    <w:rsid w:val="00B65DBC"/>
    <w:rsid w:val="00B70064"/>
    <w:rsid w:val="00B7102E"/>
    <w:rsid w:val="00B7151B"/>
    <w:rsid w:val="00B716CB"/>
    <w:rsid w:val="00B719E1"/>
    <w:rsid w:val="00B7287C"/>
    <w:rsid w:val="00B72C9A"/>
    <w:rsid w:val="00B73397"/>
    <w:rsid w:val="00B7365F"/>
    <w:rsid w:val="00B746BC"/>
    <w:rsid w:val="00B74BE1"/>
    <w:rsid w:val="00B76F8E"/>
    <w:rsid w:val="00B8167F"/>
    <w:rsid w:val="00B823D9"/>
    <w:rsid w:val="00B827B2"/>
    <w:rsid w:val="00B82FD2"/>
    <w:rsid w:val="00B8354C"/>
    <w:rsid w:val="00B84535"/>
    <w:rsid w:val="00B847D9"/>
    <w:rsid w:val="00B84D4B"/>
    <w:rsid w:val="00B85093"/>
    <w:rsid w:val="00B86353"/>
    <w:rsid w:val="00B87889"/>
    <w:rsid w:val="00B87F67"/>
    <w:rsid w:val="00B9262E"/>
    <w:rsid w:val="00B930EF"/>
    <w:rsid w:val="00B944B8"/>
    <w:rsid w:val="00B9602B"/>
    <w:rsid w:val="00B964F3"/>
    <w:rsid w:val="00B96B3E"/>
    <w:rsid w:val="00B9750A"/>
    <w:rsid w:val="00B97B11"/>
    <w:rsid w:val="00BA04FF"/>
    <w:rsid w:val="00BA0829"/>
    <w:rsid w:val="00BA0E4E"/>
    <w:rsid w:val="00BA1A48"/>
    <w:rsid w:val="00BA3415"/>
    <w:rsid w:val="00BA3A55"/>
    <w:rsid w:val="00BA3C73"/>
    <w:rsid w:val="00BA4E40"/>
    <w:rsid w:val="00BA5995"/>
    <w:rsid w:val="00BA5D55"/>
    <w:rsid w:val="00BA60E5"/>
    <w:rsid w:val="00BA60FA"/>
    <w:rsid w:val="00BA6548"/>
    <w:rsid w:val="00BA7312"/>
    <w:rsid w:val="00BA774D"/>
    <w:rsid w:val="00BA7E94"/>
    <w:rsid w:val="00BB05BA"/>
    <w:rsid w:val="00BB1001"/>
    <w:rsid w:val="00BB2244"/>
    <w:rsid w:val="00BB2858"/>
    <w:rsid w:val="00BB2886"/>
    <w:rsid w:val="00BB441B"/>
    <w:rsid w:val="00BB444B"/>
    <w:rsid w:val="00BB4E5D"/>
    <w:rsid w:val="00BB5294"/>
    <w:rsid w:val="00BB5308"/>
    <w:rsid w:val="00BB7137"/>
    <w:rsid w:val="00BC1B08"/>
    <w:rsid w:val="00BC2D38"/>
    <w:rsid w:val="00BC2D99"/>
    <w:rsid w:val="00BC3484"/>
    <w:rsid w:val="00BC3F24"/>
    <w:rsid w:val="00BC3F99"/>
    <w:rsid w:val="00BC5795"/>
    <w:rsid w:val="00BC5C41"/>
    <w:rsid w:val="00BC5EB2"/>
    <w:rsid w:val="00BC70BC"/>
    <w:rsid w:val="00BC7C14"/>
    <w:rsid w:val="00BD0C78"/>
    <w:rsid w:val="00BD1678"/>
    <w:rsid w:val="00BD1FBC"/>
    <w:rsid w:val="00BD276A"/>
    <w:rsid w:val="00BD3B3A"/>
    <w:rsid w:val="00BD4A17"/>
    <w:rsid w:val="00BD4E3D"/>
    <w:rsid w:val="00BD5D4C"/>
    <w:rsid w:val="00BD5FAA"/>
    <w:rsid w:val="00BD6323"/>
    <w:rsid w:val="00BD660B"/>
    <w:rsid w:val="00BE07CA"/>
    <w:rsid w:val="00BE1CDC"/>
    <w:rsid w:val="00BE2082"/>
    <w:rsid w:val="00BE2857"/>
    <w:rsid w:val="00BE2D51"/>
    <w:rsid w:val="00BE3731"/>
    <w:rsid w:val="00BE3873"/>
    <w:rsid w:val="00BE506F"/>
    <w:rsid w:val="00BE53CD"/>
    <w:rsid w:val="00BE6619"/>
    <w:rsid w:val="00BE73F7"/>
    <w:rsid w:val="00BE7770"/>
    <w:rsid w:val="00BF0940"/>
    <w:rsid w:val="00BF10C4"/>
    <w:rsid w:val="00BF1334"/>
    <w:rsid w:val="00BF1E2C"/>
    <w:rsid w:val="00BF3255"/>
    <w:rsid w:val="00BF426D"/>
    <w:rsid w:val="00BF42E7"/>
    <w:rsid w:val="00BF4AFA"/>
    <w:rsid w:val="00BF5086"/>
    <w:rsid w:val="00BF5C9D"/>
    <w:rsid w:val="00BF6718"/>
    <w:rsid w:val="00BF6780"/>
    <w:rsid w:val="00BF6FCD"/>
    <w:rsid w:val="00BF7125"/>
    <w:rsid w:val="00BF7868"/>
    <w:rsid w:val="00C00528"/>
    <w:rsid w:val="00C00565"/>
    <w:rsid w:val="00C00A53"/>
    <w:rsid w:val="00C00B93"/>
    <w:rsid w:val="00C00D33"/>
    <w:rsid w:val="00C00E2A"/>
    <w:rsid w:val="00C01C5D"/>
    <w:rsid w:val="00C022CB"/>
    <w:rsid w:val="00C024D6"/>
    <w:rsid w:val="00C028AD"/>
    <w:rsid w:val="00C0362A"/>
    <w:rsid w:val="00C0396B"/>
    <w:rsid w:val="00C04C21"/>
    <w:rsid w:val="00C052B1"/>
    <w:rsid w:val="00C06AB3"/>
    <w:rsid w:val="00C07001"/>
    <w:rsid w:val="00C11555"/>
    <w:rsid w:val="00C1256A"/>
    <w:rsid w:val="00C14004"/>
    <w:rsid w:val="00C14FC5"/>
    <w:rsid w:val="00C154B1"/>
    <w:rsid w:val="00C15D64"/>
    <w:rsid w:val="00C1611E"/>
    <w:rsid w:val="00C17D22"/>
    <w:rsid w:val="00C20AE0"/>
    <w:rsid w:val="00C20D1D"/>
    <w:rsid w:val="00C21AC8"/>
    <w:rsid w:val="00C221F2"/>
    <w:rsid w:val="00C2288F"/>
    <w:rsid w:val="00C230C0"/>
    <w:rsid w:val="00C23265"/>
    <w:rsid w:val="00C23AB6"/>
    <w:rsid w:val="00C23F90"/>
    <w:rsid w:val="00C23FF2"/>
    <w:rsid w:val="00C243F8"/>
    <w:rsid w:val="00C256AD"/>
    <w:rsid w:val="00C2591E"/>
    <w:rsid w:val="00C25D42"/>
    <w:rsid w:val="00C25D68"/>
    <w:rsid w:val="00C26EF8"/>
    <w:rsid w:val="00C278F2"/>
    <w:rsid w:val="00C306BD"/>
    <w:rsid w:val="00C30BF7"/>
    <w:rsid w:val="00C30CA8"/>
    <w:rsid w:val="00C30EF5"/>
    <w:rsid w:val="00C31661"/>
    <w:rsid w:val="00C31E9A"/>
    <w:rsid w:val="00C326A6"/>
    <w:rsid w:val="00C33278"/>
    <w:rsid w:val="00C339D3"/>
    <w:rsid w:val="00C34D4D"/>
    <w:rsid w:val="00C358E9"/>
    <w:rsid w:val="00C358F4"/>
    <w:rsid w:val="00C35C11"/>
    <w:rsid w:val="00C36525"/>
    <w:rsid w:val="00C365EA"/>
    <w:rsid w:val="00C3757D"/>
    <w:rsid w:val="00C40A54"/>
    <w:rsid w:val="00C40CE3"/>
    <w:rsid w:val="00C40E54"/>
    <w:rsid w:val="00C42D57"/>
    <w:rsid w:val="00C43A58"/>
    <w:rsid w:val="00C442D4"/>
    <w:rsid w:val="00C44673"/>
    <w:rsid w:val="00C446C1"/>
    <w:rsid w:val="00C453DA"/>
    <w:rsid w:val="00C45583"/>
    <w:rsid w:val="00C455DD"/>
    <w:rsid w:val="00C45F86"/>
    <w:rsid w:val="00C46C36"/>
    <w:rsid w:val="00C47067"/>
    <w:rsid w:val="00C474B5"/>
    <w:rsid w:val="00C50389"/>
    <w:rsid w:val="00C5059C"/>
    <w:rsid w:val="00C511D0"/>
    <w:rsid w:val="00C514AA"/>
    <w:rsid w:val="00C5151E"/>
    <w:rsid w:val="00C52186"/>
    <w:rsid w:val="00C52F45"/>
    <w:rsid w:val="00C539B0"/>
    <w:rsid w:val="00C547B8"/>
    <w:rsid w:val="00C56C0F"/>
    <w:rsid w:val="00C574F2"/>
    <w:rsid w:val="00C5775B"/>
    <w:rsid w:val="00C60490"/>
    <w:rsid w:val="00C6061E"/>
    <w:rsid w:val="00C60AA6"/>
    <w:rsid w:val="00C60C41"/>
    <w:rsid w:val="00C60E16"/>
    <w:rsid w:val="00C62B4E"/>
    <w:rsid w:val="00C6530B"/>
    <w:rsid w:val="00C65988"/>
    <w:rsid w:val="00C66A57"/>
    <w:rsid w:val="00C67A0E"/>
    <w:rsid w:val="00C706B1"/>
    <w:rsid w:val="00C71514"/>
    <w:rsid w:val="00C71890"/>
    <w:rsid w:val="00C71A09"/>
    <w:rsid w:val="00C72086"/>
    <w:rsid w:val="00C72A03"/>
    <w:rsid w:val="00C7335F"/>
    <w:rsid w:val="00C73F65"/>
    <w:rsid w:val="00C7428E"/>
    <w:rsid w:val="00C74910"/>
    <w:rsid w:val="00C75805"/>
    <w:rsid w:val="00C75A99"/>
    <w:rsid w:val="00C763D2"/>
    <w:rsid w:val="00C764E0"/>
    <w:rsid w:val="00C76AD2"/>
    <w:rsid w:val="00C76ED0"/>
    <w:rsid w:val="00C77682"/>
    <w:rsid w:val="00C77EE1"/>
    <w:rsid w:val="00C80D9F"/>
    <w:rsid w:val="00C80E79"/>
    <w:rsid w:val="00C81367"/>
    <w:rsid w:val="00C81B0A"/>
    <w:rsid w:val="00C8218A"/>
    <w:rsid w:val="00C821D0"/>
    <w:rsid w:val="00C832FF"/>
    <w:rsid w:val="00C83CC5"/>
    <w:rsid w:val="00C83DC3"/>
    <w:rsid w:val="00C84CEE"/>
    <w:rsid w:val="00C851AA"/>
    <w:rsid w:val="00C85BEB"/>
    <w:rsid w:val="00C87113"/>
    <w:rsid w:val="00C87AAC"/>
    <w:rsid w:val="00C907ED"/>
    <w:rsid w:val="00C90A3D"/>
    <w:rsid w:val="00C91955"/>
    <w:rsid w:val="00C935FC"/>
    <w:rsid w:val="00C93E0D"/>
    <w:rsid w:val="00C94A36"/>
    <w:rsid w:val="00C94FE4"/>
    <w:rsid w:val="00C96651"/>
    <w:rsid w:val="00C96CFC"/>
    <w:rsid w:val="00C96E79"/>
    <w:rsid w:val="00C9774D"/>
    <w:rsid w:val="00C97A04"/>
    <w:rsid w:val="00CA0655"/>
    <w:rsid w:val="00CA0CB5"/>
    <w:rsid w:val="00CA1CB9"/>
    <w:rsid w:val="00CA2325"/>
    <w:rsid w:val="00CA4709"/>
    <w:rsid w:val="00CA493A"/>
    <w:rsid w:val="00CA599B"/>
    <w:rsid w:val="00CA656E"/>
    <w:rsid w:val="00CA7673"/>
    <w:rsid w:val="00CA7B35"/>
    <w:rsid w:val="00CB0AFE"/>
    <w:rsid w:val="00CB1349"/>
    <w:rsid w:val="00CB16F7"/>
    <w:rsid w:val="00CB2510"/>
    <w:rsid w:val="00CB28E8"/>
    <w:rsid w:val="00CB413C"/>
    <w:rsid w:val="00CB4833"/>
    <w:rsid w:val="00CB5042"/>
    <w:rsid w:val="00CB5068"/>
    <w:rsid w:val="00CB61BA"/>
    <w:rsid w:val="00CB62E9"/>
    <w:rsid w:val="00CB654E"/>
    <w:rsid w:val="00CB67A8"/>
    <w:rsid w:val="00CB6AB6"/>
    <w:rsid w:val="00CB7583"/>
    <w:rsid w:val="00CB7673"/>
    <w:rsid w:val="00CC0311"/>
    <w:rsid w:val="00CC06D1"/>
    <w:rsid w:val="00CC0779"/>
    <w:rsid w:val="00CC0DF5"/>
    <w:rsid w:val="00CC1A6B"/>
    <w:rsid w:val="00CC1B8E"/>
    <w:rsid w:val="00CC1E5B"/>
    <w:rsid w:val="00CC25E6"/>
    <w:rsid w:val="00CC2FF4"/>
    <w:rsid w:val="00CC3077"/>
    <w:rsid w:val="00CC3C91"/>
    <w:rsid w:val="00CC3DCF"/>
    <w:rsid w:val="00CC42CE"/>
    <w:rsid w:val="00CC4BDB"/>
    <w:rsid w:val="00CC4D96"/>
    <w:rsid w:val="00CC517B"/>
    <w:rsid w:val="00CC557B"/>
    <w:rsid w:val="00CC564B"/>
    <w:rsid w:val="00CC5B65"/>
    <w:rsid w:val="00CC5DAC"/>
    <w:rsid w:val="00CC6052"/>
    <w:rsid w:val="00CC6556"/>
    <w:rsid w:val="00CC6587"/>
    <w:rsid w:val="00CC7737"/>
    <w:rsid w:val="00CC7B56"/>
    <w:rsid w:val="00CD0B7D"/>
    <w:rsid w:val="00CD12A3"/>
    <w:rsid w:val="00CD1FB6"/>
    <w:rsid w:val="00CD2040"/>
    <w:rsid w:val="00CD26FE"/>
    <w:rsid w:val="00CD271F"/>
    <w:rsid w:val="00CD28DC"/>
    <w:rsid w:val="00CD305E"/>
    <w:rsid w:val="00CD3176"/>
    <w:rsid w:val="00CD3800"/>
    <w:rsid w:val="00CD4436"/>
    <w:rsid w:val="00CD49C6"/>
    <w:rsid w:val="00CD518C"/>
    <w:rsid w:val="00CD6923"/>
    <w:rsid w:val="00CD712B"/>
    <w:rsid w:val="00CD7594"/>
    <w:rsid w:val="00CE04C7"/>
    <w:rsid w:val="00CE0ED9"/>
    <w:rsid w:val="00CE1B2D"/>
    <w:rsid w:val="00CE3F17"/>
    <w:rsid w:val="00CE4187"/>
    <w:rsid w:val="00CE4965"/>
    <w:rsid w:val="00CE555A"/>
    <w:rsid w:val="00CE6B9E"/>
    <w:rsid w:val="00CE6FC9"/>
    <w:rsid w:val="00CE7246"/>
    <w:rsid w:val="00CE7529"/>
    <w:rsid w:val="00CE79E6"/>
    <w:rsid w:val="00CF02A3"/>
    <w:rsid w:val="00CF0448"/>
    <w:rsid w:val="00CF26B9"/>
    <w:rsid w:val="00CF289E"/>
    <w:rsid w:val="00CF329B"/>
    <w:rsid w:val="00CF345B"/>
    <w:rsid w:val="00CF42DC"/>
    <w:rsid w:val="00CF48E7"/>
    <w:rsid w:val="00CF516A"/>
    <w:rsid w:val="00CF6BE8"/>
    <w:rsid w:val="00CF74CA"/>
    <w:rsid w:val="00CF7607"/>
    <w:rsid w:val="00CF77CE"/>
    <w:rsid w:val="00CF7B93"/>
    <w:rsid w:val="00CF7BD2"/>
    <w:rsid w:val="00CF7C02"/>
    <w:rsid w:val="00D00019"/>
    <w:rsid w:val="00D00164"/>
    <w:rsid w:val="00D00286"/>
    <w:rsid w:val="00D00EE6"/>
    <w:rsid w:val="00D0137E"/>
    <w:rsid w:val="00D020A2"/>
    <w:rsid w:val="00D02812"/>
    <w:rsid w:val="00D0338F"/>
    <w:rsid w:val="00D034A4"/>
    <w:rsid w:val="00D05EF1"/>
    <w:rsid w:val="00D05F95"/>
    <w:rsid w:val="00D06900"/>
    <w:rsid w:val="00D06986"/>
    <w:rsid w:val="00D106B0"/>
    <w:rsid w:val="00D112F5"/>
    <w:rsid w:val="00D11491"/>
    <w:rsid w:val="00D11713"/>
    <w:rsid w:val="00D12C7A"/>
    <w:rsid w:val="00D13298"/>
    <w:rsid w:val="00D1350B"/>
    <w:rsid w:val="00D13636"/>
    <w:rsid w:val="00D136C0"/>
    <w:rsid w:val="00D141B5"/>
    <w:rsid w:val="00D147FC"/>
    <w:rsid w:val="00D14A84"/>
    <w:rsid w:val="00D1537B"/>
    <w:rsid w:val="00D16112"/>
    <w:rsid w:val="00D169C2"/>
    <w:rsid w:val="00D16CFE"/>
    <w:rsid w:val="00D16FAE"/>
    <w:rsid w:val="00D2028B"/>
    <w:rsid w:val="00D20680"/>
    <w:rsid w:val="00D20EFE"/>
    <w:rsid w:val="00D20F8A"/>
    <w:rsid w:val="00D213F2"/>
    <w:rsid w:val="00D2226F"/>
    <w:rsid w:val="00D22F2C"/>
    <w:rsid w:val="00D2311D"/>
    <w:rsid w:val="00D23F55"/>
    <w:rsid w:val="00D24606"/>
    <w:rsid w:val="00D24E6F"/>
    <w:rsid w:val="00D266DC"/>
    <w:rsid w:val="00D26FD1"/>
    <w:rsid w:val="00D2714B"/>
    <w:rsid w:val="00D27771"/>
    <w:rsid w:val="00D27B8E"/>
    <w:rsid w:val="00D27D64"/>
    <w:rsid w:val="00D30A95"/>
    <w:rsid w:val="00D30F47"/>
    <w:rsid w:val="00D31306"/>
    <w:rsid w:val="00D31CC6"/>
    <w:rsid w:val="00D327F0"/>
    <w:rsid w:val="00D33243"/>
    <w:rsid w:val="00D34437"/>
    <w:rsid w:val="00D34AFC"/>
    <w:rsid w:val="00D35329"/>
    <w:rsid w:val="00D353A7"/>
    <w:rsid w:val="00D3614E"/>
    <w:rsid w:val="00D36DCE"/>
    <w:rsid w:val="00D37D8E"/>
    <w:rsid w:val="00D4058B"/>
    <w:rsid w:val="00D40768"/>
    <w:rsid w:val="00D40B03"/>
    <w:rsid w:val="00D40D9C"/>
    <w:rsid w:val="00D41B23"/>
    <w:rsid w:val="00D426AF"/>
    <w:rsid w:val="00D426C8"/>
    <w:rsid w:val="00D4350B"/>
    <w:rsid w:val="00D43826"/>
    <w:rsid w:val="00D441B7"/>
    <w:rsid w:val="00D44B9E"/>
    <w:rsid w:val="00D4522B"/>
    <w:rsid w:val="00D452B8"/>
    <w:rsid w:val="00D45721"/>
    <w:rsid w:val="00D46A5A"/>
    <w:rsid w:val="00D46D52"/>
    <w:rsid w:val="00D47635"/>
    <w:rsid w:val="00D47AEC"/>
    <w:rsid w:val="00D5023B"/>
    <w:rsid w:val="00D5260D"/>
    <w:rsid w:val="00D529BB"/>
    <w:rsid w:val="00D53A39"/>
    <w:rsid w:val="00D53C6F"/>
    <w:rsid w:val="00D53E43"/>
    <w:rsid w:val="00D5532B"/>
    <w:rsid w:val="00D558DD"/>
    <w:rsid w:val="00D5641D"/>
    <w:rsid w:val="00D56C03"/>
    <w:rsid w:val="00D57019"/>
    <w:rsid w:val="00D57C53"/>
    <w:rsid w:val="00D60988"/>
    <w:rsid w:val="00D60AB8"/>
    <w:rsid w:val="00D60C96"/>
    <w:rsid w:val="00D60E8E"/>
    <w:rsid w:val="00D6103F"/>
    <w:rsid w:val="00D61350"/>
    <w:rsid w:val="00D614D4"/>
    <w:rsid w:val="00D616B5"/>
    <w:rsid w:val="00D6314F"/>
    <w:rsid w:val="00D636EB"/>
    <w:rsid w:val="00D63B17"/>
    <w:rsid w:val="00D63E60"/>
    <w:rsid w:val="00D6511D"/>
    <w:rsid w:val="00D657E2"/>
    <w:rsid w:val="00D66394"/>
    <w:rsid w:val="00D67ADF"/>
    <w:rsid w:val="00D67B08"/>
    <w:rsid w:val="00D67C55"/>
    <w:rsid w:val="00D67F64"/>
    <w:rsid w:val="00D70291"/>
    <w:rsid w:val="00D7101B"/>
    <w:rsid w:val="00D72746"/>
    <w:rsid w:val="00D732BF"/>
    <w:rsid w:val="00D736A8"/>
    <w:rsid w:val="00D736C0"/>
    <w:rsid w:val="00D736E2"/>
    <w:rsid w:val="00D74046"/>
    <w:rsid w:val="00D74062"/>
    <w:rsid w:val="00D7462B"/>
    <w:rsid w:val="00D74719"/>
    <w:rsid w:val="00D749A2"/>
    <w:rsid w:val="00D74BD3"/>
    <w:rsid w:val="00D754C7"/>
    <w:rsid w:val="00D7559A"/>
    <w:rsid w:val="00D76008"/>
    <w:rsid w:val="00D77DF5"/>
    <w:rsid w:val="00D77DF9"/>
    <w:rsid w:val="00D804BE"/>
    <w:rsid w:val="00D81842"/>
    <w:rsid w:val="00D82E20"/>
    <w:rsid w:val="00D83FFF"/>
    <w:rsid w:val="00D8562B"/>
    <w:rsid w:val="00D86A7C"/>
    <w:rsid w:val="00D86C63"/>
    <w:rsid w:val="00D871EE"/>
    <w:rsid w:val="00D874ED"/>
    <w:rsid w:val="00D8792C"/>
    <w:rsid w:val="00D87DD5"/>
    <w:rsid w:val="00D901D4"/>
    <w:rsid w:val="00D90CD0"/>
    <w:rsid w:val="00D90CD1"/>
    <w:rsid w:val="00D91B4C"/>
    <w:rsid w:val="00D91CD8"/>
    <w:rsid w:val="00D92227"/>
    <w:rsid w:val="00D92B22"/>
    <w:rsid w:val="00D9400F"/>
    <w:rsid w:val="00D94BA7"/>
    <w:rsid w:val="00D9595A"/>
    <w:rsid w:val="00D95BA5"/>
    <w:rsid w:val="00D9650F"/>
    <w:rsid w:val="00D96AF5"/>
    <w:rsid w:val="00D972B2"/>
    <w:rsid w:val="00D97E15"/>
    <w:rsid w:val="00DA11ED"/>
    <w:rsid w:val="00DA12AC"/>
    <w:rsid w:val="00DA1EFB"/>
    <w:rsid w:val="00DA1F6F"/>
    <w:rsid w:val="00DA208B"/>
    <w:rsid w:val="00DA2A71"/>
    <w:rsid w:val="00DA3590"/>
    <w:rsid w:val="00DA35FF"/>
    <w:rsid w:val="00DA3A0B"/>
    <w:rsid w:val="00DA480B"/>
    <w:rsid w:val="00DA4F6F"/>
    <w:rsid w:val="00DA5253"/>
    <w:rsid w:val="00DA5AA9"/>
    <w:rsid w:val="00DA69FF"/>
    <w:rsid w:val="00DA6EC7"/>
    <w:rsid w:val="00DA7171"/>
    <w:rsid w:val="00DB0047"/>
    <w:rsid w:val="00DB03FF"/>
    <w:rsid w:val="00DB0C2D"/>
    <w:rsid w:val="00DB0FFD"/>
    <w:rsid w:val="00DB2198"/>
    <w:rsid w:val="00DB3F59"/>
    <w:rsid w:val="00DB4D0F"/>
    <w:rsid w:val="00DB5238"/>
    <w:rsid w:val="00DB5775"/>
    <w:rsid w:val="00DB5863"/>
    <w:rsid w:val="00DB69B4"/>
    <w:rsid w:val="00DC004A"/>
    <w:rsid w:val="00DC00FE"/>
    <w:rsid w:val="00DC0B86"/>
    <w:rsid w:val="00DC1AC9"/>
    <w:rsid w:val="00DC2346"/>
    <w:rsid w:val="00DC238D"/>
    <w:rsid w:val="00DC2C39"/>
    <w:rsid w:val="00DC323C"/>
    <w:rsid w:val="00DC728C"/>
    <w:rsid w:val="00DC74C1"/>
    <w:rsid w:val="00DC7D5D"/>
    <w:rsid w:val="00DD0131"/>
    <w:rsid w:val="00DD0616"/>
    <w:rsid w:val="00DD16B6"/>
    <w:rsid w:val="00DD17B7"/>
    <w:rsid w:val="00DD1E9A"/>
    <w:rsid w:val="00DD2E18"/>
    <w:rsid w:val="00DD3E8C"/>
    <w:rsid w:val="00DD3F03"/>
    <w:rsid w:val="00DD4724"/>
    <w:rsid w:val="00DD482D"/>
    <w:rsid w:val="00DD52FD"/>
    <w:rsid w:val="00DD5947"/>
    <w:rsid w:val="00DD59FC"/>
    <w:rsid w:val="00DD7E7F"/>
    <w:rsid w:val="00DE00A3"/>
    <w:rsid w:val="00DE032D"/>
    <w:rsid w:val="00DE2211"/>
    <w:rsid w:val="00DE222F"/>
    <w:rsid w:val="00DE3C34"/>
    <w:rsid w:val="00DE3F50"/>
    <w:rsid w:val="00DE49BD"/>
    <w:rsid w:val="00DE4C68"/>
    <w:rsid w:val="00DE5206"/>
    <w:rsid w:val="00DE5A4F"/>
    <w:rsid w:val="00DE5CF2"/>
    <w:rsid w:val="00DE7299"/>
    <w:rsid w:val="00DE7589"/>
    <w:rsid w:val="00DF1493"/>
    <w:rsid w:val="00DF1DF6"/>
    <w:rsid w:val="00DF37B7"/>
    <w:rsid w:val="00DF3DC5"/>
    <w:rsid w:val="00DF4AFF"/>
    <w:rsid w:val="00DF4DB7"/>
    <w:rsid w:val="00DF5C19"/>
    <w:rsid w:val="00DF60EB"/>
    <w:rsid w:val="00DF6122"/>
    <w:rsid w:val="00DF66E8"/>
    <w:rsid w:val="00DF6CA5"/>
    <w:rsid w:val="00DF6D7F"/>
    <w:rsid w:val="00DF7739"/>
    <w:rsid w:val="00DF7E4E"/>
    <w:rsid w:val="00E0003C"/>
    <w:rsid w:val="00E0093C"/>
    <w:rsid w:val="00E00AEC"/>
    <w:rsid w:val="00E01B0C"/>
    <w:rsid w:val="00E01C70"/>
    <w:rsid w:val="00E02409"/>
    <w:rsid w:val="00E03379"/>
    <w:rsid w:val="00E03B96"/>
    <w:rsid w:val="00E04333"/>
    <w:rsid w:val="00E04E3E"/>
    <w:rsid w:val="00E05270"/>
    <w:rsid w:val="00E061EF"/>
    <w:rsid w:val="00E06E94"/>
    <w:rsid w:val="00E07140"/>
    <w:rsid w:val="00E07A0B"/>
    <w:rsid w:val="00E100DE"/>
    <w:rsid w:val="00E10DF8"/>
    <w:rsid w:val="00E11D00"/>
    <w:rsid w:val="00E11DAA"/>
    <w:rsid w:val="00E120C2"/>
    <w:rsid w:val="00E13154"/>
    <w:rsid w:val="00E1321B"/>
    <w:rsid w:val="00E13BED"/>
    <w:rsid w:val="00E13F96"/>
    <w:rsid w:val="00E152A2"/>
    <w:rsid w:val="00E15308"/>
    <w:rsid w:val="00E15342"/>
    <w:rsid w:val="00E15FA7"/>
    <w:rsid w:val="00E16165"/>
    <w:rsid w:val="00E16D2D"/>
    <w:rsid w:val="00E179B5"/>
    <w:rsid w:val="00E17EBF"/>
    <w:rsid w:val="00E22496"/>
    <w:rsid w:val="00E22554"/>
    <w:rsid w:val="00E22DCD"/>
    <w:rsid w:val="00E23683"/>
    <w:rsid w:val="00E239CF"/>
    <w:rsid w:val="00E2479F"/>
    <w:rsid w:val="00E247EA"/>
    <w:rsid w:val="00E25D45"/>
    <w:rsid w:val="00E3038A"/>
    <w:rsid w:val="00E30F3B"/>
    <w:rsid w:val="00E3345E"/>
    <w:rsid w:val="00E34A44"/>
    <w:rsid w:val="00E35074"/>
    <w:rsid w:val="00E3535E"/>
    <w:rsid w:val="00E3634D"/>
    <w:rsid w:val="00E363DD"/>
    <w:rsid w:val="00E365F4"/>
    <w:rsid w:val="00E36851"/>
    <w:rsid w:val="00E36C34"/>
    <w:rsid w:val="00E36FC3"/>
    <w:rsid w:val="00E376F4"/>
    <w:rsid w:val="00E37DB1"/>
    <w:rsid w:val="00E37DDB"/>
    <w:rsid w:val="00E4160C"/>
    <w:rsid w:val="00E41FB5"/>
    <w:rsid w:val="00E423E1"/>
    <w:rsid w:val="00E42F12"/>
    <w:rsid w:val="00E42F61"/>
    <w:rsid w:val="00E4395B"/>
    <w:rsid w:val="00E44360"/>
    <w:rsid w:val="00E4572C"/>
    <w:rsid w:val="00E45A89"/>
    <w:rsid w:val="00E468CB"/>
    <w:rsid w:val="00E46A18"/>
    <w:rsid w:val="00E46E10"/>
    <w:rsid w:val="00E46F1E"/>
    <w:rsid w:val="00E47706"/>
    <w:rsid w:val="00E47EEB"/>
    <w:rsid w:val="00E5126D"/>
    <w:rsid w:val="00E51EC6"/>
    <w:rsid w:val="00E5200E"/>
    <w:rsid w:val="00E52041"/>
    <w:rsid w:val="00E53955"/>
    <w:rsid w:val="00E540BD"/>
    <w:rsid w:val="00E54F20"/>
    <w:rsid w:val="00E55143"/>
    <w:rsid w:val="00E55520"/>
    <w:rsid w:val="00E56137"/>
    <w:rsid w:val="00E56736"/>
    <w:rsid w:val="00E56CE1"/>
    <w:rsid w:val="00E570EC"/>
    <w:rsid w:val="00E57F40"/>
    <w:rsid w:val="00E613E8"/>
    <w:rsid w:val="00E6292C"/>
    <w:rsid w:val="00E62F70"/>
    <w:rsid w:val="00E63336"/>
    <w:rsid w:val="00E63524"/>
    <w:rsid w:val="00E64D9F"/>
    <w:rsid w:val="00E657AE"/>
    <w:rsid w:val="00E65A9C"/>
    <w:rsid w:val="00E66536"/>
    <w:rsid w:val="00E6707B"/>
    <w:rsid w:val="00E678E9"/>
    <w:rsid w:val="00E679D4"/>
    <w:rsid w:val="00E67D1C"/>
    <w:rsid w:val="00E67D3D"/>
    <w:rsid w:val="00E70DF2"/>
    <w:rsid w:val="00E72244"/>
    <w:rsid w:val="00E72601"/>
    <w:rsid w:val="00E737D0"/>
    <w:rsid w:val="00E73C9B"/>
    <w:rsid w:val="00E74F72"/>
    <w:rsid w:val="00E76942"/>
    <w:rsid w:val="00E80473"/>
    <w:rsid w:val="00E82B40"/>
    <w:rsid w:val="00E82C8F"/>
    <w:rsid w:val="00E830C2"/>
    <w:rsid w:val="00E836E5"/>
    <w:rsid w:val="00E83E78"/>
    <w:rsid w:val="00E86223"/>
    <w:rsid w:val="00E86B01"/>
    <w:rsid w:val="00E86B6B"/>
    <w:rsid w:val="00E86CDF"/>
    <w:rsid w:val="00E86DF5"/>
    <w:rsid w:val="00E875B4"/>
    <w:rsid w:val="00E8760B"/>
    <w:rsid w:val="00E9021B"/>
    <w:rsid w:val="00E90570"/>
    <w:rsid w:val="00E90D53"/>
    <w:rsid w:val="00E90FE1"/>
    <w:rsid w:val="00E915BF"/>
    <w:rsid w:val="00E916C8"/>
    <w:rsid w:val="00E92AF1"/>
    <w:rsid w:val="00E93106"/>
    <w:rsid w:val="00E939BD"/>
    <w:rsid w:val="00E93AA0"/>
    <w:rsid w:val="00E93F20"/>
    <w:rsid w:val="00E946E9"/>
    <w:rsid w:val="00E94757"/>
    <w:rsid w:val="00E95A9C"/>
    <w:rsid w:val="00E962F8"/>
    <w:rsid w:val="00E9743E"/>
    <w:rsid w:val="00EA0C86"/>
    <w:rsid w:val="00EA10E7"/>
    <w:rsid w:val="00EA10EA"/>
    <w:rsid w:val="00EA1A08"/>
    <w:rsid w:val="00EA22A3"/>
    <w:rsid w:val="00EA2553"/>
    <w:rsid w:val="00EA2767"/>
    <w:rsid w:val="00EA34A6"/>
    <w:rsid w:val="00EA3AA8"/>
    <w:rsid w:val="00EA3EA5"/>
    <w:rsid w:val="00EA4B94"/>
    <w:rsid w:val="00EA4C1C"/>
    <w:rsid w:val="00EA5842"/>
    <w:rsid w:val="00EA5875"/>
    <w:rsid w:val="00EA5F83"/>
    <w:rsid w:val="00EA7156"/>
    <w:rsid w:val="00EA763E"/>
    <w:rsid w:val="00EA7A26"/>
    <w:rsid w:val="00EB0442"/>
    <w:rsid w:val="00EB0EEC"/>
    <w:rsid w:val="00EB1004"/>
    <w:rsid w:val="00EB25B9"/>
    <w:rsid w:val="00EB400D"/>
    <w:rsid w:val="00EB4255"/>
    <w:rsid w:val="00EB4DF5"/>
    <w:rsid w:val="00EB5714"/>
    <w:rsid w:val="00EB659A"/>
    <w:rsid w:val="00EB7328"/>
    <w:rsid w:val="00EB7A30"/>
    <w:rsid w:val="00EB7BCB"/>
    <w:rsid w:val="00EB7E2F"/>
    <w:rsid w:val="00EC04EF"/>
    <w:rsid w:val="00EC0907"/>
    <w:rsid w:val="00EC0E3C"/>
    <w:rsid w:val="00EC18B3"/>
    <w:rsid w:val="00EC19E7"/>
    <w:rsid w:val="00EC2969"/>
    <w:rsid w:val="00EC2A09"/>
    <w:rsid w:val="00EC33C9"/>
    <w:rsid w:val="00EC4720"/>
    <w:rsid w:val="00EC4FF1"/>
    <w:rsid w:val="00EC512A"/>
    <w:rsid w:val="00EC654E"/>
    <w:rsid w:val="00EC68DB"/>
    <w:rsid w:val="00ED05BE"/>
    <w:rsid w:val="00ED0A9E"/>
    <w:rsid w:val="00ED0EDE"/>
    <w:rsid w:val="00ED0F88"/>
    <w:rsid w:val="00ED1C79"/>
    <w:rsid w:val="00ED1CBD"/>
    <w:rsid w:val="00ED1F87"/>
    <w:rsid w:val="00ED213C"/>
    <w:rsid w:val="00ED30A6"/>
    <w:rsid w:val="00ED310B"/>
    <w:rsid w:val="00ED37B1"/>
    <w:rsid w:val="00ED4F54"/>
    <w:rsid w:val="00ED5056"/>
    <w:rsid w:val="00ED645D"/>
    <w:rsid w:val="00ED6B1F"/>
    <w:rsid w:val="00ED6E71"/>
    <w:rsid w:val="00ED6F78"/>
    <w:rsid w:val="00ED7512"/>
    <w:rsid w:val="00ED756D"/>
    <w:rsid w:val="00ED775B"/>
    <w:rsid w:val="00EE02C0"/>
    <w:rsid w:val="00EE03CE"/>
    <w:rsid w:val="00EE12C1"/>
    <w:rsid w:val="00EE19B3"/>
    <w:rsid w:val="00EE1E06"/>
    <w:rsid w:val="00EE1E0E"/>
    <w:rsid w:val="00EE2639"/>
    <w:rsid w:val="00EE29BF"/>
    <w:rsid w:val="00EE301E"/>
    <w:rsid w:val="00EE347E"/>
    <w:rsid w:val="00EE3A48"/>
    <w:rsid w:val="00EE3DB0"/>
    <w:rsid w:val="00EE42D4"/>
    <w:rsid w:val="00EE48A3"/>
    <w:rsid w:val="00EE50D5"/>
    <w:rsid w:val="00EE54F5"/>
    <w:rsid w:val="00EE5990"/>
    <w:rsid w:val="00EE5D2A"/>
    <w:rsid w:val="00EE6570"/>
    <w:rsid w:val="00EE73A3"/>
    <w:rsid w:val="00EF005C"/>
    <w:rsid w:val="00EF0F68"/>
    <w:rsid w:val="00EF1C45"/>
    <w:rsid w:val="00EF21CA"/>
    <w:rsid w:val="00EF2500"/>
    <w:rsid w:val="00EF2902"/>
    <w:rsid w:val="00EF3657"/>
    <w:rsid w:val="00EF45C3"/>
    <w:rsid w:val="00EF5892"/>
    <w:rsid w:val="00EF5BE4"/>
    <w:rsid w:val="00EF65E9"/>
    <w:rsid w:val="00F0155F"/>
    <w:rsid w:val="00F018F3"/>
    <w:rsid w:val="00F02185"/>
    <w:rsid w:val="00F02714"/>
    <w:rsid w:val="00F032C8"/>
    <w:rsid w:val="00F0372E"/>
    <w:rsid w:val="00F07DC6"/>
    <w:rsid w:val="00F10CB3"/>
    <w:rsid w:val="00F11177"/>
    <w:rsid w:val="00F11FC7"/>
    <w:rsid w:val="00F13A7B"/>
    <w:rsid w:val="00F14092"/>
    <w:rsid w:val="00F144E3"/>
    <w:rsid w:val="00F14961"/>
    <w:rsid w:val="00F14DFB"/>
    <w:rsid w:val="00F154AE"/>
    <w:rsid w:val="00F1628F"/>
    <w:rsid w:val="00F167FC"/>
    <w:rsid w:val="00F16FA5"/>
    <w:rsid w:val="00F1703D"/>
    <w:rsid w:val="00F172F1"/>
    <w:rsid w:val="00F17AF9"/>
    <w:rsid w:val="00F20D4E"/>
    <w:rsid w:val="00F22DB3"/>
    <w:rsid w:val="00F235F3"/>
    <w:rsid w:val="00F24BAE"/>
    <w:rsid w:val="00F25B65"/>
    <w:rsid w:val="00F25D12"/>
    <w:rsid w:val="00F267DE"/>
    <w:rsid w:val="00F26E2B"/>
    <w:rsid w:val="00F26EDB"/>
    <w:rsid w:val="00F2723C"/>
    <w:rsid w:val="00F27B59"/>
    <w:rsid w:val="00F27E2F"/>
    <w:rsid w:val="00F30DAD"/>
    <w:rsid w:val="00F31340"/>
    <w:rsid w:val="00F31668"/>
    <w:rsid w:val="00F32238"/>
    <w:rsid w:val="00F323A1"/>
    <w:rsid w:val="00F3289F"/>
    <w:rsid w:val="00F32F3A"/>
    <w:rsid w:val="00F330AB"/>
    <w:rsid w:val="00F336A1"/>
    <w:rsid w:val="00F336FF"/>
    <w:rsid w:val="00F340C1"/>
    <w:rsid w:val="00F343ED"/>
    <w:rsid w:val="00F3606A"/>
    <w:rsid w:val="00F360F3"/>
    <w:rsid w:val="00F366E3"/>
    <w:rsid w:val="00F36764"/>
    <w:rsid w:val="00F3680A"/>
    <w:rsid w:val="00F369BB"/>
    <w:rsid w:val="00F3738F"/>
    <w:rsid w:val="00F373D0"/>
    <w:rsid w:val="00F374A3"/>
    <w:rsid w:val="00F37DEC"/>
    <w:rsid w:val="00F40261"/>
    <w:rsid w:val="00F407CE"/>
    <w:rsid w:val="00F4167F"/>
    <w:rsid w:val="00F43B5F"/>
    <w:rsid w:val="00F44225"/>
    <w:rsid w:val="00F44AD5"/>
    <w:rsid w:val="00F44D21"/>
    <w:rsid w:val="00F44E37"/>
    <w:rsid w:val="00F45E5B"/>
    <w:rsid w:val="00F4699F"/>
    <w:rsid w:val="00F46B8C"/>
    <w:rsid w:val="00F47437"/>
    <w:rsid w:val="00F47571"/>
    <w:rsid w:val="00F50D99"/>
    <w:rsid w:val="00F516D5"/>
    <w:rsid w:val="00F51764"/>
    <w:rsid w:val="00F517AC"/>
    <w:rsid w:val="00F51881"/>
    <w:rsid w:val="00F52598"/>
    <w:rsid w:val="00F5403F"/>
    <w:rsid w:val="00F54E3B"/>
    <w:rsid w:val="00F55555"/>
    <w:rsid w:val="00F55D44"/>
    <w:rsid w:val="00F56011"/>
    <w:rsid w:val="00F562C4"/>
    <w:rsid w:val="00F60A80"/>
    <w:rsid w:val="00F61274"/>
    <w:rsid w:val="00F612F6"/>
    <w:rsid w:val="00F61B46"/>
    <w:rsid w:val="00F6345C"/>
    <w:rsid w:val="00F63951"/>
    <w:rsid w:val="00F64514"/>
    <w:rsid w:val="00F64DE9"/>
    <w:rsid w:val="00F64FCE"/>
    <w:rsid w:val="00F65789"/>
    <w:rsid w:val="00F66474"/>
    <w:rsid w:val="00F669DB"/>
    <w:rsid w:val="00F67A1E"/>
    <w:rsid w:val="00F67FE8"/>
    <w:rsid w:val="00F7033C"/>
    <w:rsid w:val="00F70F51"/>
    <w:rsid w:val="00F71151"/>
    <w:rsid w:val="00F71694"/>
    <w:rsid w:val="00F71E2F"/>
    <w:rsid w:val="00F725C0"/>
    <w:rsid w:val="00F72887"/>
    <w:rsid w:val="00F729D7"/>
    <w:rsid w:val="00F742DA"/>
    <w:rsid w:val="00F76CB0"/>
    <w:rsid w:val="00F77601"/>
    <w:rsid w:val="00F77B8D"/>
    <w:rsid w:val="00F800AA"/>
    <w:rsid w:val="00F800E0"/>
    <w:rsid w:val="00F80531"/>
    <w:rsid w:val="00F8090F"/>
    <w:rsid w:val="00F81396"/>
    <w:rsid w:val="00F8165E"/>
    <w:rsid w:val="00F81EE4"/>
    <w:rsid w:val="00F82894"/>
    <w:rsid w:val="00F82907"/>
    <w:rsid w:val="00F82A79"/>
    <w:rsid w:val="00F832D8"/>
    <w:rsid w:val="00F83890"/>
    <w:rsid w:val="00F838CC"/>
    <w:rsid w:val="00F839FF"/>
    <w:rsid w:val="00F840E8"/>
    <w:rsid w:val="00F84AFE"/>
    <w:rsid w:val="00F852EF"/>
    <w:rsid w:val="00F86213"/>
    <w:rsid w:val="00F8736F"/>
    <w:rsid w:val="00F908EE"/>
    <w:rsid w:val="00F91589"/>
    <w:rsid w:val="00F91847"/>
    <w:rsid w:val="00F921D7"/>
    <w:rsid w:val="00F9262E"/>
    <w:rsid w:val="00F92946"/>
    <w:rsid w:val="00F939B7"/>
    <w:rsid w:val="00F9435B"/>
    <w:rsid w:val="00F95078"/>
    <w:rsid w:val="00F95E69"/>
    <w:rsid w:val="00F975E6"/>
    <w:rsid w:val="00FA2028"/>
    <w:rsid w:val="00FA2A2E"/>
    <w:rsid w:val="00FA3681"/>
    <w:rsid w:val="00FA3C7F"/>
    <w:rsid w:val="00FA4566"/>
    <w:rsid w:val="00FA46FA"/>
    <w:rsid w:val="00FA48C1"/>
    <w:rsid w:val="00FA735F"/>
    <w:rsid w:val="00FA736D"/>
    <w:rsid w:val="00FB0BF5"/>
    <w:rsid w:val="00FB0D3C"/>
    <w:rsid w:val="00FB0E25"/>
    <w:rsid w:val="00FB14C6"/>
    <w:rsid w:val="00FB2B31"/>
    <w:rsid w:val="00FB2FC5"/>
    <w:rsid w:val="00FB3723"/>
    <w:rsid w:val="00FB4649"/>
    <w:rsid w:val="00FB574E"/>
    <w:rsid w:val="00FB57C3"/>
    <w:rsid w:val="00FB661B"/>
    <w:rsid w:val="00FB6944"/>
    <w:rsid w:val="00FB6E34"/>
    <w:rsid w:val="00FB79B8"/>
    <w:rsid w:val="00FB7A57"/>
    <w:rsid w:val="00FB7B8C"/>
    <w:rsid w:val="00FC0348"/>
    <w:rsid w:val="00FC0738"/>
    <w:rsid w:val="00FC11E2"/>
    <w:rsid w:val="00FC16D0"/>
    <w:rsid w:val="00FC1A1F"/>
    <w:rsid w:val="00FC2A23"/>
    <w:rsid w:val="00FC33F0"/>
    <w:rsid w:val="00FC353D"/>
    <w:rsid w:val="00FC3A24"/>
    <w:rsid w:val="00FC4373"/>
    <w:rsid w:val="00FC64D6"/>
    <w:rsid w:val="00FC6B2D"/>
    <w:rsid w:val="00FC6C07"/>
    <w:rsid w:val="00FC7591"/>
    <w:rsid w:val="00FC7DA2"/>
    <w:rsid w:val="00FD13A1"/>
    <w:rsid w:val="00FD17A7"/>
    <w:rsid w:val="00FD1848"/>
    <w:rsid w:val="00FD1937"/>
    <w:rsid w:val="00FD19FA"/>
    <w:rsid w:val="00FD1D8A"/>
    <w:rsid w:val="00FD235A"/>
    <w:rsid w:val="00FD2C10"/>
    <w:rsid w:val="00FD2F8C"/>
    <w:rsid w:val="00FD548A"/>
    <w:rsid w:val="00FD5E2A"/>
    <w:rsid w:val="00FD619B"/>
    <w:rsid w:val="00FD6A8F"/>
    <w:rsid w:val="00FD7307"/>
    <w:rsid w:val="00FE01DA"/>
    <w:rsid w:val="00FE1A5C"/>
    <w:rsid w:val="00FE1D6B"/>
    <w:rsid w:val="00FE2F42"/>
    <w:rsid w:val="00FE2FCB"/>
    <w:rsid w:val="00FE3154"/>
    <w:rsid w:val="00FE37A7"/>
    <w:rsid w:val="00FE3D3A"/>
    <w:rsid w:val="00FE48F0"/>
    <w:rsid w:val="00FE6013"/>
    <w:rsid w:val="00FE6034"/>
    <w:rsid w:val="00FE663E"/>
    <w:rsid w:val="00FE7399"/>
    <w:rsid w:val="00FE7C9B"/>
    <w:rsid w:val="00FE7CCB"/>
    <w:rsid w:val="00FF1C40"/>
    <w:rsid w:val="00FF1CAD"/>
    <w:rsid w:val="00FF2689"/>
    <w:rsid w:val="00FF2FE3"/>
    <w:rsid w:val="00FF3DBE"/>
    <w:rsid w:val="00FF3EA3"/>
    <w:rsid w:val="00FF4245"/>
    <w:rsid w:val="00FF4301"/>
    <w:rsid w:val="00FF504E"/>
    <w:rsid w:val="00FF56AF"/>
    <w:rsid w:val="00FF5CBC"/>
    <w:rsid w:val="00FF5F7E"/>
    <w:rsid w:val="00FF6340"/>
    <w:rsid w:val="00FF7166"/>
    <w:rsid w:val="00FF7F3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5ED155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AA655D"/>
    <w:rPr>
      <w:color w:val="0000FF"/>
      <w:shd w:val="clear" w:color="auto" w:fill="auto"/>
    </w:rPr>
  </w:style>
  <w:style w:type="paragraph" w:customStyle="1" w:styleId="Pagedecouverture">
    <w:name w:val="Page de couverture"/>
    <w:basedOn w:val="Normal"/>
    <w:next w:val="Normal"/>
    <w:rsid w:val="00AA655D"/>
    <w:pPr>
      <w:jc w:val="both"/>
    </w:pPr>
  </w:style>
  <w:style w:type="paragraph" w:styleId="Header">
    <w:name w:val="header"/>
    <w:basedOn w:val="Normal"/>
    <w:link w:val="HeaderChar"/>
    <w:uiPriority w:val="99"/>
    <w:unhideWhenUsed/>
    <w:rsid w:val="00AA655D"/>
    <w:pPr>
      <w:tabs>
        <w:tab w:val="center" w:pos="4513"/>
        <w:tab w:val="right" w:pos="9026"/>
      </w:tabs>
    </w:pPr>
  </w:style>
  <w:style w:type="character" w:customStyle="1" w:styleId="HeaderChar">
    <w:name w:val="Header Char"/>
    <w:basedOn w:val="DefaultParagraphFont"/>
    <w:link w:val="Header"/>
    <w:uiPriority w:val="99"/>
    <w:rsid w:val="00AA655D"/>
    <w:rPr>
      <w:sz w:val="24"/>
    </w:rPr>
  </w:style>
  <w:style w:type="paragraph" w:styleId="Footer">
    <w:name w:val="footer"/>
    <w:basedOn w:val="Normal"/>
    <w:link w:val="FooterChar"/>
    <w:uiPriority w:val="99"/>
    <w:unhideWhenUsed/>
    <w:rsid w:val="00AA655D"/>
    <w:pPr>
      <w:tabs>
        <w:tab w:val="center" w:pos="4513"/>
        <w:tab w:val="right" w:pos="9026"/>
      </w:tabs>
    </w:pPr>
  </w:style>
  <w:style w:type="character" w:customStyle="1" w:styleId="FooterChar">
    <w:name w:val="Footer Char"/>
    <w:basedOn w:val="DefaultParagraphFont"/>
    <w:link w:val="Footer"/>
    <w:uiPriority w:val="99"/>
    <w:rsid w:val="00AA655D"/>
    <w:rPr>
      <w:sz w:val="24"/>
    </w:rPr>
  </w:style>
  <w:style w:type="paragraph" w:customStyle="1" w:styleId="FooterCoverPage">
    <w:name w:val="Footer Cover Page"/>
    <w:basedOn w:val="Normal"/>
    <w:link w:val="FooterCoverPageChar"/>
    <w:rsid w:val="00AA655D"/>
    <w:pPr>
      <w:tabs>
        <w:tab w:val="center" w:pos="4535"/>
        <w:tab w:val="right" w:pos="9071"/>
        <w:tab w:val="right" w:pos="9921"/>
      </w:tabs>
      <w:spacing w:before="360"/>
      <w:ind w:left="-850" w:right="-850"/>
    </w:pPr>
  </w:style>
  <w:style w:type="character" w:customStyle="1" w:styleId="FooterCoverPageChar">
    <w:name w:val="Footer Cover Page Char"/>
    <w:basedOn w:val="DefaultParagraphFont"/>
    <w:link w:val="FooterCoverPage"/>
    <w:rsid w:val="00AA655D"/>
    <w:rPr>
      <w:sz w:val="24"/>
    </w:rPr>
  </w:style>
  <w:style w:type="paragraph" w:customStyle="1" w:styleId="FooterSensitivity">
    <w:name w:val="Footer Sensitivity"/>
    <w:basedOn w:val="Normal"/>
    <w:link w:val="FooterSensitivityChar"/>
    <w:rsid w:val="00AA655D"/>
    <w:pPr>
      <w:pBdr>
        <w:top w:val="single" w:sz="4" w:space="1" w:color="auto"/>
        <w:left w:val="single" w:sz="4" w:space="4" w:color="auto"/>
        <w:bottom w:val="single" w:sz="4" w:space="1" w:color="auto"/>
        <w:right w:val="single" w:sz="4" w:space="4" w:color="auto"/>
      </w:pBdr>
      <w:spacing w:before="360"/>
      <w:ind w:left="113" w:right="113"/>
      <w:jc w:val="center"/>
    </w:pPr>
    <w:rPr>
      <w:b/>
      <w:sz w:val="32"/>
    </w:rPr>
  </w:style>
  <w:style w:type="character" w:customStyle="1" w:styleId="FooterSensitivityChar">
    <w:name w:val="Footer Sensitivity Char"/>
    <w:basedOn w:val="DefaultParagraphFont"/>
    <w:link w:val="FooterSensitivity"/>
    <w:rsid w:val="00AA655D"/>
    <w:rPr>
      <w:b/>
      <w:sz w:val="32"/>
    </w:rPr>
  </w:style>
  <w:style w:type="paragraph" w:customStyle="1" w:styleId="HeaderCoverPage">
    <w:name w:val="Header Cover Page"/>
    <w:basedOn w:val="Normal"/>
    <w:link w:val="HeaderCoverPageChar"/>
    <w:rsid w:val="00AA655D"/>
    <w:pPr>
      <w:tabs>
        <w:tab w:val="center" w:pos="4535"/>
        <w:tab w:val="right" w:pos="9071"/>
      </w:tabs>
      <w:spacing w:after="120"/>
      <w:jc w:val="both"/>
    </w:pPr>
  </w:style>
  <w:style w:type="character" w:customStyle="1" w:styleId="HeaderCoverPageChar">
    <w:name w:val="Header Cover Page Char"/>
    <w:basedOn w:val="DefaultParagraphFont"/>
    <w:link w:val="HeaderCoverPage"/>
    <w:rsid w:val="00AA655D"/>
    <w:rPr>
      <w:sz w:val="24"/>
    </w:rPr>
  </w:style>
  <w:style w:type="paragraph" w:customStyle="1" w:styleId="HeaderSensitivity">
    <w:name w:val="Header Sensitivity"/>
    <w:basedOn w:val="Normal"/>
    <w:link w:val="HeaderSensitivityChar"/>
    <w:rsid w:val="00AA655D"/>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AA655D"/>
    <w:rPr>
      <w:b/>
      <w:sz w:val="32"/>
    </w:rPr>
  </w:style>
  <w:style w:type="paragraph" w:customStyle="1" w:styleId="HeaderSensitivityRight">
    <w:name w:val="Header Sensitivity Right"/>
    <w:basedOn w:val="Normal"/>
    <w:link w:val="HeaderSensitivityRightChar"/>
    <w:rsid w:val="000C06D5"/>
    <w:pPr>
      <w:spacing w:after="120"/>
      <w:jc w:val="right"/>
    </w:pPr>
    <w:rPr>
      <w:sz w:val="28"/>
    </w:rPr>
  </w:style>
  <w:style w:type="character" w:customStyle="1" w:styleId="HeaderSensitivityRightChar">
    <w:name w:val="Header Sensitivity Right Char"/>
    <w:basedOn w:val="DefaultParagraphFont"/>
    <w:link w:val="HeaderSensitivityRight"/>
    <w:rsid w:val="00AA655D"/>
    <w:rPr>
      <w:sz w:val="28"/>
    </w:rPr>
  </w:style>
  <w:style w:type="paragraph" w:styleId="FootnoteText">
    <w:name w:val="footnote text"/>
    <w:basedOn w:val="Normal"/>
    <w:link w:val="FootnoteTextChar"/>
    <w:uiPriority w:val="99"/>
    <w:qFormat/>
    <w:rsid w:val="00AA655D"/>
    <w:rPr>
      <w:sz w:val="20"/>
    </w:rPr>
  </w:style>
  <w:style w:type="character" w:customStyle="1" w:styleId="FootnoteTextChar">
    <w:name w:val="Footnote Text Char"/>
    <w:basedOn w:val="DefaultParagraphFont"/>
    <w:link w:val="FootnoteText"/>
    <w:uiPriority w:val="99"/>
    <w:rsid w:val="00AA655D"/>
  </w:style>
  <w:style w:type="character" w:styleId="FootnoteReference">
    <w:name w:val="footnote reference"/>
    <w:uiPriority w:val="99"/>
    <w:unhideWhenUsed/>
    <w:qFormat/>
    <w:rsid w:val="00AA655D"/>
    <w:rPr>
      <w:shd w:val="clear" w:color="auto" w:fill="auto"/>
      <w:vertAlign w:val="superscript"/>
    </w:rPr>
  </w:style>
  <w:style w:type="character" w:styleId="Hyperlink">
    <w:name w:val="Hyperlink"/>
    <w:rsid w:val="00AA655D"/>
    <w:rPr>
      <w:color w:val="0000FF"/>
      <w:u w:val="single"/>
    </w:rPr>
  </w:style>
  <w:style w:type="paragraph" w:customStyle="1" w:styleId="Default">
    <w:name w:val="Default"/>
    <w:rsid w:val="00AA655D"/>
    <w:pPr>
      <w:autoSpaceDE w:val="0"/>
      <w:autoSpaceDN w:val="0"/>
      <w:adjustRightInd w:val="0"/>
    </w:pPr>
    <w:rPr>
      <w:rFonts w:ascii="Calibri" w:hAnsi="Calibri" w:cs="Calibri"/>
      <w:sz w:val="24"/>
    </w:rPr>
  </w:style>
  <w:style w:type="paragraph" w:styleId="ListParagraph">
    <w:name w:val="List Paragraph"/>
    <w:basedOn w:val="Normal"/>
    <w:uiPriority w:val="34"/>
    <w:qFormat/>
    <w:rsid w:val="00AA655D"/>
    <w:pPr>
      <w:ind w:left="720"/>
    </w:pPr>
    <w:rPr>
      <w:rFonts w:ascii="Calibri" w:eastAsia="Calibri" w:hAnsi="Calibri" w:cs="Calibri"/>
      <w:sz w:val="22"/>
    </w:rPr>
  </w:style>
  <w:style w:type="paragraph" w:styleId="BalloonText">
    <w:name w:val="Balloon Text"/>
    <w:basedOn w:val="Normal"/>
    <w:link w:val="BalloonTextChar"/>
    <w:semiHidden/>
    <w:unhideWhenUsed/>
    <w:rsid w:val="00BC3F24"/>
    <w:rPr>
      <w:rFonts w:ascii="Segoe UI" w:hAnsi="Segoe UI" w:cs="Segoe UI"/>
      <w:sz w:val="18"/>
    </w:rPr>
  </w:style>
  <w:style w:type="character" w:customStyle="1" w:styleId="BalloonTextChar">
    <w:name w:val="Balloon Text Char"/>
    <w:basedOn w:val="DefaultParagraphFont"/>
    <w:link w:val="BalloonText"/>
    <w:semiHidden/>
    <w:rsid w:val="00BC3F24"/>
    <w:rPr>
      <w:rFonts w:ascii="Segoe UI" w:hAnsi="Segoe UI" w:cs="Segoe UI"/>
      <w:sz w:val="18"/>
    </w:rPr>
  </w:style>
  <w:style w:type="character" w:styleId="Strong">
    <w:name w:val="Strong"/>
    <w:basedOn w:val="DefaultParagraphFont"/>
    <w:uiPriority w:val="22"/>
    <w:qFormat/>
    <w:rsid w:val="00261DE1"/>
    <w:rPr>
      <w:b/>
    </w:rPr>
  </w:style>
  <w:style w:type="character" w:styleId="CommentReference">
    <w:name w:val="annotation reference"/>
    <w:basedOn w:val="DefaultParagraphFont"/>
    <w:semiHidden/>
    <w:unhideWhenUsed/>
    <w:rsid w:val="00A3660F"/>
    <w:rPr>
      <w:sz w:val="16"/>
    </w:rPr>
  </w:style>
  <w:style w:type="paragraph" w:styleId="CommentText">
    <w:name w:val="annotation text"/>
    <w:basedOn w:val="Normal"/>
    <w:link w:val="CommentTextChar"/>
    <w:semiHidden/>
    <w:unhideWhenUsed/>
    <w:rsid w:val="00A3660F"/>
    <w:rPr>
      <w:sz w:val="20"/>
    </w:rPr>
  </w:style>
  <w:style w:type="character" w:customStyle="1" w:styleId="CommentTextChar">
    <w:name w:val="Comment Text Char"/>
    <w:basedOn w:val="DefaultParagraphFont"/>
    <w:link w:val="CommentText"/>
    <w:semiHidden/>
    <w:rsid w:val="00A3660F"/>
  </w:style>
  <w:style w:type="paragraph" w:styleId="CommentSubject">
    <w:name w:val="annotation subject"/>
    <w:basedOn w:val="CommentText"/>
    <w:next w:val="CommentText"/>
    <w:link w:val="CommentSubjectChar"/>
    <w:semiHidden/>
    <w:unhideWhenUsed/>
    <w:rsid w:val="00A3660F"/>
    <w:rPr>
      <w:b/>
    </w:rPr>
  </w:style>
  <w:style w:type="character" w:customStyle="1" w:styleId="CommentSubjectChar">
    <w:name w:val="Comment Subject Char"/>
    <w:basedOn w:val="CommentTextChar"/>
    <w:link w:val="CommentSubject"/>
    <w:semiHidden/>
    <w:rsid w:val="00A3660F"/>
    <w:rPr>
      <w:b/>
    </w:rPr>
  </w:style>
  <w:style w:type="paragraph" w:styleId="Revision">
    <w:name w:val="Revision"/>
    <w:hidden/>
    <w:uiPriority w:val="99"/>
    <w:semiHidden/>
    <w:rsid w:val="00A3660F"/>
    <w:rPr>
      <w:sz w:val="24"/>
    </w:rPr>
  </w:style>
  <w:style w:type="paragraph" w:styleId="EndnoteText">
    <w:name w:val="endnote text"/>
    <w:basedOn w:val="Normal"/>
    <w:link w:val="EndnoteTextChar"/>
    <w:semiHidden/>
    <w:unhideWhenUsed/>
    <w:rsid w:val="001B5C4A"/>
    <w:rPr>
      <w:sz w:val="20"/>
    </w:rPr>
  </w:style>
  <w:style w:type="character" w:customStyle="1" w:styleId="EndnoteTextChar">
    <w:name w:val="Endnote Text Char"/>
    <w:basedOn w:val="DefaultParagraphFont"/>
    <w:link w:val="EndnoteText"/>
    <w:semiHidden/>
    <w:rsid w:val="001B5C4A"/>
  </w:style>
  <w:style w:type="character" w:styleId="EndnoteReference">
    <w:name w:val="endnote reference"/>
    <w:basedOn w:val="DefaultParagraphFont"/>
    <w:semiHidden/>
    <w:unhideWhenUsed/>
    <w:rsid w:val="001B5C4A"/>
    <w:rPr>
      <w:vertAlign w:val="superscript"/>
    </w:rPr>
  </w:style>
  <w:style w:type="paragraph" w:customStyle="1" w:styleId="Briefingtext">
    <w:name w:val="Briefing text"/>
    <w:basedOn w:val="Normal"/>
    <w:link w:val="BriefingtextChar"/>
    <w:rsid w:val="00ED213C"/>
    <w:pPr>
      <w:spacing w:after="240"/>
      <w:jc w:val="both"/>
    </w:pPr>
    <w:rPr>
      <w:rFonts w:ascii="Arial" w:eastAsia="Times New Roman" w:hAnsi="Arial" w:cs="Arial"/>
      <w:sz w:val="22"/>
    </w:rPr>
  </w:style>
  <w:style w:type="character" w:customStyle="1" w:styleId="BriefingtextChar">
    <w:name w:val="Briefing text Char"/>
    <w:link w:val="Briefingtext"/>
    <w:rsid w:val="00ED213C"/>
    <w:rPr>
      <w:rFonts w:ascii="Arial" w:eastAsia="Times New Roman" w:hAnsi="Arial" w:cs="Arial"/>
      <w:sz w:val="22"/>
    </w:rPr>
  </w:style>
  <w:style w:type="paragraph" w:customStyle="1" w:styleId="Typedudocument">
    <w:name w:val="Type du document"/>
    <w:basedOn w:val="Normal"/>
    <w:next w:val="Normal"/>
    <w:rsid w:val="0028246A"/>
    <w:pPr>
      <w:spacing w:before="360"/>
      <w:jc w:val="center"/>
    </w:pPr>
    <w:rPr>
      <w:b/>
    </w:rPr>
  </w:style>
  <w:style w:type="paragraph" w:customStyle="1" w:styleId="Titreobjet">
    <w:name w:val="Titre objet"/>
    <w:basedOn w:val="Normal"/>
    <w:next w:val="Normal"/>
    <w:rsid w:val="0028246A"/>
    <w:pPr>
      <w:spacing w:before="360" w:after="360"/>
      <w:jc w:val="center"/>
    </w:pPr>
    <w:rPr>
      <w:b/>
    </w:rPr>
  </w:style>
  <w:style w:type="character" w:styleId="FollowedHyperlink">
    <w:name w:val="FollowedHyperlink"/>
    <w:basedOn w:val="DefaultParagraphFont"/>
    <w:semiHidden/>
    <w:unhideWhenUsed/>
    <w:rsid w:val="003B2BCC"/>
    <w:rPr>
      <w:color w:val="800080" w:themeColor="followedHyperlink"/>
      <w:u w:val="single"/>
    </w:rPr>
  </w:style>
  <w:style w:type="paragraph" w:styleId="NormalWeb">
    <w:name w:val="Normal (Web)"/>
    <w:basedOn w:val="Normal"/>
    <w:uiPriority w:val="99"/>
    <w:unhideWhenUsed/>
    <w:rsid w:val="00B930EF"/>
    <w:pPr>
      <w:spacing w:after="160" w:line="259" w:lineRule="auto"/>
    </w:pPr>
  </w:style>
  <w:style w:type="character" w:customStyle="1" w:styleId="UnresolvedMention">
    <w:name w:val="Unresolved Mention"/>
    <w:basedOn w:val="DefaultParagraphFont"/>
    <w:uiPriority w:val="99"/>
    <w:semiHidden/>
    <w:unhideWhenUsed/>
    <w:rsid w:val="005F47EB"/>
    <w:rPr>
      <w:color w:val="605E5C"/>
      <w:shd w:val="clear" w:color="auto" w:fill="E1DFDD"/>
    </w:rPr>
  </w:style>
  <w:style w:type="paragraph" w:customStyle="1" w:styleId="Disclaimer">
    <w:name w:val="Disclaimer"/>
    <w:basedOn w:val="Normal"/>
    <w:rsid w:val="000C06D5"/>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jc w:val="both"/>
    </w:pPr>
  </w:style>
  <w:style w:type="paragraph" w:customStyle="1" w:styleId="SecurityMarking">
    <w:name w:val="SecurityMarking"/>
    <w:basedOn w:val="Normal"/>
    <w:rsid w:val="000C06D5"/>
    <w:pPr>
      <w:spacing w:line="276" w:lineRule="auto"/>
      <w:ind w:left="5103"/>
    </w:pPr>
    <w:rPr>
      <w:sz w:val="28"/>
    </w:rPr>
  </w:style>
  <w:style w:type="paragraph" w:customStyle="1" w:styleId="DateMarking">
    <w:name w:val="DateMarking"/>
    <w:basedOn w:val="Normal"/>
    <w:rsid w:val="000C06D5"/>
    <w:pPr>
      <w:spacing w:line="276" w:lineRule="auto"/>
      <w:ind w:left="5103"/>
    </w:pPr>
    <w:rPr>
      <w:i/>
      <w:sz w:val="28"/>
    </w:rPr>
  </w:style>
  <w:style w:type="paragraph" w:customStyle="1" w:styleId="ReleasableTo">
    <w:name w:val="ReleasableTo"/>
    <w:basedOn w:val="Normal"/>
    <w:rsid w:val="000C06D5"/>
    <w:pPr>
      <w:spacing w:line="276" w:lineRule="auto"/>
      <w:ind w:left="5103"/>
    </w:pPr>
    <w:rPr>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eader" Target="header8.xml"/><Relationship Id="rId47"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eader" Target="header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footer" Target="footer6.xml"/><Relationship Id="rId37" Type="http://schemas.openxmlformats.org/officeDocument/2006/relationships/header" Target="head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eader" Target="header5.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footer" Target="footer7.xml"/><Relationship Id="rId48" Type="http://schemas.microsoft.com/office/2016/09/relationships/commentsIds" Target="commentsIds.xml"/></Relationships>
</file>

<file path=word/_rels/footnotes.xml.rels><?xml version="1.0" encoding="UTF-8" standalone="yes"?>
<Relationships xmlns="http://schemas.openxmlformats.org/package/2006/relationships"><Relationship Id="rId3" Type="http://schemas.openxmlformats.org/officeDocument/2006/relationships/hyperlink" Target="https://trade.ec.europa.eu/doclib/docs/2021/december/tradoc_159950.pdf." TargetMode="External"/><Relationship Id="rId7" Type="http://schemas.openxmlformats.org/officeDocument/2006/relationships/hyperlink" Target="https://ec.europa.eu/transparency/documents-register/detail?ref=COM(2019)562&amp;lang=da." TargetMode="External"/><Relationship Id="rId2" Type="http://schemas.openxmlformats.org/officeDocument/2006/relationships/hyperlink" Target="https://ec.europa.eu/commission/presscorner/detail/da/STATEMENT_21_4951." TargetMode="External"/><Relationship Id="rId1" Type="http://schemas.openxmlformats.org/officeDocument/2006/relationships/hyperlink" Target="https://eur-lex.europa.eu/eli/reg/2021/821/oj?locale=da." TargetMode="External"/><Relationship Id="rId6" Type="http://schemas.openxmlformats.org/officeDocument/2006/relationships/hyperlink" Target="https://trade.ec.europa.eu/doclib/docs/2022/february/tradoc_160037.pdf." TargetMode="External"/><Relationship Id="rId5" Type="http://schemas.openxmlformats.org/officeDocument/2006/relationships/hyperlink" Target="https://trade.ec.europa.eu/doclib/docs/2021/november/tradoc_159903.pdf" TargetMode="External"/><Relationship Id="rId4" Type="http://schemas.openxmlformats.org/officeDocument/2006/relationships/hyperlink" Target="https://futurium.ec.europa.eu/da/EU-US-TTC/wg7/documents/summary-public-feedback-consultation-working-group-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620BC34-B83A-4D58-9580-55D4A2C8C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3891</Words>
  <Characters>24942</Characters>
  <Application>Microsoft Office Word</Application>
  <DocSecurity>0</DocSecurity>
  <Lines>542</Lines>
  <Paragraphs>131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2022-06-29T10:41:00Z</dcterms:created>
  <dcterms:modified xsi:type="dcterms:W3CDTF">2022-08-31T06:47:00Z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8.0.1, Build 20220429</vt:lpwstr>
  </property>
  <property fmtid="{D5CDD505-2E9C-101B-9397-08002B2CF9AE}" pid="4" name="DocStatus">
    <vt:lpwstr>Green</vt:lpwstr>
  </property>
  <property fmtid="{D5CDD505-2E9C-101B-9397-08002B2CF9AE}" pid="5" name="Part">
    <vt:lpwstr>1</vt:lpwstr>
  </property>
  <property fmtid="{D5CDD505-2E9C-101B-9397-08002B2CF9AE}" pid="6" name="Total parts">
    <vt:lpwstr>1</vt:lpwstr>
  </property>
  <property fmtid="{D5CDD505-2E9C-101B-9397-08002B2CF9AE}" pid="7" name="CPTemplateID">
    <vt:lpwstr>CP-006</vt:lpwstr>
  </property>
</Properties>
</file>