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DB694672-9EA4-4245-AEAE-7D5F6AAE92CE" style="width:450.45pt;height:366.35pt">
            <v:imagedata r:id="rId9" o:title=""/>
          </v:shape>
        </w:pict>
      </w:r>
    </w:p>
    <w:p>
      <w:pPr>
        <w:rPr>
          <w:noProof/>
        </w:rPr>
        <w:sectPr>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BEGRUNDELSE</w:t>
      </w:r>
    </w:p>
    <w:p>
      <w:pPr>
        <w:pStyle w:val="ManualHeading1"/>
        <w:rPr>
          <w:noProof/>
        </w:rPr>
      </w:pPr>
      <w:r>
        <w:rPr>
          <w:noProof/>
        </w:rPr>
        <w:t>1.</w:t>
      </w:r>
      <w:r>
        <w:rPr>
          <w:noProof/>
        </w:rPr>
        <w:tab/>
        <w:t>BAGGRUND FOR FORSLAGET</w:t>
      </w:r>
    </w:p>
    <w:p>
      <w:pPr>
        <w:pStyle w:val="ManualHeading2"/>
        <w:rPr>
          <w:rFonts w:eastAsia="Arial Unicode MS"/>
          <w:noProof/>
        </w:rPr>
      </w:pPr>
      <w:r>
        <w:rPr>
          <w:noProof/>
          <w:u w:color="000000"/>
          <w:bdr w:val="nil"/>
        </w:rPr>
        <w:t>•</w:t>
      </w:r>
      <w:r>
        <w:rPr>
          <w:noProof/>
          <w:u w:color="000000"/>
          <w:bdr w:val="nil"/>
        </w:rPr>
        <w:tab/>
      </w:r>
      <w:r>
        <w:rPr>
          <w:noProof/>
        </w:rPr>
        <w:t>Forslagets begrundelse og formål</w:t>
      </w:r>
    </w:p>
    <w:p>
      <w:pPr>
        <w:rPr>
          <w:noProof/>
        </w:rPr>
      </w:pPr>
      <w:r>
        <w:rPr>
          <w:noProof/>
        </w:rPr>
        <w:t>Siden de første tilfælde af smitte med covid-19 har EU arbejdet utrætteligt på at støtte medlemsstaterne og deres borgere i håndteringen af krisen.</w:t>
      </w:r>
    </w:p>
    <w:p>
      <w:pPr>
        <w:rPr>
          <w:noProof/>
        </w:rPr>
      </w:pPr>
      <w:r>
        <w:rPr>
          <w:noProof/>
        </w:rPr>
        <w:t xml:space="preserve">Kommissionens ARGUS-mekanisme til koordinering af krisesituationer er blevet aktiveret, og krisekoordinationsudvalget mødes regelmæssigt for at skabe synergi mellem alle Kommissionens relevante afdelinger og tjenester og EU-agenturerne. Kommissionen har også oprettet en koordinerende beredskabsenhed på politisk plan bestående af de fem kommissærer, der er ansvarlige for de mest berørte politikker. </w:t>
      </w:r>
    </w:p>
    <w:p>
      <w:pPr>
        <w:rPr>
          <w:noProof/>
        </w:rPr>
      </w:pPr>
      <w:r>
        <w:rPr>
          <w:noProof/>
        </w:rPr>
        <w:t>Efter EU-ledernes videokonference om indsatsen i forbindelse med udbruddet af covid-19 den 10. marts 2020 vil Kommissionen yderligere intensivere sin indsats mod coronavirus eller udbruddet af covid-19 på alle fronter og koordinere medlemsstaternes tiltag. Den krise, vi står over for på grund af coronavirus, har både en meget betydelig menneskelig dimension og en potentielt betydelig økonomisk indvirkning. Det er derfor af afgørende betydning, at EU og dets medlemsstater handler beslutsomt og kollektivt for at dæmme op for spredningen af virusset og hjælpe patienter og for at imødegå de negative økonomiske konsekvenser.</w:t>
      </w:r>
    </w:p>
    <w:p>
      <w:pPr>
        <w:rPr>
          <w:noProof/>
        </w:rPr>
      </w:pPr>
      <w:r>
        <w:rPr>
          <w:noProof/>
        </w:rPr>
        <w:t xml:space="preserve">Som led i denne fælles samordnede indsats kan Den Europæiske Unions Solidaritetsfond ("Solidaritetsfonden") spille en vigtig rolle med hensyn til at vise EU's solidaritet med medlemsstaterne i forbindelse med at håndtere nødsituationen. </w:t>
      </w:r>
    </w:p>
    <w:p>
      <w:pPr>
        <w:rPr>
          <w:noProof/>
        </w:rPr>
      </w:pPr>
      <w:r>
        <w:rPr>
          <w:noProof/>
        </w:rPr>
        <w:t>Med det eksisterende instrument er det på nuværende tidspunkt umuligt at reagere hensigtsmæssigt på EU-plan over for større folkesundhedskriser såsom covid-19.</w:t>
      </w:r>
    </w:p>
    <w:p>
      <w:pPr>
        <w:rPr>
          <w:noProof/>
        </w:rPr>
      </w:pPr>
      <w:r>
        <w:rPr>
          <w:noProof/>
        </w:rPr>
        <w:t>Formålet med denne forordning er derfor at udvide anvendelsesområdet for Solidaritetsfonden til at omfatte større folkesundhedskriser og at definere specifikke operationer, der er berettigede til finansiering.</w:t>
      </w:r>
    </w:p>
    <w:p>
      <w:pPr>
        <w:rPr>
          <w:noProof/>
        </w:rPr>
      </w:pPr>
      <w:r>
        <w:rPr>
          <w:noProof/>
        </w:rPr>
        <w:t>Solidaritetsfonden blev oprettet i 2002 for at støtte EU's medlemsstater og tiltrædelseslandene i tilfælde af større katastrofer forårsaget af naturhændelser, såsom oversvømmelse, storm, jordskælv, vulkanudbrud, skovbrand eller tørke. Fonden kan mobiliseres efter anmodning fra det berørte land, hvis katastrofen har et omfang, der berettiger en indsats på europæisk plan. Dens funktion er et håndgribeligt udtryk for ægte EU-solidaritet, hvorigennem medlemsstaterne indvilliger i at støtte hinanden ved at stille yderligere finansieringsmidler til rådighed via EU-budgettet. Den nuværende Solidaritetsfond er imidlertid strengt begrænset til naturkatastrofer, der forårsager fysiske skader, såsom oversvømmelse, storm, jordskælv og lignende. Gennem Solidaritetsfonden kan der ydes finansiel støtte til støtteberettigede stater med et samlet beløb på op til 500 mio. EUR i 2011-priser pr. år.</w:t>
      </w:r>
    </w:p>
    <w:p>
      <w:pPr>
        <w:pStyle w:val="ManualHeading2"/>
        <w:rPr>
          <w:rFonts w:eastAsia="Arial Unicode MS"/>
          <w:noProof/>
          <w:color w:val="000000"/>
          <w:u w:color="000000"/>
          <w:bdr w:val="nil"/>
        </w:rPr>
      </w:pPr>
      <w:r>
        <w:rPr>
          <w:noProof/>
          <w:u w:color="000000"/>
          <w:bdr w:val="nil"/>
        </w:rPr>
        <w:t>•</w:t>
      </w:r>
      <w:r>
        <w:rPr>
          <w:noProof/>
          <w:u w:color="000000"/>
          <w:bdr w:val="nil"/>
        </w:rPr>
        <w:tab/>
      </w:r>
      <w:r>
        <w:rPr>
          <w:noProof/>
        </w:rPr>
        <w:t>Sammenhæng med de gældende regler på samme område</w:t>
      </w:r>
    </w:p>
    <w:p>
      <w:pPr>
        <w:rPr>
          <w:noProof/>
        </w:rPr>
      </w:pPr>
      <w:r>
        <w:rPr>
          <w:noProof/>
        </w:rPr>
        <w:t xml:space="preserve">Nærværende forslag har til formål at ændre Rådets forordning (EF) nr. 2012/2002 af 11. november 2002 om oprettelse af Den Europæiske Unions Solidaritetsfond ("forordning (EF) nr. 2012/2002") for at udvide dens anvendelsesområde til at omfatte større folkesundhedskriser. </w:t>
      </w:r>
    </w:p>
    <w:p>
      <w:pPr>
        <w:rPr>
          <w:noProof/>
        </w:rPr>
      </w:pPr>
      <w:r>
        <w:rPr>
          <w:noProof/>
        </w:rPr>
        <w:t>De vigtigste karakteristika og forskelle i indholdet er følgende:</w:t>
      </w:r>
    </w:p>
    <w:p>
      <w:pPr>
        <w:rPr>
          <w:noProof/>
        </w:rPr>
      </w:pPr>
      <w:r>
        <w:rPr>
          <w:noProof/>
        </w:rPr>
        <w:t>Det geografiske anvendelsesområde er uændret: Det er begrænset til medlemsstater og lande, der forhandler om tiltrædelse af EU. Det tematiske anvendelsesområde udvides imidlertid til at omfatte alvorlige krisesituationer, der skyldes trusler mod folkesundheden.</w:t>
      </w:r>
    </w:p>
    <w:p>
      <w:pPr>
        <w:rPr>
          <w:noProof/>
        </w:rPr>
      </w:pPr>
      <w:r>
        <w:rPr>
          <w:noProof/>
        </w:rPr>
        <w:lastRenderedPageBreak/>
        <w:t>Der blev indført forskudsbetaling i forbindelse med revisionen af forordningen om Den Europæiske Unions Solidaritetsfond i 2014 med virkning fra 2015. Den vigtigste begrundelse for indførelsen af forskudsbetaling var, at den nødvendige procedure for mobilisering af Solidaritetsfonden og udbetaling af den fulde bistand er for langvarig (typisk op til et år), og at den alvorlige krisesituation krævede en hurtigere reaktion. Desuden blev det vurderet, at de lange forsinkelser med hensyn til at yde bistand var negative for EU's anseelse.</w:t>
      </w:r>
    </w:p>
    <w:p>
      <w:pPr>
        <w:rPr>
          <w:noProof/>
        </w:rPr>
      </w:pPr>
      <w:r>
        <w:rPr>
          <w:noProof/>
        </w:rPr>
        <w:t>Forskudsbetalingernes niveau blev fastsat til 10 % af det forventede tilskud fra Solidaritetsfonden, dog højst 30 mio. EUR. Det viste sig, at dette niveau ikke var tilfredsstillende. I tilfælde af mindre katastrofer, hvor tilskuddet fra Solidaritetsfonden beløber sig til nogle få mio. EUR, er forskudsbetalingerne kun på et par hundrede tusinde EUR, hvilket knap nok gør nogen forskel. I tilfælde af meget store katastrofer som f.eks. jordskælvet i Abruzzo, der forvoldte skader for 22 mia. EUR og udløste et tilskud fra Solidaritetsfonden på 1,2 mia. EUR, er et forskud på højst 30 mio. EUR helt utilstrækkeligt. I begge scenarier står forskudsbetalingen ikke i et rimeligt forhold til dens virkninger i praksis. Den seneste efterfølgende evaluering af Solidaritetsfonden (2002-2017) bekræfter denne analyse.</w:t>
      </w:r>
    </w:p>
    <w:p>
      <w:pPr>
        <w:rPr>
          <w:noProof/>
        </w:rPr>
      </w:pPr>
      <w:r>
        <w:rPr>
          <w:noProof/>
        </w:rPr>
        <w:t>Kommissionen foreslår derfor, at niveauet for forskudsbetalinger ved individuelle katastrofer i alle kategorier hæves til 25 % af det forventede tilskud fra Solidaritetsfonden, dog højst 100 mio. EUR.</w:t>
      </w:r>
    </w:p>
    <w:p>
      <w:pPr>
        <w:rPr>
          <w:noProof/>
        </w:rPr>
      </w:pPr>
      <w:r>
        <w:rPr>
          <w:noProof/>
        </w:rPr>
        <w:t>Kommissionen foreslår desuden at hæve det samlede bevillingsniveau for forskudsbetalinger til Solidaritetsfonden i det årlige budget fra 50 mio. EUR til 100 mio. EUR.</w:t>
      </w:r>
    </w:p>
    <w:p>
      <w:pPr>
        <w:rPr>
          <w:noProof/>
        </w:rPr>
      </w:pPr>
      <w:r>
        <w:rPr>
          <w:noProof/>
        </w:rPr>
        <w:t>Ligesom under den nuværende procedure vil det kun være muligt at mobilisere fonden, hvis en tilskudsberettiget stat fremsætter anmodning herom. Efter at Kommissionen har foretaget en vurdering og forelagt budgetmyndigheden et forslag til det beløb, der skal ydes i finansiel bistand, vedtager sidstnævnte et tilsvarende tillægsbudget. Kommissionen vil derefter vedtage en gennemførelsesafgørelse, der skal føre til betaling af bidraget fra Solidaritetsfonden.</w:t>
      </w:r>
    </w:p>
    <w:p>
      <w:pPr>
        <w:pBdr>
          <w:top w:val="nil"/>
          <w:left w:val="nil"/>
          <w:bottom w:val="nil"/>
          <w:right w:val="nil"/>
          <w:between w:val="nil"/>
          <w:bar w:val="nil"/>
        </w:pBdr>
        <w:spacing w:before="0" w:after="240"/>
        <w:rPr>
          <w:rFonts w:eastAsia="Arial Unicode MS"/>
          <w:noProof/>
        </w:rPr>
      </w:pPr>
      <w:r>
        <w:rPr>
          <w:noProof/>
        </w:rPr>
        <w:t>De tilskudsberettigede tiltag vil fortsat kun omfatte offentlige nødhjælpstiltag. De udvides til at omfatte bistand til befolkningen i tilfælde af sundhedskriser, herunder lægehjælp, og foranstaltninger til at dæmme op for yderligere spredning af en infektionssygdom.</w:t>
      </w:r>
    </w:p>
    <w:p>
      <w:pPr>
        <w:pStyle w:val="ManualHeading2"/>
        <w:rPr>
          <w:rFonts w:eastAsia="Arial Unicode MS"/>
          <w:noProof/>
        </w:rPr>
      </w:pPr>
      <w:r>
        <w:rPr>
          <w:noProof/>
          <w:u w:color="000000"/>
          <w:bdr w:val="nil"/>
        </w:rPr>
        <w:t>•</w:t>
      </w:r>
      <w:r>
        <w:rPr>
          <w:noProof/>
          <w:u w:color="000000"/>
          <w:bdr w:val="nil"/>
        </w:rPr>
        <w:tab/>
      </w:r>
      <w:r>
        <w:rPr>
          <w:noProof/>
        </w:rPr>
        <w:t>Sammenhæng med Unionens politik på andre områder</w:t>
      </w:r>
    </w:p>
    <w:p>
      <w:pPr>
        <w:rPr>
          <w:noProof/>
        </w:rPr>
      </w:pPr>
      <w:r>
        <w:rPr>
          <w:noProof/>
        </w:rPr>
        <w:t>Forslaget er en del af foranstaltningerne som reaktion på den nuværende covid-19-pandemi. Det bygger på et eksisterende politisk instrument. Ved at udvide anvendelsesområdet for den nuværende Solidaritetsfond lukker det et hul i den nuværende lovgivning og giver mulighed for omfattende EU-foranstaltninger som reaktion på større folkesundhedskriser. Overensstemmelse med andre EU-politikker, navnlig samhørighedspolitikken, sikres gennem en række lovbestemmelser, der bl.a. udelukker dobbeltfinansiering og kræver overholdelse af reglerne for offentlige indkøb og princippet om forsvarlig økonomisk forvaltning.</w:t>
      </w:r>
    </w:p>
    <w:p>
      <w:pPr>
        <w:pStyle w:val="ManualHeading1"/>
        <w:rPr>
          <w:noProof/>
        </w:rPr>
      </w:pPr>
      <w:r>
        <w:rPr>
          <w:noProof/>
        </w:rPr>
        <w:t>2.</w:t>
      </w:r>
      <w:r>
        <w:rPr>
          <w:noProof/>
        </w:rPr>
        <w:tab/>
        <w:t>RETSGRUNDLAG, NÆRHEDSPRINCIPPET OG PROPORTIONALITETSPRINCIPPET</w:t>
      </w:r>
    </w:p>
    <w:p>
      <w:pPr>
        <w:pStyle w:val="ManualHeading2"/>
        <w:rPr>
          <w:rFonts w:eastAsia="Arial Unicode MS"/>
          <w:noProof/>
          <w:u w:color="000000"/>
          <w:bdr w:val="nil"/>
        </w:rPr>
      </w:pPr>
      <w:r>
        <w:rPr>
          <w:noProof/>
          <w:u w:color="000000"/>
          <w:bdr w:val="nil"/>
        </w:rPr>
        <w:t>•</w:t>
      </w:r>
      <w:r>
        <w:rPr>
          <w:noProof/>
          <w:u w:color="000000"/>
          <w:bdr w:val="nil"/>
        </w:rPr>
        <w:tab/>
        <w:t>Retsgrundlag</w:t>
      </w:r>
    </w:p>
    <w:p>
      <w:pPr>
        <w:pBdr>
          <w:top w:val="nil"/>
          <w:left w:val="nil"/>
          <w:bottom w:val="nil"/>
          <w:right w:val="nil"/>
          <w:between w:val="nil"/>
          <w:bar w:val="nil"/>
        </w:pBdr>
        <w:spacing w:before="0" w:after="240"/>
        <w:rPr>
          <w:rFonts w:eastAsia="Arial Unicode MS"/>
          <w:noProof/>
        </w:rPr>
      </w:pPr>
      <w:r>
        <w:rPr>
          <w:noProof/>
        </w:rPr>
        <w:t>Da der er tale om en ændring af den eksisterende forordning, følger den de bestemmelser, der udgør retsgrundlaget for forordning (EF) nr. 2012/2002, dvs. artikel 175 i traktaten om Den Europæiske Unions funktionsmåde (TEUF) og artikel 212 i TEUF for så vidt angår de lande, der i øjeblikket forhandler om tiltrædelse af EU.</w:t>
      </w:r>
    </w:p>
    <w:p>
      <w:pPr>
        <w:pStyle w:val="ManualHeading2"/>
        <w:rPr>
          <w:rFonts w:eastAsia="Arial Unicode MS"/>
          <w:noProof/>
          <w:u w:color="000000"/>
          <w:bdr w:val="nil"/>
        </w:rPr>
      </w:pPr>
      <w:r>
        <w:rPr>
          <w:noProof/>
          <w:u w:color="000000"/>
          <w:bdr w:val="nil"/>
        </w:rPr>
        <w:lastRenderedPageBreak/>
        <w:t>•</w:t>
      </w:r>
      <w:r>
        <w:rPr>
          <w:noProof/>
          <w:u w:color="000000"/>
          <w:bdr w:val="nil"/>
        </w:rPr>
        <w:tab/>
        <w:t xml:space="preserve">Nærhedsprincippet (for områder, der ikke er omfattet af enekompetence) </w:t>
      </w:r>
    </w:p>
    <w:p>
      <w:pPr>
        <w:rPr>
          <w:noProof/>
        </w:rPr>
      </w:pPr>
      <w:r>
        <w:rPr>
          <w:noProof/>
        </w:rPr>
        <w:t>Forslaget har til formål at udvide anvendelsesområdet for Solidaritetsfonden for at vise europæisk solidaritet med medlemsstaterne ved at yde bistand fra fonden med henblik på at hjælpe den berørte befolkning, bidrage til en hurtig tilbagevenden til normale levevilkår i de berørte regioner og til at dæmme op for spredningen af infektionssygdomme.</w:t>
      </w:r>
    </w:p>
    <w:p>
      <w:pPr>
        <w:rPr>
          <w:noProof/>
        </w:rPr>
      </w:pPr>
      <w:r>
        <w:rPr>
          <w:noProof/>
        </w:rPr>
        <w:t xml:space="preserve">Solidaritetsfonden er baseret på nærhedsprincippet. Dette betyder, at EU kun bør gribe ind i tilfælde, hvor en medlemsstat anses for ikke længere at være i stand til at håndtere en krise alene og behøver bistand. Lovgiveren var af den opfattelse, at der ved naturkatastrofer er tale om en sådan situation, når den samlede direkte skade overstiger en vis tærskel. Økonomisk efterfølgende skade medregnes ikke, da det anses for at være for komplekst at fastlægge på en hurtig, pålidelig og sammenlignelig måde. Tærsklen for naturkatastrofer blev derfor fastsat til direkte skade, der overstiger 0,6 % af bruttonationalindkomsten (BNI) eller 3 mia. EUR (i 2011-priser), hvor det laveste af disse beløb finder anvendelse. Dette dobbelte kriterium blev valgt, fordi et enkelt fast beløb ikke ville afspejle de store forskelle i medlemsstaternes økonomiske styrke (og dermed deres budgetmæssige beredskabskapacitet) og ville føre til stor uretfærdighed og ulige behandling af medlemsstaterne. En fælles procentdel vil føre til enten ekstremt lave beløb for de mindre medlemsstater eller en uopnåelig høj tærskel for de største økonomier. </w:t>
      </w:r>
    </w:p>
    <w:p>
      <w:pPr>
        <w:rPr>
          <w:noProof/>
        </w:rPr>
      </w:pPr>
      <w:r>
        <w:rPr>
          <w:noProof/>
        </w:rPr>
        <w:t xml:space="preserve">I tilfælde af større sundhedskriser er det næppe muligt at foretage et skøn over den direkte skade. Derfor kan der ikke anlægges samme tilgang som for naturkatastrofer. I stedet foreslår Kommissionen at lægge den økonomiske byrde på medlemsstaternes budgetter for at imødekomme de yderligere behov. Dette svarer i store træk til den offentlige andel af direkte skade, der er støtteberettiget ved naturkatastrofer, eksempelvis udgifter til offentlig infrastruktur, bistand til befolkningen, redningstjenester mv. Denne støtteberettigede offentlige andel af den samlede skade varierer meget alt afhængigt af, hvilken katastrofe og hvilket land der er tale om. Den udgør i gennemsnit ca. 50 % af den samlede skade. </w:t>
      </w:r>
    </w:p>
    <w:p>
      <w:pPr>
        <w:rPr>
          <w:noProof/>
        </w:rPr>
      </w:pPr>
      <w:r>
        <w:rPr>
          <w:noProof/>
        </w:rPr>
        <w:t xml:space="preserve">Kommissionen foreslår derfor at bibeholde de principper, der ligger til grund for adgangen til Solidaritetsfonden. Dette indebærer, at 0,3 % af BNI eller 1,5 mia. EUR i 2011-priser — alt efter hvilket beløb der er lavest — dvs. halvdelen af beløbet for naturkatastrofer, defineres som minimumsniveau for offentlige udgifter i forbindelse med den </w:t>
      </w:r>
      <w:r>
        <w:rPr>
          <w:noProof/>
          <w:sz w:val="23"/>
          <w:szCs w:val="23"/>
        </w:rPr>
        <w:t>offentlige finansielle byrde, som den støtteberettigede stat påføres som følge af beredskabsforanstaltninger</w:t>
      </w:r>
      <w:r>
        <w:rPr>
          <w:noProof/>
        </w:rPr>
        <w:t>.</w:t>
      </w:r>
    </w:p>
    <w:p>
      <w:pPr>
        <w:pStyle w:val="ListBullet1"/>
        <w:rPr>
          <w:b/>
          <w:noProof/>
        </w:rPr>
      </w:pPr>
      <w:r>
        <w:rPr>
          <w:b/>
          <w:noProof/>
        </w:rPr>
        <w:t>Proportionalitetsprincippet</w:t>
      </w:r>
    </w:p>
    <w:p>
      <w:pPr>
        <w:rPr>
          <w:noProof/>
        </w:rPr>
      </w:pPr>
      <w:r>
        <w:rPr>
          <w:noProof/>
        </w:rPr>
        <w:t>Forslaget overholder proportionalitetsprincippet. Det går ikke videre end, hvad der er nødvendigt for at nå de mål, der allerede er fastlagt i det nuværende instrument.</w:t>
      </w:r>
    </w:p>
    <w:p>
      <w:pPr>
        <w:pStyle w:val="ListBullet1"/>
        <w:ind w:left="1135" w:hanging="284"/>
        <w:rPr>
          <w:b/>
          <w:noProof/>
        </w:rPr>
      </w:pPr>
      <w:r>
        <w:rPr>
          <w:b/>
          <w:noProof/>
        </w:rPr>
        <w:t>Valg af retsakt</w:t>
      </w:r>
    </w:p>
    <w:p>
      <w:pPr>
        <w:rPr>
          <w:rFonts w:eastAsia="Arial Unicode MS"/>
          <w:noProof/>
        </w:rPr>
      </w:pPr>
      <w:r>
        <w:rPr>
          <w:noProof/>
        </w:rPr>
        <w:t>Det foreslås at ændre forordning (EF) nr. 2012/2002 for at gøre brug af de fastlagte procedurer og den fastlagte praksis med henblik på at udarbejde og vurdere ansøgninger om bistand og gennemføre og rapportere om støtten.</w:t>
      </w:r>
    </w:p>
    <w:p>
      <w:pPr>
        <w:pStyle w:val="ManualHeading1"/>
        <w:rPr>
          <w:noProof/>
        </w:rPr>
      </w:pPr>
      <w:r>
        <w:rPr>
          <w:noProof/>
        </w:rPr>
        <w:t>3.</w:t>
      </w:r>
      <w:r>
        <w:rPr>
          <w:noProof/>
        </w:rPr>
        <w:tab/>
        <w:t>RESULTATER AF EFTERFØLGENDE EVALUERINGER, HØRINGER AF INTERESSEREDE PARTER OG KONSEKVENSANALYSER</w:t>
      </w:r>
    </w:p>
    <w:p>
      <w:pPr>
        <w:pStyle w:val="ManualHeading2"/>
        <w:rPr>
          <w:rFonts w:eastAsia="Arial Unicode MS"/>
          <w:noProof/>
          <w:u w:color="000000"/>
          <w:bdr w:val="nil"/>
        </w:rPr>
      </w:pPr>
      <w:r>
        <w:rPr>
          <w:noProof/>
          <w:u w:color="000000"/>
          <w:bdr w:val="nil"/>
        </w:rPr>
        <w:t>•</w:t>
      </w:r>
      <w:r>
        <w:rPr>
          <w:noProof/>
          <w:u w:color="000000"/>
          <w:bdr w:val="nil"/>
        </w:rPr>
        <w:tab/>
        <w:t>Efterfølgende evalueringer/kvalitetskontrol af gældende lovgivning</w:t>
      </w:r>
    </w:p>
    <w:p>
      <w:pPr>
        <w:rPr>
          <w:b/>
          <w:noProof/>
        </w:rPr>
      </w:pPr>
      <w:r>
        <w:rPr>
          <w:noProof/>
        </w:rPr>
        <w:t xml:space="preserve">I den efterfølgende evaluering 2002-2017 blev det konkluderet, at fonden er et værdifuldt instrument i EU's værktøjskasse til at gribe ind ved katastrofesituationer, hvilket bibringer EU-merværdi til indsatsen efter katastrofer i medlemsstaterne og tiltrædelseslandene. I </w:t>
      </w:r>
      <w:r>
        <w:rPr>
          <w:noProof/>
        </w:rPr>
        <w:lastRenderedPageBreak/>
        <w:t>evalueringen opfordres der også til, at der tages yderligere hensyn til politiske tiltag, der udvider fondens muligheder for at gribe ind.</w:t>
      </w:r>
    </w:p>
    <w:p>
      <w:pPr>
        <w:pStyle w:val="ListBullet1"/>
        <w:rPr>
          <w:b/>
          <w:noProof/>
        </w:rPr>
      </w:pPr>
      <w:r>
        <w:rPr>
          <w:b/>
          <w:noProof/>
        </w:rPr>
        <w:t xml:space="preserve">Høringer af interesserede parter </w:t>
      </w:r>
    </w:p>
    <w:p>
      <w:pPr>
        <w:rPr>
          <w:noProof/>
        </w:rPr>
      </w:pPr>
      <w:r>
        <w:rPr>
          <w:noProof/>
        </w:rPr>
        <w:t>På grund af det presserende behov for at udarbejde forslaget, således at det kan vedtages i tide af medlovgiverne, kunne der ikke gennemføres en høring af de berørte parter.</w:t>
      </w:r>
    </w:p>
    <w:p>
      <w:pPr>
        <w:pStyle w:val="ListBullet1"/>
        <w:rPr>
          <w:b/>
          <w:noProof/>
        </w:rPr>
      </w:pPr>
      <w:r>
        <w:rPr>
          <w:b/>
          <w:noProof/>
        </w:rPr>
        <w:t xml:space="preserve">• Konsekvensanalyse </w:t>
      </w:r>
    </w:p>
    <w:p>
      <w:pPr>
        <w:pBdr>
          <w:top w:val="nil"/>
          <w:left w:val="nil"/>
          <w:bottom w:val="nil"/>
          <w:right w:val="nil"/>
          <w:between w:val="nil"/>
          <w:bar w:val="nil"/>
        </w:pBdr>
        <w:spacing w:before="0" w:after="240"/>
        <w:rPr>
          <w:rFonts w:eastAsia="Arial Unicode MS"/>
          <w:noProof/>
        </w:rPr>
      </w:pPr>
      <w:r>
        <w:rPr>
          <w:noProof/>
        </w:rPr>
        <w:t>På grund af forslagets hastende karakter blev der ikke foretaget nogen konsekvensanalyse.</w:t>
      </w:r>
    </w:p>
    <w:p>
      <w:pPr>
        <w:pStyle w:val="ManualHeading1"/>
        <w:rPr>
          <w:noProof/>
        </w:rPr>
      </w:pPr>
      <w:r>
        <w:rPr>
          <w:noProof/>
        </w:rPr>
        <w:t>4.</w:t>
      </w:r>
      <w:r>
        <w:rPr>
          <w:noProof/>
        </w:rPr>
        <w:tab/>
        <w:t>VIRKNINGER FOR BUDGETTET</w:t>
      </w:r>
    </w:p>
    <w:p>
      <w:pPr>
        <w:rPr>
          <w:noProof/>
        </w:rPr>
      </w:pPr>
      <w:r>
        <w:rPr>
          <w:noProof/>
        </w:rPr>
        <w:t xml:space="preserve">Forslaget forbliver i overensstemmelse med den eksisterende Solidaritetsfond ved at yde finansiel bistand til øjeblikkelig hjælp efter anmodning fra en medlemsstat eller et kandidatland. </w:t>
      </w:r>
    </w:p>
    <w:p>
      <w:pPr>
        <w:rPr>
          <w:noProof/>
        </w:rPr>
      </w:pPr>
      <w:r>
        <w:rPr>
          <w:noProof/>
        </w:rPr>
        <w:t>Kommissionen foreslår derfor, at niveauet for forskudsbetalinger ved individuelle katastrofer i alle kategorier hæves til 25 % af det forventede tilskud fra Solidaritetsfonden, dog højst 100 mio. EUR.</w:t>
      </w:r>
    </w:p>
    <w:p>
      <w:pPr>
        <w:rPr>
          <w:noProof/>
        </w:rPr>
      </w:pPr>
      <w:r>
        <w:rPr>
          <w:noProof/>
        </w:rPr>
        <w:t>Kommissionen foreslår desuden at hæve det samlede bevillingsniveau for forskudsbetalinger til Solidaritetsfonden i det årlige budget fra 50 mio. EUR til 100 mio. EUR. For at sikre, at midlerne ved behov er tilgængelige i rette tid, vil Kommissionen foreslå, at der i budgettet for 2020 opføres supplerende bevillinger på op til 50 mio. EUR.</w:t>
      </w:r>
    </w:p>
    <w:p>
      <w:pPr>
        <w:pBdr>
          <w:top w:val="nil"/>
          <w:left w:val="nil"/>
          <w:bottom w:val="nil"/>
          <w:right w:val="nil"/>
          <w:between w:val="nil"/>
          <w:bar w:val="nil"/>
        </w:pBdr>
        <w:spacing w:before="0" w:after="240"/>
        <w:rPr>
          <w:rFonts w:eastAsia="Arial Unicode MS"/>
          <w:noProof/>
        </w:rPr>
      </w:pPr>
      <w:r>
        <w:rPr>
          <w:noProof/>
        </w:rPr>
        <w:t>Den finansielle ramme for fonden følger også den eksisterende Solidaritetsfond med et årligt beløb på 500 mio. EUR (i 2011-priser). I hvert tilfælde frigøres det bistandsbeløb, der er nødvendigt, ved hjælp af et ændringsbudget. Som hidtil vil mindst en fjerdedel af dette årlige beløb hvert år den 1. oktober fortsat være til rådighed for at dække de behov, der måtte opstå indtil årets udgang.</w:t>
      </w:r>
    </w:p>
    <w:p>
      <w:pPr>
        <w:pStyle w:val="ManualHeading1"/>
        <w:rPr>
          <w:noProof/>
        </w:rPr>
      </w:pPr>
      <w:r>
        <w:rPr>
          <w:noProof/>
        </w:rPr>
        <w:t>5.</w:t>
      </w:r>
      <w:r>
        <w:rPr>
          <w:noProof/>
        </w:rPr>
        <w:tab/>
        <w:t>ANDRE FORHOLD</w:t>
      </w:r>
    </w:p>
    <w:p>
      <w:pPr>
        <w:pStyle w:val="ManualHeading2"/>
        <w:rPr>
          <w:rFonts w:eastAsia="Arial Unicode MS"/>
          <w:noProof/>
          <w:u w:color="000000"/>
          <w:bdr w:val="nil"/>
        </w:rPr>
      </w:pPr>
      <w:r>
        <w:rPr>
          <w:noProof/>
          <w:u w:color="000000"/>
          <w:bdr w:val="nil"/>
        </w:rPr>
        <w:t>•</w:t>
      </w:r>
      <w:r>
        <w:rPr>
          <w:noProof/>
          <w:u w:color="000000"/>
          <w:bdr w:val="nil"/>
        </w:rPr>
        <w:tab/>
        <w:t>Planer for gennemførelsen og foranstaltninger til overvågning, evaluering og rapportering</w:t>
      </w:r>
    </w:p>
    <w:p>
      <w:pPr>
        <w:pBdr>
          <w:top w:val="nil"/>
          <w:left w:val="nil"/>
          <w:bottom w:val="nil"/>
          <w:right w:val="nil"/>
          <w:between w:val="nil"/>
          <w:bar w:val="nil"/>
        </w:pBdr>
        <w:spacing w:before="0" w:after="240"/>
        <w:rPr>
          <w:rFonts w:eastAsia="Arial Unicode MS"/>
          <w:noProof/>
        </w:rPr>
      </w:pPr>
      <w:r>
        <w:rPr>
          <w:noProof/>
        </w:rPr>
        <w:t>Der er behov for maksimal gennemsigtighed og behørig overvågning af anvendelsen af EU's finansielle midler. Medlemsstaternes og Kommissionens rapporteringsforpligtelser finder anvendelse som fastsat i forordning (EF) nr. 2012/2002.</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2020/0044 (COD)</w:t>
      </w:r>
    </w:p>
    <w:p>
      <w:pPr>
        <w:pStyle w:val="Statut"/>
        <w:rPr>
          <w:noProof/>
        </w:rPr>
      </w:pPr>
      <w:r>
        <w:rPr>
          <w:noProof/>
        </w:rPr>
        <w:t>Forslag til</w:t>
      </w:r>
    </w:p>
    <w:p>
      <w:pPr>
        <w:pStyle w:val="Typedudocument"/>
        <w:rPr>
          <w:noProof/>
        </w:rPr>
      </w:pPr>
      <w:r>
        <w:rPr>
          <w:noProof/>
        </w:rPr>
        <w:t>EUROPA-PARLAMENTETS OG RÅDETS FORORDNING</w:t>
      </w:r>
    </w:p>
    <w:p>
      <w:pPr>
        <w:pStyle w:val="Titreobjet"/>
        <w:rPr>
          <w:noProof/>
        </w:rPr>
      </w:pPr>
      <w:r>
        <w:rPr>
          <w:noProof/>
        </w:rPr>
        <w:t>om ændring af Rådets forordning (EF) nr. 2012/2002 med henblik på at yde finansiel bistand til medlemsstater og lande, der forhandler om tiltrædelse af Unionen, og som er alvorligt berørt af en større folkesundhedskrise</w:t>
      </w:r>
    </w:p>
    <w:p>
      <w:pPr>
        <w:pStyle w:val="Institutionquiagit"/>
        <w:rPr>
          <w:noProof/>
        </w:rPr>
      </w:pPr>
      <w:r>
        <w:rPr>
          <w:noProof/>
        </w:rPr>
        <w:t>EUROPA-PARLAMENTET OG RÅDET FOR DEN EUROPÆISKE UNION HAR —</w:t>
      </w:r>
    </w:p>
    <w:p>
      <w:pPr>
        <w:rPr>
          <w:noProof/>
        </w:rPr>
      </w:pPr>
      <w:r>
        <w:rPr>
          <w:noProof/>
        </w:rPr>
        <w:t>under henvisning til traktaten om Den Europæiske Unions funktionsmåde, særlig artikel 175, stk. 3, og artikel 212, stk. 2,</w:t>
      </w:r>
    </w:p>
    <w:p>
      <w:pPr>
        <w:rPr>
          <w:noProof/>
        </w:rPr>
      </w:pPr>
      <w:r>
        <w:rPr>
          <w:noProof/>
        </w:rPr>
        <w:t>under henvisning til forslag fra Europa-Kommissionen,</w:t>
      </w:r>
    </w:p>
    <w:p>
      <w:pPr>
        <w:rPr>
          <w:noProof/>
        </w:rPr>
      </w:pPr>
      <w:r>
        <w:rPr>
          <w:noProof/>
        </w:rPr>
        <w:t>efter fremsendelse af udkast til lovgivningsmæssig retsakt til de nationale parlamenter,</w:t>
      </w:r>
    </w:p>
    <w:p>
      <w:pPr>
        <w:rPr>
          <w:noProof/>
        </w:rPr>
      </w:pPr>
      <w:r>
        <w:rPr>
          <w:noProof/>
        </w:rPr>
        <w:t>under henvisning til udtalelse fra Det Europæiske Økonomiske og Sociale Udvalg</w:t>
      </w:r>
      <w:r>
        <w:rPr>
          <w:rStyle w:val="FootnoteReference"/>
          <w:noProof/>
        </w:rPr>
        <w:footnoteReference w:id="1"/>
      </w:r>
      <w:r>
        <w:rPr>
          <w:noProof/>
        </w:rPr>
        <w:t>,</w:t>
      </w:r>
    </w:p>
    <w:p>
      <w:pPr>
        <w:rPr>
          <w:noProof/>
        </w:rPr>
      </w:pPr>
      <w:r>
        <w:rPr>
          <w:noProof/>
        </w:rPr>
        <w:t>under henvisning til udtalelse fra Regionsudvalget</w:t>
      </w:r>
      <w:r>
        <w:rPr>
          <w:rStyle w:val="FootnoteReference"/>
          <w:noProof/>
        </w:rPr>
        <w:footnoteReference w:id="2"/>
      </w:r>
      <w:r>
        <w:rPr>
          <w:noProof/>
        </w:rPr>
        <w:t>,</w:t>
      </w:r>
    </w:p>
    <w:p>
      <w:pPr>
        <w:rPr>
          <w:noProof/>
        </w:rPr>
      </w:pPr>
      <w:r>
        <w:rPr>
          <w:noProof/>
        </w:rPr>
        <w:t>efter den almindelige lovgivningsprocedure, og</w:t>
      </w:r>
    </w:p>
    <w:p>
      <w:pPr>
        <w:rPr>
          <w:noProof/>
        </w:rPr>
      </w:pPr>
      <w:r>
        <w:rPr>
          <w:noProof/>
        </w:rPr>
        <w:t>ud fra følgende betragtninger:</w:t>
      </w:r>
    </w:p>
    <w:p>
      <w:pPr>
        <w:pStyle w:val="ManualConsidrant"/>
        <w:rPr>
          <w:noProof/>
        </w:rPr>
      </w:pPr>
      <w:r>
        <w:t>(1)</w:t>
      </w:r>
      <w:r>
        <w:tab/>
      </w:r>
      <w:r>
        <w:rPr>
          <w:noProof/>
        </w:rPr>
        <w:t>Den Europæiske Unions Solidaritetsfond ("fonden") blev oprettet ved Rådets forordning (EF) nr. 2012/2002</w:t>
      </w:r>
      <w:r>
        <w:rPr>
          <w:rStyle w:val="FootnoteReference"/>
          <w:noProof/>
        </w:rPr>
        <w:footnoteReference w:id="3"/>
      </w:r>
      <w:r>
        <w:rPr>
          <w:noProof/>
        </w:rPr>
        <w:t>. Fonden blev oprettet for at yde finansiel bistand til medlemsstater efter større katastrofer som et konkret tegn på europæisk solidaritet i tilfælde af kriser.</w:t>
      </w:r>
    </w:p>
    <w:p>
      <w:pPr>
        <w:pStyle w:val="ManualConsidrant"/>
        <w:rPr>
          <w:noProof/>
        </w:rPr>
      </w:pPr>
      <w:r>
        <w:t>(2)</w:t>
      </w:r>
      <w:r>
        <w:tab/>
      </w:r>
      <w:r>
        <w:rPr>
          <w:noProof/>
        </w:rPr>
        <w:t>I tilfælde af større folkesundhedskriser bør Unionen vise solidaritet med medlemsstaterne og den berørte befolkning ved at yde finansiel bistand til at bistå den pågældende befolkning, bidrage til en hurtig tilbagevenden til normale levevilkår i de berørte regioner og til at dæmme op for spredningen af infektionssygdomme.</w:t>
      </w:r>
    </w:p>
    <w:p>
      <w:pPr>
        <w:pStyle w:val="ManualConsidrant"/>
        <w:rPr>
          <w:noProof/>
        </w:rPr>
      </w:pPr>
      <w:r>
        <w:t>(3)</w:t>
      </w:r>
      <w:r>
        <w:tab/>
      </w:r>
      <w:r>
        <w:rPr>
          <w:noProof/>
        </w:rPr>
        <w:t>Unionen bør i tilfælde af større folkesundhedskriser også udvise solidaritet med de lande, der forhandler om tiltrædelse af Den Europæiske Union.</w:t>
      </w:r>
    </w:p>
    <w:p>
      <w:pPr>
        <w:pStyle w:val="ManualConsidrant"/>
        <w:rPr>
          <w:noProof/>
        </w:rPr>
      </w:pPr>
      <w:r>
        <w:t>(4)</w:t>
      </w:r>
      <w:r>
        <w:tab/>
      </w:r>
      <w:r>
        <w:rPr>
          <w:noProof/>
        </w:rPr>
        <w:t>Der kan opstå en større krisesituation som følge af folkesundhedskriser, navnlig en officielt erklæret viruspandemi. Fonden gør det muligt for Unionen at bidrage til at mobilisere nødhjælp for at opfylde befolkningens umiddelbare behov og bidrage til at genoprette den beskadigede nøgleinfrastruktur på kort sigt, således at den økonomiske aktivitet kan genoptages i de katastroferamte regioner. Fonden er dog i øjeblikket begrænset til naturkatastrofer, der forårsager fysiske skader, og omfatter ikke større katastrofer som følge af biologiske farer. Der bør fastsættes bestemmelser, der gør det muligt for Unionen at gribe ind i tilfælde af større folkesundhedskriser.</w:t>
      </w:r>
    </w:p>
    <w:p>
      <w:pPr>
        <w:pStyle w:val="ManualConsidrant"/>
        <w:rPr>
          <w:noProof/>
        </w:rPr>
      </w:pPr>
      <w:r>
        <w:t>(5)</w:t>
      </w:r>
      <w:r>
        <w:tab/>
      </w:r>
      <w:r>
        <w:rPr>
          <w:noProof/>
        </w:rPr>
        <w:t xml:space="preserve">Formålet med de foranstaltninger, der skal iværksættes, er at supplere de berørte staters indsats i tilfælde, hvor virkningerne af en krisesituation er så alvorlige, at de pågældende stater ikke formår at imødegå situationen udelukkende med deres egne </w:t>
      </w:r>
      <w:r>
        <w:rPr>
          <w:noProof/>
        </w:rPr>
        <w:lastRenderedPageBreak/>
        <w:t>midler. Eftersom dette mål ikke i tilstrækkelig grad kan opfyldes af medlemsstaterne og på grund af foranstaltningernes omfang derfor bedre kan nås på EU-plan, kan Unionen vedtage foranstaltninger i overensstemmelse med nærhedsprincippet, jf. traktatens artikel 5. I overensstemmelse med proportionalitetsprincippet, jf. nævnte artikel, går denne forordning ikke videre, end hvad der er nødvendigt for at nå disse mål.</w:t>
      </w:r>
    </w:p>
    <w:p>
      <w:pPr>
        <w:pStyle w:val="ManualConsidrant"/>
        <w:rPr>
          <w:noProof/>
        </w:rPr>
      </w:pPr>
      <w:r>
        <w:t>(6)</w:t>
      </w:r>
      <w:r>
        <w:tab/>
      </w:r>
      <w:r>
        <w:rPr>
          <w:noProof/>
        </w:rPr>
        <w:t>I overensstemmelse med nærhedsprincippet bør foranstaltninger i henhold til denne forordning være begrænset til større folkesundhedskriser. Disse bør defineres ud fra de offentlige udgifter, der er nødvendige for at afhjælpe dem.</w:t>
      </w:r>
    </w:p>
    <w:p>
      <w:pPr>
        <w:pStyle w:val="ManualConsidrant"/>
        <w:rPr>
          <w:noProof/>
        </w:rPr>
      </w:pPr>
      <w:r>
        <w:t>(7)</w:t>
      </w:r>
      <w:r>
        <w:tab/>
      </w:r>
      <w:r>
        <w:rPr>
          <w:noProof/>
        </w:rPr>
        <w:t>EU-bidrag bør være et supplement til de berørte landes egen indsats og anvendes til at dække en del af det offentliges udgifter til at håndtere de vigtigste nødhjælpstiltag som følge af nødsituationen.</w:t>
      </w:r>
    </w:p>
    <w:p>
      <w:pPr>
        <w:pStyle w:val="ManualConsidrant"/>
        <w:rPr>
          <w:noProof/>
        </w:rPr>
      </w:pPr>
      <w:r>
        <w:t>(8)</w:t>
      </w:r>
      <w:r>
        <w:tab/>
      </w:r>
      <w:r>
        <w:rPr>
          <w:noProof/>
        </w:rPr>
        <w:t>I overensstemmelse med nærhedsprincippet bør EU-bidrag kun blive tildelt efter ansøgning fra den berørte stat. Kommissionen bør sikre, at staternes anmodninger behandles retfærdigt.</w:t>
      </w:r>
    </w:p>
    <w:p>
      <w:pPr>
        <w:pStyle w:val="ManualConsidrant"/>
        <w:rPr>
          <w:noProof/>
          <w:szCs w:val="24"/>
        </w:rPr>
      </w:pPr>
      <w:r>
        <w:t>(9)</w:t>
      </w:r>
      <w:r>
        <w:tab/>
      </w:r>
      <w:r>
        <w:rPr>
          <w:noProof/>
        </w:rPr>
        <w:t>Kommissionen bør være i stand til at træffe en hurtig afgørelse om at afsætte specifikke finansielle midler og om at frigøre dem så hurtigt som muligt. De nuværende bestemmelser om forskudsbetalinger bør derfor styrkes ved at hæve beløbet.</w:t>
      </w:r>
    </w:p>
    <w:p>
      <w:pPr>
        <w:pStyle w:val="ManualConsidrant"/>
        <w:rPr>
          <w:noProof/>
        </w:rPr>
      </w:pPr>
      <w:r>
        <w:t>(10)</w:t>
      </w:r>
      <w:r>
        <w:tab/>
      </w:r>
      <w:r>
        <w:rPr>
          <w:noProof/>
        </w:rPr>
        <w:t xml:space="preserve">På grund af sagens hastende karakter bør denne forordning træde i kraft dagen efter offentliggørelsen i </w:t>
      </w:r>
      <w:r>
        <w:rPr>
          <w:i/>
          <w:noProof/>
        </w:rPr>
        <w:t>Den Europæiske Unions Tidende</w:t>
      </w:r>
      <w:r>
        <w:rPr>
          <w:noProof/>
        </w:rPr>
        <w:t>.</w:t>
      </w:r>
    </w:p>
    <w:p>
      <w:pPr>
        <w:pStyle w:val="ManualConsidrant"/>
        <w:rPr>
          <w:noProof/>
        </w:rPr>
      </w:pPr>
      <w:r>
        <w:t>(11)</w:t>
      </w:r>
      <w:r>
        <w:tab/>
      </w:r>
      <w:r>
        <w:rPr>
          <w:noProof/>
        </w:rPr>
        <w:t>Forordning (EF) nr. 2012/2002 bør derfor ændres —</w:t>
      </w:r>
    </w:p>
    <w:p>
      <w:pPr>
        <w:pStyle w:val="Formuledadoption"/>
        <w:rPr>
          <w:noProof/>
        </w:rPr>
      </w:pPr>
      <w:r>
        <w:rPr>
          <w:noProof/>
        </w:rPr>
        <w:t>VEDTAGET DENNE FORORDNING:</w:t>
      </w:r>
    </w:p>
    <w:p>
      <w:pPr>
        <w:pStyle w:val="Titrearticle"/>
        <w:rPr>
          <w:noProof/>
        </w:rPr>
      </w:pPr>
      <w:r>
        <w:rPr>
          <w:noProof/>
        </w:rPr>
        <w:t>Artikel 1</w:t>
      </w:r>
    </w:p>
    <w:p>
      <w:pPr>
        <w:rPr>
          <w:noProof/>
        </w:rPr>
      </w:pPr>
      <w:r>
        <w:rPr>
          <w:noProof/>
        </w:rPr>
        <w:t xml:space="preserve">Forordning (EF) nr. 2012/2002 ændres således: </w:t>
      </w:r>
    </w:p>
    <w:p>
      <w:pPr>
        <w:pStyle w:val="ManualNumPar1"/>
        <w:rPr>
          <w:noProof/>
        </w:rPr>
      </w:pPr>
      <w:r>
        <w:t>1.</w:t>
      </w:r>
      <w:r>
        <w:tab/>
      </w:r>
      <w:r>
        <w:rPr>
          <w:noProof/>
        </w:rPr>
        <w:t xml:space="preserve">Artikel 2 affattes således: </w:t>
      </w:r>
    </w:p>
    <w:p>
      <w:pPr>
        <w:pStyle w:val="Text1"/>
        <w:jc w:val="center"/>
        <w:rPr>
          <w:i/>
          <w:noProof/>
        </w:rPr>
      </w:pPr>
      <w:r>
        <w:rPr>
          <w:i/>
          <w:noProof/>
        </w:rPr>
        <w:t>"Artikel 2</w:t>
      </w:r>
    </w:p>
    <w:p>
      <w:pPr>
        <w:pStyle w:val="Point1"/>
        <w:rPr>
          <w:noProof/>
        </w:rPr>
      </w:pPr>
      <w:r>
        <w:rPr>
          <w:noProof/>
        </w:rPr>
        <w:t>1.</w:t>
      </w:r>
      <w:r>
        <w:rPr>
          <w:noProof/>
        </w:rPr>
        <w:tab/>
        <w:t>Efter anmodning fra en medlemsstat eller et land, med hvilket der føres forhandlinger om tiltrædelse af Unionen, i det følgende benævnt "støtteberettiget stat", kan der frigøres midler fra fonden, når der opstår alvorlige følgevirkninger for borgernes livsvilkår, menneskers sundhed, det naturlige miljø eller økonomien i en eller flere regioner i denne støtteberettigede stat som følge af en større eller en regional naturkatastrofe, der har fundet sted på denne støtteberettigede stats område, eller en større folkesundhedskrise, der har fundet sted på den støtteberettigede stats område.</w:t>
      </w:r>
    </w:p>
    <w:p>
      <w:pPr>
        <w:pStyle w:val="Text2"/>
        <w:rPr>
          <w:noProof/>
        </w:rPr>
      </w:pPr>
      <w:r>
        <w:rPr>
          <w:noProof/>
        </w:rPr>
        <w:t>Direkte skader, som er den direkte følge af en naturkatastrofe, betragtes som en del af de skader, der er forårsaget af denne naturkatastrofe.</w:t>
      </w:r>
    </w:p>
    <w:p>
      <w:pPr>
        <w:pStyle w:val="Point1"/>
        <w:rPr>
          <w:noProof/>
        </w:rPr>
      </w:pPr>
      <w:r>
        <w:rPr>
          <w:noProof/>
        </w:rPr>
        <w:t>2.</w:t>
      </w:r>
      <w:r>
        <w:rPr>
          <w:noProof/>
        </w:rPr>
        <w:tab/>
        <w:t xml:space="preserve">I denne forordning forstås ved en "større naturkatastrofe" en naturkatastrofe, som i en støtteberettiget stat medfører direkte skade, der vurderes til enten mere end 3 000 000 000 EUR i 2011-priser eller til mere end 0,6 % af statens BNI. </w:t>
      </w:r>
    </w:p>
    <w:p>
      <w:pPr>
        <w:pStyle w:val="Point1"/>
        <w:rPr>
          <w:noProof/>
        </w:rPr>
      </w:pPr>
      <w:r>
        <w:rPr>
          <w:noProof/>
        </w:rPr>
        <w:t>3.</w:t>
      </w:r>
      <w:r>
        <w:rPr>
          <w:noProof/>
        </w:rPr>
        <w:tab/>
        <w:t xml:space="preserve">I denne forordning forstås ved en "større folkesundhedskrise" enhver livstruende eller på anden vis alvorlig fare for sundheden af biologisk </w:t>
      </w:r>
      <w:r>
        <w:rPr>
          <w:noProof/>
        </w:rPr>
        <w:lastRenderedPageBreak/>
        <w:t xml:space="preserve">oprindelse i en støtteberettiget stat, der alvorligt påvirker menneskers sundhed, og som kræver øjeblikkelig handling for at dæmme op for yderligere spredning, </w:t>
      </w:r>
      <w:r>
        <w:rPr>
          <w:noProof/>
          <w:sz w:val="23"/>
          <w:szCs w:val="23"/>
        </w:rPr>
        <w:t>og som påfører den støtteberettigede medlemsstat en offentlig finansiel byrde svarende til over 1 500 000 000 EUR i 2011-priser eller mere end 0,3 % af dens BNI.</w:t>
      </w:r>
    </w:p>
    <w:p>
      <w:pPr>
        <w:pStyle w:val="Point1"/>
        <w:rPr>
          <w:noProof/>
        </w:rPr>
      </w:pPr>
      <w:r>
        <w:rPr>
          <w:noProof/>
        </w:rPr>
        <w:t>4.</w:t>
      </w:r>
      <w:r>
        <w:rPr>
          <w:noProof/>
        </w:rPr>
        <w:tab/>
        <w:t>I denne forordning forstås ved en "regional naturkatastrofe" en naturkatastrofe, som i en region på NUTS 2-niveau i en støtteberettiget stat medfører direkte skade, der overstiger 1,5 % af regionens bruttonationalprodukt (BNP). Når den berørte region, hvor en naturkatastrofe har fundet sted, er en region i den yderste periferi, jf. artikel 349 i traktaten om Den Europæiske Unions funktionsmåde, forstås som en undtagelse fra første afsnit ved "regional naturkatastrofe" enhver naturkatastrofe, som medfører direkte skade, der overstiger 1 % af BNP i den pågældende region. Når naturkatastrofen vedrører flere regioner på NUTS 2-niveau, anvendes tærskelværdien på det gennemsnitlige BNP i disse regioner, som vægtes efter andelen i den samlede skade i hver region.</w:t>
      </w:r>
    </w:p>
    <w:p>
      <w:pPr>
        <w:pStyle w:val="Point1"/>
        <w:rPr>
          <w:noProof/>
        </w:rPr>
      </w:pPr>
      <w:r>
        <w:rPr>
          <w:noProof/>
        </w:rPr>
        <w:t>5.</w:t>
      </w:r>
      <w:r>
        <w:rPr>
          <w:noProof/>
        </w:rPr>
        <w:tab/>
        <w:t xml:space="preserve">Der kan også frigøres midler fra fonden til naturkatastrofer i en støtteberettiget stat, der også er en større naturkatastrofe i en støtteberettiget nabostat. </w:t>
      </w:r>
    </w:p>
    <w:p>
      <w:pPr>
        <w:pStyle w:val="Point1"/>
        <w:rPr>
          <w:noProof/>
        </w:rPr>
      </w:pPr>
      <w:r>
        <w:rPr>
          <w:noProof/>
        </w:rPr>
        <w:t>6.</w:t>
      </w:r>
      <w:r>
        <w:rPr>
          <w:noProof/>
        </w:rPr>
        <w:tab/>
        <w:t>Ved anvendelsen af denne artikel anvendes der harmoniserede statistiske data fra Eurostat."</w:t>
      </w:r>
    </w:p>
    <w:p>
      <w:pPr>
        <w:pStyle w:val="ManualNumPar1"/>
        <w:rPr>
          <w:noProof/>
        </w:rPr>
      </w:pPr>
      <w:r>
        <w:t>2.</w:t>
      </w:r>
      <w:r>
        <w:tab/>
      </w:r>
      <w:r>
        <w:rPr>
          <w:noProof/>
        </w:rPr>
        <w:t>Artikel 3, stk. 1 og 2, affattes således:</w:t>
      </w:r>
    </w:p>
    <w:p>
      <w:pPr>
        <w:pStyle w:val="Point1"/>
        <w:rPr>
          <w:noProof/>
        </w:rPr>
      </w:pPr>
      <w:r>
        <w:rPr>
          <w:noProof/>
        </w:rPr>
        <w:t>"1.</w:t>
      </w:r>
      <w:r>
        <w:rPr>
          <w:noProof/>
        </w:rPr>
        <w:tab/>
        <w:t>Støtten har form af et finansielt bidrag fra fonden. En støtteberettiget stat kan kun modtage et enkelt finansielt bidrag i forbindelse med en og samme støtteberettigede katastrofe.</w:t>
      </w:r>
    </w:p>
    <w:p>
      <w:pPr>
        <w:pStyle w:val="Point1"/>
        <w:rPr>
          <w:noProof/>
        </w:rPr>
      </w:pPr>
      <w:r>
        <w:rPr>
          <w:noProof/>
        </w:rPr>
        <w:t>2.</w:t>
      </w:r>
      <w:r>
        <w:rPr>
          <w:noProof/>
        </w:rPr>
        <w:tab/>
        <w:t xml:space="preserve">Fondens formål er at supplere de berørte staters egen indsats og dække en del af deres offentlige udgifter for at hjælpe den støtteberettigede stat med, alt efter den støtteberettigede katastrofes art, at gennemføre følgende påtrængende nødhjælps- og genopretningstiltag: </w:t>
      </w:r>
    </w:p>
    <w:p>
      <w:pPr>
        <w:pStyle w:val="Point1"/>
        <w:rPr>
          <w:noProof/>
        </w:rPr>
      </w:pPr>
      <w:r>
        <w:rPr>
          <w:noProof/>
        </w:rPr>
        <w:t>a)</w:t>
      </w:r>
      <w:r>
        <w:rPr>
          <w:noProof/>
        </w:rPr>
        <w:tab/>
        <w:t xml:space="preserve">udbedring af infrastruktur og faciliteter på energi-, vandforsynings-, spildevands-, telekommunikations-, transport-, sundheds- og undervisningsområdet </w:t>
      </w:r>
    </w:p>
    <w:p>
      <w:pPr>
        <w:pStyle w:val="Point1"/>
        <w:rPr>
          <w:noProof/>
        </w:rPr>
      </w:pPr>
      <w:r>
        <w:rPr>
          <w:noProof/>
        </w:rPr>
        <w:t>b)</w:t>
      </w:r>
      <w:r>
        <w:rPr>
          <w:noProof/>
        </w:rPr>
        <w:tab/>
        <w:t xml:space="preserve">midlertidig indkvartering og nødhjælp for at opfylde befolkningens behov </w:t>
      </w:r>
    </w:p>
    <w:p>
      <w:pPr>
        <w:pStyle w:val="Point1"/>
        <w:rPr>
          <w:noProof/>
        </w:rPr>
      </w:pPr>
      <w:r>
        <w:rPr>
          <w:noProof/>
        </w:rPr>
        <w:t>c)</w:t>
      </w:r>
      <w:r>
        <w:rPr>
          <w:noProof/>
        </w:rPr>
        <w:tab/>
        <w:t xml:space="preserve">sikring af forebyggende infrastrukturer og foranstaltninger til beskyttelse af kulturarven </w:t>
      </w:r>
    </w:p>
    <w:p>
      <w:pPr>
        <w:pStyle w:val="Point1"/>
        <w:rPr>
          <w:noProof/>
        </w:rPr>
      </w:pPr>
      <w:r>
        <w:rPr>
          <w:noProof/>
        </w:rPr>
        <w:t>d)</w:t>
      </w:r>
      <w:r>
        <w:rPr>
          <w:noProof/>
        </w:rPr>
        <w:tab/>
        <w:t xml:space="preserve">rensning af katastroferamte områder, herunder naturområder, når det er hensigtsmæssigt i overensstemmelse med økosystembaserede tilgange, samt omgående udbedring af berørte naturområder for at undgå umiddelbare virkninger af jorderosion </w:t>
      </w:r>
    </w:p>
    <w:p>
      <w:pPr>
        <w:pStyle w:val="Point1"/>
        <w:rPr>
          <w:noProof/>
        </w:rPr>
      </w:pPr>
      <w:r>
        <w:rPr>
          <w:noProof/>
        </w:rPr>
        <w:t>e)</w:t>
      </w:r>
      <w:r>
        <w:rPr>
          <w:noProof/>
        </w:rPr>
        <w:tab/>
        <w:t>foranstaltninger, der har til formål hurtigt at yde bistand, herunder lægehjælp, til den befolkning, der er berørt af en større folkesundhedskrise, og beskytte befolkningen mod risikoen for at blive berørt, herunder forebyggelse og overvågning af eller kontrol med spredning af sygdomme, bekæmpelse af alvorlige risici for folkesundheden eller afbødning af deres indvirkning på folkesundheden.</w:t>
      </w:r>
    </w:p>
    <w:p>
      <w:pPr>
        <w:pStyle w:val="Text1"/>
        <w:rPr>
          <w:noProof/>
        </w:rPr>
      </w:pPr>
      <w:r>
        <w:rPr>
          <w:noProof/>
        </w:rPr>
        <w:lastRenderedPageBreak/>
        <w:t xml:space="preserve">Med henblik på litra a) forstås ved "udbedring" genopretning af infrastruktur og faciliteter til deres tilstand før naturkatastrofen indtraf. Er det ikke juridisk muligt eller økonomisk berettiget at genoprette tilstanden fra før naturkatastrofen indtraf, eller beslutter modtagerstaten at flytte eller forbedre funktionen af den berørte infrastruktur eller de berørte faciliteter for at forbedre kapaciteten til at modstå fremtidige naturkatastrofer, kan fonden kun bidrage til genopretningsomkostningerne op til de anslåede udgifter til at genetablere den tidligere situation. </w:t>
      </w:r>
    </w:p>
    <w:p>
      <w:pPr>
        <w:pStyle w:val="Text1"/>
        <w:rPr>
          <w:noProof/>
        </w:rPr>
      </w:pPr>
      <w:r>
        <w:rPr>
          <w:noProof/>
        </w:rPr>
        <w:t xml:space="preserve">Omkostninger, der overstiger det i andet afsnit nævnte omkostningsniveau, finansieres af modtagerstaten med dens egne midler eller, hvor det er muligt, med andre EU-midler. </w:t>
      </w:r>
    </w:p>
    <w:p>
      <w:pPr>
        <w:pStyle w:val="Text1"/>
        <w:rPr>
          <w:noProof/>
        </w:rPr>
      </w:pPr>
      <w:r>
        <w:rPr>
          <w:noProof/>
        </w:rPr>
        <w:t>Med henblik på litra b) forstås ved "midlertidig indkvartering" indkvartering, der varer, indtil den berørte befolkning er i stand til at vende tilbage til deres oprindelige hjem, efter at dette er udbedret eller genopbygget."</w:t>
      </w:r>
    </w:p>
    <w:p>
      <w:pPr>
        <w:pStyle w:val="ManualNumPar1"/>
        <w:rPr>
          <w:noProof/>
        </w:rPr>
      </w:pPr>
      <w:r>
        <w:t>3.</w:t>
      </w:r>
      <w:r>
        <w:tab/>
      </w:r>
      <w:r>
        <w:rPr>
          <w:noProof/>
        </w:rPr>
        <w:t>Artikel 4a, stk. 3, affattes således:</w:t>
      </w:r>
    </w:p>
    <w:p>
      <w:pPr>
        <w:pStyle w:val="Point1"/>
        <w:rPr>
          <w:noProof/>
        </w:rPr>
      </w:pPr>
      <w:r>
        <w:rPr>
          <w:noProof/>
          <w:sz w:val="23"/>
          <w:szCs w:val="23"/>
        </w:rPr>
        <w:t>"3.</w:t>
      </w:r>
      <w:r>
        <w:rPr>
          <w:noProof/>
          <w:sz w:val="23"/>
          <w:szCs w:val="23"/>
        </w:rPr>
        <w:tab/>
      </w:r>
      <w:r>
        <w:rPr>
          <w:noProof/>
        </w:rPr>
        <w:t>Forskuddet må ikke overstige 25 % af det forventede finansielle bidrag og må under ingen omstændigheder overstige 100 000 000 EUR. Når det endelige finansielle bidrag er fastlagt, tager Kommissionen hensyn til forskuddet, inden restbeløbet af det finansielle bidrag udbetales. Kommissionen inddriver uretmæssigt udbetalte forskud."</w:t>
      </w:r>
    </w:p>
    <w:p>
      <w:pPr>
        <w:pStyle w:val="ManualNumPar1"/>
        <w:rPr>
          <w:noProof/>
        </w:rPr>
      </w:pPr>
      <w:r>
        <w:t>4.</w:t>
      </w:r>
      <w:r>
        <w:tab/>
      </w:r>
      <w:r>
        <w:rPr>
          <w:noProof/>
        </w:rPr>
        <w:t>Artikel 8, stk. 3, affattes således:</w:t>
      </w:r>
    </w:p>
    <w:p>
      <w:pPr>
        <w:pStyle w:val="Point1"/>
        <w:rPr>
          <w:noProof/>
        </w:rPr>
      </w:pPr>
      <w:r>
        <w:rPr>
          <w:noProof/>
        </w:rPr>
        <w:t>"3.</w:t>
      </w:r>
      <w:r>
        <w:rPr>
          <w:noProof/>
          <w:sz w:val="23"/>
          <w:szCs w:val="23"/>
        </w:rPr>
        <w:tab/>
      </w:r>
      <w:r>
        <w:rPr>
          <w:noProof/>
        </w:rPr>
        <w:t xml:space="preserve">Senest seks måneder efter udløbet af den frist på atten måneder, der er omhandlet i stk. 1, forelægger modtagerstaten en rapport om gennemførelsen af det finansielle bidrag fra fonden vedlagt en begrundelse for udgifterne, hvori eventuelle andre finansieringskilder i forbindelse med de omhandlede tiltag anføres, herunder forsikringsgodtgørelse og erstatning fra tredjepart. </w:t>
      </w:r>
    </w:p>
    <w:p>
      <w:pPr>
        <w:pStyle w:val="Text2"/>
        <w:rPr>
          <w:noProof/>
        </w:rPr>
      </w:pPr>
      <w:r>
        <w:rPr>
          <w:noProof/>
        </w:rPr>
        <w:t xml:space="preserve">Gennemførelsesrapporten skal, afhængigt af den støtteberettigede katastrofes art, indeholde: </w:t>
      </w:r>
    </w:p>
    <w:p>
      <w:pPr>
        <w:pStyle w:val="Point2"/>
        <w:rPr>
          <w:noProof/>
        </w:rPr>
      </w:pPr>
      <w:r>
        <w:rPr>
          <w:noProof/>
        </w:rPr>
        <w:t>a)</w:t>
      </w:r>
      <w:r>
        <w:rPr>
          <w:noProof/>
        </w:rPr>
        <w:tab/>
        <w:t xml:space="preserve">en nærmere omtale af de forebyggende foranstaltninger, som modtagerstaten har truffet eller foreslået for at begrænse fremtidige skader og så vidt muligt undgå en gentagelse af lignende naturkatastrofer eller folkesundhedskriser, herunder anvendelse af europæiske struktur- og investeringsfonde til dette formål </w:t>
      </w:r>
    </w:p>
    <w:p>
      <w:pPr>
        <w:pStyle w:val="Point2"/>
        <w:rPr>
          <w:noProof/>
        </w:rPr>
      </w:pPr>
      <w:r>
        <w:rPr>
          <w:noProof/>
        </w:rPr>
        <w:t>b)</w:t>
      </w:r>
      <w:r>
        <w:rPr>
          <w:noProof/>
        </w:rPr>
        <w:tab/>
        <w:t xml:space="preserve">status for gennemførelsen af relevant EU-lovgivning om forebyggelse og forvaltning af katastroferisici </w:t>
      </w:r>
    </w:p>
    <w:p>
      <w:pPr>
        <w:pStyle w:val="Point2"/>
        <w:rPr>
          <w:noProof/>
        </w:rPr>
      </w:pPr>
      <w:r>
        <w:rPr>
          <w:noProof/>
        </w:rPr>
        <w:t>c)</w:t>
      </w:r>
      <w:r>
        <w:rPr>
          <w:noProof/>
        </w:rPr>
        <w:tab/>
        <w:t xml:space="preserve">de erfaringer, der er gjort efter katastrofen, og de foranstaltninger, der er truffet eller foreslået for at sikre miljøbeskyttelse og modstandsdygtighed i relation til klimaændringer, naturkatastrofer og folkesundhedskriser, og </w:t>
      </w:r>
    </w:p>
    <w:p>
      <w:pPr>
        <w:pStyle w:val="Point2"/>
        <w:rPr>
          <w:noProof/>
        </w:rPr>
      </w:pPr>
      <w:r>
        <w:rPr>
          <w:noProof/>
        </w:rPr>
        <w:t>d)</w:t>
      </w:r>
      <w:r>
        <w:rPr>
          <w:noProof/>
        </w:rPr>
        <w:tab/>
        <w:t xml:space="preserve">alle andre nyttige oplysninger om tiltag til forebyggelse og afbødning, der er truffet i relation til naturkatastrofens eller folkesundhedskrisens art. </w:t>
      </w:r>
    </w:p>
    <w:p>
      <w:pPr>
        <w:pStyle w:val="Text2"/>
        <w:rPr>
          <w:noProof/>
        </w:rPr>
      </w:pPr>
      <w:r>
        <w:rPr>
          <w:noProof/>
        </w:rPr>
        <w:t xml:space="preserve">Gennemførelsesrapporten ledsages af en udtalelse fra et uafhængigt revisionsorgan udarbejdet i overensstemmelse med internationalt anerkendte revisionsstandarder, der fastslår, at begrundelsen for udgifterne giver et retvisende billede, og at det finansielle bidrag fra fonden er lovligt og formelt </w:t>
      </w:r>
      <w:r>
        <w:rPr>
          <w:noProof/>
        </w:rPr>
        <w:lastRenderedPageBreak/>
        <w:t xml:space="preserve">rigtigt og i overensstemmelse med artikel 59, stk. 5, og artikel 60, stk. 5, i forordning (EU, Euratom) nr. 966/2012. </w:t>
      </w:r>
    </w:p>
    <w:p>
      <w:pPr>
        <w:pStyle w:val="Text2"/>
        <w:rPr>
          <w:noProof/>
          <w:sz w:val="23"/>
          <w:szCs w:val="23"/>
        </w:rPr>
      </w:pPr>
      <w:r>
        <w:rPr>
          <w:noProof/>
        </w:rPr>
        <w:t>Ved afslutning af proceduren omhandlet i første afsnit afslutter Kommissionen fondens støtte.</w:t>
      </w:r>
      <w:r>
        <w:rPr>
          <w:noProof/>
          <w:sz w:val="23"/>
          <w:szCs w:val="23"/>
        </w:rPr>
        <w:t>"</w:t>
      </w:r>
    </w:p>
    <w:p>
      <w:pPr>
        <w:pStyle w:val="Titrearticle"/>
        <w:rPr>
          <w:noProof/>
        </w:rPr>
      </w:pPr>
      <w:r>
        <w:rPr>
          <w:noProof/>
        </w:rPr>
        <w:t>Artikel 2</w:t>
      </w:r>
    </w:p>
    <w:p>
      <w:pPr>
        <w:rPr>
          <w:noProof/>
        </w:rPr>
      </w:pPr>
      <w:r>
        <w:rPr>
          <w:noProof/>
        </w:rPr>
        <w:t xml:space="preserve">Denne forordning træder i kraft på […] dagen efter offentliggørelsen i </w:t>
      </w:r>
      <w:r>
        <w:rPr>
          <w:i/>
          <w:noProof/>
        </w:rPr>
        <w:t>Den Europæiske Unions Tidende</w:t>
      </w:r>
      <w:r>
        <w:rPr>
          <w:noProof/>
        </w:rPr>
        <w:t>.</w:t>
      </w:r>
    </w:p>
    <w:p>
      <w:pPr>
        <w:pStyle w:val="Applicationdirecte"/>
        <w:rPr>
          <w:noProof/>
        </w:rPr>
      </w:pPr>
      <w:r>
        <w:rPr>
          <w:noProof/>
        </w:rPr>
        <w:t>Denne forordning er bindende i alle enkeltheder og gælder umiddelbart i hver medlemsstat.</w:t>
      </w:r>
    </w:p>
    <w:p>
      <w:pPr>
        <w:pStyle w:val="Fait"/>
        <w:rPr>
          <w:noProof/>
        </w:rPr>
      </w:pPr>
      <w:r>
        <w:t xml:space="preserve">Udfærdiget i Bruxelles, den </w:t>
      </w:r>
      <w:r>
        <w:rPr>
          <w:rStyle w:val="Marker"/>
        </w:rPr>
        <w:t>[…]</w:t>
      </w:r>
      <w:r>
        <w:t>.</w:t>
      </w:r>
    </w:p>
    <w:p>
      <w:pPr>
        <w:pStyle w:val="Institutionquisigne"/>
        <w:rPr>
          <w:noProof/>
        </w:rPr>
      </w:pPr>
      <w:r>
        <w:rPr>
          <w:noProof/>
        </w:rPr>
        <w:t>På Europa-Parlamentets vegne</w:t>
      </w:r>
      <w:r>
        <w:rPr>
          <w:noProof/>
        </w:rPr>
        <w:tab/>
        <w:t>På Rådets vegne</w:t>
      </w:r>
    </w:p>
    <w:p>
      <w:pPr>
        <w:pStyle w:val="Personnequisigne"/>
        <w:rPr>
          <w:noProof/>
        </w:rPr>
      </w:pPr>
      <w:r>
        <w:rPr>
          <w:noProof/>
        </w:rPr>
        <w:t>Formand</w:t>
      </w:r>
      <w:r>
        <w:rPr>
          <w:noProof/>
        </w:rPr>
        <w:tab/>
        <w:t xml:space="preserve">Formand </w:t>
      </w:r>
    </w:p>
    <w:p>
      <w:pPr>
        <w:rPr>
          <w:noProof/>
        </w:rPr>
        <w:sectPr>
          <w:pgSz w:w="11906" w:h="16838" w:code="9"/>
          <w:pgMar w:top="1134" w:right="1417" w:bottom="1134" w:left="1417" w:header="720" w:footer="720" w:gutter="0"/>
          <w:cols w:space="720"/>
          <w:docGrid w:linePitch="326"/>
        </w:sectPr>
      </w:pPr>
    </w:p>
    <w:p>
      <w:pPr>
        <w:pStyle w:val="Fichefinanciretitre"/>
        <w:rPr>
          <w:noProof/>
        </w:rPr>
      </w:pPr>
      <w:r>
        <w:rPr>
          <w:noProof/>
        </w:rPr>
        <w:lastRenderedPageBreak/>
        <w:t>FINANSIERINGSOVERSIGT</w:t>
      </w:r>
    </w:p>
    <w:p>
      <w:pPr>
        <w:keepNext/>
        <w:tabs>
          <w:tab w:val="left" w:pos="850"/>
        </w:tabs>
        <w:spacing w:before="360"/>
        <w:ind w:left="850" w:hanging="850"/>
        <w:outlineLvl w:val="0"/>
        <w:rPr>
          <w:rFonts w:eastAsia="Calibri"/>
          <w:b/>
          <w:smallCaps/>
          <w:noProof/>
        </w:rPr>
      </w:pPr>
      <w:r>
        <w:rPr>
          <w:b/>
          <w:smallCaps/>
          <w:noProof/>
        </w:rPr>
        <w:t>1.</w:t>
      </w:r>
      <w:r>
        <w:rPr>
          <w:b/>
          <w:smallCaps/>
          <w:noProof/>
        </w:rPr>
        <w:tab/>
        <w:t xml:space="preserve">FORSLAGETS/INITIATIVETS RAMME </w:t>
      </w:r>
    </w:p>
    <w:p>
      <w:pPr>
        <w:keepNext/>
        <w:tabs>
          <w:tab w:val="left" w:pos="850"/>
        </w:tabs>
        <w:ind w:left="850" w:hanging="850"/>
        <w:outlineLvl w:val="1"/>
        <w:rPr>
          <w:rFonts w:eastAsia="Calibri"/>
          <w:b/>
          <w:noProof/>
        </w:rPr>
      </w:pPr>
      <w:r>
        <w:rPr>
          <w:b/>
          <w:noProof/>
        </w:rPr>
        <w:t>1.1.</w:t>
      </w:r>
      <w:r>
        <w:rPr>
          <w:b/>
          <w:noProof/>
        </w:rPr>
        <w:tab/>
        <w:t>Forslagets/initiativets betegnelse</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Forslag til Europa-Parlamentets og Rådets forordning om ændring af Rådets forordning (EF) nr. 2012/2002 med henblik på at yde finansiel bistand til medlemsstater og lande, der forhandler om tiltrædelse af Unionen, og som er alvorligt berørt af en større folkesundhedskrise</w:t>
      </w:r>
    </w:p>
    <w:p>
      <w:pPr>
        <w:keepNext/>
        <w:tabs>
          <w:tab w:val="left" w:pos="850"/>
        </w:tabs>
        <w:ind w:left="850" w:hanging="850"/>
        <w:outlineLvl w:val="1"/>
        <w:rPr>
          <w:rFonts w:eastAsia="Calibri"/>
          <w:b/>
          <w:i/>
          <w:noProof/>
        </w:rPr>
      </w:pPr>
      <w:r>
        <w:rPr>
          <w:b/>
          <w:noProof/>
        </w:rPr>
        <w:t>1.2.</w:t>
      </w:r>
      <w:r>
        <w:rPr>
          <w:b/>
          <w:noProof/>
        </w:rPr>
        <w:tab/>
        <w:t>Berørt(e) politikområde(r)</w:t>
      </w:r>
      <w:r>
        <w:rPr>
          <w:b/>
          <w:i/>
          <w:noProof/>
        </w:rPr>
        <w:t xml:space="preserve"> </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13. Regionalpolitik, 13 06 01 Bistand til medlemsstaterne i forbindelse med en større naturkatastrofe, som har en alvorlig indvirkning på borgernes livsvilkår, det naturlige miljø eller økonomien</w:t>
      </w:r>
    </w:p>
    <w:p>
      <w:pPr>
        <w:keepNext/>
        <w:tabs>
          <w:tab w:val="left" w:pos="850"/>
        </w:tabs>
        <w:ind w:left="850" w:hanging="850"/>
        <w:outlineLvl w:val="1"/>
        <w:rPr>
          <w:rFonts w:eastAsia="Calibri"/>
          <w:b/>
          <w:bCs/>
          <w:noProof/>
          <w:szCs w:val="24"/>
        </w:rPr>
      </w:pPr>
      <w:r>
        <w:rPr>
          <w:b/>
          <w:noProof/>
        </w:rPr>
        <w:t>1.3.</w:t>
      </w:r>
      <w:r>
        <w:rPr>
          <w:b/>
          <w:noProof/>
        </w:rPr>
        <w:tab/>
        <w:t xml:space="preserve">Forslagets/initiativets begrundelse </w:t>
      </w:r>
    </w:p>
    <w:p>
      <w:pPr>
        <w:keepNext/>
        <w:tabs>
          <w:tab w:val="left" w:pos="850"/>
        </w:tabs>
        <w:ind w:left="850" w:hanging="850"/>
        <w:outlineLvl w:val="2"/>
        <w:rPr>
          <w:rFonts w:eastAsia="Calibri"/>
          <w:i/>
          <w:noProof/>
        </w:rPr>
      </w:pPr>
      <w:r>
        <w:rPr>
          <w:i/>
          <w:noProof/>
        </w:rPr>
        <w:t>1.3.1.</w:t>
      </w:r>
      <w:r>
        <w:rPr>
          <w:i/>
          <w:noProof/>
        </w:rPr>
        <w:tab/>
        <w:t>Behov, der skal opfyldes på kort eller lang sigt, herunder en detaljeret tidsplan for iværksættelsen af initiativet</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 xml:space="preserve">Denne forordning træder i kraft på […] dagen efter offentliggørelsen i </w:t>
      </w:r>
      <w:r>
        <w:rPr>
          <w:i/>
          <w:noProof/>
        </w:rPr>
        <w:t>Den Europæiske Unions Tidende</w:t>
      </w:r>
      <w:r>
        <w:rPr>
          <w:noProof/>
        </w:rPr>
        <w:t>.</w:t>
      </w:r>
    </w:p>
    <w:p>
      <w:pPr>
        <w:keepNext/>
        <w:tabs>
          <w:tab w:val="left" w:pos="850"/>
        </w:tabs>
        <w:ind w:left="850" w:hanging="850"/>
        <w:outlineLvl w:val="2"/>
        <w:rPr>
          <w:rFonts w:eastAsia="Calibri"/>
          <w:bCs/>
          <w:i/>
          <w:noProof/>
          <w:szCs w:val="24"/>
        </w:rPr>
      </w:pPr>
      <w:r>
        <w:rPr>
          <w:i/>
          <w:noProof/>
        </w:rPr>
        <w:t>1.3.2.</w:t>
      </w:r>
      <w:r>
        <w:rPr>
          <w:i/>
          <w:noProof/>
        </w:rPr>
        <w:tab/>
        <w:t>Merværdien ved en indsats fra EU's side (f.eks. koordineringsfordele, retssikkerhed, større effektivitet eller komplementaritet). Ved "merværdien ved en indsats fra EU's side" forstås her merværdien af EU's intervention i forhold til den værdi, som medlemsstaterne ville have skabt enkeltvis.</w:t>
      </w:r>
    </w:p>
    <w:p>
      <w:pPr>
        <w:pBdr>
          <w:top w:val="single" w:sz="4" w:space="1" w:color="auto"/>
          <w:left w:val="single" w:sz="4" w:space="0" w:color="auto"/>
          <w:bottom w:val="single" w:sz="4" w:space="1" w:color="auto"/>
          <w:right w:val="single" w:sz="4" w:space="4" w:color="auto"/>
        </w:pBdr>
        <w:ind w:left="850"/>
        <w:rPr>
          <w:rFonts w:eastAsia="Calibri"/>
          <w:noProof/>
        </w:rPr>
      </w:pPr>
      <w:r>
        <w:rPr>
          <w:noProof/>
        </w:rPr>
        <w:t>Grunden til oprettelsen af Den Europæiske Unions Solidaritetsfond var at udvise solidaritet med de medlemsstater, der er berørt af en alvorlig krise, som følger af forekomsten af en alvorlig naturkatastrofe, og som anses for at overstige medlemsstatens budgetmæssige indsatskapacitet. Dette forslag udvider dette ræsonnement til også at omfatte den økonomiske byrde som følge af en større folkesundhedskrise.</w:t>
      </w:r>
    </w:p>
    <w:p>
      <w:pPr>
        <w:keepNext/>
        <w:tabs>
          <w:tab w:val="left" w:pos="850"/>
        </w:tabs>
        <w:ind w:left="850" w:hanging="850"/>
        <w:outlineLvl w:val="2"/>
        <w:rPr>
          <w:rFonts w:eastAsia="Calibri"/>
          <w:i/>
          <w:noProof/>
        </w:rPr>
      </w:pPr>
      <w:r>
        <w:rPr>
          <w:i/>
          <w:noProof/>
        </w:rPr>
        <w:t>1.3.3.</w:t>
      </w:r>
      <w:r>
        <w:rPr>
          <w:i/>
          <w:noProof/>
        </w:rPr>
        <w:tab/>
        <w:t>Erfaringer fra lignende foranstaltninger</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Solidaritetsfonden har vist sig at være et meget effektivt instrument til at yde bistand til medlemsstaterne efter naturkatastrofer, jf. en større evaluering af fonden</w:t>
      </w:r>
      <w:r>
        <w:rPr>
          <w:rStyle w:val="FootnoteReference"/>
          <w:noProof/>
        </w:rPr>
        <w:footnoteReference w:id="4"/>
      </w:r>
      <w:r>
        <w:rPr>
          <w:noProof/>
        </w:rPr>
        <w:t>.</w:t>
      </w:r>
    </w:p>
    <w:p>
      <w:pPr>
        <w:keepNext/>
        <w:tabs>
          <w:tab w:val="left" w:pos="850"/>
        </w:tabs>
        <w:ind w:left="850" w:hanging="850"/>
        <w:outlineLvl w:val="2"/>
        <w:rPr>
          <w:rFonts w:eastAsia="Calibri"/>
          <w:i/>
          <w:noProof/>
        </w:rPr>
      </w:pPr>
      <w:r>
        <w:rPr>
          <w:i/>
          <w:noProof/>
        </w:rPr>
        <w:t>1.3.4.</w:t>
      </w:r>
      <w:r>
        <w:rPr>
          <w:i/>
          <w:noProof/>
        </w:rPr>
        <w:tab/>
        <w:t>Sammenhæng med den flerårige finansielle ramme og eventuelle synergivirkninger med andre relevante instrumenter</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Denne forordning holder sig inden for de maksimale bevillinger til Solidaritetsfonden i FFR og er derfor forenelig med FFR.</w:t>
      </w:r>
    </w:p>
    <w:p>
      <w:pPr>
        <w:keepNext/>
        <w:tabs>
          <w:tab w:val="left" w:pos="850"/>
        </w:tabs>
        <w:ind w:left="850" w:hanging="850"/>
        <w:outlineLvl w:val="2"/>
        <w:rPr>
          <w:rFonts w:eastAsia="Calibri"/>
          <w:i/>
          <w:noProof/>
        </w:rPr>
      </w:pPr>
      <w:r>
        <w:rPr>
          <w:i/>
          <w:noProof/>
        </w:rPr>
        <w:t>1.3.5.</w:t>
      </w:r>
      <w:r>
        <w:rPr>
          <w:i/>
          <w:noProof/>
        </w:rPr>
        <w:tab/>
        <w:t>Vurdering af de forskellige tilgængelige finansieringsmuligheder, herunder muligheden for omfordeling</w:t>
      </w:r>
    </w:p>
    <w:p>
      <w:pPr>
        <w:pBdr>
          <w:top w:val="single" w:sz="4" w:space="1" w:color="auto"/>
          <w:left w:val="single" w:sz="4" w:space="4" w:color="auto"/>
          <w:bottom w:val="single" w:sz="4" w:space="0" w:color="auto"/>
          <w:right w:val="single" w:sz="4" w:space="4" w:color="auto"/>
        </w:pBdr>
        <w:ind w:left="850"/>
        <w:rPr>
          <w:rFonts w:eastAsia="Calibri"/>
          <w:noProof/>
        </w:rPr>
      </w:pPr>
      <w:r>
        <w:rPr>
          <w:noProof/>
        </w:rPr>
        <w:t>Den maksimale bevilling til Solidaritetsfonden øges ikke ved denne forordning. Unionens bidrag til interventionerne finansieres over Unionens almindelige budget.</w:t>
      </w:r>
    </w:p>
    <w:p>
      <w:pPr>
        <w:ind w:left="850"/>
        <w:rPr>
          <w:rFonts w:eastAsia="Calibri"/>
          <w:noProof/>
        </w:rPr>
      </w:pPr>
    </w:p>
    <w:p>
      <w:pPr>
        <w:keepNext/>
        <w:tabs>
          <w:tab w:val="left" w:pos="850"/>
        </w:tabs>
        <w:ind w:left="850" w:hanging="850"/>
        <w:outlineLvl w:val="1"/>
        <w:rPr>
          <w:rFonts w:eastAsia="Calibri"/>
          <w:b/>
          <w:bCs/>
          <w:noProof/>
          <w:szCs w:val="24"/>
        </w:rPr>
      </w:pPr>
      <w:r>
        <w:rPr>
          <w:b/>
          <w:noProof/>
        </w:rPr>
        <w:t>1.4.</w:t>
      </w:r>
      <w:r>
        <w:rPr>
          <w:b/>
          <w:noProof/>
        </w:rPr>
        <w:tab/>
        <w:t>Forslagets/initiativets varighed og finansielle virkninger</w:t>
      </w:r>
    </w:p>
    <w:p>
      <w:pPr>
        <w:pStyle w:val="Text1"/>
        <w:rPr>
          <w:noProof/>
        </w:rPr>
      </w:pPr>
      <w:r>
        <w:rPr>
          <w:noProof/>
        </w:rPr>
        <w:t>Forslag af ubegrænset varighed.</w:t>
      </w:r>
    </w:p>
    <w:p>
      <w:pPr>
        <w:pStyle w:val="Text1"/>
        <w:rPr>
          <w:noProof/>
        </w:rPr>
      </w:pPr>
      <w:r>
        <w:rPr>
          <w:noProof/>
        </w:rPr>
        <w:t>Loftet for den maksimale bevilling til Solidaritetsfonden for 2020 er overholdt (597,546 mio. EUR plus 552,978 EUR fremført fra 2019).</w:t>
      </w:r>
    </w:p>
    <w:p>
      <w:pPr>
        <w:keepNext/>
        <w:tabs>
          <w:tab w:val="left" w:pos="850"/>
        </w:tabs>
        <w:ind w:left="850" w:hanging="850"/>
        <w:outlineLvl w:val="1"/>
        <w:rPr>
          <w:rFonts w:eastAsia="Calibri"/>
          <w:b/>
          <w:bCs/>
          <w:noProof/>
          <w:szCs w:val="24"/>
        </w:rPr>
      </w:pPr>
      <w:r>
        <w:rPr>
          <w:b/>
          <w:noProof/>
        </w:rPr>
        <w:t>1.5.</w:t>
      </w:r>
      <w:r>
        <w:rPr>
          <w:b/>
          <w:noProof/>
        </w:rPr>
        <w:tab/>
        <w:t>Påtænkt(e) forvaltningsmetode(r)</w:t>
      </w:r>
      <w:r>
        <w:rPr>
          <w:rStyle w:val="FootnoteReference"/>
          <w:b/>
          <w:noProof/>
        </w:rPr>
        <w:footnoteReference w:id="5"/>
      </w:r>
      <w:r>
        <w:rPr>
          <w:b/>
          <w:noProof/>
          <w:vertAlign w:val="superscript"/>
        </w:rPr>
        <w:t xml:space="preserve"> </w:t>
      </w:r>
    </w:p>
    <w:p>
      <w:pPr>
        <w:ind w:left="850"/>
        <w:rPr>
          <w:rFonts w:eastAsia="Calibri"/>
          <w:noProof/>
        </w:rPr>
      </w:pPr>
      <w:r>
        <w:rPr>
          <w:noProof/>
        </w:rPr>
        <w:sym w:font="Wingdings" w:char="F0A8"/>
      </w:r>
      <w:r>
        <w:rPr>
          <w:i/>
          <w:noProof/>
        </w:rPr>
        <w:t xml:space="preserve"> </w:t>
      </w:r>
      <w:r>
        <w:rPr>
          <w:b/>
          <w:noProof/>
        </w:rPr>
        <w:t>Direkte forvaltning</w:t>
      </w:r>
      <w:r>
        <w:rPr>
          <w:noProof/>
        </w:rPr>
        <w:t xml:space="preserve"> ved Kommissionen</w:t>
      </w:r>
    </w:p>
    <w:p>
      <w:pPr>
        <w:pStyle w:val="Tiret1"/>
        <w:numPr>
          <w:ilvl w:val="0"/>
          <w:numId w:val="12"/>
        </w:numPr>
        <w:rPr>
          <w:rFonts w:cs="EUAlbertina"/>
          <w:noProof/>
        </w:rPr>
      </w:pPr>
      <w:r>
        <w:rPr>
          <w:noProof/>
        </w:rPr>
        <w:sym w:font="Wingdings" w:char="F0A8"/>
      </w:r>
      <w:r>
        <w:rPr>
          <w:noProof/>
        </w:rPr>
        <w:t xml:space="preserve"> i dens tjenestegrene, herunder ved dens personale i EU's delegationer </w:t>
      </w:r>
    </w:p>
    <w:p>
      <w:pPr>
        <w:pStyle w:val="Tiret1"/>
        <w:rPr>
          <w:noProof/>
        </w:rPr>
      </w:pPr>
      <w:r>
        <w:rPr>
          <w:noProof/>
        </w:rPr>
        <w:sym w:font="Wingdings" w:char="F0A8"/>
      </w:r>
      <w:r>
        <w:rPr>
          <w:noProof/>
        </w:rPr>
        <w:tab/>
        <w:t xml:space="preserve">i gennemførelsesorganer </w:t>
      </w:r>
    </w:p>
    <w:p>
      <w:pPr>
        <w:ind w:left="850"/>
        <w:rPr>
          <w:rFonts w:eastAsia="Calibri"/>
          <w:noProof/>
        </w:rPr>
      </w:pPr>
      <w:r>
        <w:rPr>
          <w:b/>
          <w:noProof/>
        </w:rPr>
        <w:t>X Delt forvaltning</w:t>
      </w:r>
      <w:r>
        <w:rPr>
          <w:noProof/>
        </w:rPr>
        <w:t xml:space="preserve"> i samarbejde med medlemsstaterne </w:t>
      </w:r>
    </w:p>
    <w:p>
      <w:pPr>
        <w:ind w:left="850"/>
        <w:rPr>
          <w:rFonts w:eastAsia="Calibri"/>
          <w:noProof/>
        </w:rPr>
      </w:pPr>
      <w:r>
        <w:rPr>
          <w:noProof/>
        </w:rPr>
        <w:sym w:font="Wingdings" w:char="F0A8"/>
      </w:r>
      <w:r>
        <w:rPr>
          <w:i/>
          <w:noProof/>
        </w:rPr>
        <w:t xml:space="preserve"> </w:t>
      </w:r>
      <w:r>
        <w:rPr>
          <w:b/>
          <w:noProof/>
        </w:rPr>
        <w:t>Indirekte forvaltning</w:t>
      </w:r>
      <w:r>
        <w:rPr>
          <w:noProof/>
        </w:rPr>
        <w:t xml:space="preserve"> ved at overlade budgetgennemførelsesopgaver til:</w:t>
      </w:r>
    </w:p>
    <w:p>
      <w:pPr>
        <w:pStyle w:val="Tiret1"/>
        <w:rPr>
          <w:noProof/>
        </w:rPr>
      </w:pPr>
      <w:r>
        <w:rPr>
          <w:noProof/>
        </w:rPr>
        <w:sym w:font="Wingdings" w:char="F0A8"/>
      </w:r>
      <w:r>
        <w:rPr>
          <w:noProof/>
        </w:rPr>
        <w:t xml:space="preserve"> tredjelande eller organer, som tredjelande har udpeget</w:t>
      </w:r>
    </w:p>
    <w:p>
      <w:pPr>
        <w:pStyle w:val="Tiret1"/>
        <w:rPr>
          <w:noProof/>
        </w:rPr>
      </w:pPr>
      <w:r>
        <w:rPr>
          <w:noProof/>
        </w:rPr>
        <w:sym w:font="Wingdings" w:char="F0A8"/>
      </w:r>
      <w:r>
        <w:rPr>
          <w:noProof/>
        </w:rPr>
        <w:t xml:space="preserve"> internationale organisationer og deres organer (angives nærmere)</w:t>
      </w:r>
    </w:p>
    <w:p>
      <w:pPr>
        <w:pStyle w:val="Tiret1"/>
        <w:rPr>
          <w:noProof/>
        </w:rPr>
      </w:pPr>
      <w:r>
        <w:rPr>
          <w:noProof/>
        </w:rPr>
        <w:sym w:font="Wingdings" w:char="F0A8"/>
      </w:r>
      <w:r>
        <w:rPr>
          <w:noProof/>
        </w:rPr>
        <w:t xml:space="preserve"> Den Europæiske Investeringsbank og Den Europæiske Investeringsfond</w:t>
      </w:r>
    </w:p>
    <w:p>
      <w:pPr>
        <w:pStyle w:val="Tiret1"/>
        <w:rPr>
          <w:noProof/>
        </w:rPr>
      </w:pPr>
      <w:r>
        <w:rPr>
          <w:noProof/>
        </w:rPr>
        <w:sym w:font="Wingdings" w:char="F0A8"/>
      </w:r>
      <w:r>
        <w:rPr>
          <w:noProof/>
        </w:rPr>
        <w:t xml:space="preserve"> de organer, der er omhandlet i finansforordningens artikel 70 og 71</w:t>
      </w:r>
    </w:p>
    <w:p>
      <w:pPr>
        <w:pStyle w:val="Tiret1"/>
        <w:rPr>
          <w:noProof/>
        </w:rPr>
      </w:pPr>
      <w:r>
        <w:rPr>
          <w:noProof/>
        </w:rPr>
        <w:sym w:font="Wingdings" w:char="F0A8"/>
      </w:r>
      <w:r>
        <w:rPr>
          <w:noProof/>
        </w:rPr>
        <w:t xml:space="preserve"> offentligretlige organer</w:t>
      </w:r>
    </w:p>
    <w:p>
      <w:pPr>
        <w:pStyle w:val="Tiret1"/>
        <w:rPr>
          <w:noProof/>
        </w:rPr>
      </w:pPr>
      <w:r>
        <w:rPr>
          <w:noProof/>
        </w:rPr>
        <w:sym w:font="Wingdings" w:char="F0A8"/>
      </w:r>
      <w:r>
        <w:rPr>
          <w:noProof/>
        </w:rPr>
        <w:t xml:space="preserve"> privatretlige organer, der har fået overdraget samfundsopgaver, forudsat at de stiller tilstrækkelige finansielle garantier</w:t>
      </w:r>
    </w:p>
    <w:p>
      <w:pPr>
        <w:pStyle w:val="Tiret1"/>
        <w:rPr>
          <w:noProof/>
        </w:rPr>
      </w:pPr>
      <w:r>
        <w:rPr>
          <w:noProof/>
        </w:rPr>
        <w:sym w:font="Wingdings" w:char="F0A8"/>
      </w:r>
      <w:r>
        <w:rPr>
          <w:noProof/>
        </w:rPr>
        <w:t xml:space="preserve"> privatretlige organer, undergivet lovgivningen i en medlemsstat, som har fået overdraget gennemførelsen af et offentlig-privat partnerskab, og som stiller tilstrækkelige finansielle garantier</w:t>
      </w:r>
    </w:p>
    <w:p>
      <w:pPr>
        <w:pStyle w:val="Tiret1"/>
        <w:rPr>
          <w:noProof/>
        </w:rPr>
      </w:pPr>
      <w:r>
        <w:rPr>
          <w:noProof/>
        </w:rPr>
        <w:sym w:font="Wingdings" w:char="F0A8"/>
      </w:r>
      <w:r>
        <w:rPr>
          <w:noProof/>
        </w:rPr>
        <w:t xml:space="preserve"> personer, der har fået overdraget gennemførelsen af specifikke aktioner i den fælles udenrigs- og sikkerhedspolitik i henhold til afsnit V i traktaten om Den Europæiske Union, og som er udpeget i den relevante basisretsakt</w:t>
      </w:r>
    </w:p>
    <w:p>
      <w:pPr>
        <w:pStyle w:val="Tiret1"/>
        <w:rPr>
          <w:i/>
          <w:noProof/>
          <w:sz w:val="18"/>
          <w:u w:val="single"/>
        </w:rPr>
      </w:pPr>
      <w:r>
        <w:rPr>
          <w:i/>
          <w:noProof/>
          <w:sz w:val="18"/>
        </w:rPr>
        <w:t>Hvis der angives flere forvaltningsmetoder, gives der en nærmere forklaring i afsnittet "Bemærkninger".</w:t>
      </w:r>
    </w:p>
    <w:p>
      <w:pPr>
        <w:rPr>
          <w:rFonts w:eastAsia="Calibri"/>
          <w:noProof/>
        </w:rPr>
      </w:pPr>
      <w:r>
        <w:rPr>
          <w:noProof/>
        </w:rPr>
        <w:t xml:space="preserve">Bemærkninger </w:t>
      </w:r>
    </w:p>
    <w:p>
      <w:pPr>
        <w:pBdr>
          <w:top w:val="single" w:sz="4" w:space="1" w:color="auto"/>
          <w:left w:val="single" w:sz="4" w:space="4" w:color="auto"/>
          <w:bottom w:val="single" w:sz="4" w:space="1" w:color="auto"/>
          <w:right w:val="single" w:sz="4" w:space="4" w:color="auto"/>
        </w:pBdr>
        <w:rPr>
          <w:rFonts w:eastAsia="Calibri"/>
          <w:noProof/>
        </w:rPr>
        <w:sectPr>
          <w:pgSz w:w="11907" w:h="16840" w:code="9"/>
          <w:pgMar w:top="1134" w:right="1418" w:bottom="1134" w:left="1418" w:header="709" w:footer="709" w:gutter="0"/>
          <w:cols w:space="708"/>
          <w:docGrid w:linePitch="360"/>
        </w:sectPr>
      </w:pPr>
      <w:r>
        <w:rPr>
          <w:noProof/>
        </w:rPr>
        <w:t>Ikke relevant.</w:t>
      </w:r>
    </w:p>
    <w:p>
      <w:pPr>
        <w:keepNext/>
        <w:tabs>
          <w:tab w:val="left" w:pos="850"/>
        </w:tabs>
        <w:spacing w:before="360"/>
        <w:ind w:left="850" w:hanging="850"/>
        <w:outlineLvl w:val="0"/>
        <w:rPr>
          <w:rFonts w:eastAsia="Calibri"/>
          <w:b/>
          <w:bCs/>
          <w:smallCaps/>
          <w:noProof/>
          <w:szCs w:val="24"/>
        </w:rPr>
      </w:pPr>
      <w:r>
        <w:rPr>
          <w:b/>
          <w:smallCaps/>
          <w:noProof/>
        </w:rPr>
        <w:t>2.</w:t>
      </w:r>
      <w:r>
        <w:rPr>
          <w:b/>
          <w:smallCaps/>
          <w:noProof/>
        </w:rPr>
        <w:tab/>
        <w:t xml:space="preserve">FORVALTNINGSFORANSTALTNINGER </w:t>
      </w:r>
    </w:p>
    <w:p>
      <w:pPr>
        <w:keepNext/>
        <w:tabs>
          <w:tab w:val="left" w:pos="850"/>
        </w:tabs>
        <w:ind w:left="850" w:hanging="850"/>
        <w:outlineLvl w:val="1"/>
        <w:rPr>
          <w:rFonts w:eastAsia="Calibri"/>
          <w:b/>
          <w:noProof/>
        </w:rPr>
      </w:pPr>
      <w:r>
        <w:rPr>
          <w:b/>
          <w:noProof/>
        </w:rPr>
        <w:t>2.1.</w:t>
      </w:r>
      <w:r>
        <w:rPr>
          <w:b/>
          <w:noProof/>
        </w:rPr>
        <w:tab/>
        <w:t xml:space="preserve">Bestemmelser om kontrol og rapportering </w:t>
      </w:r>
    </w:p>
    <w:p>
      <w:pPr>
        <w:ind w:left="850"/>
        <w:rPr>
          <w:rFonts w:eastAsia="Calibri"/>
          <w:i/>
          <w:noProof/>
          <w:sz w:val="20"/>
        </w:rPr>
      </w:pPr>
      <w:r>
        <w:rPr>
          <w:i/>
          <w:noProof/>
          <w:sz w:val="20"/>
        </w:rPr>
        <w:t>Angiv hyppighed og betingelser.</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Det samme som fastsat i Rådets forordning (EF) nr. 2012/2002 (for naturkatastrofer)</w:t>
      </w:r>
    </w:p>
    <w:p>
      <w:pPr>
        <w:keepNext/>
        <w:tabs>
          <w:tab w:val="left" w:pos="850"/>
        </w:tabs>
        <w:ind w:left="850" w:hanging="850"/>
        <w:outlineLvl w:val="1"/>
        <w:rPr>
          <w:rFonts w:eastAsia="Calibri"/>
          <w:b/>
          <w:bCs/>
          <w:noProof/>
          <w:szCs w:val="24"/>
        </w:rPr>
      </w:pPr>
      <w:r>
        <w:rPr>
          <w:b/>
          <w:noProof/>
        </w:rPr>
        <w:t>2.2.</w:t>
      </w:r>
      <w:r>
        <w:rPr>
          <w:b/>
          <w:noProof/>
        </w:rPr>
        <w:tab/>
        <w:t xml:space="preserve">Forvaltnings- og kontrolsystem(er) </w:t>
      </w:r>
    </w:p>
    <w:p>
      <w:pPr>
        <w:keepNext/>
        <w:tabs>
          <w:tab w:val="left" w:pos="850"/>
        </w:tabs>
        <w:ind w:left="850" w:hanging="850"/>
        <w:outlineLvl w:val="2"/>
        <w:rPr>
          <w:rFonts w:eastAsia="Calibri"/>
          <w:i/>
          <w:noProof/>
        </w:rPr>
      </w:pPr>
      <w:r>
        <w:rPr>
          <w:i/>
          <w:noProof/>
        </w:rPr>
        <w:t>2.2.1.</w:t>
      </w:r>
      <w:r>
        <w:rPr>
          <w:i/>
          <w:noProof/>
        </w:rPr>
        <w:tab/>
        <w:t>Begrundelse for den/de påtænkte forvaltningsmetode(r), finansieringsmekanisme(r), betalingsvilkår og kontrolstrategi</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Det samme som fastsat i Rådets forordning (EF) nr. 2012/2002</w:t>
      </w:r>
    </w:p>
    <w:p>
      <w:pPr>
        <w:keepNext/>
        <w:tabs>
          <w:tab w:val="left" w:pos="850"/>
        </w:tabs>
        <w:ind w:left="850" w:hanging="850"/>
        <w:outlineLvl w:val="2"/>
        <w:rPr>
          <w:rFonts w:eastAsia="Calibri"/>
          <w:bCs/>
          <w:i/>
          <w:noProof/>
          <w:szCs w:val="24"/>
        </w:rPr>
      </w:pPr>
      <w:r>
        <w:rPr>
          <w:i/>
          <w:noProof/>
        </w:rPr>
        <w:t>2.2.2.</w:t>
      </w:r>
      <w:r>
        <w:rPr>
          <w:i/>
          <w:noProof/>
        </w:rPr>
        <w:tab/>
        <w:t>Oplysninger om de udpegede risici og det/de interne kontrolsystem(er), der etableres for at afbøde dem</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Det samme som fastsat i Rådets forordning (EF) nr. 2012/2002</w:t>
      </w:r>
    </w:p>
    <w:p>
      <w:pPr>
        <w:keepNext/>
        <w:tabs>
          <w:tab w:val="left" w:pos="850"/>
        </w:tabs>
        <w:ind w:left="850" w:hanging="850"/>
        <w:outlineLvl w:val="2"/>
        <w:rPr>
          <w:rFonts w:eastAsia="Calibri"/>
          <w:i/>
          <w:noProof/>
        </w:rPr>
      </w:pPr>
      <w:r>
        <w:rPr>
          <w:i/>
          <w:noProof/>
        </w:rPr>
        <w:t>2.2.3.</w:t>
      </w:r>
      <w:r>
        <w:rPr>
          <w:i/>
          <w:noProof/>
        </w:rPr>
        <w:tab/>
        <w:t xml:space="preserve">Vurdering af og begrundelse for kontrolforanstaltningernes omkostningseffektivitet (forholdet mellem kontrolomkostningerne og værdien af de forvaltede midler) samt vurdering af den forventede risiko for fejl (ved betaling og ved afslutning) </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Det samme som fastsat i Rådets forordning (EF) nr. 2012/2002</w:t>
      </w:r>
    </w:p>
    <w:p>
      <w:pPr>
        <w:keepNext/>
        <w:tabs>
          <w:tab w:val="left" w:pos="850"/>
        </w:tabs>
        <w:ind w:left="850" w:hanging="850"/>
        <w:outlineLvl w:val="1"/>
        <w:rPr>
          <w:rFonts w:eastAsia="Calibri"/>
          <w:b/>
          <w:bCs/>
          <w:noProof/>
          <w:szCs w:val="24"/>
        </w:rPr>
      </w:pPr>
      <w:r>
        <w:rPr>
          <w:b/>
          <w:noProof/>
        </w:rPr>
        <w:t>2.3.</w:t>
      </w:r>
      <w:r>
        <w:rPr>
          <w:b/>
          <w:noProof/>
        </w:rPr>
        <w:tab/>
        <w:t xml:space="preserve">Foranstaltninger til forebyggelse af svig og uregelmæssigheder </w:t>
      </w:r>
    </w:p>
    <w:p>
      <w:pPr>
        <w:ind w:left="850"/>
        <w:rPr>
          <w:rFonts w:eastAsia="Calibri"/>
          <w:i/>
          <w:noProof/>
          <w:sz w:val="20"/>
        </w:rPr>
      </w:pPr>
      <w:r>
        <w:rPr>
          <w:i/>
          <w:noProof/>
          <w:sz w:val="20"/>
        </w:rPr>
        <w:t>Angiv eksisterende eller påtænkte forebyggelses- og beskyttelsesforanstaltninger, f.eks. fra strategien til bekæmpelse af svig.</w:t>
      </w:r>
    </w:p>
    <w:p>
      <w:pPr>
        <w:pBdr>
          <w:top w:val="single" w:sz="4" w:space="1" w:color="auto"/>
          <w:left w:val="single" w:sz="4" w:space="4" w:color="auto"/>
          <w:bottom w:val="single" w:sz="4" w:space="1" w:color="auto"/>
          <w:right w:val="single" w:sz="4" w:space="4" w:color="auto"/>
        </w:pBdr>
        <w:ind w:left="850"/>
        <w:jc w:val="left"/>
        <w:rPr>
          <w:rFonts w:eastAsia="Calibri"/>
          <w:noProof/>
        </w:rPr>
        <w:sectPr>
          <w:pgSz w:w="11907" w:h="16840" w:code="9"/>
          <w:pgMar w:top="1134" w:right="1418" w:bottom="1134" w:left="1418" w:header="709" w:footer="709" w:gutter="0"/>
          <w:cols w:space="708"/>
          <w:docGrid w:linePitch="360"/>
        </w:sectPr>
      </w:pPr>
      <w:r>
        <w:rPr>
          <w:noProof/>
        </w:rPr>
        <w:t>Det samme som fastsat i Rådets forordning (EF) nr. 2012/2002</w:t>
      </w:r>
    </w:p>
    <w:p>
      <w:pPr>
        <w:keepNext/>
        <w:tabs>
          <w:tab w:val="left" w:pos="850"/>
        </w:tabs>
        <w:spacing w:before="360"/>
        <w:ind w:left="850" w:hanging="850"/>
        <w:outlineLvl w:val="0"/>
        <w:rPr>
          <w:rFonts w:eastAsia="Calibri"/>
          <w:b/>
          <w:bCs/>
          <w:smallCaps/>
          <w:noProof/>
          <w:szCs w:val="24"/>
        </w:rPr>
      </w:pPr>
      <w:r>
        <w:rPr>
          <w:b/>
          <w:smallCaps/>
          <w:noProof/>
        </w:rPr>
        <w:t>3.</w:t>
      </w:r>
      <w:r>
        <w:rPr>
          <w:b/>
          <w:smallCaps/>
          <w:noProof/>
        </w:rPr>
        <w:tab/>
        <w:t xml:space="preserve">FORSLAGETS/INITIATIVETS ANSLÅEDE FINANSIELLE VIRKNINGER </w:t>
      </w:r>
    </w:p>
    <w:p>
      <w:pPr>
        <w:keepNext/>
        <w:tabs>
          <w:tab w:val="left" w:pos="850"/>
        </w:tabs>
        <w:ind w:left="850" w:hanging="850"/>
        <w:outlineLvl w:val="1"/>
        <w:rPr>
          <w:rFonts w:eastAsia="Calibri"/>
          <w:b/>
          <w:noProof/>
        </w:rPr>
      </w:pPr>
      <w:r>
        <w:rPr>
          <w:b/>
          <w:noProof/>
        </w:rPr>
        <w:t>3.1.</w:t>
      </w:r>
      <w:r>
        <w:rPr>
          <w:b/>
          <w:noProof/>
        </w:rPr>
        <w:tab/>
        <w:t xml:space="preserve">Berørt(e) udgiftspost(er) på budgettet og udgiftsområde(r) i den flerårige finansielle ramme </w:t>
      </w:r>
    </w:p>
    <w:p>
      <w:pPr>
        <w:pStyle w:val="Text1"/>
        <w:rPr>
          <w:noProof/>
        </w:rPr>
      </w:pPr>
      <w:r>
        <w:rPr>
          <w:noProof/>
        </w:rPr>
        <w:t xml:space="preserve">- Eksisterende udgiftsposter på budgettet </w:t>
      </w:r>
    </w:p>
    <w:p>
      <w:pPr>
        <w:ind w:left="850"/>
        <w:rPr>
          <w:rFonts w:eastAsia="Calibri"/>
          <w:i/>
          <w:noProof/>
        </w:rPr>
      </w:pPr>
      <w:r>
        <w:rPr>
          <w:i/>
          <w:noProof/>
          <w:u w:val="single"/>
        </w:rPr>
        <w:t>I samme rækkefølge</w:t>
      </w:r>
      <w:r>
        <w:rPr>
          <w:i/>
          <w:noProof/>
        </w:rPr>
        <w:t xml:space="preserve"> som udgiftsområderne i den flerårige finansielle ramme og budgetposterne.</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53"/>
        <w:gridCol w:w="3687"/>
        <w:gridCol w:w="1080"/>
        <w:gridCol w:w="956"/>
        <w:gridCol w:w="1080"/>
        <w:gridCol w:w="956"/>
        <w:gridCol w:w="1448"/>
      </w:tblGrid>
      <w:tr>
        <w:tc>
          <w:tcPr>
            <w:tcW w:w="1353" w:type="dxa"/>
            <w:vMerge w:val="restart"/>
            <w:vAlign w:val="center"/>
          </w:tcPr>
          <w:p>
            <w:pPr>
              <w:spacing w:before="60" w:after="60"/>
              <w:jc w:val="center"/>
              <w:rPr>
                <w:rFonts w:eastAsia="Calibri"/>
                <w:noProof/>
              </w:rPr>
            </w:pPr>
            <w:r>
              <w:rPr>
                <w:noProof/>
                <w:sz w:val="18"/>
              </w:rPr>
              <w:t>Udgifts</w:t>
            </w:r>
            <w:r>
              <w:rPr>
                <w:noProof/>
                <w:sz w:val="18"/>
              </w:rPr>
              <w:softHyphen/>
              <w:t>område i den flerårige finansielle ramme</w:t>
            </w:r>
          </w:p>
        </w:tc>
        <w:tc>
          <w:tcPr>
            <w:tcW w:w="3687" w:type="dxa"/>
            <w:vAlign w:val="center"/>
          </w:tcPr>
          <w:p>
            <w:pPr>
              <w:spacing w:before="60" w:after="60"/>
              <w:jc w:val="center"/>
              <w:rPr>
                <w:rFonts w:eastAsia="Calibri"/>
                <w:noProof/>
              </w:rPr>
            </w:pPr>
            <w:r>
              <w:rPr>
                <w:noProof/>
                <w:sz w:val="20"/>
              </w:rPr>
              <w:t>Budgetpost</w:t>
            </w:r>
          </w:p>
        </w:tc>
        <w:tc>
          <w:tcPr>
            <w:tcW w:w="1080" w:type="dxa"/>
            <w:vAlign w:val="center"/>
          </w:tcPr>
          <w:p>
            <w:pPr>
              <w:spacing w:before="60" w:after="60"/>
              <w:jc w:val="center"/>
              <w:rPr>
                <w:rFonts w:eastAsia="Calibri"/>
                <w:noProof/>
              </w:rPr>
            </w:pPr>
            <w:r>
              <w:rPr>
                <w:noProof/>
                <w:sz w:val="18"/>
              </w:rPr>
              <w:t xml:space="preserve">Type of </w:t>
            </w:r>
            <w:r>
              <w:rPr>
                <w:noProof/>
                <w:sz w:val="22"/>
              </w:rPr>
              <w:br/>
            </w:r>
            <w:r>
              <w:rPr>
                <w:noProof/>
                <w:sz w:val="18"/>
              </w:rPr>
              <w:t>udgifter, som afholdes</w:t>
            </w:r>
          </w:p>
        </w:tc>
        <w:tc>
          <w:tcPr>
            <w:tcW w:w="4440" w:type="dxa"/>
            <w:gridSpan w:val="4"/>
            <w:vAlign w:val="center"/>
          </w:tcPr>
          <w:p>
            <w:pPr>
              <w:spacing w:before="60" w:after="60"/>
              <w:jc w:val="center"/>
              <w:rPr>
                <w:rFonts w:eastAsia="Calibri"/>
                <w:noProof/>
              </w:rPr>
            </w:pPr>
            <w:r>
              <w:rPr>
                <w:noProof/>
                <w:sz w:val="20"/>
              </w:rPr>
              <w:t xml:space="preserve">Bidrag </w:t>
            </w:r>
          </w:p>
        </w:tc>
      </w:tr>
      <w:tr>
        <w:tc>
          <w:tcPr>
            <w:tcW w:w="1353" w:type="dxa"/>
            <w:vMerge/>
            <w:vAlign w:val="center"/>
          </w:tcPr>
          <w:p>
            <w:pPr>
              <w:jc w:val="center"/>
              <w:rPr>
                <w:rFonts w:eastAsia="Calibri"/>
                <w:noProof/>
              </w:rPr>
            </w:pPr>
          </w:p>
        </w:tc>
        <w:tc>
          <w:tcPr>
            <w:tcW w:w="3687" w:type="dxa"/>
            <w:vAlign w:val="center"/>
          </w:tcPr>
          <w:p>
            <w:pPr>
              <w:rPr>
                <w:rFonts w:eastAsia="Calibri"/>
                <w:noProof/>
              </w:rPr>
            </w:pPr>
            <w:r>
              <w:rPr>
                <w:noProof/>
                <w:sz w:val="20"/>
              </w:rPr>
              <w:t xml:space="preserve">Nummer </w:t>
            </w:r>
            <w:r>
              <w:rPr>
                <w:noProof/>
                <w:sz w:val="22"/>
              </w:rPr>
              <w:br/>
            </w:r>
          </w:p>
        </w:tc>
        <w:tc>
          <w:tcPr>
            <w:tcW w:w="1080" w:type="dxa"/>
            <w:vAlign w:val="center"/>
          </w:tcPr>
          <w:p>
            <w:pPr>
              <w:jc w:val="center"/>
              <w:rPr>
                <w:rFonts w:eastAsia="Calibri"/>
                <w:noProof/>
              </w:rPr>
            </w:pPr>
            <w:r>
              <w:rPr>
                <w:noProof/>
                <w:sz w:val="18"/>
              </w:rPr>
              <w:t>OB/IOB</w:t>
            </w:r>
            <w:r>
              <w:rPr>
                <w:rStyle w:val="FootnoteReference"/>
                <w:noProof/>
                <w:sz w:val="18"/>
              </w:rPr>
              <w:footnoteReference w:id="6"/>
            </w:r>
            <w:r>
              <w:rPr>
                <w:noProof/>
              </w:rPr>
              <w:t xml:space="preserve"> </w:t>
            </w:r>
          </w:p>
        </w:tc>
        <w:tc>
          <w:tcPr>
            <w:tcW w:w="956" w:type="dxa"/>
            <w:vAlign w:val="center"/>
          </w:tcPr>
          <w:p>
            <w:pPr>
              <w:jc w:val="center"/>
              <w:rPr>
                <w:rFonts w:eastAsia="Calibri"/>
                <w:noProof/>
              </w:rPr>
            </w:pPr>
            <w:r>
              <w:rPr>
                <w:noProof/>
                <w:sz w:val="18"/>
              </w:rPr>
              <w:t>fra EFTA</w:t>
            </w:r>
            <w:r>
              <w:rPr>
                <w:noProof/>
                <w:sz w:val="18"/>
              </w:rPr>
              <w:softHyphen/>
              <w:t>lande</w:t>
            </w:r>
            <w:r>
              <w:rPr>
                <w:rStyle w:val="FootnoteReference"/>
                <w:noProof/>
                <w:sz w:val="18"/>
              </w:rPr>
              <w:footnoteReference w:id="7"/>
            </w:r>
          </w:p>
          <w:p>
            <w:pPr>
              <w:spacing w:before="0" w:after="0"/>
              <w:jc w:val="center"/>
              <w:rPr>
                <w:rFonts w:eastAsia="Calibri"/>
                <w:b/>
                <w:noProof/>
                <w:sz w:val="18"/>
              </w:rPr>
            </w:pPr>
          </w:p>
        </w:tc>
        <w:tc>
          <w:tcPr>
            <w:tcW w:w="1080" w:type="dxa"/>
            <w:vAlign w:val="center"/>
          </w:tcPr>
          <w:p>
            <w:pPr>
              <w:jc w:val="center"/>
              <w:rPr>
                <w:rFonts w:eastAsia="Calibri"/>
                <w:noProof/>
              </w:rPr>
            </w:pPr>
            <w:r>
              <w:rPr>
                <w:noProof/>
                <w:sz w:val="18"/>
              </w:rPr>
              <w:t>fra kandidat</w:t>
            </w:r>
            <w:r>
              <w:rPr>
                <w:noProof/>
                <w:sz w:val="18"/>
              </w:rPr>
              <w:softHyphen/>
              <w:t>lande</w:t>
            </w:r>
            <w:r>
              <w:rPr>
                <w:rStyle w:val="FootnoteReference"/>
                <w:noProof/>
                <w:sz w:val="18"/>
              </w:rPr>
              <w:footnoteReference w:id="8"/>
            </w:r>
          </w:p>
          <w:p>
            <w:pPr>
              <w:spacing w:before="0" w:after="0"/>
              <w:jc w:val="center"/>
              <w:rPr>
                <w:rFonts w:eastAsia="Calibri"/>
                <w:noProof/>
                <w:sz w:val="18"/>
              </w:rPr>
            </w:pPr>
          </w:p>
        </w:tc>
        <w:tc>
          <w:tcPr>
            <w:tcW w:w="956" w:type="dxa"/>
            <w:vAlign w:val="center"/>
          </w:tcPr>
          <w:p>
            <w:pPr>
              <w:jc w:val="center"/>
              <w:rPr>
                <w:rFonts w:eastAsia="Calibri"/>
                <w:noProof/>
                <w:sz w:val="18"/>
              </w:rPr>
            </w:pPr>
            <w:r>
              <w:rPr>
                <w:noProof/>
                <w:sz w:val="18"/>
              </w:rPr>
              <w:t>fra tredje</w:t>
            </w:r>
            <w:r>
              <w:rPr>
                <w:noProof/>
                <w:sz w:val="18"/>
              </w:rPr>
              <w:softHyphen/>
              <w:t>lande</w:t>
            </w:r>
          </w:p>
        </w:tc>
        <w:tc>
          <w:tcPr>
            <w:tcW w:w="1448" w:type="dxa"/>
            <w:vAlign w:val="center"/>
          </w:tcPr>
          <w:p>
            <w:pPr>
              <w:jc w:val="center"/>
              <w:rPr>
                <w:rFonts w:eastAsia="Calibri"/>
                <w:noProof/>
              </w:rPr>
            </w:pPr>
            <w:r>
              <w:rPr>
                <w:noProof/>
                <w:sz w:val="16"/>
              </w:rPr>
              <w:t>iht. finans</w:t>
            </w:r>
            <w:r>
              <w:rPr>
                <w:noProof/>
                <w:sz w:val="16"/>
              </w:rPr>
              <w:softHyphen/>
              <w:t>forord</w:t>
            </w:r>
            <w:r>
              <w:rPr>
                <w:noProof/>
                <w:sz w:val="16"/>
              </w:rPr>
              <w:softHyphen/>
              <w:t xml:space="preserve">ningens artikel 21, stk. 2, litra b) </w:t>
            </w:r>
          </w:p>
        </w:tc>
      </w:tr>
      <w:tr>
        <w:tc>
          <w:tcPr>
            <w:tcW w:w="1353" w:type="dxa"/>
            <w:shd w:val="clear" w:color="auto" w:fill="FFFF00"/>
            <w:vAlign w:val="center"/>
          </w:tcPr>
          <w:p>
            <w:pPr>
              <w:autoSpaceDE w:val="0"/>
              <w:autoSpaceDN w:val="0"/>
              <w:adjustRightInd w:val="0"/>
              <w:spacing w:before="0" w:after="0"/>
              <w:rPr>
                <w:rFonts w:eastAsia="Calibri"/>
                <w:noProof/>
                <w:color w:val="0000FF"/>
                <w:szCs w:val="24"/>
              </w:rPr>
            </w:pPr>
            <w:r>
              <w:rPr>
                <w:noProof/>
                <w:sz w:val="22"/>
              </w:rPr>
              <w:t>Udgiftsområde 9: Særlige instrumenter</w:t>
            </w:r>
          </w:p>
        </w:tc>
        <w:tc>
          <w:tcPr>
            <w:tcW w:w="3687" w:type="dxa"/>
            <w:vAlign w:val="center"/>
          </w:tcPr>
          <w:p>
            <w:pPr>
              <w:spacing w:before="60"/>
              <w:rPr>
                <w:rFonts w:eastAsia="Calibri"/>
                <w:noProof/>
                <w:sz w:val="22"/>
              </w:rPr>
            </w:pPr>
          </w:p>
          <w:p>
            <w:pPr>
              <w:autoSpaceDE w:val="0"/>
              <w:autoSpaceDN w:val="0"/>
              <w:adjustRightInd w:val="0"/>
              <w:spacing w:before="0" w:after="0"/>
              <w:rPr>
                <w:rFonts w:eastAsia="Calibri"/>
                <w:noProof/>
                <w:color w:val="000000"/>
                <w:szCs w:val="24"/>
              </w:rPr>
            </w:pPr>
            <w:r>
              <w:rPr>
                <w:noProof/>
                <w:sz w:val="22"/>
              </w:rPr>
              <w:t xml:space="preserve">13 06 01 - Bistand til medlemsstaterne i forbindelse med en større naturkatastrofe, som har en alvorlig indvirkning på borgernes livsvilkår, det naturlige miljø eller økonomien </w:t>
            </w:r>
          </w:p>
          <w:p>
            <w:pPr>
              <w:spacing w:after="60"/>
              <w:rPr>
                <w:rFonts w:eastAsia="Calibri"/>
                <w:noProof/>
              </w:rPr>
            </w:pPr>
          </w:p>
        </w:tc>
        <w:tc>
          <w:tcPr>
            <w:tcW w:w="1080" w:type="dxa"/>
            <w:vAlign w:val="center"/>
          </w:tcPr>
          <w:p>
            <w:pPr>
              <w:autoSpaceDE w:val="0"/>
              <w:autoSpaceDN w:val="0"/>
              <w:adjustRightInd w:val="0"/>
              <w:spacing w:before="0" w:after="0"/>
              <w:jc w:val="center"/>
              <w:rPr>
                <w:rFonts w:eastAsia="Calibri"/>
                <w:noProof/>
                <w:color w:val="0000FF"/>
                <w:szCs w:val="24"/>
              </w:rPr>
            </w:pPr>
            <w:r>
              <w:rPr>
                <w:noProof/>
                <w:sz w:val="22"/>
              </w:rPr>
              <w:t>Opdelte</w:t>
            </w:r>
          </w:p>
        </w:tc>
        <w:tc>
          <w:tcPr>
            <w:tcW w:w="956" w:type="dxa"/>
            <w:vAlign w:val="center"/>
          </w:tcPr>
          <w:p>
            <w:pPr>
              <w:jc w:val="center"/>
              <w:rPr>
                <w:rFonts w:eastAsia="Calibri"/>
                <w:noProof/>
                <w:sz w:val="20"/>
              </w:rPr>
            </w:pPr>
            <w:r>
              <w:rPr>
                <w:noProof/>
                <w:sz w:val="20"/>
              </w:rPr>
              <w:t>NEJ</w:t>
            </w:r>
          </w:p>
        </w:tc>
        <w:tc>
          <w:tcPr>
            <w:tcW w:w="1080" w:type="dxa"/>
            <w:vAlign w:val="center"/>
          </w:tcPr>
          <w:p>
            <w:pPr>
              <w:jc w:val="center"/>
              <w:rPr>
                <w:rFonts w:eastAsia="Calibri"/>
                <w:noProof/>
                <w:sz w:val="20"/>
              </w:rPr>
            </w:pPr>
            <w:r>
              <w:rPr>
                <w:noProof/>
                <w:sz w:val="20"/>
              </w:rPr>
              <w:t>NEJ</w:t>
            </w:r>
          </w:p>
        </w:tc>
        <w:tc>
          <w:tcPr>
            <w:tcW w:w="956" w:type="dxa"/>
            <w:vAlign w:val="center"/>
          </w:tcPr>
          <w:p>
            <w:pPr>
              <w:jc w:val="center"/>
              <w:rPr>
                <w:rFonts w:eastAsia="Calibri"/>
                <w:noProof/>
                <w:sz w:val="20"/>
              </w:rPr>
            </w:pPr>
            <w:r>
              <w:rPr>
                <w:noProof/>
                <w:sz w:val="20"/>
              </w:rPr>
              <w:t>NEJ</w:t>
            </w:r>
          </w:p>
        </w:tc>
        <w:tc>
          <w:tcPr>
            <w:tcW w:w="1448" w:type="dxa"/>
            <w:vAlign w:val="center"/>
          </w:tcPr>
          <w:p>
            <w:pPr>
              <w:rPr>
                <w:rFonts w:eastAsia="Calibri"/>
                <w:noProof/>
                <w:sz w:val="20"/>
              </w:rPr>
            </w:pPr>
            <w:r>
              <w:rPr>
                <w:noProof/>
                <w:sz w:val="20"/>
              </w:rPr>
              <w:t xml:space="preserve">      NEJ</w:t>
            </w:r>
          </w:p>
        </w:tc>
      </w:tr>
    </w:tbl>
    <w:p>
      <w:pPr>
        <w:keepNext/>
        <w:tabs>
          <w:tab w:val="left" w:pos="850"/>
        </w:tabs>
        <w:ind w:left="850" w:hanging="850"/>
        <w:outlineLvl w:val="1"/>
        <w:rPr>
          <w:rFonts w:eastAsia="Calibri"/>
          <w:b/>
          <w:bCs/>
          <w:noProof/>
          <w:szCs w:val="24"/>
        </w:rPr>
      </w:pPr>
      <w:r>
        <w:rPr>
          <w:b/>
          <w:noProof/>
        </w:rPr>
        <w:t>3.2.</w:t>
      </w:r>
      <w:r>
        <w:rPr>
          <w:b/>
          <w:noProof/>
        </w:rPr>
        <w:tab/>
        <w:t xml:space="preserve">Forslagets anslåede finansielle virkninger for bevillingerne </w:t>
      </w:r>
    </w:p>
    <w:p>
      <w:pPr>
        <w:keepNext/>
        <w:tabs>
          <w:tab w:val="left" w:pos="850"/>
        </w:tabs>
        <w:ind w:left="850" w:hanging="850"/>
        <w:outlineLvl w:val="2"/>
        <w:rPr>
          <w:rFonts w:eastAsia="Calibri"/>
          <w:i/>
          <w:noProof/>
        </w:rPr>
      </w:pPr>
      <w:r>
        <w:rPr>
          <w:i/>
          <w:noProof/>
        </w:rPr>
        <w:t>3.2.1.</w:t>
      </w:r>
      <w:r>
        <w:rPr>
          <w:i/>
          <w:noProof/>
        </w:rPr>
        <w:tab/>
        <w:t xml:space="preserve">Sammenfatning af de anslåede virkninger for aktionsbevillingerne </w:t>
      </w:r>
    </w:p>
    <w:p>
      <w:pPr>
        <w:ind w:left="850"/>
        <w:rPr>
          <w:rFonts w:eastAsia="Calibri"/>
          <w:noProof/>
        </w:rPr>
      </w:pPr>
      <w:r>
        <w:rPr>
          <w:noProof/>
        </w:rPr>
        <w:sym w:font="Wingdings" w:char="F0A8"/>
      </w:r>
      <w:r>
        <w:rPr>
          <w:noProof/>
        </w:rPr>
        <w:tab/>
        <w:t xml:space="preserve">Denne forordning har ingen finansielle virkninger.  </w:t>
      </w:r>
    </w:p>
    <w:p>
      <w:pPr>
        <w:ind w:left="850"/>
        <w:rPr>
          <w:rFonts w:eastAsia="Calibri"/>
          <w:noProof/>
        </w:rPr>
      </w:pPr>
      <w:r>
        <w:rPr>
          <w:noProof/>
        </w:rPr>
        <w:t>X</w:t>
      </w:r>
      <w:r>
        <w:rPr>
          <w:noProof/>
        </w:rPr>
        <w:tab/>
        <w:t>Forslaget/initiativet medfører anvendelse af aktionsbevillinger, som fortsat er omfattet af de maksimale bevillinger til Solidaritetsfonden i FFR.</w:t>
      </w:r>
    </w:p>
    <w:p>
      <w:pPr>
        <w:jc w:val="right"/>
        <w:rPr>
          <w:rFonts w:eastAsia="Calibri"/>
          <w:noProof/>
          <w:sz w:val="18"/>
          <w:szCs w:val="18"/>
        </w:rPr>
      </w:pPr>
      <w:r>
        <w:rPr>
          <w:noProof/>
          <w:sz w:val="18"/>
          <w:szCs w:val="18"/>
        </w:rPr>
        <w:t xml:space="preserve">EUR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rFonts w:eastAsia="Calibri"/>
                <w:b/>
                <w:noProof/>
              </w:rPr>
            </w:pPr>
            <w:r>
              <w:rPr>
                <w:noProof/>
              </w:rPr>
              <w:br w:type="page"/>
            </w:r>
            <w:r>
              <w:rPr>
                <w:b/>
                <w:noProof/>
                <w:sz w:val="22"/>
              </w:rPr>
              <w:t xml:space="preserve">Udgiftsområde i den flerårige finansielle </w:t>
            </w:r>
            <w:r>
              <w:rPr>
                <w:noProof/>
                <w:sz w:val="22"/>
              </w:rPr>
              <w:br/>
            </w:r>
            <w:r>
              <w:rPr>
                <w:b/>
                <w:noProof/>
                <w:sz w:val="22"/>
              </w:rPr>
              <w:t xml:space="preserve">ramme </w:t>
            </w:r>
          </w:p>
        </w:tc>
        <w:tc>
          <w:tcPr>
            <w:tcW w:w="1080" w:type="dxa"/>
            <w:vAlign w:val="center"/>
          </w:tcPr>
          <w:p>
            <w:pPr>
              <w:spacing w:before="60" w:after="60"/>
              <w:jc w:val="center"/>
              <w:rPr>
                <w:rFonts w:eastAsia="Calibri"/>
                <w:noProof/>
              </w:rPr>
            </w:pPr>
            <w:r>
              <w:rPr>
                <w:noProof/>
                <w:sz w:val="22"/>
              </w:rPr>
              <w:t>9</w:t>
            </w:r>
          </w:p>
        </w:tc>
        <w:tc>
          <w:tcPr>
            <w:tcW w:w="7817" w:type="dxa"/>
            <w:vAlign w:val="center"/>
          </w:tcPr>
          <w:p>
            <w:pPr>
              <w:spacing w:before="60" w:after="60"/>
              <w:rPr>
                <w:rFonts w:eastAsia="Calibri"/>
                <w:noProof/>
              </w:rPr>
            </w:pPr>
            <w:r>
              <w:rPr>
                <w:noProof/>
              </w:rPr>
              <w:t>Særlige instrumenter</w:t>
            </w:r>
          </w:p>
        </w:tc>
      </w:tr>
    </w:tbl>
    <w:p>
      <w:pPr>
        <w:rPr>
          <w:rFonts w:eastAsia="Calibri"/>
          <w:noProof/>
          <w:sz w:val="16"/>
        </w:rPr>
      </w:pPr>
    </w:p>
    <w:tbl>
      <w:tblPr>
        <w:tblW w:w="15952" w:type="dxa"/>
        <w:tblInd w:w="-9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1252"/>
        <w:gridCol w:w="1116"/>
        <w:gridCol w:w="1010"/>
        <w:gridCol w:w="1134"/>
        <w:gridCol w:w="1418"/>
        <w:gridCol w:w="1559"/>
        <w:gridCol w:w="2409"/>
      </w:tblGrid>
      <w:tr>
        <w:trPr>
          <w:trHeight w:val="1068"/>
        </w:trPr>
        <w:tc>
          <w:tcPr>
            <w:tcW w:w="3960" w:type="dxa"/>
            <w:vAlign w:val="center"/>
          </w:tcPr>
          <w:p>
            <w:pPr>
              <w:rPr>
                <w:rFonts w:eastAsia="Calibri"/>
                <w:noProof/>
              </w:rPr>
            </w:pPr>
          </w:p>
        </w:tc>
        <w:tc>
          <w:tcPr>
            <w:tcW w:w="1560" w:type="dxa"/>
            <w:gridSpan w:val="2"/>
          </w:tcPr>
          <w:p>
            <w:pPr>
              <w:rPr>
                <w:rFonts w:eastAsia="Calibri"/>
                <w:noProof/>
                <w:sz w:val="20"/>
              </w:rPr>
            </w:pPr>
          </w:p>
        </w:tc>
        <w:tc>
          <w:tcPr>
            <w:tcW w:w="534" w:type="dxa"/>
          </w:tcPr>
          <w:p>
            <w:pPr>
              <w:jc w:val="center"/>
              <w:rPr>
                <w:rFonts w:eastAsia="Calibri"/>
                <w:noProof/>
                <w:sz w:val="20"/>
              </w:rPr>
            </w:pPr>
          </w:p>
        </w:tc>
        <w:tc>
          <w:tcPr>
            <w:tcW w:w="1252" w:type="dxa"/>
            <w:vAlign w:val="center"/>
          </w:tcPr>
          <w:p>
            <w:pPr>
              <w:jc w:val="center"/>
              <w:rPr>
                <w:rFonts w:eastAsia="Calibri"/>
                <w:noProof/>
                <w:sz w:val="20"/>
              </w:rPr>
            </w:pPr>
            <w:r>
              <w:rPr>
                <w:noProof/>
                <w:sz w:val="20"/>
              </w:rPr>
              <w:t>2019</w:t>
            </w:r>
          </w:p>
        </w:tc>
        <w:tc>
          <w:tcPr>
            <w:tcW w:w="1116" w:type="dxa"/>
            <w:vAlign w:val="center"/>
          </w:tcPr>
          <w:p>
            <w:pPr>
              <w:jc w:val="center"/>
              <w:rPr>
                <w:rFonts w:eastAsia="Calibri"/>
                <w:noProof/>
                <w:sz w:val="20"/>
              </w:rPr>
            </w:pPr>
            <w:r>
              <w:rPr>
                <w:noProof/>
                <w:sz w:val="20"/>
              </w:rPr>
              <w:t>2020</w:t>
            </w:r>
          </w:p>
        </w:tc>
        <w:tc>
          <w:tcPr>
            <w:tcW w:w="1010" w:type="dxa"/>
            <w:vAlign w:val="center"/>
          </w:tcPr>
          <w:p>
            <w:pPr>
              <w:jc w:val="center"/>
              <w:rPr>
                <w:rFonts w:eastAsia="Calibri"/>
                <w:noProof/>
                <w:sz w:val="20"/>
              </w:rPr>
            </w:pPr>
            <w:r>
              <w:rPr>
                <w:noProof/>
                <w:sz w:val="20"/>
              </w:rPr>
              <w:t>2021</w:t>
            </w:r>
          </w:p>
        </w:tc>
        <w:tc>
          <w:tcPr>
            <w:tcW w:w="1134" w:type="dxa"/>
            <w:vAlign w:val="center"/>
          </w:tcPr>
          <w:p>
            <w:pPr>
              <w:jc w:val="center"/>
              <w:rPr>
                <w:rFonts w:eastAsia="Calibri"/>
                <w:noProof/>
                <w:sz w:val="20"/>
              </w:rPr>
            </w:pPr>
            <w:r>
              <w:rPr>
                <w:noProof/>
                <w:sz w:val="20"/>
              </w:rPr>
              <w:t>2022</w:t>
            </w:r>
          </w:p>
        </w:tc>
        <w:tc>
          <w:tcPr>
            <w:tcW w:w="1418" w:type="dxa"/>
          </w:tcPr>
          <w:p>
            <w:pPr>
              <w:rPr>
                <w:rFonts w:eastAsia="Calibri"/>
                <w:noProof/>
                <w:sz w:val="20"/>
              </w:rPr>
            </w:pPr>
            <w:r>
              <w:rPr>
                <w:noProof/>
                <w:sz w:val="20"/>
              </w:rPr>
              <w:t xml:space="preserve">   </w:t>
            </w:r>
          </w:p>
          <w:p>
            <w:pPr>
              <w:rPr>
                <w:rFonts w:eastAsia="Calibri"/>
                <w:noProof/>
                <w:sz w:val="20"/>
              </w:rPr>
            </w:pPr>
            <w:r>
              <w:rPr>
                <w:noProof/>
                <w:sz w:val="20"/>
              </w:rPr>
              <w:t xml:space="preserve">      2023</w:t>
            </w:r>
          </w:p>
        </w:tc>
        <w:tc>
          <w:tcPr>
            <w:tcW w:w="1559" w:type="dxa"/>
          </w:tcPr>
          <w:p>
            <w:pPr>
              <w:jc w:val="center"/>
              <w:rPr>
                <w:rFonts w:eastAsia="Calibri"/>
                <w:noProof/>
                <w:sz w:val="20"/>
              </w:rPr>
            </w:pPr>
          </w:p>
          <w:p>
            <w:pPr>
              <w:jc w:val="center"/>
              <w:rPr>
                <w:rFonts w:eastAsia="Calibri"/>
                <w:noProof/>
                <w:sz w:val="20"/>
              </w:rPr>
            </w:pPr>
            <w:r>
              <w:rPr>
                <w:noProof/>
                <w:sz w:val="20"/>
              </w:rPr>
              <w:t>Efterfølgende år</w:t>
            </w:r>
          </w:p>
        </w:tc>
        <w:tc>
          <w:tcPr>
            <w:tcW w:w="2409" w:type="dxa"/>
            <w:vAlign w:val="center"/>
          </w:tcPr>
          <w:p>
            <w:pPr>
              <w:jc w:val="center"/>
              <w:rPr>
                <w:rFonts w:eastAsia="Calibri"/>
                <w:b/>
                <w:noProof/>
                <w:sz w:val="20"/>
              </w:rPr>
            </w:pPr>
            <w:r>
              <w:rPr>
                <w:b/>
                <w:noProof/>
                <w:sz w:val="20"/>
              </w:rPr>
              <w:t>I ALT</w:t>
            </w:r>
          </w:p>
        </w:tc>
      </w:tr>
      <w:tr>
        <w:trPr>
          <w:trHeight w:val="213"/>
        </w:trPr>
        <w:tc>
          <w:tcPr>
            <w:tcW w:w="6054" w:type="dxa"/>
            <w:gridSpan w:val="4"/>
            <w:vAlign w:val="center"/>
          </w:tcPr>
          <w:p>
            <w:pPr>
              <w:spacing w:before="20" w:after="20"/>
              <w:rPr>
                <w:rFonts w:eastAsia="Calibri"/>
                <w:b/>
                <w:noProof/>
                <w:szCs w:val="24"/>
              </w:rPr>
            </w:pPr>
            <w:r>
              <w:rPr>
                <w:noProof/>
                <w:sz w:val="21"/>
              </w:rPr>
              <w:sym w:font="Wingdings" w:char="F09F"/>
            </w:r>
            <w:r>
              <w:rPr>
                <w:noProof/>
                <w:sz w:val="21"/>
              </w:rPr>
              <w:t xml:space="preserve"> </w:t>
            </w:r>
            <w:r>
              <w:rPr>
                <w:b/>
                <w:noProof/>
              </w:rPr>
              <w:t>Aktionsbevilling</w:t>
            </w:r>
          </w:p>
        </w:tc>
        <w:tc>
          <w:tcPr>
            <w:tcW w:w="1252" w:type="dxa"/>
            <w:vAlign w:val="center"/>
          </w:tcPr>
          <w:p>
            <w:pPr>
              <w:rPr>
                <w:rFonts w:eastAsia="Calibri"/>
                <w:noProof/>
                <w:sz w:val="20"/>
              </w:rPr>
            </w:pPr>
          </w:p>
        </w:tc>
        <w:tc>
          <w:tcPr>
            <w:tcW w:w="1116" w:type="dxa"/>
            <w:vAlign w:val="center"/>
          </w:tcPr>
          <w:p>
            <w:pPr>
              <w:rPr>
                <w:rFonts w:eastAsia="Calibri"/>
                <w:noProof/>
                <w:sz w:val="20"/>
              </w:rPr>
            </w:pPr>
          </w:p>
        </w:tc>
        <w:tc>
          <w:tcPr>
            <w:tcW w:w="1010" w:type="dxa"/>
            <w:vAlign w:val="center"/>
          </w:tcPr>
          <w:p>
            <w:pPr>
              <w:rPr>
                <w:rFonts w:eastAsia="Calibri"/>
                <w:noProof/>
                <w:sz w:val="20"/>
              </w:rPr>
            </w:pPr>
          </w:p>
        </w:tc>
        <w:tc>
          <w:tcPr>
            <w:tcW w:w="1134" w:type="dxa"/>
            <w:vAlign w:val="center"/>
          </w:tcPr>
          <w:p>
            <w:pPr>
              <w:rPr>
                <w:rFonts w:eastAsia="Calibri"/>
                <w:noProof/>
                <w:sz w:val="20"/>
              </w:rPr>
            </w:pPr>
          </w:p>
        </w:tc>
        <w:tc>
          <w:tcPr>
            <w:tcW w:w="1418" w:type="dxa"/>
          </w:tcPr>
          <w:p>
            <w:pPr>
              <w:rPr>
                <w:rFonts w:eastAsia="Calibri"/>
                <w:b/>
                <w:noProof/>
                <w:sz w:val="20"/>
              </w:rPr>
            </w:pPr>
          </w:p>
        </w:tc>
        <w:tc>
          <w:tcPr>
            <w:tcW w:w="1559" w:type="dxa"/>
          </w:tcPr>
          <w:p>
            <w:pPr>
              <w:rPr>
                <w:rFonts w:eastAsia="Calibri"/>
                <w:b/>
                <w:noProof/>
                <w:sz w:val="20"/>
              </w:rPr>
            </w:pPr>
          </w:p>
        </w:tc>
        <w:tc>
          <w:tcPr>
            <w:tcW w:w="2409" w:type="dxa"/>
            <w:vAlign w:val="center"/>
          </w:tcPr>
          <w:p>
            <w:pPr>
              <w:rPr>
                <w:rFonts w:eastAsia="Calibri"/>
                <w:b/>
                <w:noProof/>
                <w:sz w:val="20"/>
              </w:rPr>
            </w:pPr>
          </w:p>
        </w:tc>
      </w:tr>
      <w:tr>
        <w:trPr>
          <w:trHeight w:val="509"/>
        </w:trPr>
        <w:tc>
          <w:tcPr>
            <w:tcW w:w="3960" w:type="dxa"/>
            <w:vMerge w:val="restart"/>
            <w:vAlign w:val="center"/>
          </w:tcPr>
          <w:p>
            <w:pPr>
              <w:rPr>
                <w:rFonts w:eastAsia="Calibri"/>
                <w:noProof/>
                <w:sz w:val="20"/>
              </w:rPr>
            </w:pPr>
            <w:r>
              <w:rPr>
                <w:noProof/>
                <w:sz w:val="20"/>
              </w:rPr>
              <w:t>13 06 01 - Bistand til medlemsstaterne i forbindelse med en større naturkatastrofe, som har en alvorlig indvirkning på borgernes livsvilkår, det naturlige miljø eller økonomien</w:t>
            </w:r>
          </w:p>
        </w:tc>
        <w:tc>
          <w:tcPr>
            <w:tcW w:w="1440" w:type="dxa"/>
            <w:vAlign w:val="center"/>
          </w:tcPr>
          <w:p>
            <w:pPr>
              <w:spacing w:before="20" w:after="20"/>
              <w:rPr>
                <w:rFonts w:eastAsia="Calibri"/>
                <w:noProof/>
                <w:sz w:val="18"/>
              </w:rPr>
            </w:pPr>
            <w:r>
              <w:rPr>
                <w:noProof/>
                <w:sz w:val="18"/>
              </w:rPr>
              <w:t>Forpligtelser</w:t>
            </w:r>
          </w:p>
        </w:tc>
        <w:tc>
          <w:tcPr>
            <w:tcW w:w="654" w:type="dxa"/>
            <w:gridSpan w:val="2"/>
            <w:vAlign w:val="center"/>
          </w:tcPr>
          <w:p>
            <w:pPr>
              <w:spacing w:before="20" w:after="20"/>
              <w:jc w:val="center"/>
              <w:rPr>
                <w:rFonts w:eastAsia="Calibri"/>
                <w:noProof/>
                <w:sz w:val="14"/>
              </w:rPr>
            </w:pPr>
            <w:r>
              <w:rPr>
                <w:noProof/>
                <w:sz w:val="14"/>
              </w:rPr>
              <w:t>(1a)</w:t>
            </w:r>
          </w:p>
        </w:tc>
        <w:tc>
          <w:tcPr>
            <w:tcW w:w="1252" w:type="dxa"/>
            <w:shd w:val="clear" w:color="auto" w:fill="FFFFFF"/>
            <w:vAlign w:val="center"/>
          </w:tcPr>
          <w:p>
            <w:pPr>
              <w:spacing w:before="20" w:after="20"/>
              <w:jc w:val="right"/>
              <w:rPr>
                <w:rFonts w:eastAsia="Calibri"/>
                <w:noProof/>
                <w:sz w:val="18"/>
                <w:szCs w:val="18"/>
              </w:rPr>
            </w:pPr>
            <w:r>
              <w:rPr>
                <w:noProof/>
                <w:sz w:val="18"/>
                <w:szCs w:val="18"/>
              </w:rPr>
              <w:t xml:space="preserve">   </w:t>
            </w:r>
          </w:p>
        </w:tc>
        <w:tc>
          <w:tcPr>
            <w:tcW w:w="1116" w:type="dxa"/>
            <w:shd w:val="clear" w:color="auto" w:fill="FFFFFF"/>
            <w:vAlign w:val="center"/>
          </w:tcPr>
          <w:p>
            <w:pPr>
              <w:spacing w:before="20" w:after="20"/>
              <w:jc w:val="right"/>
              <w:rPr>
                <w:rFonts w:eastAsia="Calibri"/>
                <w:noProof/>
                <w:sz w:val="18"/>
                <w:szCs w:val="18"/>
              </w:rPr>
            </w:pPr>
          </w:p>
        </w:tc>
        <w:tc>
          <w:tcPr>
            <w:tcW w:w="1010" w:type="dxa"/>
            <w:shd w:val="clear" w:color="auto" w:fill="FFFFFF"/>
            <w:vAlign w:val="center"/>
          </w:tcPr>
          <w:p>
            <w:pPr>
              <w:spacing w:before="20" w:after="20"/>
              <w:jc w:val="right"/>
              <w:rPr>
                <w:rFonts w:eastAsia="Calibri"/>
                <w:noProof/>
                <w:sz w:val="18"/>
                <w:szCs w:val="18"/>
              </w:rPr>
            </w:pPr>
          </w:p>
        </w:tc>
        <w:tc>
          <w:tcPr>
            <w:tcW w:w="1134" w:type="dxa"/>
            <w:shd w:val="clear" w:color="auto" w:fill="FFFFFF"/>
            <w:vAlign w:val="center"/>
          </w:tcPr>
          <w:p>
            <w:pPr>
              <w:spacing w:before="20" w:after="20"/>
              <w:jc w:val="right"/>
              <w:rPr>
                <w:rFonts w:eastAsia="Calibri"/>
                <w:noProof/>
                <w:sz w:val="18"/>
                <w:szCs w:val="18"/>
              </w:rPr>
            </w:pPr>
          </w:p>
        </w:tc>
        <w:tc>
          <w:tcPr>
            <w:tcW w:w="1418" w:type="dxa"/>
            <w:shd w:val="clear" w:color="auto" w:fill="FFFFFF"/>
          </w:tcPr>
          <w:p>
            <w:pPr>
              <w:spacing w:before="20" w:after="20"/>
              <w:jc w:val="right"/>
              <w:rPr>
                <w:rFonts w:eastAsia="Calibri"/>
                <w:noProof/>
                <w:sz w:val="18"/>
                <w:szCs w:val="18"/>
              </w:rPr>
            </w:pPr>
          </w:p>
        </w:tc>
        <w:tc>
          <w:tcPr>
            <w:tcW w:w="1559" w:type="dxa"/>
            <w:shd w:val="clear" w:color="auto" w:fill="FFFFFF"/>
          </w:tcPr>
          <w:p>
            <w:pPr>
              <w:spacing w:before="20" w:after="20"/>
              <w:jc w:val="right"/>
              <w:rPr>
                <w:rFonts w:eastAsia="Calibri"/>
                <w:noProof/>
                <w:sz w:val="18"/>
                <w:szCs w:val="18"/>
              </w:rPr>
            </w:pPr>
          </w:p>
        </w:tc>
        <w:tc>
          <w:tcPr>
            <w:tcW w:w="2409" w:type="dxa"/>
            <w:shd w:val="clear" w:color="auto" w:fill="FFFFFF"/>
            <w:vAlign w:val="center"/>
          </w:tcPr>
          <w:p>
            <w:pPr>
              <w:spacing w:before="20" w:after="20"/>
              <w:jc w:val="right"/>
              <w:rPr>
                <w:rFonts w:eastAsia="Calibri"/>
                <w:noProof/>
                <w:sz w:val="18"/>
                <w:szCs w:val="18"/>
              </w:rPr>
            </w:pPr>
          </w:p>
        </w:tc>
      </w:tr>
      <w:tr>
        <w:tc>
          <w:tcPr>
            <w:tcW w:w="3960" w:type="dxa"/>
            <w:vMerge/>
          </w:tcPr>
          <w:p>
            <w:pPr>
              <w:jc w:val="center"/>
              <w:rPr>
                <w:rFonts w:eastAsia="Calibri"/>
                <w:noProof/>
                <w:sz w:val="20"/>
              </w:rPr>
            </w:pPr>
          </w:p>
        </w:tc>
        <w:tc>
          <w:tcPr>
            <w:tcW w:w="1440" w:type="dxa"/>
            <w:vAlign w:val="center"/>
          </w:tcPr>
          <w:p>
            <w:pPr>
              <w:spacing w:before="20" w:after="20"/>
              <w:rPr>
                <w:rFonts w:eastAsia="Calibri"/>
                <w:noProof/>
                <w:sz w:val="18"/>
              </w:rPr>
            </w:pPr>
            <w:r>
              <w:rPr>
                <w:noProof/>
                <w:sz w:val="18"/>
              </w:rPr>
              <w:t>Betalinger</w:t>
            </w:r>
          </w:p>
        </w:tc>
        <w:tc>
          <w:tcPr>
            <w:tcW w:w="654" w:type="dxa"/>
            <w:gridSpan w:val="2"/>
            <w:vAlign w:val="center"/>
          </w:tcPr>
          <w:p>
            <w:pPr>
              <w:spacing w:before="20" w:after="20"/>
              <w:jc w:val="center"/>
              <w:rPr>
                <w:rFonts w:eastAsia="Calibri"/>
                <w:noProof/>
                <w:sz w:val="14"/>
              </w:rPr>
            </w:pPr>
            <w:r>
              <w:rPr>
                <w:noProof/>
                <w:sz w:val="14"/>
              </w:rPr>
              <w:t>(2a)</w:t>
            </w:r>
          </w:p>
        </w:tc>
        <w:tc>
          <w:tcPr>
            <w:tcW w:w="1252" w:type="dxa"/>
            <w:shd w:val="clear" w:color="auto" w:fill="FFFFFF"/>
            <w:vAlign w:val="center"/>
          </w:tcPr>
          <w:p>
            <w:pPr>
              <w:spacing w:before="20" w:after="20"/>
              <w:jc w:val="right"/>
              <w:rPr>
                <w:rFonts w:eastAsia="Calibri"/>
                <w:noProof/>
                <w:sz w:val="18"/>
                <w:szCs w:val="18"/>
              </w:rPr>
            </w:pPr>
          </w:p>
        </w:tc>
        <w:tc>
          <w:tcPr>
            <w:tcW w:w="1116" w:type="dxa"/>
            <w:shd w:val="clear" w:color="auto" w:fill="FFFFFF"/>
            <w:vAlign w:val="center"/>
          </w:tcPr>
          <w:p>
            <w:pPr>
              <w:spacing w:before="20" w:after="20"/>
              <w:jc w:val="right"/>
              <w:rPr>
                <w:rFonts w:eastAsia="Calibri"/>
                <w:noProof/>
                <w:sz w:val="18"/>
                <w:szCs w:val="18"/>
              </w:rPr>
            </w:pPr>
          </w:p>
        </w:tc>
        <w:tc>
          <w:tcPr>
            <w:tcW w:w="1010" w:type="dxa"/>
            <w:shd w:val="clear" w:color="auto" w:fill="FFFFFF"/>
            <w:vAlign w:val="center"/>
          </w:tcPr>
          <w:p>
            <w:pPr>
              <w:spacing w:before="20" w:after="20"/>
              <w:jc w:val="right"/>
              <w:rPr>
                <w:rFonts w:eastAsia="Calibri"/>
                <w:noProof/>
                <w:sz w:val="18"/>
                <w:szCs w:val="18"/>
              </w:rPr>
            </w:pPr>
          </w:p>
        </w:tc>
        <w:tc>
          <w:tcPr>
            <w:tcW w:w="1134" w:type="dxa"/>
            <w:shd w:val="clear" w:color="auto" w:fill="FFFFFF"/>
            <w:vAlign w:val="center"/>
          </w:tcPr>
          <w:p>
            <w:pPr>
              <w:spacing w:before="20" w:after="20"/>
              <w:jc w:val="right"/>
              <w:rPr>
                <w:rFonts w:eastAsia="Calibri"/>
                <w:noProof/>
                <w:sz w:val="18"/>
                <w:szCs w:val="18"/>
              </w:rPr>
            </w:pPr>
          </w:p>
        </w:tc>
        <w:tc>
          <w:tcPr>
            <w:tcW w:w="1418" w:type="dxa"/>
            <w:shd w:val="clear" w:color="auto" w:fill="FFFFFF"/>
          </w:tcPr>
          <w:p>
            <w:pPr>
              <w:spacing w:before="20" w:after="20"/>
              <w:jc w:val="right"/>
              <w:rPr>
                <w:rFonts w:eastAsia="Calibri"/>
                <w:noProof/>
                <w:sz w:val="18"/>
                <w:szCs w:val="18"/>
              </w:rPr>
            </w:pPr>
          </w:p>
        </w:tc>
        <w:tc>
          <w:tcPr>
            <w:tcW w:w="1559" w:type="dxa"/>
            <w:shd w:val="clear" w:color="auto" w:fill="FFFFFF"/>
          </w:tcPr>
          <w:p>
            <w:pPr>
              <w:spacing w:before="20" w:after="20"/>
              <w:jc w:val="right"/>
              <w:rPr>
                <w:rFonts w:eastAsia="Calibri"/>
                <w:noProof/>
                <w:sz w:val="18"/>
                <w:szCs w:val="18"/>
              </w:rPr>
            </w:pPr>
          </w:p>
        </w:tc>
        <w:tc>
          <w:tcPr>
            <w:tcW w:w="2409" w:type="dxa"/>
            <w:shd w:val="clear" w:color="auto" w:fill="FFFFFF"/>
            <w:vAlign w:val="center"/>
          </w:tcPr>
          <w:p>
            <w:pPr>
              <w:spacing w:before="20" w:after="20"/>
              <w:jc w:val="right"/>
              <w:rPr>
                <w:rFonts w:eastAsia="Calibri"/>
                <w:noProof/>
                <w:sz w:val="18"/>
                <w:szCs w:val="18"/>
              </w:rPr>
            </w:pPr>
          </w:p>
        </w:tc>
      </w:tr>
      <w:tr>
        <w:tc>
          <w:tcPr>
            <w:tcW w:w="3960" w:type="dxa"/>
            <w:vMerge w:val="restart"/>
            <w:vAlign w:val="center"/>
          </w:tcPr>
          <w:p>
            <w:pPr>
              <w:jc w:val="center"/>
              <w:rPr>
                <w:rFonts w:eastAsia="Calibri"/>
                <w:b/>
                <w:noProof/>
              </w:rPr>
            </w:pPr>
            <w:r>
              <w:rPr>
                <w:b/>
                <w:noProof/>
                <w:sz w:val="22"/>
              </w:rPr>
              <w:t>Bevillinger I ALT</w:t>
            </w:r>
            <w:r>
              <w:rPr>
                <w:noProof/>
                <w:sz w:val="22"/>
              </w:rPr>
              <w:br/>
            </w:r>
          </w:p>
        </w:tc>
        <w:tc>
          <w:tcPr>
            <w:tcW w:w="1440" w:type="dxa"/>
            <w:vAlign w:val="center"/>
          </w:tcPr>
          <w:p>
            <w:pPr>
              <w:rPr>
                <w:rFonts w:eastAsia="Calibri"/>
                <w:noProof/>
                <w:sz w:val="18"/>
              </w:rPr>
            </w:pPr>
            <w:r>
              <w:rPr>
                <w:noProof/>
                <w:sz w:val="18"/>
              </w:rPr>
              <w:t>Forpligtelser</w:t>
            </w:r>
          </w:p>
        </w:tc>
        <w:tc>
          <w:tcPr>
            <w:tcW w:w="654" w:type="dxa"/>
            <w:gridSpan w:val="2"/>
            <w:vAlign w:val="center"/>
          </w:tcPr>
          <w:p>
            <w:pPr>
              <w:jc w:val="center"/>
              <w:rPr>
                <w:rFonts w:eastAsia="Calibri"/>
                <w:noProof/>
                <w:sz w:val="14"/>
              </w:rPr>
            </w:pPr>
            <w:r>
              <w:rPr>
                <w:noProof/>
                <w:sz w:val="14"/>
              </w:rPr>
              <w:t>=1a+1b +3</w:t>
            </w:r>
          </w:p>
        </w:tc>
        <w:tc>
          <w:tcPr>
            <w:tcW w:w="1252" w:type="dxa"/>
            <w:shd w:val="clear" w:color="auto" w:fill="FFFFFF"/>
            <w:vAlign w:val="center"/>
          </w:tcPr>
          <w:p>
            <w:pPr>
              <w:spacing w:before="20" w:after="20"/>
              <w:jc w:val="right"/>
              <w:rPr>
                <w:rFonts w:eastAsia="Calibri"/>
                <w:noProof/>
                <w:sz w:val="18"/>
                <w:szCs w:val="18"/>
              </w:rPr>
            </w:pPr>
            <w:r>
              <w:rPr>
                <w:noProof/>
                <w:sz w:val="18"/>
                <w:szCs w:val="18"/>
              </w:rPr>
              <w:t xml:space="preserve">   </w:t>
            </w:r>
          </w:p>
        </w:tc>
        <w:tc>
          <w:tcPr>
            <w:tcW w:w="1116" w:type="dxa"/>
            <w:shd w:val="clear" w:color="auto" w:fill="FFFFFF"/>
            <w:vAlign w:val="center"/>
          </w:tcPr>
          <w:p>
            <w:pPr>
              <w:spacing w:before="20" w:after="20"/>
              <w:jc w:val="right"/>
              <w:rPr>
                <w:rFonts w:eastAsia="Calibri"/>
                <w:noProof/>
                <w:sz w:val="18"/>
                <w:szCs w:val="18"/>
              </w:rPr>
            </w:pPr>
          </w:p>
        </w:tc>
        <w:tc>
          <w:tcPr>
            <w:tcW w:w="1010" w:type="dxa"/>
            <w:shd w:val="clear" w:color="auto" w:fill="FFFFFF"/>
            <w:vAlign w:val="center"/>
          </w:tcPr>
          <w:p>
            <w:pPr>
              <w:spacing w:before="20" w:after="20"/>
              <w:jc w:val="right"/>
              <w:rPr>
                <w:rFonts w:eastAsia="Calibri"/>
                <w:noProof/>
                <w:sz w:val="18"/>
                <w:szCs w:val="18"/>
              </w:rPr>
            </w:pPr>
          </w:p>
        </w:tc>
        <w:tc>
          <w:tcPr>
            <w:tcW w:w="1134" w:type="dxa"/>
            <w:shd w:val="clear" w:color="auto" w:fill="FFFFFF"/>
            <w:vAlign w:val="center"/>
          </w:tcPr>
          <w:p>
            <w:pPr>
              <w:spacing w:before="20" w:after="20"/>
              <w:jc w:val="right"/>
              <w:rPr>
                <w:rFonts w:eastAsia="Calibri"/>
                <w:noProof/>
                <w:sz w:val="18"/>
                <w:szCs w:val="18"/>
              </w:rPr>
            </w:pPr>
          </w:p>
        </w:tc>
        <w:tc>
          <w:tcPr>
            <w:tcW w:w="1418" w:type="dxa"/>
            <w:shd w:val="clear" w:color="auto" w:fill="FFFFFF"/>
          </w:tcPr>
          <w:p>
            <w:pPr>
              <w:spacing w:before="20" w:after="20"/>
              <w:jc w:val="right"/>
              <w:rPr>
                <w:rFonts w:eastAsia="Calibri"/>
                <w:noProof/>
                <w:sz w:val="18"/>
                <w:szCs w:val="18"/>
              </w:rPr>
            </w:pPr>
          </w:p>
        </w:tc>
        <w:tc>
          <w:tcPr>
            <w:tcW w:w="1559" w:type="dxa"/>
            <w:shd w:val="clear" w:color="auto" w:fill="FFFFFF"/>
          </w:tcPr>
          <w:p>
            <w:pPr>
              <w:spacing w:before="20" w:after="20"/>
              <w:jc w:val="right"/>
              <w:rPr>
                <w:rFonts w:eastAsia="Calibri"/>
                <w:noProof/>
                <w:sz w:val="18"/>
                <w:szCs w:val="18"/>
              </w:rPr>
            </w:pPr>
          </w:p>
        </w:tc>
        <w:tc>
          <w:tcPr>
            <w:tcW w:w="2409" w:type="dxa"/>
            <w:shd w:val="clear" w:color="auto" w:fill="FFFFFF"/>
            <w:vAlign w:val="center"/>
          </w:tcPr>
          <w:p>
            <w:pPr>
              <w:spacing w:before="20" w:after="20"/>
              <w:jc w:val="right"/>
              <w:rPr>
                <w:rFonts w:eastAsia="Calibri"/>
                <w:noProof/>
                <w:sz w:val="18"/>
                <w:szCs w:val="18"/>
              </w:rPr>
            </w:pPr>
          </w:p>
        </w:tc>
      </w:tr>
      <w:tr>
        <w:tc>
          <w:tcPr>
            <w:tcW w:w="3960" w:type="dxa"/>
            <w:vMerge/>
          </w:tcPr>
          <w:p>
            <w:pPr>
              <w:rPr>
                <w:rFonts w:eastAsia="Calibri"/>
                <w:noProof/>
                <w:sz w:val="20"/>
              </w:rPr>
            </w:pPr>
          </w:p>
        </w:tc>
        <w:tc>
          <w:tcPr>
            <w:tcW w:w="1440" w:type="dxa"/>
            <w:vAlign w:val="center"/>
          </w:tcPr>
          <w:p>
            <w:pPr>
              <w:rPr>
                <w:rFonts w:eastAsia="Calibri"/>
                <w:noProof/>
                <w:sz w:val="18"/>
              </w:rPr>
            </w:pPr>
            <w:r>
              <w:rPr>
                <w:noProof/>
                <w:sz w:val="18"/>
              </w:rPr>
              <w:t>Betalinger</w:t>
            </w:r>
          </w:p>
        </w:tc>
        <w:tc>
          <w:tcPr>
            <w:tcW w:w="654" w:type="dxa"/>
            <w:gridSpan w:val="2"/>
            <w:vAlign w:val="center"/>
          </w:tcPr>
          <w:p>
            <w:pPr>
              <w:jc w:val="center"/>
              <w:rPr>
                <w:rFonts w:eastAsia="Calibri"/>
                <w:noProof/>
                <w:sz w:val="14"/>
              </w:rPr>
            </w:pPr>
            <w:r>
              <w:rPr>
                <w:noProof/>
                <w:sz w:val="14"/>
              </w:rPr>
              <w:t>=2a+2b</w:t>
            </w:r>
          </w:p>
          <w:p>
            <w:pPr>
              <w:jc w:val="center"/>
              <w:rPr>
                <w:rFonts w:eastAsia="Calibri"/>
                <w:noProof/>
                <w:sz w:val="14"/>
              </w:rPr>
            </w:pPr>
            <w:r>
              <w:rPr>
                <w:noProof/>
                <w:sz w:val="14"/>
              </w:rPr>
              <w:t>+3</w:t>
            </w:r>
          </w:p>
        </w:tc>
        <w:tc>
          <w:tcPr>
            <w:tcW w:w="1252" w:type="dxa"/>
            <w:shd w:val="clear" w:color="auto" w:fill="FFFFFF"/>
            <w:vAlign w:val="center"/>
          </w:tcPr>
          <w:p>
            <w:pPr>
              <w:spacing w:before="20" w:after="20"/>
              <w:jc w:val="right"/>
              <w:rPr>
                <w:rFonts w:eastAsia="Calibri"/>
                <w:noProof/>
                <w:sz w:val="18"/>
                <w:szCs w:val="18"/>
              </w:rPr>
            </w:pPr>
          </w:p>
        </w:tc>
        <w:tc>
          <w:tcPr>
            <w:tcW w:w="1116" w:type="dxa"/>
            <w:shd w:val="clear" w:color="auto" w:fill="FFFFFF"/>
            <w:vAlign w:val="center"/>
          </w:tcPr>
          <w:p>
            <w:pPr>
              <w:spacing w:before="20" w:after="20"/>
              <w:jc w:val="right"/>
              <w:rPr>
                <w:rFonts w:eastAsia="Calibri"/>
                <w:noProof/>
                <w:sz w:val="18"/>
                <w:szCs w:val="18"/>
              </w:rPr>
            </w:pPr>
          </w:p>
        </w:tc>
        <w:tc>
          <w:tcPr>
            <w:tcW w:w="1010" w:type="dxa"/>
            <w:shd w:val="clear" w:color="auto" w:fill="FFFFFF"/>
            <w:vAlign w:val="center"/>
          </w:tcPr>
          <w:p>
            <w:pPr>
              <w:spacing w:before="20" w:after="20"/>
              <w:jc w:val="right"/>
              <w:rPr>
                <w:rFonts w:eastAsia="Calibri"/>
                <w:noProof/>
                <w:sz w:val="18"/>
                <w:szCs w:val="18"/>
              </w:rPr>
            </w:pPr>
          </w:p>
        </w:tc>
        <w:tc>
          <w:tcPr>
            <w:tcW w:w="1134" w:type="dxa"/>
            <w:shd w:val="clear" w:color="auto" w:fill="FFFFFF"/>
            <w:vAlign w:val="center"/>
          </w:tcPr>
          <w:p>
            <w:pPr>
              <w:spacing w:before="20" w:after="20"/>
              <w:jc w:val="right"/>
              <w:rPr>
                <w:rFonts w:eastAsia="Calibri"/>
                <w:noProof/>
                <w:sz w:val="18"/>
                <w:szCs w:val="18"/>
              </w:rPr>
            </w:pPr>
          </w:p>
        </w:tc>
        <w:tc>
          <w:tcPr>
            <w:tcW w:w="1418" w:type="dxa"/>
            <w:shd w:val="clear" w:color="auto" w:fill="FFFFFF"/>
          </w:tcPr>
          <w:p>
            <w:pPr>
              <w:spacing w:before="20" w:after="20"/>
              <w:jc w:val="right"/>
              <w:rPr>
                <w:rFonts w:eastAsia="Calibri"/>
                <w:noProof/>
                <w:sz w:val="18"/>
                <w:szCs w:val="18"/>
              </w:rPr>
            </w:pPr>
          </w:p>
        </w:tc>
        <w:tc>
          <w:tcPr>
            <w:tcW w:w="1559" w:type="dxa"/>
            <w:shd w:val="clear" w:color="auto" w:fill="FFFFFF"/>
          </w:tcPr>
          <w:p>
            <w:pPr>
              <w:spacing w:before="20" w:after="20"/>
              <w:jc w:val="right"/>
              <w:rPr>
                <w:rFonts w:eastAsia="Calibri"/>
                <w:noProof/>
                <w:sz w:val="18"/>
                <w:szCs w:val="18"/>
              </w:rPr>
            </w:pPr>
          </w:p>
        </w:tc>
        <w:tc>
          <w:tcPr>
            <w:tcW w:w="2409" w:type="dxa"/>
            <w:shd w:val="clear" w:color="auto" w:fill="FFFFFF"/>
            <w:vAlign w:val="center"/>
          </w:tcPr>
          <w:p>
            <w:pPr>
              <w:spacing w:before="20" w:after="20"/>
              <w:jc w:val="right"/>
              <w:rPr>
                <w:rFonts w:eastAsia="Calibri"/>
                <w:noProof/>
                <w:sz w:val="18"/>
                <w:szCs w:val="18"/>
              </w:rPr>
            </w:pPr>
          </w:p>
        </w:tc>
      </w:tr>
    </w:tbl>
    <w:p>
      <w:pPr>
        <w:rPr>
          <w:rFonts w:eastAsia="Calibri"/>
          <w:noProof/>
        </w:rPr>
      </w:pPr>
      <w:r>
        <w:rPr>
          <w:noProof/>
        </w:rPr>
        <w:br/>
      </w:r>
    </w:p>
    <w:tbl>
      <w:tblPr>
        <w:tblW w:w="15877"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93"/>
        <w:gridCol w:w="1440"/>
        <w:gridCol w:w="654"/>
        <w:gridCol w:w="1252"/>
        <w:gridCol w:w="1116"/>
        <w:gridCol w:w="1152"/>
        <w:gridCol w:w="1134"/>
        <w:gridCol w:w="1134"/>
        <w:gridCol w:w="1134"/>
        <w:gridCol w:w="2268"/>
      </w:tblGrid>
      <w:tr>
        <w:trPr>
          <w:trHeight w:val="277"/>
        </w:trPr>
        <w:tc>
          <w:tcPr>
            <w:tcW w:w="4593" w:type="dxa"/>
            <w:vMerge w:val="restart"/>
            <w:vAlign w:val="center"/>
          </w:tcPr>
          <w:p>
            <w:pPr>
              <w:spacing w:before="20" w:after="20"/>
              <w:rPr>
                <w:rFonts w:eastAsia="Calibri"/>
                <w:noProof/>
              </w:rPr>
            </w:pPr>
            <w:r>
              <w:rPr>
                <w:noProof/>
              </w:rPr>
              <w:br w:type="page"/>
            </w:r>
            <w:r>
              <w:rPr>
                <w:noProof/>
                <w:sz w:val="21"/>
              </w:rPr>
              <w:sym w:font="Wingdings" w:char="F09F"/>
            </w:r>
            <w:r>
              <w:rPr>
                <w:noProof/>
                <w:sz w:val="21"/>
              </w:rPr>
              <w:t xml:space="preserve"> Aktionsbevillinger I ALT </w:t>
            </w:r>
          </w:p>
        </w:tc>
        <w:tc>
          <w:tcPr>
            <w:tcW w:w="1440" w:type="dxa"/>
            <w:vAlign w:val="center"/>
          </w:tcPr>
          <w:p>
            <w:pPr>
              <w:spacing w:beforeLines="20" w:before="48" w:afterLines="20" w:after="48"/>
              <w:rPr>
                <w:rFonts w:eastAsia="Calibri"/>
                <w:noProof/>
                <w:sz w:val="18"/>
              </w:rPr>
            </w:pPr>
            <w:r>
              <w:rPr>
                <w:noProof/>
                <w:sz w:val="18"/>
              </w:rPr>
              <w:t>Forpligtelser</w:t>
            </w:r>
          </w:p>
        </w:tc>
        <w:tc>
          <w:tcPr>
            <w:tcW w:w="654" w:type="dxa"/>
            <w:vAlign w:val="center"/>
          </w:tcPr>
          <w:p>
            <w:pPr>
              <w:spacing w:beforeLines="20" w:before="48" w:afterLines="20" w:after="48"/>
              <w:jc w:val="center"/>
              <w:rPr>
                <w:rFonts w:eastAsia="Calibri"/>
                <w:noProof/>
                <w:sz w:val="14"/>
              </w:rPr>
            </w:pPr>
            <w:r>
              <w:rPr>
                <w:noProof/>
                <w:sz w:val="14"/>
              </w:rPr>
              <w:t>(4)</w:t>
            </w:r>
          </w:p>
        </w:tc>
        <w:tc>
          <w:tcPr>
            <w:tcW w:w="1252" w:type="dxa"/>
            <w:shd w:val="clear" w:color="auto" w:fill="FFFFFF"/>
            <w:vAlign w:val="center"/>
          </w:tcPr>
          <w:p>
            <w:pPr>
              <w:spacing w:before="20" w:after="20"/>
              <w:rPr>
                <w:rFonts w:eastAsia="Calibri"/>
                <w:noProof/>
                <w:sz w:val="18"/>
                <w:szCs w:val="18"/>
              </w:rPr>
            </w:pPr>
          </w:p>
        </w:tc>
        <w:tc>
          <w:tcPr>
            <w:tcW w:w="1116" w:type="dxa"/>
            <w:shd w:val="clear" w:color="auto" w:fill="FFFFFF"/>
            <w:vAlign w:val="center"/>
          </w:tcPr>
          <w:p>
            <w:pPr>
              <w:spacing w:before="20" w:after="20"/>
              <w:jc w:val="right"/>
              <w:rPr>
                <w:rFonts w:eastAsia="Calibri"/>
                <w:noProof/>
                <w:sz w:val="18"/>
                <w:szCs w:val="18"/>
              </w:rPr>
            </w:pPr>
          </w:p>
        </w:tc>
        <w:tc>
          <w:tcPr>
            <w:tcW w:w="1152" w:type="dxa"/>
            <w:shd w:val="clear" w:color="auto" w:fill="FFFFFF"/>
            <w:vAlign w:val="center"/>
          </w:tcPr>
          <w:p>
            <w:pPr>
              <w:spacing w:before="20" w:after="20"/>
              <w:jc w:val="right"/>
              <w:rPr>
                <w:rFonts w:eastAsia="Calibri"/>
                <w:noProof/>
                <w:sz w:val="20"/>
              </w:rPr>
            </w:pPr>
          </w:p>
        </w:tc>
        <w:tc>
          <w:tcPr>
            <w:tcW w:w="1134" w:type="dxa"/>
            <w:shd w:val="clear" w:color="auto" w:fill="FFFFFF"/>
            <w:vAlign w:val="center"/>
          </w:tcPr>
          <w:p>
            <w:pPr>
              <w:spacing w:before="20" w:after="20"/>
              <w:jc w:val="right"/>
              <w:rPr>
                <w:rFonts w:eastAsia="Calibri"/>
                <w:noProof/>
                <w:sz w:val="20"/>
              </w:rPr>
            </w:pPr>
          </w:p>
        </w:tc>
        <w:tc>
          <w:tcPr>
            <w:tcW w:w="1134" w:type="dxa"/>
            <w:shd w:val="clear" w:color="auto" w:fill="FFFFFF"/>
            <w:vAlign w:val="center"/>
          </w:tcPr>
          <w:p>
            <w:pPr>
              <w:spacing w:before="20" w:after="20"/>
              <w:jc w:val="right"/>
              <w:rPr>
                <w:rFonts w:eastAsia="Calibri"/>
                <w:noProof/>
                <w:sz w:val="20"/>
              </w:rPr>
            </w:pPr>
          </w:p>
        </w:tc>
        <w:tc>
          <w:tcPr>
            <w:tcW w:w="1134" w:type="dxa"/>
            <w:shd w:val="clear" w:color="auto" w:fill="FFFFFF"/>
            <w:vAlign w:val="center"/>
          </w:tcPr>
          <w:p>
            <w:pPr>
              <w:spacing w:before="20" w:after="20"/>
              <w:jc w:val="right"/>
              <w:rPr>
                <w:rFonts w:eastAsia="Calibri"/>
                <w:noProof/>
                <w:sz w:val="20"/>
              </w:rPr>
            </w:pPr>
          </w:p>
        </w:tc>
        <w:tc>
          <w:tcPr>
            <w:tcW w:w="2268" w:type="dxa"/>
            <w:shd w:val="clear" w:color="auto" w:fill="FFFFFF"/>
            <w:vAlign w:val="center"/>
          </w:tcPr>
          <w:p>
            <w:pPr>
              <w:spacing w:before="20" w:after="20"/>
              <w:jc w:val="right"/>
              <w:rPr>
                <w:rFonts w:eastAsia="Calibri"/>
                <w:noProof/>
                <w:sz w:val="18"/>
                <w:szCs w:val="18"/>
              </w:rPr>
            </w:pPr>
          </w:p>
        </w:tc>
      </w:tr>
      <w:tr>
        <w:tc>
          <w:tcPr>
            <w:tcW w:w="4593" w:type="dxa"/>
            <w:vMerge/>
          </w:tcPr>
          <w:p>
            <w:pPr>
              <w:jc w:val="center"/>
              <w:rPr>
                <w:rFonts w:eastAsia="Calibri"/>
                <w:noProof/>
                <w:sz w:val="20"/>
              </w:rPr>
            </w:pPr>
          </w:p>
        </w:tc>
        <w:tc>
          <w:tcPr>
            <w:tcW w:w="1440" w:type="dxa"/>
            <w:vAlign w:val="center"/>
          </w:tcPr>
          <w:p>
            <w:pPr>
              <w:spacing w:beforeLines="20" w:before="48" w:afterLines="20" w:after="48"/>
              <w:rPr>
                <w:rFonts w:eastAsia="Calibri"/>
                <w:noProof/>
                <w:sz w:val="18"/>
              </w:rPr>
            </w:pPr>
            <w:r>
              <w:rPr>
                <w:noProof/>
                <w:sz w:val="18"/>
              </w:rPr>
              <w:t>Betalinger</w:t>
            </w:r>
          </w:p>
        </w:tc>
        <w:tc>
          <w:tcPr>
            <w:tcW w:w="654" w:type="dxa"/>
            <w:vAlign w:val="center"/>
          </w:tcPr>
          <w:p>
            <w:pPr>
              <w:spacing w:beforeLines="20" w:before="48" w:afterLines="20" w:after="48"/>
              <w:jc w:val="center"/>
              <w:rPr>
                <w:rFonts w:eastAsia="Calibri"/>
                <w:noProof/>
                <w:sz w:val="14"/>
              </w:rPr>
            </w:pPr>
            <w:r>
              <w:rPr>
                <w:noProof/>
                <w:sz w:val="14"/>
              </w:rPr>
              <w:t>(5)</w:t>
            </w:r>
          </w:p>
        </w:tc>
        <w:tc>
          <w:tcPr>
            <w:tcW w:w="1252" w:type="dxa"/>
            <w:shd w:val="clear" w:color="auto" w:fill="FFFFFF"/>
            <w:vAlign w:val="center"/>
          </w:tcPr>
          <w:p>
            <w:pPr>
              <w:spacing w:before="20" w:after="20"/>
              <w:jc w:val="center"/>
              <w:rPr>
                <w:rFonts w:eastAsia="Calibri"/>
                <w:noProof/>
                <w:sz w:val="18"/>
                <w:szCs w:val="18"/>
              </w:rPr>
            </w:pPr>
          </w:p>
        </w:tc>
        <w:tc>
          <w:tcPr>
            <w:tcW w:w="1116" w:type="dxa"/>
            <w:shd w:val="clear" w:color="auto" w:fill="FFFFFF"/>
            <w:vAlign w:val="center"/>
          </w:tcPr>
          <w:p>
            <w:pPr>
              <w:spacing w:before="20" w:after="20"/>
              <w:jc w:val="right"/>
              <w:rPr>
                <w:rFonts w:eastAsia="Calibri"/>
                <w:noProof/>
                <w:sz w:val="18"/>
                <w:szCs w:val="18"/>
              </w:rPr>
            </w:pPr>
          </w:p>
        </w:tc>
        <w:tc>
          <w:tcPr>
            <w:tcW w:w="1152" w:type="dxa"/>
            <w:shd w:val="clear" w:color="auto" w:fill="FFFFFF"/>
            <w:vAlign w:val="center"/>
          </w:tcPr>
          <w:p>
            <w:pPr>
              <w:spacing w:before="20" w:after="20"/>
              <w:jc w:val="right"/>
              <w:rPr>
                <w:rFonts w:eastAsia="Calibri"/>
                <w:noProof/>
                <w:sz w:val="20"/>
              </w:rPr>
            </w:pPr>
          </w:p>
        </w:tc>
        <w:tc>
          <w:tcPr>
            <w:tcW w:w="1134" w:type="dxa"/>
            <w:shd w:val="clear" w:color="auto" w:fill="FFFFFF"/>
            <w:vAlign w:val="center"/>
          </w:tcPr>
          <w:p>
            <w:pPr>
              <w:spacing w:before="20" w:after="20"/>
              <w:jc w:val="right"/>
              <w:rPr>
                <w:rFonts w:eastAsia="Calibri"/>
                <w:noProof/>
                <w:sz w:val="20"/>
              </w:rPr>
            </w:pPr>
          </w:p>
        </w:tc>
        <w:tc>
          <w:tcPr>
            <w:tcW w:w="1134" w:type="dxa"/>
            <w:shd w:val="clear" w:color="auto" w:fill="FFFFFF"/>
            <w:vAlign w:val="center"/>
          </w:tcPr>
          <w:p>
            <w:pPr>
              <w:spacing w:before="20" w:after="20"/>
              <w:jc w:val="right"/>
              <w:rPr>
                <w:rFonts w:eastAsia="Calibri"/>
                <w:noProof/>
                <w:sz w:val="20"/>
              </w:rPr>
            </w:pPr>
          </w:p>
        </w:tc>
        <w:tc>
          <w:tcPr>
            <w:tcW w:w="1134" w:type="dxa"/>
            <w:shd w:val="clear" w:color="auto" w:fill="FFFFFF"/>
            <w:vAlign w:val="center"/>
          </w:tcPr>
          <w:p>
            <w:pPr>
              <w:spacing w:before="20" w:after="20"/>
              <w:jc w:val="right"/>
              <w:rPr>
                <w:rFonts w:eastAsia="Calibri"/>
                <w:noProof/>
                <w:sz w:val="20"/>
              </w:rPr>
            </w:pPr>
          </w:p>
        </w:tc>
        <w:tc>
          <w:tcPr>
            <w:tcW w:w="2268" w:type="dxa"/>
            <w:shd w:val="clear" w:color="auto" w:fill="FFFFFF"/>
            <w:vAlign w:val="center"/>
          </w:tcPr>
          <w:p>
            <w:pPr>
              <w:spacing w:before="20" w:after="20"/>
              <w:jc w:val="right"/>
              <w:rPr>
                <w:rFonts w:eastAsia="Calibri"/>
                <w:noProof/>
                <w:sz w:val="18"/>
                <w:szCs w:val="18"/>
              </w:rPr>
            </w:pPr>
          </w:p>
        </w:tc>
      </w:tr>
      <w:tr>
        <w:trPr>
          <w:trHeight w:val="533"/>
        </w:trPr>
        <w:tc>
          <w:tcPr>
            <w:tcW w:w="6033" w:type="dxa"/>
            <w:gridSpan w:val="2"/>
            <w:vAlign w:val="center"/>
          </w:tcPr>
          <w:p>
            <w:pPr>
              <w:spacing w:beforeLines="20" w:before="48" w:afterLines="20" w:after="48"/>
              <w:rPr>
                <w:rFonts w:eastAsia="Calibri"/>
                <w:noProof/>
              </w:rPr>
            </w:pPr>
            <w:r>
              <w:rPr>
                <w:noProof/>
                <w:sz w:val="21"/>
              </w:rPr>
              <w:sym w:font="Wingdings" w:char="F09F"/>
            </w:r>
            <w:r>
              <w:rPr>
                <w:noProof/>
                <w:sz w:val="21"/>
              </w:rPr>
              <w:t xml:space="preserve"> Administrationsbevillinger finansieret over bevillingsrammen for særprogrammer I ALT </w:t>
            </w:r>
          </w:p>
        </w:tc>
        <w:tc>
          <w:tcPr>
            <w:tcW w:w="654" w:type="dxa"/>
            <w:vAlign w:val="center"/>
          </w:tcPr>
          <w:p>
            <w:pPr>
              <w:spacing w:beforeLines="20" w:before="48" w:afterLines="20" w:after="48"/>
              <w:jc w:val="center"/>
              <w:rPr>
                <w:rFonts w:eastAsia="Calibri"/>
                <w:noProof/>
                <w:sz w:val="14"/>
              </w:rPr>
            </w:pPr>
            <w:r>
              <w:rPr>
                <w:noProof/>
                <w:sz w:val="14"/>
              </w:rPr>
              <w:t>(6)</w:t>
            </w:r>
          </w:p>
        </w:tc>
        <w:tc>
          <w:tcPr>
            <w:tcW w:w="1252" w:type="dxa"/>
            <w:shd w:val="clear" w:color="auto" w:fill="FFFFFF"/>
            <w:vAlign w:val="center"/>
          </w:tcPr>
          <w:p>
            <w:pPr>
              <w:spacing w:before="20" w:after="20"/>
              <w:jc w:val="right"/>
              <w:rPr>
                <w:rFonts w:eastAsia="Calibri"/>
                <w:b/>
                <w:noProof/>
                <w:sz w:val="20"/>
              </w:rPr>
            </w:pPr>
          </w:p>
        </w:tc>
        <w:tc>
          <w:tcPr>
            <w:tcW w:w="1116" w:type="dxa"/>
            <w:shd w:val="clear" w:color="auto" w:fill="FFFFFF"/>
            <w:vAlign w:val="center"/>
          </w:tcPr>
          <w:p>
            <w:pPr>
              <w:spacing w:before="20" w:after="20"/>
              <w:jc w:val="right"/>
              <w:rPr>
                <w:rFonts w:eastAsia="Calibri"/>
                <w:b/>
                <w:noProof/>
                <w:sz w:val="20"/>
              </w:rPr>
            </w:pPr>
          </w:p>
        </w:tc>
        <w:tc>
          <w:tcPr>
            <w:tcW w:w="1152" w:type="dxa"/>
            <w:shd w:val="clear" w:color="auto" w:fill="FFFFFF"/>
            <w:vAlign w:val="center"/>
          </w:tcPr>
          <w:p>
            <w:pPr>
              <w:spacing w:before="20" w:after="20"/>
              <w:jc w:val="right"/>
              <w:rPr>
                <w:rFonts w:eastAsia="Calibri"/>
                <w:b/>
                <w:noProof/>
                <w:sz w:val="20"/>
              </w:rPr>
            </w:pPr>
          </w:p>
        </w:tc>
        <w:tc>
          <w:tcPr>
            <w:tcW w:w="1134" w:type="dxa"/>
            <w:shd w:val="clear" w:color="auto" w:fill="FFFFFF"/>
            <w:vAlign w:val="center"/>
          </w:tcPr>
          <w:p>
            <w:pPr>
              <w:spacing w:before="20" w:after="20"/>
              <w:jc w:val="right"/>
              <w:rPr>
                <w:rFonts w:eastAsia="Calibri"/>
                <w:b/>
                <w:noProof/>
                <w:sz w:val="20"/>
              </w:rPr>
            </w:pPr>
          </w:p>
        </w:tc>
        <w:tc>
          <w:tcPr>
            <w:tcW w:w="1134" w:type="dxa"/>
            <w:shd w:val="clear" w:color="auto" w:fill="FFFFFF"/>
            <w:vAlign w:val="center"/>
          </w:tcPr>
          <w:p>
            <w:pPr>
              <w:spacing w:before="20" w:after="20"/>
              <w:jc w:val="right"/>
              <w:rPr>
                <w:rFonts w:eastAsia="Calibri"/>
                <w:b/>
                <w:noProof/>
                <w:sz w:val="20"/>
              </w:rPr>
            </w:pPr>
          </w:p>
        </w:tc>
        <w:tc>
          <w:tcPr>
            <w:tcW w:w="1134" w:type="dxa"/>
            <w:shd w:val="clear" w:color="auto" w:fill="FFFFFF"/>
            <w:vAlign w:val="center"/>
          </w:tcPr>
          <w:p>
            <w:pPr>
              <w:spacing w:before="20" w:after="20"/>
              <w:jc w:val="right"/>
              <w:rPr>
                <w:rFonts w:eastAsia="Calibri"/>
                <w:b/>
                <w:noProof/>
                <w:sz w:val="20"/>
              </w:rPr>
            </w:pPr>
          </w:p>
        </w:tc>
        <w:tc>
          <w:tcPr>
            <w:tcW w:w="2268" w:type="dxa"/>
            <w:shd w:val="clear" w:color="auto" w:fill="FFFFFF"/>
            <w:vAlign w:val="center"/>
          </w:tcPr>
          <w:p>
            <w:pPr>
              <w:spacing w:before="20" w:after="20"/>
              <w:jc w:val="right"/>
              <w:rPr>
                <w:rFonts w:eastAsia="Calibri"/>
                <w:b/>
                <w:noProof/>
                <w:sz w:val="20"/>
              </w:rPr>
            </w:pPr>
          </w:p>
        </w:tc>
      </w:tr>
      <w:tr>
        <w:tc>
          <w:tcPr>
            <w:tcW w:w="4593" w:type="dxa"/>
            <w:vMerge w:val="restart"/>
            <w:shd w:val="thinDiagStripe" w:color="C0C0C0" w:fill="auto"/>
            <w:vAlign w:val="center"/>
          </w:tcPr>
          <w:p>
            <w:pPr>
              <w:jc w:val="center"/>
              <w:rPr>
                <w:rFonts w:eastAsia="Calibri"/>
                <w:b/>
                <w:noProof/>
              </w:rPr>
            </w:pPr>
            <w:r>
              <w:rPr>
                <w:b/>
                <w:noProof/>
                <w:sz w:val="22"/>
              </w:rPr>
              <w:t xml:space="preserve">Bevillinger I ALT </w:t>
            </w:r>
            <w:r>
              <w:rPr>
                <w:noProof/>
                <w:sz w:val="22"/>
              </w:rPr>
              <w:br/>
            </w:r>
            <w:r>
              <w:rPr>
                <w:b/>
                <w:noProof/>
                <w:sz w:val="22"/>
              </w:rPr>
              <w:t>under UDGIFTSOMRÅDE 9</w:t>
            </w:r>
            <w:r>
              <w:rPr>
                <w:noProof/>
                <w:sz w:val="22"/>
              </w:rPr>
              <w:br/>
              <w:t>i den flerårige finansielle ramme</w:t>
            </w:r>
          </w:p>
        </w:tc>
        <w:tc>
          <w:tcPr>
            <w:tcW w:w="1440" w:type="dxa"/>
            <w:vAlign w:val="center"/>
          </w:tcPr>
          <w:p>
            <w:pPr>
              <w:rPr>
                <w:rFonts w:eastAsia="Calibri"/>
                <w:noProof/>
                <w:sz w:val="18"/>
              </w:rPr>
            </w:pPr>
            <w:r>
              <w:rPr>
                <w:noProof/>
                <w:sz w:val="18"/>
              </w:rPr>
              <w:t>Forpligtelser</w:t>
            </w:r>
          </w:p>
        </w:tc>
        <w:tc>
          <w:tcPr>
            <w:tcW w:w="654" w:type="dxa"/>
            <w:vAlign w:val="center"/>
          </w:tcPr>
          <w:p>
            <w:pPr>
              <w:jc w:val="center"/>
              <w:rPr>
                <w:rFonts w:eastAsia="Calibri"/>
                <w:noProof/>
                <w:sz w:val="14"/>
              </w:rPr>
            </w:pPr>
            <w:r>
              <w:rPr>
                <w:noProof/>
                <w:sz w:val="14"/>
              </w:rPr>
              <w:t>=4+ 6</w:t>
            </w:r>
          </w:p>
        </w:tc>
        <w:tc>
          <w:tcPr>
            <w:tcW w:w="1252" w:type="dxa"/>
            <w:shd w:val="clear" w:color="auto" w:fill="FFFFFF"/>
            <w:vAlign w:val="center"/>
          </w:tcPr>
          <w:p>
            <w:pPr>
              <w:spacing w:before="20" w:after="20"/>
              <w:rPr>
                <w:rFonts w:eastAsia="Calibri"/>
                <w:noProof/>
                <w:sz w:val="18"/>
                <w:szCs w:val="18"/>
              </w:rPr>
            </w:pPr>
            <w:r>
              <w:rPr>
                <w:noProof/>
                <w:sz w:val="18"/>
                <w:szCs w:val="18"/>
              </w:rPr>
              <w:t xml:space="preserve">   </w:t>
            </w:r>
          </w:p>
        </w:tc>
        <w:tc>
          <w:tcPr>
            <w:tcW w:w="1116" w:type="dxa"/>
            <w:shd w:val="clear" w:color="auto" w:fill="FFFFFF"/>
            <w:vAlign w:val="center"/>
          </w:tcPr>
          <w:p>
            <w:pPr>
              <w:spacing w:before="20" w:after="20"/>
              <w:jc w:val="right"/>
              <w:rPr>
                <w:rFonts w:eastAsia="Calibri"/>
                <w:noProof/>
                <w:sz w:val="18"/>
                <w:szCs w:val="18"/>
              </w:rPr>
            </w:pPr>
          </w:p>
        </w:tc>
        <w:tc>
          <w:tcPr>
            <w:tcW w:w="1152" w:type="dxa"/>
            <w:shd w:val="clear" w:color="auto" w:fill="FFFFFF"/>
            <w:vAlign w:val="center"/>
          </w:tcPr>
          <w:p>
            <w:pPr>
              <w:spacing w:before="20" w:after="20"/>
              <w:jc w:val="right"/>
              <w:rPr>
                <w:rFonts w:eastAsia="Calibri"/>
                <w:noProof/>
                <w:sz w:val="18"/>
                <w:szCs w:val="18"/>
              </w:rPr>
            </w:pPr>
          </w:p>
        </w:tc>
        <w:tc>
          <w:tcPr>
            <w:tcW w:w="1134" w:type="dxa"/>
            <w:shd w:val="clear" w:color="auto" w:fill="FFFFFF"/>
            <w:vAlign w:val="center"/>
          </w:tcPr>
          <w:p>
            <w:pPr>
              <w:spacing w:before="20" w:after="20"/>
              <w:jc w:val="right"/>
              <w:rPr>
                <w:rFonts w:eastAsia="Calibri"/>
                <w:noProof/>
                <w:sz w:val="18"/>
                <w:szCs w:val="18"/>
              </w:rPr>
            </w:pPr>
          </w:p>
        </w:tc>
        <w:tc>
          <w:tcPr>
            <w:tcW w:w="1134" w:type="dxa"/>
            <w:shd w:val="clear" w:color="auto" w:fill="FFFFFF"/>
          </w:tcPr>
          <w:p>
            <w:pPr>
              <w:spacing w:before="20" w:after="20"/>
              <w:jc w:val="right"/>
              <w:rPr>
                <w:rFonts w:eastAsia="Calibri"/>
                <w:noProof/>
                <w:sz w:val="18"/>
                <w:szCs w:val="18"/>
              </w:rPr>
            </w:pPr>
          </w:p>
        </w:tc>
        <w:tc>
          <w:tcPr>
            <w:tcW w:w="1134" w:type="dxa"/>
            <w:shd w:val="clear" w:color="auto" w:fill="FFFFFF"/>
          </w:tcPr>
          <w:p>
            <w:pPr>
              <w:spacing w:before="20" w:after="20"/>
              <w:jc w:val="right"/>
              <w:rPr>
                <w:rFonts w:eastAsia="Calibri"/>
                <w:noProof/>
                <w:sz w:val="18"/>
                <w:szCs w:val="18"/>
              </w:rPr>
            </w:pPr>
          </w:p>
        </w:tc>
        <w:tc>
          <w:tcPr>
            <w:tcW w:w="2268" w:type="dxa"/>
            <w:shd w:val="clear" w:color="auto" w:fill="FFFFFF"/>
            <w:vAlign w:val="center"/>
          </w:tcPr>
          <w:p>
            <w:pPr>
              <w:spacing w:before="20" w:after="20"/>
              <w:jc w:val="right"/>
              <w:rPr>
                <w:rFonts w:eastAsia="Calibri"/>
                <w:noProof/>
                <w:sz w:val="18"/>
                <w:szCs w:val="18"/>
              </w:rPr>
            </w:pPr>
          </w:p>
        </w:tc>
      </w:tr>
      <w:tr>
        <w:tc>
          <w:tcPr>
            <w:tcW w:w="4593" w:type="dxa"/>
            <w:vMerge/>
            <w:shd w:val="thinDiagStripe" w:color="C0C0C0" w:fill="auto"/>
          </w:tcPr>
          <w:p>
            <w:pPr>
              <w:rPr>
                <w:rFonts w:eastAsia="Calibri"/>
                <w:noProof/>
                <w:sz w:val="20"/>
              </w:rPr>
            </w:pPr>
          </w:p>
        </w:tc>
        <w:tc>
          <w:tcPr>
            <w:tcW w:w="1440" w:type="dxa"/>
            <w:vAlign w:val="center"/>
          </w:tcPr>
          <w:p>
            <w:pPr>
              <w:rPr>
                <w:rFonts w:eastAsia="Calibri"/>
                <w:noProof/>
                <w:sz w:val="18"/>
              </w:rPr>
            </w:pPr>
            <w:r>
              <w:rPr>
                <w:noProof/>
                <w:sz w:val="18"/>
              </w:rPr>
              <w:t>Betalinger</w:t>
            </w:r>
          </w:p>
        </w:tc>
        <w:tc>
          <w:tcPr>
            <w:tcW w:w="654" w:type="dxa"/>
            <w:vAlign w:val="center"/>
          </w:tcPr>
          <w:p>
            <w:pPr>
              <w:jc w:val="center"/>
              <w:rPr>
                <w:rFonts w:eastAsia="Calibri"/>
                <w:noProof/>
                <w:sz w:val="14"/>
              </w:rPr>
            </w:pPr>
            <w:r>
              <w:rPr>
                <w:noProof/>
                <w:sz w:val="14"/>
              </w:rPr>
              <w:t>=5+ 6</w:t>
            </w:r>
          </w:p>
        </w:tc>
        <w:tc>
          <w:tcPr>
            <w:tcW w:w="1252" w:type="dxa"/>
            <w:shd w:val="clear" w:color="auto" w:fill="FFFFFF"/>
            <w:vAlign w:val="center"/>
          </w:tcPr>
          <w:p>
            <w:pPr>
              <w:spacing w:before="20" w:after="20"/>
              <w:jc w:val="center"/>
              <w:rPr>
                <w:rFonts w:eastAsia="Calibri"/>
                <w:noProof/>
                <w:sz w:val="18"/>
                <w:szCs w:val="18"/>
              </w:rPr>
            </w:pPr>
          </w:p>
        </w:tc>
        <w:tc>
          <w:tcPr>
            <w:tcW w:w="1116" w:type="dxa"/>
            <w:shd w:val="clear" w:color="auto" w:fill="FFFFFF"/>
            <w:vAlign w:val="center"/>
          </w:tcPr>
          <w:p>
            <w:pPr>
              <w:spacing w:before="20" w:after="20"/>
              <w:jc w:val="right"/>
              <w:rPr>
                <w:rFonts w:eastAsia="Calibri"/>
                <w:noProof/>
                <w:sz w:val="18"/>
                <w:szCs w:val="18"/>
              </w:rPr>
            </w:pPr>
          </w:p>
        </w:tc>
        <w:tc>
          <w:tcPr>
            <w:tcW w:w="1152" w:type="dxa"/>
            <w:shd w:val="clear" w:color="auto" w:fill="FFFFFF"/>
            <w:vAlign w:val="center"/>
          </w:tcPr>
          <w:p>
            <w:pPr>
              <w:spacing w:before="20" w:after="20"/>
              <w:jc w:val="right"/>
              <w:rPr>
                <w:rFonts w:eastAsia="Calibri"/>
                <w:noProof/>
                <w:sz w:val="18"/>
                <w:szCs w:val="18"/>
              </w:rPr>
            </w:pPr>
          </w:p>
        </w:tc>
        <w:tc>
          <w:tcPr>
            <w:tcW w:w="1134" w:type="dxa"/>
            <w:shd w:val="clear" w:color="auto" w:fill="FFFFFF"/>
            <w:vAlign w:val="center"/>
          </w:tcPr>
          <w:p>
            <w:pPr>
              <w:spacing w:before="20" w:after="20"/>
              <w:jc w:val="right"/>
              <w:rPr>
                <w:rFonts w:eastAsia="Calibri"/>
                <w:noProof/>
                <w:sz w:val="18"/>
                <w:szCs w:val="18"/>
              </w:rPr>
            </w:pPr>
          </w:p>
        </w:tc>
        <w:tc>
          <w:tcPr>
            <w:tcW w:w="1134" w:type="dxa"/>
            <w:shd w:val="clear" w:color="auto" w:fill="FFFFFF"/>
          </w:tcPr>
          <w:p>
            <w:pPr>
              <w:spacing w:before="20" w:after="20"/>
              <w:jc w:val="right"/>
              <w:rPr>
                <w:rFonts w:eastAsia="Calibri"/>
                <w:noProof/>
                <w:sz w:val="18"/>
                <w:szCs w:val="18"/>
              </w:rPr>
            </w:pPr>
          </w:p>
        </w:tc>
        <w:tc>
          <w:tcPr>
            <w:tcW w:w="1134" w:type="dxa"/>
            <w:shd w:val="clear" w:color="auto" w:fill="FFFFFF"/>
          </w:tcPr>
          <w:p>
            <w:pPr>
              <w:spacing w:before="20" w:after="20"/>
              <w:jc w:val="right"/>
              <w:rPr>
                <w:rFonts w:eastAsia="Calibri"/>
                <w:noProof/>
                <w:sz w:val="18"/>
                <w:szCs w:val="18"/>
              </w:rPr>
            </w:pPr>
          </w:p>
        </w:tc>
        <w:tc>
          <w:tcPr>
            <w:tcW w:w="2268" w:type="dxa"/>
            <w:shd w:val="clear" w:color="auto" w:fill="FFFFFF"/>
            <w:vAlign w:val="center"/>
          </w:tcPr>
          <w:p>
            <w:pPr>
              <w:spacing w:before="20" w:after="20"/>
              <w:jc w:val="right"/>
              <w:rPr>
                <w:rFonts w:eastAsia="Calibri"/>
                <w:noProof/>
                <w:sz w:val="18"/>
                <w:szCs w:val="18"/>
              </w:rPr>
            </w:pPr>
          </w:p>
        </w:tc>
      </w:tr>
    </w:tbl>
    <w:p>
      <w:pPr>
        <w:spacing w:after="40"/>
        <w:rPr>
          <w:rFonts w:eastAsia="Calibri"/>
          <w:b/>
          <w:noProof/>
          <w:sz w:val="22"/>
          <w:u w:val="single"/>
        </w:rPr>
      </w:pPr>
    </w:p>
    <w:p>
      <w:pPr>
        <w:spacing w:after="40"/>
        <w:rPr>
          <w:rFonts w:eastAsia="Calibri"/>
          <w:b/>
          <w:noProof/>
          <w:sz w:val="22"/>
          <w:u w:val="single"/>
        </w:rPr>
      </w:pPr>
      <w:r>
        <w:rPr>
          <w:b/>
          <w:noProof/>
          <w:sz w:val="22"/>
          <w:u w:val="single"/>
        </w:rPr>
        <w:t>Hvis flere driftsmæssige udgiftsområder påvirkes af forslaget/initiativet, indsættes der et tilsvarende afsnit for hvert udgiftsområde</w:t>
      </w:r>
    </w:p>
    <w:p>
      <w:pPr>
        <w:spacing w:before="0" w:after="0"/>
        <w:jc w:val="left"/>
        <w:rPr>
          <w:rFonts w:eastAsia="Calibri"/>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trPr>
          <w:jc w:val="center"/>
        </w:trPr>
        <w:tc>
          <w:tcPr>
            <w:tcW w:w="4744" w:type="dxa"/>
            <w:shd w:val="thinDiagStripe" w:color="C0C0C0" w:fill="auto"/>
            <w:vAlign w:val="center"/>
          </w:tcPr>
          <w:p>
            <w:pPr>
              <w:spacing w:before="60" w:after="60"/>
              <w:jc w:val="center"/>
              <w:rPr>
                <w:rFonts w:eastAsia="Calibri"/>
                <w:b/>
                <w:noProof/>
              </w:rPr>
            </w:pPr>
            <w:r>
              <w:rPr>
                <w:noProof/>
              </w:rPr>
              <w:br w:type="page"/>
            </w:r>
            <w:r>
              <w:rPr>
                <w:b/>
                <w:noProof/>
                <w:sz w:val="22"/>
              </w:rPr>
              <w:t xml:space="preserve">Udgiftsområde i den flerårige finansielle </w:t>
            </w:r>
            <w:r>
              <w:rPr>
                <w:noProof/>
                <w:sz w:val="22"/>
              </w:rPr>
              <w:br/>
            </w:r>
            <w:r>
              <w:rPr>
                <w:b/>
                <w:noProof/>
                <w:sz w:val="22"/>
              </w:rPr>
              <w:t xml:space="preserve">ramme </w:t>
            </w:r>
          </w:p>
        </w:tc>
        <w:tc>
          <w:tcPr>
            <w:tcW w:w="1080" w:type="dxa"/>
            <w:shd w:val="clear" w:color="auto" w:fill="FFFFFF"/>
            <w:vAlign w:val="center"/>
          </w:tcPr>
          <w:p>
            <w:pPr>
              <w:spacing w:before="60" w:after="60"/>
              <w:jc w:val="center"/>
              <w:rPr>
                <w:rFonts w:eastAsia="Calibri"/>
                <w:noProof/>
              </w:rPr>
            </w:pPr>
          </w:p>
        </w:tc>
        <w:tc>
          <w:tcPr>
            <w:tcW w:w="7817" w:type="dxa"/>
            <w:vAlign w:val="center"/>
          </w:tcPr>
          <w:p>
            <w:pPr>
              <w:spacing w:before="60" w:after="60"/>
              <w:rPr>
                <w:rFonts w:eastAsia="Calibri"/>
                <w:noProof/>
              </w:rPr>
            </w:pPr>
          </w:p>
        </w:tc>
      </w:tr>
    </w:tbl>
    <w:p>
      <w:pPr>
        <w:jc w:val="left"/>
        <w:rPr>
          <w:rFonts w:eastAsia="Calibri"/>
          <w:noProof/>
          <w:sz w:val="20"/>
        </w:rPr>
      </w:pPr>
      <w:r>
        <w:rPr>
          <w:noProof/>
        </w:rPr>
        <w:t xml:space="preserve">Dette afsnit skal udfyldes ved hjælp af de "administrative budgetoplysninger", der først skal indføres i </w:t>
      </w:r>
      <w:hyperlink r:id="rId13" w:history="1">
        <w:r>
          <w:rPr>
            <w:noProof/>
            <w:color w:val="0000FF"/>
            <w:u w:val="single"/>
          </w:rPr>
          <w:t>bilaget til finansieringsoversigten</w:t>
        </w:r>
      </w:hyperlink>
      <w:r>
        <w:rPr>
          <w:noProof/>
        </w:rPr>
        <w:t xml:space="preserve"> (bilag V til de interne regler), som uploades til DECIDE med henblik på høring af andre tjenestegrene.</w:t>
      </w:r>
    </w:p>
    <w:p>
      <w:pPr>
        <w:jc w:val="right"/>
        <w:rPr>
          <w:rFonts w:eastAsia="Calibri"/>
          <w:noProof/>
          <w:sz w:val="20"/>
        </w:rPr>
      </w:pPr>
      <w:r>
        <w:rPr>
          <w:noProof/>
          <w:sz w:val="20"/>
        </w:rPr>
        <w:t>i mio. EUR (tre decimaler)</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rFonts w:eastAsia="Calibri"/>
                <w:noProof/>
              </w:rPr>
            </w:pPr>
          </w:p>
        </w:tc>
        <w:tc>
          <w:tcPr>
            <w:tcW w:w="1560" w:type="dxa"/>
            <w:tcBorders>
              <w:top w:val="nil"/>
              <w:left w:val="nil"/>
              <w:right w:val="nil"/>
            </w:tcBorders>
          </w:tcPr>
          <w:p>
            <w:pPr>
              <w:rPr>
                <w:rFonts w:eastAsia="Calibri"/>
                <w:noProof/>
                <w:sz w:val="20"/>
              </w:rPr>
            </w:pPr>
          </w:p>
        </w:tc>
        <w:tc>
          <w:tcPr>
            <w:tcW w:w="534" w:type="dxa"/>
            <w:tcBorders>
              <w:top w:val="nil"/>
              <w:left w:val="nil"/>
            </w:tcBorders>
          </w:tcPr>
          <w:p>
            <w:pPr>
              <w:jc w:val="center"/>
              <w:rPr>
                <w:rFonts w:eastAsia="Calibri"/>
                <w:noProof/>
                <w:sz w:val="20"/>
              </w:rPr>
            </w:pPr>
          </w:p>
        </w:tc>
        <w:tc>
          <w:tcPr>
            <w:tcW w:w="868" w:type="dxa"/>
            <w:vAlign w:val="center"/>
          </w:tcPr>
          <w:p>
            <w:pPr>
              <w:jc w:val="center"/>
              <w:rPr>
                <w:rFonts w:eastAsia="Calibri"/>
                <w:noProof/>
                <w:sz w:val="20"/>
              </w:rPr>
            </w:pPr>
            <w:r>
              <w:rPr>
                <w:noProof/>
                <w:sz w:val="20"/>
              </w:rPr>
              <w:t>År</w:t>
            </w:r>
            <w:r>
              <w:rPr>
                <w:noProof/>
                <w:sz w:val="22"/>
              </w:rPr>
              <w:br/>
            </w:r>
            <w:r>
              <w:rPr>
                <w:b/>
                <w:noProof/>
                <w:sz w:val="20"/>
              </w:rPr>
              <w:t>n</w:t>
            </w:r>
          </w:p>
        </w:tc>
        <w:tc>
          <w:tcPr>
            <w:tcW w:w="868" w:type="dxa"/>
            <w:vAlign w:val="center"/>
          </w:tcPr>
          <w:p>
            <w:pPr>
              <w:jc w:val="center"/>
              <w:rPr>
                <w:rFonts w:eastAsia="Calibri"/>
                <w:noProof/>
                <w:sz w:val="20"/>
              </w:rPr>
            </w:pPr>
            <w:r>
              <w:rPr>
                <w:noProof/>
                <w:sz w:val="20"/>
              </w:rPr>
              <w:t>År</w:t>
            </w:r>
            <w:r>
              <w:rPr>
                <w:noProof/>
                <w:sz w:val="22"/>
              </w:rPr>
              <w:br/>
            </w:r>
            <w:r>
              <w:rPr>
                <w:b/>
                <w:noProof/>
                <w:sz w:val="20"/>
              </w:rPr>
              <w:t>n+1</w:t>
            </w:r>
          </w:p>
        </w:tc>
        <w:tc>
          <w:tcPr>
            <w:tcW w:w="868" w:type="dxa"/>
            <w:vAlign w:val="center"/>
          </w:tcPr>
          <w:p>
            <w:pPr>
              <w:jc w:val="center"/>
              <w:rPr>
                <w:rFonts w:eastAsia="Calibri"/>
                <w:noProof/>
                <w:sz w:val="20"/>
              </w:rPr>
            </w:pPr>
            <w:r>
              <w:rPr>
                <w:noProof/>
                <w:sz w:val="20"/>
              </w:rPr>
              <w:t>År</w:t>
            </w:r>
            <w:r>
              <w:rPr>
                <w:noProof/>
                <w:sz w:val="22"/>
              </w:rPr>
              <w:br/>
            </w:r>
            <w:r>
              <w:rPr>
                <w:b/>
                <w:noProof/>
                <w:sz w:val="20"/>
              </w:rPr>
              <w:t>n+2</w:t>
            </w:r>
          </w:p>
        </w:tc>
        <w:tc>
          <w:tcPr>
            <w:tcW w:w="868" w:type="dxa"/>
            <w:vAlign w:val="center"/>
          </w:tcPr>
          <w:p>
            <w:pPr>
              <w:jc w:val="center"/>
              <w:rPr>
                <w:rFonts w:eastAsia="Calibri"/>
                <w:noProof/>
                <w:sz w:val="20"/>
              </w:rPr>
            </w:pPr>
            <w:r>
              <w:rPr>
                <w:noProof/>
                <w:sz w:val="20"/>
              </w:rPr>
              <w:t>År</w:t>
            </w:r>
            <w:r>
              <w:rPr>
                <w:noProof/>
                <w:sz w:val="22"/>
              </w:rPr>
              <w:br/>
            </w:r>
            <w:r>
              <w:rPr>
                <w:b/>
                <w:noProof/>
                <w:sz w:val="20"/>
              </w:rPr>
              <w:t>n+3</w:t>
            </w:r>
          </w:p>
        </w:tc>
        <w:tc>
          <w:tcPr>
            <w:tcW w:w="2604" w:type="dxa"/>
            <w:gridSpan w:val="3"/>
            <w:vAlign w:val="center"/>
          </w:tcPr>
          <w:p>
            <w:pPr>
              <w:jc w:val="center"/>
              <w:rPr>
                <w:rFonts w:eastAsia="Calibri"/>
                <w:b/>
                <w:noProof/>
                <w:sz w:val="18"/>
              </w:rPr>
            </w:pPr>
            <w:r>
              <w:rPr>
                <w:noProof/>
                <w:sz w:val="18"/>
              </w:rPr>
              <w:t xml:space="preserve">Der indsættes flere år, hvis virkningerne varer længere (jf. punkt 1.6) </w:t>
            </w:r>
          </w:p>
        </w:tc>
        <w:tc>
          <w:tcPr>
            <w:tcW w:w="1777" w:type="dxa"/>
            <w:vAlign w:val="center"/>
          </w:tcPr>
          <w:p>
            <w:pPr>
              <w:jc w:val="center"/>
              <w:rPr>
                <w:rFonts w:eastAsia="Calibri"/>
                <w:b/>
                <w:noProof/>
                <w:sz w:val="20"/>
              </w:rPr>
            </w:pPr>
            <w:r>
              <w:rPr>
                <w:b/>
                <w:noProof/>
                <w:sz w:val="20"/>
              </w:rPr>
              <w:t>I ALT</w:t>
            </w:r>
          </w:p>
        </w:tc>
      </w:tr>
      <w:tr>
        <w:trPr>
          <w:gridAfter w:val="10"/>
          <w:wAfter w:w="9947" w:type="dxa"/>
        </w:trPr>
        <w:tc>
          <w:tcPr>
            <w:tcW w:w="3960" w:type="dxa"/>
            <w:vAlign w:val="center"/>
          </w:tcPr>
          <w:p>
            <w:pPr>
              <w:spacing w:before="60" w:after="60"/>
              <w:jc w:val="center"/>
              <w:rPr>
                <w:rFonts w:eastAsia="Calibri"/>
                <w:noProof/>
              </w:rPr>
            </w:pPr>
            <w:r>
              <w:rPr>
                <w:noProof/>
                <w:sz w:val="22"/>
              </w:rPr>
              <w:t>GD: &lt;…….&gt;</w:t>
            </w:r>
          </w:p>
        </w:tc>
      </w:tr>
      <w:tr>
        <w:trPr>
          <w:trHeight w:val="313"/>
        </w:trPr>
        <w:tc>
          <w:tcPr>
            <w:tcW w:w="6054" w:type="dxa"/>
            <w:gridSpan w:val="3"/>
            <w:vAlign w:val="center"/>
          </w:tcPr>
          <w:p>
            <w:pPr>
              <w:spacing w:before="20" w:after="20"/>
              <w:rPr>
                <w:rFonts w:eastAsia="Calibri"/>
                <w:noProof/>
              </w:rPr>
            </w:pPr>
            <w:r>
              <w:rPr>
                <w:noProof/>
                <w:sz w:val="22"/>
              </w:rPr>
              <w:sym w:font="Wingdings" w:char="F09F"/>
            </w:r>
            <w:r>
              <w:rPr>
                <w:noProof/>
                <w:sz w:val="22"/>
              </w:rPr>
              <w:t xml:space="preserve"> Menneskelige ressourcer </w:t>
            </w: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b/>
                <w:noProof/>
                <w:sz w:val="20"/>
              </w:rPr>
            </w:pPr>
          </w:p>
        </w:tc>
        <w:tc>
          <w:tcPr>
            <w:tcW w:w="1777" w:type="dxa"/>
            <w:vAlign w:val="center"/>
          </w:tcPr>
          <w:p>
            <w:pPr>
              <w:spacing w:before="20" w:after="20"/>
              <w:jc w:val="right"/>
              <w:rPr>
                <w:rFonts w:eastAsia="Calibri"/>
                <w:b/>
                <w:noProof/>
                <w:sz w:val="20"/>
              </w:rPr>
            </w:pPr>
          </w:p>
        </w:tc>
      </w:tr>
      <w:tr>
        <w:trPr>
          <w:trHeight w:val="351"/>
        </w:trPr>
        <w:tc>
          <w:tcPr>
            <w:tcW w:w="6054" w:type="dxa"/>
            <w:gridSpan w:val="3"/>
            <w:vAlign w:val="center"/>
          </w:tcPr>
          <w:p>
            <w:pPr>
              <w:spacing w:before="20" w:after="20"/>
              <w:rPr>
                <w:rFonts w:eastAsia="Calibri"/>
                <w:noProof/>
              </w:rPr>
            </w:pPr>
            <w:r>
              <w:rPr>
                <w:noProof/>
                <w:sz w:val="22"/>
              </w:rPr>
              <w:sym w:font="Wingdings" w:char="F09F"/>
            </w:r>
            <w:r>
              <w:rPr>
                <w:noProof/>
                <w:sz w:val="22"/>
              </w:rPr>
              <w:t xml:space="preserve"> Andre administrationsudgifter </w:t>
            </w:r>
          </w:p>
        </w:tc>
        <w:tc>
          <w:tcPr>
            <w:tcW w:w="868" w:type="dxa"/>
            <w:vAlign w:val="center"/>
          </w:tcPr>
          <w:p>
            <w:pPr>
              <w:spacing w:before="20" w:after="20"/>
              <w:jc w:val="right"/>
              <w:rPr>
                <w:rFonts w:eastAsia="Calibri"/>
                <w:b/>
                <w:noProof/>
                <w:sz w:val="20"/>
              </w:rPr>
            </w:pPr>
          </w:p>
        </w:tc>
        <w:tc>
          <w:tcPr>
            <w:tcW w:w="868" w:type="dxa"/>
            <w:vAlign w:val="center"/>
          </w:tcPr>
          <w:p>
            <w:pPr>
              <w:spacing w:before="20" w:after="20"/>
              <w:jc w:val="right"/>
              <w:rPr>
                <w:rFonts w:eastAsia="Calibri"/>
                <w:b/>
                <w:noProof/>
                <w:sz w:val="20"/>
              </w:rPr>
            </w:pPr>
          </w:p>
        </w:tc>
        <w:tc>
          <w:tcPr>
            <w:tcW w:w="868" w:type="dxa"/>
            <w:vAlign w:val="center"/>
          </w:tcPr>
          <w:p>
            <w:pPr>
              <w:spacing w:before="20" w:after="20"/>
              <w:jc w:val="right"/>
              <w:rPr>
                <w:rFonts w:eastAsia="Calibri"/>
                <w:b/>
                <w:noProof/>
                <w:sz w:val="20"/>
              </w:rPr>
            </w:pPr>
          </w:p>
        </w:tc>
        <w:tc>
          <w:tcPr>
            <w:tcW w:w="868" w:type="dxa"/>
            <w:vAlign w:val="center"/>
          </w:tcPr>
          <w:p>
            <w:pPr>
              <w:spacing w:before="20" w:after="20"/>
              <w:jc w:val="right"/>
              <w:rPr>
                <w:rFonts w:eastAsia="Calibri"/>
                <w:b/>
                <w:noProof/>
                <w:sz w:val="20"/>
              </w:rPr>
            </w:pPr>
          </w:p>
        </w:tc>
        <w:tc>
          <w:tcPr>
            <w:tcW w:w="868" w:type="dxa"/>
            <w:vAlign w:val="center"/>
          </w:tcPr>
          <w:p>
            <w:pPr>
              <w:spacing w:before="20" w:after="20"/>
              <w:jc w:val="right"/>
              <w:rPr>
                <w:rFonts w:eastAsia="Calibri"/>
                <w:b/>
                <w:noProof/>
                <w:sz w:val="20"/>
              </w:rPr>
            </w:pPr>
          </w:p>
        </w:tc>
        <w:tc>
          <w:tcPr>
            <w:tcW w:w="868" w:type="dxa"/>
            <w:vAlign w:val="center"/>
          </w:tcPr>
          <w:p>
            <w:pPr>
              <w:spacing w:before="20" w:after="20"/>
              <w:jc w:val="right"/>
              <w:rPr>
                <w:rFonts w:eastAsia="Calibri"/>
                <w:b/>
                <w:noProof/>
                <w:sz w:val="20"/>
              </w:rPr>
            </w:pPr>
          </w:p>
        </w:tc>
        <w:tc>
          <w:tcPr>
            <w:tcW w:w="868" w:type="dxa"/>
            <w:vAlign w:val="center"/>
          </w:tcPr>
          <w:p>
            <w:pPr>
              <w:spacing w:before="20" w:after="20"/>
              <w:jc w:val="right"/>
              <w:rPr>
                <w:rFonts w:eastAsia="Calibri"/>
                <w:b/>
                <w:noProof/>
                <w:sz w:val="20"/>
              </w:rPr>
            </w:pPr>
          </w:p>
        </w:tc>
        <w:tc>
          <w:tcPr>
            <w:tcW w:w="1777" w:type="dxa"/>
            <w:vAlign w:val="center"/>
          </w:tcPr>
          <w:p>
            <w:pPr>
              <w:spacing w:before="20" w:after="20"/>
              <w:jc w:val="right"/>
              <w:rPr>
                <w:rFonts w:eastAsia="Calibri"/>
                <w:b/>
                <w:noProof/>
                <w:sz w:val="20"/>
              </w:rPr>
            </w:pPr>
          </w:p>
        </w:tc>
      </w:tr>
      <w:tr>
        <w:tc>
          <w:tcPr>
            <w:tcW w:w="3960" w:type="dxa"/>
            <w:vAlign w:val="center"/>
          </w:tcPr>
          <w:p>
            <w:pPr>
              <w:jc w:val="center"/>
              <w:rPr>
                <w:rFonts w:eastAsia="Calibri"/>
                <w:b/>
                <w:noProof/>
              </w:rPr>
            </w:pPr>
            <w:r>
              <w:rPr>
                <w:b/>
                <w:noProof/>
                <w:sz w:val="22"/>
              </w:rPr>
              <w:t xml:space="preserve">I ALT GD </w:t>
            </w:r>
            <w:r>
              <w:rPr>
                <w:noProof/>
                <w:sz w:val="22"/>
              </w:rPr>
              <w:t>&lt;…....&gt;</w:t>
            </w:r>
          </w:p>
        </w:tc>
        <w:tc>
          <w:tcPr>
            <w:tcW w:w="2094" w:type="dxa"/>
            <w:gridSpan w:val="2"/>
            <w:vAlign w:val="center"/>
          </w:tcPr>
          <w:p>
            <w:pPr>
              <w:rPr>
                <w:rFonts w:eastAsia="Calibri"/>
                <w:noProof/>
                <w:sz w:val="14"/>
              </w:rPr>
            </w:pPr>
            <w:r>
              <w:rPr>
                <w:noProof/>
                <w:sz w:val="18"/>
              </w:rPr>
              <w:t xml:space="preserve">Bevillinger </w:t>
            </w:r>
          </w:p>
        </w:tc>
        <w:tc>
          <w:tcPr>
            <w:tcW w:w="868" w:type="dxa"/>
            <w:vAlign w:val="center"/>
          </w:tcPr>
          <w:p>
            <w:pPr>
              <w:spacing w:before="60" w:after="6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b/>
                <w:noProof/>
                <w:sz w:val="20"/>
              </w:rPr>
            </w:pPr>
          </w:p>
        </w:tc>
        <w:tc>
          <w:tcPr>
            <w:tcW w:w="1777" w:type="dxa"/>
            <w:vAlign w:val="center"/>
          </w:tcPr>
          <w:p>
            <w:pPr>
              <w:spacing w:before="20" w:after="20"/>
              <w:jc w:val="right"/>
              <w:rPr>
                <w:rFonts w:eastAsia="Calibri"/>
                <w:b/>
                <w:noProof/>
                <w:sz w:val="20"/>
              </w:rPr>
            </w:pPr>
          </w:p>
        </w:tc>
      </w:tr>
    </w:tbl>
    <w:p>
      <w:pPr>
        <w:rPr>
          <w:rFonts w:eastAsia="Calibri"/>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tc>
          <w:tcPr>
            <w:tcW w:w="3960" w:type="dxa"/>
            <w:shd w:val="thinDiagStripe" w:color="C0C0C0" w:fill="auto"/>
            <w:vAlign w:val="center"/>
          </w:tcPr>
          <w:p>
            <w:pPr>
              <w:jc w:val="center"/>
              <w:rPr>
                <w:rFonts w:eastAsia="Calibri"/>
                <w:b/>
                <w:noProof/>
              </w:rPr>
            </w:pPr>
            <w:r>
              <w:rPr>
                <w:b/>
                <w:noProof/>
                <w:sz w:val="22"/>
              </w:rPr>
              <w:t>Bevillinger I ALT</w:t>
            </w:r>
            <w:r>
              <w:rPr>
                <w:noProof/>
                <w:sz w:val="22"/>
              </w:rPr>
              <w:br/>
            </w:r>
            <w:r>
              <w:rPr>
                <w:b/>
                <w:noProof/>
                <w:sz w:val="22"/>
              </w:rPr>
              <w:t>under UDGIFTSOMRÅDE 5</w:t>
            </w:r>
            <w:r>
              <w:rPr>
                <w:noProof/>
                <w:sz w:val="22"/>
              </w:rPr>
              <w:br/>
              <w:t>i den flerårige finansielle ramme</w:t>
            </w:r>
            <w:r>
              <w:rPr>
                <w:b/>
                <w:noProof/>
                <w:sz w:val="22"/>
              </w:rPr>
              <w:t xml:space="preserve"> </w:t>
            </w:r>
          </w:p>
        </w:tc>
        <w:tc>
          <w:tcPr>
            <w:tcW w:w="2094" w:type="dxa"/>
            <w:vAlign w:val="center"/>
          </w:tcPr>
          <w:p>
            <w:pPr>
              <w:spacing w:before="40" w:after="40"/>
              <w:rPr>
                <w:rFonts w:eastAsia="Calibri"/>
                <w:noProof/>
              </w:rPr>
            </w:pPr>
            <w:r>
              <w:rPr>
                <w:noProof/>
                <w:sz w:val="18"/>
              </w:rPr>
              <w:t>(Forpligtelser i alt = betalinger i alt)</w:t>
            </w: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noProof/>
                <w:sz w:val="20"/>
              </w:rPr>
            </w:pPr>
          </w:p>
        </w:tc>
        <w:tc>
          <w:tcPr>
            <w:tcW w:w="868" w:type="dxa"/>
            <w:vAlign w:val="center"/>
          </w:tcPr>
          <w:p>
            <w:pPr>
              <w:spacing w:before="20" w:after="20"/>
              <w:jc w:val="right"/>
              <w:rPr>
                <w:rFonts w:eastAsia="Calibri"/>
                <w:b/>
                <w:noProof/>
                <w:sz w:val="20"/>
              </w:rPr>
            </w:pPr>
          </w:p>
        </w:tc>
        <w:tc>
          <w:tcPr>
            <w:tcW w:w="1777" w:type="dxa"/>
            <w:vAlign w:val="center"/>
          </w:tcPr>
          <w:p>
            <w:pPr>
              <w:spacing w:before="20" w:after="20"/>
              <w:jc w:val="right"/>
              <w:rPr>
                <w:rFonts w:eastAsia="Calibri"/>
                <w:b/>
                <w:noProof/>
                <w:sz w:val="20"/>
              </w:rPr>
            </w:pPr>
          </w:p>
        </w:tc>
      </w:tr>
    </w:tbl>
    <w:p>
      <w:pPr>
        <w:jc w:val="right"/>
        <w:rPr>
          <w:rFonts w:eastAsia="Calibri"/>
          <w:noProof/>
          <w:sz w:val="20"/>
        </w:rPr>
      </w:pPr>
      <w:r>
        <w:rPr>
          <w:noProof/>
          <w:sz w:val="20"/>
        </w:rPr>
        <w:t>i mio. EUR (tre decimaler)</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tc>
          <w:tcPr>
            <w:tcW w:w="3960" w:type="dxa"/>
            <w:tcBorders>
              <w:top w:val="nil"/>
              <w:left w:val="nil"/>
              <w:right w:val="nil"/>
            </w:tcBorders>
            <w:vAlign w:val="center"/>
          </w:tcPr>
          <w:p>
            <w:pPr>
              <w:jc w:val="center"/>
              <w:rPr>
                <w:rFonts w:eastAsia="Calibri"/>
                <w:noProof/>
              </w:rPr>
            </w:pPr>
          </w:p>
        </w:tc>
        <w:tc>
          <w:tcPr>
            <w:tcW w:w="1560" w:type="dxa"/>
            <w:tcBorders>
              <w:top w:val="nil"/>
              <w:left w:val="nil"/>
              <w:right w:val="nil"/>
            </w:tcBorders>
          </w:tcPr>
          <w:p>
            <w:pPr>
              <w:rPr>
                <w:rFonts w:eastAsia="Calibri"/>
                <w:noProof/>
                <w:sz w:val="20"/>
              </w:rPr>
            </w:pPr>
          </w:p>
        </w:tc>
        <w:tc>
          <w:tcPr>
            <w:tcW w:w="534" w:type="dxa"/>
            <w:tcBorders>
              <w:top w:val="nil"/>
              <w:left w:val="nil"/>
            </w:tcBorders>
          </w:tcPr>
          <w:p>
            <w:pPr>
              <w:jc w:val="center"/>
              <w:rPr>
                <w:rFonts w:eastAsia="Calibri"/>
                <w:noProof/>
                <w:sz w:val="20"/>
              </w:rPr>
            </w:pPr>
          </w:p>
        </w:tc>
        <w:tc>
          <w:tcPr>
            <w:tcW w:w="868" w:type="dxa"/>
            <w:vAlign w:val="center"/>
          </w:tcPr>
          <w:p>
            <w:pPr>
              <w:jc w:val="center"/>
              <w:rPr>
                <w:rFonts w:eastAsia="Calibri"/>
                <w:noProof/>
                <w:sz w:val="20"/>
              </w:rPr>
            </w:pPr>
            <w:r>
              <w:rPr>
                <w:noProof/>
                <w:sz w:val="20"/>
              </w:rPr>
              <w:t>År</w:t>
            </w:r>
            <w:r>
              <w:rPr>
                <w:noProof/>
                <w:sz w:val="22"/>
              </w:rPr>
              <w:br/>
            </w:r>
            <w:r>
              <w:rPr>
                <w:b/>
                <w:noProof/>
                <w:sz w:val="20"/>
              </w:rPr>
              <w:t>n</w:t>
            </w:r>
            <w:r>
              <w:rPr>
                <w:rStyle w:val="FootnoteReference"/>
                <w:b/>
                <w:noProof/>
                <w:sz w:val="20"/>
              </w:rPr>
              <w:footnoteReference w:id="9"/>
            </w:r>
          </w:p>
        </w:tc>
        <w:tc>
          <w:tcPr>
            <w:tcW w:w="868" w:type="dxa"/>
            <w:vAlign w:val="center"/>
          </w:tcPr>
          <w:p>
            <w:pPr>
              <w:jc w:val="center"/>
              <w:rPr>
                <w:rFonts w:eastAsia="Calibri"/>
                <w:noProof/>
                <w:sz w:val="20"/>
              </w:rPr>
            </w:pPr>
            <w:r>
              <w:rPr>
                <w:noProof/>
                <w:sz w:val="20"/>
              </w:rPr>
              <w:t>År</w:t>
            </w:r>
            <w:r>
              <w:rPr>
                <w:noProof/>
                <w:sz w:val="22"/>
              </w:rPr>
              <w:br/>
            </w:r>
            <w:r>
              <w:rPr>
                <w:b/>
                <w:noProof/>
                <w:sz w:val="20"/>
              </w:rPr>
              <w:t>n+1</w:t>
            </w:r>
          </w:p>
        </w:tc>
        <w:tc>
          <w:tcPr>
            <w:tcW w:w="868" w:type="dxa"/>
            <w:vAlign w:val="center"/>
          </w:tcPr>
          <w:p>
            <w:pPr>
              <w:jc w:val="center"/>
              <w:rPr>
                <w:rFonts w:eastAsia="Calibri"/>
                <w:noProof/>
                <w:sz w:val="20"/>
              </w:rPr>
            </w:pPr>
            <w:r>
              <w:rPr>
                <w:noProof/>
                <w:sz w:val="20"/>
              </w:rPr>
              <w:t>År</w:t>
            </w:r>
            <w:r>
              <w:rPr>
                <w:noProof/>
                <w:sz w:val="22"/>
              </w:rPr>
              <w:br/>
            </w:r>
            <w:r>
              <w:rPr>
                <w:b/>
                <w:noProof/>
                <w:sz w:val="20"/>
              </w:rPr>
              <w:t>n+2</w:t>
            </w:r>
          </w:p>
        </w:tc>
        <w:tc>
          <w:tcPr>
            <w:tcW w:w="868" w:type="dxa"/>
            <w:vAlign w:val="center"/>
          </w:tcPr>
          <w:p>
            <w:pPr>
              <w:jc w:val="center"/>
              <w:rPr>
                <w:rFonts w:eastAsia="Calibri"/>
                <w:noProof/>
                <w:sz w:val="20"/>
              </w:rPr>
            </w:pPr>
            <w:r>
              <w:rPr>
                <w:noProof/>
                <w:sz w:val="20"/>
              </w:rPr>
              <w:t>År</w:t>
            </w:r>
            <w:r>
              <w:rPr>
                <w:noProof/>
                <w:sz w:val="22"/>
              </w:rPr>
              <w:br/>
            </w:r>
            <w:r>
              <w:rPr>
                <w:b/>
                <w:noProof/>
                <w:sz w:val="20"/>
              </w:rPr>
              <w:t>n+3</w:t>
            </w:r>
          </w:p>
        </w:tc>
        <w:tc>
          <w:tcPr>
            <w:tcW w:w="2604" w:type="dxa"/>
            <w:gridSpan w:val="3"/>
            <w:vAlign w:val="center"/>
          </w:tcPr>
          <w:p>
            <w:pPr>
              <w:jc w:val="center"/>
              <w:rPr>
                <w:rFonts w:eastAsia="Calibri"/>
                <w:b/>
                <w:noProof/>
                <w:sz w:val="18"/>
              </w:rPr>
            </w:pPr>
            <w:r>
              <w:rPr>
                <w:noProof/>
                <w:sz w:val="18"/>
              </w:rPr>
              <w:t>Der indsættes flere år, hvis virkningerne varer længere (jf. punkt 1.6)</w:t>
            </w:r>
          </w:p>
        </w:tc>
        <w:tc>
          <w:tcPr>
            <w:tcW w:w="1777" w:type="dxa"/>
            <w:vAlign w:val="center"/>
          </w:tcPr>
          <w:p>
            <w:pPr>
              <w:jc w:val="center"/>
              <w:rPr>
                <w:rFonts w:eastAsia="Calibri"/>
                <w:b/>
                <w:noProof/>
                <w:sz w:val="20"/>
              </w:rPr>
            </w:pPr>
            <w:r>
              <w:rPr>
                <w:b/>
                <w:noProof/>
                <w:sz w:val="20"/>
              </w:rPr>
              <w:t>I ALT</w:t>
            </w:r>
          </w:p>
        </w:tc>
      </w:tr>
      <w:tr>
        <w:tc>
          <w:tcPr>
            <w:tcW w:w="3960" w:type="dxa"/>
            <w:vMerge w:val="restart"/>
            <w:shd w:val="clear" w:color="auto" w:fill="C0C0C0"/>
            <w:vAlign w:val="center"/>
          </w:tcPr>
          <w:p>
            <w:pPr>
              <w:jc w:val="center"/>
              <w:rPr>
                <w:rFonts w:eastAsia="Calibri"/>
                <w:b/>
                <w:noProof/>
                <w:sz w:val="22"/>
              </w:rPr>
            </w:pPr>
            <w:r>
              <w:rPr>
                <w:b/>
                <w:noProof/>
                <w:sz w:val="22"/>
              </w:rPr>
              <w:t xml:space="preserve">Bevillinger I ALT </w:t>
            </w:r>
            <w:r>
              <w:rPr>
                <w:b/>
                <w:noProof/>
                <w:sz w:val="22"/>
              </w:rPr>
              <w:br/>
              <w:t>under UDGIFTSOMRÅDE 1-5</w:t>
            </w:r>
            <w:r>
              <w:rPr>
                <w:b/>
                <w:noProof/>
                <w:sz w:val="22"/>
              </w:rPr>
              <w:br/>
              <w:t xml:space="preserve">i den flerårige finansielle ramme </w:t>
            </w:r>
          </w:p>
        </w:tc>
        <w:tc>
          <w:tcPr>
            <w:tcW w:w="2094" w:type="dxa"/>
            <w:gridSpan w:val="2"/>
            <w:vAlign w:val="center"/>
          </w:tcPr>
          <w:p>
            <w:pPr>
              <w:rPr>
                <w:rFonts w:eastAsia="Calibri"/>
                <w:noProof/>
                <w:sz w:val="14"/>
              </w:rPr>
            </w:pPr>
            <w:r>
              <w:rPr>
                <w:noProof/>
                <w:sz w:val="18"/>
              </w:rPr>
              <w:t>Forpligtelser</w:t>
            </w: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b/>
                <w:noProof/>
                <w:sz w:val="20"/>
              </w:rPr>
            </w:pPr>
          </w:p>
        </w:tc>
        <w:tc>
          <w:tcPr>
            <w:tcW w:w="1777" w:type="dxa"/>
            <w:vAlign w:val="center"/>
          </w:tcPr>
          <w:p>
            <w:pPr>
              <w:spacing w:before="60" w:after="60"/>
              <w:jc w:val="right"/>
              <w:rPr>
                <w:rFonts w:eastAsia="Calibri"/>
                <w:b/>
                <w:noProof/>
                <w:sz w:val="20"/>
              </w:rPr>
            </w:pPr>
          </w:p>
        </w:tc>
      </w:tr>
      <w:tr>
        <w:tc>
          <w:tcPr>
            <w:tcW w:w="3960" w:type="dxa"/>
            <w:vMerge/>
            <w:shd w:val="clear" w:color="auto" w:fill="C0C0C0"/>
          </w:tcPr>
          <w:p>
            <w:pPr>
              <w:rPr>
                <w:rFonts w:eastAsia="Calibri"/>
                <w:noProof/>
                <w:sz w:val="20"/>
              </w:rPr>
            </w:pPr>
          </w:p>
        </w:tc>
        <w:tc>
          <w:tcPr>
            <w:tcW w:w="2094" w:type="dxa"/>
            <w:gridSpan w:val="2"/>
            <w:vAlign w:val="center"/>
          </w:tcPr>
          <w:p>
            <w:pPr>
              <w:rPr>
                <w:rFonts w:eastAsia="Calibri"/>
                <w:noProof/>
                <w:sz w:val="14"/>
              </w:rPr>
            </w:pPr>
            <w:r>
              <w:rPr>
                <w:noProof/>
                <w:sz w:val="18"/>
              </w:rPr>
              <w:t>Betalinger</w:t>
            </w: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noProof/>
                <w:sz w:val="20"/>
              </w:rPr>
            </w:pPr>
          </w:p>
        </w:tc>
        <w:tc>
          <w:tcPr>
            <w:tcW w:w="868" w:type="dxa"/>
            <w:vAlign w:val="center"/>
          </w:tcPr>
          <w:p>
            <w:pPr>
              <w:spacing w:before="60" w:after="60"/>
              <w:jc w:val="right"/>
              <w:rPr>
                <w:rFonts w:eastAsia="Calibri"/>
                <w:b/>
                <w:noProof/>
                <w:sz w:val="20"/>
              </w:rPr>
            </w:pPr>
          </w:p>
        </w:tc>
        <w:tc>
          <w:tcPr>
            <w:tcW w:w="1777" w:type="dxa"/>
            <w:vAlign w:val="center"/>
          </w:tcPr>
          <w:p>
            <w:pPr>
              <w:spacing w:before="60" w:after="60"/>
              <w:jc w:val="right"/>
              <w:rPr>
                <w:rFonts w:eastAsia="Calibri"/>
                <w:b/>
                <w:noProof/>
                <w:sz w:val="20"/>
              </w:rPr>
            </w:pPr>
          </w:p>
        </w:tc>
      </w:tr>
    </w:tbl>
    <w:p>
      <w:pPr>
        <w:rPr>
          <w:rFonts w:eastAsia="Calibri"/>
          <w:noProof/>
        </w:rPr>
      </w:pPr>
    </w:p>
    <w:p>
      <w:pPr>
        <w:keepNext/>
        <w:tabs>
          <w:tab w:val="left" w:pos="850"/>
        </w:tabs>
        <w:ind w:left="850" w:hanging="850"/>
        <w:outlineLvl w:val="2"/>
        <w:rPr>
          <w:rFonts w:eastAsia="Calibri"/>
          <w:bCs/>
          <w:i/>
          <w:noProof/>
          <w:szCs w:val="24"/>
        </w:rPr>
      </w:pPr>
      <w:r>
        <w:rPr>
          <w:i/>
          <w:noProof/>
        </w:rPr>
        <w:t>3.2.2.</w:t>
      </w:r>
      <w:r>
        <w:rPr>
          <w:i/>
          <w:noProof/>
        </w:rPr>
        <w:tab/>
        <w:t xml:space="preserve">Anslåede resultater finansieret med aktionsbevillinger </w:t>
      </w:r>
    </w:p>
    <w:p>
      <w:pPr>
        <w:jc w:val="right"/>
        <w:rPr>
          <w:rFonts w:eastAsia="Calibri"/>
          <w:noProof/>
          <w:sz w:val="20"/>
        </w:rPr>
      </w:pPr>
      <w:r>
        <w:rPr>
          <w:noProof/>
          <w:sz w:val="20"/>
        </w:rPr>
        <w:t>Forpligtelsesbevillinger i mio. EUR (tre decimaler)</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trPr>
          <w:jc w:val="center"/>
        </w:trPr>
        <w:tc>
          <w:tcPr>
            <w:tcW w:w="1423" w:type="dxa"/>
            <w:vMerge w:val="restart"/>
            <w:vAlign w:val="center"/>
          </w:tcPr>
          <w:p>
            <w:pPr>
              <w:ind w:right="-29"/>
              <w:jc w:val="center"/>
              <w:rPr>
                <w:rFonts w:eastAsia="Calibri"/>
                <w:b/>
                <w:noProof/>
                <w:sz w:val="18"/>
                <w:szCs w:val="18"/>
              </w:rPr>
            </w:pPr>
            <w:r>
              <w:rPr>
                <w:b/>
                <w:noProof/>
                <w:sz w:val="18"/>
              </w:rPr>
              <w:t xml:space="preserve">Der angives mål og resultater </w:t>
            </w:r>
          </w:p>
          <w:p>
            <w:pPr>
              <w:ind w:right="-29"/>
              <w:jc w:val="center"/>
              <w:rPr>
                <w:rFonts w:eastAsia="Calibri"/>
                <w:b/>
                <w:noProof/>
                <w:sz w:val="18"/>
                <w:szCs w:val="18"/>
              </w:rPr>
            </w:pPr>
          </w:p>
          <w:p>
            <w:pPr>
              <w:ind w:right="-29"/>
              <w:jc w:val="center"/>
              <w:rPr>
                <w:rFonts w:eastAsia="Calibri"/>
                <w:noProof/>
                <w:sz w:val="18"/>
                <w:szCs w:val="18"/>
              </w:rPr>
            </w:pPr>
            <w:r>
              <w:rPr>
                <w:noProof/>
                <w:sz w:val="18"/>
              </w:rPr>
              <w:sym w:font="Wingdings" w:char="F0F2"/>
            </w:r>
          </w:p>
        </w:tc>
        <w:tc>
          <w:tcPr>
            <w:tcW w:w="720" w:type="dxa"/>
            <w:vAlign w:val="center"/>
          </w:tcPr>
          <w:p>
            <w:pPr>
              <w:ind w:right="-29"/>
              <w:jc w:val="center"/>
              <w:rPr>
                <w:rFonts w:eastAsia="Calibri"/>
                <w:noProof/>
                <w:sz w:val="18"/>
                <w:szCs w:val="18"/>
              </w:rPr>
            </w:pPr>
          </w:p>
        </w:tc>
        <w:tc>
          <w:tcPr>
            <w:tcW w:w="701" w:type="dxa"/>
            <w:vAlign w:val="center"/>
          </w:tcPr>
          <w:p>
            <w:pPr>
              <w:ind w:right="-29"/>
              <w:jc w:val="center"/>
              <w:rPr>
                <w:rFonts w:eastAsia="Calibri"/>
                <w:noProof/>
                <w:sz w:val="18"/>
                <w:szCs w:val="18"/>
              </w:rPr>
            </w:pPr>
          </w:p>
        </w:tc>
        <w:tc>
          <w:tcPr>
            <w:tcW w:w="1224" w:type="dxa"/>
            <w:gridSpan w:val="2"/>
            <w:tcBorders>
              <w:left w:val="nil"/>
            </w:tcBorders>
            <w:vAlign w:val="center"/>
          </w:tcPr>
          <w:p>
            <w:pPr>
              <w:ind w:right="-29"/>
              <w:jc w:val="center"/>
              <w:rPr>
                <w:rFonts w:eastAsia="Calibri"/>
                <w:noProof/>
                <w:sz w:val="18"/>
                <w:szCs w:val="18"/>
              </w:rPr>
            </w:pPr>
            <w:r>
              <w:rPr>
                <w:noProof/>
                <w:sz w:val="18"/>
              </w:rPr>
              <w:t>År</w:t>
            </w:r>
            <w:r>
              <w:rPr>
                <w:noProof/>
                <w:sz w:val="22"/>
              </w:rPr>
              <w:br/>
            </w:r>
            <w:r>
              <w:rPr>
                <w:b/>
                <w:noProof/>
                <w:sz w:val="18"/>
              </w:rPr>
              <w:t>2020</w:t>
            </w:r>
          </w:p>
        </w:tc>
        <w:tc>
          <w:tcPr>
            <w:tcW w:w="1260" w:type="dxa"/>
            <w:gridSpan w:val="2"/>
            <w:vAlign w:val="center"/>
          </w:tcPr>
          <w:p>
            <w:pPr>
              <w:ind w:right="-29"/>
              <w:jc w:val="center"/>
              <w:rPr>
                <w:rFonts w:eastAsia="Calibri"/>
                <w:noProof/>
                <w:sz w:val="18"/>
                <w:szCs w:val="18"/>
              </w:rPr>
            </w:pPr>
          </w:p>
        </w:tc>
        <w:tc>
          <w:tcPr>
            <w:tcW w:w="1440" w:type="dxa"/>
            <w:gridSpan w:val="2"/>
            <w:vAlign w:val="center"/>
          </w:tcPr>
          <w:p>
            <w:pPr>
              <w:ind w:right="-29"/>
              <w:jc w:val="center"/>
              <w:rPr>
                <w:rFonts w:eastAsia="Calibri"/>
                <w:noProof/>
                <w:sz w:val="18"/>
                <w:szCs w:val="18"/>
              </w:rPr>
            </w:pPr>
            <w:r>
              <w:rPr>
                <w:noProof/>
                <w:sz w:val="18"/>
              </w:rPr>
              <w:t>År</w:t>
            </w:r>
            <w:r>
              <w:rPr>
                <w:noProof/>
                <w:sz w:val="22"/>
              </w:rPr>
              <w:br/>
            </w:r>
          </w:p>
        </w:tc>
        <w:tc>
          <w:tcPr>
            <w:tcW w:w="1620" w:type="dxa"/>
            <w:gridSpan w:val="3"/>
            <w:vAlign w:val="center"/>
          </w:tcPr>
          <w:p>
            <w:pPr>
              <w:ind w:right="-29"/>
              <w:jc w:val="center"/>
              <w:rPr>
                <w:rFonts w:eastAsia="Calibri"/>
                <w:noProof/>
                <w:sz w:val="18"/>
                <w:szCs w:val="18"/>
              </w:rPr>
            </w:pPr>
            <w:r>
              <w:rPr>
                <w:noProof/>
                <w:sz w:val="18"/>
              </w:rPr>
              <w:t>År</w:t>
            </w:r>
            <w:r>
              <w:rPr>
                <w:noProof/>
                <w:sz w:val="22"/>
              </w:rPr>
              <w:br/>
            </w:r>
          </w:p>
        </w:tc>
        <w:tc>
          <w:tcPr>
            <w:tcW w:w="3600" w:type="dxa"/>
            <w:gridSpan w:val="6"/>
            <w:vAlign w:val="center"/>
          </w:tcPr>
          <w:p>
            <w:pPr>
              <w:jc w:val="center"/>
              <w:rPr>
                <w:rFonts w:eastAsia="Calibri"/>
                <w:noProof/>
                <w:sz w:val="18"/>
                <w:szCs w:val="18"/>
              </w:rPr>
            </w:pPr>
            <w:r>
              <w:rPr>
                <w:noProof/>
                <w:sz w:val="18"/>
              </w:rPr>
              <w:t>Der indsættes flere år, hvis virkningerne varer længere (jf. punkt 1.6)</w:t>
            </w:r>
          </w:p>
        </w:tc>
        <w:tc>
          <w:tcPr>
            <w:tcW w:w="1620" w:type="dxa"/>
            <w:gridSpan w:val="2"/>
            <w:tcBorders>
              <w:left w:val="nil"/>
              <w:bottom w:val="nil"/>
            </w:tcBorders>
            <w:vAlign w:val="center"/>
          </w:tcPr>
          <w:p>
            <w:pPr>
              <w:ind w:right="-29"/>
              <w:jc w:val="center"/>
              <w:rPr>
                <w:rFonts w:eastAsia="Calibri"/>
                <w:noProof/>
                <w:sz w:val="18"/>
                <w:szCs w:val="18"/>
              </w:rPr>
            </w:pPr>
            <w:r>
              <w:rPr>
                <w:b/>
                <w:noProof/>
                <w:sz w:val="18"/>
              </w:rPr>
              <w:t>I ALT</w:t>
            </w:r>
          </w:p>
        </w:tc>
      </w:tr>
      <w:tr>
        <w:trPr>
          <w:jc w:val="center"/>
        </w:trPr>
        <w:tc>
          <w:tcPr>
            <w:tcW w:w="1423" w:type="dxa"/>
            <w:vMerge/>
            <w:vAlign w:val="center"/>
          </w:tcPr>
          <w:p>
            <w:pPr>
              <w:ind w:right="-29"/>
              <w:jc w:val="center"/>
              <w:rPr>
                <w:rFonts w:eastAsia="Calibri"/>
                <w:noProof/>
                <w:sz w:val="18"/>
                <w:szCs w:val="18"/>
              </w:rPr>
            </w:pPr>
          </w:p>
        </w:tc>
        <w:tc>
          <w:tcPr>
            <w:tcW w:w="12185" w:type="dxa"/>
            <w:gridSpan w:val="19"/>
            <w:vAlign w:val="center"/>
          </w:tcPr>
          <w:p>
            <w:pPr>
              <w:spacing w:before="60" w:after="60"/>
              <w:ind w:right="-29"/>
              <w:jc w:val="center"/>
              <w:rPr>
                <w:rFonts w:eastAsia="Calibri"/>
                <w:noProof/>
                <w:sz w:val="18"/>
                <w:szCs w:val="18"/>
              </w:rPr>
            </w:pPr>
            <w:r>
              <w:rPr>
                <w:b/>
                <w:noProof/>
                <w:sz w:val="18"/>
              </w:rPr>
              <w:t>RESULTATER</w:t>
            </w:r>
          </w:p>
        </w:tc>
      </w:tr>
      <w:tr>
        <w:trPr>
          <w:cantSplit/>
          <w:trHeight w:val="1134"/>
          <w:jc w:val="center"/>
        </w:trPr>
        <w:tc>
          <w:tcPr>
            <w:tcW w:w="1423" w:type="dxa"/>
            <w:vMerge/>
            <w:vAlign w:val="center"/>
          </w:tcPr>
          <w:p>
            <w:pPr>
              <w:rPr>
                <w:rFonts w:eastAsia="Calibri"/>
                <w:noProof/>
                <w:sz w:val="18"/>
                <w:szCs w:val="18"/>
              </w:rPr>
            </w:pPr>
          </w:p>
        </w:tc>
        <w:tc>
          <w:tcPr>
            <w:tcW w:w="720" w:type="dxa"/>
            <w:vAlign w:val="center"/>
          </w:tcPr>
          <w:p>
            <w:pPr>
              <w:jc w:val="center"/>
              <w:rPr>
                <w:rFonts w:eastAsia="Calibri"/>
                <w:noProof/>
                <w:sz w:val="18"/>
                <w:szCs w:val="18"/>
              </w:rPr>
            </w:pPr>
            <w:r>
              <w:rPr>
                <w:noProof/>
                <w:sz w:val="18"/>
              </w:rPr>
              <w:t>Type</w:t>
            </w:r>
            <w:r>
              <w:rPr>
                <w:rStyle w:val="FootnoteReference"/>
                <w:noProof/>
                <w:sz w:val="18"/>
              </w:rPr>
              <w:footnoteReference w:id="10"/>
            </w:r>
          </w:p>
          <w:p>
            <w:pPr>
              <w:spacing w:before="0" w:after="0"/>
              <w:jc w:val="center"/>
              <w:rPr>
                <w:rFonts w:eastAsia="Calibri"/>
                <w:noProof/>
                <w:sz w:val="18"/>
                <w:szCs w:val="18"/>
              </w:rPr>
            </w:pPr>
          </w:p>
        </w:tc>
        <w:tc>
          <w:tcPr>
            <w:tcW w:w="701" w:type="dxa"/>
            <w:vAlign w:val="center"/>
          </w:tcPr>
          <w:p>
            <w:pPr>
              <w:jc w:val="center"/>
              <w:rPr>
                <w:rFonts w:eastAsia="Calibri"/>
                <w:noProof/>
                <w:sz w:val="18"/>
                <w:szCs w:val="18"/>
              </w:rPr>
            </w:pPr>
            <w:r>
              <w:rPr>
                <w:noProof/>
                <w:sz w:val="18"/>
              </w:rPr>
              <w:t>Resul</w:t>
            </w:r>
            <w:r>
              <w:rPr>
                <w:noProof/>
                <w:sz w:val="18"/>
              </w:rPr>
              <w:softHyphen/>
              <w:t>taternes gnsntl. om</w:t>
            </w:r>
            <w:r>
              <w:rPr>
                <w:noProof/>
                <w:sz w:val="18"/>
              </w:rPr>
              <w:softHyphen/>
              <w:t>kost</w:t>
            </w:r>
            <w:r>
              <w:rPr>
                <w:noProof/>
                <w:sz w:val="18"/>
              </w:rPr>
              <w:softHyphen/>
              <w:t>ninger</w:t>
            </w:r>
          </w:p>
        </w:tc>
        <w:tc>
          <w:tcPr>
            <w:tcW w:w="504" w:type="dxa"/>
            <w:tcBorders>
              <w:left w:val="nil"/>
              <w:right w:val="dashSmallGap" w:sz="4" w:space="0" w:color="auto"/>
            </w:tcBorders>
            <w:shd w:val="pct10" w:color="auto" w:fill="auto"/>
            <w:textDirection w:val="btLr"/>
            <w:vAlign w:val="center"/>
          </w:tcPr>
          <w:p>
            <w:pPr>
              <w:ind w:left="113" w:right="113"/>
              <w:jc w:val="center"/>
              <w:rPr>
                <w:rFonts w:eastAsia="Calibri"/>
                <w:noProof/>
                <w:sz w:val="18"/>
                <w:szCs w:val="18"/>
              </w:rPr>
            </w:pPr>
            <w:r>
              <w:rPr>
                <w:noProof/>
                <w:sz w:val="18"/>
              </w:rPr>
              <w:t>Antal</w:t>
            </w:r>
          </w:p>
        </w:tc>
        <w:tc>
          <w:tcPr>
            <w:tcW w:w="720" w:type="dxa"/>
            <w:tcBorders>
              <w:left w:val="dashSmallGap" w:sz="4" w:space="0" w:color="auto"/>
            </w:tcBorders>
            <w:shd w:val="pct10" w:color="auto" w:fill="auto"/>
            <w:vAlign w:val="center"/>
          </w:tcPr>
          <w:p>
            <w:pPr>
              <w:jc w:val="center"/>
              <w:rPr>
                <w:rFonts w:eastAsia="Calibri"/>
                <w:noProof/>
                <w:sz w:val="18"/>
                <w:szCs w:val="18"/>
              </w:rPr>
            </w:pPr>
            <w:r>
              <w:rPr>
                <w:noProof/>
                <w:sz w:val="18"/>
              </w:rPr>
              <w:t>Om</w:t>
            </w:r>
            <w:r>
              <w:rPr>
                <w:noProof/>
                <w:sz w:val="18"/>
              </w:rPr>
              <w:softHyphen/>
              <w:t>kost</w:t>
            </w:r>
            <w:r>
              <w:rPr>
                <w:noProof/>
                <w:sz w:val="18"/>
              </w:rPr>
              <w:softHyphen/>
              <w:t>ninger</w:t>
            </w:r>
          </w:p>
        </w:tc>
        <w:tc>
          <w:tcPr>
            <w:tcW w:w="540" w:type="dxa"/>
            <w:tcBorders>
              <w:right w:val="dashSmallGap" w:sz="4" w:space="0" w:color="auto"/>
            </w:tcBorders>
            <w:shd w:val="pct10" w:color="auto" w:fill="auto"/>
            <w:textDirection w:val="btLr"/>
            <w:vAlign w:val="center"/>
          </w:tcPr>
          <w:p>
            <w:pPr>
              <w:ind w:left="113" w:right="113"/>
              <w:jc w:val="center"/>
              <w:rPr>
                <w:rFonts w:eastAsia="Calibri"/>
                <w:noProof/>
                <w:sz w:val="18"/>
                <w:szCs w:val="18"/>
              </w:rPr>
            </w:pPr>
            <w:r>
              <w:rPr>
                <w:noProof/>
                <w:sz w:val="18"/>
              </w:rPr>
              <w:t>Antal</w:t>
            </w:r>
          </w:p>
        </w:tc>
        <w:tc>
          <w:tcPr>
            <w:tcW w:w="720" w:type="dxa"/>
            <w:tcBorders>
              <w:left w:val="dashSmallGap" w:sz="4" w:space="0" w:color="auto"/>
            </w:tcBorders>
            <w:shd w:val="pct10" w:color="auto" w:fill="auto"/>
            <w:vAlign w:val="center"/>
          </w:tcPr>
          <w:p>
            <w:pPr>
              <w:jc w:val="center"/>
              <w:rPr>
                <w:rFonts w:eastAsia="Calibri"/>
                <w:noProof/>
                <w:sz w:val="18"/>
                <w:szCs w:val="18"/>
              </w:rPr>
            </w:pPr>
            <w:r>
              <w:rPr>
                <w:noProof/>
                <w:sz w:val="18"/>
              </w:rPr>
              <w:t>Om</w:t>
            </w:r>
            <w:r>
              <w:rPr>
                <w:noProof/>
                <w:sz w:val="18"/>
              </w:rPr>
              <w:softHyphen/>
              <w:t>kost</w:t>
            </w:r>
            <w:r>
              <w:rPr>
                <w:noProof/>
                <w:sz w:val="18"/>
              </w:rPr>
              <w:softHyphen/>
              <w:t>ninger</w:t>
            </w:r>
          </w:p>
        </w:tc>
        <w:tc>
          <w:tcPr>
            <w:tcW w:w="720" w:type="dxa"/>
            <w:tcBorders>
              <w:right w:val="dashSmallGap" w:sz="4" w:space="0" w:color="auto"/>
            </w:tcBorders>
            <w:shd w:val="pct10" w:color="auto" w:fill="auto"/>
            <w:textDirection w:val="btLr"/>
            <w:vAlign w:val="center"/>
          </w:tcPr>
          <w:p>
            <w:pPr>
              <w:ind w:left="113" w:right="113"/>
              <w:jc w:val="center"/>
              <w:rPr>
                <w:rFonts w:eastAsia="Calibri"/>
                <w:noProof/>
                <w:sz w:val="18"/>
                <w:szCs w:val="18"/>
              </w:rPr>
            </w:pPr>
            <w:r>
              <w:rPr>
                <w:noProof/>
                <w:sz w:val="18"/>
              </w:rPr>
              <w:t>Antal</w:t>
            </w:r>
          </w:p>
        </w:tc>
        <w:tc>
          <w:tcPr>
            <w:tcW w:w="720" w:type="dxa"/>
            <w:tcBorders>
              <w:left w:val="dashSmallGap" w:sz="4" w:space="0" w:color="auto"/>
            </w:tcBorders>
            <w:shd w:val="pct10" w:color="auto" w:fill="auto"/>
            <w:vAlign w:val="center"/>
          </w:tcPr>
          <w:p>
            <w:pPr>
              <w:jc w:val="center"/>
              <w:rPr>
                <w:rFonts w:eastAsia="Calibri"/>
                <w:noProof/>
                <w:sz w:val="18"/>
                <w:szCs w:val="18"/>
              </w:rPr>
            </w:pPr>
            <w:r>
              <w:rPr>
                <w:noProof/>
                <w:sz w:val="18"/>
              </w:rPr>
              <w:t>Om</w:t>
            </w:r>
            <w:r>
              <w:rPr>
                <w:noProof/>
                <w:sz w:val="18"/>
              </w:rPr>
              <w:softHyphen/>
              <w:t>kost</w:t>
            </w:r>
            <w:r>
              <w:rPr>
                <w:noProof/>
                <w:sz w:val="18"/>
              </w:rPr>
              <w:softHyphen/>
              <w:t>ninger</w:t>
            </w:r>
          </w:p>
        </w:tc>
        <w:tc>
          <w:tcPr>
            <w:tcW w:w="900" w:type="dxa"/>
            <w:tcBorders>
              <w:right w:val="dashSmallGap" w:sz="4" w:space="0" w:color="auto"/>
            </w:tcBorders>
            <w:shd w:val="pct10" w:color="auto" w:fill="auto"/>
            <w:textDirection w:val="btLr"/>
            <w:vAlign w:val="center"/>
          </w:tcPr>
          <w:p>
            <w:pPr>
              <w:ind w:left="113" w:right="113"/>
              <w:jc w:val="center"/>
              <w:rPr>
                <w:rFonts w:eastAsia="Calibri"/>
                <w:noProof/>
                <w:sz w:val="18"/>
                <w:szCs w:val="18"/>
              </w:rPr>
            </w:pPr>
            <w:r>
              <w:rPr>
                <w:noProof/>
                <w:sz w:val="18"/>
              </w:rPr>
              <w:t>Antal</w:t>
            </w:r>
          </w:p>
        </w:tc>
        <w:tc>
          <w:tcPr>
            <w:tcW w:w="720" w:type="dxa"/>
            <w:gridSpan w:val="2"/>
            <w:tcBorders>
              <w:left w:val="dashSmallGap" w:sz="4" w:space="0" w:color="auto"/>
            </w:tcBorders>
            <w:shd w:val="pct10" w:color="auto" w:fill="auto"/>
            <w:vAlign w:val="center"/>
          </w:tcPr>
          <w:p>
            <w:pPr>
              <w:jc w:val="center"/>
              <w:rPr>
                <w:rFonts w:eastAsia="Calibri"/>
                <w:noProof/>
                <w:sz w:val="18"/>
                <w:szCs w:val="18"/>
              </w:rPr>
            </w:pPr>
            <w:r>
              <w:rPr>
                <w:noProof/>
                <w:sz w:val="18"/>
              </w:rPr>
              <w:t>Om</w:t>
            </w:r>
            <w:r>
              <w:rPr>
                <w:noProof/>
                <w:sz w:val="18"/>
              </w:rPr>
              <w:softHyphen/>
              <w:t>kost</w:t>
            </w:r>
            <w:r>
              <w:rPr>
                <w:noProof/>
                <w:sz w:val="18"/>
              </w:rPr>
              <w:softHyphen/>
              <w:t>ninger</w:t>
            </w:r>
          </w:p>
        </w:tc>
        <w:tc>
          <w:tcPr>
            <w:tcW w:w="540" w:type="dxa"/>
            <w:tcBorders>
              <w:right w:val="dashSmallGap" w:sz="4" w:space="0" w:color="auto"/>
            </w:tcBorders>
            <w:shd w:val="pct10" w:color="auto" w:fill="auto"/>
            <w:textDirection w:val="btLr"/>
            <w:vAlign w:val="center"/>
          </w:tcPr>
          <w:p>
            <w:pPr>
              <w:ind w:left="113" w:right="113"/>
              <w:jc w:val="center"/>
              <w:rPr>
                <w:rFonts w:eastAsia="Calibri"/>
                <w:noProof/>
                <w:sz w:val="18"/>
                <w:szCs w:val="18"/>
              </w:rPr>
            </w:pPr>
            <w:r>
              <w:rPr>
                <w:noProof/>
                <w:sz w:val="18"/>
              </w:rPr>
              <w:t>Antal</w:t>
            </w:r>
          </w:p>
        </w:tc>
        <w:tc>
          <w:tcPr>
            <w:tcW w:w="648" w:type="dxa"/>
            <w:tcBorders>
              <w:left w:val="dashSmallGap" w:sz="4" w:space="0" w:color="auto"/>
            </w:tcBorders>
            <w:shd w:val="pct10" w:color="auto" w:fill="auto"/>
            <w:vAlign w:val="center"/>
          </w:tcPr>
          <w:p>
            <w:pPr>
              <w:jc w:val="center"/>
              <w:rPr>
                <w:rFonts w:eastAsia="Calibri"/>
                <w:noProof/>
                <w:sz w:val="18"/>
                <w:szCs w:val="18"/>
              </w:rPr>
            </w:pPr>
            <w:r>
              <w:rPr>
                <w:noProof/>
                <w:sz w:val="18"/>
              </w:rPr>
              <w:t>Om</w:t>
            </w:r>
            <w:r>
              <w:rPr>
                <w:noProof/>
                <w:sz w:val="18"/>
              </w:rPr>
              <w:softHyphen/>
              <w:t>kost</w:t>
            </w:r>
            <w:r>
              <w:rPr>
                <w:noProof/>
                <w:sz w:val="18"/>
              </w:rPr>
              <w:softHyphen/>
              <w:t>ninger</w:t>
            </w:r>
          </w:p>
        </w:tc>
        <w:tc>
          <w:tcPr>
            <w:tcW w:w="432" w:type="dxa"/>
            <w:tcBorders>
              <w:right w:val="dashSmallGap" w:sz="4" w:space="0" w:color="auto"/>
            </w:tcBorders>
            <w:shd w:val="pct10" w:color="auto" w:fill="auto"/>
            <w:textDirection w:val="btLr"/>
            <w:vAlign w:val="center"/>
          </w:tcPr>
          <w:p>
            <w:pPr>
              <w:ind w:left="113" w:right="113"/>
              <w:jc w:val="center"/>
              <w:rPr>
                <w:rFonts w:eastAsia="Calibri"/>
                <w:noProof/>
                <w:sz w:val="18"/>
                <w:szCs w:val="18"/>
              </w:rPr>
            </w:pPr>
            <w:r>
              <w:rPr>
                <w:noProof/>
                <w:sz w:val="18"/>
              </w:rPr>
              <w:t>Antal</w:t>
            </w:r>
          </w:p>
        </w:tc>
        <w:tc>
          <w:tcPr>
            <w:tcW w:w="720" w:type="dxa"/>
            <w:tcBorders>
              <w:left w:val="dashSmallGap" w:sz="4" w:space="0" w:color="auto"/>
            </w:tcBorders>
            <w:shd w:val="pct10" w:color="auto" w:fill="auto"/>
            <w:vAlign w:val="center"/>
          </w:tcPr>
          <w:p>
            <w:pPr>
              <w:jc w:val="center"/>
              <w:rPr>
                <w:rFonts w:eastAsia="Calibri"/>
                <w:noProof/>
                <w:sz w:val="18"/>
                <w:szCs w:val="18"/>
              </w:rPr>
            </w:pPr>
            <w:r>
              <w:rPr>
                <w:noProof/>
                <w:sz w:val="18"/>
              </w:rPr>
              <w:t>Om</w:t>
            </w:r>
            <w:r>
              <w:rPr>
                <w:noProof/>
                <w:sz w:val="18"/>
              </w:rPr>
              <w:softHyphen/>
              <w:t>kost</w:t>
            </w:r>
            <w:r>
              <w:rPr>
                <w:noProof/>
                <w:sz w:val="18"/>
              </w:rPr>
              <w:softHyphen/>
              <w:t>ninger</w:t>
            </w:r>
          </w:p>
        </w:tc>
        <w:tc>
          <w:tcPr>
            <w:tcW w:w="540" w:type="dxa"/>
            <w:tcBorders>
              <w:right w:val="dashSmallGap" w:sz="4" w:space="0" w:color="auto"/>
            </w:tcBorders>
            <w:shd w:val="pct10" w:color="auto" w:fill="auto"/>
            <w:textDirection w:val="btLr"/>
            <w:vAlign w:val="center"/>
          </w:tcPr>
          <w:p>
            <w:pPr>
              <w:ind w:left="113" w:right="113"/>
              <w:jc w:val="center"/>
              <w:rPr>
                <w:rFonts w:eastAsia="Calibri"/>
                <w:noProof/>
                <w:sz w:val="18"/>
                <w:szCs w:val="18"/>
              </w:rPr>
            </w:pPr>
            <w:r>
              <w:rPr>
                <w:noProof/>
                <w:sz w:val="18"/>
              </w:rPr>
              <w:t>Antal</w:t>
            </w:r>
          </w:p>
        </w:tc>
        <w:tc>
          <w:tcPr>
            <w:tcW w:w="720" w:type="dxa"/>
            <w:tcBorders>
              <w:left w:val="dashSmallGap" w:sz="4" w:space="0" w:color="auto"/>
            </w:tcBorders>
            <w:shd w:val="pct10" w:color="auto" w:fill="auto"/>
            <w:vAlign w:val="center"/>
          </w:tcPr>
          <w:p>
            <w:pPr>
              <w:jc w:val="center"/>
              <w:rPr>
                <w:rFonts w:eastAsia="Calibri"/>
                <w:noProof/>
                <w:sz w:val="18"/>
                <w:szCs w:val="18"/>
              </w:rPr>
            </w:pPr>
            <w:r>
              <w:rPr>
                <w:noProof/>
                <w:sz w:val="18"/>
              </w:rPr>
              <w:t>Om</w:t>
            </w:r>
            <w:r>
              <w:rPr>
                <w:noProof/>
                <w:sz w:val="18"/>
              </w:rPr>
              <w:softHyphen/>
              <w:t>kost</w:t>
            </w:r>
            <w:r>
              <w:rPr>
                <w:noProof/>
                <w:sz w:val="18"/>
              </w:rPr>
              <w:softHyphen/>
              <w:t>ninger</w:t>
            </w:r>
          </w:p>
        </w:tc>
        <w:tc>
          <w:tcPr>
            <w:tcW w:w="720" w:type="dxa"/>
            <w:tcBorders>
              <w:right w:val="dashSmallGap" w:sz="4" w:space="0" w:color="auto"/>
            </w:tcBorders>
            <w:shd w:val="pct10" w:color="auto" w:fill="auto"/>
            <w:vAlign w:val="center"/>
          </w:tcPr>
          <w:p>
            <w:pPr>
              <w:jc w:val="center"/>
              <w:rPr>
                <w:rFonts w:eastAsia="Calibri"/>
                <w:noProof/>
                <w:sz w:val="18"/>
                <w:szCs w:val="18"/>
              </w:rPr>
            </w:pPr>
            <w:r>
              <w:rPr>
                <w:noProof/>
                <w:sz w:val="18"/>
              </w:rPr>
              <w:t>Antal resul</w:t>
            </w:r>
            <w:r>
              <w:rPr>
                <w:noProof/>
                <w:sz w:val="18"/>
              </w:rPr>
              <w:softHyphen/>
              <w:t>tater i alt</w:t>
            </w:r>
          </w:p>
        </w:tc>
        <w:tc>
          <w:tcPr>
            <w:tcW w:w="900" w:type="dxa"/>
            <w:tcBorders>
              <w:left w:val="dashSmallGap" w:sz="4" w:space="0" w:color="auto"/>
            </w:tcBorders>
            <w:shd w:val="pct10" w:color="auto" w:fill="auto"/>
            <w:vAlign w:val="center"/>
          </w:tcPr>
          <w:p>
            <w:pPr>
              <w:jc w:val="center"/>
              <w:rPr>
                <w:rFonts w:eastAsia="Calibri"/>
                <w:noProof/>
                <w:sz w:val="18"/>
                <w:szCs w:val="18"/>
              </w:rPr>
            </w:pPr>
            <w:r>
              <w:rPr>
                <w:noProof/>
                <w:sz w:val="18"/>
              </w:rPr>
              <w:t>Om</w:t>
            </w:r>
            <w:r>
              <w:rPr>
                <w:noProof/>
                <w:sz w:val="18"/>
              </w:rPr>
              <w:softHyphen/>
              <w:t>kost</w:t>
            </w:r>
            <w:r>
              <w:rPr>
                <w:noProof/>
                <w:sz w:val="18"/>
              </w:rPr>
              <w:softHyphen/>
              <w:t>ninger i alt</w:t>
            </w:r>
          </w:p>
        </w:tc>
      </w:tr>
      <w:tr>
        <w:trPr>
          <w:jc w:val="center"/>
        </w:trPr>
        <w:tc>
          <w:tcPr>
            <w:tcW w:w="2844" w:type="dxa"/>
            <w:gridSpan w:val="3"/>
            <w:vAlign w:val="center"/>
          </w:tcPr>
          <w:p>
            <w:pPr>
              <w:spacing w:before="60" w:after="60"/>
              <w:ind w:right="-29"/>
              <w:jc w:val="center"/>
              <w:rPr>
                <w:rFonts w:eastAsia="Calibri"/>
                <w:noProof/>
                <w:sz w:val="18"/>
                <w:szCs w:val="18"/>
              </w:rPr>
            </w:pPr>
            <w:r>
              <w:rPr>
                <w:noProof/>
                <w:sz w:val="18"/>
              </w:rPr>
              <w:t>SPECIFIKT MÅL NR. 1</w:t>
            </w:r>
            <w:r>
              <w:rPr>
                <w:rStyle w:val="FootnoteReference"/>
                <w:noProof/>
                <w:sz w:val="18"/>
              </w:rPr>
              <w:footnoteReference w:id="11"/>
            </w:r>
            <w:r>
              <w:rPr>
                <w:noProof/>
                <w:sz w:val="18"/>
              </w:rPr>
              <w:t>...</w:t>
            </w:r>
          </w:p>
        </w:tc>
        <w:tc>
          <w:tcPr>
            <w:tcW w:w="504"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540"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900" w:type="dxa"/>
            <w:tcBorders>
              <w:top w:val="nil"/>
              <w:left w:val="nil"/>
              <w:bottom w:val="nil"/>
              <w:right w:val="nil"/>
            </w:tcBorders>
          </w:tcPr>
          <w:p>
            <w:pPr>
              <w:spacing w:before="60" w:after="60"/>
              <w:ind w:right="-29"/>
              <w:jc w:val="center"/>
              <w:rPr>
                <w:rFonts w:eastAsia="Calibri"/>
                <w:noProof/>
                <w:sz w:val="18"/>
                <w:szCs w:val="18"/>
              </w:rPr>
            </w:pPr>
          </w:p>
        </w:tc>
        <w:tc>
          <w:tcPr>
            <w:tcW w:w="720" w:type="dxa"/>
            <w:gridSpan w:val="2"/>
            <w:tcBorders>
              <w:top w:val="nil"/>
              <w:left w:val="nil"/>
              <w:bottom w:val="nil"/>
              <w:right w:val="nil"/>
            </w:tcBorders>
          </w:tcPr>
          <w:p>
            <w:pPr>
              <w:spacing w:before="60" w:after="60"/>
              <w:ind w:right="-29"/>
              <w:jc w:val="center"/>
              <w:rPr>
                <w:rFonts w:eastAsia="Calibri"/>
                <w:noProof/>
                <w:sz w:val="18"/>
                <w:szCs w:val="18"/>
              </w:rPr>
            </w:pPr>
          </w:p>
        </w:tc>
        <w:tc>
          <w:tcPr>
            <w:tcW w:w="540" w:type="dxa"/>
            <w:tcBorders>
              <w:top w:val="nil"/>
              <w:left w:val="nil"/>
              <w:bottom w:val="nil"/>
              <w:right w:val="nil"/>
            </w:tcBorders>
          </w:tcPr>
          <w:p>
            <w:pPr>
              <w:spacing w:before="60" w:after="60"/>
              <w:ind w:right="-29"/>
              <w:jc w:val="center"/>
              <w:rPr>
                <w:rFonts w:eastAsia="Calibri"/>
                <w:noProof/>
                <w:sz w:val="18"/>
                <w:szCs w:val="18"/>
              </w:rPr>
            </w:pPr>
          </w:p>
        </w:tc>
        <w:tc>
          <w:tcPr>
            <w:tcW w:w="648" w:type="dxa"/>
            <w:tcBorders>
              <w:top w:val="nil"/>
              <w:left w:val="nil"/>
              <w:bottom w:val="nil"/>
              <w:right w:val="nil"/>
            </w:tcBorders>
          </w:tcPr>
          <w:p>
            <w:pPr>
              <w:spacing w:before="60" w:after="60"/>
              <w:ind w:right="-29"/>
              <w:jc w:val="center"/>
              <w:rPr>
                <w:rFonts w:eastAsia="Calibri"/>
                <w:noProof/>
                <w:sz w:val="18"/>
                <w:szCs w:val="18"/>
              </w:rPr>
            </w:pPr>
          </w:p>
        </w:tc>
        <w:tc>
          <w:tcPr>
            <w:tcW w:w="432"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540"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900" w:type="dxa"/>
            <w:tcBorders>
              <w:top w:val="nil"/>
              <w:left w:val="nil"/>
              <w:bottom w:val="nil"/>
              <w:right w:val="nil"/>
            </w:tcBorders>
          </w:tcPr>
          <w:p>
            <w:pPr>
              <w:spacing w:before="60" w:after="60"/>
              <w:ind w:right="-29"/>
              <w:jc w:val="center"/>
              <w:rPr>
                <w:rFonts w:eastAsia="Calibri"/>
                <w:noProof/>
                <w:sz w:val="18"/>
                <w:szCs w:val="18"/>
              </w:rPr>
            </w:pPr>
          </w:p>
        </w:tc>
      </w:tr>
      <w:tr>
        <w:trPr>
          <w:trHeight w:hRule="exact" w:val="369"/>
          <w:jc w:val="center"/>
        </w:trPr>
        <w:tc>
          <w:tcPr>
            <w:tcW w:w="1423" w:type="dxa"/>
          </w:tcPr>
          <w:p>
            <w:pPr>
              <w:ind w:right="-29"/>
              <w:jc w:val="center"/>
              <w:rPr>
                <w:rFonts w:eastAsia="Calibri"/>
                <w:noProof/>
                <w:sz w:val="18"/>
                <w:szCs w:val="18"/>
              </w:rPr>
            </w:pPr>
            <w:r>
              <w:rPr>
                <w:noProof/>
                <w:sz w:val="18"/>
              </w:rPr>
              <w:t>- Resultat</w:t>
            </w:r>
          </w:p>
        </w:tc>
        <w:tc>
          <w:tcPr>
            <w:tcW w:w="720" w:type="dxa"/>
          </w:tcPr>
          <w:p>
            <w:pPr>
              <w:ind w:right="-29"/>
              <w:jc w:val="center"/>
              <w:rPr>
                <w:rFonts w:eastAsia="Calibri"/>
                <w:noProof/>
                <w:sz w:val="18"/>
                <w:szCs w:val="18"/>
              </w:rPr>
            </w:pPr>
          </w:p>
        </w:tc>
        <w:tc>
          <w:tcPr>
            <w:tcW w:w="701" w:type="dxa"/>
          </w:tcPr>
          <w:p>
            <w:pPr>
              <w:ind w:right="-29"/>
              <w:jc w:val="center"/>
              <w:rPr>
                <w:rFonts w:eastAsia="Calibri"/>
                <w:noProof/>
                <w:sz w:val="18"/>
                <w:szCs w:val="18"/>
              </w:rPr>
            </w:pPr>
          </w:p>
        </w:tc>
        <w:tc>
          <w:tcPr>
            <w:tcW w:w="504" w:type="dxa"/>
            <w:tcBorders>
              <w:right w:val="dashSmallGap" w:sz="4" w:space="0" w:color="auto"/>
            </w:tcBorders>
          </w:tcPr>
          <w:p>
            <w:pPr>
              <w:ind w:right="-29"/>
              <w:jc w:val="center"/>
              <w:rPr>
                <w:rFonts w:eastAsia="Calibri"/>
                <w:noProof/>
                <w:sz w:val="18"/>
                <w:szCs w:val="18"/>
              </w:rPr>
            </w:pPr>
          </w:p>
        </w:tc>
        <w:tc>
          <w:tcPr>
            <w:tcW w:w="720" w:type="dxa"/>
            <w:tcBorders>
              <w:left w:val="dashSmallGap" w:sz="4" w:space="0" w:color="auto"/>
            </w:tcBorders>
          </w:tcPr>
          <w:p>
            <w:pPr>
              <w:ind w:right="-29"/>
              <w:jc w:val="center"/>
              <w:rPr>
                <w:rFonts w:eastAsia="Calibri"/>
                <w:noProof/>
                <w:sz w:val="18"/>
                <w:szCs w:val="18"/>
              </w:rPr>
            </w:pPr>
          </w:p>
        </w:tc>
        <w:tc>
          <w:tcPr>
            <w:tcW w:w="540" w:type="dxa"/>
            <w:tcBorders>
              <w:right w:val="dashSmallGap" w:sz="4" w:space="0" w:color="auto"/>
            </w:tcBorders>
          </w:tcPr>
          <w:p>
            <w:pPr>
              <w:ind w:right="-29"/>
              <w:jc w:val="center"/>
              <w:rPr>
                <w:rFonts w:eastAsia="Calibri"/>
                <w:noProof/>
                <w:sz w:val="18"/>
                <w:szCs w:val="18"/>
              </w:rPr>
            </w:pPr>
          </w:p>
        </w:tc>
        <w:tc>
          <w:tcPr>
            <w:tcW w:w="720" w:type="dxa"/>
            <w:tcBorders>
              <w:left w:val="dashSmallGap" w:sz="4" w:space="0" w:color="auto"/>
            </w:tcBorders>
          </w:tcPr>
          <w:p>
            <w:pPr>
              <w:ind w:right="-29"/>
              <w:jc w:val="center"/>
              <w:rPr>
                <w:rFonts w:eastAsia="Calibri"/>
                <w:noProof/>
                <w:sz w:val="18"/>
                <w:szCs w:val="18"/>
              </w:rPr>
            </w:pPr>
          </w:p>
        </w:tc>
        <w:tc>
          <w:tcPr>
            <w:tcW w:w="720" w:type="dxa"/>
            <w:tcBorders>
              <w:right w:val="dashSmallGap" w:sz="4" w:space="0" w:color="auto"/>
            </w:tcBorders>
          </w:tcPr>
          <w:p>
            <w:pPr>
              <w:ind w:right="-29"/>
              <w:jc w:val="center"/>
              <w:rPr>
                <w:rFonts w:eastAsia="Calibri"/>
                <w:noProof/>
                <w:sz w:val="18"/>
                <w:szCs w:val="18"/>
              </w:rPr>
            </w:pPr>
          </w:p>
        </w:tc>
        <w:tc>
          <w:tcPr>
            <w:tcW w:w="720" w:type="dxa"/>
            <w:tcBorders>
              <w:left w:val="dashSmallGap" w:sz="4" w:space="0" w:color="auto"/>
            </w:tcBorders>
          </w:tcPr>
          <w:p>
            <w:pPr>
              <w:ind w:right="-29"/>
              <w:jc w:val="center"/>
              <w:rPr>
                <w:rFonts w:eastAsia="Calibri"/>
                <w:noProof/>
                <w:sz w:val="18"/>
                <w:szCs w:val="18"/>
              </w:rPr>
            </w:pPr>
          </w:p>
        </w:tc>
        <w:tc>
          <w:tcPr>
            <w:tcW w:w="900" w:type="dxa"/>
            <w:tcBorders>
              <w:right w:val="dashSmallGap" w:sz="4" w:space="0" w:color="auto"/>
            </w:tcBorders>
          </w:tcPr>
          <w:p>
            <w:pPr>
              <w:ind w:right="-29"/>
              <w:jc w:val="center"/>
              <w:rPr>
                <w:rFonts w:eastAsia="Calibri"/>
                <w:noProof/>
                <w:sz w:val="18"/>
                <w:szCs w:val="18"/>
              </w:rPr>
            </w:pPr>
          </w:p>
        </w:tc>
        <w:tc>
          <w:tcPr>
            <w:tcW w:w="720" w:type="dxa"/>
            <w:gridSpan w:val="2"/>
            <w:tcBorders>
              <w:left w:val="dashSmallGap" w:sz="4" w:space="0" w:color="auto"/>
            </w:tcBorders>
          </w:tcPr>
          <w:p>
            <w:pPr>
              <w:ind w:right="-29"/>
              <w:jc w:val="center"/>
              <w:rPr>
                <w:rFonts w:eastAsia="Calibri"/>
                <w:noProof/>
                <w:sz w:val="18"/>
                <w:szCs w:val="18"/>
              </w:rPr>
            </w:pPr>
          </w:p>
        </w:tc>
        <w:tc>
          <w:tcPr>
            <w:tcW w:w="540" w:type="dxa"/>
            <w:tcBorders>
              <w:right w:val="dashSmallGap" w:sz="4" w:space="0" w:color="auto"/>
            </w:tcBorders>
          </w:tcPr>
          <w:p>
            <w:pPr>
              <w:ind w:right="-29"/>
              <w:jc w:val="center"/>
              <w:rPr>
                <w:rFonts w:eastAsia="Calibri"/>
                <w:noProof/>
                <w:sz w:val="18"/>
                <w:szCs w:val="18"/>
              </w:rPr>
            </w:pPr>
          </w:p>
        </w:tc>
        <w:tc>
          <w:tcPr>
            <w:tcW w:w="648" w:type="dxa"/>
            <w:tcBorders>
              <w:left w:val="dashSmallGap" w:sz="4" w:space="0" w:color="auto"/>
            </w:tcBorders>
          </w:tcPr>
          <w:p>
            <w:pPr>
              <w:ind w:right="-29"/>
              <w:jc w:val="center"/>
              <w:rPr>
                <w:rFonts w:eastAsia="Calibri"/>
                <w:noProof/>
                <w:sz w:val="18"/>
                <w:szCs w:val="18"/>
              </w:rPr>
            </w:pPr>
          </w:p>
        </w:tc>
        <w:tc>
          <w:tcPr>
            <w:tcW w:w="432" w:type="dxa"/>
            <w:tcBorders>
              <w:right w:val="dashSmallGap" w:sz="4" w:space="0" w:color="auto"/>
            </w:tcBorders>
          </w:tcPr>
          <w:p>
            <w:pPr>
              <w:ind w:right="-29"/>
              <w:jc w:val="center"/>
              <w:rPr>
                <w:rFonts w:eastAsia="Calibri"/>
                <w:noProof/>
                <w:sz w:val="18"/>
                <w:szCs w:val="18"/>
              </w:rPr>
            </w:pPr>
          </w:p>
        </w:tc>
        <w:tc>
          <w:tcPr>
            <w:tcW w:w="720" w:type="dxa"/>
            <w:tcBorders>
              <w:left w:val="dashSmallGap" w:sz="4" w:space="0" w:color="auto"/>
            </w:tcBorders>
          </w:tcPr>
          <w:p>
            <w:pPr>
              <w:ind w:right="-29"/>
              <w:jc w:val="center"/>
              <w:rPr>
                <w:rFonts w:eastAsia="Calibri"/>
                <w:noProof/>
                <w:sz w:val="18"/>
                <w:szCs w:val="18"/>
              </w:rPr>
            </w:pPr>
          </w:p>
        </w:tc>
        <w:tc>
          <w:tcPr>
            <w:tcW w:w="540" w:type="dxa"/>
            <w:tcBorders>
              <w:right w:val="dashSmallGap" w:sz="4" w:space="0" w:color="auto"/>
            </w:tcBorders>
          </w:tcPr>
          <w:p>
            <w:pPr>
              <w:ind w:right="-29"/>
              <w:jc w:val="center"/>
              <w:rPr>
                <w:rFonts w:eastAsia="Calibri"/>
                <w:noProof/>
                <w:sz w:val="18"/>
                <w:szCs w:val="18"/>
              </w:rPr>
            </w:pPr>
          </w:p>
        </w:tc>
        <w:tc>
          <w:tcPr>
            <w:tcW w:w="720" w:type="dxa"/>
            <w:tcBorders>
              <w:left w:val="dashSmallGap" w:sz="4" w:space="0" w:color="auto"/>
            </w:tcBorders>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900" w:type="dxa"/>
          </w:tcPr>
          <w:p>
            <w:pPr>
              <w:ind w:right="-29"/>
              <w:jc w:val="center"/>
              <w:rPr>
                <w:rFonts w:eastAsia="Calibri"/>
                <w:noProof/>
                <w:sz w:val="18"/>
                <w:szCs w:val="18"/>
              </w:rPr>
            </w:pPr>
          </w:p>
        </w:tc>
      </w:tr>
      <w:tr>
        <w:trPr>
          <w:trHeight w:hRule="exact" w:val="369"/>
          <w:jc w:val="center"/>
        </w:trPr>
        <w:tc>
          <w:tcPr>
            <w:tcW w:w="1423" w:type="dxa"/>
          </w:tcPr>
          <w:p>
            <w:pPr>
              <w:ind w:right="-29"/>
              <w:jc w:val="center"/>
              <w:rPr>
                <w:rFonts w:eastAsia="Calibri"/>
                <w:noProof/>
                <w:sz w:val="18"/>
                <w:szCs w:val="18"/>
              </w:rPr>
            </w:pPr>
            <w:r>
              <w:rPr>
                <w:noProof/>
                <w:sz w:val="18"/>
              </w:rPr>
              <w:t>- Resultat</w:t>
            </w:r>
          </w:p>
        </w:tc>
        <w:tc>
          <w:tcPr>
            <w:tcW w:w="720" w:type="dxa"/>
          </w:tcPr>
          <w:p>
            <w:pPr>
              <w:ind w:right="-29"/>
              <w:jc w:val="center"/>
              <w:rPr>
                <w:rFonts w:eastAsia="Calibri"/>
                <w:noProof/>
                <w:sz w:val="18"/>
                <w:szCs w:val="18"/>
              </w:rPr>
            </w:pPr>
          </w:p>
        </w:tc>
        <w:tc>
          <w:tcPr>
            <w:tcW w:w="701" w:type="dxa"/>
          </w:tcPr>
          <w:p>
            <w:pPr>
              <w:ind w:right="-29"/>
              <w:jc w:val="center"/>
              <w:rPr>
                <w:rFonts w:eastAsia="Calibri"/>
                <w:noProof/>
                <w:sz w:val="18"/>
                <w:szCs w:val="18"/>
              </w:rPr>
            </w:pPr>
          </w:p>
        </w:tc>
        <w:tc>
          <w:tcPr>
            <w:tcW w:w="504" w:type="dxa"/>
            <w:tcBorders>
              <w:right w:val="dashSmallGap" w:sz="4" w:space="0" w:color="auto"/>
            </w:tcBorders>
          </w:tcPr>
          <w:p>
            <w:pPr>
              <w:ind w:right="-29"/>
              <w:jc w:val="center"/>
              <w:rPr>
                <w:rFonts w:eastAsia="Calibri"/>
                <w:noProof/>
                <w:sz w:val="18"/>
                <w:szCs w:val="18"/>
              </w:rPr>
            </w:pPr>
          </w:p>
        </w:tc>
        <w:tc>
          <w:tcPr>
            <w:tcW w:w="720" w:type="dxa"/>
            <w:tcBorders>
              <w:left w:val="dashSmallGap" w:sz="4" w:space="0" w:color="auto"/>
            </w:tcBorders>
          </w:tcPr>
          <w:p>
            <w:pPr>
              <w:ind w:right="-29"/>
              <w:jc w:val="center"/>
              <w:rPr>
                <w:rFonts w:eastAsia="Calibri"/>
                <w:noProof/>
                <w:sz w:val="18"/>
                <w:szCs w:val="18"/>
              </w:rPr>
            </w:pPr>
          </w:p>
        </w:tc>
        <w:tc>
          <w:tcPr>
            <w:tcW w:w="540" w:type="dxa"/>
            <w:tcBorders>
              <w:right w:val="dashSmallGap" w:sz="4" w:space="0" w:color="auto"/>
            </w:tcBorders>
          </w:tcPr>
          <w:p>
            <w:pPr>
              <w:ind w:right="-29"/>
              <w:jc w:val="center"/>
              <w:rPr>
                <w:rFonts w:eastAsia="Calibri"/>
                <w:noProof/>
                <w:sz w:val="18"/>
                <w:szCs w:val="18"/>
              </w:rPr>
            </w:pPr>
          </w:p>
        </w:tc>
        <w:tc>
          <w:tcPr>
            <w:tcW w:w="720" w:type="dxa"/>
            <w:tcBorders>
              <w:left w:val="dashSmallGap" w:sz="4" w:space="0" w:color="auto"/>
            </w:tcBorders>
          </w:tcPr>
          <w:p>
            <w:pPr>
              <w:ind w:right="-29"/>
              <w:jc w:val="center"/>
              <w:rPr>
                <w:rFonts w:eastAsia="Calibri"/>
                <w:noProof/>
                <w:sz w:val="18"/>
                <w:szCs w:val="18"/>
              </w:rPr>
            </w:pPr>
          </w:p>
        </w:tc>
        <w:tc>
          <w:tcPr>
            <w:tcW w:w="720" w:type="dxa"/>
            <w:tcBorders>
              <w:right w:val="dashSmallGap" w:sz="4" w:space="0" w:color="auto"/>
            </w:tcBorders>
          </w:tcPr>
          <w:p>
            <w:pPr>
              <w:ind w:right="-29"/>
              <w:jc w:val="center"/>
              <w:rPr>
                <w:rFonts w:eastAsia="Calibri"/>
                <w:noProof/>
                <w:sz w:val="18"/>
                <w:szCs w:val="18"/>
              </w:rPr>
            </w:pPr>
          </w:p>
        </w:tc>
        <w:tc>
          <w:tcPr>
            <w:tcW w:w="720" w:type="dxa"/>
            <w:tcBorders>
              <w:left w:val="dashSmallGap" w:sz="4" w:space="0" w:color="auto"/>
            </w:tcBorders>
          </w:tcPr>
          <w:p>
            <w:pPr>
              <w:ind w:right="-29"/>
              <w:jc w:val="center"/>
              <w:rPr>
                <w:rFonts w:eastAsia="Calibri"/>
                <w:noProof/>
                <w:sz w:val="18"/>
                <w:szCs w:val="18"/>
              </w:rPr>
            </w:pPr>
          </w:p>
        </w:tc>
        <w:tc>
          <w:tcPr>
            <w:tcW w:w="900" w:type="dxa"/>
            <w:tcBorders>
              <w:right w:val="dashSmallGap" w:sz="4" w:space="0" w:color="auto"/>
            </w:tcBorders>
          </w:tcPr>
          <w:p>
            <w:pPr>
              <w:ind w:right="-29"/>
              <w:jc w:val="center"/>
              <w:rPr>
                <w:rFonts w:eastAsia="Calibri"/>
                <w:noProof/>
                <w:sz w:val="18"/>
                <w:szCs w:val="18"/>
              </w:rPr>
            </w:pPr>
          </w:p>
        </w:tc>
        <w:tc>
          <w:tcPr>
            <w:tcW w:w="720" w:type="dxa"/>
            <w:gridSpan w:val="2"/>
            <w:tcBorders>
              <w:left w:val="dashSmallGap" w:sz="4" w:space="0" w:color="auto"/>
            </w:tcBorders>
          </w:tcPr>
          <w:p>
            <w:pPr>
              <w:ind w:right="-29"/>
              <w:jc w:val="center"/>
              <w:rPr>
                <w:rFonts w:eastAsia="Calibri"/>
                <w:noProof/>
                <w:sz w:val="18"/>
                <w:szCs w:val="18"/>
              </w:rPr>
            </w:pPr>
          </w:p>
        </w:tc>
        <w:tc>
          <w:tcPr>
            <w:tcW w:w="540" w:type="dxa"/>
            <w:tcBorders>
              <w:right w:val="dashSmallGap" w:sz="4" w:space="0" w:color="auto"/>
            </w:tcBorders>
          </w:tcPr>
          <w:p>
            <w:pPr>
              <w:ind w:right="-29"/>
              <w:jc w:val="center"/>
              <w:rPr>
                <w:rFonts w:eastAsia="Calibri"/>
                <w:noProof/>
                <w:sz w:val="18"/>
                <w:szCs w:val="18"/>
              </w:rPr>
            </w:pPr>
          </w:p>
        </w:tc>
        <w:tc>
          <w:tcPr>
            <w:tcW w:w="648" w:type="dxa"/>
            <w:tcBorders>
              <w:left w:val="dashSmallGap" w:sz="4" w:space="0" w:color="auto"/>
            </w:tcBorders>
          </w:tcPr>
          <w:p>
            <w:pPr>
              <w:ind w:right="-29"/>
              <w:jc w:val="center"/>
              <w:rPr>
                <w:rFonts w:eastAsia="Calibri"/>
                <w:noProof/>
                <w:sz w:val="18"/>
                <w:szCs w:val="18"/>
              </w:rPr>
            </w:pPr>
          </w:p>
        </w:tc>
        <w:tc>
          <w:tcPr>
            <w:tcW w:w="432" w:type="dxa"/>
            <w:tcBorders>
              <w:right w:val="dashSmallGap" w:sz="4" w:space="0" w:color="auto"/>
            </w:tcBorders>
          </w:tcPr>
          <w:p>
            <w:pPr>
              <w:ind w:right="-29"/>
              <w:jc w:val="center"/>
              <w:rPr>
                <w:rFonts w:eastAsia="Calibri"/>
                <w:noProof/>
                <w:sz w:val="18"/>
                <w:szCs w:val="18"/>
              </w:rPr>
            </w:pPr>
          </w:p>
        </w:tc>
        <w:tc>
          <w:tcPr>
            <w:tcW w:w="720" w:type="dxa"/>
            <w:tcBorders>
              <w:left w:val="dashSmallGap" w:sz="4" w:space="0" w:color="auto"/>
            </w:tcBorders>
          </w:tcPr>
          <w:p>
            <w:pPr>
              <w:ind w:right="-29"/>
              <w:jc w:val="center"/>
              <w:rPr>
                <w:rFonts w:eastAsia="Calibri"/>
                <w:noProof/>
                <w:sz w:val="18"/>
                <w:szCs w:val="18"/>
              </w:rPr>
            </w:pPr>
          </w:p>
        </w:tc>
        <w:tc>
          <w:tcPr>
            <w:tcW w:w="540" w:type="dxa"/>
            <w:tcBorders>
              <w:right w:val="dashSmallGap" w:sz="4" w:space="0" w:color="auto"/>
            </w:tcBorders>
          </w:tcPr>
          <w:p>
            <w:pPr>
              <w:ind w:right="-29"/>
              <w:jc w:val="center"/>
              <w:rPr>
                <w:rFonts w:eastAsia="Calibri"/>
                <w:noProof/>
                <w:sz w:val="18"/>
                <w:szCs w:val="18"/>
              </w:rPr>
            </w:pPr>
          </w:p>
        </w:tc>
        <w:tc>
          <w:tcPr>
            <w:tcW w:w="720" w:type="dxa"/>
            <w:tcBorders>
              <w:left w:val="dashSmallGap" w:sz="4" w:space="0" w:color="auto"/>
            </w:tcBorders>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900" w:type="dxa"/>
          </w:tcPr>
          <w:p>
            <w:pPr>
              <w:ind w:right="-29"/>
              <w:jc w:val="center"/>
              <w:rPr>
                <w:rFonts w:eastAsia="Calibri"/>
                <w:noProof/>
                <w:sz w:val="18"/>
                <w:szCs w:val="18"/>
              </w:rPr>
            </w:pPr>
          </w:p>
        </w:tc>
      </w:tr>
      <w:tr>
        <w:trPr>
          <w:trHeight w:hRule="exact" w:val="369"/>
          <w:jc w:val="center"/>
        </w:trPr>
        <w:tc>
          <w:tcPr>
            <w:tcW w:w="1423" w:type="dxa"/>
          </w:tcPr>
          <w:p>
            <w:pPr>
              <w:ind w:right="-29"/>
              <w:jc w:val="center"/>
              <w:rPr>
                <w:rFonts w:eastAsia="Calibri"/>
                <w:noProof/>
                <w:sz w:val="18"/>
                <w:szCs w:val="18"/>
              </w:rPr>
            </w:pPr>
            <w:r>
              <w:rPr>
                <w:noProof/>
                <w:sz w:val="18"/>
              </w:rPr>
              <w:t>- Resultat</w:t>
            </w:r>
          </w:p>
        </w:tc>
        <w:tc>
          <w:tcPr>
            <w:tcW w:w="720" w:type="dxa"/>
          </w:tcPr>
          <w:p>
            <w:pPr>
              <w:ind w:right="-29"/>
              <w:jc w:val="center"/>
              <w:rPr>
                <w:rFonts w:eastAsia="Calibri"/>
                <w:noProof/>
                <w:sz w:val="18"/>
                <w:szCs w:val="18"/>
              </w:rPr>
            </w:pPr>
          </w:p>
        </w:tc>
        <w:tc>
          <w:tcPr>
            <w:tcW w:w="701" w:type="dxa"/>
          </w:tcPr>
          <w:p>
            <w:pPr>
              <w:ind w:right="-29"/>
              <w:jc w:val="center"/>
              <w:rPr>
                <w:rFonts w:eastAsia="Calibri"/>
                <w:noProof/>
                <w:sz w:val="18"/>
                <w:szCs w:val="18"/>
              </w:rPr>
            </w:pPr>
          </w:p>
        </w:tc>
        <w:tc>
          <w:tcPr>
            <w:tcW w:w="504"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540"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900" w:type="dxa"/>
          </w:tcPr>
          <w:p>
            <w:pPr>
              <w:ind w:right="-29"/>
              <w:jc w:val="center"/>
              <w:rPr>
                <w:rFonts w:eastAsia="Calibri"/>
                <w:noProof/>
                <w:sz w:val="18"/>
                <w:szCs w:val="18"/>
              </w:rPr>
            </w:pPr>
          </w:p>
        </w:tc>
        <w:tc>
          <w:tcPr>
            <w:tcW w:w="720" w:type="dxa"/>
            <w:gridSpan w:val="2"/>
          </w:tcPr>
          <w:p>
            <w:pPr>
              <w:ind w:right="-29"/>
              <w:jc w:val="center"/>
              <w:rPr>
                <w:rFonts w:eastAsia="Calibri"/>
                <w:noProof/>
                <w:sz w:val="18"/>
                <w:szCs w:val="18"/>
              </w:rPr>
            </w:pPr>
          </w:p>
        </w:tc>
        <w:tc>
          <w:tcPr>
            <w:tcW w:w="540" w:type="dxa"/>
          </w:tcPr>
          <w:p>
            <w:pPr>
              <w:ind w:right="-29"/>
              <w:jc w:val="center"/>
              <w:rPr>
                <w:rFonts w:eastAsia="Calibri"/>
                <w:noProof/>
                <w:sz w:val="18"/>
                <w:szCs w:val="18"/>
              </w:rPr>
            </w:pPr>
          </w:p>
        </w:tc>
        <w:tc>
          <w:tcPr>
            <w:tcW w:w="648" w:type="dxa"/>
          </w:tcPr>
          <w:p>
            <w:pPr>
              <w:ind w:right="-29"/>
              <w:jc w:val="center"/>
              <w:rPr>
                <w:rFonts w:eastAsia="Calibri"/>
                <w:noProof/>
                <w:sz w:val="18"/>
                <w:szCs w:val="18"/>
              </w:rPr>
            </w:pPr>
          </w:p>
        </w:tc>
        <w:tc>
          <w:tcPr>
            <w:tcW w:w="432"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540"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900" w:type="dxa"/>
          </w:tcPr>
          <w:p>
            <w:pPr>
              <w:ind w:right="-29"/>
              <w:jc w:val="center"/>
              <w:rPr>
                <w:rFonts w:eastAsia="Calibri"/>
                <w:noProof/>
                <w:sz w:val="18"/>
                <w:szCs w:val="18"/>
              </w:rPr>
            </w:pPr>
          </w:p>
        </w:tc>
      </w:tr>
      <w:tr>
        <w:trPr>
          <w:trHeight w:val="77"/>
          <w:jc w:val="center"/>
        </w:trPr>
        <w:tc>
          <w:tcPr>
            <w:tcW w:w="2844" w:type="dxa"/>
            <w:gridSpan w:val="3"/>
            <w:tcBorders>
              <w:bottom w:val="single" w:sz="12" w:space="0" w:color="auto"/>
            </w:tcBorders>
            <w:vAlign w:val="center"/>
          </w:tcPr>
          <w:p>
            <w:pPr>
              <w:ind w:right="-29"/>
              <w:jc w:val="center"/>
              <w:rPr>
                <w:rFonts w:eastAsia="Calibri"/>
                <w:noProof/>
                <w:sz w:val="18"/>
                <w:szCs w:val="18"/>
              </w:rPr>
            </w:pPr>
            <w:r>
              <w:rPr>
                <w:noProof/>
                <w:sz w:val="18"/>
              </w:rPr>
              <w:t>Subtotal for specifikt mål nr. 1</w:t>
            </w:r>
          </w:p>
        </w:tc>
        <w:tc>
          <w:tcPr>
            <w:tcW w:w="504"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540"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900" w:type="dxa"/>
            <w:tcBorders>
              <w:bottom w:val="single" w:sz="12" w:space="0" w:color="auto"/>
            </w:tcBorders>
          </w:tcPr>
          <w:p>
            <w:pPr>
              <w:ind w:right="-29"/>
              <w:jc w:val="center"/>
              <w:rPr>
                <w:rFonts w:eastAsia="Calibri"/>
                <w:noProof/>
                <w:sz w:val="18"/>
                <w:szCs w:val="18"/>
              </w:rPr>
            </w:pPr>
          </w:p>
        </w:tc>
        <w:tc>
          <w:tcPr>
            <w:tcW w:w="720" w:type="dxa"/>
            <w:gridSpan w:val="2"/>
            <w:tcBorders>
              <w:bottom w:val="single" w:sz="12" w:space="0" w:color="auto"/>
            </w:tcBorders>
          </w:tcPr>
          <w:p>
            <w:pPr>
              <w:ind w:right="-29"/>
              <w:jc w:val="center"/>
              <w:rPr>
                <w:rFonts w:eastAsia="Calibri"/>
                <w:noProof/>
                <w:sz w:val="18"/>
                <w:szCs w:val="18"/>
              </w:rPr>
            </w:pPr>
          </w:p>
        </w:tc>
        <w:tc>
          <w:tcPr>
            <w:tcW w:w="540" w:type="dxa"/>
            <w:tcBorders>
              <w:bottom w:val="single" w:sz="12" w:space="0" w:color="auto"/>
            </w:tcBorders>
          </w:tcPr>
          <w:p>
            <w:pPr>
              <w:ind w:right="-29"/>
              <w:jc w:val="center"/>
              <w:rPr>
                <w:rFonts w:eastAsia="Calibri"/>
                <w:noProof/>
                <w:sz w:val="18"/>
                <w:szCs w:val="18"/>
              </w:rPr>
            </w:pPr>
          </w:p>
        </w:tc>
        <w:tc>
          <w:tcPr>
            <w:tcW w:w="648" w:type="dxa"/>
            <w:tcBorders>
              <w:bottom w:val="single" w:sz="12" w:space="0" w:color="auto"/>
            </w:tcBorders>
          </w:tcPr>
          <w:p>
            <w:pPr>
              <w:ind w:right="-29"/>
              <w:jc w:val="center"/>
              <w:rPr>
                <w:rFonts w:eastAsia="Calibri"/>
                <w:noProof/>
                <w:sz w:val="18"/>
                <w:szCs w:val="18"/>
              </w:rPr>
            </w:pPr>
          </w:p>
        </w:tc>
        <w:tc>
          <w:tcPr>
            <w:tcW w:w="432"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540"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900" w:type="dxa"/>
            <w:tcBorders>
              <w:bottom w:val="single" w:sz="12" w:space="0" w:color="auto"/>
            </w:tcBorders>
          </w:tcPr>
          <w:p>
            <w:pPr>
              <w:ind w:right="-29"/>
              <w:jc w:val="center"/>
              <w:rPr>
                <w:rFonts w:eastAsia="Calibri"/>
                <w:noProof/>
                <w:sz w:val="18"/>
                <w:szCs w:val="18"/>
              </w:rPr>
            </w:pPr>
          </w:p>
        </w:tc>
      </w:tr>
      <w:tr>
        <w:trPr>
          <w:jc w:val="center"/>
        </w:trPr>
        <w:tc>
          <w:tcPr>
            <w:tcW w:w="2844" w:type="dxa"/>
            <w:gridSpan w:val="3"/>
            <w:vAlign w:val="center"/>
          </w:tcPr>
          <w:p>
            <w:pPr>
              <w:spacing w:before="60" w:after="60"/>
              <w:ind w:right="-29"/>
              <w:jc w:val="center"/>
              <w:rPr>
                <w:rFonts w:eastAsia="Calibri"/>
                <w:noProof/>
                <w:sz w:val="18"/>
                <w:szCs w:val="18"/>
              </w:rPr>
            </w:pPr>
            <w:r>
              <w:rPr>
                <w:noProof/>
                <w:sz w:val="18"/>
              </w:rPr>
              <w:t>SPECIFIKT MÅL NR. 2</w:t>
            </w:r>
          </w:p>
        </w:tc>
        <w:tc>
          <w:tcPr>
            <w:tcW w:w="504"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540"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900" w:type="dxa"/>
            <w:tcBorders>
              <w:top w:val="nil"/>
              <w:left w:val="nil"/>
              <w:bottom w:val="nil"/>
              <w:right w:val="nil"/>
            </w:tcBorders>
          </w:tcPr>
          <w:p>
            <w:pPr>
              <w:spacing w:before="60" w:after="60"/>
              <w:ind w:right="-29"/>
              <w:jc w:val="center"/>
              <w:rPr>
                <w:rFonts w:eastAsia="Calibri"/>
                <w:noProof/>
                <w:sz w:val="18"/>
                <w:szCs w:val="18"/>
              </w:rPr>
            </w:pPr>
          </w:p>
        </w:tc>
        <w:tc>
          <w:tcPr>
            <w:tcW w:w="720" w:type="dxa"/>
            <w:gridSpan w:val="2"/>
            <w:tcBorders>
              <w:top w:val="nil"/>
              <w:left w:val="nil"/>
              <w:bottom w:val="nil"/>
              <w:right w:val="nil"/>
            </w:tcBorders>
          </w:tcPr>
          <w:p>
            <w:pPr>
              <w:spacing w:before="60" w:after="60"/>
              <w:ind w:right="-29"/>
              <w:jc w:val="center"/>
              <w:rPr>
                <w:rFonts w:eastAsia="Calibri"/>
                <w:noProof/>
                <w:sz w:val="18"/>
                <w:szCs w:val="18"/>
              </w:rPr>
            </w:pPr>
          </w:p>
        </w:tc>
        <w:tc>
          <w:tcPr>
            <w:tcW w:w="540" w:type="dxa"/>
            <w:tcBorders>
              <w:top w:val="nil"/>
              <w:left w:val="nil"/>
              <w:bottom w:val="nil"/>
              <w:right w:val="nil"/>
            </w:tcBorders>
          </w:tcPr>
          <w:p>
            <w:pPr>
              <w:spacing w:before="60" w:after="60"/>
              <w:ind w:right="-29"/>
              <w:jc w:val="center"/>
              <w:rPr>
                <w:rFonts w:eastAsia="Calibri"/>
                <w:noProof/>
                <w:sz w:val="18"/>
                <w:szCs w:val="18"/>
              </w:rPr>
            </w:pPr>
          </w:p>
        </w:tc>
        <w:tc>
          <w:tcPr>
            <w:tcW w:w="648" w:type="dxa"/>
            <w:tcBorders>
              <w:top w:val="nil"/>
              <w:left w:val="nil"/>
              <w:bottom w:val="nil"/>
              <w:right w:val="nil"/>
            </w:tcBorders>
          </w:tcPr>
          <w:p>
            <w:pPr>
              <w:spacing w:before="60" w:after="60"/>
              <w:ind w:right="-29"/>
              <w:jc w:val="center"/>
              <w:rPr>
                <w:rFonts w:eastAsia="Calibri"/>
                <w:noProof/>
                <w:sz w:val="18"/>
                <w:szCs w:val="18"/>
              </w:rPr>
            </w:pPr>
          </w:p>
        </w:tc>
        <w:tc>
          <w:tcPr>
            <w:tcW w:w="432"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540"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720" w:type="dxa"/>
            <w:tcBorders>
              <w:top w:val="nil"/>
              <w:left w:val="nil"/>
              <w:bottom w:val="nil"/>
              <w:right w:val="nil"/>
            </w:tcBorders>
          </w:tcPr>
          <w:p>
            <w:pPr>
              <w:spacing w:before="60" w:after="60"/>
              <w:ind w:right="-29"/>
              <w:jc w:val="center"/>
              <w:rPr>
                <w:rFonts w:eastAsia="Calibri"/>
                <w:noProof/>
                <w:sz w:val="18"/>
                <w:szCs w:val="18"/>
              </w:rPr>
            </w:pPr>
          </w:p>
        </w:tc>
        <w:tc>
          <w:tcPr>
            <w:tcW w:w="900" w:type="dxa"/>
            <w:tcBorders>
              <w:top w:val="nil"/>
              <w:left w:val="nil"/>
              <w:bottom w:val="nil"/>
              <w:right w:val="nil"/>
            </w:tcBorders>
          </w:tcPr>
          <w:p>
            <w:pPr>
              <w:spacing w:before="60" w:after="60"/>
              <w:ind w:right="-29"/>
              <w:jc w:val="center"/>
              <w:rPr>
                <w:rFonts w:eastAsia="Calibri"/>
                <w:noProof/>
                <w:sz w:val="18"/>
                <w:szCs w:val="18"/>
              </w:rPr>
            </w:pPr>
          </w:p>
        </w:tc>
      </w:tr>
      <w:tr>
        <w:trPr>
          <w:trHeight w:hRule="exact" w:val="369"/>
          <w:jc w:val="center"/>
        </w:trPr>
        <w:tc>
          <w:tcPr>
            <w:tcW w:w="1423" w:type="dxa"/>
          </w:tcPr>
          <w:p>
            <w:pPr>
              <w:ind w:right="-29"/>
              <w:jc w:val="center"/>
              <w:rPr>
                <w:rFonts w:eastAsia="Calibri"/>
                <w:noProof/>
                <w:sz w:val="18"/>
                <w:szCs w:val="18"/>
              </w:rPr>
            </w:pPr>
            <w:r>
              <w:rPr>
                <w:noProof/>
                <w:sz w:val="18"/>
              </w:rPr>
              <w:t>- Resultat</w:t>
            </w:r>
          </w:p>
        </w:tc>
        <w:tc>
          <w:tcPr>
            <w:tcW w:w="720" w:type="dxa"/>
          </w:tcPr>
          <w:p>
            <w:pPr>
              <w:ind w:right="-29"/>
              <w:jc w:val="center"/>
              <w:rPr>
                <w:rFonts w:eastAsia="Calibri"/>
                <w:noProof/>
                <w:sz w:val="18"/>
                <w:szCs w:val="18"/>
              </w:rPr>
            </w:pPr>
          </w:p>
        </w:tc>
        <w:tc>
          <w:tcPr>
            <w:tcW w:w="701" w:type="dxa"/>
          </w:tcPr>
          <w:p>
            <w:pPr>
              <w:ind w:right="-29"/>
              <w:jc w:val="center"/>
              <w:rPr>
                <w:rFonts w:eastAsia="Calibri"/>
                <w:noProof/>
                <w:sz w:val="18"/>
                <w:szCs w:val="18"/>
              </w:rPr>
            </w:pPr>
          </w:p>
        </w:tc>
        <w:tc>
          <w:tcPr>
            <w:tcW w:w="504"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540"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900" w:type="dxa"/>
          </w:tcPr>
          <w:p>
            <w:pPr>
              <w:ind w:right="-29"/>
              <w:jc w:val="center"/>
              <w:rPr>
                <w:rFonts w:eastAsia="Calibri"/>
                <w:noProof/>
                <w:sz w:val="18"/>
                <w:szCs w:val="18"/>
              </w:rPr>
            </w:pPr>
          </w:p>
        </w:tc>
        <w:tc>
          <w:tcPr>
            <w:tcW w:w="720" w:type="dxa"/>
            <w:gridSpan w:val="2"/>
          </w:tcPr>
          <w:p>
            <w:pPr>
              <w:ind w:right="-29"/>
              <w:jc w:val="center"/>
              <w:rPr>
                <w:rFonts w:eastAsia="Calibri"/>
                <w:noProof/>
                <w:sz w:val="18"/>
                <w:szCs w:val="18"/>
              </w:rPr>
            </w:pPr>
          </w:p>
        </w:tc>
        <w:tc>
          <w:tcPr>
            <w:tcW w:w="540" w:type="dxa"/>
          </w:tcPr>
          <w:p>
            <w:pPr>
              <w:ind w:right="-29"/>
              <w:jc w:val="center"/>
              <w:rPr>
                <w:rFonts w:eastAsia="Calibri"/>
                <w:noProof/>
                <w:sz w:val="18"/>
                <w:szCs w:val="18"/>
              </w:rPr>
            </w:pPr>
          </w:p>
        </w:tc>
        <w:tc>
          <w:tcPr>
            <w:tcW w:w="648" w:type="dxa"/>
          </w:tcPr>
          <w:p>
            <w:pPr>
              <w:ind w:right="-29"/>
              <w:jc w:val="center"/>
              <w:rPr>
                <w:rFonts w:eastAsia="Calibri"/>
                <w:noProof/>
                <w:sz w:val="18"/>
                <w:szCs w:val="18"/>
              </w:rPr>
            </w:pPr>
          </w:p>
        </w:tc>
        <w:tc>
          <w:tcPr>
            <w:tcW w:w="432"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540"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720" w:type="dxa"/>
          </w:tcPr>
          <w:p>
            <w:pPr>
              <w:ind w:right="-29"/>
              <w:jc w:val="center"/>
              <w:rPr>
                <w:rFonts w:eastAsia="Calibri"/>
                <w:noProof/>
                <w:sz w:val="18"/>
                <w:szCs w:val="18"/>
              </w:rPr>
            </w:pPr>
          </w:p>
        </w:tc>
        <w:tc>
          <w:tcPr>
            <w:tcW w:w="900" w:type="dxa"/>
          </w:tcPr>
          <w:p>
            <w:pPr>
              <w:ind w:right="-29"/>
              <w:jc w:val="center"/>
              <w:rPr>
                <w:rFonts w:eastAsia="Calibri"/>
                <w:noProof/>
                <w:sz w:val="18"/>
                <w:szCs w:val="18"/>
              </w:rPr>
            </w:pPr>
          </w:p>
        </w:tc>
      </w:tr>
      <w:tr>
        <w:trPr>
          <w:jc w:val="center"/>
        </w:trPr>
        <w:tc>
          <w:tcPr>
            <w:tcW w:w="2844" w:type="dxa"/>
            <w:gridSpan w:val="3"/>
            <w:tcBorders>
              <w:bottom w:val="single" w:sz="12" w:space="0" w:color="auto"/>
            </w:tcBorders>
            <w:vAlign w:val="center"/>
          </w:tcPr>
          <w:p>
            <w:pPr>
              <w:jc w:val="center"/>
              <w:rPr>
                <w:rFonts w:eastAsia="Calibri"/>
                <w:noProof/>
                <w:sz w:val="18"/>
                <w:szCs w:val="18"/>
              </w:rPr>
            </w:pPr>
            <w:r>
              <w:rPr>
                <w:noProof/>
                <w:sz w:val="18"/>
              </w:rPr>
              <w:t>Subtotal for specifikt mål nr. 2</w:t>
            </w:r>
          </w:p>
        </w:tc>
        <w:tc>
          <w:tcPr>
            <w:tcW w:w="504"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540"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951" w:type="dxa"/>
            <w:gridSpan w:val="2"/>
            <w:tcBorders>
              <w:bottom w:val="single" w:sz="12" w:space="0" w:color="auto"/>
            </w:tcBorders>
          </w:tcPr>
          <w:p>
            <w:pPr>
              <w:ind w:right="-29"/>
              <w:jc w:val="center"/>
              <w:rPr>
                <w:rFonts w:eastAsia="Calibri"/>
                <w:noProof/>
                <w:sz w:val="18"/>
                <w:szCs w:val="18"/>
              </w:rPr>
            </w:pPr>
          </w:p>
        </w:tc>
        <w:tc>
          <w:tcPr>
            <w:tcW w:w="669" w:type="dxa"/>
            <w:tcBorders>
              <w:bottom w:val="single" w:sz="12" w:space="0" w:color="auto"/>
            </w:tcBorders>
          </w:tcPr>
          <w:p>
            <w:pPr>
              <w:ind w:right="-29"/>
              <w:jc w:val="center"/>
              <w:rPr>
                <w:rFonts w:eastAsia="Calibri"/>
                <w:noProof/>
                <w:sz w:val="18"/>
                <w:szCs w:val="18"/>
              </w:rPr>
            </w:pPr>
          </w:p>
        </w:tc>
        <w:tc>
          <w:tcPr>
            <w:tcW w:w="540" w:type="dxa"/>
            <w:tcBorders>
              <w:bottom w:val="single" w:sz="12" w:space="0" w:color="auto"/>
            </w:tcBorders>
          </w:tcPr>
          <w:p>
            <w:pPr>
              <w:ind w:right="-29"/>
              <w:jc w:val="center"/>
              <w:rPr>
                <w:rFonts w:eastAsia="Calibri"/>
                <w:noProof/>
                <w:sz w:val="18"/>
                <w:szCs w:val="18"/>
              </w:rPr>
            </w:pPr>
          </w:p>
        </w:tc>
        <w:tc>
          <w:tcPr>
            <w:tcW w:w="648" w:type="dxa"/>
            <w:tcBorders>
              <w:bottom w:val="single" w:sz="12" w:space="0" w:color="auto"/>
            </w:tcBorders>
          </w:tcPr>
          <w:p>
            <w:pPr>
              <w:ind w:right="-29"/>
              <w:jc w:val="center"/>
              <w:rPr>
                <w:rFonts w:eastAsia="Calibri"/>
                <w:noProof/>
                <w:sz w:val="18"/>
                <w:szCs w:val="18"/>
              </w:rPr>
            </w:pPr>
          </w:p>
        </w:tc>
        <w:tc>
          <w:tcPr>
            <w:tcW w:w="432"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540"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720" w:type="dxa"/>
            <w:tcBorders>
              <w:bottom w:val="single" w:sz="12" w:space="0" w:color="auto"/>
            </w:tcBorders>
          </w:tcPr>
          <w:p>
            <w:pPr>
              <w:ind w:right="-29"/>
              <w:jc w:val="center"/>
              <w:rPr>
                <w:rFonts w:eastAsia="Calibri"/>
                <w:noProof/>
                <w:sz w:val="18"/>
                <w:szCs w:val="18"/>
              </w:rPr>
            </w:pPr>
          </w:p>
        </w:tc>
        <w:tc>
          <w:tcPr>
            <w:tcW w:w="900" w:type="dxa"/>
            <w:tcBorders>
              <w:bottom w:val="single" w:sz="12" w:space="0" w:color="auto"/>
            </w:tcBorders>
          </w:tcPr>
          <w:p>
            <w:pPr>
              <w:ind w:right="-29"/>
              <w:jc w:val="center"/>
              <w:rPr>
                <w:rFonts w:eastAsia="Calibri"/>
                <w:noProof/>
                <w:sz w:val="18"/>
                <w:szCs w:val="18"/>
              </w:rPr>
            </w:pP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rFonts w:eastAsia="Calibri"/>
                <w:noProof/>
                <w:sz w:val="18"/>
                <w:szCs w:val="18"/>
              </w:rPr>
            </w:pPr>
            <w:r>
              <w:rPr>
                <w:b/>
                <w:noProof/>
                <w:sz w:val="18"/>
              </w:rPr>
              <w:t>I ALT</w:t>
            </w:r>
          </w:p>
        </w:tc>
        <w:tc>
          <w:tcPr>
            <w:tcW w:w="504"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54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90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720" w:type="dxa"/>
            <w:gridSpan w:val="2"/>
            <w:tcBorders>
              <w:top w:val="single" w:sz="12" w:space="0" w:color="auto"/>
              <w:bottom w:val="single" w:sz="12" w:space="0" w:color="auto"/>
            </w:tcBorders>
          </w:tcPr>
          <w:p>
            <w:pPr>
              <w:spacing w:before="180" w:after="180"/>
              <w:ind w:right="-29"/>
              <w:jc w:val="center"/>
              <w:rPr>
                <w:rFonts w:eastAsia="Calibri"/>
                <w:noProof/>
                <w:sz w:val="18"/>
                <w:szCs w:val="18"/>
              </w:rPr>
            </w:pPr>
          </w:p>
        </w:tc>
        <w:tc>
          <w:tcPr>
            <w:tcW w:w="54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648"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432"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54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720" w:type="dxa"/>
            <w:tcBorders>
              <w:top w:val="single" w:sz="12" w:space="0" w:color="auto"/>
              <w:bottom w:val="single" w:sz="12" w:space="0" w:color="auto"/>
            </w:tcBorders>
          </w:tcPr>
          <w:p>
            <w:pPr>
              <w:spacing w:before="180" w:after="180"/>
              <w:ind w:right="-29"/>
              <w:jc w:val="center"/>
              <w:rPr>
                <w:rFonts w:eastAsia="Calibri"/>
                <w:noProof/>
                <w:sz w:val="18"/>
                <w:szCs w:val="18"/>
              </w:rPr>
            </w:pPr>
          </w:p>
        </w:tc>
        <w:tc>
          <w:tcPr>
            <w:tcW w:w="900" w:type="dxa"/>
            <w:tcBorders>
              <w:top w:val="single" w:sz="12" w:space="0" w:color="auto"/>
              <w:bottom w:val="single" w:sz="12" w:space="0" w:color="auto"/>
              <w:right w:val="single" w:sz="12" w:space="0" w:color="auto"/>
            </w:tcBorders>
          </w:tcPr>
          <w:p>
            <w:pPr>
              <w:spacing w:before="180" w:after="180"/>
              <w:ind w:right="-29"/>
              <w:jc w:val="center"/>
              <w:rPr>
                <w:rFonts w:eastAsia="Calibri"/>
                <w:noProof/>
                <w:sz w:val="18"/>
                <w:szCs w:val="18"/>
              </w:rPr>
            </w:pPr>
          </w:p>
        </w:tc>
      </w:tr>
    </w:tbl>
    <w:p>
      <w:pPr>
        <w:rPr>
          <w:rFonts w:eastAsia="Calibri"/>
          <w:noProof/>
        </w:rPr>
        <w:sectPr>
          <w:headerReference w:type="default" r:id="rId14"/>
          <w:footerReference w:type="default" r:id="rId15"/>
          <w:headerReference w:type="first" r:id="rId16"/>
          <w:footerReference w:type="first" r:id="rId17"/>
          <w:pgSz w:w="16840" w:h="11907" w:orient="landscape" w:code="9"/>
          <w:pgMar w:top="1134" w:right="1418" w:bottom="567" w:left="1418" w:header="709" w:footer="709" w:gutter="0"/>
          <w:cols w:space="708"/>
          <w:docGrid w:linePitch="360"/>
        </w:sectPr>
      </w:pPr>
    </w:p>
    <w:p>
      <w:pPr>
        <w:keepNext/>
        <w:tabs>
          <w:tab w:val="left" w:pos="850"/>
        </w:tabs>
        <w:ind w:left="850" w:hanging="850"/>
        <w:outlineLvl w:val="2"/>
        <w:rPr>
          <w:rFonts w:eastAsia="Calibri"/>
          <w:bCs/>
          <w:i/>
          <w:noProof/>
          <w:szCs w:val="24"/>
        </w:rPr>
      </w:pPr>
      <w:r>
        <w:rPr>
          <w:i/>
          <w:noProof/>
        </w:rPr>
        <w:t>3.2.3.</w:t>
      </w:r>
      <w:r>
        <w:rPr>
          <w:i/>
          <w:noProof/>
        </w:rPr>
        <w:tab/>
        <w:t xml:space="preserve">Sammenfatning af de anslåede virkninger for administrationsbevillingerne </w:t>
      </w:r>
    </w:p>
    <w:p>
      <w:pPr>
        <w:pStyle w:val="Text1"/>
        <w:rPr>
          <w:noProof/>
        </w:rPr>
      </w:pPr>
      <w:r>
        <w:rPr>
          <w:noProof/>
        </w:rPr>
        <w:t xml:space="preserve">- </w:t>
      </w:r>
      <w:r>
        <w:rPr>
          <w:noProof/>
        </w:rPr>
        <w:sym w:font="Wingdings" w:char="F078"/>
      </w:r>
      <w:r>
        <w:rPr>
          <w:noProof/>
        </w:rPr>
        <w:tab/>
        <w:t xml:space="preserve">Forslaget medfører ikke anvendelse af administrationsbevillinger </w:t>
      </w:r>
    </w:p>
    <w:p>
      <w:pPr>
        <w:pStyle w:val="Text1"/>
        <w:rPr>
          <w:noProof/>
        </w:rPr>
      </w:pPr>
      <w:r>
        <w:rPr>
          <w:noProof/>
        </w:rPr>
        <w:t>- Bevillingerne til menneskelige ressourcer og andre administrationsudgifter vil blive dækket ved hjælp af de bevillinger, der i forvejen er afsat til generaldirektoratets forvaltning af aktionen, og/eller ved intern omfordeling i generaldirektoratet, eventuelt suppleret med yderligere bevillinger, som tildeles det ansvarlige generaldirektorat i forbindelse med den årlige tildelingsprocedure under hensyntagen til de budgetmæssige begrænsninger.</w:t>
      </w:r>
    </w:p>
    <w:p>
      <w:pPr>
        <w:pStyle w:val="Text1"/>
        <w:rPr>
          <w:noProof/>
        </w:rPr>
      </w:pPr>
      <w:r>
        <w:rPr>
          <w:noProof/>
        </w:rPr>
        <w:t xml:space="preserve">- </w:t>
      </w:r>
      <w:r>
        <w:rPr>
          <w:noProof/>
        </w:rPr>
        <w:sym w:font="Wingdings" w:char="F0A8"/>
      </w:r>
      <w:r>
        <w:rPr>
          <w:noProof/>
        </w:rPr>
        <w:tab/>
        <w:t>Forslaget/initiativet medfører anvendelse af administrationsbevillinger som anført herunder:</w:t>
      </w:r>
    </w:p>
    <w:p>
      <w:pPr>
        <w:jc w:val="right"/>
        <w:rPr>
          <w:rFonts w:eastAsia="Calibri"/>
          <w:noProof/>
          <w:sz w:val="20"/>
        </w:rPr>
      </w:pPr>
      <w:r>
        <w:rPr>
          <w:noProof/>
          <w:sz w:val="20"/>
        </w:rPr>
        <w:t>i mio. EUR (tre decimaler)</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trPr>
          <w:trHeight w:val="585"/>
        </w:trPr>
        <w:tc>
          <w:tcPr>
            <w:tcW w:w="1980" w:type="dxa"/>
          </w:tcPr>
          <w:p>
            <w:pPr>
              <w:spacing w:before="60" w:after="60" w:line="200" w:lineRule="exact"/>
              <w:rPr>
                <w:rFonts w:eastAsia="Calibri"/>
                <w:noProof/>
                <w:sz w:val="16"/>
                <w:szCs w:val="16"/>
              </w:rPr>
            </w:pPr>
          </w:p>
        </w:tc>
        <w:tc>
          <w:tcPr>
            <w:tcW w:w="1080" w:type="dxa"/>
            <w:vAlign w:val="center"/>
          </w:tcPr>
          <w:p>
            <w:pPr>
              <w:spacing w:before="60" w:after="60" w:line="200" w:lineRule="exact"/>
              <w:jc w:val="center"/>
              <w:rPr>
                <w:rFonts w:eastAsia="Calibri"/>
                <w:noProof/>
                <w:sz w:val="16"/>
                <w:szCs w:val="16"/>
              </w:rPr>
            </w:pPr>
            <w:r>
              <w:rPr>
                <w:noProof/>
                <w:sz w:val="16"/>
              </w:rPr>
              <w:t>År</w:t>
            </w:r>
            <w:r>
              <w:rPr>
                <w:noProof/>
                <w:sz w:val="22"/>
              </w:rPr>
              <w:br/>
            </w:r>
            <w:r>
              <w:rPr>
                <w:b/>
                <w:noProof/>
                <w:sz w:val="16"/>
              </w:rPr>
              <w:t>n</w:t>
            </w:r>
            <w:r>
              <w:rPr>
                <w:rStyle w:val="FootnoteReference"/>
                <w:b/>
                <w:noProof/>
                <w:sz w:val="16"/>
              </w:rPr>
              <w:footnoteReference w:id="12"/>
            </w:r>
          </w:p>
        </w:tc>
        <w:tc>
          <w:tcPr>
            <w:tcW w:w="1080" w:type="dxa"/>
            <w:vAlign w:val="center"/>
          </w:tcPr>
          <w:p>
            <w:pPr>
              <w:spacing w:before="60" w:after="60" w:line="200" w:lineRule="exact"/>
              <w:jc w:val="center"/>
              <w:rPr>
                <w:rFonts w:eastAsia="Calibri"/>
                <w:noProof/>
                <w:sz w:val="16"/>
                <w:szCs w:val="16"/>
              </w:rPr>
            </w:pPr>
            <w:r>
              <w:rPr>
                <w:noProof/>
                <w:sz w:val="16"/>
              </w:rPr>
              <w:t>År</w:t>
            </w:r>
            <w:r>
              <w:rPr>
                <w:noProof/>
                <w:sz w:val="22"/>
              </w:rPr>
              <w:br/>
            </w:r>
            <w:r>
              <w:rPr>
                <w:b/>
                <w:noProof/>
                <w:sz w:val="16"/>
              </w:rPr>
              <w:t>n+1</w:t>
            </w:r>
          </w:p>
        </w:tc>
        <w:tc>
          <w:tcPr>
            <w:tcW w:w="1080" w:type="dxa"/>
            <w:vAlign w:val="center"/>
          </w:tcPr>
          <w:p>
            <w:pPr>
              <w:spacing w:before="60" w:after="60" w:line="200" w:lineRule="exact"/>
              <w:jc w:val="center"/>
              <w:rPr>
                <w:rFonts w:eastAsia="Calibri"/>
                <w:noProof/>
                <w:sz w:val="16"/>
                <w:szCs w:val="16"/>
              </w:rPr>
            </w:pPr>
            <w:r>
              <w:rPr>
                <w:noProof/>
                <w:sz w:val="16"/>
              </w:rPr>
              <w:t>År</w:t>
            </w:r>
            <w:r>
              <w:rPr>
                <w:noProof/>
                <w:sz w:val="22"/>
              </w:rPr>
              <w:br/>
            </w:r>
            <w:r>
              <w:rPr>
                <w:b/>
                <w:noProof/>
                <w:sz w:val="16"/>
              </w:rPr>
              <w:t>n+2</w:t>
            </w:r>
          </w:p>
        </w:tc>
        <w:tc>
          <w:tcPr>
            <w:tcW w:w="1080" w:type="dxa"/>
            <w:vAlign w:val="center"/>
          </w:tcPr>
          <w:p>
            <w:pPr>
              <w:spacing w:before="60" w:after="60" w:line="200" w:lineRule="exact"/>
              <w:jc w:val="center"/>
              <w:rPr>
                <w:rFonts w:eastAsia="Calibri"/>
                <w:noProof/>
                <w:sz w:val="16"/>
                <w:szCs w:val="16"/>
              </w:rPr>
            </w:pPr>
            <w:r>
              <w:rPr>
                <w:noProof/>
                <w:sz w:val="16"/>
              </w:rPr>
              <w:t>År</w:t>
            </w:r>
            <w:r>
              <w:rPr>
                <w:noProof/>
                <w:sz w:val="22"/>
              </w:rPr>
              <w:br/>
            </w:r>
            <w:r>
              <w:rPr>
                <w:b/>
                <w:noProof/>
                <w:sz w:val="16"/>
              </w:rPr>
              <w:t>n+3</w:t>
            </w:r>
          </w:p>
        </w:tc>
        <w:tc>
          <w:tcPr>
            <w:tcW w:w="3240" w:type="dxa"/>
            <w:vAlign w:val="center"/>
          </w:tcPr>
          <w:p>
            <w:pPr>
              <w:spacing w:line="200" w:lineRule="exact"/>
              <w:jc w:val="center"/>
              <w:rPr>
                <w:rFonts w:eastAsia="Calibri"/>
                <w:b/>
                <w:noProof/>
                <w:sz w:val="16"/>
                <w:szCs w:val="16"/>
              </w:rPr>
            </w:pPr>
            <w:r>
              <w:rPr>
                <w:noProof/>
                <w:sz w:val="16"/>
              </w:rPr>
              <w:t>Der indsættes flere år, hvis virkningerne varer længere (jf. punkt 1.6)</w:t>
            </w:r>
          </w:p>
        </w:tc>
        <w:tc>
          <w:tcPr>
            <w:tcW w:w="1080" w:type="dxa"/>
            <w:vAlign w:val="center"/>
          </w:tcPr>
          <w:p>
            <w:pPr>
              <w:spacing w:before="60" w:after="60" w:line="200" w:lineRule="exact"/>
              <w:jc w:val="center"/>
              <w:rPr>
                <w:rFonts w:eastAsia="Calibri"/>
                <w:b/>
                <w:noProof/>
                <w:sz w:val="16"/>
                <w:szCs w:val="16"/>
              </w:rPr>
            </w:pPr>
            <w:r>
              <w:rPr>
                <w:b/>
                <w:noProof/>
                <w:sz w:val="16"/>
              </w:rPr>
              <w:t>I ALT</w:t>
            </w:r>
          </w:p>
        </w:tc>
      </w:tr>
    </w:tbl>
    <w:p>
      <w:pPr>
        <w:spacing w:line="200" w:lineRule="exact"/>
        <w:rPr>
          <w:rFonts w:eastAsia="Calibri"/>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rFonts w:eastAsia="Calibri"/>
                <w:b/>
                <w:noProof/>
                <w:sz w:val="16"/>
                <w:szCs w:val="16"/>
              </w:rPr>
            </w:pPr>
            <w:r>
              <w:rPr>
                <w:b/>
                <w:noProof/>
                <w:sz w:val="16"/>
              </w:rPr>
              <w:t>UDGIFTSOMRÅDE 5</w:t>
            </w:r>
            <w:r>
              <w:rPr>
                <w:noProof/>
                <w:sz w:val="22"/>
              </w:rPr>
              <w:br/>
            </w:r>
            <w:r>
              <w:rPr>
                <w:b/>
                <w:noProof/>
                <w:sz w:val="16"/>
              </w:rPr>
              <w:t>i den flerårige finansielle ramme</w:t>
            </w: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b/>
                <w:noProof/>
                <w:sz w:val="16"/>
                <w:szCs w:val="16"/>
              </w:rPr>
            </w:pPr>
          </w:p>
        </w:tc>
        <w:tc>
          <w:tcPr>
            <w:tcW w:w="1080" w:type="dxa"/>
            <w:vAlign w:val="center"/>
          </w:tcPr>
          <w:p>
            <w:pPr>
              <w:spacing w:before="60" w:after="60" w:line="200" w:lineRule="exact"/>
              <w:jc w:val="right"/>
              <w:rPr>
                <w:rFonts w:eastAsia="Calibri"/>
                <w:b/>
                <w:noProof/>
                <w:sz w:val="16"/>
                <w:szCs w:val="16"/>
              </w:rPr>
            </w:pPr>
          </w:p>
        </w:tc>
      </w:tr>
      <w:tr>
        <w:trPr>
          <w:trHeight w:val="585"/>
        </w:trPr>
        <w:tc>
          <w:tcPr>
            <w:tcW w:w="1980" w:type="dxa"/>
            <w:vAlign w:val="center"/>
          </w:tcPr>
          <w:p>
            <w:pPr>
              <w:spacing w:before="60" w:after="60" w:line="200" w:lineRule="exact"/>
              <w:ind w:left="72"/>
              <w:jc w:val="left"/>
              <w:rPr>
                <w:rFonts w:eastAsia="Calibri"/>
                <w:noProof/>
                <w:sz w:val="16"/>
                <w:szCs w:val="16"/>
              </w:rPr>
            </w:pPr>
            <w:r>
              <w:rPr>
                <w:noProof/>
                <w:sz w:val="16"/>
              </w:rPr>
              <w:t xml:space="preserve">Menneskelige ressourcer </w:t>
            </w: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b/>
                <w:noProof/>
                <w:sz w:val="16"/>
                <w:szCs w:val="16"/>
              </w:rPr>
            </w:pPr>
          </w:p>
        </w:tc>
        <w:tc>
          <w:tcPr>
            <w:tcW w:w="1080" w:type="dxa"/>
            <w:vAlign w:val="center"/>
          </w:tcPr>
          <w:p>
            <w:pPr>
              <w:spacing w:before="60" w:after="60" w:line="200" w:lineRule="exact"/>
              <w:jc w:val="right"/>
              <w:rPr>
                <w:rFonts w:eastAsia="Calibri"/>
                <w:b/>
                <w:noProof/>
                <w:sz w:val="16"/>
                <w:szCs w:val="16"/>
              </w:rPr>
            </w:pPr>
          </w:p>
        </w:tc>
      </w:tr>
      <w:tr>
        <w:trPr>
          <w:trHeight w:val="585"/>
        </w:trPr>
        <w:tc>
          <w:tcPr>
            <w:tcW w:w="1980" w:type="dxa"/>
            <w:vAlign w:val="center"/>
          </w:tcPr>
          <w:p>
            <w:pPr>
              <w:spacing w:before="60" w:after="60" w:line="200" w:lineRule="exact"/>
              <w:ind w:left="72"/>
              <w:jc w:val="left"/>
              <w:rPr>
                <w:rFonts w:eastAsia="Calibri"/>
                <w:noProof/>
                <w:sz w:val="16"/>
                <w:szCs w:val="16"/>
              </w:rPr>
            </w:pPr>
            <w:r>
              <w:rPr>
                <w:noProof/>
                <w:sz w:val="16"/>
              </w:rPr>
              <w:t xml:space="preserve">Andre administrationsudgifter </w:t>
            </w: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b/>
                <w:noProof/>
                <w:sz w:val="16"/>
                <w:szCs w:val="16"/>
              </w:rPr>
            </w:pPr>
          </w:p>
        </w:tc>
        <w:tc>
          <w:tcPr>
            <w:tcW w:w="1080" w:type="dxa"/>
            <w:vAlign w:val="center"/>
          </w:tcPr>
          <w:p>
            <w:pPr>
              <w:spacing w:before="60" w:after="60" w:line="200" w:lineRule="exact"/>
              <w:jc w:val="right"/>
              <w:rPr>
                <w:rFonts w:eastAsia="Calibri"/>
                <w:b/>
                <w:noProof/>
                <w:sz w:val="16"/>
                <w:szCs w:val="16"/>
              </w:rPr>
            </w:pPr>
          </w:p>
        </w:tc>
      </w:tr>
      <w:tr>
        <w:trPr>
          <w:trHeight w:val="585"/>
        </w:trPr>
        <w:tc>
          <w:tcPr>
            <w:tcW w:w="1980" w:type="dxa"/>
            <w:shd w:val="clear" w:color="auto" w:fill="CCCCCC"/>
            <w:vAlign w:val="center"/>
          </w:tcPr>
          <w:p>
            <w:pPr>
              <w:spacing w:before="60" w:after="60" w:line="200" w:lineRule="exact"/>
              <w:jc w:val="center"/>
              <w:rPr>
                <w:rFonts w:eastAsia="Calibri"/>
                <w:b/>
                <w:noProof/>
                <w:sz w:val="16"/>
                <w:szCs w:val="16"/>
              </w:rPr>
            </w:pPr>
            <w:r>
              <w:rPr>
                <w:b/>
                <w:noProof/>
                <w:sz w:val="16"/>
              </w:rPr>
              <w:t>Subtotal UDGIFTSOMRÅDE 5</w:t>
            </w:r>
            <w:r>
              <w:rPr>
                <w:noProof/>
                <w:sz w:val="22"/>
              </w:rPr>
              <w:br/>
            </w:r>
            <w:r>
              <w:rPr>
                <w:b/>
                <w:noProof/>
                <w:sz w:val="16"/>
              </w:rPr>
              <w:t>i den flerårige finansielle ramme</w:t>
            </w: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b/>
                <w:noProof/>
                <w:sz w:val="16"/>
                <w:szCs w:val="16"/>
              </w:rPr>
            </w:pPr>
          </w:p>
        </w:tc>
        <w:tc>
          <w:tcPr>
            <w:tcW w:w="1080" w:type="dxa"/>
            <w:vAlign w:val="center"/>
          </w:tcPr>
          <w:p>
            <w:pPr>
              <w:spacing w:before="60" w:after="60" w:line="200" w:lineRule="exact"/>
              <w:jc w:val="right"/>
              <w:rPr>
                <w:rFonts w:eastAsia="Calibri"/>
                <w:b/>
                <w:noProof/>
                <w:sz w:val="16"/>
                <w:szCs w:val="16"/>
              </w:rPr>
            </w:pPr>
          </w:p>
        </w:tc>
      </w:tr>
    </w:tbl>
    <w:p>
      <w:pPr>
        <w:spacing w:line="200" w:lineRule="exact"/>
        <w:rPr>
          <w:rFonts w:eastAsia="Calibri"/>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shd w:val="clear" w:color="auto" w:fill="CCCCCC"/>
            <w:vAlign w:val="center"/>
          </w:tcPr>
          <w:p>
            <w:pPr>
              <w:spacing w:before="60" w:after="60" w:line="200" w:lineRule="exact"/>
              <w:jc w:val="center"/>
              <w:rPr>
                <w:rFonts w:eastAsia="Calibri"/>
                <w:noProof/>
                <w:sz w:val="16"/>
                <w:szCs w:val="16"/>
              </w:rPr>
            </w:pPr>
            <w:r>
              <w:rPr>
                <w:b/>
                <w:noProof/>
                <w:sz w:val="16"/>
              </w:rPr>
              <w:t>Uden for UDGIFTSOMRÅDE 5</w:t>
            </w:r>
            <w:r>
              <w:rPr>
                <w:rStyle w:val="FootnoteReference"/>
                <w:b/>
                <w:noProof/>
                <w:sz w:val="16"/>
              </w:rPr>
              <w:footnoteReference w:id="13"/>
            </w:r>
            <w:r>
              <w:rPr>
                <w:noProof/>
                <w:sz w:val="22"/>
              </w:rPr>
              <w:br/>
            </w:r>
            <w:r>
              <w:rPr>
                <w:b/>
                <w:noProof/>
                <w:sz w:val="16"/>
              </w:rPr>
              <w:t>i den flerårige finansielle ramme</w:t>
            </w:r>
          </w:p>
          <w:p>
            <w:pPr>
              <w:spacing w:before="0" w:after="0" w:line="200" w:lineRule="exact"/>
              <w:jc w:val="center"/>
              <w:rPr>
                <w:rFonts w:eastAsia="Calibri"/>
                <w:b/>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b/>
                <w:noProof/>
                <w:sz w:val="16"/>
                <w:szCs w:val="16"/>
              </w:rPr>
            </w:pPr>
          </w:p>
        </w:tc>
        <w:tc>
          <w:tcPr>
            <w:tcW w:w="1080" w:type="dxa"/>
            <w:vAlign w:val="center"/>
          </w:tcPr>
          <w:p>
            <w:pPr>
              <w:spacing w:before="60" w:after="60" w:line="200" w:lineRule="exact"/>
              <w:jc w:val="right"/>
              <w:rPr>
                <w:rFonts w:eastAsia="Calibri"/>
                <w:b/>
                <w:noProof/>
                <w:sz w:val="16"/>
                <w:szCs w:val="16"/>
              </w:rPr>
            </w:pPr>
          </w:p>
        </w:tc>
      </w:tr>
      <w:tr>
        <w:trPr>
          <w:trHeight w:val="585"/>
        </w:trPr>
        <w:tc>
          <w:tcPr>
            <w:tcW w:w="1980" w:type="dxa"/>
            <w:vAlign w:val="center"/>
          </w:tcPr>
          <w:p>
            <w:pPr>
              <w:spacing w:before="60" w:after="60" w:line="200" w:lineRule="exact"/>
              <w:ind w:left="72"/>
              <w:jc w:val="left"/>
              <w:rPr>
                <w:rFonts w:eastAsia="Calibri"/>
                <w:noProof/>
                <w:sz w:val="16"/>
                <w:szCs w:val="16"/>
              </w:rPr>
            </w:pPr>
            <w:r>
              <w:rPr>
                <w:noProof/>
                <w:sz w:val="16"/>
              </w:rPr>
              <w:t xml:space="preserve">Menneskelige ressourcer </w:t>
            </w: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b/>
                <w:noProof/>
                <w:sz w:val="16"/>
                <w:szCs w:val="16"/>
              </w:rPr>
            </w:pPr>
          </w:p>
        </w:tc>
        <w:tc>
          <w:tcPr>
            <w:tcW w:w="1080" w:type="dxa"/>
            <w:vAlign w:val="center"/>
          </w:tcPr>
          <w:p>
            <w:pPr>
              <w:spacing w:before="60" w:after="60" w:line="200" w:lineRule="exact"/>
              <w:jc w:val="right"/>
              <w:rPr>
                <w:rFonts w:eastAsia="Calibri"/>
                <w:b/>
                <w:noProof/>
                <w:sz w:val="16"/>
                <w:szCs w:val="16"/>
              </w:rPr>
            </w:pPr>
          </w:p>
        </w:tc>
      </w:tr>
      <w:tr>
        <w:trPr>
          <w:trHeight w:val="585"/>
        </w:trPr>
        <w:tc>
          <w:tcPr>
            <w:tcW w:w="1980" w:type="dxa"/>
            <w:vAlign w:val="center"/>
          </w:tcPr>
          <w:p>
            <w:pPr>
              <w:spacing w:before="60" w:after="60" w:line="200" w:lineRule="exact"/>
              <w:ind w:left="72"/>
              <w:jc w:val="left"/>
              <w:rPr>
                <w:rFonts w:eastAsia="Calibri"/>
                <w:noProof/>
                <w:sz w:val="16"/>
                <w:szCs w:val="16"/>
              </w:rPr>
            </w:pPr>
            <w:r>
              <w:rPr>
                <w:noProof/>
                <w:sz w:val="16"/>
              </w:rPr>
              <w:t xml:space="preserve">Andre udgifter </w:t>
            </w:r>
            <w:r>
              <w:rPr>
                <w:noProof/>
                <w:sz w:val="22"/>
              </w:rPr>
              <w:br/>
            </w:r>
            <w:r>
              <w:rPr>
                <w:noProof/>
                <w:sz w:val="16"/>
              </w:rPr>
              <w:t>af administrativ art</w:t>
            </w: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b/>
                <w:noProof/>
                <w:sz w:val="16"/>
                <w:szCs w:val="16"/>
              </w:rPr>
            </w:pPr>
          </w:p>
        </w:tc>
        <w:tc>
          <w:tcPr>
            <w:tcW w:w="1080" w:type="dxa"/>
            <w:vAlign w:val="center"/>
          </w:tcPr>
          <w:p>
            <w:pPr>
              <w:spacing w:before="60" w:after="60" w:line="200" w:lineRule="exact"/>
              <w:jc w:val="right"/>
              <w:rPr>
                <w:rFonts w:eastAsia="Calibri"/>
                <w:b/>
                <w:noProof/>
                <w:sz w:val="16"/>
                <w:szCs w:val="16"/>
              </w:rPr>
            </w:pPr>
          </w:p>
        </w:tc>
      </w:tr>
      <w:tr>
        <w:trPr>
          <w:trHeight w:val="585"/>
        </w:trPr>
        <w:tc>
          <w:tcPr>
            <w:tcW w:w="1980" w:type="dxa"/>
            <w:shd w:val="clear" w:color="auto" w:fill="CCCCCC"/>
            <w:vAlign w:val="center"/>
          </w:tcPr>
          <w:p>
            <w:pPr>
              <w:spacing w:before="60" w:after="60" w:line="200" w:lineRule="exact"/>
              <w:jc w:val="center"/>
              <w:rPr>
                <w:rFonts w:eastAsia="Calibri"/>
                <w:b/>
                <w:noProof/>
                <w:sz w:val="16"/>
                <w:szCs w:val="16"/>
              </w:rPr>
            </w:pPr>
            <w:r>
              <w:rPr>
                <w:b/>
                <w:noProof/>
                <w:sz w:val="16"/>
              </w:rPr>
              <w:t xml:space="preserve">Subtotal </w:t>
            </w:r>
            <w:r>
              <w:rPr>
                <w:noProof/>
                <w:sz w:val="22"/>
              </w:rPr>
              <w:br/>
            </w:r>
            <w:r>
              <w:rPr>
                <w:b/>
                <w:noProof/>
                <w:sz w:val="16"/>
              </w:rPr>
              <w:t>uden for UDGIFTSOMRÅDE 5</w:t>
            </w:r>
            <w:r>
              <w:rPr>
                <w:noProof/>
                <w:sz w:val="22"/>
              </w:rPr>
              <w:br/>
            </w:r>
            <w:r>
              <w:rPr>
                <w:b/>
                <w:noProof/>
                <w:sz w:val="16"/>
              </w:rPr>
              <w:t>i den flerårige finansielle ramme</w:t>
            </w: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noProof/>
                <w:sz w:val="16"/>
                <w:szCs w:val="16"/>
              </w:rPr>
            </w:pPr>
          </w:p>
        </w:tc>
        <w:tc>
          <w:tcPr>
            <w:tcW w:w="1080" w:type="dxa"/>
            <w:vAlign w:val="center"/>
          </w:tcPr>
          <w:p>
            <w:pPr>
              <w:spacing w:before="60" w:after="60" w:line="200" w:lineRule="exact"/>
              <w:jc w:val="right"/>
              <w:rPr>
                <w:rFonts w:eastAsia="Calibri"/>
                <w:b/>
                <w:noProof/>
                <w:sz w:val="16"/>
                <w:szCs w:val="16"/>
              </w:rPr>
            </w:pPr>
          </w:p>
        </w:tc>
        <w:tc>
          <w:tcPr>
            <w:tcW w:w="1080" w:type="dxa"/>
            <w:vAlign w:val="center"/>
          </w:tcPr>
          <w:p>
            <w:pPr>
              <w:spacing w:before="60" w:after="60" w:line="200" w:lineRule="exact"/>
              <w:jc w:val="right"/>
              <w:rPr>
                <w:rFonts w:eastAsia="Calibri"/>
                <w:b/>
                <w:noProof/>
                <w:sz w:val="16"/>
                <w:szCs w:val="16"/>
              </w:rPr>
            </w:pPr>
          </w:p>
        </w:tc>
      </w:tr>
    </w:tbl>
    <w:p>
      <w:pPr>
        <w:spacing w:line="200" w:lineRule="exact"/>
        <w:rPr>
          <w:rFonts w:eastAsia="Calibri"/>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pPr>
              <w:spacing w:before="60" w:after="60" w:line="200" w:lineRule="exact"/>
              <w:jc w:val="center"/>
              <w:rPr>
                <w:rFonts w:eastAsia="Calibri"/>
                <w:noProof/>
                <w:sz w:val="16"/>
                <w:szCs w:val="16"/>
              </w:rPr>
            </w:pPr>
            <w:r>
              <w:rPr>
                <w:b/>
                <w:noProof/>
                <w:sz w:val="16"/>
              </w:rPr>
              <w:t>I ALT</w:t>
            </w: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Calibri"/>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Calibri"/>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Calibri"/>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Calibri"/>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Calibri"/>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Calibri"/>
                <w:b/>
                <w:noProof/>
                <w:sz w:val="16"/>
                <w:szCs w:val="16"/>
              </w:rPr>
            </w:pPr>
          </w:p>
        </w:tc>
        <w:tc>
          <w:tcPr>
            <w:tcW w:w="1080" w:type="dxa"/>
            <w:tcBorders>
              <w:top w:val="single" w:sz="12" w:space="0" w:color="auto"/>
              <w:left w:val="single" w:sz="2" w:space="0" w:color="auto"/>
              <w:bottom w:val="single" w:sz="12" w:space="0" w:color="auto"/>
              <w:right w:val="single" w:sz="2" w:space="0" w:color="auto"/>
            </w:tcBorders>
            <w:vAlign w:val="center"/>
          </w:tcPr>
          <w:p>
            <w:pPr>
              <w:spacing w:before="60" w:after="60" w:line="200" w:lineRule="exact"/>
              <w:jc w:val="right"/>
              <w:rPr>
                <w:rFonts w:eastAsia="Calibri"/>
                <w:b/>
                <w:noProof/>
                <w:sz w:val="16"/>
                <w:szCs w:val="16"/>
              </w:rPr>
            </w:pPr>
          </w:p>
        </w:tc>
        <w:tc>
          <w:tcPr>
            <w:tcW w:w="1080" w:type="dxa"/>
            <w:tcBorders>
              <w:top w:val="single" w:sz="12" w:space="0" w:color="auto"/>
              <w:left w:val="single" w:sz="2" w:space="0" w:color="auto"/>
              <w:bottom w:val="single" w:sz="12" w:space="0" w:color="auto"/>
              <w:right w:val="single" w:sz="12" w:space="0" w:color="auto"/>
            </w:tcBorders>
            <w:vAlign w:val="center"/>
          </w:tcPr>
          <w:p>
            <w:pPr>
              <w:spacing w:before="60" w:after="60" w:line="200" w:lineRule="exact"/>
              <w:jc w:val="right"/>
              <w:rPr>
                <w:rFonts w:eastAsia="Calibri"/>
                <w:b/>
                <w:noProof/>
                <w:sz w:val="16"/>
                <w:szCs w:val="16"/>
              </w:rPr>
            </w:pPr>
          </w:p>
        </w:tc>
      </w:tr>
    </w:tbl>
    <w:p>
      <w:pPr>
        <w:rPr>
          <w:rFonts w:eastAsia="Calibri"/>
          <w:noProof/>
          <w:sz w:val="18"/>
        </w:rPr>
      </w:pPr>
    </w:p>
    <w:p>
      <w:pPr>
        <w:rPr>
          <w:rFonts w:eastAsia="Calibri"/>
          <w:noProof/>
          <w:sz w:val="18"/>
        </w:rPr>
        <w:sectPr>
          <w:headerReference w:type="default" r:id="rId18"/>
          <w:footerReference w:type="default" r:id="rId19"/>
          <w:headerReference w:type="first" r:id="rId20"/>
          <w:footerReference w:type="first" r:id="rId21"/>
          <w:pgSz w:w="11907" w:h="16840"/>
          <w:pgMar w:top="1134" w:right="1418" w:bottom="1134" w:left="1418" w:header="709" w:footer="709" w:gutter="0"/>
          <w:cols w:space="708"/>
          <w:docGrid w:linePitch="360"/>
        </w:sectPr>
      </w:pPr>
    </w:p>
    <w:p>
      <w:pPr>
        <w:keepNext/>
        <w:tabs>
          <w:tab w:val="left" w:pos="850"/>
        </w:tabs>
        <w:ind w:left="850" w:hanging="850"/>
        <w:outlineLvl w:val="3"/>
        <w:rPr>
          <w:rFonts w:eastAsia="Calibri"/>
          <w:bCs/>
          <w:noProof/>
          <w:szCs w:val="24"/>
        </w:rPr>
      </w:pPr>
      <w:r>
        <w:rPr>
          <w:noProof/>
        </w:rPr>
        <w:t>3.2.3.1.</w:t>
      </w:r>
      <w:r>
        <w:rPr>
          <w:noProof/>
        </w:rPr>
        <w:tab/>
        <w:t xml:space="preserve">Anslået behov for menneskelige ressourcer </w:t>
      </w:r>
    </w:p>
    <w:p>
      <w:pPr>
        <w:pStyle w:val="Text1"/>
        <w:rPr>
          <w:noProof/>
        </w:rPr>
      </w:pPr>
      <w:r>
        <w:rPr>
          <w:noProof/>
        </w:rPr>
        <w:t xml:space="preserve">- </w:t>
      </w:r>
      <w:r>
        <w:rPr>
          <w:noProof/>
        </w:rPr>
        <w:sym w:font="Wingdings" w:char="F078"/>
      </w:r>
      <w:r>
        <w:rPr>
          <w:noProof/>
        </w:rPr>
        <w:tab/>
        <w:t xml:space="preserve">Forslaget medfører ikke anvendelse af menneskelige ressourcer </w:t>
      </w:r>
    </w:p>
    <w:p>
      <w:pPr>
        <w:pStyle w:val="Text1"/>
        <w:rPr>
          <w:noProof/>
        </w:rPr>
      </w:pPr>
      <w:r>
        <w:rPr>
          <w:noProof/>
        </w:rPr>
        <w:t>Bevillingerne til menneskelige ressourcer og andre administrationsudgifter vil blive dækket ved hjælp af de bevillinger, der i forvejen er afsat til generaldirektoratets forvaltning af aktionen, og/eller ved intern omfordeling i generaldirektoratet, eventuelt suppleret med yderligere bevillinger, som tildeles det ansvarlige generaldirektorat i forbindelse med den årlige tildelingsprocedure under hensyntagen til de budgetmæssige begrænsninger.</w:t>
      </w:r>
    </w:p>
    <w:p>
      <w:pPr>
        <w:pStyle w:val="Text1"/>
        <w:rPr>
          <w:noProof/>
        </w:rPr>
      </w:pPr>
      <w:r>
        <w:rPr>
          <w:noProof/>
        </w:rPr>
        <w:t xml:space="preserve">- </w:t>
      </w:r>
      <w:r>
        <w:rPr>
          <w:noProof/>
        </w:rPr>
        <w:sym w:font="Wingdings" w:char="F0A8"/>
      </w:r>
      <w:r>
        <w:rPr>
          <w:noProof/>
        </w:rPr>
        <w:tab/>
        <w:t>Forslaget/initiativet medfører anvendelse af menneskelige ressourcer som anført herunder:</w:t>
      </w:r>
    </w:p>
    <w:p>
      <w:pPr>
        <w:spacing w:after="60"/>
        <w:jc w:val="right"/>
        <w:rPr>
          <w:rFonts w:eastAsia="Calibri"/>
          <w:i/>
          <w:noProof/>
          <w:sz w:val="20"/>
        </w:rPr>
      </w:pPr>
      <w:r>
        <w:rPr>
          <w:i/>
          <w:noProof/>
          <w:sz w:val="20"/>
        </w:rPr>
        <w:t>Overslag angives i årsværk</w:t>
      </w:r>
    </w:p>
    <w:tbl>
      <w:tblPr>
        <w:tblW w:w="988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
        <w:gridCol w:w="2376"/>
        <w:gridCol w:w="2378"/>
        <w:gridCol w:w="731"/>
        <w:gridCol w:w="731"/>
        <w:gridCol w:w="731"/>
        <w:gridCol w:w="731"/>
        <w:gridCol w:w="731"/>
        <w:gridCol w:w="731"/>
        <w:gridCol w:w="731"/>
      </w:tblGrid>
      <w:tr>
        <w:trPr>
          <w:gridBefore w:val="1"/>
          <w:wBefore w:w="13" w:type="dxa"/>
          <w:trHeight w:val="289"/>
          <w:jc w:val="center"/>
        </w:trPr>
        <w:tc>
          <w:tcPr>
            <w:tcW w:w="3906" w:type="dxa"/>
            <w:gridSpan w:val="2"/>
            <w:shd w:val="clear" w:color="auto" w:fill="auto"/>
          </w:tcPr>
          <w:p>
            <w:pPr>
              <w:spacing w:before="40" w:after="40"/>
              <w:jc w:val="center"/>
              <w:rPr>
                <w:rFonts w:eastAsia="Calibri"/>
                <w:i/>
                <w:noProof/>
                <w:sz w:val="16"/>
                <w:szCs w:val="16"/>
              </w:rPr>
            </w:pPr>
          </w:p>
        </w:tc>
        <w:tc>
          <w:tcPr>
            <w:tcW w:w="600" w:type="dxa"/>
            <w:shd w:val="clear" w:color="auto" w:fill="auto"/>
            <w:vAlign w:val="center"/>
          </w:tcPr>
          <w:p>
            <w:pPr>
              <w:spacing w:before="20" w:after="20"/>
              <w:jc w:val="center"/>
              <w:rPr>
                <w:rFonts w:eastAsia="Calibri"/>
                <w:noProof/>
                <w:sz w:val="16"/>
                <w:szCs w:val="16"/>
              </w:rPr>
            </w:pPr>
            <w:r>
              <w:rPr>
                <w:noProof/>
                <w:sz w:val="16"/>
              </w:rPr>
              <w:t>År</w:t>
            </w:r>
            <w:r>
              <w:rPr>
                <w:noProof/>
                <w:sz w:val="22"/>
              </w:rPr>
              <w:br/>
            </w:r>
            <w:r>
              <w:rPr>
                <w:b/>
                <w:noProof/>
                <w:sz w:val="16"/>
              </w:rPr>
              <w:t>n</w:t>
            </w:r>
          </w:p>
        </w:tc>
        <w:tc>
          <w:tcPr>
            <w:tcW w:w="600" w:type="dxa"/>
            <w:shd w:val="clear" w:color="auto" w:fill="auto"/>
            <w:vAlign w:val="center"/>
          </w:tcPr>
          <w:p>
            <w:pPr>
              <w:spacing w:before="20" w:after="20"/>
              <w:jc w:val="center"/>
              <w:rPr>
                <w:rFonts w:eastAsia="Calibri"/>
                <w:noProof/>
                <w:sz w:val="16"/>
                <w:szCs w:val="16"/>
              </w:rPr>
            </w:pPr>
            <w:r>
              <w:rPr>
                <w:noProof/>
                <w:sz w:val="16"/>
              </w:rPr>
              <w:t>År</w:t>
            </w:r>
            <w:r>
              <w:rPr>
                <w:noProof/>
                <w:sz w:val="22"/>
              </w:rPr>
              <w:br/>
            </w:r>
            <w:r>
              <w:rPr>
                <w:b/>
                <w:noProof/>
                <w:sz w:val="16"/>
              </w:rPr>
              <w:t>n+1</w:t>
            </w:r>
          </w:p>
        </w:tc>
        <w:tc>
          <w:tcPr>
            <w:tcW w:w="600" w:type="dxa"/>
            <w:shd w:val="clear" w:color="auto" w:fill="auto"/>
            <w:vAlign w:val="center"/>
          </w:tcPr>
          <w:p>
            <w:pPr>
              <w:spacing w:before="20" w:after="20"/>
              <w:jc w:val="center"/>
              <w:rPr>
                <w:rFonts w:eastAsia="Calibri"/>
                <w:noProof/>
                <w:sz w:val="16"/>
                <w:szCs w:val="16"/>
              </w:rPr>
            </w:pPr>
            <w:r>
              <w:rPr>
                <w:noProof/>
                <w:sz w:val="16"/>
                <w:szCs w:val="16"/>
              </w:rPr>
              <w:t xml:space="preserve">År </w:t>
            </w:r>
            <w:r>
              <w:rPr>
                <w:b/>
                <w:noProof/>
                <w:sz w:val="16"/>
                <w:szCs w:val="16"/>
              </w:rPr>
              <w:t>n+2</w:t>
            </w:r>
          </w:p>
        </w:tc>
        <w:tc>
          <w:tcPr>
            <w:tcW w:w="600" w:type="dxa"/>
            <w:shd w:val="clear" w:color="auto" w:fill="auto"/>
            <w:vAlign w:val="center"/>
          </w:tcPr>
          <w:p>
            <w:pPr>
              <w:spacing w:before="20" w:after="20"/>
              <w:jc w:val="center"/>
              <w:rPr>
                <w:rFonts w:eastAsia="Calibri"/>
                <w:noProof/>
                <w:sz w:val="16"/>
                <w:szCs w:val="16"/>
              </w:rPr>
            </w:pPr>
            <w:r>
              <w:rPr>
                <w:noProof/>
                <w:sz w:val="16"/>
                <w:szCs w:val="16"/>
              </w:rPr>
              <w:t xml:space="preserve">År </w:t>
            </w:r>
            <w:r>
              <w:rPr>
                <w:b/>
                <w:noProof/>
                <w:sz w:val="16"/>
                <w:szCs w:val="16"/>
              </w:rPr>
              <w:t>n+3</w:t>
            </w:r>
          </w:p>
        </w:tc>
        <w:tc>
          <w:tcPr>
            <w:tcW w:w="600" w:type="dxa"/>
            <w:gridSpan w:val="3"/>
            <w:shd w:val="clear" w:color="auto" w:fill="auto"/>
            <w:vAlign w:val="center"/>
          </w:tcPr>
          <w:p>
            <w:pPr>
              <w:jc w:val="center"/>
              <w:rPr>
                <w:rFonts w:eastAsia="Calibri"/>
                <w:b/>
                <w:noProof/>
                <w:sz w:val="16"/>
                <w:szCs w:val="16"/>
              </w:rPr>
            </w:pPr>
            <w:r>
              <w:rPr>
                <w:noProof/>
                <w:sz w:val="16"/>
              </w:rPr>
              <w:t>Der indsættes flere år, hvis virkningerne varer længere (jf. punkt 1.6)</w:t>
            </w:r>
          </w:p>
        </w:tc>
      </w:tr>
      <w:tr>
        <w:trPr>
          <w:gridBefore w:val="1"/>
          <w:wBefore w:w="13" w:type="dxa"/>
          <w:trHeight w:val="289"/>
          <w:jc w:val="center"/>
        </w:trPr>
        <w:tc>
          <w:tcPr>
            <w:tcW w:w="600" w:type="dxa"/>
            <w:gridSpan w:val="9"/>
            <w:shd w:val="clear" w:color="auto" w:fill="auto"/>
          </w:tcPr>
          <w:p>
            <w:pPr>
              <w:jc w:val="left"/>
              <w:rPr>
                <w:rFonts w:eastAsia="Calibri"/>
                <w:noProof/>
                <w:sz w:val="16"/>
                <w:szCs w:val="16"/>
              </w:rPr>
            </w:pPr>
            <w:r>
              <w:rPr>
                <w:b/>
                <w:noProof/>
                <w:sz w:val="16"/>
              </w:rPr>
              <w:sym w:font="Wingdings" w:char="F09F"/>
            </w:r>
            <w:r>
              <w:rPr>
                <w:noProof/>
              </w:rPr>
              <w:tab/>
            </w:r>
            <w:r>
              <w:rPr>
                <w:b/>
                <w:noProof/>
                <w:sz w:val="16"/>
              </w:rPr>
              <w:t xml:space="preserve"> Stillinger i stillingsfortegnelsen (tjenestemænd og midlertidigt ansatte)</w:t>
            </w:r>
          </w:p>
        </w:tc>
      </w:tr>
      <w:tr>
        <w:trPr>
          <w:gridBefore w:val="1"/>
          <w:wBefore w:w="13" w:type="dxa"/>
          <w:trHeight w:val="289"/>
          <w:jc w:val="center"/>
        </w:trPr>
        <w:tc>
          <w:tcPr>
            <w:tcW w:w="3906" w:type="dxa"/>
            <w:gridSpan w:val="2"/>
            <w:shd w:val="clear" w:color="auto" w:fill="auto"/>
            <w:vAlign w:val="center"/>
          </w:tcPr>
          <w:p>
            <w:pPr>
              <w:spacing w:beforeLines="20" w:before="48" w:afterLines="20" w:after="48"/>
              <w:ind w:left="134"/>
              <w:jc w:val="left"/>
              <w:rPr>
                <w:rFonts w:eastAsia="Calibri"/>
                <w:b/>
                <w:noProof/>
                <w:sz w:val="16"/>
                <w:szCs w:val="16"/>
              </w:rPr>
            </w:pPr>
            <w:r>
              <w:rPr>
                <w:noProof/>
                <w:sz w:val="16"/>
              </w:rPr>
              <w:t>XX 01 01 01 (i hovedsædet og i Kommissionens repræsentationskontorer)</w:t>
            </w: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r>
      <w:tr>
        <w:trPr>
          <w:gridBefore w:val="1"/>
          <w:wBefore w:w="13" w:type="dxa"/>
          <w:trHeight w:val="289"/>
          <w:jc w:val="center"/>
        </w:trPr>
        <w:tc>
          <w:tcPr>
            <w:tcW w:w="3906" w:type="dxa"/>
            <w:gridSpan w:val="2"/>
            <w:shd w:val="clear" w:color="auto" w:fill="auto"/>
            <w:vAlign w:val="center"/>
          </w:tcPr>
          <w:p>
            <w:pPr>
              <w:spacing w:beforeLines="20" w:before="48" w:afterLines="20" w:after="48"/>
              <w:ind w:left="134"/>
              <w:jc w:val="left"/>
              <w:rPr>
                <w:rFonts w:eastAsia="Calibri"/>
                <w:noProof/>
                <w:sz w:val="16"/>
                <w:szCs w:val="16"/>
              </w:rPr>
            </w:pPr>
            <w:r>
              <w:rPr>
                <w:noProof/>
                <w:sz w:val="16"/>
              </w:rPr>
              <w:t>XX 01 01 02 (i delegationer)</w:t>
            </w: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r>
      <w:tr>
        <w:trPr>
          <w:gridBefore w:val="1"/>
          <w:wBefore w:w="13" w:type="dxa"/>
          <w:trHeight w:val="289"/>
          <w:jc w:val="center"/>
        </w:trPr>
        <w:tc>
          <w:tcPr>
            <w:tcW w:w="3906" w:type="dxa"/>
            <w:gridSpan w:val="2"/>
            <w:shd w:val="clear" w:color="auto" w:fill="auto"/>
            <w:vAlign w:val="center"/>
          </w:tcPr>
          <w:p>
            <w:pPr>
              <w:spacing w:beforeLines="20" w:before="48" w:afterLines="20" w:after="48"/>
              <w:ind w:left="134"/>
              <w:jc w:val="left"/>
              <w:rPr>
                <w:rFonts w:eastAsia="Calibri"/>
                <w:noProof/>
                <w:sz w:val="16"/>
                <w:szCs w:val="16"/>
              </w:rPr>
            </w:pPr>
            <w:r>
              <w:rPr>
                <w:noProof/>
                <w:sz w:val="16"/>
              </w:rPr>
              <w:t>XX 01 05 01/11/21 (indirekte forskning)</w:t>
            </w: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r>
      <w:tr>
        <w:trPr>
          <w:gridBefore w:val="1"/>
          <w:wBefore w:w="13" w:type="dxa"/>
          <w:trHeight w:val="289"/>
          <w:jc w:val="center"/>
        </w:trPr>
        <w:tc>
          <w:tcPr>
            <w:tcW w:w="3906" w:type="dxa"/>
            <w:gridSpan w:val="2"/>
            <w:shd w:val="clear" w:color="auto" w:fill="auto"/>
            <w:vAlign w:val="center"/>
          </w:tcPr>
          <w:p>
            <w:pPr>
              <w:spacing w:beforeLines="20" w:before="48" w:afterLines="20" w:after="48"/>
              <w:ind w:left="134"/>
              <w:jc w:val="left"/>
              <w:rPr>
                <w:rFonts w:eastAsia="Calibri"/>
                <w:noProof/>
                <w:sz w:val="16"/>
                <w:szCs w:val="16"/>
              </w:rPr>
            </w:pPr>
            <w:r>
              <w:rPr>
                <w:noProof/>
                <w:sz w:val="16"/>
              </w:rPr>
              <w:t>10 01 05 01/11 (direkte forskning)</w:t>
            </w: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r>
      <w:tr>
        <w:trPr>
          <w:trHeight w:val="248"/>
          <w:jc w:val="center"/>
        </w:trPr>
        <w:tc>
          <w:tcPr>
            <w:tcW w:w="600" w:type="dxa"/>
            <w:gridSpan w:val="10"/>
            <w:shd w:val="clear" w:color="auto" w:fill="auto"/>
            <w:vAlign w:val="center"/>
          </w:tcPr>
          <w:p>
            <w:pPr>
              <w:spacing w:before="60" w:after="60"/>
              <w:jc w:val="left"/>
              <w:rPr>
                <w:rFonts w:eastAsia="Calibri"/>
                <w:b/>
                <w:noProof/>
                <w:sz w:val="16"/>
                <w:szCs w:val="16"/>
              </w:rPr>
            </w:pPr>
            <w:r>
              <w:rPr>
                <w:b/>
                <w:noProof/>
                <w:sz w:val="16"/>
              </w:rPr>
              <w:sym w:font="Wingdings" w:char="F09F"/>
            </w:r>
            <w:r>
              <w:rPr>
                <w:b/>
                <w:noProof/>
                <w:sz w:val="16"/>
              </w:rPr>
              <w:t xml:space="preserve"> Eksternt personale (i årsværk)</w:t>
            </w:r>
            <w:r>
              <w:rPr>
                <w:rStyle w:val="FootnoteReference"/>
                <w:b/>
                <w:noProof/>
                <w:sz w:val="16"/>
              </w:rPr>
              <w:footnoteReference w:id="14"/>
            </w:r>
            <w:r>
              <w:rPr>
                <w:noProof/>
              </w:rPr>
              <w:t xml:space="preserve"> </w:t>
            </w:r>
          </w:p>
          <w:p>
            <w:pPr>
              <w:spacing w:before="0" w:after="0"/>
              <w:jc w:val="left"/>
              <w:rPr>
                <w:rFonts w:eastAsia="Calibri"/>
                <w:noProof/>
                <w:sz w:val="16"/>
                <w:szCs w:val="16"/>
              </w:rPr>
            </w:pPr>
          </w:p>
        </w:tc>
      </w:tr>
      <w:tr>
        <w:trPr>
          <w:gridBefore w:val="1"/>
          <w:wBefore w:w="13" w:type="dxa"/>
          <w:trHeight w:val="289"/>
          <w:jc w:val="center"/>
        </w:trPr>
        <w:tc>
          <w:tcPr>
            <w:tcW w:w="3906" w:type="dxa"/>
            <w:gridSpan w:val="2"/>
            <w:shd w:val="clear" w:color="auto" w:fill="auto"/>
            <w:vAlign w:val="center"/>
          </w:tcPr>
          <w:p>
            <w:pPr>
              <w:spacing w:beforeLines="20" w:before="48" w:afterLines="20" w:after="48"/>
              <w:ind w:left="136"/>
              <w:jc w:val="left"/>
              <w:rPr>
                <w:rFonts w:eastAsia="Calibri"/>
                <w:b/>
                <w:noProof/>
                <w:sz w:val="16"/>
                <w:szCs w:val="16"/>
              </w:rPr>
            </w:pPr>
            <w:r>
              <w:rPr>
                <w:noProof/>
                <w:sz w:val="16"/>
              </w:rPr>
              <w:t>XX 01 02 01 (KA, UNE, V under den samlede bevillingsramme)</w:t>
            </w: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r>
      <w:tr>
        <w:trPr>
          <w:gridBefore w:val="1"/>
          <w:wBefore w:w="13" w:type="dxa"/>
          <w:trHeight w:val="289"/>
          <w:jc w:val="center"/>
        </w:trPr>
        <w:tc>
          <w:tcPr>
            <w:tcW w:w="3906" w:type="dxa"/>
            <w:gridSpan w:val="2"/>
            <w:shd w:val="clear" w:color="auto" w:fill="auto"/>
            <w:vAlign w:val="center"/>
          </w:tcPr>
          <w:p>
            <w:pPr>
              <w:spacing w:beforeLines="20" w:before="48" w:afterLines="20" w:after="48"/>
              <w:ind w:left="136"/>
              <w:jc w:val="left"/>
              <w:rPr>
                <w:rFonts w:eastAsia="Calibri"/>
                <w:noProof/>
                <w:sz w:val="16"/>
                <w:szCs w:val="16"/>
              </w:rPr>
            </w:pPr>
            <w:r>
              <w:rPr>
                <w:noProof/>
                <w:sz w:val="16"/>
              </w:rPr>
              <w:t>XX 01 02 02 (KA, LA, UNE, V og JED i delegationerne)</w:t>
            </w: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r>
      <w:tr>
        <w:trPr>
          <w:gridBefore w:val="1"/>
          <w:wBefore w:w="13" w:type="dxa"/>
          <w:trHeight w:val="289"/>
          <w:jc w:val="center"/>
        </w:trPr>
        <w:tc>
          <w:tcPr>
            <w:tcW w:w="1952" w:type="dxa"/>
            <w:vMerge w:val="restart"/>
            <w:shd w:val="clear" w:color="auto" w:fill="auto"/>
            <w:vAlign w:val="center"/>
          </w:tcPr>
          <w:p>
            <w:pPr>
              <w:spacing w:beforeLines="20" w:before="48" w:afterLines="20" w:after="48"/>
              <w:ind w:left="136"/>
              <w:jc w:val="left"/>
              <w:rPr>
                <w:rFonts w:eastAsia="Calibri"/>
                <w:b/>
                <w:noProof/>
                <w:sz w:val="16"/>
                <w:szCs w:val="16"/>
              </w:rPr>
            </w:pPr>
            <w:r>
              <w:rPr>
                <w:b/>
                <w:noProof/>
                <w:sz w:val="16"/>
                <w:szCs w:val="16"/>
              </w:rPr>
              <w:t>XX</w:t>
            </w:r>
            <w:r>
              <w:rPr>
                <w:noProof/>
                <w:sz w:val="16"/>
                <w:szCs w:val="16"/>
              </w:rPr>
              <w:t xml:space="preserve"> 01 04 </w:t>
            </w:r>
            <w:r>
              <w:rPr>
                <w:b/>
                <w:noProof/>
                <w:sz w:val="16"/>
                <w:szCs w:val="16"/>
              </w:rPr>
              <w:t>yy</w:t>
            </w:r>
            <w:r>
              <w:rPr>
                <w:b/>
                <w:i/>
                <w:noProof/>
                <w:sz w:val="16"/>
              </w:rPr>
              <w:t xml:space="preserve"> </w:t>
            </w:r>
            <w:r>
              <w:rPr>
                <w:rStyle w:val="FootnoteReference"/>
                <w:b/>
                <w:i/>
                <w:noProof/>
                <w:sz w:val="16"/>
              </w:rPr>
              <w:footnoteReference w:id="15"/>
            </w:r>
          </w:p>
          <w:p>
            <w:pPr>
              <w:spacing w:beforeLines="20" w:before="48" w:afterLines="20" w:after="48"/>
              <w:ind w:left="136"/>
              <w:jc w:val="left"/>
              <w:rPr>
                <w:rFonts w:eastAsia="Calibri"/>
                <w:b/>
                <w:noProof/>
                <w:sz w:val="16"/>
                <w:szCs w:val="16"/>
              </w:rPr>
            </w:pPr>
          </w:p>
        </w:tc>
        <w:tc>
          <w:tcPr>
            <w:tcW w:w="1954" w:type="dxa"/>
            <w:shd w:val="clear" w:color="auto" w:fill="auto"/>
            <w:vAlign w:val="center"/>
          </w:tcPr>
          <w:p>
            <w:pPr>
              <w:spacing w:beforeLines="20" w:before="48" w:afterLines="20" w:after="48"/>
              <w:ind w:left="136"/>
              <w:jc w:val="left"/>
              <w:rPr>
                <w:rFonts w:eastAsia="Calibri"/>
                <w:b/>
                <w:noProof/>
                <w:sz w:val="16"/>
                <w:szCs w:val="16"/>
              </w:rPr>
            </w:pPr>
            <w:r>
              <w:rPr>
                <w:noProof/>
                <w:sz w:val="16"/>
              </w:rPr>
              <w:t>- i hovedsædet</w:t>
            </w:r>
          </w:p>
          <w:p>
            <w:pPr>
              <w:spacing w:beforeLines="20" w:before="48" w:afterLines="20" w:after="48"/>
              <w:ind w:left="136"/>
              <w:jc w:val="left"/>
              <w:rPr>
                <w:rFonts w:eastAsia="Calibri"/>
                <w:b/>
                <w:noProof/>
                <w:sz w:val="16"/>
                <w:szCs w:val="16"/>
              </w:rPr>
            </w:pPr>
          </w:p>
        </w:tc>
        <w:tc>
          <w:tcPr>
            <w:tcW w:w="600" w:type="dxa"/>
            <w:shd w:val="clear" w:color="auto" w:fill="auto"/>
            <w:vAlign w:val="center"/>
          </w:tcPr>
          <w:p>
            <w:pPr>
              <w:spacing w:beforeLines="20" w:before="48" w:afterLines="20" w:after="48"/>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r>
      <w:tr>
        <w:trPr>
          <w:gridBefore w:val="1"/>
          <w:wBefore w:w="13" w:type="dxa"/>
          <w:trHeight w:val="289"/>
          <w:jc w:val="center"/>
        </w:trPr>
        <w:tc>
          <w:tcPr>
            <w:tcW w:w="1952" w:type="dxa"/>
            <w:vMerge/>
            <w:shd w:val="clear" w:color="auto" w:fill="auto"/>
            <w:vAlign w:val="center"/>
          </w:tcPr>
          <w:p>
            <w:pPr>
              <w:spacing w:beforeLines="20" w:before="48" w:afterLines="20" w:after="48"/>
              <w:ind w:left="136"/>
              <w:jc w:val="left"/>
              <w:rPr>
                <w:rFonts w:eastAsia="Calibri"/>
                <w:b/>
                <w:noProof/>
                <w:sz w:val="16"/>
                <w:szCs w:val="16"/>
              </w:rPr>
            </w:pPr>
          </w:p>
        </w:tc>
        <w:tc>
          <w:tcPr>
            <w:tcW w:w="1954" w:type="dxa"/>
            <w:shd w:val="clear" w:color="auto" w:fill="auto"/>
            <w:vAlign w:val="center"/>
          </w:tcPr>
          <w:p>
            <w:pPr>
              <w:spacing w:beforeLines="20" w:before="48" w:afterLines="20" w:after="48"/>
              <w:ind w:left="136"/>
              <w:jc w:val="left"/>
              <w:rPr>
                <w:rFonts w:eastAsia="Calibri"/>
                <w:b/>
                <w:noProof/>
                <w:sz w:val="16"/>
                <w:szCs w:val="16"/>
              </w:rPr>
            </w:pPr>
            <w:r>
              <w:rPr>
                <w:noProof/>
                <w:sz w:val="16"/>
              </w:rPr>
              <w:t xml:space="preserve">- i delegationer </w:t>
            </w:r>
          </w:p>
        </w:tc>
        <w:tc>
          <w:tcPr>
            <w:tcW w:w="600" w:type="dxa"/>
            <w:shd w:val="clear" w:color="auto" w:fill="auto"/>
            <w:vAlign w:val="center"/>
          </w:tcPr>
          <w:p>
            <w:pPr>
              <w:spacing w:beforeLines="20" w:before="48" w:afterLines="20" w:after="48"/>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r>
      <w:tr>
        <w:trPr>
          <w:gridBefore w:val="1"/>
          <w:wBefore w:w="13" w:type="dxa"/>
          <w:trHeight w:val="289"/>
          <w:jc w:val="center"/>
        </w:trPr>
        <w:tc>
          <w:tcPr>
            <w:tcW w:w="3906" w:type="dxa"/>
            <w:gridSpan w:val="2"/>
            <w:shd w:val="clear" w:color="auto" w:fill="auto"/>
            <w:vAlign w:val="center"/>
          </w:tcPr>
          <w:p>
            <w:pPr>
              <w:spacing w:beforeLines="20" w:before="48" w:afterLines="20" w:after="48"/>
              <w:ind w:left="136"/>
              <w:jc w:val="left"/>
              <w:rPr>
                <w:rFonts w:eastAsia="Calibri"/>
                <w:noProof/>
                <w:sz w:val="16"/>
                <w:szCs w:val="16"/>
              </w:rPr>
            </w:pPr>
            <w:r>
              <w:rPr>
                <w:b/>
                <w:noProof/>
                <w:sz w:val="16"/>
                <w:szCs w:val="16"/>
              </w:rPr>
              <w:t>XX</w:t>
            </w:r>
            <w:r>
              <w:rPr>
                <w:noProof/>
                <w:sz w:val="16"/>
                <w:szCs w:val="16"/>
              </w:rPr>
              <w:t xml:space="preserve"> 01 05 02/12/22 (KA, UNE, V – indirekte forskning)</w:t>
            </w: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r>
      <w:tr>
        <w:trPr>
          <w:gridBefore w:val="1"/>
          <w:wBefore w:w="13" w:type="dxa"/>
          <w:trHeight w:val="289"/>
          <w:jc w:val="center"/>
        </w:trPr>
        <w:tc>
          <w:tcPr>
            <w:tcW w:w="3906" w:type="dxa"/>
            <w:gridSpan w:val="2"/>
            <w:shd w:val="clear" w:color="auto" w:fill="auto"/>
            <w:vAlign w:val="center"/>
          </w:tcPr>
          <w:p>
            <w:pPr>
              <w:spacing w:beforeLines="20" w:before="48" w:afterLines="20" w:after="48"/>
              <w:ind w:left="136"/>
              <w:jc w:val="left"/>
              <w:rPr>
                <w:rFonts w:eastAsia="Calibri"/>
                <w:noProof/>
                <w:sz w:val="16"/>
                <w:szCs w:val="16"/>
              </w:rPr>
            </w:pPr>
            <w:r>
              <w:rPr>
                <w:noProof/>
                <w:sz w:val="16"/>
              </w:rPr>
              <w:t>10 01 05 02/12 (KA, UNE, V – direkte forskning)</w:t>
            </w: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c>
          <w:tcPr>
            <w:tcW w:w="600" w:type="dxa"/>
            <w:shd w:val="clear" w:color="auto" w:fill="auto"/>
            <w:vAlign w:val="center"/>
          </w:tcPr>
          <w:p>
            <w:pPr>
              <w:spacing w:beforeLines="20" w:before="48" w:afterLines="20" w:after="48"/>
              <w:jc w:val="center"/>
              <w:rPr>
                <w:rFonts w:eastAsia="Calibri"/>
                <w:noProof/>
                <w:sz w:val="16"/>
                <w:szCs w:val="16"/>
              </w:rPr>
            </w:pPr>
          </w:p>
        </w:tc>
      </w:tr>
      <w:tr>
        <w:trPr>
          <w:gridBefore w:val="1"/>
          <w:wBefore w:w="13" w:type="dxa"/>
          <w:trHeight w:val="289"/>
          <w:jc w:val="center"/>
        </w:trPr>
        <w:tc>
          <w:tcPr>
            <w:tcW w:w="3906" w:type="dxa"/>
            <w:gridSpan w:val="2"/>
            <w:tcBorders>
              <w:bottom w:val="double" w:sz="4" w:space="0" w:color="auto"/>
            </w:tcBorders>
            <w:shd w:val="clear" w:color="auto" w:fill="auto"/>
            <w:vAlign w:val="center"/>
          </w:tcPr>
          <w:p>
            <w:pPr>
              <w:spacing w:beforeLines="20" w:before="48" w:afterLines="20" w:after="48"/>
              <w:ind w:left="134"/>
              <w:jc w:val="left"/>
              <w:rPr>
                <w:rFonts w:eastAsia="Calibri"/>
                <w:noProof/>
                <w:sz w:val="16"/>
                <w:szCs w:val="16"/>
              </w:rPr>
            </w:pPr>
            <w:r>
              <w:rPr>
                <w:noProof/>
                <w:sz w:val="16"/>
              </w:rPr>
              <w:t>Andre budgetposter (skal angives)</w:t>
            </w:r>
          </w:p>
        </w:tc>
        <w:tc>
          <w:tcPr>
            <w:tcW w:w="600" w:type="dxa"/>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c>
          <w:tcPr>
            <w:tcW w:w="600" w:type="dxa"/>
            <w:tcBorders>
              <w:bottom w:val="double" w:sz="4" w:space="0" w:color="auto"/>
            </w:tcBorders>
            <w:shd w:val="clear" w:color="auto" w:fill="auto"/>
            <w:vAlign w:val="center"/>
          </w:tcPr>
          <w:p>
            <w:pPr>
              <w:spacing w:beforeLines="20" w:before="48" w:afterLines="20" w:after="48"/>
              <w:jc w:val="center"/>
              <w:rPr>
                <w:rFonts w:eastAsia="Calibri"/>
                <w:noProof/>
                <w:sz w:val="16"/>
                <w:szCs w:val="16"/>
              </w:rPr>
            </w:pPr>
          </w:p>
        </w:tc>
      </w:tr>
      <w:tr>
        <w:trPr>
          <w:gridBefore w:val="1"/>
          <w:wBefore w:w="13" w:type="dxa"/>
          <w:trHeight w:val="289"/>
          <w:jc w:val="center"/>
        </w:trPr>
        <w:tc>
          <w:tcPr>
            <w:tcW w:w="3906" w:type="dxa"/>
            <w:gridSpan w:val="2"/>
            <w:tcBorders>
              <w:top w:val="double" w:sz="4" w:space="0" w:color="auto"/>
            </w:tcBorders>
            <w:shd w:val="clear" w:color="auto" w:fill="auto"/>
            <w:vAlign w:val="center"/>
          </w:tcPr>
          <w:p>
            <w:pPr>
              <w:spacing w:beforeLines="20" w:before="48" w:afterLines="20" w:after="48"/>
              <w:ind w:left="136"/>
              <w:jc w:val="left"/>
              <w:rPr>
                <w:rFonts w:eastAsia="Calibri"/>
                <w:noProof/>
                <w:sz w:val="16"/>
                <w:szCs w:val="16"/>
              </w:rPr>
            </w:pPr>
            <w:r>
              <w:rPr>
                <w:b/>
                <w:noProof/>
                <w:sz w:val="16"/>
              </w:rPr>
              <w:t>I ALT</w:t>
            </w:r>
          </w:p>
        </w:tc>
        <w:tc>
          <w:tcPr>
            <w:tcW w:w="600" w:type="dxa"/>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p>
        </w:tc>
        <w:tc>
          <w:tcPr>
            <w:tcW w:w="600" w:type="dxa"/>
            <w:tcBorders>
              <w:top w:val="double" w:sz="4" w:space="0" w:color="auto"/>
            </w:tcBorders>
            <w:shd w:val="clear" w:color="auto" w:fill="auto"/>
            <w:vAlign w:val="center"/>
          </w:tcPr>
          <w:p>
            <w:pPr>
              <w:spacing w:beforeLines="20" w:before="48" w:afterLines="20" w:after="48"/>
              <w:jc w:val="center"/>
              <w:rPr>
                <w:rFonts w:eastAsia="Calibri"/>
                <w:b/>
                <w:noProof/>
                <w:sz w:val="16"/>
                <w:szCs w:val="16"/>
              </w:rPr>
            </w:pPr>
          </w:p>
        </w:tc>
      </w:tr>
    </w:tbl>
    <w:p>
      <w:pPr>
        <w:spacing w:before="60" w:after="60"/>
        <w:ind w:left="851"/>
        <w:rPr>
          <w:rFonts w:eastAsia="Calibri"/>
          <w:noProof/>
          <w:sz w:val="18"/>
          <w:szCs w:val="18"/>
        </w:rPr>
      </w:pPr>
      <w:r>
        <w:rPr>
          <w:b/>
          <w:noProof/>
          <w:sz w:val="18"/>
          <w:szCs w:val="18"/>
        </w:rPr>
        <w:t>XX</w:t>
      </w:r>
      <w:r>
        <w:rPr>
          <w:noProof/>
          <w:sz w:val="18"/>
          <w:szCs w:val="18"/>
        </w:rPr>
        <w:t xml:space="preserve"> angiver det berørte politikområde eller budgetafsnit.</w:t>
      </w:r>
    </w:p>
    <w:p>
      <w:pPr>
        <w:shd w:val="clear" w:color="auto" w:fill="FFFF00"/>
        <w:ind w:left="850"/>
        <w:rPr>
          <w:rFonts w:eastAsia="Calibri"/>
          <w:noProof/>
          <w:sz w:val="18"/>
          <w:szCs w:val="18"/>
        </w:rPr>
      </w:pPr>
      <w:r>
        <w:rPr>
          <w:noProof/>
          <w:sz w:val="18"/>
        </w:rPr>
        <w:t>Personalebehovet vil blive dækket ved hjælp af det personale, som generaldirektoratet allerede har afsat til aktionen, og/eller interne rokader i generaldirektoratet, eventuelt suppleret med yderligere bevillinger, som tildeles det ansvarlige generaldirektorat i forbindelse med den årlige tildelingsprocedure under hensyntagen til de budgetmæssige begrænsninger.</w:t>
      </w:r>
    </w:p>
    <w:p>
      <w:pPr>
        <w:rPr>
          <w:rFonts w:eastAsia="Calibri"/>
          <w:noProof/>
          <w:sz w:val="20"/>
        </w:rPr>
      </w:pPr>
      <w:r>
        <w:rPr>
          <w:noProof/>
          <w:sz w:val="20"/>
        </w:rPr>
        <w:t>Opgavebeskrivelse:</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rFonts w:eastAsia="Calibri"/>
                <w:noProof/>
                <w:sz w:val="20"/>
              </w:rPr>
            </w:pPr>
            <w:r>
              <w:rPr>
                <w:noProof/>
                <w:sz w:val="20"/>
              </w:rPr>
              <w:t>Tjenestemænd og midlertidigt ansatte</w:t>
            </w:r>
          </w:p>
        </w:tc>
        <w:tc>
          <w:tcPr>
            <w:tcW w:w="7200" w:type="dxa"/>
          </w:tcPr>
          <w:p>
            <w:pPr>
              <w:rPr>
                <w:rFonts w:eastAsia="Calibri"/>
                <w:noProof/>
                <w:sz w:val="20"/>
              </w:rPr>
            </w:pPr>
          </w:p>
        </w:tc>
      </w:tr>
      <w:tr>
        <w:tc>
          <w:tcPr>
            <w:tcW w:w="3240" w:type="dxa"/>
          </w:tcPr>
          <w:p>
            <w:pPr>
              <w:spacing w:before="60" w:after="60"/>
              <w:rPr>
                <w:rFonts w:eastAsia="Calibri"/>
                <w:noProof/>
                <w:sz w:val="20"/>
              </w:rPr>
            </w:pPr>
            <w:r>
              <w:rPr>
                <w:noProof/>
                <w:sz w:val="20"/>
              </w:rPr>
              <w:t>Eksternt personale</w:t>
            </w:r>
          </w:p>
        </w:tc>
        <w:tc>
          <w:tcPr>
            <w:tcW w:w="7200" w:type="dxa"/>
          </w:tcPr>
          <w:p>
            <w:pPr>
              <w:rPr>
                <w:rFonts w:eastAsia="Calibri"/>
                <w:noProof/>
                <w:sz w:val="20"/>
              </w:rPr>
            </w:pPr>
          </w:p>
        </w:tc>
      </w:tr>
    </w:tbl>
    <w:p>
      <w:pPr>
        <w:rPr>
          <w:rFonts w:eastAsia="Calibri"/>
          <w:noProof/>
        </w:rPr>
        <w:sectPr>
          <w:pgSz w:w="11907" w:h="16840"/>
          <w:pgMar w:top="1134" w:right="1418" w:bottom="1134" w:left="1418" w:header="709" w:footer="709" w:gutter="0"/>
          <w:cols w:space="708"/>
          <w:docGrid w:linePitch="360"/>
        </w:sectPr>
      </w:pPr>
    </w:p>
    <w:p>
      <w:pPr>
        <w:keepNext/>
        <w:tabs>
          <w:tab w:val="left" w:pos="850"/>
        </w:tabs>
        <w:ind w:left="850" w:hanging="850"/>
        <w:outlineLvl w:val="2"/>
        <w:rPr>
          <w:rFonts w:eastAsia="Calibri"/>
          <w:i/>
          <w:noProof/>
        </w:rPr>
      </w:pPr>
      <w:r>
        <w:rPr>
          <w:i/>
          <w:noProof/>
        </w:rPr>
        <w:t>3.2.4.</w:t>
      </w:r>
      <w:r>
        <w:rPr>
          <w:i/>
          <w:noProof/>
        </w:rPr>
        <w:tab/>
        <w:t xml:space="preserve">Forenelighed med indeværende flerårige finansielle ramme </w:t>
      </w:r>
    </w:p>
    <w:p>
      <w:pPr>
        <w:ind w:left="850"/>
        <w:rPr>
          <w:rFonts w:eastAsia="Calibri"/>
          <w:noProof/>
        </w:rPr>
      </w:pPr>
      <w:r>
        <w:rPr>
          <w:noProof/>
        </w:rPr>
        <w:t>Forslaget/initiativet:</w:t>
      </w:r>
    </w:p>
    <w:p>
      <w:pPr>
        <w:pStyle w:val="Text1"/>
        <w:rPr>
          <w:noProof/>
        </w:rPr>
      </w:pPr>
      <w:r>
        <w:rPr>
          <w:noProof/>
        </w:rPr>
        <w:sym w:font="Wingdings" w:char="F078"/>
      </w:r>
      <w:r>
        <w:rPr>
          <w:noProof/>
        </w:rPr>
        <w:tab/>
        <w:t>kan finansieres fuldt ud inden for det relevante udgiftsområde i den flerårige finansielle ramme (FFR).</w:t>
      </w:r>
    </w:p>
    <w:p>
      <w:pPr>
        <w:pStyle w:val="Text1"/>
        <w:rPr>
          <w:noProof/>
        </w:rPr>
      </w:pPr>
      <w:r>
        <w:rPr>
          <w:noProof/>
        </w:rPr>
        <w:sym w:font="Wingdings" w:char="F020"/>
      </w:r>
      <w:r>
        <w:rPr>
          <w:noProof/>
        </w:rPr>
        <w:tab/>
        <w:t>kræver anvendelse af den uudnyttede margen under det relevante udgiftsområde i FFR og/eller anvendelse af særlige instrumenter som fastlagt i FFR-forordningen.</w:t>
      </w:r>
    </w:p>
    <w:p>
      <w:pPr>
        <w:pBdr>
          <w:top w:val="single" w:sz="4" w:space="1" w:color="auto"/>
          <w:left w:val="single" w:sz="4" w:space="4" w:color="auto"/>
          <w:bottom w:val="single" w:sz="4" w:space="1" w:color="auto"/>
          <w:right w:val="single" w:sz="4" w:space="4" w:color="auto"/>
        </w:pBdr>
        <w:ind w:left="850"/>
        <w:rPr>
          <w:rFonts w:eastAsia="Calibri"/>
          <w:noProof/>
          <w:sz w:val="20"/>
        </w:rPr>
      </w:pPr>
      <w:r>
        <w:rPr>
          <w:noProof/>
          <w:sz w:val="20"/>
        </w:rPr>
        <w:t>Der redegøres for behovet med angivelse af de berørte udgiftsområder og budgetposter, de tilsvarende beløb og de instrumenter, der foreslås anvendt.</w:t>
      </w:r>
    </w:p>
    <w:p>
      <w:pPr>
        <w:pBdr>
          <w:top w:val="single" w:sz="4" w:space="1" w:color="auto"/>
          <w:left w:val="single" w:sz="4" w:space="4" w:color="auto"/>
          <w:bottom w:val="single" w:sz="4" w:space="1" w:color="auto"/>
          <w:right w:val="single" w:sz="4" w:space="4" w:color="auto"/>
        </w:pBdr>
        <w:ind w:left="850"/>
        <w:rPr>
          <w:rFonts w:eastAsia="Calibri"/>
          <w:noProof/>
          <w:sz w:val="20"/>
        </w:rPr>
      </w:pPr>
    </w:p>
    <w:p>
      <w:pPr>
        <w:pStyle w:val="Text1"/>
        <w:rPr>
          <w:noProof/>
        </w:rPr>
      </w:pPr>
      <w:r>
        <w:rPr>
          <w:noProof/>
        </w:rPr>
        <w:sym w:font="Wingdings" w:char="F0A8"/>
      </w:r>
      <w:r>
        <w:rPr>
          <w:noProof/>
        </w:rPr>
        <w:tab/>
        <w:t>kræver, at der foretages en revision af den flerårige finansielle ramme.</w:t>
      </w:r>
    </w:p>
    <w:p>
      <w:pPr>
        <w:pBdr>
          <w:top w:val="single" w:sz="4" w:space="1" w:color="auto"/>
          <w:left w:val="single" w:sz="4" w:space="4" w:color="auto"/>
          <w:bottom w:val="single" w:sz="4" w:space="3" w:color="auto"/>
          <w:right w:val="single" w:sz="4" w:space="4" w:color="auto"/>
        </w:pBdr>
        <w:ind w:left="850"/>
        <w:rPr>
          <w:rFonts w:eastAsia="Calibri"/>
          <w:noProof/>
          <w:sz w:val="20"/>
        </w:rPr>
      </w:pPr>
      <w:r>
        <w:rPr>
          <w:noProof/>
          <w:sz w:val="20"/>
        </w:rPr>
        <w:t>Der redegøres for behovet med angivelse af de berørte udgiftsområder og budgetposter og beløbenes størrelse.</w:t>
      </w:r>
    </w:p>
    <w:p>
      <w:pPr>
        <w:keepNext/>
        <w:tabs>
          <w:tab w:val="left" w:pos="850"/>
        </w:tabs>
        <w:ind w:left="850" w:hanging="850"/>
        <w:outlineLvl w:val="2"/>
        <w:rPr>
          <w:rFonts w:eastAsia="Calibri"/>
          <w:bCs/>
          <w:i/>
          <w:noProof/>
          <w:szCs w:val="24"/>
        </w:rPr>
      </w:pPr>
      <w:r>
        <w:rPr>
          <w:i/>
          <w:noProof/>
        </w:rPr>
        <w:t>3.2.5.</w:t>
      </w:r>
      <w:r>
        <w:rPr>
          <w:i/>
          <w:noProof/>
        </w:rPr>
        <w:tab/>
        <w:t xml:space="preserve">Tredjemands bidrag til finansieringen </w:t>
      </w:r>
    </w:p>
    <w:p>
      <w:pPr>
        <w:ind w:left="850"/>
        <w:rPr>
          <w:rFonts w:eastAsia="Calibri"/>
          <w:noProof/>
        </w:rPr>
      </w:pPr>
      <w:r>
        <w:rPr>
          <w:noProof/>
        </w:rPr>
        <w:t>Forslaget/initiativet:</w:t>
      </w:r>
    </w:p>
    <w:p>
      <w:pPr>
        <w:pStyle w:val="Text1"/>
        <w:rPr>
          <w:noProof/>
        </w:rPr>
      </w:pPr>
      <w:r>
        <w:rPr>
          <w:b/>
          <w:noProof/>
        </w:rPr>
        <w:t xml:space="preserve">X </w:t>
      </w:r>
      <w:r>
        <w:rPr>
          <w:noProof/>
        </w:rPr>
        <w:t>indeholder ikke bestemmelser om samfinansiering med tredjemand</w:t>
      </w:r>
    </w:p>
    <w:p>
      <w:pPr>
        <w:pStyle w:val="Text1"/>
        <w:rPr>
          <w:noProof/>
        </w:rPr>
      </w:pPr>
      <w:r>
        <w:rPr>
          <w:noProof/>
        </w:rPr>
        <w:sym w:font="Wingdings" w:char="F0A8"/>
      </w:r>
      <w:r>
        <w:rPr>
          <w:noProof/>
        </w:rPr>
        <w:tab/>
        <w:t>indeholder bestemmelser om samfinansiering med tredjemand, jf. følgende overslag:</w:t>
      </w:r>
    </w:p>
    <w:p>
      <w:pPr>
        <w:jc w:val="right"/>
        <w:rPr>
          <w:rFonts w:eastAsia="Calibri"/>
          <w:noProof/>
          <w:sz w:val="20"/>
        </w:rPr>
      </w:pPr>
      <w:r>
        <w:rPr>
          <w:noProof/>
          <w:sz w:val="20"/>
        </w:rPr>
        <w:t xml:space="preserve">Bevillinger i EUR </w:t>
      </w:r>
    </w:p>
    <w:p>
      <w:pPr>
        <w:jc w:val="right"/>
        <w:rPr>
          <w:rFonts w:eastAsia="Calibri"/>
          <w:noProof/>
          <w:sz w:val="20"/>
        </w:rPr>
      </w:pPr>
    </w:p>
    <w:p>
      <w:pPr>
        <w:rPr>
          <w:rFonts w:eastAsia="Calibri"/>
          <w:noProof/>
        </w:rPr>
      </w:pPr>
      <w:r>
        <w:rPr>
          <w:noProof/>
        </w:rPr>
        <w:br/>
      </w:r>
    </w:p>
    <w:p>
      <w:pPr>
        <w:keepNext/>
        <w:tabs>
          <w:tab w:val="left" w:pos="850"/>
        </w:tabs>
        <w:ind w:left="850" w:hanging="850"/>
        <w:outlineLvl w:val="1"/>
        <w:rPr>
          <w:rFonts w:eastAsia="Calibri"/>
          <w:b/>
          <w:bCs/>
          <w:noProof/>
          <w:szCs w:val="24"/>
        </w:rPr>
      </w:pPr>
      <w:r>
        <w:rPr>
          <w:noProof/>
        </w:rPr>
        <w:br w:type="page"/>
      </w:r>
      <w:r>
        <w:rPr>
          <w:b/>
          <w:noProof/>
        </w:rPr>
        <w:t>3.3.</w:t>
      </w:r>
      <w:r>
        <w:rPr>
          <w:b/>
          <w:noProof/>
        </w:rPr>
        <w:tab/>
        <w:t xml:space="preserve">Anslåede virkninger for indtægterne </w:t>
      </w:r>
    </w:p>
    <w:p>
      <w:pPr>
        <w:pStyle w:val="Text1"/>
        <w:rPr>
          <w:noProof/>
        </w:rPr>
      </w:pPr>
      <w:r>
        <w:rPr>
          <w:b/>
          <w:noProof/>
        </w:rPr>
        <w:t>X</w:t>
      </w:r>
      <w:r>
        <w:rPr>
          <w:noProof/>
        </w:rPr>
        <w:tab/>
        <w:t xml:space="preserve">Forslaget har ingen finansielle virkninger for indtægterne. </w:t>
      </w:r>
    </w:p>
    <w:p>
      <w:pPr>
        <w:pStyle w:val="Text1"/>
        <w:rPr>
          <w:noProof/>
        </w:rPr>
      </w:pPr>
      <w:r>
        <w:rPr>
          <w:noProof/>
        </w:rPr>
        <w:tab/>
        <w:t>Forslaget/initiativet har følgende finansielle virkninger:</w:t>
      </w:r>
    </w:p>
    <w:p>
      <w:pPr>
        <w:ind w:left="1984"/>
        <w:rPr>
          <w:rFonts w:eastAsia="Calibri"/>
          <w:noProof/>
        </w:rPr>
      </w:pPr>
      <w:r>
        <w:rPr>
          <w:noProof/>
        </w:rPr>
        <w:sym w:font="Wingdings" w:char="F0A8"/>
      </w:r>
      <w:r>
        <w:rPr>
          <w:noProof/>
        </w:rPr>
        <w:tab/>
        <w:t xml:space="preserve">for egne indtægter </w:t>
      </w:r>
    </w:p>
    <w:p>
      <w:pPr>
        <w:tabs>
          <w:tab w:val="num" w:pos="1984"/>
        </w:tabs>
        <w:ind w:left="1984" w:hanging="567"/>
        <w:rPr>
          <w:rFonts w:eastAsia="Calibri"/>
          <w:noProof/>
        </w:rPr>
      </w:pPr>
      <w:r>
        <w:rPr>
          <w:noProof/>
        </w:rPr>
        <w:sym w:font="Wingdings" w:char="F0A8"/>
      </w:r>
      <w:r>
        <w:rPr>
          <w:noProof/>
        </w:rPr>
        <w:tab/>
        <w:t>for diverse indtægter</w:t>
      </w:r>
    </w:p>
    <w:p>
      <w:pPr>
        <w:tabs>
          <w:tab w:val="num" w:pos="1984"/>
        </w:tabs>
        <w:ind w:left="1984" w:hanging="567"/>
        <w:rPr>
          <w:rFonts w:eastAsia="Calibri"/>
          <w:noProof/>
        </w:rPr>
      </w:pPr>
      <w:r>
        <w:rPr>
          <w:noProof/>
        </w:rPr>
        <w:t>Angiv, om indtægterne er formålsbestemte X</w:t>
      </w:r>
      <w:r>
        <w:rPr>
          <w:noProof/>
        </w:rPr>
        <w:tab/>
      </w:r>
    </w:p>
    <w:p>
      <w:pPr>
        <w:ind w:left="4320"/>
        <w:rPr>
          <w:rFonts w:eastAsia="Calibri"/>
          <w:i/>
          <w:noProof/>
          <w:sz w:val="20"/>
        </w:rPr>
      </w:pPr>
      <w:r>
        <w:rPr>
          <w:noProof/>
        </w:rPr>
        <w:t xml:space="preserve">     EUR </w:t>
      </w:r>
    </w:p>
    <w:p>
      <w:pPr>
        <w:ind w:left="850"/>
        <w:rPr>
          <w:rFonts w:eastAsia="Calibri"/>
          <w:noProof/>
          <w:sz w:val="20"/>
        </w:rPr>
      </w:pPr>
      <w:r>
        <w:rPr>
          <w:noProof/>
        </w:rPr>
        <w:br w:type="textWrapping" w:clear="all"/>
      </w:r>
    </w:p>
    <w:p>
      <w:pPr>
        <w:ind w:left="850"/>
        <w:rPr>
          <w:rFonts w:eastAsia="Calibri"/>
          <w:noProof/>
          <w:sz w:val="20"/>
        </w:rPr>
      </w:pPr>
      <w:r>
        <w:rPr>
          <w:noProof/>
          <w:sz w:val="20"/>
        </w:rPr>
        <w:t>For indtægter, der er formålsbestemte, angives det, hvilke af budgettets udgiftsposter der påvirkes.</w:t>
      </w:r>
    </w:p>
    <w:p>
      <w:pPr>
        <w:pBdr>
          <w:top w:val="single" w:sz="4" w:space="1" w:color="auto"/>
          <w:left w:val="single" w:sz="4" w:space="4" w:color="auto"/>
          <w:bottom w:val="single" w:sz="4" w:space="1" w:color="auto"/>
          <w:right w:val="single" w:sz="4" w:space="4" w:color="auto"/>
        </w:pBdr>
        <w:ind w:left="850"/>
        <w:rPr>
          <w:rFonts w:eastAsia="Calibri"/>
          <w:noProof/>
        </w:rPr>
      </w:pPr>
      <w:r>
        <w:rPr>
          <w:noProof/>
        </w:rPr>
        <w:t>Ikke relevant.</w:t>
      </w:r>
    </w:p>
    <w:p>
      <w:pPr>
        <w:rPr>
          <w:i/>
          <w:noProof/>
        </w:rPr>
      </w:pPr>
      <w:r>
        <w:rPr>
          <w:i/>
          <w:noProof/>
        </w:rPr>
        <w:t>Andre bemærkninger (f.eks. om hvilken metode/formel der er benyttet til at beregne virkningerne for indtægterne).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DA</w:t>
    </w:r>
    <w:r>
      <w:rPr>
        <w:rFonts w:ascii="Arial" w:hAnsi="Arial" w:cs="Arial"/>
        <w:b/>
        <w:sz w:val="48"/>
      </w:rPr>
      <w:tab/>
    </w:r>
    <w:r>
      <w:rPr>
        <w:rFonts w:ascii="Arial" w:hAnsi="Arial" w:cs="Arial"/>
        <w:b/>
        <w:sz w:val="48"/>
      </w:rPr>
      <w:tab/>
    </w:r>
    <w:r>
      <w:tab/>
    </w:r>
    <w:r>
      <w:rPr>
        <w:rFonts w:ascii="Arial" w:hAnsi="Arial" w:cs="Arial"/>
        <w:b/>
        <w:sz w:val="48"/>
      </w:rPr>
      <w:t>DA</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DA</w:t>
    </w:r>
    <w:r>
      <w:rPr>
        <w:rFonts w:ascii="Arial" w:hAnsi="Arial" w:cs="Arial"/>
        <w:b/>
        <w:sz w:val="48"/>
      </w:rPr>
      <w:tab/>
    </w:r>
    <w:r>
      <w:fldChar w:fldCharType="begin"/>
    </w:r>
    <w:r>
      <w:instrText xml:space="preserve"> PAGE  \* MERGEFORMAT </w:instrText>
    </w:r>
    <w:r>
      <w:fldChar w:fldCharType="separate"/>
    </w:r>
    <w:r>
      <w:rPr>
        <w:noProof/>
      </w:rPr>
      <w:t>9</w:t>
    </w:r>
    <w:r>
      <w:fldChar w:fldCharType="end"/>
    </w:r>
    <w:r>
      <w:tab/>
    </w:r>
    <w:r>
      <w:tab/>
    </w:r>
    <w:r>
      <w:rPr>
        <w:rFonts w:ascii="Arial" w:hAnsi="Arial" w:cs="Arial"/>
        <w:b/>
        <w:sz w:val="48"/>
      </w:rPr>
      <w:t>DA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rPr>
        <w:rFonts w:ascii="Arial" w:hAnsi="Arial" w:cs="Arial"/>
        <w:b/>
        <w:sz w:val="48"/>
      </w:rPr>
    </w:pPr>
    <w:r>
      <w:rPr>
        <w:rFonts w:ascii="Arial" w:hAnsi="Arial" w:cs="Arial"/>
        <w:b/>
        <w:sz w:val="48"/>
      </w:rPr>
      <w:t>DA</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DA</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DA</w:t>
    </w:r>
    <w:r>
      <w:rPr>
        <w:rFonts w:ascii="Arial" w:hAnsi="Arial" w:cs="Arial"/>
        <w:b/>
        <w:sz w:val="48"/>
      </w:rPr>
      <w:tab/>
    </w:r>
    <w:r>
      <w:fldChar w:fldCharType="begin"/>
    </w:r>
    <w:r>
      <w:instrText xml:space="preserve"> PAGE  \* MERGEFORMAT </w:instrText>
    </w:r>
    <w:r>
      <w:fldChar w:fldCharType="separate"/>
    </w:r>
    <w:r>
      <w:rPr>
        <w:noProof/>
      </w:rPr>
      <w:t>20</w:t>
    </w:r>
    <w:r>
      <w:fldChar w:fldCharType="end"/>
    </w:r>
    <w:r>
      <w:tab/>
    </w:r>
    <w:r>
      <w:tab/>
    </w:r>
    <w:r>
      <w:rPr>
        <w:rFonts w:ascii="Arial" w:hAnsi="Arial" w:cs="Arial"/>
        <w:b/>
        <w:sz w:val="48"/>
      </w:rPr>
      <w:t>DA</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EUT C  af , s. .</w:t>
      </w:r>
    </w:p>
  </w:footnote>
  <w:footnote w:id="2">
    <w:p>
      <w:pPr>
        <w:pStyle w:val="FootnoteText"/>
      </w:pPr>
      <w:r>
        <w:rPr>
          <w:rStyle w:val="FootnoteReference"/>
        </w:rPr>
        <w:footnoteRef/>
      </w:r>
      <w:r>
        <w:tab/>
        <w:t>EUT C  af , s. .</w:t>
      </w:r>
    </w:p>
  </w:footnote>
  <w:footnote w:id="3">
    <w:p>
      <w:pPr>
        <w:pStyle w:val="FootnoteText"/>
      </w:pPr>
      <w:r>
        <w:rPr>
          <w:rStyle w:val="FootnoteReference"/>
        </w:rPr>
        <w:footnoteRef/>
      </w:r>
      <w:r>
        <w:tab/>
        <w:t>EFT L 311 af 14.11.2002, s. 3.</w:t>
      </w:r>
    </w:p>
  </w:footnote>
  <w:footnote w:id="4">
    <w:p>
      <w:pPr>
        <w:pStyle w:val="FootnoteText"/>
      </w:pPr>
      <w:r>
        <w:rPr>
          <w:rStyle w:val="FootnoteReference"/>
        </w:rPr>
        <w:footnoteRef/>
      </w:r>
      <w:r>
        <w:tab/>
        <w:t>SWD(2019) 187 final.</w:t>
      </w:r>
    </w:p>
  </w:footnote>
  <w:footnote w:id="5">
    <w:p>
      <w:pPr>
        <w:pStyle w:val="FootnoteText"/>
      </w:pPr>
      <w:r>
        <w:rPr>
          <w:rStyle w:val="FootnoteReference"/>
        </w:rPr>
        <w:footnoteRef/>
      </w:r>
      <w:r>
        <w:tab/>
        <w:t xml:space="preserve">Forklaringer vedrørende forvaltningsmetoder og henvisninger til finansforordningen findes på webstedet BudgWeb: </w:t>
      </w:r>
      <w:hyperlink r:id="rId1" w:history="1">
        <w:r>
          <w:rPr>
            <w:rStyle w:val="Hyperlink"/>
          </w:rPr>
          <w:t>https://myintracomm.ec.europa.eu/budgweb/EN/man/budgmanag/Pages/budgmanag.aspx</w:t>
        </w:r>
      </w:hyperlink>
      <w:r>
        <w:t>.</w:t>
      </w:r>
    </w:p>
  </w:footnote>
  <w:footnote w:id="6">
    <w:p>
      <w:pPr>
        <w:pStyle w:val="FootnoteText"/>
      </w:pPr>
      <w:r>
        <w:rPr>
          <w:rStyle w:val="FootnoteReference"/>
        </w:rPr>
        <w:footnoteRef/>
      </w:r>
      <w:r>
        <w:tab/>
        <w:t>OB = opdelte bevillinger/IOB = ikke-opdelte bevillinger.</w:t>
      </w:r>
    </w:p>
  </w:footnote>
  <w:footnote w:id="7">
    <w:p>
      <w:pPr>
        <w:pStyle w:val="FootnoteText"/>
      </w:pPr>
      <w:r>
        <w:rPr>
          <w:rStyle w:val="FootnoteReference"/>
        </w:rPr>
        <w:footnoteRef/>
      </w:r>
      <w:r>
        <w:tab/>
        <w:t>EFTA: Den Europæiske Frihandelssammenslutning.</w:t>
      </w:r>
    </w:p>
  </w:footnote>
  <w:footnote w:id="8">
    <w:p>
      <w:pPr>
        <w:pStyle w:val="FootnoteText"/>
      </w:pPr>
      <w:r>
        <w:rPr>
          <w:rStyle w:val="FootnoteReference"/>
        </w:rPr>
        <w:footnoteRef/>
      </w:r>
      <w:r>
        <w:tab/>
        <w:t>Kandidatlande og, efter omstændighederne, potentielle kandidatlande på Vestbalkan.</w:t>
      </w:r>
    </w:p>
  </w:footnote>
  <w:footnote w:id="9">
    <w:p>
      <w:pPr>
        <w:pStyle w:val="FootnoteText"/>
      </w:pPr>
      <w:r>
        <w:rPr>
          <w:rStyle w:val="FootnoteReference"/>
        </w:rPr>
        <w:footnoteRef/>
      </w:r>
      <w:r>
        <w:tab/>
      </w:r>
      <w:r>
        <w:rPr>
          <w:sz w:val="18"/>
          <w:szCs w:val="18"/>
        </w:rPr>
        <w:t>År n er det år, hvor gennemførelsen af forslaget/initiativet begyndes. I stedet for "n" indsættes det forventede første gennemførelsesår (f.eks.: 2021). Dette gælder også for de følgende år.</w:t>
      </w:r>
    </w:p>
  </w:footnote>
  <w:footnote w:id="10">
    <w:p>
      <w:pPr>
        <w:pStyle w:val="FootnoteText"/>
      </w:pPr>
      <w:r>
        <w:rPr>
          <w:rStyle w:val="FootnoteReference"/>
        </w:rPr>
        <w:footnoteRef/>
      </w:r>
      <w:r>
        <w:tab/>
        <w:t>Resultater er de produkter og tjenesteydelser, der skal leveres (f.eks.: antal finansierede studenterudvekslinger, antal km bygget vej osv.).</w:t>
      </w:r>
    </w:p>
  </w:footnote>
  <w:footnote w:id="11">
    <w:p>
      <w:pPr>
        <w:pStyle w:val="FootnoteText"/>
      </w:pPr>
      <w:r>
        <w:rPr>
          <w:rStyle w:val="FootnoteReference"/>
        </w:rPr>
        <w:footnoteRef/>
      </w:r>
      <w:r>
        <w:tab/>
        <w:t>Som beskrevet i punkt 1.4.2. "Specifikke mål".</w:t>
      </w:r>
    </w:p>
  </w:footnote>
  <w:footnote w:id="12">
    <w:p>
      <w:pPr>
        <w:pStyle w:val="FootnoteText"/>
      </w:pPr>
      <w:r>
        <w:rPr>
          <w:rStyle w:val="FootnoteReference"/>
        </w:rPr>
        <w:footnoteRef/>
      </w:r>
      <w:r>
        <w:tab/>
      </w:r>
      <w:r>
        <w:rPr>
          <w:sz w:val="18"/>
          <w:szCs w:val="18"/>
        </w:rPr>
        <w:t>År n er det år, hvor gennemførelsen af forslaget/initiativet begyndes. I stedet for "n" indsættes det forventede første gennemførelsesår (f.eks.: 2021). Dette gælder også for de følgende år.</w:t>
      </w:r>
    </w:p>
  </w:footnote>
  <w:footnote w:id="13">
    <w:p>
      <w:pPr>
        <w:pStyle w:val="FootnoteText"/>
      </w:pPr>
      <w:r>
        <w:rPr>
          <w:rStyle w:val="FootnoteReference"/>
        </w:rPr>
        <w:footnoteRef/>
      </w:r>
      <w:r>
        <w:tab/>
      </w:r>
      <w:r>
        <w:rPr>
          <w:sz w:val="18"/>
          <w:szCs w:val="18"/>
        </w:rPr>
        <w:t>Teknisk og/eller administrativ bistand og udgifter til støtte for gennemførelsen af EU's programmer og/eller aktioner (tidligere BA-poster), indirekte forskning, direkte forskning.</w:t>
      </w:r>
    </w:p>
  </w:footnote>
  <w:footnote w:id="14">
    <w:p>
      <w:pPr>
        <w:pStyle w:val="FootnoteText"/>
      </w:pPr>
      <w:r>
        <w:rPr>
          <w:rStyle w:val="FootnoteReference"/>
        </w:rPr>
        <w:footnoteRef/>
      </w:r>
      <w:r>
        <w:tab/>
        <w:t>KA: kontraktansatte, LA: lokalt ansatte, UNE: udstationerede nationale eksperter, V: vikarer, JED = junioreksperter ved delegationerne.</w:t>
      </w:r>
    </w:p>
  </w:footnote>
  <w:footnote w:id="15">
    <w:p>
      <w:pPr>
        <w:pStyle w:val="FootnoteText"/>
      </w:pPr>
      <w:r>
        <w:rPr>
          <w:rStyle w:val="FootnoteReference"/>
        </w:rPr>
        <w:footnoteRef/>
      </w:r>
      <w:r>
        <w:tab/>
        <w:t>Delloft for eksternt personale under aktionsbevillingerne (tidligere BA-poster).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F1C21FB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D4B6F262"/>
    <w:lvl w:ilvl="0">
      <w:start w:val="1"/>
      <w:numFmt w:val="decimal"/>
      <w:pStyle w:val="ListNumber3"/>
      <w:lvlText w:val="%1."/>
      <w:lvlJc w:val="left"/>
      <w:pPr>
        <w:tabs>
          <w:tab w:val="num" w:pos="926"/>
        </w:tabs>
        <w:ind w:left="926" w:hanging="360"/>
      </w:pPr>
    </w:lvl>
  </w:abstractNum>
  <w:abstractNum w:abstractNumId="2">
    <w:nsid w:val="FFFFFF7F"/>
    <w:multiLevelType w:val="singleLevel"/>
    <w:tmpl w:val="A5183516"/>
    <w:lvl w:ilvl="0">
      <w:start w:val="1"/>
      <w:numFmt w:val="decimal"/>
      <w:pStyle w:val="ListNumber2"/>
      <w:lvlText w:val="%1."/>
      <w:lvlJc w:val="left"/>
      <w:pPr>
        <w:tabs>
          <w:tab w:val="num" w:pos="643"/>
        </w:tabs>
        <w:ind w:left="643" w:hanging="360"/>
      </w:pPr>
    </w:lvl>
  </w:abstractNum>
  <w:abstractNum w:abstractNumId="3">
    <w:nsid w:val="FFFFFF81"/>
    <w:multiLevelType w:val="singleLevel"/>
    <w:tmpl w:val="3A6C9F84"/>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C366FA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9384C814"/>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92983F32"/>
    <w:lvl w:ilvl="0">
      <w:start w:val="1"/>
      <w:numFmt w:val="decimal"/>
      <w:pStyle w:val="ListNumber"/>
      <w:lvlText w:val="%1."/>
      <w:lvlJc w:val="left"/>
      <w:pPr>
        <w:tabs>
          <w:tab w:val="num" w:pos="360"/>
        </w:tabs>
        <w:ind w:left="360" w:hanging="360"/>
      </w:pPr>
    </w:lvl>
  </w:abstractNum>
  <w:abstractNum w:abstractNumId="7">
    <w:nsid w:val="FFFFFF89"/>
    <w:multiLevelType w:val="singleLevel"/>
    <w:tmpl w:val="AC2464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44D6F2F"/>
    <w:multiLevelType w:val="singleLevel"/>
    <w:tmpl w:val="F94A0F7A"/>
    <w:lvl w:ilvl="0">
      <w:start w:val="1"/>
      <w:numFmt w:val="bullet"/>
      <w:lvlRestart w:val="0"/>
      <w:pStyle w:val="ListBullet1"/>
      <w:lvlText w:val=""/>
      <w:lvlJc w:val="left"/>
      <w:pPr>
        <w:tabs>
          <w:tab w:val="num" w:pos="1134"/>
        </w:tabs>
        <w:ind w:left="1134" w:hanging="283"/>
      </w:pPr>
      <w:rPr>
        <w:rFonts w:ascii="Symbol" w:hAnsi="Symbol"/>
      </w:r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22"/>
    <w:lvlOverride w:ilvl="0">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1"/>
    </w:lvlOverride>
  </w:num>
  <w:num w:numId="13">
    <w:abstractNumId w:val="18"/>
  </w:num>
  <w:num w:numId="14">
    <w:abstractNumId w:val="12"/>
  </w:num>
  <w:num w:numId="15">
    <w:abstractNumId w:val="20"/>
  </w:num>
  <w:num w:numId="16">
    <w:abstractNumId w:val="11"/>
  </w:num>
  <w:num w:numId="17">
    <w:abstractNumId w:val="13"/>
  </w:num>
  <w:num w:numId="18">
    <w:abstractNumId w:val="9"/>
  </w:num>
  <w:num w:numId="19">
    <w:abstractNumId w:val="19"/>
  </w:num>
  <w:num w:numId="20">
    <w:abstractNumId w:val="8"/>
  </w:num>
  <w:num w:numId="21">
    <w:abstractNumId w:val="14"/>
  </w:num>
  <w:num w:numId="22">
    <w:abstractNumId w:val="16"/>
  </w:num>
  <w:num w:numId="23">
    <w:abstractNumId w:val="17"/>
  </w:num>
  <w:num w:numId="24">
    <w:abstractNumId w:val="10"/>
  </w:num>
  <w:num w:numId="25">
    <w:abstractNumId w:val="15"/>
  </w:num>
  <w:num w:numId="26">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revisionView w:markup="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0-03-20 12:16:39"/>
    <w:docVar w:name="DQCResult_Distribution" w:val="0;1"/>
    <w:docVar w:name="DQCResult_DocumentContent" w:val="0;0"/>
    <w:docVar w:name="DQCResult_DocumentSize" w:val="0;0"/>
    <w:docVar w:name="DQCResult_DocumentVersions" w:val="0;0"/>
    <w:docVar w:name="DQCResult_InvalidFootnotes" w:val="0;0"/>
    <w:docVar w:name="DQCResult_LinkedStyles" w:val="0;0"/>
    <w:docVar w:name="DQCResult_ModifiedMargins" w:val="0;63"/>
    <w:docVar w:name="DQCResult_ModifiedMarkers" w:val="0;0"/>
    <w:docVar w:name="DQCResult_ModifiedNumbering" w:val="0;0"/>
    <w:docVar w:name="DQCResult_Objects" w:val="0;0"/>
    <w:docVar w:name="DQCResult_Sections" w:val="0;0"/>
    <w:docVar w:name="DQCResult_StructureCheck" w:val="0;0"/>
    <w:docVar w:name="DQCResult_SuperfluousWhitespace" w:val="0;13"/>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DB694672-9EA4-4245-AEAE-7D5F6AAE92CE"/>
    <w:docVar w:name="LW_COVERPAGE_TYPE" w:val="1"/>
    <w:docVar w:name="LW_CROSSREFERENCE" w:val="&lt;UNUSED&gt;"/>
    <w:docVar w:name="LW_DocType" w:val="COM"/>
    <w:docVar w:name="LW_EMISSION" w:val="13.3.2020"/>
    <w:docVar w:name="LW_EMISSION_ISODATE" w:val="2020-03-13"/>
    <w:docVar w:name="LW_EMISSION_LOCATION" w:val="BRX"/>
    <w:docVar w:name="LW_EMISSION_PREFIX" w:val="Bruxelles, den "/>
    <w:docVar w:name="LW_EMISSION_SUFFIX" w:val=" "/>
    <w:docVar w:name="LW_ID_DOCMODEL" w:val="SJ-023"/>
    <w:docVar w:name="LW_ID_DOCSIGNATURE" w:val="SJ-023"/>
    <w:docVar w:name="LW_ID_DOCSTRUCTURE" w:val="COM/PL/ORG"/>
    <w:docVar w:name="LW_ID_DOCTYPE" w:val="SJ-023"/>
    <w:docVar w:name="LW_ID_EXP.MOTIFS.NEW" w:val="EM_PL_"/>
    <w:docVar w:name="LW_ID_STATUT" w:val="SJ-023"/>
    <w:docVar w:name="LW_INTERETEEE.CP" w:val="&lt;UNUSED&gt;"/>
    <w:docVar w:name="LW_LANGUE" w:val="DA"/>
    <w:docVar w:name="LW_LEVEL_OF_SENSITIVITY" w:val="Standard treatment"/>
    <w:docVar w:name="LW_NOM.INST" w:val="EUROPA-KOMMISSIONEN"/>
    <w:docVar w:name="LW_NOM.INST_JOINTDOC" w:val="&lt;EMPTY&gt;"/>
    <w:docVar w:name="LW_PART_NBR" w:val="1"/>
    <w:docVar w:name="LW_PART_NBR_TOTAL" w:val="1"/>
    <w:docVar w:name="LW_REF.II.NEW.CP" w:val="COD"/>
    <w:docVar w:name="LW_REF.II.NEW.CP_NUMBER" w:val="0044"/>
    <w:docVar w:name="LW_REF.II.NEW.CP_YEAR" w:val="2020"/>
    <w:docVar w:name="LW_REF.INST.NEW" w:val="COM"/>
    <w:docVar w:name="LW_REF.INST.NEW_ADOPTED" w:val="final"/>
    <w:docVar w:name="LW_REF.INST.NEW_TEXT" w:val="(2020) 11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Forslag til"/>
    <w:docVar w:name="LW_SUPERTITRE" w:val="&lt;UNUSED&gt;"/>
    <w:docVar w:name="LW_TITRE.OBJ.CP" w:val="om ændring af Rådets forordning (EF) nr. 2012/2002 med henblik på at yde finansiel bistand til medlemsstater og lande, der forhandler om tiltrædelse af Unionen, og som er alvorligt berørt af en større folkesundhedskrise"/>
    <w:docVar w:name="LW_TYPE.DOC.CP" w:val="EUROPA-PARLAMENTETS OG RÅDETS FORORDNING"/>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da-DK"/>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Bullet1">
    <w:name w:val="List Bullet 1"/>
    <w:basedOn w:val="Normal"/>
    <w:pPr>
      <w:numPr>
        <w:numId w:val="1"/>
      </w:numPr>
    </w:pPr>
    <w:rPr>
      <w:rFonts w:eastAsia="Times New Roman"/>
      <w:szCs w:val="20"/>
      <w:lang w:eastAsia="zh-CN"/>
    </w:rPr>
  </w:style>
  <w:style w:type="character" w:styleId="Hyperlink">
    <w:name w:val="Hyperlink"/>
    <w:basedOn w:val="DefaultParagraphFont"/>
    <w:rPr>
      <w:rFonts w:cs="Times New Roman"/>
      <w:color w:val="0000FF"/>
      <w:u w:val="single"/>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da-DK"/>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da-DK"/>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da-DK"/>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da-DK"/>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da-DK"/>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da-DK"/>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Bullet1">
    <w:name w:val="List Bullet 1"/>
    <w:basedOn w:val="Normal"/>
    <w:pPr>
      <w:numPr>
        <w:numId w:val="1"/>
      </w:numPr>
    </w:pPr>
    <w:rPr>
      <w:rFonts w:eastAsia="Times New Roman"/>
      <w:szCs w:val="20"/>
      <w:lang w:eastAsia="zh-CN"/>
    </w:rPr>
  </w:style>
  <w:style w:type="character" w:styleId="Hyperlink">
    <w:name w:val="Hyperlink"/>
    <w:basedOn w:val="DefaultParagraphFont"/>
    <w:rPr>
      <w:rFonts w:cs="Times New Roman"/>
      <w:color w:val="0000FF"/>
      <w:u w:val="single"/>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da-DK"/>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da-DK"/>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da-DK"/>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da-DK"/>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da-DK"/>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myintracomm.ec.europa.eu/budgweb/EN/leg/internal/Documents/2016-5-legislative-financial-statement-ann-en.docx."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myintracomm.ec.europa.eu/budgweb/DA/man/budgmanag/Pages/budgmanag.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35433-A959-40D4-9317-3B599F0AB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TotalTime>
  <Pages>21</Pages>
  <Words>5186</Words>
  <Characters>32469</Characters>
  <Application>Microsoft Office Word</Application>
  <DocSecurity>0</DocSecurity>
  <Lines>1298</Lines>
  <Paragraphs>423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19</cp:revision>
  <dcterms:created xsi:type="dcterms:W3CDTF">2020-03-19T07:54:00Z</dcterms:created>
  <dcterms:modified xsi:type="dcterms:W3CDTF">2020-03-20T11:16:00Z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7.0.1, Build 20190916</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DQCStatus">
    <vt:lpwstr>Green (DQC version 03)</vt:lpwstr>
  </property>
  <property name="OP_sanitized" fmtid="{D5CDD505-2E9C-101B-9397-08002B2CF9AE}" pid="11">
    <vt:lpwstr>True</vt:lpwstr>
  </property>
</Properties>
</file>