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1B1C5495-838E-48AC-B84B-C728753B1050" style="width:450.4pt;height:432.4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Rfrenceinterinstitutionnelle"/>
        <w:rPr>
          <w:noProof/>
        </w:rPr>
      </w:pPr>
      <w:bookmarkStart w:id="0" w:name="_GoBack"/>
      <w:bookmarkEnd w:id="0"/>
      <w:r>
        <w:rPr>
          <w:noProof/>
        </w:rPr>
        <w:lastRenderedPageBreak/>
        <w:t>2018/0148 (COD)</w:t>
      </w:r>
    </w:p>
    <w:p>
      <w:pPr>
        <w:pStyle w:val="Typedudocument"/>
        <w:rPr>
          <w:noProof/>
        </w:rPr>
      </w:pPr>
      <w:r>
        <w:rPr>
          <w:noProof/>
        </w:rPr>
        <w:t>MEDDELELSE FRA KOMMISSIONEN TIL EUROPA-PARLAMENTET</w:t>
      </w:r>
      <w:r>
        <w:rPr>
          <w:noProof/>
        </w:rPr>
        <w:br/>
      </w:r>
      <w:r>
        <w:rPr>
          <w:noProof/>
        </w:rPr>
        <w:br/>
        <w:t>i henhold til artikel 294, stk. 6, i traktaten om Den Europæiske Unions funktionsmåde</w:t>
      </w:r>
      <w:r>
        <w:rPr>
          <w:noProof/>
        </w:rPr>
        <w:br/>
      </w:r>
      <w:r>
        <w:rPr>
          <w:noProof/>
        </w:rPr>
        <w:br/>
        <w:t>vedrørende</w:t>
      </w:r>
    </w:p>
    <w:p>
      <w:pPr>
        <w:pStyle w:val="Titreobjet"/>
        <w:rPr>
          <w:noProof/>
        </w:rPr>
      </w:pPr>
      <w:r>
        <w:rPr>
          <w:noProof/>
        </w:rPr>
        <w:t>Rådets holdning med henblik på vedtagelse af Europa-Parlamentets og Rådets forordning om mærkning af dæk for så vidt angår brændstofeffektivitet og andre vigtige parametre og om ophævelse af forordning (EF) nr. 1222/2009</w:t>
      </w:r>
    </w:p>
    <w:p>
      <w:pPr>
        <w:pStyle w:val="IntrtEEE"/>
        <w:rPr>
          <w:noProof/>
        </w:rPr>
      </w:pPr>
      <w:r>
        <w:rPr>
          <w:noProof/>
        </w:rPr>
        <w:t>(EØS-relevant tekst)</w:t>
      </w:r>
    </w:p>
    <w:p>
      <w:pPr>
        <w:pStyle w:val="ManualHeading1"/>
        <w:rPr>
          <w:noProof/>
          <w:sz w:val="22"/>
        </w:rPr>
      </w:pPr>
      <w:r>
        <w:rPr>
          <w:noProof/>
        </w:rPr>
        <w:t>1</w:t>
      </w:r>
      <w:r>
        <w:rPr>
          <w:noProof/>
        </w:rPr>
        <w:tab/>
        <w:t>SAGSFORLØB</w:t>
      </w:r>
    </w:p>
    <w:tbl>
      <w:tblPr>
        <w:tblW w:w="0" w:type="auto"/>
        <w:tblLayout w:type="fixed"/>
        <w:tblLook w:val="0000" w:firstRow="0" w:lastRow="0" w:firstColumn="0" w:lastColumn="0" w:noHBand="0" w:noVBand="0"/>
      </w:tblPr>
      <w:tblGrid>
        <w:gridCol w:w="7188"/>
        <w:gridCol w:w="2099"/>
      </w:tblGrid>
      <w:tr>
        <w:tc>
          <w:tcPr>
            <w:tcW w:w="7188" w:type="dxa"/>
          </w:tcPr>
          <w:p>
            <w:pPr>
              <w:jc w:val="left"/>
              <w:rPr>
                <w:noProof/>
              </w:rPr>
            </w:pPr>
            <w:r>
              <w:rPr>
                <w:noProof/>
              </w:rPr>
              <w:t xml:space="preserve">Forslag fremsendt til Europa-Parlamentet og Rådet (dokument COM(2018) 296 final – 2018/0148 COD): </w:t>
            </w:r>
          </w:p>
        </w:tc>
        <w:tc>
          <w:tcPr>
            <w:tcW w:w="2099" w:type="dxa"/>
          </w:tcPr>
          <w:p>
            <w:pPr>
              <w:rPr>
                <w:noProof/>
              </w:rPr>
            </w:pPr>
            <w:r>
              <w:rPr>
                <w:noProof/>
              </w:rPr>
              <w:t>17. maj 2018</w:t>
            </w:r>
          </w:p>
        </w:tc>
      </w:tr>
      <w:tr>
        <w:trPr>
          <w:cantSplit/>
        </w:trPr>
        <w:tc>
          <w:tcPr>
            <w:tcW w:w="7188" w:type="dxa"/>
          </w:tcPr>
          <w:p>
            <w:pPr>
              <w:jc w:val="left"/>
              <w:rPr>
                <w:noProof/>
              </w:rPr>
            </w:pPr>
            <w:r>
              <w:rPr>
                <w:noProof/>
              </w:rPr>
              <w:t xml:space="preserve">Udtalelse afgivet af Det Europæiske Økonomiske og Sociale Udvalg: </w:t>
            </w:r>
          </w:p>
        </w:tc>
        <w:tc>
          <w:tcPr>
            <w:tcW w:w="2099" w:type="dxa"/>
          </w:tcPr>
          <w:p>
            <w:pPr>
              <w:jc w:val="left"/>
              <w:rPr>
                <w:noProof/>
              </w:rPr>
            </w:pPr>
            <w:r>
              <w:rPr>
                <w:noProof/>
              </w:rPr>
              <w:t>17. oktober 2018</w:t>
            </w:r>
          </w:p>
        </w:tc>
      </w:tr>
      <w:tr>
        <w:tc>
          <w:tcPr>
            <w:tcW w:w="7188" w:type="dxa"/>
          </w:tcPr>
          <w:p>
            <w:pPr>
              <w:jc w:val="left"/>
              <w:rPr>
                <w:noProof/>
              </w:rPr>
            </w:pPr>
            <w:r>
              <w:rPr>
                <w:noProof/>
              </w:rPr>
              <w:t xml:space="preserve">Europa-Parlamentets førstebehandlingsholdning vedtaget: </w:t>
            </w:r>
          </w:p>
        </w:tc>
        <w:tc>
          <w:tcPr>
            <w:tcW w:w="2099" w:type="dxa"/>
          </w:tcPr>
          <w:p>
            <w:pPr>
              <w:rPr>
                <w:noProof/>
              </w:rPr>
            </w:pPr>
            <w:r>
              <w:rPr>
                <w:noProof/>
              </w:rPr>
              <w:t>26. marts 2019</w:t>
            </w:r>
          </w:p>
        </w:tc>
      </w:tr>
      <w:tr>
        <w:tc>
          <w:tcPr>
            <w:tcW w:w="7188" w:type="dxa"/>
          </w:tcPr>
          <w:p>
            <w:pPr>
              <w:jc w:val="left"/>
              <w:rPr>
                <w:noProof/>
              </w:rPr>
            </w:pPr>
            <w:r>
              <w:rPr>
                <w:noProof/>
              </w:rPr>
              <w:t xml:space="preserve">Ændret forslag fremsendt: </w:t>
            </w:r>
          </w:p>
        </w:tc>
        <w:tc>
          <w:tcPr>
            <w:tcW w:w="2099" w:type="dxa"/>
          </w:tcPr>
          <w:p>
            <w:pPr>
              <w:rPr>
                <w:noProof/>
              </w:rPr>
            </w:pPr>
            <w:r>
              <w:rPr>
                <w:noProof/>
              </w:rPr>
              <w:t>ikke relevant</w:t>
            </w:r>
          </w:p>
        </w:tc>
      </w:tr>
      <w:tr>
        <w:tc>
          <w:tcPr>
            <w:tcW w:w="7188" w:type="dxa"/>
          </w:tcPr>
          <w:p>
            <w:pPr>
              <w:jc w:val="left"/>
              <w:rPr>
                <w:noProof/>
              </w:rPr>
            </w:pPr>
            <w:r>
              <w:rPr>
                <w:noProof/>
              </w:rPr>
              <w:t xml:space="preserve">Rådets holdning vedtaget: </w:t>
            </w:r>
          </w:p>
        </w:tc>
        <w:tc>
          <w:tcPr>
            <w:tcW w:w="2099" w:type="dxa"/>
          </w:tcPr>
          <w:p>
            <w:pPr>
              <w:rPr>
                <w:noProof/>
              </w:rPr>
            </w:pPr>
            <w:r>
              <w:rPr>
                <w:noProof/>
              </w:rPr>
              <w:t>25. februar 2020</w:t>
            </w:r>
          </w:p>
        </w:tc>
      </w:tr>
    </w:tbl>
    <w:p>
      <w:pPr>
        <w:pStyle w:val="ManualHeading1"/>
        <w:rPr>
          <w:noProof/>
        </w:rPr>
      </w:pPr>
      <w:r>
        <w:rPr>
          <w:noProof/>
        </w:rPr>
        <w:t>2</w:t>
      </w:r>
      <w:r>
        <w:rPr>
          <w:noProof/>
        </w:rPr>
        <w:tab/>
        <w:t>FORMÅLET MED KOMMISSIONENS FORSLAG</w:t>
      </w:r>
    </w:p>
    <w:p>
      <w:pPr>
        <w:rPr>
          <w:noProof/>
        </w:rPr>
      </w:pPr>
      <w:r>
        <w:rPr>
          <w:noProof/>
        </w:rPr>
        <w:t>Den 17. maj 2018 vedtog Kommissionen et forslag til Europa-Parlamentets og Rådets forordning om mærkning af dæk for så vidt angår brændstofeffektivitet og andre vigtige parametre og om ophævelse af forordning (EF) nr. 1222/2009.</w:t>
      </w:r>
    </w:p>
    <w:p>
      <w:pPr>
        <w:rPr>
          <w:noProof/>
        </w:rPr>
      </w:pPr>
      <w:r>
        <w:rPr>
          <w:noProof/>
        </w:rPr>
        <w:t xml:space="preserve">Dæks rullemodstand tegner sig for 20-30 % af et køretøjs brændstofforbrug. Det er derfor vigtigt at nedbringe rullemodstanden for at øge brændstofeffektiviteten og reducere drivhusgasemissionerne. </w:t>
      </w:r>
    </w:p>
    <w:p>
      <w:pPr>
        <w:rPr>
          <w:noProof/>
        </w:rPr>
      </w:pPr>
      <w:r>
        <w:rPr>
          <w:noProof/>
        </w:rPr>
        <w:t>Formålet med revisionen af forordningen om mærkning af dæk er at øge oplysningskravene med hensyn til brændstofeffektivitet, støj og sikkerhedsaspekter ved dæk, og at disse krav kommer til at gælde alle dæk — uanset om de er til biler, varevogne eller tunge køretøjer. Nye regler om mærkning af dæk vil sætte slutbrugerne i stand til at træffe det bedste valg ud fra et brændstoføkonomisk og sikkerhedsmæssigt synspunkt og opnå en økonomisk gevinst.</w:t>
      </w:r>
    </w:p>
    <w:p>
      <w:pPr>
        <w:rPr>
          <w:noProof/>
        </w:rPr>
      </w:pPr>
      <w:r>
        <w:rPr>
          <w:noProof/>
        </w:rPr>
        <w:t xml:space="preserve">Forslaget indeholder også bestemmelser om fremover at medtage oplysninger om slidstyrke og levetid på mærkningen (når der foreligger en pålidelig prøvningsmetode), hvilket vil kunne bidrage til reduktion af mikroplast fra dæk i overensstemmelse med Kommissionens plaststrategi. Det vil også gøre det muligt for forbrugerne at vælge mere holdbare dæk. </w:t>
      </w:r>
    </w:p>
    <w:p>
      <w:pPr>
        <w:rPr>
          <w:noProof/>
        </w:rPr>
      </w:pPr>
      <w:r>
        <w:rPr>
          <w:noProof/>
        </w:rPr>
        <w:t>Forslaget til forordning ændrer den nugældende forordning ved at:</w:t>
      </w:r>
    </w:p>
    <w:p>
      <w:pPr>
        <w:pStyle w:val="Bullet0"/>
        <w:numPr>
          <w:ilvl w:val="0"/>
          <w:numId w:val="5"/>
        </w:numPr>
        <w:rPr>
          <w:noProof/>
        </w:rPr>
      </w:pPr>
      <w:r>
        <w:rPr>
          <w:noProof/>
        </w:rPr>
        <w:t>gøre dækmærket mere synligt (mærket skal vises i alle salgs- og reklamesituationer, f.eks. på internettet og ved fjernsalg) og skabe opmærksomhed om det</w:t>
      </w:r>
    </w:p>
    <w:p>
      <w:pPr>
        <w:pStyle w:val="Bullet0"/>
        <w:rPr>
          <w:noProof/>
        </w:rPr>
      </w:pPr>
      <w:r>
        <w:rPr>
          <w:noProof/>
        </w:rPr>
        <w:lastRenderedPageBreak/>
        <w:t>forbedre håndhævelsen og markedsovervågningen (indførelse af dækmærkning i den produktdatabase, der er oprettet, jf. forordning (EU) 2017/1369)</w:t>
      </w:r>
    </w:p>
    <w:p>
      <w:pPr>
        <w:pStyle w:val="Bullet0"/>
        <w:rPr>
          <w:noProof/>
        </w:rPr>
      </w:pPr>
      <w:r>
        <w:rPr>
          <w:noProof/>
        </w:rPr>
        <w:t>ajourføre mærkningen for at give slutbrugerne bedre oplysning</w:t>
      </w:r>
    </w:p>
    <w:p>
      <w:pPr>
        <w:pStyle w:val="Bullet0"/>
        <w:rPr>
          <w:noProof/>
        </w:rPr>
      </w:pPr>
      <w:r>
        <w:rPr>
          <w:noProof/>
        </w:rPr>
        <w:t>medtage oplysninger om dæks vejgreb i sne- og isglat føre</w:t>
      </w:r>
    </w:p>
    <w:p>
      <w:pPr>
        <w:pStyle w:val="Bullet0"/>
        <w:rPr>
          <w:noProof/>
        </w:rPr>
      </w:pPr>
      <w:r>
        <w:rPr>
          <w:noProof/>
        </w:rPr>
        <w:t>tilpasse dækmærket, så det kommer til at se ud som EU's energimærke</w:t>
      </w:r>
    </w:p>
    <w:p>
      <w:pPr>
        <w:pStyle w:val="Bullet0"/>
        <w:rPr>
          <w:noProof/>
        </w:rPr>
      </w:pPr>
      <w:r>
        <w:rPr>
          <w:noProof/>
        </w:rPr>
        <w:t>give mulighed for, at der fremover på mærket medtages oplysninger om slidstyrke (mikroplast), levetid og regummierede dæk</w:t>
      </w:r>
    </w:p>
    <w:p>
      <w:pPr>
        <w:pStyle w:val="Bullet0"/>
        <w:rPr>
          <w:noProof/>
        </w:rPr>
      </w:pPr>
      <w:r>
        <w:rPr>
          <w:noProof/>
        </w:rPr>
        <w:t>stille krav om, at fabrikanterne forsyner de nationale myndigheder med de værdier, de anvender til at angive klasserne på mærket, med henblik på at gøre oplysningerne på mærkningen mere pålidelige.</w:t>
      </w:r>
    </w:p>
    <w:p>
      <w:pPr>
        <w:pStyle w:val="ManualHeading1"/>
        <w:spacing w:line="276" w:lineRule="auto"/>
        <w:rPr>
          <w:noProof/>
        </w:rPr>
      </w:pPr>
      <w:r>
        <w:rPr>
          <w:noProof/>
        </w:rPr>
        <w:t>3</w:t>
      </w:r>
      <w:r>
        <w:rPr>
          <w:noProof/>
        </w:rPr>
        <w:tab/>
        <w:t>BEMÆRKNINGER TIL RÅDETS HOLDNING</w:t>
      </w:r>
    </w:p>
    <w:p>
      <w:pPr>
        <w:rPr>
          <w:noProof/>
        </w:rPr>
      </w:pPr>
      <w:r>
        <w:rPr>
          <w:noProof/>
        </w:rPr>
        <w:t xml:space="preserve">Rådets holdning afspejler den politiske enighed, der blev opnået mellem Europa-Parlamentet og Rådet den 13. november 2019 på den uformelle trilog. </w:t>
      </w:r>
    </w:p>
    <w:p>
      <w:pPr>
        <w:rPr>
          <w:noProof/>
        </w:rPr>
      </w:pPr>
      <w:r>
        <w:rPr>
          <w:noProof/>
        </w:rPr>
        <w:t xml:space="preserve">Kommissionen glæder sig over, at Rådet har indvilget i at anvende delegerede retsakter til at medtage </w:t>
      </w:r>
      <w:r>
        <w:rPr>
          <w:b/>
          <w:noProof/>
        </w:rPr>
        <w:t>regummierede dæk</w:t>
      </w:r>
      <w:r>
        <w:rPr>
          <w:noProof/>
        </w:rPr>
        <w:t xml:space="preserve"> i forordningens anvendelsesområde, når der foreligger en passende prøvningsmetode, snarere end gennemførelsesretsakter. </w:t>
      </w:r>
    </w:p>
    <w:p>
      <w:pPr>
        <w:rPr>
          <w:noProof/>
        </w:rPr>
      </w:pPr>
      <w:r>
        <w:rPr>
          <w:noProof/>
        </w:rPr>
        <w:t xml:space="preserve">Kommissionen glæder sig også over, at Rådet har indvilget i medtage oplysninger om </w:t>
      </w:r>
      <w:r>
        <w:rPr>
          <w:b/>
          <w:noProof/>
        </w:rPr>
        <w:t>levetid og slidstyrke</w:t>
      </w:r>
      <w:r>
        <w:rPr>
          <w:noProof/>
        </w:rPr>
        <w:t xml:space="preserve"> i forordningen ved hjælp af delegerede retsakter, når en passende prøvningsmetode er tilgængelig, snarere end gennem den almindelige lovgivningsprocedure. Kommissionen er fast besluttet på at arbejde tæt sammen med erhvervslivet, regulerings- eller standardiseringsorganisationer og andre interessenter i udviklingen af egnede prøvnings- og målemetoder. Den beklager, at Rådet fandt det nødvendigt at gøre beføjelsen betinget af en grundig konsekvensanalyse og en passende høring, som under alle omstændigheder er nødvendige skridt i Kommissionens arbejde henimod bedre lovgivning.</w:t>
      </w:r>
    </w:p>
    <w:p>
      <w:pPr>
        <w:rPr>
          <w:noProof/>
        </w:rPr>
      </w:pPr>
      <w:r>
        <w:rPr>
          <w:noProof/>
        </w:rPr>
        <w:t xml:space="preserve">Med hensyn til nyskalering af klasser for dæks ydeevne på mærket beklager Kommissionen, at Rådet har besluttet ikke at nyskalere de nuværende klassegrænser, da Kommissionen anser det som er en forspildt mulighed for at fremme innovation og give forbrugerne mere nøjagtige oplysninger. Kommissionen beklager også, at Rådet ikke bemyndigede Kommissionen til at ajourføre og nyskalere klasserne ved hjælp af delegerede retsakter. </w:t>
      </w:r>
    </w:p>
    <w:p>
      <w:pPr>
        <w:rPr>
          <w:noProof/>
        </w:rPr>
      </w:pPr>
      <w:r>
        <w:rPr>
          <w:noProof/>
        </w:rPr>
        <w:t>Selv om Kommissionen glæder sig over, at Rådet har accepteret at "rydde op" i klasserne vedrørende vådgreb og rullemodstand, dvs. ved at slette de tomme klasser under anvendelse af forordning (EU) 2019/2144 om generel sikkerhed, finder den det mere logisk, at der på tilsvarende vis også "ryddes op" i støjklasserne.</w:t>
      </w:r>
    </w:p>
    <w:p>
      <w:pPr>
        <w:rPr>
          <w:noProof/>
        </w:rPr>
      </w:pPr>
      <w:r>
        <w:rPr>
          <w:noProof/>
        </w:rPr>
        <w:t>Kommissionen glæder sig over forslaget om at evaluere forordningen senest den 1. juni 2025 og finder Rådets tilgang, om at forordningen bør finde anvendelse fra den 1. maj 2021, acceptabel.</w:t>
      </w:r>
    </w:p>
    <w:p>
      <w:pPr>
        <w:rPr>
          <w:noProof/>
        </w:rPr>
      </w:pPr>
      <w:r>
        <w:rPr>
          <w:noProof/>
        </w:rPr>
        <w:t xml:space="preserve">Kommissionen er enig i Rådets holdning til, at hele mærket skal vises i visuelle reklamer, og at det vil være muligt at vise mærket på et indlejret billede i forbindelse med reklamer og salg på internettet, selv om det er beklageligt, at Rådet ikke har ønsket at specificere, hvordan de økonomiske aktører skulle gøre det. </w:t>
      </w:r>
    </w:p>
    <w:p>
      <w:pPr>
        <w:rPr>
          <w:noProof/>
        </w:rPr>
      </w:pPr>
      <w:r>
        <w:rPr>
          <w:noProof/>
        </w:rPr>
        <w:t xml:space="preserve">Med hensyn til markedsovervågningsmyndighedernes ret til at pålægge leverandøren at dække omkostningerne ser Kommissionen med tilfredshed på forslaget om at tilpasse teksten </w:t>
      </w:r>
      <w:r>
        <w:rPr>
          <w:noProof/>
        </w:rPr>
        <w:lastRenderedPageBreak/>
        <w:t>til forordning (EU) 2019/1020 om markedsovervågning og produktoverensstemmelse, hvilket vil sikre lovgivningsmæssig sammenhæng.</w:t>
      </w:r>
    </w:p>
    <w:p>
      <w:pPr>
        <w:rPr>
          <w:noProof/>
        </w:rPr>
      </w:pPr>
      <w:r>
        <w:rPr>
          <w:noProof/>
        </w:rPr>
        <w:t>Endelig glæder Kommissionen sig over forslaget om at tilpasse udformningen af dækmærket til de nyligt offentliggjorte energimærkninger</w:t>
      </w:r>
      <w:r>
        <w:rPr>
          <w:rStyle w:val="FootnoteReference"/>
          <w:noProof/>
        </w:rPr>
        <w:footnoteReference w:id="1"/>
      </w:r>
      <w:r>
        <w:rPr>
          <w:noProof/>
        </w:rPr>
        <w:t>, som nyder høj grad af anerkendelse blandt forbrugerne. Rådets holdning til at tilføje piktogrammer til mærkningen for at angive, om et dæk er et "vinterdæk til krævende sneforhold", et "isdæk" eller begge dele, som det fremgik af Kommissionens forslag, hilses også velkomment.</w:t>
      </w:r>
    </w:p>
    <w:p>
      <w:pPr>
        <w:pStyle w:val="ManualHeading1"/>
        <w:spacing w:line="276" w:lineRule="auto"/>
        <w:rPr>
          <w:noProof/>
        </w:rPr>
      </w:pPr>
      <w:r>
        <w:rPr>
          <w:noProof/>
        </w:rPr>
        <w:t>4</w:t>
      </w:r>
      <w:r>
        <w:rPr>
          <w:noProof/>
        </w:rPr>
        <w:tab/>
        <w:t>KONKLUSION</w:t>
      </w:r>
    </w:p>
    <w:p>
      <w:pPr>
        <w:keepNext/>
        <w:rPr>
          <w:noProof/>
        </w:rPr>
      </w:pPr>
      <w:r>
        <w:rPr>
          <w:noProof/>
        </w:rPr>
        <w:t xml:space="preserve">Kommissionen støtter resultaterne af de interinstitutionelle forhandlinger, selv om den beklager visse aspekter af den politiske enighed i Rådet ved førstebehandlingen (dvs. de betingelser, der er knyttet til beføjelsen til at medtage slidstyrke og levetid, og den manglende beføjelse til at nyskalere mærkeklasserne). </w:t>
      </w:r>
    </w:p>
    <w:p>
      <w:pPr>
        <w:rPr>
          <w:noProof/>
        </w:rPr>
      </w:pPr>
    </w:p>
    <w:sectPr>
      <w:footerReference w:type="default" r:id="rId11"/>
      <w:footerReference w:type="first" r:id="rId1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rPr>
        <w:rFonts w:ascii="Arial" w:hAnsi="Arial" w:cs="Arial"/>
        <w:b/>
        <w:sz w:val="48"/>
      </w:rPr>
      <w:tab/>
    </w:r>
    <w:r>
      <w:tab/>
    </w:r>
    <w:r>
      <w:rPr>
        <w:rFonts w:ascii="Arial" w:hAnsi="Arial" w:cs="Arial"/>
        <w:b/>
        <w:sz w:val="48"/>
      </w:rPr>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tab/>
    </w:r>
    <w:r>
      <w:rPr>
        <w:rFonts w:ascii="Arial" w:hAnsi="Arial" w:cs="Arial"/>
        <w:b/>
        <w:sz w:val="48"/>
      </w:rPr>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EUT L 315 af 5.12.2019.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DFA96A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8A86BD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F40BF66"/>
    <w:lvl w:ilvl="0">
      <w:start w:val="1"/>
      <w:numFmt w:val="decimal"/>
      <w:pStyle w:val="ListNumber2"/>
      <w:lvlText w:val="%1."/>
      <w:lvlJc w:val="left"/>
      <w:pPr>
        <w:tabs>
          <w:tab w:val="num" w:pos="643"/>
        </w:tabs>
        <w:ind w:left="643" w:hanging="360"/>
      </w:pPr>
    </w:lvl>
  </w:abstractNum>
  <w:abstractNum w:abstractNumId="3">
    <w:nsid w:val="FFFFFF81"/>
    <w:multiLevelType w:val="singleLevel"/>
    <w:tmpl w:val="BF780E4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6FACAA7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E188C3A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F0C6BC8"/>
    <w:lvl w:ilvl="0">
      <w:start w:val="1"/>
      <w:numFmt w:val="decimal"/>
      <w:pStyle w:val="ListNumber"/>
      <w:lvlText w:val="%1."/>
      <w:lvlJc w:val="left"/>
      <w:pPr>
        <w:tabs>
          <w:tab w:val="num" w:pos="360"/>
        </w:tabs>
        <w:ind w:left="360" w:hanging="360"/>
      </w:pPr>
    </w:lvl>
  </w:abstractNum>
  <w:abstractNum w:abstractNumId="7">
    <w:nsid w:val="FFFFFF89"/>
    <w:multiLevelType w:val="singleLevel"/>
    <w:tmpl w:val="A9D4D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4"/>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3-04 09:02:06"/>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CORRIGENDUM" w:val="&lt;UNUSED&gt;"/>
    <w:docVar w:name="LW_COVERPAGE_EXISTS" w:val="True"/>
    <w:docVar w:name="LW_COVERPAGE_GUID" w:val="1B1C5495-838E-48AC-B84B-C728753B1050"/>
    <w:docVar w:name="LW_COVERPAGE_TYPE" w:val="1"/>
    <w:docVar w:name="LW_CROSSREFERENCE" w:val="&lt;UNUSED&gt;"/>
    <w:docVar w:name="LW_DocType" w:val="COM"/>
    <w:docVar w:name="LW_EMISSION" w:val="4.3.2020"/>
    <w:docVar w:name="LW_EMISSION_ISODATE" w:val="2020-03-04"/>
    <w:docVar w:name="LW_EMISSION_LOCATION" w:val="BRX"/>
    <w:docVar w:name="LW_EMISSION_PREFIX" w:val="Bruxelles, den "/>
    <w:docVar w:name="LW_EMISSION_SUFFIX" w:val=" "/>
    <w:docVar w:name="LW_ID_DOCMODEL" w:val="SJ-028"/>
    <w:docVar w:name="LW_ID_DOCSTRUCTURE" w:val="COM/PL/CODEC"/>
    <w:docVar w:name="LW_ID_DOCTYPE" w:val="SJ-028"/>
    <w:docVar w:name="LW_INTERETEEE.CP" w:val="(EØS-relevant tekst)"/>
    <w:docVar w:name="LW_LANGUE" w:val="DA"/>
    <w:docVar w:name="LW_LEVEL_OF_SENSITIVITY" w:val="Standard treatment"/>
    <w:docVar w:name="LW_NOM.INST" w:val="EUROPA-KOMMISSIONEN"/>
    <w:docVar w:name="LW_NOM.INST_JOINTDOC" w:val="&lt;EMPTY&gt;"/>
    <w:docVar w:name="LW_PART_NBR" w:val="1"/>
    <w:docVar w:name="LW_PART_NBR_TOTAL" w:val="1"/>
    <w:docVar w:name="LW_REF.II.NEW.CP" w:val="COD"/>
    <w:docVar w:name="LW_REF.II.NEW.CP_NUMBER" w:val="0148"/>
    <w:docVar w:name="LW_REF.II.NEW.CP_YEAR" w:val="2018"/>
    <w:docVar w:name="LW_REF.INST.NEW" w:val="COM"/>
    <w:docVar w:name="LW_REF.INST.NEW_ADOPTED" w:val="final"/>
    <w:docVar w:name="LW_REF.INST.NEW_TEXT" w:val="(2020) 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ådets holdning med henblik på vedtagelse af Europa-Parlamentets og Rådets forordning om mærkning af dæk for så vidt angår brændstofeffektivitet og andre vigtige parametre og om ophævelse af forordning (EF) nr. 1222/2009"/>
    <w:docVar w:name="LW_TYPE.DOC.CP" w:val="MEDDELELSE FRA KOMMISSIONEN TIL EUROPA-PARLAMENTET_x000b__x000b_i henhold til artikel 294, stk. 6, i traktaten om Den Europæiske Unions funktionsmåde_x000b__x000b_vedrørende"/>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a-D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a-D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a-DK"/>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a-D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a-D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a-D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a-DK"/>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a-D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C7AB5-018F-4E9B-B85E-7D78BAD34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897</Words>
  <Characters>5441</Characters>
  <Application>Microsoft Office Word</Application>
  <DocSecurity>0</DocSecurity>
  <Lines>98</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2020-02-24T09:15:00Z</cp:lastPrinted>
  <dcterms:created xsi:type="dcterms:W3CDTF">2020-02-28T14:40:00Z</dcterms:created>
  <dcterms:modified xsi:type="dcterms:W3CDTF">2020-03-04T08:02:00Z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7.0.8.0</vt:lpwstr>
  </property>
  <property fmtid="{D5CDD505-2E9C-101B-9397-08002B2CF9AE}" pid="4" name="Last edited using">
    <vt:lpwstr>LW 7.0.1, Build 20190916</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DQCStatus">
    <vt:lpwstr>Green (DQC version 03)</vt:lpwstr>
  </property>
  <property name="OP_sanitized" fmtid="{D5CDD505-2E9C-101B-9397-08002B2CF9AE}" pid="11">
    <vt:lpwstr>True</vt:lpwstr>
  </property>
</Properties>
</file>