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2F4C297E-B9AD-474A-945D-839171EB4187" style="width:450.45pt;height:380.15pt">
            <v:imagedata r:id="rId9" o:title=""/>
          </v:shape>
        </w:pict>
      </w:r>
    </w:p>
    <w:p>
      <w:pPr>
        <w:rPr>
          <w:noProof/>
        </w:rPr>
        <w:sectPr>
          <w:footerReference w:type="default" r:id="rId10"/>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BEGRUNDELSE</w:t>
      </w:r>
    </w:p>
    <w:p>
      <w:pPr>
        <w:pStyle w:val="ManualHeading1"/>
        <w:rPr>
          <w:noProof/>
        </w:rPr>
      </w:pPr>
      <w:r>
        <w:rPr>
          <w:noProof/>
        </w:rPr>
        <w:t>1.</w:t>
      </w:r>
      <w:r>
        <w:rPr>
          <w:noProof/>
        </w:rPr>
        <w:tab/>
        <w:t>BAGGRUND FOR FORSLAGET</w:t>
      </w:r>
    </w:p>
    <w:p>
      <w:pPr>
        <w:rPr>
          <w:noProof/>
        </w:rPr>
      </w:pPr>
      <w:r>
        <w:rPr>
          <w:noProof/>
        </w:rPr>
        <w:t xml:space="preserve">Rådet har bemyndiget Europa-Kommissionen til på Den Europæiske Unions vegne at føre forhandlinger om fornyelse af aftalen og af protokollen om fastsættelse af de fiskerimuligheder og den finansielle modydelse, der er omhandlet i fiskeripartnerskabsaftalen mellem Det Europæiske Fællesskab og Den Islamiske Republik Mauretanien. </w:t>
      </w:r>
    </w:p>
    <w:p>
      <w:pPr>
        <w:rPr>
          <w:noProof/>
        </w:rPr>
      </w:pPr>
      <w:r>
        <w:rPr>
          <w:noProof/>
        </w:rPr>
        <w:t>Da forhandlingerne om en fornyelse af aftalen og den tilhørende protokol endnu ikke er afsluttet, har Kommissionen på Den Europæiske Unions vegne ført forhandlinger om en aftale i form af brevveksling om forlængelse for en periode på højst et år af protokollen om fastsættelse af fiskerimulighederne og den finansielle modydelse i forbindelse med aftalens gennemførelse ("brevvekslingen"). Efter afslutningen af forhandlingerne blev brevvekslingen paraferet den 4. september 2019.</w:t>
      </w:r>
    </w:p>
    <w:p>
      <w:pPr>
        <w:rPr>
          <w:noProof/>
        </w:rPr>
      </w:pPr>
      <w:r>
        <w:rPr>
          <w:noProof/>
        </w:rPr>
        <w:t>Målet for brevvekslingen er at give Den Europæiske Union og Den Islamiske Republik Mauretanien mulighed for at fortsætte samarbejdet om at fremme en bæredygtig fiskeripolitik og en ansvarlig udnyttelse af fiskeressourcerne i de mauretanske farvande samt at gøre det muligt for EU-fartøjer at fiske i disse farvande.</w:t>
      </w:r>
    </w:p>
    <w:p>
      <w:pPr>
        <w:rPr>
          <w:noProof/>
        </w:rPr>
      </w:pPr>
      <w:r>
        <w:rPr>
          <w:noProof/>
        </w:rPr>
        <w:t>I protokollen er der fastsat fiskerimuligheder for følgende kategorier:</w:t>
      </w:r>
    </w:p>
    <w:p>
      <w:pPr>
        <w:pStyle w:val="Tiret0"/>
        <w:numPr>
          <w:ilvl w:val="0"/>
          <w:numId w:val="1"/>
        </w:numPr>
        <w:rPr>
          <w:noProof/>
        </w:rPr>
      </w:pPr>
      <w:r>
        <w:rPr>
          <w:noProof/>
        </w:rPr>
        <w:t>Fiskerikategori 1 — Fartøjer til fiskeri efter krebsdyr undtagen languster og krabbe: 5 000 ton og 25 fartøjer</w:t>
      </w:r>
    </w:p>
    <w:p>
      <w:pPr>
        <w:pStyle w:val="Tiret0"/>
        <w:rPr>
          <w:noProof/>
        </w:rPr>
      </w:pPr>
      <w:r>
        <w:rPr>
          <w:noProof/>
        </w:rPr>
        <w:t>Fiskerikategori 2 — Trawlere uden fryseanlæg og langlinefartøjer med bundline til fiskeri efter senegalesisk kulmule: 6 000 ton og 6 fartøjer</w:t>
      </w:r>
    </w:p>
    <w:p>
      <w:pPr>
        <w:pStyle w:val="Tiret0"/>
        <w:rPr>
          <w:noProof/>
        </w:rPr>
      </w:pPr>
      <w:r>
        <w:rPr>
          <w:noProof/>
        </w:rPr>
        <w:t>Fiskerikategori 2a — (Fryse)-trawlere, der fisker efter senegalesisk kulmule: (senegalesisk kulmule: 3 500 ton, blæksprutte 1 450 ton, sepiablæksprutte 600 ton)</w:t>
      </w:r>
    </w:p>
    <w:p>
      <w:pPr>
        <w:pStyle w:val="Tiret0"/>
        <w:rPr>
          <w:noProof/>
        </w:rPr>
      </w:pPr>
      <w:r>
        <w:rPr>
          <w:noProof/>
        </w:rPr>
        <w:t>Fiskerikategori 3 — Fartøjer, som fisker efter andre demersale arter end kulmule, med andre redskaber end trawl: 3 000 ton og 6 fartøjer</w:t>
      </w:r>
    </w:p>
    <w:p>
      <w:pPr>
        <w:pStyle w:val="Tiret0"/>
        <w:rPr>
          <w:noProof/>
        </w:rPr>
      </w:pPr>
      <w:r>
        <w:rPr>
          <w:noProof/>
        </w:rPr>
        <w:t>Fiskerikategori 4 — Notfartøjer til tunfiskeri: 12 500 ton (referencemængde) og 25 fartøjer</w:t>
      </w:r>
    </w:p>
    <w:p>
      <w:pPr>
        <w:pStyle w:val="Tiret0"/>
        <w:rPr>
          <w:noProof/>
        </w:rPr>
      </w:pPr>
      <w:r>
        <w:rPr>
          <w:noProof/>
        </w:rPr>
        <w:t>Fiskerikategori 5 — Stangfiskerfartøjer til tunfiskeri og langlinefartøjer: 7 500 ton (referencemængde) og 15 fartøjer</w:t>
      </w:r>
    </w:p>
    <w:p>
      <w:pPr>
        <w:pStyle w:val="Tiret0"/>
        <w:rPr>
          <w:noProof/>
        </w:rPr>
      </w:pPr>
      <w:r>
        <w:rPr>
          <w:noProof/>
        </w:rPr>
        <w:t>Fiskerikategori 6 — Frysetrawlere til pelagisk fiskeri: 225 000 ton (med en tilladt overskridelse på højst 10 %) og 19 fartøjer</w:t>
      </w:r>
    </w:p>
    <w:p>
      <w:pPr>
        <w:pStyle w:val="Tiret0"/>
        <w:rPr>
          <w:noProof/>
        </w:rPr>
      </w:pPr>
      <w:r>
        <w:rPr>
          <w:noProof/>
        </w:rPr>
        <w:t xml:space="preserve">Fiskerikategori 7 — Fartøjer uden frysere til pelagisk fiskeri: 15 000 ton (fratrækkes mængden for fiskerikategori 6 hvis anvendt) og 2 fartøjer. </w:t>
      </w:r>
    </w:p>
    <w:p>
      <w:pPr>
        <w:rPr>
          <w:noProof/>
        </w:rPr>
      </w:pPr>
      <w:r>
        <w:rPr>
          <w:noProof/>
        </w:rPr>
        <w:t>Det bør fastlægges, hvordan disse fiskerimuligheder skal fordeles mellem medlemsstaterne. Kommissionen foreslår på dette grundlag, at Rådet vedtager vedlagte forslag til forordning.</w:t>
      </w:r>
    </w:p>
    <w:p>
      <w:pPr>
        <w:pStyle w:val="ManualHeading1"/>
        <w:rPr>
          <w:noProof/>
        </w:rPr>
      </w:pPr>
      <w:r>
        <w:rPr>
          <w:noProof/>
        </w:rPr>
        <w:t>2.</w:t>
      </w:r>
      <w:r>
        <w:rPr>
          <w:noProof/>
        </w:rPr>
        <w:tab/>
        <w:t>RESULTATER AF HØRINGER AF INTERESSEREDE PARTER OG KONSEKVENSANALYSER</w:t>
      </w:r>
    </w:p>
    <w:p>
      <w:pPr>
        <w:rPr>
          <w:noProof/>
        </w:rPr>
      </w:pPr>
      <w:r>
        <w:rPr>
          <w:noProof/>
        </w:rPr>
        <w:t>De interesserede parter er blevet hørt i forbindelse med evalueringen af protokollen for perioden 2012-2014. Medlemsstaternes eksperter er også blevet hørt på de tekniske møder. Det er på baggrund af disse høringer konkluderet, at det er af interesse at forny aftalen om fiskeri og at indgå en dertil hørende fiskeriprotokol med Den Islamiske Republik Mauretanien.</w:t>
      </w:r>
    </w:p>
    <w:p>
      <w:pPr>
        <w:pStyle w:val="ManualHeading1"/>
        <w:rPr>
          <w:noProof/>
        </w:rPr>
      </w:pPr>
      <w:r>
        <w:rPr>
          <w:noProof/>
        </w:rPr>
        <w:lastRenderedPageBreak/>
        <w:t>3.</w:t>
      </w:r>
      <w:r>
        <w:rPr>
          <w:noProof/>
        </w:rPr>
        <w:tab/>
        <w:t>JURIDISKE ASPEKTER AF FORSLAGET</w:t>
      </w:r>
    </w:p>
    <w:p>
      <w:pPr>
        <w:spacing w:before="0" w:after="240"/>
        <w:rPr>
          <w:noProof/>
        </w:rPr>
      </w:pPr>
      <w:r>
        <w:rPr>
          <w:noProof/>
        </w:rPr>
        <w:t xml:space="preserve">Det valgte retsgrundlag er traktaten om Den Europæiske Unions funktionsmåde, hvori det i artikel 43, stk. 3, fastsættes, at Rådet vedtager fordelingen af fiskerimuligheder på forslag fra Kommissionen. </w:t>
      </w:r>
    </w:p>
    <w:p>
      <w:pPr>
        <w:rPr>
          <w:noProof/>
        </w:rPr>
      </w:pPr>
      <w:r>
        <w:rPr>
          <w:noProof/>
        </w:rPr>
        <w:t>Denne procedure er iværksat sideløbende med procedurerne for Rådets afgørelse om godkendelse af undertegnelsen og den midlertidige anvendelse såvel som indgåelsen af aftalen i form af brevveksling om forlængelse for en periode på højst et år af protokollen om fastsættelse af fiskerimulighederne og den finansielle modydelse i forbindelse med aftalens gennemførelse.</w:t>
      </w:r>
    </w:p>
    <w:p>
      <w:pPr>
        <w:pStyle w:val="ManualHeading1"/>
        <w:rPr>
          <w:noProof/>
        </w:rPr>
      </w:pPr>
      <w:r>
        <w:rPr>
          <w:noProof/>
        </w:rPr>
        <w:t>4.</w:t>
      </w:r>
      <w:r>
        <w:rPr>
          <w:noProof/>
        </w:rPr>
        <w:tab/>
        <w:t>VIRKNINGER FOR BUDGETTET</w:t>
      </w:r>
    </w:p>
    <w:p>
      <w:pPr>
        <w:rPr>
          <w:noProof/>
        </w:rPr>
      </w:pPr>
      <w:r>
        <w:rPr>
          <w:noProof/>
        </w:rPr>
        <w:t>Den årlige finansielle modydelse beløber sig for en periode på højst et år i forbindelse med forlængelsen til 61 625 000 EUR baseret på:</w:t>
      </w:r>
    </w:p>
    <w:p>
      <w:pPr>
        <w:rPr>
          <w:noProof/>
        </w:rPr>
      </w:pPr>
      <w:r>
        <w:rPr>
          <w:noProof/>
        </w:rPr>
        <w:t>a) en samlet tilladt fangstmængde på 259 550 ton for fiskerikategorierne 1, 2, 2a, 3, 6</w:t>
      </w:r>
      <w:r>
        <w:rPr>
          <w:rStyle w:val="FootnoteReference"/>
          <w:noProof/>
        </w:rPr>
        <w:footnoteReference w:id="1"/>
      </w:r>
      <w:r>
        <w:rPr>
          <w:noProof/>
        </w:rPr>
        <w:t xml:space="preserve"> og 7 og en referencemængde på 20 000 ton for fiskerikategorierne 4 og 5 i protokollen, svarende til et beløb for adgang på 57 500 000 EUR om året, og </w:t>
      </w:r>
    </w:p>
    <w:p>
      <w:pPr>
        <w:rPr>
          <w:noProof/>
        </w:rPr>
      </w:pPr>
      <w:r>
        <w:rPr>
          <w:noProof/>
        </w:rPr>
        <w:t>b) støtte til udviklingen af Den Islamiske Republik Mauretaniens fiskerisektorpolitik på 4 125 000 EUR om året. Denne støtte opfylder målene for Den Islamiske Republik Mauretaniens nationale fiskeripolitik og navnlig dens behov for støtte til videnskabeligt og teknisk samarbejde, uddannelse, fiskerikontrol, miljøbeskyttelse og udviklingsinfrastruktur.</w:t>
      </w:r>
    </w:p>
    <w:p>
      <w:pPr>
        <w:rPr>
          <w:noProof/>
        </w:rPr>
        <w:sectPr>
          <w:footerReference w:type="default" r:id="rId11"/>
          <w:footerReference w:type="first" r:id="rId12"/>
          <w:pgSz w:w="11907" w:h="16839"/>
          <w:pgMar w:top="1134" w:right="1417" w:bottom="1134" w:left="1417" w:header="709" w:footer="709" w:gutter="0"/>
          <w:cols w:space="708"/>
          <w:docGrid w:linePitch="360"/>
        </w:sectPr>
      </w:pPr>
    </w:p>
    <w:p>
      <w:pPr>
        <w:pStyle w:val="Rfrenceinterinstitutionnelle"/>
        <w:rPr>
          <w:noProof/>
        </w:rPr>
      </w:pPr>
      <w:r>
        <w:rPr>
          <w:noProof/>
        </w:rPr>
        <w:lastRenderedPageBreak/>
        <w:t>2019/0208 (NLE)</w:t>
      </w:r>
    </w:p>
    <w:p>
      <w:pPr>
        <w:pStyle w:val="Statut"/>
        <w:rPr>
          <w:noProof/>
        </w:rPr>
      </w:pPr>
      <w:r>
        <w:rPr>
          <w:noProof/>
        </w:rPr>
        <w:t>Forslag til</w:t>
      </w:r>
    </w:p>
    <w:p>
      <w:pPr>
        <w:pStyle w:val="Typedudocument"/>
        <w:rPr>
          <w:noProof/>
        </w:rPr>
      </w:pPr>
      <w:r>
        <w:rPr>
          <w:noProof/>
        </w:rPr>
        <w:t>RÅDETS FORORDNING</w:t>
      </w:r>
    </w:p>
    <w:p>
      <w:pPr>
        <w:pStyle w:val="Titreobjet"/>
        <w:rPr>
          <w:noProof/>
        </w:rPr>
      </w:pPr>
      <w:r>
        <w:rPr>
          <w:noProof/>
        </w:rPr>
        <w:t>om fordeling af fiskerimuligheder i henhold til protokollen om fastsættelse for en periode på højst et år af de fiskerimuligheder og den finansielle modydelse, der er omhandlet i fiskeripartnerskabsaftalen mellem Det Europæiske Fællesskab og Den Islamiske Republik Mauretanien</w:t>
      </w:r>
    </w:p>
    <w:p>
      <w:pPr>
        <w:pStyle w:val="Institutionquiagit"/>
        <w:rPr>
          <w:noProof/>
        </w:rPr>
      </w:pPr>
      <w:r>
        <w:rPr>
          <w:noProof/>
        </w:rPr>
        <w:t>RÅDET FOR DEN EUROPÆISKE UNION HAR —</w:t>
      </w:r>
    </w:p>
    <w:p>
      <w:pPr>
        <w:rPr>
          <w:noProof/>
        </w:rPr>
      </w:pPr>
      <w:r>
        <w:rPr>
          <w:noProof/>
        </w:rPr>
        <w:t>under henvisning til traktaten om Den Europæiske Unions funktionsmåde, særlig artikel 43, stk. 3,</w:t>
      </w:r>
    </w:p>
    <w:p>
      <w:pPr>
        <w:rPr>
          <w:noProof/>
        </w:rPr>
      </w:pPr>
      <w:r>
        <w:rPr>
          <w:noProof/>
        </w:rPr>
        <w:t>under henvisning til forslag fra Europa-Kommissionen, og</w:t>
      </w:r>
    </w:p>
    <w:p>
      <w:pPr>
        <w:rPr>
          <w:noProof/>
        </w:rPr>
      </w:pPr>
      <w:r>
        <w:rPr>
          <w:noProof/>
        </w:rPr>
        <w:t>ud fra følgende betragtninger:</w:t>
      </w:r>
    </w:p>
    <w:p>
      <w:pPr>
        <w:pStyle w:val="ManualConsidrant"/>
        <w:rPr>
          <w:noProof/>
        </w:rPr>
      </w:pPr>
      <w:r>
        <w:rPr>
          <w:noProof/>
        </w:rPr>
        <w:t>(1)</w:t>
      </w:r>
      <w:r>
        <w:rPr>
          <w:noProof/>
        </w:rPr>
        <w:tab/>
        <w:t>Fiskeripartnerskabsaftalen mellem Det Europæiske Fællesskab og Den Islamiske Republik Mauretanien</w:t>
      </w:r>
      <w:r>
        <w:rPr>
          <w:rStyle w:val="FootnoteReference"/>
          <w:noProof/>
        </w:rPr>
        <w:footnoteReference w:id="2"/>
      </w:r>
      <w:r>
        <w:rPr>
          <w:noProof/>
        </w:rPr>
        <w:t xml:space="preserve"> ("aftalen"), der blev godkendt ved Rådets forordning (EF) nr. 1801/2006</w:t>
      </w:r>
      <w:r>
        <w:rPr>
          <w:rStyle w:val="FootnoteReference"/>
          <w:noProof/>
        </w:rPr>
        <w:footnoteReference w:id="3"/>
      </w:r>
      <w:r>
        <w:rPr>
          <w:noProof/>
        </w:rPr>
        <w:t>, trådte i kraft den 8. august 2008. Den tilhørende protokol om fastsættelse af fiskerimulighederne og den finansielle modydelse, der er omhandlet i aftalen ("protokollen"), som trådte i kraft samme dag for en periode på to år, er blevet erstattet flere gange.</w:t>
      </w:r>
    </w:p>
    <w:p>
      <w:pPr>
        <w:pStyle w:val="ManualConsidrant"/>
        <w:rPr>
          <w:noProof/>
        </w:rPr>
      </w:pPr>
      <w:r>
        <w:rPr>
          <w:noProof/>
        </w:rPr>
        <w:t>(2)</w:t>
      </w:r>
      <w:r>
        <w:rPr>
          <w:noProof/>
        </w:rPr>
        <w:tab/>
        <w:t>Den foregående protokol til aftalen udløber den 15. november 2019.</w:t>
      </w:r>
    </w:p>
    <w:p>
      <w:pPr>
        <w:pStyle w:val="ManualConsidrant"/>
        <w:rPr>
          <w:noProof/>
        </w:rPr>
      </w:pPr>
      <w:r>
        <w:rPr>
          <w:noProof/>
        </w:rPr>
        <w:t>(3)</w:t>
      </w:r>
      <w:r>
        <w:rPr>
          <w:noProof/>
        </w:rPr>
        <w:tab/>
        <w:t>Da forhandlingerne om en fornyelse af aftalen og den tilhørende protokol endnu ikke er afsluttet, har Kommissionen på Den Europæiske Unions vegne ført forhandlinger om en aftale i form af brevveksling om forlængelse for en periode på højst et år af protokollen om fastsættelse af fiskerimulighederne og den finansielle modydelse, der er omhandlet i aftalen ("aftalen i form af brevveksling").</w:t>
      </w:r>
    </w:p>
    <w:p>
      <w:pPr>
        <w:pStyle w:val="ManualConsidrant"/>
        <w:rPr>
          <w:noProof/>
        </w:rPr>
      </w:pPr>
      <w:r>
        <w:rPr>
          <w:noProof/>
        </w:rPr>
        <w:t>(3)</w:t>
      </w:r>
      <w:r>
        <w:rPr>
          <w:noProof/>
        </w:rPr>
        <w:tab/>
        <w:t>Den […] vedtog Rådet afgørelse (EU) 2019/[…]</w:t>
      </w:r>
      <w:r>
        <w:rPr>
          <w:rStyle w:val="FootnoteReference"/>
          <w:noProof/>
        </w:rPr>
        <w:footnoteReference w:id="4"/>
      </w:r>
      <w:r>
        <w:rPr>
          <w:noProof/>
        </w:rPr>
        <w:t xml:space="preserve"> om undertegnelse og midlertidig anvendelse af aftalen i form af brevveksling om forlængelse af protokollen om fastsættelse af de fiskerimuligheder og den finansielle modydelse, der er omhandlet i fiskeripartnerskabsaftalen mellem Det Europæiske Fællesskab og Den Islamiske Republik Mauretanien, der udløber den 15. november 2019.</w:t>
      </w:r>
    </w:p>
    <w:p>
      <w:pPr>
        <w:pStyle w:val="ManualConsidrant"/>
        <w:rPr>
          <w:noProof/>
        </w:rPr>
      </w:pPr>
      <w:r>
        <w:rPr>
          <w:noProof/>
        </w:rPr>
        <w:t>(4)</w:t>
      </w:r>
      <w:r>
        <w:rPr>
          <w:noProof/>
        </w:rPr>
        <w:tab/>
        <w:t>Det bør fastlægges, hvordan fiskerimulighederne skal fordeles mellem medlemsstaterne i protokollens forlængede anvendelsesperiode.</w:t>
      </w:r>
    </w:p>
    <w:p>
      <w:pPr>
        <w:pStyle w:val="ManualConsidrant"/>
        <w:rPr>
          <w:noProof/>
        </w:rPr>
      </w:pPr>
      <w:r>
        <w:rPr>
          <w:noProof/>
        </w:rPr>
        <w:t>(5)</w:t>
      </w:r>
      <w:r>
        <w:rPr>
          <w:noProof/>
        </w:rPr>
        <w:tab/>
        <w:t>I henhold til artikel 47, stk. 2, i</w:t>
      </w:r>
      <w:r>
        <w:rPr>
          <w:i/>
          <w:noProof/>
        </w:rPr>
        <w:t xml:space="preserve"> </w:t>
      </w:r>
      <w:r>
        <w:rPr>
          <w:noProof/>
        </w:rPr>
        <w:t>Europa-Parlamentets og Rådets forordning (EU) 2017/2403</w:t>
      </w:r>
      <w:r>
        <w:rPr>
          <w:rStyle w:val="FootnoteReference"/>
          <w:noProof/>
        </w:rPr>
        <w:footnoteReference w:id="5"/>
      </w:r>
      <w:r>
        <w:rPr>
          <w:i/>
          <w:noProof/>
        </w:rPr>
        <w:t xml:space="preserve"> </w:t>
      </w:r>
      <w:r>
        <w:rPr>
          <w:noProof/>
        </w:rPr>
        <w:t xml:space="preserve">skal Kommissionen underrette de berørte medlemsstater, hvis det viser sig, at de fiskerimuligheder, som Unionen har fået tildelt i henhold til protokollen, ikke udnyttes fuldt ud. Modtages der ikke noget svar inden udløbet af en frist, som </w:t>
      </w:r>
      <w:r>
        <w:rPr>
          <w:noProof/>
        </w:rPr>
        <w:lastRenderedPageBreak/>
        <w:t>fastsættes af Rådet, betragtes det som en bekræftelse af, at den pågældende medlemsstats fartøjer ikke udnytter deres fiskerimuligheder fuldt ud i den pågældende periode. Denne frist bør fastsættes.</w:t>
      </w:r>
    </w:p>
    <w:p>
      <w:pPr>
        <w:pStyle w:val="ManualConsidrant"/>
        <w:rPr>
          <w:noProof/>
        </w:rPr>
      </w:pPr>
      <w:r>
        <w:rPr>
          <w:noProof/>
        </w:rPr>
        <w:t>(6)</w:t>
      </w:r>
      <w:r>
        <w:rPr>
          <w:noProof/>
        </w:rPr>
        <w:tab/>
        <w:t>Denne forordning bør finde anvendelse fra datoen for undertegnelsen af aftalen i form af brevveksling —</w:t>
      </w:r>
      <w:r>
        <w:rPr>
          <w:noProof/>
        </w:rPr>
        <w:tab/>
      </w:r>
    </w:p>
    <w:p>
      <w:pPr>
        <w:pStyle w:val="Formuledadoption"/>
        <w:rPr>
          <w:noProof/>
        </w:rPr>
      </w:pPr>
      <w:r>
        <w:rPr>
          <w:noProof/>
        </w:rPr>
        <w:t>VEDTAGET DENNE FORORDNING:</w:t>
      </w:r>
    </w:p>
    <w:p>
      <w:pPr>
        <w:pStyle w:val="Titrearticle"/>
        <w:rPr>
          <w:noProof/>
        </w:rPr>
      </w:pPr>
      <w:r>
        <w:rPr>
          <w:noProof/>
        </w:rPr>
        <w:t>Artikel 1</w:t>
      </w:r>
    </w:p>
    <w:p>
      <w:pPr>
        <w:pStyle w:val="ManualNumPar1"/>
        <w:rPr>
          <w:noProof/>
        </w:rPr>
      </w:pPr>
      <w:r>
        <w:rPr>
          <w:noProof/>
        </w:rPr>
        <w:t>1.</w:t>
      </w:r>
      <w:r>
        <w:rPr>
          <w:noProof/>
        </w:rPr>
        <w:tab/>
        <w:t>De fiskerimuligheder, der er fastsat i protokollen om fastsættelse i protokollens anvendelsesperiode af de fiskerimuligheder og den finansielle modydelse, der er omhandlet i fiskeripartnerskabsaftalen mellem Det Europæiske Fællesskab og Den Islamiske Republik Mauretanien, fordeles mellem medlemsstaterne som følger:</w:t>
      </w:r>
    </w:p>
    <w:p>
      <w:pPr>
        <w:pStyle w:val="Point0"/>
        <w:rPr>
          <w:noProof/>
        </w:rPr>
      </w:pPr>
      <w:r>
        <w:t>(a)</w:t>
      </w:r>
      <w:r>
        <w:tab/>
      </w:r>
      <w:r>
        <w:rPr>
          <w:noProof/>
        </w:rPr>
        <w:t xml:space="preserve">Fiskerikategori 1 — Fartøjer til fiskeri efter krebsdyr undtagen languster og krabbe </w:t>
      </w:r>
    </w:p>
    <w:p>
      <w:pPr>
        <w:pStyle w:val="Text1"/>
        <w:tabs>
          <w:tab w:val="right" w:pos="4962"/>
        </w:tabs>
        <w:spacing w:before="0" w:after="0"/>
        <w:ind w:left="851"/>
        <w:rPr>
          <w:noProof/>
        </w:rPr>
      </w:pPr>
    </w:p>
    <w:tbl>
      <w:tblPr>
        <w:tblW w:w="0" w:type="auto"/>
        <w:tblInd w:w="959" w:type="dxa"/>
        <w:tblLayout w:type="fixed"/>
        <w:tblLook w:val="0000" w:firstRow="0" w:lastRow="0" w:firstColumn="0" w:lastColumn="0" w:noHBand="0" w:noVBand="0"/>
      </w:tblPr>
      <w:tblGrid>
        <w:gridCol w:w="2693"/>
        <w:gridCol w:w="2410"/>
      </w:tblGrid>
      <w:tr>
        <w:tc>
          <w:tcPr>
            <w:tcW w:w="2693" w:type="dxa"/>
          </w:tcPr>
          <w:p>
            <w:pPr>
              <w:pStyle w:val="Text1"/>
              <w:tabs>
                <w:tab w:val="left" w:pos="4962"/>
              </w:tabs>
              <w:spacing w:before="0" w:after="0"/>
              <w:ind w:left="-108"/>
              <w:rPr>
                <w:noProof/>
              </w:rPr>
            </w:pPr>
            <w:r>
              <w:rPr>
                <w:noProof/>
              </w:rPr>
              <w:t>Spanien</w:t>
            </w:r>
          </w:p>
        </w:tc>
        <w:tc>
          <w:tcPr>
            <w:tcW w:w="2410" w:type="dxa"/>
          </w:tcPr>
          <w:p>
            <w:pPr>
              <w:pStyle w:val="Text1"/>
              <w:tabs>
                <w:tab w:val="right" w:pos="1310"/>
                <w:tab w:val="left" w:pos="1451"/>
                <w:tab w:val="left" w:pos="4962"/>
              </w:tabs>
              <w:spacing w:before="0" w:after="0"/>
              <w:ind w:left="0"/>
              <w:rPr>
                <w:noProof/>
              </w:rPr>
            </w:pPr>
            <w:r>
              <w:rPr>
                <w:noProof/>
              </w:rPr>
              <w:tab/>
              <w:t>4 150 ton</w:t>
            </w:r>
          </w:p>
        </w:tc>
      </w:tr>
      <w:tr>
        <w:tc>
          <w:tcPr>
            <w:tcW w:w="2693" w:type="dxa"/>
          </w:tcPr>
          <w:p>
            <w:pPr>
              <w:pStyle w:val="Text1"/>
              <w:tabs>
                <w:tab w:val="left" w:pos="4962"/>
              </w:tabs>
              <w:spacing w:before="0" w:after="0"/>
              <w:ind w:left="-108"/>
              <w:rPr>
                <w:noProof/>
              </w:rPr>
            </w:pPr>
            <w:r>
              <w:rPr>
                <w:noProof/>
              </w:rPr>
              <w:t>Italien</w:t>
            </w:r>
          </w:p>
        </w:tc>
        <w:tc>
          <w:tcPr>
            <w:tcW w:w="2410" w:type="dxa"/>
          </w:tcPr>
          <w:p>
            <w:pPr>
              <w:pStyle w:val="Text1"/>
              <w:tabs>
                <w:tab w:val="right" w:pos="1310"/>
                <w:tab w:val="left" w:pos="1451"/>
                <w:tab w:val="left" w:pos="4962"/>
              </w:tabs>
              <w:spacing w:before="0" w:after="0"/>
              <w:ind w:left="0"/>
              <w:rPr>
                <w:noProof/>
              </w:rPr>
            </w:pPr>
            <w:r>
              <w:rPr>
                <w:noProof/>
              </w:rPr>
              <w:tab/>
              <w:t>600 ton</w:t>
            </w:r>
          </w:p>
        </w:tc>
      </w:tr>
      <w:tr>
        <w:tc>
          <w:tcPr>
            <w:tcW w:w="2693" w:type="dxa"/>
          </w:tcPr>
          <w:p>
            <w:pPr>
              <w:pStyle w:val="Text1"/>
              <w:tabs>
                <w:tab w:val="left" w:pos="4962"/>
              </w:tabs>
              <w:spacing w:before="0" w:after="0"/>
              <w:ind w:left="-108"/>
              <w:rPr>
                <w:noProof/>
              </w:rPr>
            </w:pPr>
            <w:r>
              <w:rPr>
                <w:noProof/>
              </w:rPr>
              <w:t>Portugal</w:t>
            </w:r>
          </w:p>
        </w:tc>
        <w:tc>
          <w:tcPr>
            <w:tcW w:w="2410" w:type="dxa"/>
          </w:tcPr>
          <w:p>
            <w:pPr>
              <w:pStyle w:val="Text1"/>
              <w:tabs>
                <w:tab w:val="right" w:pos="1310"/>
                <w:tab w:val="left" w:pos="1451"/>
                <w:tab w:val="left" w:pos="4962"/>
              </w:tabs>
              <w:spacing w:before="0" w:after="0"/>
              <w:ind w:left="0"/>
              <w:rPr>
                <w:noProof/>
              </w:rPr>
            </w:pPr>
            <w:r>
              <w:rPr>
                <w:noProof/>
              </w:rPr>
              <w:tab/>
              <w:t>250 ton</w:t>
            </w:r>
          </w:p>
        </w:tc>
      </w:tr>
    </w:tbl>
    <w:p>
      <w:pPr>
        <w:pStyle w:val="Text1"/>
        <w:tabs>
          <w:tab w:val="right" w:pos="4962"/>
        </w:tabs>
        <w:spacing w:before="0" w:after="0"/>
        <w:ind w:left="851"/>
        <w:rPr>
          <w:noProof/>
        </w:rPr>
      </w:pPr>
    </w:p>
    <w:p>
      <w:pPr>
        <w:pStyle w:val="Text1"/>
        <w:tabs>
          <w:tab w:val="right" w:pos="4962"/>
        </w:tabs>
        <w:spacing w:before="0" w:after="0"/>
        <w:ind w:left="851"/>
        <w:rPr>
          <w:noProof/>
        </w:rPr>
      </w:pPr>
      <w:r>
        <w:rPr>
          <w:noProof/>
        </w:rPr>
        <w:t>I denne fiskerikategori kan der maksimalt anvendes 25 fartøjer ad gangen i mauretanske farvande.</w:t>
      </w:r>
    </w:p>
    <w:p>
      <w:pPr>
        <w:pStyle w:val="Text1"/>
        <w:rPr>
          <w:noProof/>
        </w:rPr>
      </w:pPr>
    </w:p>
    <w:p>
      <w:pPr>
        <w:pStyle w:val="Point0"/>
        <w:rPr>
          <w:noProof/>
        </w:rPr>
      </w:pPr>
      <w:r>
        <w:t>(b)</w:t>
      </w:r>
      <w:r>
        <w:tab/>
      </w:r>
      <w:r>
        <w:rPr>
          <w:noProof/>
        </w:rPr>
        <w:t xml:space="preserve">Fiskerikategori 2 — Trawlere uden fryseanlæg og langlinefartøjer med bundline til fiskeri efter senegalesisk kulmule </w:t>
      </w:r>
    </w:p>
    <w:p>
      <w:pPr>
        <w:pStyle w:val="Text1"/>
        <w:tabs>
          <w:tab w:val="right" w:pos="4962"/>
        </w:tabs>
        <w:spacing w:before="0" w:after="0"/>
        <w:ind w:left="851"/>
        <w:rPr>
          <w:noProof/>
        </w:rPr>
      </w:pPr>
    </w:p>
    <w:tbl>
      <w:tblPr>
        <w:tblW w:w="0" w:type="auto"/>
        <w:tblInd w:w="959" w:type="dxa"/>
        <w:tblLayout w:type="fixed"/>
        <w:tblLook w:val="0000" w:firstRow="0" w:lastRow="0" w:firstColumn="0" w:lastColumn="0" w:noHBand="0" w:noVBand="0"/>
      </w:tblPr>
      <w:tblGrid>
        <w:gridCol w:w="2693"/>
        <w:gridCol w:w="2410"/>
      </w:tblGrid>
      <w:tr>
        <w:tc>
          <w:tcPr>
            <w:tcW w:w="2693" w:type="dxa"/>
          </w:tcPr>
          <w:p>
            <w:pPr>
              <w:pStyle w:val="Text1"/>
              <w:tabs>
                <w:tab w:val="left" w:pos="4962"/>
              </w:tabs>
              <w:spacing w:before="0" w:after="0"/>
              <w:ind w:left="-108"/>
              <w:rPr>
                <w:noProof/>
              </w:rPr>
            </w:pPr>
            <w:r>
              <w:rPr>
                <w:noProof/>
              </w:rPr>
              <w:t>Spanien</w:t>
            </w:r>
          </w:p>
        </w:tc>
        <w:tc>
          <w:tcPr>
            <w:tcW w:w="2410" w:type="dxa"/>
          </w:tcPr>
          <w:p>
            <w:pPr>
              <w:pStyle w:val="Text1"/>
              <w:tabs>
                <w:tab w:val="left" w:pos="1298"/>
                <w:tab w:val="left" w:pos="4962"/>
              </w:tabs>
              <w:spacing w:before="0" w:after="0"/>
              <w:ind w:left="34"/>
              <w:rPr>
                <w:noProof/>
              </w:rPr>
            </w:pPr>
            <w:r>
              <w:rPr>
                <w:noProof/>
              </w:rPr>
              <w:t>6 000 ton</w:t>
            </w:r>
          </w:p>
        </w:tc>
      </w:tr>
    </w:tbl>
    <w:p>
      <w:pPr>
        <w:pStyle w:val="Text1"/>
        <w:tabs>
          <w:tab w:val="right" w:pos="4962"/>
        </w:tabs>
        <w:spacing w:before="0" w:after="0"/>
        <w:ind w:left="851"/>
        <w:rPr>
          <w:noProof/>
        </w:rPr>
      </w:pPr>
    </w:p>
    <w:p>
      <w:pPr>
        <w:pStyle w:val="Text1"/>
        <w:tabs>
          <w:tab w:val="right" w:pos="4962"/>
        </w:tabs>
        <w:spacing w:before="0" w:after="0"/>
        <w:rPr>
          <w:noProof/>
        </w:rPr>
      </w:pPr>
      <w:r>
        <w:rPr>
          <w:noProof/>
        </w:rPr>
        <w:t xml:space="preserve">I denne fiskerikategori kan der maksimalt anvendes 6 fartøjer ad gangen i mauretanske farvande. </w:t>
      </w:r>
    </w:p>
    <w:p>
      <w:pPr>
        <w:pStyle w:val="Text1"/>
        <w:tabs>
          <w:tab w:val="right" w:pos="4962"/>
        </w:tabs>
        <w:spacing w:before="0" w:after="0"/>
        <w:rPr>
          <w:noProof/>
        </w:rPr>
      </w:pPr>
    </w:p>
    <w:p>
      <w:pPr>
        <w:pStyle w:val="Point0"/>
        <w:rPr>
          <w:noProof/>
        </w:rPr>
      </w:pPr>
      <w:r>
        <w:t>(c)</w:t>
      </w:r>
      <w:r>
        <w:tab/>
      </w:r>
      <w:r>
        <w:rPr>
          <w:noProof/>
        </w:rPr>
        <w:t xml:space="preserve">Fiskerikategori 3 — Fartøjer, der fisker efter andre demersale arter end kulmule, med andre redskaber end trawl </w:t>
      </w:r>
    </w:p>
    <w:p>
      <w:pPr>
        <w:pStyle w:val="Text1"/>
        <w:tabs>
          <w:tab w:val="left" w:pos="3686"/>
          <w:tab w:val="left" w:pos="4962"/>
        </w:tabs>
        <w:spacing w:before="0" w:after="0"/>
        <w:ind w:left="851"/>
        <w:rPr>
          <w:noProof/>
        </w:rPr>
      </w:pPr>
    </w:p>
    <w:p>
      <w:pPr>
        <w:pStyle w:val="Text1"/>
        <w:tabs>
          <w:tab w:val="left" w:pos="3686"/>
          <w:tab w:val="left" w:pos="4962"/>
        </w:tabs>
        <w:spacing w:before="0" w:after="0"/>
        <w:ind w:left="851"/>
        <w:rPr>
          <w:noProof/>
        </w:rPr>
      </w:pPr>
      <w:r>
        <w:rPr>
          <w:noProof/>
        </w:rPr>
        <w:t>Spanien</w:t>
      </w:r>
      <w:r>
        <w:rPr>
          <w:noProof/>
        </w:rPr>
        <w:tab/>
        <w:t>3 000 ton</w:t>
      </w:r>
    </w:p>
    <w:p>
      <w:pPr>
        <w:pStyle w:val="Text1"/>
        <w:tabs>
          <w:tab w:val="left" w:pos="3686"/>
          <w:tab w:val="left" w:pos="4962"/>
        </w:tabs>
        <w:spacing w:before="0" w:after="0"/>
        <w:ind w:left="851"/>
        <w:rPr>
          <w:noProof/>
        </w:rPr>
      </w:pPr>
    </w:p>
    <w:p>
      <w:pPr>
        <w:pStyle w:val="Text1"/>
        <w:tabs>
          <w:tab w:val="right" w:pos="4962"/>
        </w:tabs>
        <w:spacing w:before="0" w:after="0"/>
        <w:ind w:left="851"/>
        <w:rPr>
          <w:noProof/>
        </w:rPr>
      </w:pPr>
      <w:r>
        <w:rPr>
          <w:noProof/>
        </w:rPr>
        <w:t xml:space="preserve">I denne fiskerikategori kan der maksimalt anvendes 6 fartøjer ad gangen i mauretanske farvande. </w:t>
      </w:r>
    </w:p>
    <w:p>
      <w:pPr>
        <w:pStyle w:val="Text1"/>
        <w:tabs>
          <w:tab w:val="left" w:pos="3686"/>
          <w:tab w:val="left" w:pos="4962"/>
        </w:tabs>
        <w:spacing w:before="0" w:after="0"/>
        <w:ind w:left="851"/>
        <w:rPr>
          <w:noProof/>
        </w:rPr>
      </w:pPr>
    </w:p>
    <w:p>
      <w:pPr>
        <w:pStyle w:val="Point0"/>
        <w:rPr>
          <w:noProof/>
        </w:rPr>
      </w:pPr>
      <w:r>
        <w:t>(d)</w:t>
      </w:r>
      <w:r>
        <w:tab/>
      </w:r>
      <w:r>
        <w:rPr>
          <w:noProof/>
        </w:rPr>
        <w:t>Fiskerikategori 4 — Notfartøjer til tunfiskeri (12 500 ton — referencemængde)</w:t>
      </w:r>
    </w:p>
    <w:p>
      <w:pPr>
        <w:pStyle w:val="Text1"/>
        <w:tabs>
          <w:tab w:val="left" w:pos="3686"/>
          <w:tab w:val="left" w:pos="4962"/>
        </w:tabs>
        <w:spacing w:before="0" w:after="0"/>
        <w:ind w:left="851"/>
        <w:rPr>
          <w:noProof/>
        </w:rPr>
      </w:pPr>
    </w:p>
    <w:p>
      <w:pPr>
        <w:pStyle w:val="Text1"/>
        <w:tabs>
          <w:tab w:val="right" w:pos="4962"/>
        </w:tabs>
        <w:spacing w:before="0" w:after="0"/>
        <w:ind w:left="851"/>
        <w:rPr>
          <w:noProof/>
        </w:rPr>
      </w:pPr>
      <w:r>
        <w:rPr>
          <w:noProof/>
        </w:rPr>
        <w:t xml:space="preserve">Spanien                     </w:t>
      </w:r>
      <w:r>
        <w:rPr>
          <w:noProof/>
        </w:rPr>
        <w:tab/>
        <w:t>17 årlige licenser</w:t>
      </w:r>
    </w:p>
    <w:p>
      <w:pPr>
        <w:pStyle w:val="Text1"/>
        <w:tabs>
          <w:tab w:val="right" w:pos="4962"/>
        </w:tabs>
        <w:spacing w:before="0" w:after="0"/>
        <w:ind w:left="851"/>
        <w:rPr>
          <w:noProof/>
        </w:rPr>
      </w:pPr>
      <w:r>
        <w:rPr>
          <w:noProof/>
        </w:rPr>
        <w:t>Frankrig</w:t>
      </w:r>
      <w:r>
        <w:rPr>
          <w:noProof/>
        </w:rPr>
        <w:tab/>
        <w:t>8 årlige licenser</w:t>
      </w:r>
    </w:p>
    <w:p>
      <w:pPr>
        <w:pStyle w:val="Point0"/>
        <w:rPr>
          <w:noProof/>
        </w:rPr>
      </w:pPr>
      <w:r>
        <w:t>(e)</w:t>
      </w:r>
      <w:r>
        <w:tab/>
      </w:r>
      <w:r>
        <w:rPr>
          <w:noProof/>
        </w:rPr>
        <w:t>Fiskerikategori 5 — Stangfiskerfartøjer til tunfiskeri og langlinefartøjer med flydeline (7 500 ton — referencemængde)</w:t>
      </w:r>
    </w:p>
    <w:p>
      <w:pPr>
        <w:pStyle w:val="Text1"/>
        <w:tabs>
          <w:tab w:val="right" w:pos="4962"/>
        </w:tabs>
        <w:spacing w:before="0" w:after="0"/>
        <w:ind w:left="851"/>
        <w:rPr>
          <w:noProof/>
        </w:rPr>
      </w:pPr>
    </w:p>
    <w:p>
      <w:pPr>
        <w:pStyle w:val="Text1"/>
        <w:tabs>
          <w:tab w:val="right" w:pos="4962"/>
        </w:tabs>
        <w:spacing w:before="0" w:after="0"/>
        <w:ind w:left="851"/>
        <w:rPr>
          <w:noProof/>
        </w:rPr>
      </w:pPr>
      <w:r>
        <w:rPr>
          <w:noProof/>
        </w:rPr>
        <w:lastRenderedPageBreak/>
        <w:t>Spanien</w:t>
      </w:r>
      <w:r>
        <w:rPr>
          <w:noProof/>
        </w:rPr>
        <w:tab/>
        <w:t>14 årlige licenser</w:t>
      </w:r>
    </w:p>
    <w:p>
      <w:pPr>
        <w:pStyle w:val="Text1"/>
        <w:tabs>
          <w:tab w:val="right" w:pos="4962"/>
        </w:tabs>
        <w:spacing w:before="0" w:after="0"/>
        <w:ind w:left="851"/>
        <w:rPr>
          <w:noProof/>
        </w:rPr>
      </w:pPr>
      <w:r>
        <w:rPr>
          <w:noProof/>
        </w:rPr>
        <w:t>Frankrig</w:t>
      </w:r>
      <w:r>
        <w:rPr>
          <w:noProof/>
        </w:rPr>
        <w:tab/>
        <w:t>1 årlig licens</w:t>
      </w:r>
    </w:p>
    <w:p>
      <w:pPr>
        <w:pStyle w:val="Point0"/>
        <w:rPr>
          <w:noProof/>
        </w:rPr>
      </w:pPr>
      <w:r>
        <w:t>(f)</w:t>
      </w:r>
      <w:r>
        <w:tab/>
      </w:r>
      <w:r>
        <w:rPr>
          <w:noProof/>
        </w:rPr>
        <w:t>Fiskerikategori 6 — Frysetrawlere til pelagisk fiskeri</w:t>
      </w:r>
    </w:p>
    <w:p>
      <w:pPr>
        <w:pStyle w:val="Text1"/>
        <w:tabs>
          <w:tab w:val="right" w:pos="4962"/>
        </w:tabs>
        <w:spacing w:before="0" w:after="0"/>
        <w:ind w:left="851"/>
        <w:rPr>
          <w:noProof/>
        </w:rPr>
      </w:pPr>
    </w:p>
    <w:p>
      <w:pPr>
        <w:pStyle w:val="Text1"/>
        <w:tabs>
          <w:tab w:val="right" w:pos="4962"/>
        </w:tabs>
        <w:spacing w:before="0" w:after="0"/>
        <w:ind w:left="851"/>
        <w:rPr>
          <w:noProof/>
        </w:rPr>
      </w:pPr>
      <w:r>
        <w:rPr>
          <w:noProof/>
        </w:rPr>
        <w:t>Tyskland</w:t>
      </w:r>
      <w:r>
        <w:rPr>
          <w:noProof/>
        </w:rPr>
        <w:tab/>
        <w:t>12 560 ton</w:t>
      </w:r>
    </w:p>
    <w:p>
      <w:pPr>
        <w:pStyle w:val="Text1"/>
        <w:tabs>
          <w:tab w:val="right" w:pos="4962"/>
        </w:tabs>
        <w:spacing w:before="0" w:after="0"/>
        <w:ind w:left="851"/>
        <w:rPr>
          <w:noProof/>
        </w:rPr>
      </w:pPr>
      <w:r>
        <w:rPr>
          <w:noProof/>
        </w:rPr>
        <w:t>Frankrig</w:t>
      </w:r>
      <w:r>
        <w:rPr>
          <w:noProof/>
        </w:rPr>
        <w:tab/>
        <w:t>2 615 ton</w:t>
      </w:r>
    </w:p>
    <w:p>
      <w:pPr>
        <w:pStyle w:val="Text1"/>
        <w:tabs>
          <w:tab w:val="right" w:pos="4962"/>
        </w:tabs>
        <w:spacing w:before="0" w:after="0"/>
        <w:ind w:left="851"/>
        <w:rPr>
          <w:noProof/>
        </w:rPr>
      </w:pPr>
      <w:r>
        <w:rPr>
          <w:noProof/>
        </w:rPr>
        <w:t>Letland</w:t>
      </w:r>
      <w:r>
        <w:rPr>
          <w:noProof/>
        </w:rPr>
        <w:tab/>
        <w:t>53 913 ton</w:t>
      </w:r>
    </w:p>
    <w:p>
      <w:pPr>
        <w:pStyle w:val="Text1"/>
        <w:tabs>
          <w:tab w:val="right" w:pos="4962"/>
        </w:tabs>
        <w:spacing w:before="0" w:after="0"/>
        <w:ind w:left="851"/>
        <w:rPr>
          <w:noProof/>
        </w:rPr>
      </w:pPr>
      <w:r>
        <w:rPr>
          <w:noProof/>
        </w:rPr>
        <w:t>Litauen</w:t>
      </w:r>
      <w:r>
        <w:rPr>
          <w:noProof/>
        </w:rPr>
        <w:tab/>
        <w:t>57 642 ton</w:t>
      </w:r>
    </w:p>
    <w:p>
      <w:pPr>
        <w:pStyle w:val="Text1"/>
        <w:tabs>
          <w:tab w:val="right" w:pos="4962"/>
        </w:tabs>
        <w:spacing w:before="0" w:after="0"/>
        <w:ind w:left="851"/>
        <w:rPr>
          <w:noProof/>
        </w:rPr>
      </w:pPr>
      <w:r>
        <w:rPr>
          <w:noProof/>
        </w:rPr>
        <w:t>Nederlandene</w:t>
      </w:r>
      <w:r>
        <w:rPr>
          <w:noProof/>
        </w:rPr>
        <w:tab/>
        <w:t>62 592 ton</w:t>
      </w:r>
    </w:p>
    <w:p>
      <w:pPr>
        <w:pStyle w:val="Text1"/>
        <w:tabs>
          <w:tab w:val="right" w:pos="4962"/>
        </w:tabs>
        <w:spacing w:before="0" w:after="0"/>
        <w:ind w:left="851"/>
        <w:rPr>
          <w:noProof/>
        </w:rPr>
      </w:pPr>
      <w:r>
        <w:rPr>
          <w:noProof/>
        </w:rPr>
        <w:t>Polen</w:t>
      </w:r>
      <w:r>
        <w:rPr>
          <w:noProof/>
        </w:rPr>
        <w:tab/>
        <w:t>26 112 ton</w:t>
      </w:r>
    </w:p>
    <w:p>
      <w:pPr>
        <w:pStyle w:val="Text1"/>
        <w:tabs>
          <w:tab w:val="right" w:pos="4962"/>
        </w:tabs>
        <w:spacing w:before="0" w:after="0"/>
        <w:ind w:left="851"/>
        <w:rPr>
          <w:noProof/>
        </w:rPr>
      </w:pPr>
      <w:r>
        <w:rPr>
          <w:noProof/>
        </w:rPr>
        <w:t>Det Forenede Kongerige</w:t>
      </w:r>
      <w:r>
        <w:rPr>
          <w:noProof/>
        </w:rPr>
        <w:tab/>
        <w:t>8 531 ton</w:t>
      </w:r>
    </w:p>
    <w:p>
      <w:pPr>
        <w:pStyle w:val="Text1"/>
        <w:tabs>
          <w:tab w:val="right" w:pos="4962"/>
        </w:tabs>
        <w:spacing w:before="0" w:after="0"/>
        <w:ind w:left="851"/>
        <w:rPr>
          <w:noProof/>
        </w:rPr>
      </w:pPr>
      <w:r>
        <w:rPr>
          <w:noProof/>
        </w:rPr>
        <w:t>Irland</w:t>
      </w:r>
      <w:r>
        <w:rPr>
          <w:noProof/>
        </w:rPr>
        <w:tab/>
        <w:t>8 535 ton</w:t>
      </w:r>
    </w:p>
    <w:p>
      <w:pPr>
        <w:pStyle w:val="Text1"/>
        <w:tabs>
          <w:tab w:val="right" w:pos="4962"/>
        </w:tabs>
        <w:spacing w:before="0" w:after="0"/>
        <w:ind w:left="851"/>
        <w:rPr>
          <w:noProof/>
        </w:rPr>
      </w:pPr>
    </w:p>
    <w:p>
      <w:pPr>
        <w:pStyle w:val="Text1"/>
        <w:tabs>
          <w:tab w:val="right" w:pos="4962"/>
        </w:tabs>
        <w:spacing w:before="0" w:after="0"/>
        <w:ind w:left="851"/>
        <w:rPr>
          <w:noProof/>
        </w:rPr>
      </w:pPr>
      <w:r>
        <w:rPr>
          <w:noProof/>
        </w:rPr>
        <w:t>I løbet af protokollens anvendelsesperiode har medlemsstaterne nedenstående antal kvartalslicenser:</w:t>
      </w:r>
    </w:p>
    <w:p>
      <w:pPr>
        <w:pStyle w:val="Text1"/>
        <w:tabs>
          <w:tab w:val="right" w:pos="4962"/>
        </w:tabs>
        <w:spacing w:before="0" w:after="0"/>
        <w:ind w:left="851"/>
        <w:rPr>
          <w:noProof/>
        </w:rPr>
      </w:pPr>
    </w:p>
    <w:p>
      <w:pPr>
        <w:pStyle w:val="Text1"/>
        <w:tabs>
          <w:tab w:val="right" w:pos="4962"/>
        </w:tabs>
        <w:spacing w:before="0" w:after="0"/>
        <w:ind w:left="851"/>
        <w:rPr>
          <w:noProof/>
        </w:rPr>
      </w:pPr>
      <w:r>
        <w:rPr>
          <w:noProof/>
        </w:rPr>
        <w:t>Tyskland</w:t>
      </w:r>
      <w:r>
        <w:rPr>
          <w:noProof/>
        </w:rPr>
        <w:tab/>
        <w:t>4</w:t>
      </w:r>
    </w:p>
    <w:p>
      <w:pPr>
        <w:pStyle w:val="Text1"/>
        <w:tabs>
          <w:tab w:val="right" w:pos="4962"/>
        </w:tabs>
        <w:spacing w:before="0" w:after="0"/>
        <w:ind w:left="851"/>
        <w:rPr>
          <w:noProof/>
        </w:rPr>
      </w:pPr>
      <w:r>
        <w:rPr>
          <w:noProof/>
        </w:rPr>
        <w:t>Frankrig</w:t>
      </w:r>
      <w:r>
        <w:rPr>
          <w:noProof/>
        </w:rPr>
        <w:tab/>
        <w:t>2</w:t>
      </w:r>
    </w:p>
    <w:p>
      <w:pPr>
        <w:pStyle w:val="Text1"/>
        <w:tabs>
          <w:tab w:val="right" w:pos="4962"/>
        </w:tabs>
        <w:spacing w:before="0" w:after="0"/>
        <w:ind w:left="851"/>
        <w:rPr>
          <w:noProof/>
        </w:rPr>
      </w:pPr>
      <w:r>
        <w:rPr>
          <w:noProof/>
        </w:rPr>
        <w:t>Letland</w:t>
      </w:r>
      <w:r>
        <w:rPr>
          <w:noProof/>
        </w:rPr>
        <w:tab/>
        <w:t>20</w:t>
      </w:r>
    </w:p>
    <w:p>
      <w:pPr>
        <w:pStyle w:val="Text1"/>
        <w:tabs>
          <w:tab w:val="right" w:pos="4962"/>
        </w:tabs>
        <w:spacing w:before="0" w:after="0"/>
        <w:ind w:left="851"/>
        <w:rPr>
          <w:noProof/>
        </w:rPr>
      </w:pPr>
      <w:r>
        <w:rPr>
          <w:noProof/>
        </w:rPr>
        <w:t>Litauen</w:t>
      </w:r>
      <w:r>
        <w:rPr>
          <w:noProof/>
        </w:rPr>
        <w:tab/>
        <w:t>22</w:t>
      </w:r>
    </w:p>
    <w:p>
      <w:pPr>
        <w:pStyle w:val="Text1"/>
        <w:tabs>
          <w:tab w:val="right" w:pos="4962"/>
        </w:tabs>
        <w:spacing w:before="0" w:after="0"/>
        <w:ind w:left="851"/>
        <w:rPr>
          <w:noProof/>
        </w:rPr>
      </w:pPr>
      <w:r>
        <w:rPr>
          <w:noProof/>
        </w:rPr>
        <w:t>Nederlandene</w:t>
      </w:r>
      <w:r>
        <w:rPr>
          <w:noProof/>
        </w:rPr>
        <w:tab/>
        <w:t>16</w:t>
      </w:r>
    </w:p>
    <w:p>
      <w:pPr>
        <w:pStyle w:val="Text1"/>
        <w:tabs>
          <w:tab w:val="right" w:pos="4962"/>
        </w:tabs>
        <w:spacing w:before="0" w:after="0"/>
        <w:ind w:left="851"/>
        <w:rPr>
          <w:noProof/>
        </w:rPr>
      </w:pPr>
      <w:r>
        <w:rPr>
          <w:noProof/>
        </w:rPr>
        <w:t>Polen</w:t>
      </w:r>
      <w:r>
        <w:rPr>
          <w:noProof/>
        </w:rPr>
        <w:tab/>
        <w:t>8</w:t>
      </w:r>
    </w:p>
    <w:p>
      <w:pPr>
        <w:pStyle w:val="Text1"/>
        <w:tabs>
          <w:tab w:val="right" w:pos="4962"/>
        </w:tabs>
        <w:spacing w:before="0" w:after="0"/>
        <w:ind w:left="851"/>
        <w:rPr>
          <w:noProof/>
        </w:rPr>
      </w:pPr>
      <w:r>
        <w:rPr>
          <w:noProof/>
        </w:rPr>
        <w:t>Det Forenede Kongerige</w:t>
      </w:r>
      <w:r>
        <w:rPr>
          <w:noProof/>
        </w:rPr>
        <w:tab/>
        <w:t>2</w:t>
      </w:r>
    </w:p>
    <w:p>
      <w:pPr>
        <w:pStyle w:val="Text1"/>
        <w:tabs>
          <w:tab w:val="right" w:pos="4962"/>
        </w:tabs>
        <w:spacing w:before="0" w:after="0"/>
        <w:ind w:left="851"/>
        <w:rPr>
          <w:noProof/>
        </w:rPr>
      </w:pPr>
      <w:r>
        <w:rPr>
          <w:noProof/>
        </w:rPr>
        <w:t>Irland</w:t>
      </w:r>
      <w:r>
        <w:rPr>
          <w:noProof/>
        </w:rPr>
        <w:tab/>
        <w:t>2</w:t>
      </w:r>
    </w:p>
    <w:p>
      <w:pPr>
        <w:pStyle w:val="Text1"/>
        <w:tabs>
          <w:tab w:val="right" w:pos="4962"/>
        </w:tabs>
        <w:spacing w:before="0" w:after="0"/>
        <w:ind w:left="851"/>
        <w:rPr>
          <w:noProof/>
        </w:rPr>
      </w:pPr>
    </w:p>
    <w:p>
      <w:pPr>
        <w:pStyle w:val="Text1"/>
        <w:tabs>
          <w:tab w:val="right" w:pos="4962"/>
        </w:tabs>
        <w:spacing w:before="0" w:after="0"/>
        <w:ind w:left="851"/>
        <w:rPr>
          <w:i/>
          <w:noProof/>
        </w:rPr>
      </w:pPr>
      <w:r>
        <w:rPr>
          <w:noProof/>
        </w:rPr>
        <w:t>Medlemsstaterne meddeler det til Kommissionen, hvis visse licenser kan stilles til rådighed for andre medlemsstater.</w:t>
      </w:r>
    </w:p>
    <w:p>
      <w:pPr>
        <w:pStyle w:val="Text1"/>
        <w:tabs>
          <w:tab w:val="right" w:pos="4962"/>
        </w:tabs>
        <w:spacing w:before="0" w:after="0"/>
        <w:ind w:left="851"/>
        <w:rPr>
          <w:i/>
          <w:noProof/>
        </w:rPr>
      </w:pPr>
    </w:p>
    <w:p>
      <w:pPr>
        <w:pStyle w:val="Text1"/>
        <w:tabs>
          <w:tab w:val="right" w:pos="4962"/>
        </w:tabs>
        <w:spacing w:before="0" w:after="0"/>
        <w:ind w:left="851"/>
        <w:rPr>
          <w:noProof/>
        </w:rPr>
      </w:pPr>
      <w:r>
        <w:rPr>
          <w:noProof/>
        </w:rPr>
        <w:t>I denne fiskerikategori kan der maksimalt anvendes 19 fartøjer ad gangen i mauretanske farvande.</w:t>
      </w:r>
    </w:p>
    <w:p>
      <w:pPr>
        <w:pStyle w:val="Text1"/>
        <w:tabs>
          <w:tab w:val="right" w:pos="4962"/>
        </w:tabs>
        <w:spacing w:before="0" w:after="0"/>
        <w:ind w:left="851"/>
        <w:rPr>
          <w:noProof/>
        </w:rPr>
      </w:pPr>
    </w:p>
    <w:p>
      <w:pPr>
        <w:pStyle w:val="Point0"/>
        <w:rPr>
          <w:noProof/>
        </w:rPr>
      </w:pPr>
      <w:r>
        <w:t>(g)</w:t>
      </w:r>
      <w:r>
        <w:tab/>
      </w:r>
      <w:r>
        <w:rPr>
          <w:noProof/>
        </w:rPr>
        <w:t>Fiskerikategori 7 — Fartøjer uden frysere til pelagisk fiskeri</w:t>
      </w:r>
    </w:p>
    <w:p>
      <w:pPr>
        <w:pStyle w:val="Text1"/>
        <w:tabs>
          <w:tab w:val="right" w:pos="3686"/>
          <w:tab w:val="right" w:pos="4962"/>
        </w:tabs>
        <w:spacing w:before="0" w:after="0"/>
        <w:ind w:left="3544" w:hanging="2693"/>
        <w:rPr>
          <w:noProof/>
        </w:rPr>
      </w:pPr>
      <w:r>
        <w:rPr>
          <w:noProof/>
        </w:rPr>
        <w:t>Irland</w:t>
      </w:r>
      <w:r>
        <w:rPr>
          <w:noProof/>
        </w:rPr>
        <w:tab/>
      </w:r>
      <w:r>
        <w:rPr>
          <w:noProof/>
        </w:rPr>
        <w:tab/>
      </w:r>
      <w:r>
        <w:rPr>
          <w:noProof/>
        </w:rPr>
        <w:tab/>
        <w:t>15 000 ton</w:t>
      </w:r>
    </w:p>
    <w:p>
      <w:pPr>
        <w:pStyle w:val="Text1"/>
        <w:tabs>
          <w:tab w:val="right" w:pos="3686"/>
          <w:tab w:val="right" w:pos="4962"/>
        </w:tabs>
        <w:spacing w:before="0" w:after="0"/>
        <w:ind w:left="3544" w:hanging="2693"/>
        <w:rPr>
          <w:noProof/>
        </w:rPr>
      </w:pPr>
    </w:p>
    <w:p>
      <w:pPr>
        <w:pStyle w:val="Text1"/>
        <w:tabs>
          <w:tab w:val="right" w:pos="4962"/>
        </w:tabs>
        <w:spacing w:before="0" w:after="0"/>
        <w:ind w:left="851"/>
        <w:rPr>
          <w:noProof/>
        </w:rPr>
      </w:pPr>
      <w:r>
        <w:rPr>
          <w:noProof/>
        </w:rPr>
        <w:t xml:space="preserve">Hvis disse fiskerimuligheder ikke benyttes, overføres de til kategori 6 i henhold til fordelingsnøglen for denne kategori. </w:t>
      </w:r>
    </w:p>
    <w:p>
      <w:pPr>
        <w:pStyle w:val="Point0"/>
        <w:rPr>
          <w:noProof/>
        </w:rPr>
      </w:pPr>
      <w:r>
        <w:t>(h)</w:t>
      </w:r>
      <w:r>
        <w:tab/>
      </w:r>
      <w:r>
        <w:rPr>
          <w:noProof/>
        </w:rPr>
        <w:t>Fiskerikategori 2a — (Fryse)-trawlere, der fisker efter senegalesisk kulmule:</w:t>
      </w:r>
    </w:p>
    <w:p>
      <w:pPr>
        <w:pStyle w:val="Text1"/>
        <w:tabs>
          <w:tab w:val="right" w:pos="4962"/>
        </w:tabs>
        <w:spacing w:before="0" w:after="0"/>
        <w:ind w:left="851"/>
        <w:rPr>
          <w:noProof/>
        </w:rPr>
      </w:pPr>
      <w:r>
        <w:rPr>
          <w:noProof/>
        </w:rPr>
        <w:t>Spanien:</w:t>
      </w:r>
    </w:p>
    <w:p>
      <w:pPr>
        <w:pStyle w:val="Text1"/>
        <w:tabs>
          <w:tab w:val="right" w:pos="4962"/>
        </w:tabs>
        <w:spacing w:before="0" w:after="0"/>
        <w:ind w:left="851"/>
        <w:rPr>
          <w:noProof/>
        </w:rPr>
      </w:pPr>
      <w:r>
        <w:rPr>
          <w:noProof/>
        </w:rPr>
        <w:tab/>
        <w:t xml:space="preserve">Senegalesisk kulmule </w:t>
      </w:r>
      <w:r>
        <w:rPr>
          <w:noProof/>
        </w:rPr>
        <w:tab/>
      </w:r>
      <w:r>
        <w:rPr>
          <w:noProof/>
        </w:rPr>
        <w:tab/>
        <w:t>3 500 ton</w:t>
      </w:r>
    </w:p>
    <w:p>
      <w:pPr>
        <w:pStyle w:val="Text1"/>
        <w:tabs>
          <w:tab w:val="right" w:pos="4962"/>
        </w:tabs>
        <w:spacing w:before="0" w:after="0"/>
        <w:ind w:left="851"/>
        <w:rPr>
          <w:noProof/>
        </w:rPr>
      </w:pPr>
      <w:r>
        <w:rPr>
          <w:noProof/>
        </w:rPr>
        <w:tab/>
        <w:t xml:space="preserve">Blæksprutte </w:t>
      </w:r>
      <w:r>
        <w:rPr>
          <w:noProof/>
        </w:rPr>
        <w:tab/>
      </w:r>
      <w:r>
        <w:rPr>
          <w:noProof/>
        </w:rPr>
        <w:tab/>
        <w:t>1 450 ton</w:t>
      </w:r>
    </w:p>
    <w:p>
      <w:pPr>
        <w:pStyle w:val="Text1"/>
        <w:tabs>
          <w:tab w:val="right" w:pos="4962"/>
        </w:tabs>
        <w:spacing w:before="0" w:after="0"/>
        <w:ind w:left="851"/>
        <w:rPr>
          <w:noProof/>
        </w:rPr>
      </w:pPr>
      <w:r>
        <w:rPr>
          <w:noProof/>
        </w:rPr>
        <w:tab/>
        <w:t xml:space="preserve">Sepiablæksprutte </w:t>
      </w:r>
      <w:r>
        <w:rPr>
          <w:noProof/>
        </w:rPr>
        <w:tab/>
      </w:r>
      <w:r>
        <w:rPr>
          <w:noProof/>
        </w:rPr>
        <w:tab/>
        <w:t>600 ton</w:t>
      </w:r>
    </w:p>
    <w:p>
      <w:pPr>
        <w:pStyle w:val="Text1"/>
        <w:tabs>
          <w:tab w:val="right" w:pos="4962"/>
        </w:tabs>
        <w:spacing w:before="0" w:after="0"/>
        <w:ind w:left="851"/>
        <w:rPr>
          <w:noProof/>
        </w:rPr>
      </w:pPr>
    </w:p>
    <w:p>
      <w:pPr>
        <w:pStyle w:val="Text1"/>
        <w:tabs>
          <w:tab w:val="right" w:pos="4962"/>
        </w:tabs>
        <w:spacing w:before="0" w:after="0"/>
        <w:ind w:left="851"/>
        <w:rPr>
          <w:noProof/>
        </w:rPr>
      </w:pPr>
      <w:r>
        <w:rPr>
          <w:noProof/>
        </w:rPr>
        <w:t>I denne fiskerikategori kan der maksimalt anvendes 6 fartøjer ad gangen i mauretanske farvande.</w:t>
      </w:r>
    </w:p>
    <w:p>
      <w:pPr>
        <w:pStyle w:val="ManualNumPar1"/>
        <w:rPr>
          <w:noProof/>
        </w:rPr>
      </w:pPr>
      <w:r>
        <w:rPr>
          <w:noProof/>
        </w:rPr>
        <w:t>2.</w:t>
      </w:r>
      <w:r>
        <w:rPr>
          <w:noProof/>
        </w:rPr>
        <w:tab/>
        <w:t xml:space="preserve">Den frist, som medlemsstaterne i henhold til artikel 47, stk. 2, i forordning (EU) 2017/2403 har til at bekræfte, at de ikke udnytter de fiskerimuligheder, der er tildelt i </w:t>
      </w:r>
      <w:r>
        <w:rPr>
          <w:noProof/>
        </w:rPr>
        <w:lastRenderedPageBreak/>
        <w:t>henhold til aftalen, fuldt ud, fastsættes til 10 arbejdsdage fra den dato, hvor Kommissionen meddeler dem, at fiskerimulighederne ikke er opbrugt.</w:t>
      </w:r>
    </w:p>
    <w:p>
      <w:pPr>
        <w:pStyle w:val="Titrearticle"/>
        <w:rPr>
          <w:noProof/>
        </w:rPr>
      </w:pPr>
      <w:r>
        <w:rPr>
          <w:noProof/>
        </w:rPr>
        <w:t>Artikel 2</w:t>
      </w:r>
    </w:p>
    <w:p>
      <w:pPr>
        <w:rPr>
          <w:noProof/>
        </w:rPr>
      </w:pPr>
      <w:r>
        <w:rPr>
          <w:noProof/>
        </w:rPr>
        <w:t xml:space="preserve">Denne forordning træder i kraft dagen efter offentliggørelsen i </w:t>
      </w:r>
      <w:r>
        <w:rPr>
          <w:i/>
          <w:noProof/>
        </w:rPr>
        <w:t>Den Europæiske Unions Tidende</w:t>
      </w:r>
      <w:r>
        <w:rPr>
          <w:noProof/>
        </w:rPr>
        <w:t xml:space="preserve">. </w:t>
      </w:r>
    </w:p>
    <w:p>
      <w:pPr>
        <w:rPr>
          <w:noProof/>
        </w:rPr>
      </w:pPr>
      <w:r>
        <w:rPr>
          <w:noProof/>
        </w:rPr>
        <w:t>Den anvendes fra datoen for undertegnelse af aftalen i form af brevveksling mellem Den Europæiske Union og Den Islamiske Republik Mauretanien om forlængelse af protokollen om fastsættelse af de fiskerimuligheder og den finansielle modydelse, der er omhandlet i fiskeripartnerskabsaftalen mellem Det Europæiske Fællesskab og Den Islamiske Republik Mauretanien, der udløber den 15. november 2019.</w:t>
      </w:r>
    </w:p>
    <w:p>
      <w:pPr>
        <w:pStyle w:val="Applicationdirecte"/>
        <w:rPr>
          <w:noProof/>
        </w:rPr>
      </w:pPr>
      <w:r>
        <w:rPr>
          <w:noProof/>
        </w:rPr>
        <w:t>Denne forordning er bindende i alle enkeltheder og gælder umiddelbart i hver medlemsstat.</w:t>
      </w:r>
    </w:p>
    <w:p>
      <w:pPr>
        <w:pStyle w:val="Fait"/>
        <w:rPr>
          <w:noProof/>
        </w:rPr>
      </w:pPr>
      <w:r>
        <w:t xml:space="preserve">Udfærdiget i Bruxelles, den </w:t>
      </w:r>
      <w:r>
        <w:rPr>
          <w:rStyle w:val="Marker"/>
        </w:rPr>
        <w:t>[…]</w:t>
      </w:r>
      <w:r>
        <w:t>.</w:t>
      </w:r>
    </w:p>
    <w:p>
      <w:pPr>
        <w:pStyle w:val="Institutionquisigne"/>
        <w:rPr>
          <w:noProof/>
        </w:rPr>
      </w:pPr>
      <w:r>
        <w:rPr>
          <w:noProof/>
        </w:rPr>
        <w:tab/>
        <w:t>På Rådets vegne</w:t>
      </w:r>
    </w:p>
    <w:p>
      <w:pPr>
        <w:pStyle w:val="Personnequisigne"/>
        <w:rPr>
          <w:noProof/>
        </w:rPr>
      </w:pPr>
      <w:r>
        <w:rPr>
          <w:noProof/>
        </w:rPr>
        <w:tab/>
        <w:t>Formand</w:t>
      </w:r>
    </w:p>
    <w:sectPr>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DA</w:t>
    </w:r>
    <w:r>
      <w:rPr>
        <w:rFonts w:ascii="Arial" w:hAnsi="Arial" w:cs="Arial"/>
        <w:b/>
        <w:sz w:val="48"/>
      </w:rPr>
      <w:tab/>
    </w:r>
    <w:r>
      <w:rPr>
        <w:rFonts w:ascii="Arial" w:hAnsi="Arial" w:cs="Arial"/>
        <w:b/>
        <w:sz w:val="48"/>
      </w:rPr>
      <w:tab/>
    </w:r>
    <w:r>
      <w:tab/>
    </w:r>
    <w:r>
      <w:rPr>
        <w:rFonts w:ascii="Arial" w:hAnsi="Arial" w:cs="Arial"/>
        <w:b/>
        <w:sz w:val="48"/>
      </w:rPr>
      <w:t>DA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DA</w:t>
    </w:r>
    <w:r>
      <w:rPr>
        <w:rFonts w:ascii="Arial" w:hAnsi="Arial" w:cs="Arial"/>
        <w:b/>
        <w:sz w:val="48"/>
      </w:rPr>
      <w:tab/>
    </w:r>
    <w:r>
      <w:fldChar w:fldCharType="begin"/>
    </w:r>
    <w:r>
      <w:instrText xml:space="preserve"> PAGE  \* MERGEFORMAT </w:instrText>
    </w:r>
    <w:r>
      <w:fldChar w:fldCharType="separate"/>
    </w:r>
    <w:r>
      <w:rPr>
        <w:noProof/>
      </w:rPr>
      <w:t>6</w:t>
    </w:r>
    <w:r>
      <w:fldChar w:fldCharType="end"/>
    </w:r>
    <w:r>
      <w:tab/>
    </w:r>
    <w:r>
      <w:tab/>
    </w:r>
    <w:r>
      <w:rPr>
        <w:rFonts w:ascii="Arial" w:hAnsi="Arial" w:cs="Arial"/>
        <w:b/>
        <w:sz w:val="48"/>
      </w:rPr>
      <w:t>DA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Med en tilladt overskridelse på 10 % uden virkning for den finansielle modydelse, der er indbetalt af Den Europæiske Union for adgangen.</w:t>
      </w:r>
    </w:p>
  </w:footnote>
  <w:footnote w:id="2">
    <w:p>
      <w:pPr>
        <w:pStyle w:val="FootnoteText"/>
      </w:pPr>
      <w:r>
        <w:rPr>
          <w:rStyle w:val="FootnoteReference"/>
        </w:rPr>
        <w:footnoteRef/>
      </w:r>
      <w:r>
        <w:tab/>
        <w:t>EUT L 343 af 8.12.2006, s. 4.</w:t>
      </w:r>
    </w:p>
  </w:footnote>
  <w:footnote w:id="3">
    <w:p>
      <w:pPr>
        <w:pStyle w:val="FootnoteText"/>
      </w:pPr>
      <w:r>
        <w:rPr>
          <w:rStyle w:val="FootnoteReference"/>
        </w:rPr>
        <w:footnoteRef/>
      </w:r>
      <w:r>
        <w:tab/>
        <w:t>Rådets forordning (EF) nr. 1801/2006 af 30. november 2006 om indgåelse af en fiskeripartnerskabsaftale mellem Det Europæiske Fællesskab og Den Islamiske Republik Mauretanien (EUT L 343 af 8.12.2006, s. 1).</w:t>
      </w:r>
    </w:p>
  </w:footnote>
  <w:footnote w:id="4">
    <w:p>
      <w:pPr>
        <w:pStyle w:val="FootnoteText"/>
      </w:pPr>
      <w:r>
        <w:rPr>
          <w:rStyle w:val="FootnoteReference"/>
        </w:rPr>
        <w:footnoteRef/>
      </w:r>
      <w:r>
        <w:tab/>
        <w:t>EUT C  af , s. .</w:t>
      </w:r>
    </w:p>
  </w:footnote>
  <w:footnote w:id="5">
    <w:p>
      <w:pPr>
        <w:pStyle w:val="FootnoteText"/>
      </w:pPr>
      <w:r>
        <w:rPr>
          <w:rStyle w:val="FootnoteReference"/>
        </w:rPr>
        <w:footnoteRef/>
      </w:r>
      <w:r>
        <w:tab/>
        <w:t>EUT L 347 af 28.12.2017, s. 81.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36F81AD4"/>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5CEA09D6"/>
    <w:lvl w:ilvl="0">
      <w:start w:val="1"/>
      <w:numFmt w:val="decimal"/>
      <w:pStyle w:val="ListNumber3"/>
      <w:lvlText w:val="%1."/>
      <w:lvlJc w:val="left"/>
      <w:pPr>
        <w:tabs>
          <w:tab w:val="num" w:pos="926"/>
        </w:tabs>
        <w:ind w:left="926" w:hanging="360"/>
      </w:pPr>
    </w:lvl>
  </w:abstractNum>
  <w:abstractNum w:abstractNumId="2">
    <w:nsid w:val="FFFFFF7F"/>
    <w:multiLevelType w:val="singleLevel"/>
    <w:tmpl w:val="52E48300"/>
    <w:lvl w:ilvl="0">
      <w:start w:val="1"/>
      <w:numFmt w:val="decimal"/>
      <w:pStyle w:val="ListNumber2"/>
      <w:lvlText w:val="%1."/>
      <w:lvlJc w:val="left"/>
      <w:pPr>
        <w:tabs>
          <w:tab w:val="num" w:pos="643"/>
        </w:tabs>
        <w:ind w:left="643" w:hanging="360"/>
      </w:pPr>
    </w:lvl>
  </w:abstractNum>
  <w:abstractNum w:abstractNumId="3">
    <w:nsid w:val="FFFFFF81"/>
    <w:multiLevelType w:val="singleLevel"/>
    <w:tmpl w:val="8236D586"/>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4E405EB0"/>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3BC8BA22"/>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2EFCEAE8"/>
    <w:lvl w:ilvl="0">
      <w:start w:val="1"/>
      <w:numFmt w:val="decimal"/>
      <w:pStyle w:val="ListNumber"/>
      <w:lvlText w:val="%1."/>
      <w:lvlJc w:val="left"/>
      <w:pPr>
        <w:tabs>
          <w:tab w:val="num" w:pos="360"/>
        </w:tabs>
        <w:ind w:left="360" w:hanging="360"/>
      </w:pPr>
    </w:lvl>
  </w:abstractNum>
  <w:abstractNum w:abstractNumId="7">
    <w:nsid w:val="FFFFFF89"/>
    <w:multiLevelType w:val="singleLevel"/>
    <w:tmpl w:val="F5C66B12"/>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8"/>
    <w:lvlOverride w:ilvl="0">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5"/>
  </w:num>
  <w:num w:numId="5">
    <w:abstractNumId w:val="4"/>
  </w:num>
  <w:num w:numId="6">
    <w:abstractNumId w:val="3"/>
  </w:num>
  <w:num w:numId="7">
    <w:abstractNumId w:val="6"/>
  </w:num>
  <w:num w:numId="8">
    <w:abstractNumId w:val="2"/>
  </w:num>
  <w:num w:numId="9">
    <w:abstractNumId w:val="1"/>
  </w:num>
  <w:num w:numId="10">
    <w:abstractNumId w:val="0"/>
  </w:num>
  <w:num w:numId="11">
    <w:abstractNumId w:val="18"/>
  </w:num>
  <w:num w:numId="12">
    <w:abstractNumId w:val="12"/>
  </w:num>
  <w:num w:numId="13">
    <w:abstractNumId w:val="20"/>
  </w:num>
  <w:num w:numId="14">
    <w:abstractNumId w:val="11"/>
  </w:num>
  <w:num w:numId="15">
    <w:abstractNumId w:val="13"/>
  </w:num>
  <w:num w:numId="16">
    <w:abstractNumId w:val="9"/>
  </w:num>
  <w:num w:numId="17">
    <w:abstractNumId w:val="19"/>
  </w:num>
  <w:num w:numId="18">
    <w:abstractNumId w:val="8"/>
  </w:num>
  <w:num w:numId="19">
    <w:abstractNumId w:val="14"/>
  </w:num>
  <w:num w:numId="20">
    <w:abstractNumId w:val="16"/>
  </w:num>
  <w:num w:numId="21">
    <w:abstractNumId w:val="17"/>
  </w:num>
  <w:num w:numId="22">
    <w:abstractNumId w:val="10"/>
  </w:num>
  <w:num w:numId="23">
    <w:abstractNumId w:val="15"/>
  </w:num>
  <w:num w:numId="2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attachedTemplate r:id="rId1"/>
  <w:revisionView w:markup="0"/>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19-10-01 10:22:29"/>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2"/>
    <w:docVar w:name="DQCResult_ModifiedMarkers" w:val="0;0"/>
    <w:docVar w:name="DQCResult_ModifiedNumbering" w:val="0;0"/>
    <w:docVar w:name="DQCResult_Objects" w:val="0;0"/>
    <w:docVar w:name="DQCResult_Sections" w:val="0;0"/>
    <w:docVar w:name="DQCResult_StructureCheck" w:val="0;0"/>
    <w:docVar w:name="DQCResult_SuperfluousWhitespace" w:val="0;22"/>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2F4C297E-B9AD-474A-945D-839171EB4187"/>
    <w:docVar w:name="LW_COVERPAGE_TYPE" w:val="1"/>
    <w:docVar w:name="LW_CROSSREFERENCE" w:val="&lt;UNUSED&gt;"/>
    <w:docVar w:name="LW_DocType" w:val="COM"/>
    <w:docVar w:name="LW_EMISSION" w:val="1.10.2019"/>
    <w:docVar w:name="LW_EMISSION_ISODATE" w:val="2019-10-01"/>
    <w:docVar w:name="LW_EMISSION_LOCATION" w:val="BRX"/>
    <w:docVar w:name="LW_EMISSION_PREFIX" w:val="Bruxelles, den "/>
    <w:docVar w:name="LW_EMISSION_SUFFIX" w:val=" "/>
    <w:docVar w:name="LW_ID_DOCMODEL" w:val="SJ-016"/>
    <w:docVar w:name="LW_ID_DOCSIGNATURE" w:val="SJ-016"/>
    <w:docVar w:name="LW_ID_DOCSTRUCTURE" w:val="COM/PL/ORG"/>
    <w:docVar w:name="LW_ID_DOCTYPE" w:val="SJ-016"/>
    <w:docVar w:name="LW_ID_EXP.MOTIFS.NEW" w:val="EM_PL_"/>
    <w:docVar w:name="LW_ID_STATUT" w:val="SJ-016"/>
    <w:docVar w:name="LW_INTERETEEE.CP" w:val="&lt;UNUSED&gt;"/>
    <w:docVar w:name="LW_LANGUE" w:val="DA"/>
    <w:docVar w:name="LW_LEVEL_OF_SENSITIVITY" w:val="Standard treatment"/>
    <w:docVar w:name="LW_NOM.INST" w:val="EUROPA-KOMMISSIONEN"/>
    <w:docVar w:name="LW_NOM.INST_JOINTDOC" w:val="&lt;EMPTY&gt;"/>
    <w:docVar w:name="LW_PART_NBR" w:val="1"/>
    <w:docVar w:name="LW_PART_NBR_TOTAL" w:val="1"/>
    <w:docVar w:name="LW_REF.II.NEW.CP" w:val="NLE"/>
    <w:docVar w:name="LW_REF.II.NEW.CP_NUMBER" w:val="0208"/>
    <w:docVar w:name="LW_REF.II.NEW.CP_YEAR" w:val="2019"/>
    <w:docVar w:name="LW_REF.INST.NEW" w:val="COM"/>
    <w:docVar w:name="LW_REF.INST.NEW_ADOPTED" w:val="final"/>
    <w:docVar w:name="LW_REF.INST.NEW_TEXT" w:val="(2019) 44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Forslag til"/>
    <w:docVar w:name="LW_SUPERTITRE" w:val="&lt;UNUSED&gt;"/>
    <w:docVar w:name="LW_TITRE.OBJ.CP" w:val="om fordeling af fiskerimuligheder i henhold til protokollen om fastsættelse for en periode på højst et år af de fiskerimuligheder og den finansielle modydelse, der er omhandlet i fiskeripartnerskabsaftalen mellem Det Europæiske Fællesskab og Den Islamiske Republik Mauretanien"/>
    <w:docVar w:name="LW_TYPE.DOC.CP" w:val="RÅDETS FORORDNING"/>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da-DK"/>
    </w:rPr>
  </w:style>
  <w:style w:type="paragraph" w:styleId="Heading1">
    <w:name w:val="heading 1"/>
    <w:basedOn w:val="Normal"/>
    <w:next w:val="Text1"/>
    <w:link w:val="Heading1Char"/>
    <w:uiPriority w:val="9"/>
    <w:qFormat/>
    <w:pPr>
      <w:keepNext/>
      <w:numPr>
        <w:numId w:val="1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7"/>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Pr>
      <w:b/>
      <w:bCs/>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3"/>
      </w:numPr>
      <w:contextualSpacing/>
    </w:pPr>
  </w:style>
  <w:style w:type="paragraph" w:styleId="ListBullet2">
    <w:name w:val="List Bullet 2"/>
    <w:basedOn w:val="Normal"/>
    <w:uiPriority w:val="99"/>
    <w:semiHidden/>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pPr>
      <w:numPr>
        <w:numId w:val="10"/>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da-DK"/>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da-DK"/>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da-DK"/>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da-DK"/>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da-DK"/>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6"/>
      </w:numPr>
    </w:pPr>
  </w:style>
  <w:style w:type="paragraph" w:customStyle="1" w:styleId="NumPar2">
    <w:name w:val="NumPar 2"/>
    <w:basedOn w:val="Normal"/>
    <w:next w:val="Text1"/>
    <w:pPr>
      <w:numPr>
        <w:ilvl w:val="1"/>
        <w:numId w:val="16"/>
      </w:numPr>
    </w:pPr>
  </w:style>
  <w:style w:type="paragraph" w:customStyle="1" w:styleId="NumPar3">
    <w:name w:val="NumPar 3"/>
    <w:basedOn w:val="Normal"/>
    <w:next w:val="Text1"/>
    <w:pPr>
      <w:numPr>
        <w:ilvl w:val="2"/>
        <w:numId w:val="16"/>
      </w:numPr>
    </w:pPr>
  </w:style>
  <w:style w:type="paragraph" w:customStyle="1" w:styleId="NumPar4">
    <w:name w:val="NumPar 4"/>
    <w:basedOn w:val="Normal"/>
    <w:next w:val="Text1"/>
    <w:pPr>
      <w:numPr>
        <w:ilvl w:val="3"/>
        <w:numId w:val="1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8"/>
      </w:numPr>
    </w:pPr>
  </w:style>
  <w:style w:type="paragraph" w:customStyle="1" w:styleId="Point1number">
    <w:name w:val="Point 1 (number)"/>
    <w:basedOn w:val="Normal"/>
    <w:pPr>
      <w:numPr>
        <w:ilvl w:val="2"/>
        <w:numId w:val="18"/>
      </w:numPr>
    </w:pPr>
  </w:style>
  <w:style w:type="paragraph" w:customStyle="1" w:styleId="Point2number">
    <w:name w:val="Point 2 (number)"/>
    <w:basedOn w:val="Normal"/>
    <w:pPr>
      <w:numPr>
        <w:ilvl w:val="4"/>
        <w:numId w:val="18"/>
      </w:numPr>
    </w:pPr>
  </w:style>
  <w:style w:type="paragraph" w:customStyle="1" w:styleId="Point3number">
    <w:name w:val="Point 3 (number)"/>
    <w:basedOn w:val="Normal"/>
    <w:pPr>
      <w:numPr>
        <w:ilvl w:val="6"/>
        <w:numId w:val="18"/>
      </w:numPr>
    </w:pPr>
  </w:style>
  <w:style w:type="paragraph" w:customStyle="1" w:styleId="Point0letter">
    <w:name w:val="Point 0 (letter)"/>
    <w:basedOn w:val="Normal"/>
    <w:pPr>
      <w:numPr>
        <w:ilvl w:val="1"/>
        <w:numId w:val="18"/>
      </w:numPr>
    </w:pPr>
  </w:style>
  <w:style w:type="paragraph" w:customStyle="1" w:styleId="Point1letter">
    <w:name w:val="Point 1 (letter)"/>
    <w:basedOn w:val="Normal"/>
    <w:pPr>
      <w:numPr>
        <w:ilvl w:val="3"/>
        <w:numId w:val="18"/>
      </w:numPr>
    </w:pPr>
  </w:style>
  <w:style w:type="paragraph" w:customStyle="1" w:styleId="Point2letter">
    <w:name w:val="Point 2 (letter)"/>
    <w:basedOn w:val="Normal"/>
    <w:pPr>
      <w:numPr>
        <w:ilvl w:val="5"/>
        <w:numId w:val="18"/>
      </w:numPr>
    </w:pPr>
  </w:style>
  <w:style w:type="paragraph" w:customStyle="1" w:styleId="Point3letter">
    <w:name w:val="Point 3 (letter)"/>
    <w:basedOn w:val="Normal"/>
    <w:pPr>
      <w:numPr>
        <w:ilvl w:val="7"/>
        <w:numId w:val="18"/>
      </w:numPr>
    </w:pPr>
  </w:style>
  <w:style w:type="paragraph" w:customStyle="1" w:styleId="Point4letter">
    <w:name w:val="Point 4 (letter)"/>
    <w:basedOn w:val="Normal"/>
    <w:pPr>
      <w:numPr>
        <w:ilvl w:val="8"/>
        <w:numId w:val="18"/>
      </w:numPr>
    </w:pPr>
  </w:style>
  <w:style w:type="paragraph" w:customStyle="1" w:styleId="Bullet0">
    <w:name w:val="Bullet 0"/>
    <w:basedOn w:val="Normal"/>
    <w:pPr>
      <w:numPr>
        <w:numId w:val="19"/>
      </w:numPr>
    </w:pPr>
  </w:style>
  <w:style w:type="paragraph" w:customStyle="1" w:styleId="Bullet1">
    <w:name w:val="Bullet 1"/>
    <w:basedOn w:val="Normal"/>
    <w:pPr>
      <w:numPr>
        <w:numId w:val="20"/>
      </w:numPr>
    </w:pPr>
  </w:style>
  <w:style w:type="paragraph" w:customStyle="1" w:styleId="Bullet2">
    <w:name w:val="Bullet 2"/>
    <w:basedOn w:val="Normal"/>
    <w:pPr>
      <w:numPr>
        <w:numId w:val="21"/>
      </w:numPr>
    </w:pPr>
  </w:style>
  <w:style w:type="paragraph" w:customStyle="1" w:styleId="Bullet3">
    <w:name w:val="Bullet 3"/>
    <w:basedOn w:val="Normal"/>
    <w:pPr>
      <w:numPr>
        <w:numId w:val="22"/>
      </w:numPr>
    </w:pPr>
  </w:style>
  <w:style w:type="paragraph" w:customStyle="1" w:styleId="Bullet4">
    <w:name w:val="Bullet 4"/>
    <w:basedOn w:val="Normal"/>
    <w:pPr>
      <w:numPr>
        <w:numId w:val="2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da-DK"/>
    </w:rPr>
  </w:style>
  <w:style w:type="paragraph" w:styleId="Heading1">
    <w:name w:val="heading 1"/>
    <w:basedOn w:val="Normal"/>
    <w:next w:val="Text1"/>
    <w:link w:val="Heading1Char"/>
    <w:uiPriority w:val="9"/>
    <w:qFormat/>
    <w:pPr>
      <w:keepNext/>
      <w:numPr>
        <w:numId w:val="1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7"/>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Pr>
      <w:b/>
      <w:bCs/>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3"/>
      </w:numPr>
      <w:contextualSpacing/>
    </w:pPr>
  </w:style>
  <w:style w:type="paragraph" w:styleId="ListBullet2">
    <w:name w:val="List Bullet 2"/>
    <w:basedOn w:val="Normal"/>
    <w:uiPriority w:val="99"/>
    <w:semiHidden/>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pPr>
      <w:numPr>
        <w:numId w:val="10"/>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da-DK"/>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da-DK"/>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da-DK"/>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da-DK"/>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da-DK"/>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6"/>
      </w:numPr>
    </w:pPr>
  </w:style>
  <w:style w:type="paragraph" w:customStyle="1" w:styleId="NumPar2">
    <w:name w:val="NumPar 2"/>
    <w:basedOn w:val="Normal"/>
    <w:next w:val="Text1"/>
    <w:pPr>
      <w:numPr>
        <w:ilvl w:val="1"/>
        <w:numId w:val="16"/>
      </w:numPr>
    </w:pPr>
  </w:style>
  <w:style w:type="paragraph" w:customStyle="1" w:styleId="NumPar3">
    <w:name w:val="NumPar 3"/>
    <w:basedOn w:val="Normal"/>
    <w:next w:val="Text1"/>
    <w:pPr>
      <w:numPr>
        <w:ilvl w:val="2"/>
        <w:numId w:val="16"/>
      </w:numPr>
    </w:pPr>
  </w:style>
  <w:style w:type="paragraph" w:customStyle="1" w:styleId="NumPar4">
    <w:name w:val="NumPar 4"/>
    <w:basedOn w:val="Normal"/>
    <w:next w:val="Text1"/>
    <w:pPr>
      <w:numPr>
        <w:ilvl w:val="3"/>
        <w:numId w:val="1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8"/>
      </w:numPr>
    </w:pPr>
  </w:style>
  <w:style w:type="paragraph" w:customStyle="1" w:styleId="Point1number">
    <w:name w:val="Point 1 (number)"/>
    <w:basedOn w:val="Normal"/>
    <w:pPr>
      <w:numPr>
        <w:ilvl w:val="2"/>
        <w:numId w:val="18"/>
      </w:numPr>
    </w:pPr>
  </w:style>
  <w:style w:type="paragraph" w:customStyle="1" w:styleId="Point2number">
    <w:name w:val="Point 2 (number)"/>
    <w:basedOn w:val="Normal"/>
    <w:pPr>
      <w:numPr>
        <w:ilvl w:val="4"/>
        <w:numId w:val="18"/>
      </w:numPr>
    </w:pPr>
  </w:style>
  <w:style w:type="paragraph" w:customStyle="1" w:styleId="Point3number">
    <w:name w:val="Point 3 (number)"/>
    <w:basedOn w:val="Normal"/>
    <w:pPr>
      <w:numPr>
        <w:ilvl w:val="6"/>
        <w:numId w:val="18"/>
      </w:numPr>
    </w:pPr>
  </w:style>
  <w:style w:type="paragraph" w:customStyle="1" w:styleId="Point0letter">
    <w:name w:val="Point 0 (letter)"/>
    <w:basedOn w:val="Normal"/>
    <w:pPr>
      <w:numPr>
        <w:ilvl w:val="1"/>
        <w:numId w:val="18"/>
      </w:numPr>
    </w:pPr>
  </w:style>
  <w:style w:type="paragraph" w:customStyle="1" w:styleId="Point1letter">
    <w:name w:val="Point 1 (letter)"/>
    <w:basedOn w:val="Normal"/>
    <w:pPr>
      <w:numPr>
        <w:ilvl w:val="3"/>
        <w:numId w:val="18"/>
      </w:numPr>
    </w:pPr>
  </w:style>
  <w:style w:type="paragraph" w:customStyle="1" w:styleId="Point2letter">
    <w:name w:val="Point 2 (letter)"/>
    <w:basedOn w:val="Normal"/>
    <w:pPr>
      <w:numPr>
        <w:ilvl w:val="5"/>
        <w:numId w:val="18"/>
      </w:numPr>
    </w:pPr>
  </w:style>
  <w:style w:type="paragraph" w:customStyle="1" w:styleId="Point3letter">
    <w:name w:val="Point 3 (letter)"/>
    <w:basedOn w:val="Normal"/>
    <w:pPr>
      <w:numPr>
        <w:ilvl w:val="7"/>
        <w:numId w:val="18"/>
      </w:numPr>
    </w:pPr>
  </w:style>
  <w:style w:type="paragraph" w:customStyle="1" w:styleId="Point4letter">
    <w:name w:val="Point 4 (letter)"/>
    <w:basedOn w:val="Normal"/>
    <w:pPr>
      <w:numPr>
        <w:ilvl w:val="8"/>
        <w:numId w:val="18"/>
      </w:numPr>
    </w:pPr>
  </w:style>
  <w:style w:type="paragraph" w:customStyle="1" w:styleId="Bullet0">
    <w:name w:val="Bullet 0"/>
    <w:basedOn w:val="Normal"/>
    <w:pPr>
      <w:numPr>
        <w:numId w:val="19"/>
      </w:numPr>
    </w:pPr>
  </w:style>
  <w:style w:type="paragraph" w:customStyle="1" w:styleId="Bullet1">
    <w:name w:val="Bullet 1"/>
    <w:basedOn w:val="Normal"/>
    <w:pPr>
      <w:numPr>
        <w:numId w:val="20"/>
      </w:numPr>
    </w:pPr>
  </w:style>
  <w:style w:type="paragraph" w:customStyle="1" w:styleId="Bullet2">
    <w:name w:val="Bullet 2"/>
    <w:basedOn w:val="Normal"/>
    <w:pPr>
      <w:numPr>
        <w:numId w:val="21"/>
      </w:numPr>
    </w:pPr>
  </w:style>
  <w:style w:type="paragraph" w:customStyle="1" w:styleId="Bullet3">
    <w:name w:val="Bullet 3"/>
    <w:basedOn w:val="Normal"/>
    <w:pPr>
      <w:numPr>
        <w:numId w:val="22"/>
      </w:numPr>
    </w:pPr>
  </w:style>
  <w:style w:type="paragraph" w:customStyle="1" w:styleId="Bullet4">
    <w:name w:val="Bullet 4"/>
    <w:basedOn w:val="Normal"/>
    <w:pPr>
      <w:numPr>
        <w:numId w:val="2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2048C46-308E-4411-BE97-269AA6F27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3</TotalTime>
  <Pages>7</Pages>
  <Words>1484</Words>
  <Characters>8907</Characters>
  <Application>Microsoft Office Word</Application>
  <DocSecurity>0</DocSecurity>
  <Lines>212</Lines>
  <Paragraphs>116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19</cp:revision>
  <dcterms:created xsi:type="dcterms:W3CDTF">2019-09-27T08:19:00Z</dcterms:created>
  <dcterms:modified xsi:type="dcterms:W3CDTF">2019-10-01T08:22:00Z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7.0.8.0</vt:lpwstr>
  </property>
  <property fmtid="{D5CDD505-2E9C-101B-9397-08002B2CF9AE}" pid="4" name="Last edited using">
    <vt:lpwstr>LW 7.0, Build 20190717</vt:lpwstr>
  </property>
  <property fmtid="{D5CDD505-2E9C-101B-9397-08002B2CF9AE}" pid="5" name="Created using">
    <vt:lpwstr>LW 7.0, Build 20190717</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SJ-016</vt:lpwstr>
  </property>
  <property fmtid="{D5CDD505-2E9C-101B-9397-08002B2CF9AE}" pid="10" name="DQCStatus">
    <vt:lpwstr>Green (DQC version 03)</vt:lpwstr>
  </property>
  <property name="OP_sanitized" fmtid="{D5CDD505-2E9C-101B-9397-08002B2CF9AE}" pid="11">
    <vt:lpwstr>True</vt:lpwstr>
  </property>
</Properties>
</file>