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ED025C4-74B4-41E8-AFF7-A81E809BB3F4" style="width:450.75pt;height:366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BEGRUNDELSE</w:t>
      </w:r>
    </w:p>
    <w:p>
      <w:pPr>
        <w:pStyle w:val="ManualHeading1"/>
        <w:rPr>
          <w:noProof/>
        </w:rPr>
      </w:pPr>
      <w:r>
        <w:rPr>
          <w:noProof/>
        </w:rPr>
        <w:t>1.</w:t>
      </w:r>
      <w:r>
        <w:rPr>
          <w:noProof/>
        </w:rPr>
        <w:tab/>
        <w:t>BAGGRUND FOR FORSLAGET</w:t>
      </w:r>
    </w:p>
    <w:p>
      <w:pPr>
        <w:pStyle w:val="ManualHeading2"/>
        <w:rPr>
          <w:rFonts w:eastAsia="Arial Unicode MS"/>
          <w:noProof/>
        </w:rPr>
      </w:pPr>
      <w:r>
        <w:rPr>
          <w:noProof/>
          <w:color w:val="000000"/>
          <w:u w:color="000000"/>
          <w:bdr w:val="nil"/>
        </w:rPr>
        <w:t>•</w:t>
      </w:r>
      <w:r>
        <w:rPr>
          <w:noProof/>
        </w:rPr>
        <w:tab/>
        <w:t>Forslagets begrundelse og formål</w:t>
      </w:r>
    </w:p>
    <w:p>
      <w:pPr>
        <w:pBdr>
          <w:top w:val="nil"/>
          <w:left w:val="nil"/>
          <w:bottom w:val="nil"/>
          <w:right w:val="nil"/>
          <w:between w:val="nil"/>
          <w:bar w:val="nil"/>
        </w:pBdr>
        <w:spacing w:before="0" w:after="240"/>
        <w:rPr>
          <w:rFonts w:eastAsia="Times New Roman"/>
          <w:noProof/>
        </w:rPr>
      </w:pPr>
      <w:r>
        <w:rPr>
          <w:noProof/>
        </w:rPr>
        <w:t xml:space="preserve">Rådets forordning (EU) 2017/1939 om gennemførelse af et forstærket samarbejde om oprettelse af Den Europæiske Anklagemyndighed ("EPPO") blev vedtaget den 12. oktober 2017 og trådte i kraft den 20. november 2017. I henhold til artikel 16, stk. 3, i Rådets forordning (EU) 2017/1939 udpeges de europæiske anklagere for en seksårig periode, der ikke kan forlænges, medmindre Rådet ved afgørelse giver tilladelse hertil, hvorefter perioden kan forlænges med højst tre år. </w:t>
      </w:r>
    </w:p>
    <w:p>
      <w:pPr>
        <w:pBdr>
          <w:top w:val="nil"/>
          <w:left w:val="nil"/>
          <w:bottom w:val="nil"/>
          <w:right w:val="nil"/>
          <w:between w:val="nil"/>
          <w:bar w:val="nil"/>
        </w:pBdr>
        <w:spacing w:before="0" w:after="240"/>
        <w:rPr>
          <w:rFonts w:eastAsia="Times New Roman"/>
          <w:noProof/>
        </w:rPr>
      </w:pPr>
      <w:r>
        <w:rPr>
          <w:noProof/>
        </w:rPr>
        <w:t xml:space="preserve">I henhold til artikel 16, stk. 4, i Rådets forordning (EU) 2017/1939 finder hvert tredje år en delvis nybesættelse af en tredjedel af hvervene som europæisk anklager sted. Rådet vedtager med simpelt flertal overgangsbestemmelser for udpegelsen af europæiske anklagere for og under den første mandatperiode. </w:t>
      </w:r>
    </w:p>
    <w:p>
      <w:pPr>
        <w:pBdr>
          <w:top w:val="nil"/>
          <w:left w:val="nil"/>
          <w:bottom w:val="nil"/>
          <w:right w:val="nil"/>
          <w:between w:val="nil"/>
          <w:bar w:val="nil"/>
        </w:pBdr>
        <w:spacing w:before="0" w:after="240"/>
        <w:rPr>
          <w:rFonts w:eastAsia="Times New Roman"/>
          <w:noProof/>
        </w:rPr>
      </w:pPr>
      <w:r>
        <w:rPr>
          <w:noProof/>
        </w:rPr>
        <w:t xml:space="preserve">I nærværende forslag fastlægges der overgangsbestemmelser for den delvise nybesættelse af den første gruppe af udpegede europæiske anklagere. Ifølge de foreslåede bestemmelser udpeges en tredjedel af de europæiske anklagere for en periode på tre år i stedet for den sædvanlige mandatperiode på seks år som fastsat i forordning (EU) 2017/1939, og herefter besættes stillingerne på ny for at overholde den i artikel 16, stk. 4, fastsatte bestemmelse om delvis nybesættelse. </w:t>
      </w:r>
    </w:p>
    <w:p>
      <w:pPr>
        <w:pBdr>
          <w:top w:val="nil"/>
          <w:left w:val="nil"/>
          <w:bottom w:val="nil"/>
          <w:right w:val="nil"/>
          <w:between w:val="nil"/>
          <w:bar w:val="nil"/>
        </w:pBdr>
        <w:spacing w:before="0" w:after="240"/>
        <w:rPr>
          <w:rFonts w:eastAsia="Times New Roman"/>
          <w:noProof/>
        </w:rPr>
      </w:pPr>
      <w:r>
        <w:rPr>
          <w:noProof/>
        </w:rPr>
        <w:t>For at sikre en upartisk, gennemsigtig og retfærdig ordning for fastsættelse af, hvilke europæiske anklagere der udpeges for en kortere første mandatperiode, foreslås det at indføre en ordning baseret på lodtrækning. Med denne ordning sikres det, at udpegelsen af de pågældende europæiske anklagere er uvildig og ikke påvirket af bl.a. deres nationalitet. Medlemsstaternes geografiske spredning i EPPO's kollegium sikres gennem den fortsatte tilstedeværelse af én europæisk anklager pr. deltagende medlemsstat som del af EPPO's kollegium og gennem anvendelsen af en vilkårlig ordning, der er neutral i geografisk forstand. Dette er i overensstemmelse med betragtning 42 i forordning (EU) 2017/1939.</w:t>
      </w:r>
    </w:p>
    <w:p>
      <w:pPr>
        <w:pBdr>
          <w:top w:val="nil"/>
          <w:left w:val="nil"/>
          <w:bottom w:val="nil"/>
          <w:right w:val="nil"/>
          <w:between w:val="nil"/>
          <w:bar w:val="nil"/>
        </w:pBdr>
        <w:spacing w:before="0" w:after="240"/>
        <w:rPr>
          <w:rFonts w:eastAsia="Times New Roman"/>
          <w:noProof/>
        </w:rPr>
      </w:pPr>
      <w:r>
        <w:rPr>
          <w:noProof/>
        </w:rPr>
        <w:t>Indførelsen af en ordning baseret på lodtrækning er også i overensstemmelse med lignende mekanismer, der er vedtaget inden for andre sammenlignelige EU-politikområder</w:t>
      </w:r>
      <w:r>
        <w:rPr>
          <w:rStyle w:val="FootnoteReference"/>
          <w:noProof/>
        </w:rPr>
        <w:footnoteReference w:id="1"/>
      </w:r>
      <w:r>
        <w:rPr>
          <w:noProof/>
        </w:rPr>
        <w:t xml:space="preserve">. </w:t>
      </w:r>
    </w:p>
    <w:p>
      <w:pPr>
        <w:pBdr>
          <w:top w:val="nil"/>
          <w:left w:val="nil"/>
          <w:bottom w:val="nil"/>
          <w:right w:val="nil"/>
          <w:between w:val="nil"/>
          <w:bar w:val="nil"/>
        </w:pBdr>
        <w:spacing w:before="0" w:after="240"/>
        <w:rPr>
          <w:rFonts w:eastAsia="Times New Roman"/>
          <w:noProof/>
        </w:rPr>
      </w:pPr>
      <w:r>
        <w:rPr>
          <w:noProof/>
        </w:rPr>
        <w:t>Forslaget indeholder desuden bestemmelser om den procedure, der skal følges ved lodtrækningen, herunder hvem der er de ansvarlige institutioner.</w:t>
      </w:r>
    </w:p>
    <w:p>
      <w:pPr>
        <w:pBdr>
          <w:top w:val="nil"/>
          <w:left w:val="nil"/>
          <w:bottom w:val="nil"/>
          <w:right w:val="nil"/>
          <w:between w:val="nil"/>
          <w:bar w:val="nil"/>
        </w:pBdr>
        <w:spacing w:before="0" w:after="240"/>
        <w:rPr>
          <w:rFonts w:eastAsia="Times New Roman"/>
          <w:noProof/>
        </w:rPr>
      </w:pPr>
      <w:r>
        <w:rPr>
          <w:noProof/>
        </w:rPr>
        <w:t xml:space="preserve">Disse foranstaltninger er påkrævet i henhold til forordning (EU) 2017/1939 som en betingelse for oprettelsen af EPPO's kollegium. </w:t>
      </w:r>
    </w:p>
    <w:p>
      <w:pPr>
        <w:pStyle w:val="ManualHeading2"/>
        <w:rPr>
          <w:rFonts w:eastAsia="Arial Unicode MS"/>
          <w:noProof/>
          <w:color w:val="000000"/>
          <w:u w:color="000000"/>
          <w:bdr w:val="nil"/>
        </w:rPr>
      </w:pPr>
      <w:r>
        <w:rPr>
          <w:noProof/>
          <w:color w:val="000000"/>
          <w:u w:color="000000"/>
          <w:bdr w:val="nil"/>
        </w:rPr>
        <w:lastRenderedPageBreak/>
        <w:t>•</w:t>
      </w:r>
      <w:r>
        <w:rPr>
          <w:noProof/>
        </w:rPr>
        <w:tab/>
        <w:t>Sammenhæng med de gældende regler på samme område</w:t>
      </w:r>
    </w:p>
    <w:p>
      <w:pPr>
        <w:pBdr>
          <w:top w:val="nil"/>
          <w:left w:val="nil"/>
          <w:bottom w:val="nil"/>
          <w:right w:val="nil"/>
          <w:between w:val="nil"/>
          <w:bar w:val="nil"/>
        </w:pBdr>
        <w:spacing w:before="0" w:after="240"/>
        <w:rPr>
          <w:rFonts w:eastAsia="Arial Unicode MS"/>
          <w:noProof/>
        </w:rPr>
      </w:pPr>
      <w:r>
        <w:rPr>
          <w:noProof/>
        </w:rPr>
        <w:t xml:space="preserve">Denne gennemførelsesforanstaltning er påkrævet for at oprette EPPO og er derfor fuldt ud i overensstemmelse med andre eksisterende bestemmelser på dette politikområde. Ved at fremsætte dette forslag til Rådets gennemførelsesafgørelse opfylder Kommissionen sin forpligtelse i henhold til artikel 16, stk. 4, i </w:t>
      </w:r>
      <w:r>
        <w:rPr>
          <w:noProof/>
          <w:color w:val="000000" w:themeColor="text1"/>
        </w:rPr>
        <w:t xml:space="preserve">Rådets </w:t>
      </w:r>
      <w:r>
        <w:rPr>
          <w:noProof/>
        </w:rPr>
        <w:t xml:space="preserve">forordning (EU) 2017/1939. Dette forslag vil gøre det muligt at fastlægge passende overgangsbestemmelser vedrørende de europæiske anklageres første mandatperiode. </w:t>
      </w:r>
    </w:p>
    <w:p>
      <w:pPr>
        <w:pStyle w:val="ManualHeading2"/>
        <w:rPr>
          <w:rFonts w:eastAsia="Arial Unicode MS"/>
          <w:noProof/>
        </w:rPr>
      </w:pPr>
      <w:r>
        <w:rPr>
          <w:noProof/>
          <w:color w:val="000000"/>
          <w:u w:color="000000"/>
          <w:bdr w:val="nil"/>
        </w:rPr>
        <w:t>•</w:t>
      </w:r>
      <w:r>
        <w:rPr>
          <w:noProof/>
        </w:rPr>
        <w:tab/>
        <w:t>Sammenhæng med Unionens politik på andre områder</w:t>
      </w:r>
    </w:p>
    <w:p>
      <w:pPr>
        <w:pBdr>
          <w:top w:val="nil"/>
          <w:left w:val="nil"/>
          <w:bottom w:val="nil"/>
          <w:right w:val="nil"/>
          <w:between w:val="nil"/>
          <w:bar w:val="nil"/>
        </w:pBdr>
        <w:spacing w:before="0" w:after="240"/>
        <w:rPr>
          <w:rFonts w:eastAsia="Arial Unicode MS"/>
          <w:noProof/>
        </w:rPr>
      </w:pPr>
      <w:r>
        <w:rPr>
          <w:noProof/>
        </w:rPr>
        <w:t xml:space="preserve">Dette initiativ er i overensstemmelse med EU's øvrige politikker og lovgivning med henblik på at styrke beskyttelsen af Unionens finansielle interesser. </w:t>
      </w:r>
    </w:p>
    <w:p>
      <w:pPr>
        <w:pStyle w:val="ManualHeading1"/>
        <w:rPr>
          <w:noProof/>
        </w:rPr>
      </w:pPr>
      <w:r>
        <w:rPr>
          <w:noProof/>
        </w:rPr>
        <w:t>2.</w:t>
      </w:r>
      <w:r>
        <w:rPr>
          <w:noProof/>
        </w:rPr>
        <w:tab/>
        <w:t>RETSGRUNDLAG, NÆRHEDSPRINCIPPET OG PROPORTIONALITETSPRINCIPPET</w:t>
      </w:r>
    </w:p>
    <w:p>
      <w:pPr>
        <w:pStyle w:val="ManualHeading2"/>
        <w:rPr>
          <w:rFonts w:eastAsia="Arial Unicode MS"/>
          <w:noProof/>
          <w:u w:color="000000"/>
          <w:bdr w:val="nil"/>
        </w:rPr>
      </w:pPr>
      <w:r>
        <w:rPr>
          <w:noProof/>
        </w:rPr>
        <w:t>•</w:t>
      </w:r>
      <w:r>
        <w:rPr>
          <w:noProof/>
        </w:rPr>
        <w:tab/>
        <w:t>Retsgrundlag</w:t>
      </w:r>
    </w:p>
    <w:p>
      <w:pPr>
        <w:pBdr>
          <w:top w:val="nil"/>
          <w:left w:val="nil"/>
          <w:bottom w:val="nil"/>
          <w:right w:val="nil"/>
          <w:between w:val="nil"/>
          <w:bar w:val="nil"/>
        </w:pBdr>
        <w:spacing w:before="0" w:after="240"/>
        <w:rPr>
          <w:rFonts w:eastAsia="Arial Unicode MS"/>
          <w:noProof/>
        </w:rPr>
      </w:pPr>
      <w:r>
        <w:rPr>
          <w:noProof/>
        </w:rPr>
        <w:t xml:space="preserve">Forslaget har hjemmel i artikel 291 i traktaten om Den Europæiske Unions funktionsmåde, sammenholdt med artikel 16, stk. 4, i Rådets forordning (EU) 2017/1939. </w:t>
      </w:r>
    </w:p>
    <w:p>
      <w:pPr>
        <w:pStyle w:val="ManualHeading2"/>
        <w:rPr>
          <w:rFonts w:eastAsia="Arial Unicode MS"/>
          <w:noProof/>
          <w:u w:color="000000"/>
          <w:bdr w:val="nil"/>
        </w:rPr>
      </w:pPr>
      <w:r>
        <w:rPr>
          <w:noProof/>
        </w:rPr>
        <w:t>•</w:t>
      </w:r>
      <w:r>
        <w:rPr>
          <w:noProof/>
        </w:rPr>
        <w:tab/>
        <w:t xml:space="preserve">Nærhedsprincippet (for områder, der ikke er omfattet af enekompetence) </w:t>
      </w:r>
    </w:p>
    <w:p>
      <w:pPr>
        <w:pBdr>
          <w:top w:val="nil"/>
          <w:left w:val="nil"/>
          <w:bottom w:val="nil"/>
          <w:right w:val="nil"/>
          <w:between w:val="nil"/>
          <w:bar w:val="nil"/>
        </w:pBdr>
        <w:spacing w:before="0" w:after="240"/>
        <w:rPr>
          <w:rFonts w:eastAsia="Arial Unicode MS"/>
          <w:noProof/>
          <w:color w:val="000000" w:themeColor="text1"/>
        </w:rPr>
      </w:pPr>
      <w:r>
        <w:rPr>
          <w:noProof/>
        </w:rPr>
        <w:t xml:space="preserve">I henhold til Rådets forordning (EU) 2017/1939 skal Rådet vedtage overgangsbestemmelser for udpegelsen af europæiske anklagere for og under den første mandatperiode. Handling på EU-plan er derfor påkrævet i henhold til nævnte forordning. </w:t>
      </w:r>
    </w:p>
    <w:p>
      <w:pPr>
        <w:pStyle w:val="ManualHeading2"/>
        <w:rPr>
          <w:rFonts w:eastAsia="Arial Unicode MS"/>
          <w:noProof/>
          <w:u w:color="000000"/>
          <w:bdr w:val="nil"/>
        </w:rPr>
      </w:pPr>
      <w:r>
        <w:rPr>
          <w:noProof/>
        </w:rPr>
        <w:t>•</w:t>
      </w:r>
      <w:r>
        <w:rPr>
          <w:noProof/>
        </w:rPr>
        <w:tab/>
        <w:t>Proportionalitetsprincippet</w:t>
      </w:r>
    </w:p>
    <w:p>
      <w:pPr>
        <w:pBdr>
          <w:top w:val="nil"/>
          <w:left w:val="nil"/>
          <w:bottom w:val="nil"/>
          <w:right w:val="nil"/>
          <w:between w:val="nil"/>
          <w:bar w:val="nil"/>
        </w:pBdr>
        <w:spacing w:before="0" w:after="240"/>
        <w:rPr>
          <w:rFonts w:eastAsia="Arial Unicode MS"/>
          <w:noProof/>
        </w:rPr>
      </w:pPr>
      <w:r>
        <w:rPr>
          <w:noProof/>
        </w:rPr>
        <w:t xml:space="preserve">Dette forslag er begrænset til, hvad der er nødvendigt for at nå de foreslåede mål, og er derfor i overensstemmelse med proportionalitetsprincippet. Dette forslag er direkte forbundet med ikrafttrædelsen af Rådets forordning (EU) 2017/1939 og er af afgørende betydning for at sikre en hurtig oprettelse af EPPO. </w:t>
      </w:r>
    </w:p>
    <w:p>
      <w:pPr>
        <w:pBdr>
          <w:top w:val="nil"/>
          <w:left w:val="nil"/>
          <w:bottom w:val="nil"/>
          <w:right w:val="nil"/>
          <w:between w:val="nil"/>
          <w:bar w:val="nil"/>
        </w:pBdr>
        <w:spacing w:before="0" w:after="240"/>
        <w:rPr>
          <w:noProof/>
        </w:rPr>
      </w:pPr>
      <w:r>
        <w:rPr>
          <w:noProof/>
        </w:rPr>
        <w:t>3.</w:t>
      </w:r>
      <w:r>
        <w:rPr>
          <w:noProof/>
        </w:rPr>
        <w:tab/>
        <w:t>RESULTATER AF EFTERFØLGENDE EVALUERINGER, HØRINGER AF INTERESSEREDE PARTER OG KONSEKVENSANALYSER</w:t>
      </w:r>
    </w:p>
    <w:p>
      <w:pPr>
        <w:pBdr>
          <w:top w:val="nil"/>
          <w:left w:val="nil"/>
          <w:bottom w:val="nil"/>
          <w:right w:val="nil"/>
          <w:between w:val="nil"/>
          <w:bar w:val="nil"/>
        </w:pBdr>
        <w:spacing w:before="0" w:after="240"/>
        <w:rPr>
          <w:rFonts w:eastAsia="Arial Unicode MS"/>
          <w:noProof/>
        </w:rPr>
      </w:pPr>
      <w:r>
        <w:rPr>
          <w:noProof/>
        </w:rPr>
        <w:t>Henset til den specifikke og begrænsede karakter af dette forslag og den omstændighed, at det indfrier den forpligtelse, som Kommissionen er pålagt i medfør af artikel 16, stk. 4, i Rådets forordning (EU) 2017/1939, er der ikke blevet gennemført efterfølgende evalueringer, høringer af interesserede parter eller konsekvensanalyser.</w:t>
      </w:r>
    </w:p>
    <w:p>
      <w:pPr>
        <w:pStyle w:val="ManualHeading1"/>
        <w:rPr>
          <w:noProof/>
        </w:rPr>
      </w:pPr>
      <w:r>
        <w:rPr>
          <w:noProof/>
        </w:rPr>
        <w:t>4.</w:t>
      </w:r>
      <w:r>
        <w:rPr>
          <w:noProof/>
        </w:rPr>
        <w:tab/>
        <w:t>VIRKNINGER FOR BUDGETTET</w:t>
      </w:r>
    </w:p>
    <w:p>
      <w:pPr>
        <w:pBdr>
          <w:top w:val="nil"/>
          <w:left w:val="nil"/>
          <w:bottom w:val="nil"/>
          <w:right w:val="nil"/>
          <w:between w:val="nil"/>
          <w:bar w:val="nil"/>
        </w:pBdr>
        <w:spacing w:before="0" w:after="240"/>
        <w:rPr>
          <w:rFonts w:eastAsia="Arial Unicode MS"/>
          <w:noProof/>
        </w:rPr>
      </w:pPr>
      <w:r>
        <w:rPr>
          <w:noProof/>
        </w:rPr>
        <w:t xml:space="preserve">Dette forslag har ingen direkte virkninger for budgettet. EU-budgettets bidrag til driften af EPPO dækker lønninger og godtgørelser til de europæiske anklagere. </w:t>
      </w:r>
    </w:p>
    <w:p>
      <w:pPr>
        <w:pStyle w:val="ManualHeading1"/>
        <w:rPr>
          <w:noProof/>
        </w:rPr>
      </w:pPr>
      <w:r>
        <w:rPr>
          <w:noProof/>
        </w:rPr>
        <w:t>5.</w:t>
      </w:r>
      <w:r>
        <w:rPr>
          <w:noProof/>
        </w:rPr>
        <w:tab/>
        <w:t>ANDRE FORHOLD</w:t>
      </w:r>
    </w:p>
    <w:p>
      <w:pPr>
        <w:pStyle w:val="ManualHeading2"/>
        <w:rPr>
          <w:rFonts w:eastAsia="Arial Unicode MS"/>
          <w:noProof/>
          <w:u w:color="000000"/>
          <w:bdr w:val="nil"/>
        </w:rPr>
      </w:pPr>
      <w:r>
        <w:rPr>
          <w:noProof/>
        </w:rPr>
        <w:t>•</w:t>
      </w:r>
      <w:r>
        <w:rPr>
          <w:noProof/>
        </w:rPr>
        <w:tab/>
        <w:t>Planer for gennemførelsen og foranstaltninger til overvågning, evaluering og rapportering</w:t>
      </w:r>
    </w:p>
    <w:p>
      <w:pPr>
        <w:pBdr>
          <w:top w:val="nil"/>
          <w:left w:val="nil"/>
          <w:bottom w:val="nil"/>
          <w:right w:val="nil"/>
          <w:between w:val="nil"/>
          <w:bar w:val="nil"/>
        </w:pBdr>
        <w:spacing w:before="0" w:after="240"/>
        <w:rPr>
          <w:rFonts w:eastAsia="Arial Unicode MS"/>
          <w:noProof/>
        </w:rPr>
      </w:pPr>
      <w:r>
        <w:rPr>
          <w:noProof/>
        </w:rPr>
        <w:t xml:space="preserve">Henset til karakteren af denne foranstaltning er en gennemførelsesplan eller bestemmelser for overvågning af gennemførelsen ikke nødvendig. </w:t>
      </w:r>
    </w:p>
    <w:p>
      <w:pPr>
        <w:pStyle w:val="ManualHeading2"/>
        <w:rPr>
          <w:rFonts w:eastAsia="Arial Unicode MS"/>
          <w:noProof/>
          <w:u w:color="000000"/>
          <w:bdr w:val="nil"/>
        </w:rPr>
      </w:pPr>
      <w:r>
        <w:rPr>
          <w:noProof/>
        </w:rPr>
        <w:lastRenderedPageBreak/>
        <w:t>•</w:t>
      </w:r>
      <w:r>
        <w:rPr>
          <w:noProof/>
        </w:rPr>
        <w:tab/>
        <w:t>Forklarende dokumenter (for direktiver)</w:t>
      </w:r>
    </w:p>
    <w:p>
      <w:pPr>
        <w:pBdr>
          <w:top w:val="nil"/>
          <w:left w:val="nil"/>
          <w:bottom w:val="nil"/>
          <w:right w:val="nil"/>
          <w:between w:val="nil"/>
          <w:bar w:val="nil"/>
        </w:pBdr>
        <w:spacing w:before="0" w:after="240"/>
        <w:rPr>
          <w:rFonts w:eastAsia="Arial Unicode MS"/>
          <w:noProof/>
        </w:rPr>
      </w:pPr>
      <w:r>
        <w:rPr>
          <w:noProof/>
        </w:rPr>
        <w:t xml:space="preserve">Forslaget kræver ingen forklarende dokumenter om gennemførelsen. </w:t>
      </w:r>
    </w:p>
    <w:p>
      <w:pPr>
        <w:pStyle w:val="ManualHeading2"/>
        <w:rPr>
          <w:rFonts w:eastAsia="Arial Unicode MS"/>
          <w:noProof/>
          <w:u w:color="000000"/>
          <w:bdr w:val="nil"/>
        </w:rPr>
      </w:pPr>
      <w:r>
        <w:rPr>
          <w:noProof/>
        </w:rPr>
        <w:t>•</w:t>
      </w:r>
      <w:r>
        <w:rPr>
          <w:noProof/>
        </w:rPr>
        <w:tab/>
        <w:t>Nærmere redegørelse for de enkelte bestemmelser i forslaget</w:t>
      </w:r>
    </w:p>
    <w:p>
      <w:pPr>
        <w:rPr>
          <w:noProof/>
        </w:rPr>
      </w:pPr>
      <w:r>
        <w:rPr>
          <w:noProof/>
        </w:rPr>
        <w:t>I artikel 1 fastlægges formålet med Rådets gennemførelsesafgørelse.</w:t>
      </w:r>
    </w:p>
    <w:p>
      <w:pPr>
        <w:rPr>
          <w:noProof/>
        </w:rPr>
      </w:pPr>
      <w:r>
        <w:rPr>
          <w:noProof/>
        </w:rPr>
        <w:t>I artikel 2 fastsættes en procedure for en delvis nybesættelse af de europæiske anklagere ved lodtrækning. I stk. 1 redegøres der for kravet i artikel 16, stk. 4, i forordning (EU) 2017/1939 om, at der skal fastsættes en gruppe af europæiske anklagere, der består af en tredjedel af antallet af deltagende medlemsstater på tidspunktet for anvendelsen af overgangsbestemmelserne. I stk. 2 præciseres den procedure, der skal følges, hvis antallet af deltagende medlemsstater på tidspunktet for anvendelsen af overgangsbestemmelserne ikke kan deles med tre. I dette tilfælde rundes antallet af europæiske anklagere, der skal medtages i hver gruppe, op til det højere hele tal. I stk. 3 fastsættes det, at Generalsekretariatet for Rådet træffer de nødvendige foranstaltninger til gennemførelse af lodtrækningsproceduren i samarbejde med Kommissionen.</w:t>
      </w:r>
    </w:p>
    <w:p>
      <w:pPr>
        <w:rPr>
          <w:noProof/>
        </w:rPr>
      </w:pPr>
      <w:r>
        <w:rPr>
          <w:noProof/>
        </w:rPr>
        <w:t xml:space="preserve">I artikel 3 fastsættes det, at embedsperioden, som ikke kan forlænges, for de europæiske anklagere, som udtrækkes efter den i artikel 2 fastsatte procedure, skal være tre år. </w:t>
      </w:r>
    </w:p>
    <w:p>
      <w:pPr>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Statut"/>
        <w:rPr>
          <w:noProof/>
        </w:rPr>
      </w:pPr>
      <w:r>
        <w:rPr>
          <w:noProof/>
        </w:rPr>
        <w:lastRenderedPageBreak/>
        <w:t>Forslag til</w:t>
      </w:r>
    </w:p>
    <w:p>
      <w:pPr>
        <w:pStyle w:val="Typedudocument"/>
        <w:rPr>
          <w:noProof/>
        </w:rPr>
      </w:pPr>
      <w:r>
        <w:rPr>
          <w:noProof/>
        </w:rPr>
        <w:t>RÅDETS GENNEMFØRELSESAFGØRELSE</w:t>
      </w:r>
    </w:p>
    <w:p>
      <w:pPr>
        <w:pStyle w:val="Titreobjet"/>
        <w:rPr>
          <w:noProof/>
        </w:rPr>
      </w:pPr>
      <w:r>
        <w:rPr>
          <w:noProof/>
        </w:rPr>
        <w:t>om overgangsbestemmelser for udpegelsen af de europæiske anklagere for og under den første mandatperiode som fastsat i artikel 16, stk. 4, i forordning (EU) 2017/1939 om gennemførelse af et forstærket samarbejde om oprettelse af Den Europæiske Anklagemyndighed ("EPPO")</w:t>
      </w:r>
    </w:p>
    <w:p>
      <w:pPr>
        <w:pStyle w:val="Institutionquiagit"/>
        <w:rPr>
          <w:noProof/>
        </w:rPr>
      </w:pPr>
      <w:r>
        <w:rPr>
          <w:noProof/>
        </w:rPr>
        <w:t>RÅDET FOR DEN EUROPÆISKE UNION HAR —</w:t>
      </w:r>
    </w:p>
    <w:p>
      <w:pPr>
        <w:rPr>
          <w:noProof/>
        </w:rPr>
      </w:pPr>
      <w:r>
        <w:rPr>
          <w:noProof/>
        </w:rPr>
        <w:t xml:space="preserve">under henvisning til traktaten om Den Europæiske Unions funktionsmåde, </w:t>
      </w:r>
    </w:p>
    <w:p>
      <w:pPr>
        <w:rPr>
          <w:noProof/>
        </w:rPr>
      </w:pPr>
      <w:r>
        <w:rPr>
          <w:noProof/>
        </w:rPr>
        <w:t>under henvisning til Rådets forordning (EU) 2017/1939 af 12. oktober 2017 om gennemførelse af et forstærket samarbejde om oprettelse af Den Europæiske Anklagemyndighed ("EPPO")</w:t>
      </w:r>
      <w:r>
        <w:rPr>
          <w:rStyle w:val="FootnoteReference"/>
          <w:noProof/>
        </w:rPr>
        <w:footnoteReference w:id="2"/>
      </w:r>
      <w:r>
        <w:rPr>
          <w:noProof/>
        </w:rPr>
        <w:t>, særlig artikel 16, stk. 4,</w:t>
      </w:r>
    </w:p>
    <w:p>
      <w:pPr>
        <w:rPr>
          <w:noProof/>
        </w:rPr>
      </w:pPr>
      <w:r>
        <w:rPr>
          <w:noProof/>
        </w:rPr>
        <w:t>under henvisning til forslag fra Europa-Kommissionen, og</w:t>
      </w:r>
    </w:p>
    <w:p>
      <w:pPr>
        <w:rPr>
          <w:noProof/>
        </w:rPr>
      </w:pPr>
      <w:r>
        <w:rPr>
          <w:noProof/>
        </w:rPr>
        <w:t>ud fra følgende betragtninger:</w:t>
      </w:r>
    </w:p>
    <w:p>
      <w:pPr>
        <w:pStyle w:val="ManualConsidrant"/>
        <w:rPr>
          <w:noProof/>
        </w:rPr>
      </w:pPr>
      <w:r>
        <w:t>(1)</w:t>
      </w:r>
      <w:r>
        <w:tab/>
      </w:r>
      <w:r>
        <w:rPr>
          <w:noProof/>
        </w:rPr>
        <w:t>I henhold til artikel 16, stk. 3, i forordning (EU) 2017/1939 udpeger Rådet de europæiske anklagere for en seksårig periode, der ikke kan forlænges, medmindre Rådet giver tilladelse hertil, hvorefter den kan forlænges med højst tre år ved udløbet af den seksårige periode.</w:t>
      </w:r>
    </w:p>
    <w:p>
      <w:pPr>
        <w:pStyle w:val="ManualConsidrant"/>
        <w:rPr>
          <w:noProof/>
        </w:rPr>
      </w:pPr>
      <w:r>
        <w:t>(2)</w:t>
      </w:r>
      <w:r>
        <w:tab/>
      </w:r>
      <w:r>
        <w:rPr>
          <w:noProof/>
        </w:rPr>
        <w:t>I henhold til artikel 16, stk. 4, finder en delvis nybesættelse af en tredjedel af hvervene som europæisk anklager sted. Rådet bør med simpelt flertal vedtage overgangsbestemmelser for udpegelsen af europæiske anklagere for og under den første mandatperiode.</w:t>
      </w:r>
    </w:p>
    <w:p>
      <w:pPr>
        <w:pStyle w:val="ManualConsidrant"/>
        <w:rPr>
          <w:noProof/>
        </w:rPr>
      </w:pPr>
      <w:r>
        <w:t>(3)</w:t>
      </w:r>
      <w:r>
        <w:tab/>
      </w:r>
      <w:r>
        <w:rPr>
          <w:noProof/>
        </w:rPr>
        <w:t>Disse overgangsbestemmelser bør sikre en korrekt anvendelse af princippet om periodisk udskiftning af de europæiske anklagere, der udpeges for første gang til EPPO, så der sikres kontinuitet i arbejdet i kollegiet af europæiske anklagere. Samtidig bør der tages hensyn til EPPO's særlige behov i de første år efter dets oprettelse og ved indledningen af dets aktiviteter.</w:t>
      </w:r>
    </w:p>
    <w:p>
      <w:pPr>
        <w:pStyle w:val="ManualConsidrant"/>
        <w:rPr>
          <w:noProof/>
        </w:rPr>
      </w:pPr>
      <w:r>
        <w:t>(4)</w:t>
      </w:r>
      <w:r>
        <w:tab/>
      </w:r>
      <w:r>
        <w:rPr>
          <w:noProof/>
        </w:rPr>
        <w:t xml:space="preserve">Med henblik herpå bør der fastlægges særlige bestemmelser for varigheden af embedsperioden for de europæiske anklagere, der udpeges for første gang efter ikrafttrædelsen af forordning (EU) 2017/1939. </w:t>
      </w:r>
    </w:p>
    <w:p>
      <w:pPr>
        <w:pStyle w:val="ManualConsidrant"/>
        <w:rPr>
          <w:noProof/>
        </w:rPr>
      </w:pPr>
      <w:r>
        <w:t>(5)</w:t>
      </w:r>
      <w:r>
        <w:tab/>
      </w:r>
      <w:r>
        <w:rPr>
          <w:noProof/>
        </w:rPr>
        <w:t>En ordning baseret på lodtrækning bør følges for at sikre fuld gennemsigtighed og upartiskhed ved fastsættelsen af de europæiske anklagere, som i den første embedsperiode skal sidde i tre år i stedet for seks år. Med denne ordning bør det desuden sikres, at udvælgelsen af de europæiske anklagere, hvis embedsperiode vil være kortere, er neutral i geografisk forstand —</w:t>
      </w:r>
    </w:p>
    <w:p>
      <w:pPr>
        <w:pStyle w:val="Formuledadoption"/>
        <w:rPr>
          <w:noProof/>
        </w:rPr>
      </w:pPr>
      <w:r>
        <w:rPr>
          <w:noProof/>
        </w:rPr>
        <w:lastRenderedPageBreak/>
        <w:t xml:space="preserve">VEDTAGET DENNE AFGØRELSE: </w:t>
      </w:r>
    </w:p>
    <w:p>
      <w:pPr>
        <w:pStyle w:val="Titrearticle"/>
        <w:rPr>
          <w:noProof/>
        </w:rPr>
      </w:pPr>
      <w:r>
        <w:rPr>
          <w:noProof/>
        </w:rPr>
        <w:t>Artikel 1</w:t>
      </w:r>
    </w:p>
    <w:p>
      <w:pPr>
        <w:rPr>
          <w:noProof/>
        </w:rPr>
      </w:pPr>
      <w:r>
        <w:rPr>
          <w:noProof/>
        </w:rPr>
        <w:t>Ved nærværende afgørelse fastlægges overgangsbestemmelser for udpegelsen af europæiske anklagere for og under den første mandatperiode efter ikrafttrædelsen af forordning (EU) 2017/1939.</w:t>
      </w:r>
    </w:p>
    <w:p>
      <w:pPr>
        <w:pStyle w:val="Titrearticle"/>
        <w:rPr>
          <w:noProof/>
        </w:rPr>
      </w:pPr>
      <w:r>
        <w:rPr>
          <w:noProof/>
        </w:rPr>
        <w:t>Artikel 2</w:t>
      </w:r>
    </w:p>
    <w:p>
      <w:pPr>
        <w:pStyle w:val="ManualNumPar1"/>
        <w:rPr>
          <w:noProof/>
        </w:rPr>
      </w:pPr>
      <w:r>
        <w:t>1.</w:t>
      </w:r>
      <w:r>
        <w:tab/>
      </w:r>
      <w:r>
        <w:rPr>
          <w:noProof/>
        </w:rPr>
        <w:t xml:space="preserve">Umiddelbart efter udpegelsen af de europæiske anklagere fastsættes der ved lodtrækning en gruppe af europæiske anklagere bestående af en tredjedel af antallet af deltagende medlemsstater på tidspunktet for anvendelsen af overgangsbestemmelserne. </w:t>
      </w:r>
    </w:p>
    <w:p>
      <w:pPr>
        <w:pStyle w:val="ManualNumPar1"/>
        <w:rPr>
          <w:noProof/>
          <w:szCs w:val="24"/>
        </w:rPr>
      </w:pPr>
      <w:r>
        <w:t>2.</w:t>
      </w:r>
      <w:r>
        <w:tab/>
      </w:r>
      <w:r>
        <w:rPr>
          <w:noProof/>
        </w:rPr>
        <w:t>Hvis antallet af deltagende medlemsstater på tidspunktet for anvendelsen af disse overgangsbestemmelser ikke kan deles med tre, rundes antallet af europæiske anklagere, der skal medtages i gruppen, op til det nærmeste højere hele tal.</w:t>
      </w:r>
    </w:p>
    <w:p>
      <w:pPr>
        <w:pStyle w:val="ManualNumPar1"/>
        <w:rPr>
          <w:noProof/>
          <w:szCs w:val="24"/>
        </w:rPr>
      </w:pPr>
      <w:r>
        <w:t>3.</w:t>
      </w:r>
      <w:r>
        <w:tab/>
      </w:r>
      <w:r>
        <w:rPr>
          <w:noProof/>
        </w:rPr>
        <w:t>Generalsekretariatet for Rådet træffer i tæt samarbejde med Kommissionen de nødvendige foranstaltninger til gennemførelse af lodtrækningsproceduren.</w:t>
      </w:r>
    </w:p>
    <w:p>
      <w:pPr>
        <w:pStyle w:val="Titrearticle"/>
        <w:rPr>
          <w:noProof/>
        </w:rPr>
      </w:pPr>
      <w:r>
        <w:rPr>
          <w:noProof/>
        </w:rPr>
        <w:t>Artikel 3</w:t>
      </w:r>
    </w:p>
    <w:p>
      <w:pPr>
        <w:rPr>
          <w:noProof/>
        </w:rPr>
      </w:pPr>
      <w:r>
        <w:rPr>
          <w:noProof/>
        </w:rPr>
        <w:t>Embedsperioden for de europæiske anklagere, som medtages i den i artikel 2 fastsatte gruppe, er tre år. Udpegelsen af disse europæiske anklagere kan ikke fornyes.</w:t>
      </w:r>
    </w:p>
    <w:p>
      <w:pPr>
        <w:pStyle w:val="Titrearticle"/>
        <w:rPr>
          <w:noProof/>
        </w:rPr>
      </w:pPr>
      <w:r>
        <w:rPr>
          <w:noProof/>
        </w:rPr>
        <w:t>Artikel 4</w:t>
      </w:r>
    </w:p>
    <w:p>
      <w:pPr>
        <w:keepNext/>
        <w:keepLines/>
        <w:rPr>
          <w:noProof/>
        </w:rPr>
      </w:pPr>
      <w:r>
        <w:rPr>
          <w:noProof/>
        </w:rPr>
        <w:t xml:space="preserve">Denne afgørelse træder i kraft på [tyvende]dagen efter offentliggørelsen i </w:t>
      </w:r>
      <w:r>
        <w:rPr>
          <w:i/>
          <w:noProof/>
        </w:rPr>
        <w:t>Den Europæiske Unions Tidende</w:t>
      </w:r>
      <w:r>
        <w:rPr>
          <w:noProof/>
        </w:rPr>
        <w:t>.</w:t>
      </w:r>
    </w:p>
    <w:p>
      <w:pPr>
        <w:pStyle w:val="Fait"/>
        <w:rPr>
          <w:noProof/>
        </w:rPr>
      </w:pPr>
      <w:r>
        <w:t xml:space="preserve">Udfærdiget i Bruxelles, den </w:t>
      </w:r>
      <w:r>
        <w:rPr>
          <w:rStyle w:val="Marker"/>
        </w:rPr>
        <w:t>[…]</w:t>
      </w:r>
      <w:r>
        <w:t>.</w:t>
      </w:r>
    </w:p>
    <w:p>
      <w:pPr>
        <w:pStyle w:val="Institutionquisigne"/>
        <w:rPr>
          <w:noProof/>
        </w:rPr>
      </w:pPr>
      <w:r>
        <w:rPr>
          <w:noProof/>
        </w:rPr>
        <w:tab/>
        <w:t>På Rådets vegne</w:t>
      </w:r>
    </w:p>
    <w:p>
      <w:pPr>
        <w:pStyle w:val="Personnequisigne"/>
        <w:rPr>
          <w:noProof/>
        </w:rPr>
      </w:pPr>
      <w:r>
        <w:rPr>
          <w:noProof/>
        </w:rPr>
        <w:tab/>
        <w:t>Formand</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DA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Se f.eks. artikel 46, stk. 2, i akten vedrørende vilkårene for Den Tjekkiske Republiks, Republikken Estlands, Republikken Cyperns, Republikken Letlands, Republikken Litauens, Republikken Ungarns, Republikken Maltas, Republikken Polens, Republikken Sloveniens og Den Slovakiske Republiks tiltrædelse og tilpasningerne af de traktater, der danner grundlag for Den Europæiske Union (EUT L 236 af 23.9. 2003, s. 47), og artikel 21, stk. 2, i Europa-Parlamentets og Rådets forordning (EU, Euratom) nr. 883/2013 af 11. september 2013 om undersøgelser, der foretages af Det Europæiske Kontor for Bekæmpelse af Svig (OLAF) og om ophævelse af Europa-Parlamentets og Rådets forordning (EF) nr. 1073/1999 og Rådets forordning (Euratom) nr. 1074/1999 (EUT L 248 af 18.9. 2013, s. 16).</w:t>
      </w:r>
    </w:p>
  </w:footnote>
  <w:footnote w:id="2">
    <w:p>
      <w:pPr>
        <w:pStyle w:val="FootnoteText"/>
      </w:pPr>
      <w:r>
        <w:rPr>
          <w:rStyle w:val="FootnoteReference"/>
        </w:rPr>
        <w:footnoteRef/>
      </w:r>
      <w:r>
        <w:tab/>
        <w:t>EUT L 283 af 31.10.2017,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30472C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474DAD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60816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366824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1420F0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2B29AD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D005E68"/>
    <w:lvl w:ilvl="0">
      <w:start w:val="1"/>
      <w:numFmt w:val="decimal"/>
      <w:pStyle w:val="ListNumber"/>
      <w:lvlText w:val="%1."/>
      <w:lvlJc w:val="left"/>
      <w:pPr>
        <w:tabs>
          <w:tab w:val="num" w:pos="360"/>
        </w:tabs>
        <w:ind w:left="360" w:hanging="360"/>
      </w:pPr>
    </w:lvl>
  </w:abstractNum>
  <w:abstractNum w:abstractNumId="7">
    <w:nsid w:val="FFFFFF89"/>
    <w:multiLevelType w:val="singleLevel"/>
    <w:tmpl w:val="B7BE70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VORSKY Jan (SJ)">
    <w15:presenceInfo w15:providerId="None" w15:userId="JAVORSKY Jan (SJ)"/>
  </w15:person>
  <w15:person w15:author="BAQUERO CRUZ Julio (SJ)">
    <w15:presenceInfo w15:providerId="None" w15:userId="BAQUERO CRUZ Julio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1-07 09:36:1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RRIGENDUM" w:val="&lt;UNUSED&gt;"/>
    <w:docVar w:name="LW_COVERPAGE_EXISTS" w:val="True"/>
    <w:docVar w:name="LW_COVERPAGE_GUID" w:val="5ED025C4-74B4-41E8-AFF7-A81E809BB3F4"/>
    <w:docVar w:name="LW_COVERPAGE_TYPE" w:val="1"/>
    <w:docVar w:name="LW_CROSSREFERENCE" w:val="&lt;UNUSED&gt;"/>
    <w:docVar w:name="LW_DocType" w:val="COM"/>
    <w:docVar w:name="LW_EMISSION" w:val="11.1.2019"/>
    <w:docVar w:name="LW_EMISSION_ISODATE" w:val="2019-01-11"/>
    <w:docVar w:name="LW_EMISSION_LOCATION" w:val="BRX"/>
    <w:docVar w:name="LW_EMISSION_PREFIX" w:val="Bruxelles, den "/>
    <w:docVar w:name="LW_EMISSION_SUFFIX" w:val=" "/>
    <w:docVar w:name="LW_ID_DOCMODEL" w:val="SJ-021"/>
    <w:docVar w:name="LW_ID_DOCSIGNATURE" w:val="SJ-021"/>
    <w:docVar w:name="LW_ID_DOCSTRUCTURE" w:val="COM/PL/ORG"/>
    <w:docVar w:name="LW_ID_DOCTYPE" w:val="SJ-021"/>
    <w:docVar w:name="LW_ID_EXP.MOTIFS.NEW" w:val="EM_PL_"/>
    <w:docVar w:name="LW_ID_STATUT" w:val="SJ-021"/>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9) 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Forslag til"/>
    <w:docVar w:name="LW_SUPERTITRE" w:val="&lt;UNUSED&gt;"/>
    <w:docVar w:name="LW_TITRE.OBJ.CP" w:val="om overgangsbestemmelser for udpegelsen af de europæiske anklagere for og under den første mandatperiode som fastsat i artikel 16, stk. 4, i forordning (EU) 2017/1939 om gennemførelse af et forstærket samarbejde om oprettelse af Den Europæiske Anklagemyndighed (&quot;EPPO&quot;)"/>
    <w:docVar w:name="LW_TYPE.DOC.CP" w:val="RÅDETS GENNEMFØRELSESAFGØRELS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6</Pages>
  <Words>1360</Words>
  <Characters>8314</Characters>
  <Application>Microsoft Office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dcterms:created xsi:type="dcterms:W3CDTF">2018-12-21T15:05:00Z</dcterms:created>
  <dcterms:modified xsi:type="dcterms:W3CDTF">2019-01-07T08:36:00Z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SJ-021</vt:lpwstr>
  </property>
  <property fmtid="{D5CDD505-2E9C-101B-9397-08002B2CF9AE}" pid="10" name="DQCStatus">
    <vt:lpwstr>Green (DQC version 03)</vt:lpwstr>
  </property>
  <property name="OP_sanitized" fmtid="{D5CDD505-2E9C-101B-9397-08002B2CF9AE}" pid="11">
    <vt:lpwstr>True</vt:lpwstr>
  </property>
</Properties>
</file>