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Word_Document1.docx" ContentType="application/vnd.openxmlformats-officedocument.wordprocessingml.documen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alt="B2B5BD1C-DB28-4FEC-B572-B852AE37009C" style="width:450.75pt;height:306.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rPr>
          <w:noProof/>
          <w:sz w:val="28"/>
          <w:szCs w:val="28"/>
        </w:rPr>
      </w:pPr>
      <w:bookmarkStart w:id="1" w:name="_Toc472077562"/>
      <w:bookmarkStart w:id="2" w:name="_Toc10472509"/>
      <w:bookmarkStart w:id="3" w:name="_Toc13584225"/>
      <w:bookmarkStart w:id="4" w:name="_GoBack"/>
      <w:bookmarkEnd w:id="4"/>
      <w:r>
        <w:rPr>
          <w:noProof/>
          <w:sz w:val="28"/>
        </w:rPr>
        <w:lastRenderedPageBreak/>
        <w:t>Indledning</w:t>
      </w:r>
      <w:bookmarkEnd w:id="1"/>
      <w:bookmarkEnd w:id="2"/>
      <w:bookmarkEnd w:id="3"/>
    </w:p>
    <w:p>
      <w:pPr>
        <w:rPr>
          <w:noProof/>
        </w:rPr>
      </w:pPr>
    </w:p>
    <w:p>
      <w:pPr>
        <w:spacing w:line="360" w:lineRule="auto"/>
        <w:jc w:val="both"/>
        <w:rPr>
          <w:rFonts w:cs="Times New Roman"/>
          <w:noProof/>
        </w:rPr>
      </w:pPr>
      <w:r>
        <w:rPr>
          <w:noProof/>
        </w:rPr>
        <w:t>Denne rapport omhandler gennemførelsen af det årlige arbejdsprogram for 2016 under det tredje sundhedsprogram for 2014-2020, som blev oprettet ved Europa-Parlamentets og Rådets forordning (EU) nr. 282/2014 af 11. marts 2014</w:t>
      </w:r>
      <w:r>
        <w:rPr>
          <w:rStyle w:val="FootnoteReference"/>
          <w:noProof/>
        </w:rPr>
        <w:footnoteReference w:id="1"/>
      </w:r>
      <w:r>
        <w:rPr>
          <w:noProof/>
        </w:rPr>
        <w:t>.</w:t>
      </w:r>
    </w:p>
    <w:p>
      <w:pPr>
        <w:spacing w:line="360" w:lineRule="auto"/>
        <w:jc w:val="both"/>
        <w:rPr>
          <w:noProof/>
        </w:rPr>
      </w:pPr>
      <w:r>
        <w:rPr>
          <w:noProof/>
        </w:rPr>
        <w:t>I overensstemmelse med forordningens artikel 13, stk. 1, skal Kommissionen aflægge rapport til sundhedsprogramudvalget om gennemførelsen af alle aktioner, der finansieres via programmet, og holde Europa-Parlamentet og Rådet underrettet. Denne rapport indeholder detaljerede oplysninger om 2016-budgettet og om, hvordan det blev anvendt.</w:t>
      </w:r>
    </w:p>
    <w:p>
      <w:pPr>
        <w:spacing w:line="360" w:lineRule="auto"/>
        <w:jc w:val="both"/>
        <w:rPr>
          <w:noProof/>
        </w:rPr>
      </w:pPr>
      <w:r>
        <w:rPr>
          <w:noProof/>
        </w:rPr>
        <w:t>Det arbejdsdokument fra Kommissionens tjenestegrene, der ledsager denne rapport, indeholder eksempler på vigtige aktioner, der er samfinansieret via det andet</w:t>
      </w:r>
      <w:r>
        <w:rPr>
          <w:rStyle w:val="FootnoteReference"/>
          <w:noProof/>
        </w:rPr>
        <w:footnoteReference w:id="2"/>
      </w:r>
      <w:r>
        <w:rPr>
          <w:noProof/>
        </w:rPr>
        <w:t xml:space="preserve"> og tredje sundhedsprogram, for hvilke der forelå endelige resultater i 2016. Det omfatter aktioner vedrørende hovedtemaerne (f.eks. sjældne sygdomme og europæiske netværk af referencecentre, koordinering af pleje, registre, sundhedssikkerhed – navnlig i lyset af ebolaepidemi og tobaksrygning), som indgår i flere på hinanden følgende finansieringsafgørelser. Det indeholder også en tabel med en detaljeret oversigt over alle samfinansierede aktiviteter og kontrakter.</w:t>
      </w:r>
    </w:p>
    <w:p>
      <w:pPr>
        <w:spacing w:line="360" w:lineRule="auto"/>
        <w:jc w:val="both"/>
        <w:rPr>
          <w:rFonts w:eastAsia="Times New Roman" w:cs="Times New Roman"/>
          <w:noProof/>
        </w:rPr>
      </w:pPr>
      <w:r>
        <w:rPr>
          <w:noProof/>
        </w:rPr>
        <w:t>Det årlige arbejdsprogram for 2016 fokuserede på oprettelse af og støtte til de europæiske netværk af referencecentre</w:t>
      </w:r>
      <w:r>
        <w:rPr>
          <w:rStyle w:val="FootnoteReference"/>
          <w:noProof/>
        </w:rPr>
        <w:footnoteReference w:id="3"/>
      </w:r>
      <w:r>
        <w:rPr>
          <w:noProof/>
        </w:rPr>
        <w:t>, der er oprettet i henhold til direktiv 2011/24/EU om patientrettigheder i forbindelse med grænseoverskridende sundhedsydelser</w:t>
      </w:r>
      <w:r>
        <w:rPr>
          <w:rStyle w:val="FootnoteReference"/>
          <w:noProof/>
        </w:rPr>
        <w:footnoteReference w:id="4"/>
      </w:r>
      <w:r>
        <w:rPr>
          <w:noProof/>
        </w:rPr>
        <w:t>. Europæiske netværk af referencecentre er virtuelle netværk af leverandører af sundhedsydelser i EU, som behandler komplekse eller sjældne sygdomme og lidelser.</w:t>
      </w:r>
    </w:p>
    <w:p>
      <w:pPr>
        <w:spacing w:line="360" w:lineRule="auto"/>
        <w:jc w:val="both"/>
        <w:rPr>
          <w:noProof/>
        </w:rPr>
      </w:pPr>
      <w:r>
        <w:rPr>
          <w:noProof/>
        </w:rPr>
        <w:t>Arbejdsprogrammet for 2016 havde desuden et stærkt fokus på mål 1 – "at fremme sundhed, forebygge sygdomme og skabe gunstige miljøer for en sund livsstil ud fra princippet om, at der skal tages hensyn til sundhed i alle politikker", idet prioriterede emner omhandlede de vigtigste livsstilsfaktorer (alkohol, tobak og narkotika), forebyggelse og forvaltning af kroniske sygdomme samt sundhedsrelaterede spørgsmål vedrørende migranters og flygtninges sundhed.</w:t>
      </w:r>
    </w:p>
    <w:p>
      <w:pPr>
        <w:spacing w:line="360" w:lineRule="auto"/>
        <w:jc w:val="both"/>
        <w:rPr>
          <w:rFonts w:eastAsia="Times New Roman" w:cs="Times New Roman"/>
          <w:noProof/>
        </w:rPr>
      </w:pPr>
      <w:r>
        <w:rPr>
          <w:noProof/>
        </w:rPr>
        <w:t>Kommissionen overvåger nøje gennemførelsen af det tredje sundhedsprogram og sikrer, at resultaterne heraf i højere grad offentliggøres. Den tilskynder også alle medlemsstater og tredjelande, der bidrager til programmet, til at deltage i dens aktioner og skabe forbindelser med andre relevante EU-finansieringsprogrammer såsom Horisont 2020.</w:t>
      </w:r>
      <w:r>
        <w:rPr>
          <w:noProof/>
        </w:rPr>
        <w:br w:type="page"/>
      </w:r>
    </w:p>
    <w:bookmarkStart w:id="5" w:name="_Toc472077563" w:displacedByCustomXml="next"/>
    <w:sdt>
      <w:sdtPr>
        <w:rPr>
          <w:rFonts w:eastAsiaTheme="minorHAnsi" w:cstheme="minorBidi"/>
          <w:b w:val="0"/>
          <w:noProof/>
          <w:sz w:val="22"/>
          <w:szCs w:val="22"/>
        </w:rPr>
        <w:id w:val="4676546"/>
        <w:docPartObj>
          <w:docPartGallery w:val="Table of Contents"/>
          <w:docPartUnique/>
        </w:docPartObj>
      </w:sdtPr>
      <w:sdtContent>
        <w:p>
          <w:pPr>
            <w:pStyle w:val="TOCHeading"/>
            <w:rPr>
              <w:noProof/>
            </w:rPr>
          </w:pPr>
          <w:r>
            <w:rPr>
              <w:noProof/>
            </w:rPr>
            <w:t>INDHOLDSFORTEGNELSE</w:t>
          </w:r>
        </w:p>
        <w:p>
          <w:pPr>
            <w:pStyle w:val="TOC1"/>
            <w:rPr>
              <w:rFonts w:asciiTheme="minorHAnsi" w:eastAsiaTheme="minorEastAsia" w:hAnsiTheme="minorHAnsi" w:cstheme="minorBidi"/>
              <w:sz w:val="22"/>
              <w:szCs w:val="22"/>
              <w:lang w:val="en-GB" w:eastAsia="en-GB" w:bidi="ar-SA"/>
            </w:rPr>
          </w:pPr>
          <w:r>
            <w:rPr>
              <w:sz w:val="22"/>
              <w:szCs w:val="22"/>
            </w:rPr>
            <w:fldChar w:fldCharType="begin"/>
          </w:r>
          <w:r>
            <w:rPr>
              <w:sz w:val="22"/>
              <w:szCs w:val="22"/>
            </w:rPr>
            <w:instrText xml:space="preserve"> TOC \o "1-3" \h \z \u </w:instrText>
          </w:r>
          <w:r>
            <w:rPr>
              <w:sz w:val="22"/>
              <w:szCs w:val="22"/>
            </w:rPr>
            <w:fldChar w:fldCharType="separate"/>
          </w:r>
          <w:hyperlink w:anchor="_Toc13584225" w:history="1">
            <w:r>
              <w:rPr>
                <w:rStyle w:val="Hyperlink"/>
              </w:rPr>
              <w:t>Indledning</w:t>
            </w:r>
            <w:r>
              <w:rPr>
                <w:webHidden/>
              </w:rPr>
              <w:tab/>
            </w:r>
            <w:r>
              <w:rPr>
                <w:webHidden/>
              </w:rPr>
              <w:fldChar w:fldCharType="begin"/>
            </w:r>
            <w:r>
              <w:rPr>
                <w:webHidden/>
              </w:rPr>
              <w:instrText xml:space="preserve"> PAGEREF _Toc13584225 \h </w:instrText>
            </w:r>
            <w:r>
              <w:rPr>
                <w:webHidden/>
              </w:rPr>
            </w:r>
            <w:r>
              <w:rPr>
                <w:webHidden/>
              </w:rPr>
              <w:fldChar w:fldCharType="separate"/>
            </w:r>
            <w:r>
              <w:rPr>
                <w:webHidden/>
              </w:rPr>
              <w:t>1</w:t>
            </w:r>
            <w:r>
              <w:rPr>
                <w:webHidden/>
              </w:rPr>
              <w:fldChar w:fldCharType="end"/>
            </w:r>
          </w:hyperlink>
        </w:p>
        <w:p>
          <w:pPr>
            <w:pStyle w:val="TOC1"/>
            <w:rPr>
              <w:rFonts w:asciiTheme="minorHAnsi" w:eastAsiaTheme="minorEastAsia" w:hAnsiTheme="minorHAnsi" w:cstheme="minorBidi"/>
              <w:sz w:val="22"/>
              <w:szCs w:val="22"/>
              <w:lang w:val="en-GB" w:eastAsia="en-GB" w:bidi="ar-SA"/>
            </w:rPr>
          </w:pPr>
          <w:hyperlink w:anchor="_Toc13584226" w:history="1">
            <w:r>
              <w:rPr>
                <w:rStyle w:val="Hyperlink"/>
              </w:rPr>
              <w:t>Hovedtemaer i 2016</w:t>
            </w:r>
            <w:r>
              <w:rPr>
                <w:webHidden/>
              </w:rPr>
              <w:tab/>
            </w:r>
            <w:r>
              <w:rPr>
                <w:webHidden/>
              </w:rPr>
              <w:fldChar w:fldCharType="begin"/>
            </w:r>
            <w:r>
              <w:rPr>
                <w:webHidden/>
              </w:rPr>
              <w:instrText xml:space="preserve"> PAGEREF _Toc13584226 \h </w:instrText>
            </w:r>
            <w:r>
              <w:rPr>
                <w:webHidden/>
              </w:rPr>
            </w:r>
            <w:r>
              <w:rPr>
                <w:webHidden/>
              </w:rPr>
              <w:fldChar w:fldCharType="separate"/>
            </w:r>
            <w:r>
              <w:rPr>
                <w:webHidden/>
              </w:rPr>
              <w:t>3</w:t>
            </w:r>
            <w:r>
              <w:rPr>
                <w:webHidden/>
              </w:rPr>
              <w:fldChar w:fldCharType="end"/>
            </w:r>
          </w:hyperlink>
        </w:p>
        <w:p>
          <w:pPr>
            <w:pStyle w:val="TOC1"/>
            <w:rPr>
              <w:rFonts w:asciiTheme="minorHAnsi" w:eastAsiaTheme="minorEastAsia" w:hAnsiTheme="minorHAnsi" w:cstheme="minorBidi"/>
              <w:sz w:val="22"/>
              <w:szCs w:val="22"/>
              <w:lang w:val="en-GB" w:eastAsia="en-GB" w:bidi="ar-SA"/>
            </w:rPr>
          </w:pPr>
          <w:hyperlink w:anchor="_Toc13584227" w:history="1">
            <w:r>
              <w:rPr>
                <w:rStyle w:val="Hyperlink"/>
              </w:rPr>
              <w:t>Gennemførelse af sundhedsprogrammet</w:t>
            </w:r>
            <w:r>
              <w:rPr>
                <w:webHidden/>
              </w:rPr>
              <w:tab/>
            </w:r>
            <w:r>
              <w:rPr>
                <w:webHidden/>
              </w:rPr>
              <w:fldChar w:fldCharType="begin"/>
            </w:r>
            <w:r>
              <w:rPr>
                <w:webHidden/>
              </w:rPr>
              <w:instrText xml:space="preserve"> PAGEREF _Toc13584227 \h </w:instrText>
            </w:r>
            <w:r>
              <w:rPr>
                <w:webHidden/>
              </w:rPr>
            </w:r>
            <w:r>
              <w:rPr>
                <w:webHidden/>
              </w:rPr>
              <w:fldChar w:fldCharType="separate"/>
            </w:r>
            <w:r>
              <w:rPr>
                <w:webHidden/>
              </w:rPr>
              <w:t>6</w:t>
            </w:r>
            <w:r>
              <w:rPr>
                <w:webHidden/>
              </w:rPr>
              <w:fldChar w:fldCharType="end"/>
            </w:r>
          </w:hyperlink>
        </w:p>
        <w:p>
          <w:pPr>
            <w:pStyle w:val="TOC2"/>
            <w:rPr>
              <w:rFonts w:asciiTheme="minorHAnsi" w:eastAsiaTheme="minorEastAsia" w:hAnsiTheme="minorHAnsi" w:cstheme="minorBidi"/>
              <w:sz w:val="22"/>
              <w:szCs w:val="22"/>
              <w:lang w:val="en-GB" w:eastAsia="en-GB" w:bidi="ar-SA"/>
            </w:rPr>
          </w:pPr>
          <w:hyperlink w:anchor="_Toc13584228" w:history="1">
            <w:r>
              <w:rPr>
                <w:rStyle w:val="Hyperlink"/>
              </w:rPr>
              <w:t>1.</w:t>
            </w:r>
            <w:r>
              <w:rPr>
                <w:rFonts w:asciiTheme="minorHAnsi" w:eastAsiaTheme="minorEastAsia" w:hAnsiTheme="minorHAnsi" w:cstheme="minorBidi"/>
                <w:sz w:val="22"/>
                <w:szCs w:val="22"/>
                <w:lang w:val="en-GB" w:eastAsia="en-GB" w:bidi="ar-SA"/>
              </w:rPr>
              <w:tab/>
            </w:r>
            <w:r>
              <w:rPr>
                <w:rStyle w:val="Hyperlink"/>
              </w:rPr>
              <w:t>Budget</w:t>
            </w:r>
            <w:r>
              <w:rPr>
                <w:webHidden/>
              </w:rPr>
              <w:tab/>
            </w:r>
            <w:r>
              <w:rPr>
                <w:webHidden/>
              </w:rPr>
              <w:fldChar w:fldCharType="begin"/>
            </w:r>
            <w:r>
              <w:rPr>
                <w:webHidden/>
              </w:rPr>
              <w:instrText xml:space="preserve"> PAGEREF _Toc13584228 \h </w:instrText>
            </w:r>
            <w:r>
              <w:rPr>
                <w:webHidden/>
              </w:rPr>
            </w:r>
            <w:r>
              <w:rPr>
                <w:webHidden/>
              </w:rPr>
              <w:fldChar w:fldCharType="separate"/>
            </w:r>
            <w:r>
              <w:rPr>
                <w:webHidden/>
              </w:rPr>
              <w:t>6</w:t>
            </w:r>
            <w:r>
              <w:rPr>
                <w:webHidden/>
              </w:rPr>
              <w:fldChar w:fldCharType="end"/>
            </w:r>
          </w:hyperlink>
        </w:p>
        <w:p>
          <w:pPr>
            <w:pStyle w:val="TOC2"/>
            <w:rPr>
              <w:rFonts w:asciiTheme="minorHAnsi" w:eastAsiaTheme="minorEastAsia" w:hAnsiTheme="minorHAnsi" w:cstheme="minorBidi"/>
              <w:sz w:val="22"/>
              <w:szCs w:val="22"/>
              <w:lang w:val="en-GB" w:eastAsia="en-GB" w:bidi="ar-SA"/>
            </w:rPr>
          </w:pPr>
          <w:hyperlink w:anchor="_Toc13584229" w:history="1">
            <w:r>
              <w:rPr>
                <w:rStyle w:val="Hyperlink"/>
              </w:rPr>
              <w:t>2.</w:t>
            </w:r>
            <w:r>
              <w:rPr>
                <w:rFonts w:asciiTheme="minorHAnsi" w:eastAsiaTheme="minorEastAsia" w:hAnsiTheme="minorHAnsi" w:cstheme="minorBidi"/>
                <w:sz w:val="22"/>
                <w:szCs w:val="22"/>
                <w:lang w:val="en-GB" w:eastAsia="en-GB" w:bidi="ar-SA"/>
              </w:rPr>
              <w:tab/>
            </w:r>
            <w:r>
              <w:rPr>
                <w:rStyle w:val="Hyperlink"/>
              </w:rPr>
              <w:t>Prioriteringer og finansieringsmekanismer</w:t>
            </w:r>
            <w:r>
              <w:rPr>
                <w:webHidden/>
              </w:rPr>
              <w:tab/>
            </w:r>
            <w:r>
              <w:rPr>
                <w:webHidden/>
              </w:rPr>
              <w:fldChar w:fldCharType="begin"/>
            </w:r>
            <w:r>
              <w:rPr>
                <w:webHidden/>
              </w:rPr>
              <w:instrText xml:space="preserve"> PAGEREF _Toc13584229 \h </w:instrText>
            </w:r>
            <w:r>
              <w:rPr>
                <w:webHidden/>
              </w:rPr>
            </w:r>
            <w:r>
              <w:rPr>
                <w:webHidden/>
              </w:rPr>
              <w:fldChar w:fldCharType="separate"/>
            </w:r>
            <w:r>
              <w:rPr>
                <w:webHidden/>
              </w:rPr>
              <w:t>7</w:t>
            </w:r>
            <w:r>
              <w:rPr>
                <w:webHidden/>
              </w:rPr>
              <w:fldChar w:fldCharType="end"/>
            </w:r>
          </w:hyperlink>
        </w:p>
        <w:p>
          <w:pPr>
            <w:pStyle w:val="TOC2"/>
            <w:rPr>
              <w:rFonts w:asciiTheme="minorHAnsi" w:eastAsiaTheme="minorEastAsia" w:hAnsiTheme="minorHAnsi" w:cstheme="minorBidi"/>
              <w:sz w:val="22"/>
              <w:szCs w:val="22"/>
              <w:lang w:val="en-GB" w:eastAsia="en-GB" w:bidi="ar-SA"/>
            </w:rPr>
          </w:pPr>
          <w:hyperlink w:anchor="_Toc13584230" w:history="1">
            <w:r>
              <w:rPr>
                <w:rStyle w:val="Hyperlink"/>
              </w:rPr>
              <w:t>3.</w:t>
            </w:r>
            <w:r>
              <w:rPr>
                <w:rFonts w:asciiTheme="minorHAnsi" w:eastAsiaTheme="minorEastAsia" w:hAnsiTheme="minorHAnsi" w:cstheme="minorBidi"/>
                <w:sz w:val="22"/>
                <w:szCs w:val="22"/>
                <w:lang w:val="en-GB" w:eastAsia="en-GB" w:bidi="ar-SA"/>
              </w:rPr>
              <w:tab/>
            </w:r>
            <w:r>
              <w:rPr>
                <w:rStyle w:val="Hyperlink"/>
              </w:rPr>
              <w:t>Gennemførelse opdelt efter finansieringsmekanismer</w:t>
            </w:r>
            <w:r>
              <w:rPr>
                <w:webHidden/>
              </w:rPr>
              <w:tab/>
            </w:r>
            <w:r>
              <w:rPr>
                <w:webHidden/>
              </w:rPr>
              <w:fldChar w:fldCharType="begin"/>
            </w:r>
            <w:r>
              <w:rPr>
                <w:webHidden/>
              </w:rPr>
              <w:instrText xml:space="preserve"> PAGEREF _Toc13584230 \h </w:instrText>
            </w:r>
            <w:r>
              <w:rPr>
                <w:webHidden/>
              </w:rPr>
            </w:r>
            <w:r>
              <w:rPr>
                <w:webHidden/>
              </w:rPr>
              <w:fldChar w:fldCharType="separate"/>
            </w:r>
            <w:r>
              <w:rPr>
                <w:webHidden/>
              </w:rPr>
              <w:t>10</w:t>
            </w:r>
            <w:r>
              <w:rPr>
                <w:webHidden/>
              </w:rPr>
              <w:fldChar w:fldCharType="end"/>
            </w:r>
          </w:hyperlink>
        </w:p>
        <w:p>
          <w:pPr>
            <w:pStyle w:val="TOC2"/>
            <w:rPr>
              <w:rFonts w:asciiTheme="minorHAnsi" w:eastAsiaTheme="minorEastAsia" w:hAnsiTheme="minorHAnsi" w:cstheme="minorBidi"/>
              <w:sz w:val="22"/>
              <w:szCs w:val="22"/>
              <w:lang w:val="en-GB" w:eastAsia="en-GB" w:bidi="ar-SA"/>
            </w:rPr>
          </w:pPr>
          <w:hyperlink w:anchor="_Toc13584231" w:history="1">
            <w:r>
              <w:rPr>
                <w:rStyle w:val="Hyperlink"/>
              </w:rPr>
              <w:t>4.</w:t>
            </w:r>
            <w:r>
              <w:rPr>
                <w:rFonts w:asciiTheme="minorHAnsi" w:eastAsiaTheme="minorEastAsia" w:hAnsiTheme="minorHAnsi" w:cstheme="minorBidi"/>
                <w:sz w:val="22"/>
                <w:szCs w:val="22"/>
                <w:lang w:val="en-GB" w:eastAsia="en-GB" w:bidi="ar-SA"/>
              </w:rPr>
              <w:tab/>
            </w:r>
            <w:r>
              <w:rPr>
                <w:rStyle w:val="Hyperlink"/>
              </w:rPr>
              <w:t>Støttemodtagere</w:t>
            </w:r>
            <w:r>
              <w:rPr>
                <w:webHidden/>
              </w:rPr>
              <w:tab/>
            </w:r>
            <w:r>
              <w:rPr>
                <w:webHidden/>
              </w:rPr>
              <w:fldChar w:fldCharType="begin"/>
            </w:r>
            <w:r>
              <w:rPr>
                <w:webHidden/>
              </w:rPr>
              <w:instrText xml:space="preserve"> PAGEREF _Toc13584231 \h </w:instrText>
            </w:r>
            <w:r>
              <w:rPr>
                <w:webHidden/>
              </w:rPr>
            </w:r>
            <w:r>
              <w:rPr>
                <w:webHidden/>
              </w:rPr>
              <w:fldChar w:fldCharType="separate"/>
            </w:r>
            <w:r>
              <w:rPr>
                <w:webHidden/>
              </w:rPr>
              <w:t>11</w:t>
            </w:r>
            <w:r>
              <w:rPr>
                <w:webHidden/>
              </w:rPr>
              <w:fldChar w:fldCharType="end"/>
            </w:r>
          </w:hyperlink>
        </w:p>
        <w:p>
          <w:pPr>
            <w:pStyle w:val="TOC1"/>
            <w:rPr>
              <w:rFonts w:asciiTheme="minorHAnsi" w:eastAsiaTheme="minorEastAsia" w:hAnsiTheme="minorHAnsi" w:cstheme="minorBidi"/>
              <w:sz w:val="22"/>
              <w:szCs w:val="22"/>
              <w:lang w:val="en-GB" w:eastAsia="en-GB" w:bidi="ar-SA"/>
            </w:rPr>
          </w:pPr>
          <w:hyperlink w:anchor="_Toc13584232" w:history="1">
            <w:r>
              <w:rPr>
                <w:rStyle w:val="Hyperlink"/>
              </w:rPr>
              <w:t>Forbedringer</w:t>
            </w:r>
            <w:r>
              <w:rPr>
                <w:webHidden/>
              </w:rPr>
              <w:tab/>
            </w:r>
            <w:r>
              <w:rPr>
                <w:webHidden/>
              </w:rPr>
              <w:fldChar w:fldCharType="begin"/>
            </w:r>
            <w:r>
              <w:rPr>
                <w:webHidden/>
              </w:rPr>
              <w:instrText xml:space="preserve"> PAGEREF _Toc13584232 \h </w:instrText>
            </w:r>
            <w:r>
              <w:rPr>
                <w:webHidden/>
              </w:rPr>
            </w:r>
            <w:r>
              <w:rPr>
                <w:webHidden/>
              </w:rPr>
              <w:fldChar w:fldCharType="separate"/>
            </w:r>
            <w:r>
              <w:rPr>
                <w:webHidden/>
              </w:rPr>
              <w:t>11</w:t>
            </w:r>
            <w:r>
              <w:rPr>
                <w:webHidden/>
              </w:rPr>
              <w:fldChar w:fldCharType="end"/>
            </w:r>
          </w:hyperlink>
        </w:p>
        <w:p>
          <w:pPr>
            <w:pStyle w:val="TOC1"/>
            <w:rPr>
              <w:rFonts w:asciiTheme="minorHAnsi" w:eastAsiaTheme="minorEastAsia" w:hAnsiTheme="minorHAnsi" w:cstheme="minorBidi"/>
              <w:sz w:val="22"/>
              <w:szCs w:val="22"/>
            </w:rPr>
          </w:pPr>
          <w:r>
            <w:fldChar w:fldCharType="end"/>
          </w:r>
        </w:p>
      </w:sdtContent>
    </w:sdt>
    <w:p>
      <w:pPr>
        <w:rPr>
          <w:rFonts w:eastAsia="Times New Roman" w:cs="Times New Roman"/>
          <w:b/>
          <w:bCs/>
          <w:smallCaps/>
          <w:noProof/>
          <w:sz w:val="32"/>
          <w:szCs w:val="24"/>
        </w:rPr>
      </w:pPr>
      <w:r>
        <w:rPr>
          <w:noProof/>
        </w:rPr>
        <w:br w:type="page"/>
      </w:r>
    </w:p>
    <w:p>
      <w:pPr>
        <w:pStyle w:val="Heading1"/>
        <w:rPr>
          <w:noProof/>
          <w:sz w:val="28"/>
        </w:rPr>
      </w:pPr>
      <w:bookmarkStart w:id="6" w:name="_Toc10472510"/>
      <w:bookmarkStart w:id="7" w:name="_Toc13584226"/>
      <w:r>
        <w:rPr>
          <w:noProof/>
          <w:sz w:val="28"/>
        </w:rPr>
        <w:t>Hovedtemaer i 2016</w:t>
      </w:r>
      <w:bookmarkEnd w:id="6"/>
      <w:bookmarkEnd w:id="7"/>
    </w:p>
    <w:bookmarkEnd w:id="5"/>
    <w:p>
      <w:pPr>
        <w:autoSpaceDE w:val="0"/>
        <w:autoSpaceDN w:val="0"/>
        <w:adjustRightInd w:val="0"/>
        <w:spacing w:after="0" w:line="360" w:lineRule="auto"/>
        <w:jc w:val="both"/>
        <w:rPr>
          <w:rFonts w:cs="Times New Roman"/>
          <w:noProof/>
          <w:color w:val="000000"/>
        </w:rPr>
      </w:pPr>
    </w:p>
    <w:p>
      <w:pPr>
        <w:spacing w:before="240" w:line="360" w:lineRule="auto"/>
        <w:jc w:val="both"/>
        <w:rPr>
          <w:rFonts w:cs="Times New Roman"/>
          <w:noProof/>
        </w:rPr>
      </w:pPr>
      <w:r>
        <w:rPr>
          <w:noProof/>
        </w:rPr>
        <w:t>Det årlige arbejdsprogram for 2016 har til formål at bidrage til Kommissionens sundhedsprioriteringer som beskrevet i formandens politiske retningslinjer</w:t>
      </w:r>
      <w:r>
        <w:rPr>
          <w:rStyle w:val="FootnoteReference"/>
          <w:noProof/>
        </w:rPr>
        <w:footnoteReference w:id="5"/>
      </w:r>
      <w:r>
        <w:rPr>
          <w:noProof/>
        </w:rPr>
        <w:t xml:space="preserve"> og opgavebeskrivelsen for den kommissær, der er ansvarlig for sundhed og fødevaresikkerhed</w:t>
      </w:r>
      <w:r>
        <w:rPr>
          <w:rStyle w:val="FootnoteReference"/>
          <w:noProof/>
        </w:rPr>
        <w:footnoteReference w:id="6"/>
      </w:r>
      <w:r>
        <w:rPr>
          <w:noProof/>
        </w:rPr>
        <w:t>.</w:t>
      </w:r>
    </w:p>
    <w:p>
      <w:pPr>
        <w:autoSpaceDE w:val="0"/>
        <w:autoSpaceDN w:val="0"/>
        <w:adjustRightInd w:val="0"/>
        <w:spacing w:after="0" w:line="360" w:lineRule="auto"/>
        <w:jc w:val="both"/>
        <w:rPr>
          <w:rFonts w:cs="Times New Roman"/>
          <w:i/>
          <w:noProof/>
          <w:color w:val="000000"/>
        </w:rPr>
      </w:pPr>
      <w:r>
        <w:rPr>
          <w:i/>
          <w:noProof/>
          <w:color w:val="000000"/>
        </w:rPr>
        <w:t>Europæiske netværk af referencecentre</w:t>
      </w:r>
    </w:p>
    <w:p>
      <w:pPr>
        <w:autoSpaceDE w:val="0"/>
        <w:autoSpaceDN w:val="0"/>
        <w:adjustRightInd w:val="0"/>
        <w:spacing w:after="0" w:line="360" w:lineRule="auto"/>
        <w:jc w:val="both"/>
        <w:rPr>
          <w:rFonts w:cs="Times New Roman"/>
          <w:noProof/>
          <w:color w:val="000000"/>
        </w:rPr>
      </w:pPr>
      <w:r>
        <w:rPr>
          <w:noProof/>
          <w:color w:val="000000"/>
        </w:rPr>
        <w:t xml:space="preserve">Det prioriterede sundhedsinitiativ under det årlige arbejdsprogram for 2016 var at oprette de </w:t>
      </w:r>
      <w:r>
        <w:rPr>
          <w:b/>
          <w:noProof/>
          <w:color w:val="000000"/>
        </w:rPr>
        <w:t>europæiske netværk af referencecentre</w:t>
      </w:r>
      <w:r>
        <w:rPr>
          <w:noProof/>
          <w:color w:val="000000"/>
        </w:rPr>
        <w:t xml:space="preserve"> (ERN'er) i overensstemmelse med: a) Europa-Parlamentets og Rådets direktiv 2011/24/EU af 9. marts 2011 om patientrettigheder i forbindelse med grænseoverskridende sundhedsydelser</w:t>
      </w:r>
      <w:r>
        <w:rPr>
          <w:rStyle w:val="FootnoteReference"/>
          <w:noProof/>
          <w:color w:val="000000"/>
        </w:rPr>
        <w:footnoteReference w:id="7"/>
      </w:r>
      <w:r>
        <w:rPr>
          <w:noProof/>
          <w:color w:val="000000"/>
        </w:rPr>
        <w:t xml:space="preserve"> og b) EU's politik vedrørende sjældne sygdomme.</w:t>
      </w:r>
    </w:p>
    <w:p>
      <w:pPr>
        <w:autoSpaceDE w:val="0"/>
        <w:autoSpaceDN w:val="0"/>
        <w:adjustRightInd w:val="0"/>
        <w:spacing w:after="0" w:line="360" w:lineRule="auto"/>
        <w:jc w:val="both"/>
        <w:rPr>
          <w:rFonts w:cs="Times New Roman"/>
          <w:noProof/>
          <w:color w:val="000000"/>
        </w:rPr>
      </w:pPr>
      <w:r>
        <w:rPr>
          <w:noProof/>
          <w:color w:val="000000"/>
        </w:rPr>
        <w:t>ERN'er er virtuelle netværk, der omfatter mere end 900 udbydere af sundhedsydelser i hele EU. De har til formål at bekæmpe komplekse eller sjældne sygdomme og lidelser, der kræver højt specialiseret behandling og koncentration af viden og ressourcer.</w:t>
      </w:r>
    </w:p>
    <w:p>
      <w:pPr>
        <w:autoSpaceDE w:val="0"/>
        <w:autoSpaceDN w:val="0"/>
        <w:adjustRightInd w:val="0"/>
        <w:spacing w:after="0" w:line="360" w:lineRule="auto"/>
        <w:jc w:val="both"/>
        <w:rPr>
          <w:rFonts w:cs="Times New Roman"/>
          <w:noProof/>
          <w:color w:val="000000"/>
        </w:rPr>
      </w:pPr>
      <w:r>
        <w:rPr>
          <w:noProof/>
          <w:color w:val="000000"/>
        </w:rPr>
        <w:t>I 2016 blev der anvendt flere forskellige finansieringsforanstaltninger til støtte for ERN'er, som beløb sig til mere end 8 mio. EUR (8 012 343,47 EUR). Disse omfattede:</w:t>
      </w:r>
    </w:p>
    <w:p>
      <w:pPr>
        <w:pStyle w:val="ListParagraph"/>
        <w:numPr>
          <w:ilvl w:val="0"/>
          <w:numId w:val="38"/>
        </w:numPr>
        <w:autoSpaceDE w:val="0"/>
        <w:autoSpaceDN w:val="0"/>
        <w:adjustRightInd w:val="0"/>
        <w:spacing w:before="240" w:after="0" w:line="360" w:lineRule="auto"/>
        <w:jc w:val="both"/>
        <w:rPr>
          <w:rFonts w:ascii="Times New Roman" w:hAnsi="Times New Roman"/>
          <w:noProof/>
        </w:rPr>
      </w:pPr>
      <w:r>
        <w:rPr>
          <w:rFonts w:ascii="Times New Roman" w:hAnsi="Times New Roman"/>
          <w:noProof/>
          <w:color w:val="000000"/>
        </w:rPr>
        <w:t>en indkaldelse af interessetilkendegivelser vedrørende ERN'er, jf. artikel 2 i gennemførelsesafgørelse 2014/287/EU</w:t>
      </w:r>
      <w:r>
        <w:rPr>
          <w:rStyle w:val="FootnoteReference"/>
          <w:rFonts w:ascii="Times New Roman" w:hAnsi="Times New Roman"/>
          <w:noProof/>
          <w:color w:val="000000"/>
        </w:rPr>
        <w:footnoteReference w:id="8"/>
      </w:r>
      <w:r>
        <w:rPr>
          <w:rFonts w:ascii="Times New Roman" w:hAnsi="Times New Roman"/>
          <w:noProof/>
          <w:color w:val="000000"/>
        </w:rPr>
        <w:t>, efterfulgt af godkendelse hos de enkelte sundhedstjenesteydere og netværk som helhed ved en tilsvarende afgørelse truffet af rådet af medlemsstater, jf. afgørelsens artikel 5</w:t>
      </w:r>
    </w:p>
    <w:p>
      <w:pPr>
        <w:pStyle w:val="ListParagraph"/>
        <w:numPr>
          <w:ilvl w:val="0"/>
          <w:numId w:val="38"/>
        </w:numPr>
        <w:autoSpaceDE w:val="0"/>
        <w:autoSpaceDN w:val="0"/>
        <w:adjustRightInd w:val="0"/>
        <w:spacing w:after="0" w:line="360" w:lineRule="auto"/>
        <w:jc w:val="both"/>
        <w:rPr>
          <w:rFonts w:ascii="Times New Roman" w:hAnsi="Times New Roman"/>
          <w:noProof/>
        </w:rPr>
      </w:pPr>
      <w:r>
        <w:rPr>
          <w:rFonts w:ascii="Times New Roman" w:hAnsi="Times New Roman"/>
          <w:noProof/>
          <w:color w:val="000000"/>
        </w:rPr>
        <w:t>anmodninger om tjenesteydelser til de uafhængige vurderingsorganer med henblik på vurdering af kandidatnetværk af referencecentre i overensstemmelse med kriterierne i den delegerede afgørelse 2014/286/EU</w:t>
      </w:r>
      <w:r>
        <w:rPr>
          <w:rStyle w:val="FootnoteReference"/>
          <w:rFonts w:ascii="Times New Roman" w:hAnsi="Times New Roman"/>
          <w:noProof/>
          <w:color w:val="000000"/>
        </w:rPr>
        <w:footnoteReference w:id="9"/>
      </w:r>
      <w:r>
        <w:rPr>
          <w:rFonts w:ascii="Times New Roman" w:hAnsi="Times New Roman"/>
          <w:noProof/>
          <w:color w:val="000000"/>
        </w:rPr>
        <w:t xml:space="preserve"> (1 646 638,27 EUR)</w:t>
      </w:r>
    </w:p>
    <w:p>
      <w:pPr>
        <w:pStyle w:val="ListParagraph"/>
        <w:numPr>
          <w:ilvl w:val="0"/>
          <w:numId w:val="38"/>
        </w:numPr>
        <w:autoSpaceDE w:val="0"/>
        <w:autoSpaceDN w:val="0"/>
        <w:adjustRightInd w:val="0"/>
        <w:spacing w:after="0" w:line="360" w:lineRule="auto"/>
        <w:jc w:val="both"/>
        <w:rPr>
          <w:rFonts w:ascii="Times New Roman" w:hAnsi="Times New Roman"/>
          <w:noProof/>
          <w:color w:val="000000"/>
        </w:rPr>
      </w:pPr>
      <w:r>
        <w:rPr>
          <w:rFonts w:ascii="Times New Roman" w:hAnsi="Times New Roman"/>
          <w:noProof/>
          <w:color w:val="000000"/>
        </w:rPr>
        <w:t xml:space="preserve">en indkaldelse af finansiering af de godkendte netværks omkostninger (4 386 344,15 EUR) </w:t>
      </w:r>
    </w:p>
    <w:p>
      <w:pPr>
        <w:pStyle w:val="ListParagraph"/>
        <w:numPr>
          <w:ilvl w:val="0"/>
          <w:numId w:val="38"/>
        </w:numPr>
        <w:autoSpaceDE w:val="0"/>
        <w:autoSpaceDN w:val="0"/>
        <w:adjustRightInd w:val="0"/>
        <w:spacing w:after="0" w:line="360" w:lineRule="auto"/>
        <w:jc w:val="both"/>
        <w:rPr>
          <w:rFonts w:ascii="Times New Roman" w:hAnsi="Times New Roman"/>
          <w:noProof/>
          <w:color w:val="000000"/>
        </w:rPr>
      </w:pPr>
      <w:r>
        <w:rPr>
          <w:rFonts w:ascii="Times New Roman" w:hAnsi="Times New Roman"/>
          <w:noProof/>
          <w:color w:val="000000"/>
        </w:rPr>
        <w:t>en opfordring til støtte af ERN'ers patientregistre over sjældne sygdomme (1 979 361,05 EUR).</w:t>
      </w:r>
    </w:p>
    <w:p>
      <w:pPr>
        <w:autoSpaceDE w:val="0"/>
        <w:autoSpaceDN w:val="0"/>
        <w:adjustRightInd w:val="0"/>
        <w:spacing w:after="0" w:line="360" w:lineRule="auto"/>
        <w:jc w:val="both"/>
        <w:rPr>
          <w:noProof/>
          <w:color w:val="000000"/>
        </w:rPr>
      </w:pPr>
    </w:p>
    <w:p>
      <w:pPr>
        <w:widowControl w:val="0"/>
        <w:spacing w:before="120" w:after="120" w:line="360" w:lineRule="auto"/>
        <w:jc w:val="both"/>
        <w:rPr>
          <w:rFonts w:eastAsia="Times New Roman" w:cs="Times New Roman"/>
          <w:noProof/>
          <w:u w:val="single"/>
        </w:rPr>
      </w:pPr>
      <w:r>
        <w:rPr>
          <w:noProof/>
          <w:u w:val="single"/>
        </w:rPr>
        <w:t>Baggrund</w:t>
      </w:r>
    </w:p>
    <w:p>
      <w:pPr>
        <w:widowControl w:val="0"/>
        <w:spacing w:before="120" w:after="120" w:line="360" w:lineRule="auto"/>
        <w:jc w:val="both"/>
        <w:rPr>
          <w:rFonts w:eastAsia="Arial" w:cs="Times New Roman"/>
          <w:noProof/>
        </w:rPr>
      </w:pPr>
      <w:r>
        <w:rPr>
          <w:noProof/>
        </w:rPr>
        <w:t>I henhold til artikel 12, stk. 1, i direktiv 2011/24/EU skal Europa-Kommissionen støtte medlemsstaterne i at udvikle ERN'er</w:t>
      </w:r>
      <w:r>
        <w:rPr>
          <w:rStyle w:val="FootnoteReference"/>
          <w:noProof/>
        </w:rPr>
        <w:footnoteReference w:id="10"/>
      </w:r>
      <w:r>
        <w:rPr>
          <w:noProof/>
        </w:rPr>
        <w:t>. I Kommissionens gennemførelsesafgørelse 2014/287/EU fastsættes processen og kriterierne for netværkenes samlede livscyklus fra indkaldelse af forslag til vurdering, godkendelse, oprettelse og evaluering af ERN'er. Forvaltningsorganet for Forbrugere, Sundhed, Landbrug og Fødevarer (CHAFEA) har støttet Kommissionen i alle disse faser, f.eks. ved at:</w:t>
      </w:r>
    </w:p>
    <w:p>
      <w:pPr>
        <w:pStyle w:val="ListParagraph"/>
        <w:widowControl w:val="0"/>
        <w:numPr>
          <w:ilvl w:val="0"/>
          <w:numId w:val="56"/>
        </w:numPr>
        <w:spacing w:before="120" w:after="120" w:line="360" w:lineRule="auto"/>
        <w:ind w:left="426" w:hanging="357"/>
        <w:contextualSpacing w:val="0"/>
        <w:jc w:val="both"/>
        <w:rPr>
          <w:rFonts w:ascii="Times New Roman" w:eastAsia="Arial" w:hAnsi="Times New Roman"/>
          <w:noProof/>
        </w:rPr>
      </w:pPr>
      <w:r>
        <w:rPr>
          <w:rFonts w:ascii="Times New Roman" w:hAnsi="Times New Roman"/>
          <w:noProof/>
        </w:rPr>
        <w:t>forvalte indkaldelsen af netværk</w:t>
      </w:r>
    </w:p>
    <w:p>
      <w:pPr>
        <w:pStyle w:val="ListParagraph"/>
        <w:widowControl w:val="0"/>
        <w:numPr>
          <w:ilvl w:val="0"/>
          <w:numId w:val="56"/>
        </w:numPr>
        <w:spacing w:before="120" w:after="120" w:line="360" w:lineRule="auto"/>
        <w:ind w:left="426" w:hanging="357"/>
        <w:contextualSpacing w:val="0"/>
        <w:jc w:val="both"/>
        <w:rPr>
          <w:rFonts w:ascii="Times New Roman" w:eastAsia="Arial" w:hAnsi="Times New Roman"/>
          <w:noProof/>
        </w:rPr>
      </w:pPr>
      <w:r>
        <w:rPr>
          <w:rFonts w:ascii="Times New Roman" w:hAnsi="Times New Roman"/>
          <w:noProof/>
        </w:rPr>
        <w:t xml:space="preserve">sikre vurderingen af alle kandidatnetværk </w:t>
      </w:r>
    </w:p>
    <w:p>
      <w:pPr>
        <w:pStyle w:val="ListParagraph"/>
        <w:widowControl w:val="0"/>
        <w:numPr>
          <w:ilvl w:val="0"/>
          <w:numId w:val="56"/>
        </w:numPr>
        <w:spacing w:before="120" w:after="120" w:line="360" w:lineRule="auto"/>
        <w:ind w:left="426" w:hanging="357"/>
        <w:contextualSpacing w:val="0"/>
        <w:jc w:val="both"/>
        <w:rPr>
          <w:rFonts w:ascii="Times New Roman" w:eastAsia="Arial" w:hAnsi="Times New Roman"/>
          <w:noProof/>
        </w:rPr>
      </w:pPr>
      <w:r>
        <w:rPr>
          <w:rFonts w:ascii="Times New Roman" w:hAnsi="Times New Roman"/>
          <w:noProof/>
        </w:rPr>
        <w:t>kanalisere EU's samfinansiering til at støtte omkostningerne ved koordinering af de godkendte netværk i fem år (2017-2021).</w:t>
      </w:r>
    </w:p>
    <w:p>
      <w:pPr>
        <w:pStyle w:val="Default"/>
        <w:keepNext/>
        <w:spacing w:before="120" w:after="120" w:line="360" w:lineRule="auto"/>
        <w:jc w:val="both"/>
        <w:rPr>
          <w:rFonts w:eastAsiaTheme="minorHAnsi"/>
          <w:noProof/>
          <w:sz w:val="22"/>
          <w:szCs w:val="22"/>
          <w:u w:val="single"/>
        </w:rPr>
      </w:pPr>
      <w:r>
        <w:rPr>
          <w:rFonts w:eastAsiaTheme="minorHAnsi"/>
          <w:noProof/>
          <w:sz w:val="22"/>
          <w:u w:val="single"/>
        </w:rPr>
        <w:t>Mål</w:t>
      </w:r>
    </w:p>
    <w:p>
      <w:pPr>
        <w:pStyle w:val="NormalWeb"/>
        <w:shd w:val="clear" w:color="auto" w:fill="FFFFFF"/>
        <w:spacing w:before="120" w:after="120" w:line="360" w:lineRule="auto"/>
        <w:jc w:val="both"/>
        <w:rPr>
          <w:rFonts w:eastAsiaTheme="minorHAnsi"/>
          <w:noProof/>
          <w:color w:val="000000"/>
          <w:sz w:val="22"/>
          <w:szCs w:val="22"/>
        </w:rPr>
      </w:pPr>
      <w:r>
        <w:rPr>
          <w:noProof/>
        </w:rPr>
        <w:t>De europæiske netværk af referencecentre har til formål at give borgere i EU adgang til den bedste ekspertise og ofte livreddende viden uden at skulle rejse til et andet land.</w:t>
      </w:r>
    </w:p>
    <w:p>
      <w:pPr>
        <w:pStyle w:val="NormalWeb"/>
        <w:shd w:val="clear" w:color="auto" w:fill="FFFFFF"/>
        <w:spacing w:after="0" w:line="360" w:lineRule="auto"/>
        <w:jc w:val="both"/>
        <w:rPr>
          <w:rFonts w:eastAsiaTheme="minorHAnsi"/>
          <w:noProof/>
          <w:color w:val="000000"/>
          <w:sz w:val="22"/>
          <w:szCs w:val="22"/>
          <w:u w:val="single"/>
        </w:rPr>
      </w:pPr>
      <w:r>
        <w:rPr>
          <w:rFonts w:eastAsiaTheme="minorHAnsi"/>
          <w:noProof/>
          <w:color w:val="000000"/>
          <w:sz w:val="22"/>
          <w:u w:val="single"/>
        </w:rPr>
        <w:t>Midler</w:t>
      </w:r>
    </w:p>
    <w:p>
      <w:pPr>
        <w:pStyle w:val="NormalWeb"/>
        <w:shd w:val="clear" w:color="auto" w:fill="FFFFFF"/>
        <w:spacing w:after="0" w:line="360" w:lineRule="auto"/>
        <w:jc w:val="both"/>
        <w:rPr>
          <w:rFonts w:eastAsiaTheme="minorHAnsi"/>
          <w:noProof/>
          <w:color w:val="000000"/>
          <w:sz w:val="22"/>
          <w:szCs w:val="22"/>
        </w:rPr>
      </w:pPr>
      <w:r>
        <w:rPr>
          <w:rFonts w:eastAsiaTheme="minorHAnsi"/>
          <w:noProof/>
          <w:color w:val="000000"/>
          <w:sz w:val="22"/>
        </w:rPr>
        <w:t>Med henblik på at støtte ERN'ernes bæredygtighed blev det besluttet at yde tilskud til langsigtet samarbejde gennem rammeaftaler om partnerskab mellem CHAFEA og støttemodtagerne. Den årlige samfinansiering sikres derefter ved at underskrive specifikke tilskudsaftaler, som dækker netværkenes omkostninger til videnskabelig og teknisk koordinering. Siden juni 2017 har alle 23 ERN'er underskrevet rammeaftaler om partnerskab og to runder med årlige specifikke tilskudsaftaler</w:t>
      </w:r>
      <w:r>
        <w:rPr>
          <w:rStyle w:val="FootnoteReference"/>
          <w:rFonts w:eastAsiaTheme="minorHAnsi"/>
          <w:noProof/>
          <w:color w:val="000000"/>
          <w:sz w:val="22"/>
        </w:rPr>
        <w:footnoteReference w:id="11"/>
      </w:r>
      <w:r>
        <w:rPr>
          <w:rFonts w:eastAsiaTheme="minorHAnsi"/>
          <w:noProof/>
          <w:color w:val="000000"/>
          <w:sz w:val="22"/>
        </w:rPr>
        <w:t>.</w:t>
      </w:r>
    </w:p>
    <w:p>
      <w:pPr>
        <w:pStyle w:val="NormalWeb"/>
        <w:shd w:val="clear" w:color="auto" w:fill="FFFFFF"/>
        <w:spacing w:after="0" w:line="360" w:lineRule="auto"/>
        <w:jc w:val="both"/>
        <w:rPr>
          <w:rFonts w:eastAsiaTheme="minorHAnsi"/>
          <w:noProof/>
          <w:color w:val="000000"/>
          <w:sz w:val="22"/>
          <w:szCs w:val="22"/>
        </w:rPr>
      </w:pPr>
    </w:p>
    <w:p>
      <w:pPr>
        <w:pStyle w:val="NormalWeb"/>
        <w:shd w:val="clear" w:color="auto" w:fill="FFFFFF"/>
        <w:spacing w:after="0" w:line="360" w:lineRule="auto"/>
        <w:jc w:val="both"/>
        <w:rPr>
          <w:rFonts w:eastAsia="Times New Roman"/>
          <w:i/>
          <w:noProof/>
          <w:sz w:val="22"/>
          <w:szCs w:val="22"/>
        </w:rPr>
      </w:pPr>
      <w:r>
        <w:rPr>
          <w:i/>
          <w:noProof/>
          <w:sz w:val="22"/>
        </w:rPr>
        <w:t>Fremme af sundhed og forebyggelse af sygdomme</w:t>
      </w:r>
    </w:p>
    <w:p>
      <w:pPr>
        <w:pStyle w:val="NormalWeb"/>
        <w:shd w:val="clear" w:color="auto" w:fill="FFFFFF"/>
        <w:spacing w:after="0" w:line="360" w:lineRule="auto"/>
        <w:jc w:val="both"/>
        <w:rPr>
          <w:rFonts w:eastAsia="Times New Roman"/>
          <w:noProof/>
          <w:sz w:val="22"/>
          <w:szCs w:val="22"/>
        </w:rPr>
      </w:pPr>
      <w:r>
        <w:rPr>
          <w:noProof/>
          <w:sz w:val="22"/>
        </w:rPr>
        <w:t xml:space="preserve">Ud over årets hovedfokus støttede flere aktioner </w:t>
      </w:r>
      <w:r>
        <w:rPr>
          <w:b/>
          <w:noProof/>
          <w:sz w:val="22"/>
        </w:rPr>
        <w:t>fremme af sundhed og forebyggelse af sygdomme</w:t>
      </w:r>
      <w:r>
        <w:rPr>
          <w:noProof/>
          <w:sz w:val="22"/>
        </w:rPr>
        <w:t xml:space="preserve"> , navnlig med fokus på bedste praksis for så vidt angår sårbare grupper af migranter og flygtninge.</w:t>
      </w:r>
    </w:p>
    <w:p>
      <w:pPr>
        <w:pStyle w:val="NormalWeb"/>
        <w:shd w:val="clear" w:color="auto" w:fill="FFFFFF"/>
        <w:spacing w:after="0" w:line="360" w:lineRule="auto"/>
        <w:jc w:val="both"/>
        <w:rPr>
          <w:rFonts w:eastAsia="Times New Roman"/>
          <w:noProof/>
          <w:sz w:val="22"/>
          <w:szCs w:val="22"/>
        </w:rPr>
      </w:pPr>
    </w:p>
    <w:p>
      <w:pPr>
        <w:pStyle w:val="NormalWeb"/>
        <w:shd w:val="clear" w:color="auto" w:fill="FFFFFF"/>
        <w:spacing w:after="0" w:line="360" w:lineRule="auto"/>
        <w:jc w:val="both"/>
        <w:rPr>
          <w:rFonts w:eastAsia="Times New Roman"/>
          <w:noProof/>
          <w:sz w:val="22"/>
          <w:szCs w:val="22"/>
          <w:u w:val="single"/>
        </w:rPr>
      </w:pPr>
      <w:r>
        <w:rPr>
          <w:noProof/>
          <w:sz w:val="22"/>
          <w:u w:val="single"/>
        </w:rPr>
        <w:t>Baggrund</w:t>
      </w:r>
    </w:p>
    <w:p>
      <w:pPr>
        <w:pStyle w:val="NormalWeb"/>
        <w:shd w:val="clear" w:color="auto" w:fill="FFFFFF"/>
        <w:spacing w:after="0" w:line="360" w:lineRule="auto"/>
        <w:jc w:val="both"/>
        <w:rPr>
          <w:rFonts w:eastAsia="Times New Roman"/>
          <w:noProof/>
          <w:sz w:val="22"/>
          <w:szCs w:val="22"/>
        </w:rPr>
      </w:pPr>
      <w:r>
        <w:rPr>
          <w:noProof/>
          <w:sz w:val="22"/>
        </w:rPr>
        <w:t>Med udgangspunkt i den finansielle støtte, der blev ydet på dette område under migrationskrisen i 2015, fremmede det årlige arbejdsprogram 2016 bæredygtighed gennem kapacitetsopbygning og gennemførelse af bedste praksis inden for pleje af sårbare migranter og flygtninge.</w:t>
      </w:r>
    </w:p>
    <w:p>
      <w:pPr>
        <w:pStyle w:val="NormalWeb"/>
        <w:shd w:val="clear" w:color="auto" w:fill="FFFFFF"/>
        <w:spacing w:after="0" w:line="360" w:lineRule="auto"/>
        <w:jc w:val="both"/>
        <w:rPr>
          <w:rFonts w:eastAsia="Times New Roman"/>
          <w:noProof/>
          <w:sz w:val="22"/>
          <w:szCs w:val="22"/>
        </w:rPr>
      </w:pPr>
    </w:p>
    <w:p>
      <w:pPr>
        <w:pStyle w:val="NormalWeb"/>
        <w:shd w:val="clear" w:color="auto" w:fill="FFFFFF"/>
        <w:spacing w:after="0" w:line="360" w:lineRule="auto"/>
        <w:jc w:val="both"/>
        <w:rPr>
          <w:rFonts w:eastAsia="Times New Roman"/>
          <w:noProof/>
          <w:sz w:val="22"/>
          <w:szCs w:val="22"/>
        </w:rPr>
      </w:pPr>
    </w:p>
    <w:p>
      <w:pPr>
        <w:autoSpaceDE w:val="0"/>
        <w:autoSpaceDN w:val="0"/>
        <w:adjustRightInd w:val="0"/>
        <w:spacing w:after="0" w:line="360" w:lineRule="auto"/>
        <w:jc w:val="both"/>
        <w:rPr>
          <w:noProof/>
          <w:color w:val="000000"/>
          <w:u w:val="single"/>
        </w:rPr>
      </w:pPr>
      <w:r>
        <w:rPr>
          <w:noProof/>
          <w:color w:val="000000"/>
          <w:u w:val="single"/>
        </w:rPr>
        <w:t>Mål</w:t>
      </w:r>
    </w:p>
    <w:p>
      <w:pPr>
        <w:autoSpaceDE w:val="0"/>
        <w:autoSpaceDN w:val="0"/>
        <w:adjustRightInd w:val="0"/>
        <w:spacing w:after="0" w:line="360" w:lineRule="auto"/>
        <w:jc w:val="both"/>
        <w:rPr>
          <w:noProof/>
          <w:color w:val="000000"/>
        </w:rPr>
      </w:pPr>
      <w:r>
        <w:rPr>
          <w:noProof/>
          <w:color w:val="000000"/>
        </w:rPr>
        <w:t>EU's samfinansiering på dette område har til formål at fremme bedste praksis inden for pleje af sårbare migranter og flygtninge.</w:t>
      </w:r>
    </w:p>
    <w:p>
      <w:pPr>
        <w:pStyle w:val="NormalWeb"/>
        <w:shd w:val="clear" w:color="auto" w:fill="FFFFFF"/>
        <w:spacing w:after="0" w:line="360" w:lineRule="auto"/>
        <w:jc w:val="both"/>
        <w:rPr>
          <w:rFonts w:eastAsia="Times New Roman"/>
          <w:noProof/>
          <w:sz w:val="22"/>
          <w:szCs w:val="22"/>
          <w:u w:val="single"/>
        </w:rPr>
      </w:pPr>
      <w:r>
        <w:rPr>
          <w:noProof/>
          <w:sz w:val="22"/>
          <w:u w:val="single"/>
        </w:rPr>
        <w:t>Midler</w:t>
      </w:r>
    </w:p>
    <w:p>
      <w:pPr>
        <w:pStyle w:val="NormalWeb"/>
        <w:shd w:val="clear" w:color="auto" w:fill="FFFFFF"/>
        <w:spacing w:after="0" w:line="360" w:lineRule="auto"/>
        <w:jc w:val="both"/>
        <w:rPr>
          <w:rFonts w:eastAsia="Times New Roman"/>
          <w:noProof/>
          <w:sz w:val="22"/>
          <w:szCs w:val="22"/>
        </w:rPr>
      </w:pPr>
      <w:r>
        <w:rPr>
          <w:noProof/>
          <w:sz w:val="22"/>
        </w:rPr>
        <w:t>Inden for denne overordnede ramme blev følgende samfinansieret via det årlige arbejdsprogram for 2016:</w:t>
      </w:r>
    </w:p>
    <w:p>
      <w:pPr>
        <w:pStyle w:val="NormalWeb"/>
        <w:numPr>
          <w:ilvl w:val="0"/>
          <w:numId w:val="60"/>
        </w:numPr>
        <w:shd w:val="clear" w:color="auto" w:fill="FFFFFF"/>
        <w:spacing w:after="0" w:line="360" w:lineRule="auto"/>
        <w:jc w:val="both"/>
        <w:rPr>
          <w:rFonts w:eastAsia="Times New Roman"/>
          <w:noProof/>
          <w:sz w:val="22"/>
          <w:szCs w:val="22"/>
        </w:rPr>
      </w:pPr>
      <w:r>
        <w:rPr>
          <w:noProof/>
          <w:sz w:val="22"/>
        </w:rPr>
        <w:t>tre projekter om "Migranters sundhed: Bedste praksis i forbindelse med pleje af sårbare migranter og flygtninge" (2 484 164,99 EUR)</w:t>
      </w:r>
    </w:p>
    <w:p>
      <w:pPr>
        <w:pStyle w:val="NormalWeb"/>
        <w:numPr>
          <w:ilvl w:val="0"/>
          <w:numId w:val="59"/>
        </w:numPr>
        <w:shd w:val="clear" w:color="auto" w:fill="FFFFFF"/>
        <w:spacing w:after="0" w:line="360" w:lineRule="auto"/>
        <w:jc w:val="both"/>
        <w:rPr>
          <w:rFonts w:eastAsia="Times New Roman"/>
          <w:noProof/>
          <w:sz w:val="22"/>
          <w:szCs w:val="22"/>
        </w:rPr>
      </w:pPr>
      <w:r>
        <w:rPr>
          <w:noProof/>
          <w:sz w:val="22"/>
        </w:rPr>
        <w:t>to udbud om "Uddannelse for sundhedspersonale, der arbejder med migranter og flygtninge" (4 107 214 EUR)</w:t>
      </w:r>
    </w:p>
    <w:p>
      <w:pPr>
        <w:pStyle w:val="NormalWeb"/>
        <w:numPr>
          <w:ilvl w:val="0"/>
          <w:numId w:val="59"/>
        </w:numPr>
        <w:shd w:val="clear" w:color="auto" w:fill="FFFFFF"/>
        <w:spacing w:after="0" w:line="360" w:lineRule="auto"/>
        <w:jc w:val="both"/>
        <w:rPr>
          <w:rFonts w:eastAsia="Times New Roman"/>
          <w:noProof/>
          <w:sz w:val="22"/>
          <w:szCs w:val="22"/>
        </w:rPr>
      </w:pPr>
      <w:r>
        <w:rPr>
          <w:noProof/>
          <w:sz w:val="22"/>
        </w:rPr>
        <w:t xml:space="preserve">en aftale om direkte tilskud med Verdenssundhedsorganisationen (WHO), der fokuserer på udvikling og anvendelse af teknisk vejledning med henblik på at støtte indvandrerbefolkningens adgang til de nationale sundhedssystemer (500 000 EUR) </w:t>
      </w:r>
    </w:p>
    <w:p>
      <w:pPr>
        <w:pStyle w:val="NormalWeb"/>
        <w:numPr>
          <w:ilvl w:val="0"/>
          <w:numId w:val="59"/>
        </w:numPr>
        <w:shd w:val="clear" w:color="auto" w:fill="FFFFFF"/>
        <w:spacing w:after="0" w:line="360" w:lineRule="auto"/>
        <w:jc w:val="both"/>
        <w:rPr>
          <w:rFonts w:eastAsia="Times New Roman"/>
          <w:noProof/>
          <w:sz w:val="22"/>
          <w:szCs w:val="22"/>
        </w:rPr>
      </w:pPr>
      <w:r>
        <w:rPr>
          <w:noProof/>
          <w:sz w:val="22"/>
        </w:rPr>
        <w:t>et driftstilskud til "Sårbarhedsnetværket" (326 808,00 EUR).</w:t>
      </w:r>
    </w:p>
    <w:p>
      <w:pPr>
        <w:pStyle w:val="NormalWeb"/>
        <w:shd w:val="clear" w:color="auto" w:fill="FFFFFF"/>
        <w:spacing w:after="0" w:line="360" w:lineRule="auto"/>
        <w:ind w:left="360"/>
        <w:jc w:val="both"/>
        <w:rPr>
          <w:rFonts w:eastAsia="Times New Roman"/>
          <w:noProof/>
          <w:sz w:val="22"/>
          <w:szCs w:val="22"/>
        </w:rPr>
      </w:pPr>
    </w:p>
    <w:p>
      <w:pPr>
        <w:autoSpaceDE w:val="0"/>
        <w:autoSpaceDN w:val="0"/>
        <w:adjustRightInd w:val="0"/>
        <w:spacing w:after="0" w:line="360" w:lineRule="auto"/>
        <w:jc w:val="both"/>
        <w:rPr>
          <w:rFonts w:eastAsia="Times New Roman"/>
          <w:noProof/>
        </w:rPr>
      </w:pPr>
      <w:r>
        <w:rPr>
          <w:noProof/>
        </w:rPr>
        <w:t xml:space="preserve">De tre projekter om </w:t>
      </w:r>
      <w:r>
        <w:rPr>
          <w:b/>
          <w:noProof/>
        </w:rPr>
        <w:t>migranters sundhed</w:t>
      </w:r>
      <w:r>
        <w:rPr>
          <w:noProof/>
        </w:rPr>
        <w:t xml:space="preserve"> er:</w:t>
      </w:r>
    </w:p>
    <w:p>
      <w:pPr>
        <w:pStyle w:val="ListParagraph"/>
        <w:numPr>
          <w:ilvl w:val="0"/>
          <w:numId w:val="59"/>
        </w:numPr>
        <w:spacing w:line="360" w:lineRule="auto"/>
        <w:jc w:val="both"/>
        <w:rPr>
          <w:rFonts w:ascii="Times New Roman" w:eastAsiaTheme="minorHAnsi" w:hAnsi="Times New Roman" w:cstheme="minorBidi"/>
          <w:noProof/>
          <w:color w:val="000000"/>
        </w:rPr>
      </w:pPr>
      <w:r>
        <w:rPr>
          <w:rFonts w:ascii="Times New Roman" w:eastAsiaTheme="minorHAnsi" w:hAnsi="Times New Roman" w:cstheme="minorBidi"/>
          <w:noProof/>
          <w:color w:val="000000"/>
        </w:rPr>
        <w:t>MigHealthcare, hvor 14 partnere fra ti medlemsstater (Østrig, Bulgarien, Cypern, Frankrig, Tyskland, Grækenland, Italien, Malta, Spanien og Sverige) udvikler og afprøver en omfattende værktøjskasse, der skal omsætte samfundsbaserede plejemodeller for sårbare migranter og flygtninge, herunder prognosemodeller, eksempler på bedste praksis, algoritmer og skræddersyede sundhedsmaterialer, til praksis</w:t>
      </w:r>
    </w:p>
    <w:p>
      <w:pPr>
        <w:pStyle w:val="ListParagraph"/>
        <w:numPr>
          <w:ilvl w:val="0"/>
          <w:numId w:val="59"/>
        </w:numPr>
        <w:spacing w:line="360" w:lineRule="auto"/>
        <w:jc w:val="both"/>
        <w:rPr>
          <w:rFonts w:ascii="Times New Roman" w:hAnsi="Times New Roman"/>
          <w:noProof/>
        </w:rPr>
      </w:pPr>
      <w:r>
        <w:rPr>
          <w:rFonts w:ascii="Times New Roman" w:hAnsi="Times New Roman"/>
          <w:noProof/>
        </w:rPr>
        <w:t xml:space="preserve">MyHealth, hvor 11 partnere fra syv medlemsstater (Tjekkiet, Tyskland, Grækenland, Irland, Italien, Spanien og Det Forenede Kongerige) udvikler strategier for sundhedsintervention for mental sundhed samt overførbare og ikkeoverførbare sygdomme. Projektet vil også etablere en IKT-baseret platform (herunder et interaktivt kort over EU's sundhedssystemer) til støtte for værktøjer og sundhedsinformationsapplikationer for både patienter og fagfolk i sundhedssektoren </w:t>
      </w:r>
    </w:p>
    <w:p>
      <w:pPr>
        <w:pStyle w:val="ListParagraph"/>
        <w:numPr>
          <w:ilvl w:val="0"/>
          <w:numId w:val="59"/>
        </w:numPr>
        <w:spacing w:after="0" w:line="360" w:lineRule="auto"/>
        <w:ind w:left="714" w:hanging="357"/>
        <w:contextualSpacing w:val="0"/>
        <w:jc w:val="both"/>
        <w:rPr>
          <w:rFonts w:ascii="Times New Roman" w:hAnsi="Times New Roman"/>
          <w:noProof/>
        </w:rPr>
      </w:pPr>
      <w:r>
        <w:rPr>
          <w:rFonts w:ascii="Times New Roman" w:hAnsi="Times New Roman"/>
          <w:noProof/>
        </w:rPr>
        <w:t>OMRAMMA, hvor otte partnere fra fire medlemsstater (Grækenland, Nederlandene, Sverige og Det Forenede Kongerige) fremmer sikkert moderskab og forbedrer adgangen til sundhedspleje for mødre. Projektet omfatter iværksættelse og evaluering af integrerede og omkostningseffektive initiativer med henblik på et sikkert moderskab med fokus på kvinder med særlige risici. Det har også til formål at udbrede god praksis på tværs af EU's sundhedssystemer for at sikre lighed mellem medlemsstaterne.</w:t>
      </w:r>
    </w:p>
    <w:p>
      <w:pPr>
        <w:pStyle w:val="ListParagraph"/>
        <w:spacing w:after="0" w:line="360" w:lineRule="auto"/>
        <w:ind w:left="714"/>
        <w:contextualSpacing w:val="0"/>
        <w:jc w:val="both"/>
        <w:rPr>
          <w:rFonts w:ascii="Times New Roman" w:hAnsi="Times New Roman"/>
          <w:noProof/>
        </w:rPr>
      </w:pPr>
    </w:p>
    <w:p>
      <w:pPr>
        <w:autoSpaceDE w:val="0"/>
        <w:autoSpaceDN w:val="0"/>
        <w:adjustRightInd w:val="0"/>
        <w:spacing w:after="0" w:line="360" w:lineRule="auto"/>
        <w:jc w:val="both"/>
        <w:rPr>
          <w:rFonts w:eastAsia="Times New Roman"/>
          <w:noProof/>
        </w:rPr>
      </w:pPr>
      <w:r>
        <w:rPr>
          <w:noProof/>
        </w:rPr>
        <w:t>De to udbud om "Uddannelse for sundhedspersonale, der arbejder med migranter og flygtninge", (4 107 214 EUR) finansierede udviklingen af en avanceret undervisningspakke vedrørende mental sundhed og påvisning af posttraumatisk stress samt gennemførelsen af screening for smitsomme sygdomme hos indvandrere og flygtninge og selve uddannelseskurserne i ti europæiske lande (Bulgarien, Kroatien, Frankrig, Grækenland, Italien, Malta, Norge, Serbien, Slovenien og Spanien).</w:t>
      </w:r>
    </w:p>
    <w:p>
      <w:pPr>
        <w:autoSpaceDE w:val="0"/>
        <w:autoSpaceDN w:val="0"/>
        <w:adjustRightInd w:val="0"/>
        <w:spacing w:after="0" w:line="360" w:lineRule="auto"/>
        <w:jc w:val="both"/>
        <w:rPr>
          <w:rFonts w:eastAsia="Times New Roman"/>
          <w:noProof/>
        </w:rPr>
      </w:pPr>
      <w:r>
        <w:rPr>
          <w:noProof/>
        </w:rPr>
        <w:t>Projektet henvender sig til sundhedsprofessionelle, politifolk og undervisere af undervisere. Det ventes at føre til en bedre forståelse af indvandrerbefolkningens behov, styrkede færdigheder hos dem, der er involveret i deres pleje, og en positiv indvirkning på folkesundheden, både i de udvalgte lande og i EU som helhed.</w:t>
      </w:r>
    </w:p>
    <w:p>
      <w:pPr>
        <w:autoSpaceDE w:val="0"/>
        <w:autoSpaceDN w:val="0"/>
        <w:adjustRightInd w:val="0"/>
        <w:spacing w:after="0" w:line="360" w:lineRule="auto"/>
        <w:jc w:val="both"/>
        <w:rPr>
          <w:rFonts w:eastAsia="Times New Roman"/>
          <w:noProof/>
        </w:rPr>
      </w:pPr>
      <w:r>
        <w:rPr>
          <w:noProof/>
        </w:rPr>
        <w:t>Aftalen med WHO om direkte tilskud fokuserer på udvikling og udbredelse af teknisk vejledning, herunder tjeklister, operative standardprocedurer (SOP), indikatorer for god praksis og faktablade inden for seks prioriterede områder vedrørende migranters sundhed [mental sundhed, sundhedsfremme, ikkeoverførbare sygdomme, moren og den nyfødte, børns sundhed (herunder immunisering) og sundhed for ældre mennesker] med henblik på at støtte indvandrerbefolkningens adgang til de nationale sundhedssystemer.</w:t>
      </w:r>
    </w:p>
    <w:p>
      <w:pPr>
        <w:autoSpaceDE w:val="0"/>
        <w:autoSpaceDN w:val="0"/>
        <w:adjustRightInd w:val="0"/>
        <w:spacing w:after="0" w:line="360" w:lineRule="auto"/>
        <w:jc w:val="both"/>
        <w:rPr>
          <w:rFonts w:eastAsia="Times New Roman"/>
          <w:noProof/>
        </w:rPr>
      </w:pPr>
      <w:r>
        <w:rPr>
          <w:noProof/>
        </w:rPr>
        <w:t>Endelig blev der via arbejdsprogrammet for 2016 ydet økonomisk støtte til det europæiske netværk til nedbringelse af sårbarheder på sundhedsområdet</w:t>
      </w:r>
      <w:r>
        <w:rPr>
          <w:rStyle w:val="FootnoteReference"/>
          <w:noProof/>
        </w:rPr>
        <w:footnoteReference w:id="12"/>
      </w:r>
      <w:r>
        <w:rPr>
          <w:noProof/>
        </w:rPr>
        <w:t>. Dette netværk udarbejdede observationsrapporten fra 2016 om adgang til sundhedspleje for personer, der er udsat for flere former for sårbarhed på sundhedsområdet (der omfattede 31 byer i 12 lande) og den juridiske rapport fra 2016 om adgang til sundhedspleje (der omfattede 17 lande).</w:t>
      </w:r>
    </w:p>
    <w:p>
      <w:pPr>
        <w:autoSpaceDE w:val="0"/>
        <w:autoSpaceDN w:val="0"/>
        <w:adjustRightInd w:val="0"/>
        <w:spacing w:after="0" w:line="360" w:lineRule="auto"/>
        <w:jc w:val="both"/>
        <w:rPr>
          <w:rFonts w:eastAsia="Times New Roman"/>
          <w:noProof/>
        </w:rPr>
      </w:pPr>
    </w:p>
    <w:p>
      <w:pPr>
        <w:autoSpaceDE w:val="0"/>
        <w:autoSpaceDN w:val="0"/>
        <w:adjustRightInd w:val="0"/>
        <w:spacing w:after="100" w:afterAutospacing="1" w:line="360" w:lineRule="auto"/>
        <w:jc w:val="both"/>
        <w:rPr>
          <w:noProof/>
          <w:color w:val="000000"/>
        </w:rPr>
      </w:pPr>
      <w:r>
        <w:rPr>
          <w:noProof/>
          <w:color w:val="000000"/>
        </w:rPr>
        <w:t>En detaljeret oversigt over alle aktioner, som finansieres under arbejdsprogrammet for 2016, findes i det arbejdsdokument fra Kommissionens tjenestegrene, der ledsager denne rapport.</w:t>
      </w:r>
    </w:p>
    <w:p>
      <w:pPr>
        <w:rPr>
          <w:noProof/>
          <w:color w:val="000000"/>
        </w:rPr>
      </w:pPr>
    </w:p>
    <w:p>
      <w:pPr>
        <w:pStyle w:val="Heading1"/>
        <w:rPr>
          <w:noProof/>
          <w:sz w:val="28"/>
          <w:szCs w:val="28"/>
        </w:rPr>
      </w:pPr>
      <w:bookmarkStart w:id="8" w:name="_Toc518922810"/>
      <w:bookmarkStart w:id="9" w:name="_Toc518984355"/>
      <w:bookmarkStart w:id="10" w:name="_DV_M234"/>
      <w:bookmarkStart w:id="11" w:name="_DV_M235"/>
      <w:bookmarkStart w:id="12" w:name="_DV_M236"/>
      <w:bookmarkStart w:id="13" w:name="_DV_M237"/>
      <w:bookmarkStart w:id="14" w:name="_DV_M238"/>
      <w:bookmarkStart w:id="15" w:name="_DV_M240"/>
      <w:bookmarkStart w:id="16" w:name="_Toc472077567"/>
      <w:bookmarkStart w:id="17" w:name="_Toc10472511"/>
      <w:bookmarkStart w:id="18" w:name="_Toc13584227"/>
      <w:bookmarkEnd w:id="8"/>
      <w:bookmarkEnd w:id="9"/>
      <w:bookmarkEnd w:id="10"/>
      <w:bookmarkEnd w:id="11"/>
      <w:bookmarkEnd w:id="12"/>
      <w:bookmarkEnd w:id="13"/>
      <w:bookmarkEnd w:id="14"/>
      <w:bookmarkEnd w:id="15"/>
      <w:r>
        <w:rPr>
          <w:noProof/>
          <w:sz w:val="28"/>
        </w:rPr>
        <w:t xml:space="preserve">Gennemførelse </w:t>
      </w:r>
      <w:bookmarkEnd w:id="16"/>
      <w:r>
        <w:rPr>
          <w:noProof/>
          <w:sz w:val="28"/>
        </w:rPr>
        <w:t>af sundhedsprogrammet</w:t>
      </w:r>
      <w:bookmarkEnd w:id="17"/>
      <w:bookmarkEnd w:id="18"/>
    </w:p>
    <w:p>
      <w:pPr>
        <w:jc w:val="both"/>
        <w:rPr>
          <w:noProof/>
        </w:rPr>
      </w:pPr>
    </w:p>
    <w:p>
      <w:pPr>
        <w:pStyle w:val="ManualHeading2"/>
        <w:rPr>
          <w:noProof/>
        </w:rPr>
      </w:pPr>
      <w:bookmarkStart w:id="19" w:name="_Toc388355509"/>
      <w:bookmarkStart w:id="20" w:name="_Toc390420263"/>
      <w:bookmarkStart w:id="21" w:name="_Toc404756129"/>
      <w:bookmarkStart w:id="22" w:name="_Toc472077568"/>
      <w:bookmarkStart w:id="23" w:name="_Toc10472512"/>
      <w:bookmarkStart w:id="24" w:name="_Toc13584228"/>
      <w:r>
        <w:t>1.</w:t>
      </w:r>
      <w:r>
        <w:tab/>
      </w:r>
      <w:r>
        <w:rPr>
          <w:noProof/>
        </w:rPr>
        <w:t>Budget</w:t>
      </w:r>
      <w:bookmarkEnd w:id="19"/>
      <w:bookmarkEnd w:id="20"/>
      <w:bookmarkEnd w:id="21"/>
      <w:bookmarkEnd w:id="22"/>
      <w:bookmarkEnd w:id="23"/>
      <w:bookmarkEnd w:id="24"/>
    </w:p>
    <w:p>
      <w:pPr>
        <w:spacing w:line="360" w:lineRule="auto"/>
        <w:jc w:val="both"/>
        <w:rPr>
          <w:rFonts w:cs="Times New Roman"/>
          <w:noProof/>
        </w:rPr>
      </w:pPr>
      <w:r>
        <w:rPr>
          <w:noProof/>
        </w:rPr>
        <w:t>Det samlede budget til det tredje sundhedsprogram for 2014-2020 er på 449,4 mio. EUR. Dette beløb indbefatter 30 mio. EUR afsat til driften af Forvaltningsorganet for Forbrugere, Sundhed, Landbrug og Fødevarer (CHAFEA), som Kommissionen har givet mandat til at forvalte programmet. CHAFEA har givet Kommissionen teknisk, videnskabelig og administrativ bistand til gennemførelsen af sundhedsprogrammet siden 2005</w:t>
      </w:r>
      <w:r>
        <w:rPr>
          <w:rStyle w:val="FootnoteReference"/>
          <w:noProof/>
        </w:rPr>
        <w:footnoteReference w:id="13"/>
      </w:r>
      <w:r>
        <w:rPr>
          <w:noProof/>
        </w:rPr>
        <w:t>. Organet afholder årlige indkaldelser af forslag, koordinerer bedømmelsen af de indsendte forslag, forhandler, indgår og forvalter de tilknyttede tilskudsaftaler og videregiver resultaterne af aktionerne. Det har desuden ansvaret for mange udbudsprocedurer.</w:t>
      </w:r>
    </w:p>
    <w:p>
      <w:pPr>
        <w:spacing w:line="360" w:lineRule="auto"/>
        <w:jc w:val="both"/>
        <w:rPr>
          <w:rFonts w:cs="Times New Roman"/>
          <w:noProof/>
        </w:rPr>
      </w:pPr>
      <w:r>
        <w:rPr>
          <w:noProof/>
        </w:rPr>
        <w:t>Budgettet var, som det fremgår af arbejdsplanen for det årlige arbejdsprogram for 2016</w:t>
      </w:r>
      <w:r>
        <w:rPr>
          <w:rStyle w:val="FootnoteReference"/>
          <w:noProof/>
        </w:rPr>
        <w:footnoteReference w:id="14"/>
      </w:r>
      <w:r>
        <w:rPr>
          <w:noProof/>
        </w:rPr>
        <w:t>, på 62 160 000 EUR, fordelt som følger:</w:t>
      </w:r>
    </w:p>
    <w:p>
      <w:pPr>
        <w:pStyle w:val="ListParagraph"/>
        <w:numPr>
          <w:ilvl w:val="0"/>
          <w:numId w:val="57"/>
        </w:numPr>
        <w:spacing w:line="360" w:lineRule="auto"/>
        <w:jc w:val="both"/>
        <w:rPr>
          <w:rFonts w:ascii="Times New Roman" w:hAnsi="Times New Roman"/>
          <w:noProof/>
        </w:rPr>
      </w:pPr>
      <w:r>
        <w:rPr>
          <w:rFonts w:ascii="Times New Roman" w:hAnsi="Times New Roman"/>
          <w:noProof/>
        </w:rPr>
        <w:t>driftsudgifter: 56 451 000 EUR svarende til det tredje EU-handlingsprogram for sundhed (2014-2020) budgetpost 17 03 01 ("</w:t>
      </w:r>
      <w:r>
        <w:rPr>
          <w:rFonts w:ascii="Times New Roman" w:hAnsi="Times New Roman"/>
          <w:i/>
          <w:noProof/>
        </w:rPr>
        <w:t>Fremme innovation i sundhedssektoren, øge sundhedssystemernes bæredygtighed, forbedre EU-borgernes sundhed og beskytte dem mod grænseoverskridende sundhedstrusler</w:t>
      </w:r>
      <w:r>
        <w:rPr>
          <w:rFonts w:ascii="Times New Roman" w:hAnsi="Times New Roman"/>
          <w:noProof/>
        </w:rPr>
        <w:t>")</w:t>
      </w:r>
    </w:p>
    <w:p>
      <w:pPr>
        <w:pStyle w:val="ListParagraph"/>
        <w:numPr>
          <w:ilvl w:val="0"/>
          <w:numId w:val="57"/>
        </w:numPr>
        <w:spacing w:line="360" w:lineRule="auto"/>
        <w:jc w:val="both"/>
        <w:rPr>
          <w:rFonts w:ascii="Times New Roman" w:hAnsi="Times New Roman"/>
          <w:noProof/>
        </w:rPr>
      </w:pPr>
      <w:r>
        <w:rPr>
          <w:rFonts w:ascii="Times New Roman" w:hAnsi="Times New Roman"/>
          <w:noProof/>
        </w:rPr>
        <w:t>administrationsudgifter: 1 500 000 EUR, svarende til udgifter til støttefunktioner i forbindelse med det tredje EU-handlingsprogram for sundhed (2014-2020) budgetpost 17 01 04 02</w:t>
      </w:r>
    </w:p>
    <w:p>
      <w:pPr>
        <w:pStyle w:val="ListParagraph"/>
        <w:numPr>
          <w:ilvl w:val="0"/>
          <w:numId w:val="57"/>
        </w:numPr>
        <w:rPr>
          <w:rFonts w:ascii="Times New Roman" w:hAnsi="Times New Roman"/>
          <w:noProof/>
        </w:rPr>
      </w:pPr>
      <w:r>
        <w:rPr>
          <w:rFonts w:ascii="Times New Roman" w:hAnsi="Times New Roman"/>
          <w:noProof/>
        </w:rPr>
        <w:t>bidrag fra sundhedsprogrammet til CHAFEA's budget: 4 209 000 EUR.</w:t>
      </w:r>
    </w:p>
    <w:p>
      <w:pPr>
        <w:spacing w:line="360" w:lineRule="auto"/>
        <w:jc w:val="both"/>
        <w:rPr>
          <w:rFonts w:cs="Times New Roman"/>
          <w:noProof/>
        </w:rPr>
      </w:pPr>
      <w:r>
        <w:rPr>
          <w:noProof/>
        </w:rPr>
        <w:t>Det samlede driftsbudget beløb sig til 57 992 112 EUR, idet det omfattede yderligere 1 541 112 EUR i bidrag modtaget fra EFTA/EØS og indbetalte midler fra tidligere regnskabsår.</w:t>
      </w:r>
    </w:p>
    <w:p>
      <w:pPr>
        <w:spacing w:line="360" w:lineRule="auto"/>
        <w:jc w:val="both"/>
        <w:rPr>
          <w:rFonts w:cs="Times New Roman"/>
          <w:noProof/>
        </w:rPr>
      </w:pPr>
      <w:r>
        <w:rPr>
          <w:noProof/>
        </w:rPr>
        <w:t>Der blev indgået forpligtelser for i alt 56 695 888,83 EUR under det årlige arbejdsprogram for 2016: CHAFEA dækkede 48 248 609,99 EUR af dette beløb, mens GD SANTE forpligtede yderligere 8 447 278,84 EUR til at dække en del af indkøbene og andre aktioner.</w:t>
      </w:r>
    </w:p>
    <w:p>
      <w:pPr>
        <w:spacing w:line="360" w:lineRule="auto"/>
        <w:jc w:val="both"/>
        <w:rPr>
          <w:rFonts w:cs="Times New Roman"/>
          <w:noProof/>
        </w:rPr>
      </w:pPr>
    </w:p>
    <w:p>
      <w:pPr>
        <w:pStyle w:val="ManualHeading2"/>
        <w:rPr>
          <w:noProof/>
        </w:rPr>
      </w:pPr>
      <w:bookmarkStart w:id="25" w:name="_Toc388355510"/>
      <w:bookmarkStart w:id="26" w:name="_Toc390420264"/>
      <w:bookmarkStart w:id="27" w:name="_Toc404756130"/>
      <w:bookmarkStart w:id="28" w:name="_Toc472077569"/>
      <w:bookmarkStart w:id="29" w:name="_Toc10472513"/>
      <w:bookmarkStart w:id="30" w:name="_Toc13584229"/>
      <w:r>
        <w:t>2.</w:t>
      </w:r>
      <w:r>
        <w:tab/>
      </w:r>
      <w:r>
        <w:rPr>
          <w:noProof/>
        </w:rPr>
        <w:t>Prioriteringer og finansieringsmekanismer</w:t>
      </w:r>
      <w:bookmarkEnd w:id="25"/>
      <w:bookmarkEnd w:id="26"/>
      <w:bookmarkEnd w:id="27"/>
      <w:bookmarkEnd w:id="28"/>
      <w:bookmarkEnd w:id="29"/>
      <w:bookmarkEnd w:id="30"/>
    </w:p>
    <w:p>
      <w:pPr>
        <w:spacing w:before="100" w:beforeAutospacing="1" w:after="100" w:afterAutospacing="1" w:line="360" w:lineRule="auto"/>
        <w:jc w:val="both"/>
        <w:rPr>
          <w:rFonts w:eastAsia="Times New Roman" w:cs="Times New Roman"/>
          <w:noProof/>
        </w:rPr>
      </w:pPr>
      <w:r>
        <w:rPr>
          <w:noProof/>
        </w:rPr>
        <w:t>I 2016 var det samlede forpligtede driftsbudget (56 695 888,83 EUR) fordelt mellem de fire specifikke programmål som følger:</w:t>
      </w:r>
    </w:p>
    <w:p>
      <w:pPr>
        <w:numPr>
          <w:ilvl w:val="0"/>
          <w:numId w:val="25"/>
        </w:numPr>
        <w:spacing w:before="100" w:beforeAutospacing="1" w:after="100" w:afterAutospacing="1" w:line="360" w:lineRule="auto"/>
        <w:jc w:val="both"/>
        <w:rPr>
          <w:rFonts w:eastAsia="Times New Roman" w:cs="Times New Roman"/>
          <w:b/>
          <w:i/>
          <w:noProof/>
        </w:rPr>
      </w:pPr>
      <w:r>
        <w:rPr>
          <w:b/>
          <w:noProof/>
        </w:rPr>
        <w:t>sundhedsfremme:</w:t>
      </w:r>
      <w:r>
        <w:rPr>
          <w:noProof/>
        </w:rPr>
        <w:t xml:space="preserve"> </w:t>
      </w:r>
      <w:r>
        <w:rPr>
          <w:b/>
          <w:i/>
          <w:noProof/>
        </w:rPr>
        <w:t>25 622 317,07 EUR</w:t>
      </w:r>
      <w:r>
        <w:rPr>
          <w:noProof/>
        </w:rPr>
        <w:t xml:space="preserve"> (</w:t>
      </w:r>
      <w:r>
        <w:rPr>
          <w:i/>
          <w:noProof/>
        </w:rPr>
        <w:t>45 % af driftsbudgettet i 2016</w:t>
      </w:r>
      <w:r>
        <w:rPr>
          <w:noProof/>
        </w:rPr>
        <w:t>) til fremme af sundhed, forebyggelse af sygdomme og fremme af gunstige miljøer for en sund livsstil under hensyntagen til princippet om "sundhed i alle politikker"</w:t>
      </w:r>
    </w:p>
    <w:p>
      <w:pPr>
        <w:numPr>
          <w:ilvl w:val="0"/>
          <w:numId w:val="25"/>
        </w:numPr>
        <w:spacing w:before="100" w:beforeAutospacing="1" w:after="100" w:afterAutospacing="1" w:line="360" w:lineRule="auto"/>
        <w:jc w:val="both"/>
        <w:rPr>
          <w:rFonts w:eastAsia="Times New Roman" w:cs="Times New Roman"/>
          <w:b/>
          <w:i/>
          <w:noProof/>
        </w:rPr>
      </w:pPr>
      <w:r>
        <w:rPr>
          <w:b/>
          <w:noProof/>
        </w:rPr>
        <w:t>sundhedstrusler:</w:t>
      </w:r>
      <w:r>
        <w:rPr>
          <w:noProof/>
        </w:rPr>
        <w:t xml:space="preserve"> </w:t>
      </w:r>
      <w:r>
        <w:rPr>
          <w:b/>
          <w:i/>
          <w:noProof/>
        </w:rPr>
        <w:t>3 947 709,3 EUR</w:t>
      </w:r>
      <w:r>
        <w:rPr>
          <w:noProof/>
        </w:rPr>
        <w:t xml:space="preserve"> (</w:t>
      </w:r>
      <w:r>
        <w:rPr>
          <w:i/>
          <w:noProof/>
        </w:rPr>
        <w:t>7 %</w:t>
      </w:r>
      <w:r>
        <w:rPr>
          <w:noProof/>
        </w:rPr>
        <w:t>) til beskyttelse af EU-borgerne mod alvorlige grænseoverskridende sundhedstrusler</w:t>
      </w:r>
    </w:p>
    <w:p>
      <w:pPr>
        <w:numPr>
          <w:ilvl w:val="0"/>
          <w:numId w:val="25"/>
        </w:numPr>
        <w:spacing w:before="100" w:beforeAutospacing="1" w:after="100" w:afterAutospacing="1" w:line="360" w:lineRule="auto"/>
        <w:jc w:val="both"/>
        <w:rPr>
          <w:rFonts w:eastAsia="Times New Roman" w:cs="Times New Roman"/>
          <w:b/>
          <w:i/>
          <w:noProof/>
        </w:rPr>
      </w:pPr>
      <w:r>
        <w:rPr>
          <w:b/>
          <w:noProof/>
        </w:rPr>
        <w:t>sundhedssystemer:</w:t>
      </w:r>
      <w:r>
        <w:rPr>
          <w:noProof/>
        </w:rPr>
        <w:t xml:space="preserve"> </w:t>
      </w:r>
      <w:r>
        <w:rPr>
          <w:b/>
          <w:i/>
          <w:noProof/>
        </w:rPr>
        <w:t>8 655 656,8 EUR</w:t>
      </w:r>
      <w:r>
        <w:rPr>
          <w:noProof/>
        </w:rPr>
        <w:t xml:space="preserve"> (</w:t>
      </w:r>
      <w:r>
        <w:rPr>
          <w:i/>
          <w:noProof/>
        </w:rPr>
        <w:t>15 %</w:t>
      </w:r>
      <w:r>
        <w:rPr>
          <w:noProof/>
        </w:rPr>
        <w:t>) til at bidrage til innovative, effektive og bæredygtige sundhedssystemer</w:t>
      </w:r>
    </w:p>
    <w:p>
      <w:pPr>
        <w:numPr>
          <w:ilvl w:val="0"/>
          <w:numId w:val="25"/>
        </w:numPr>
        <w:spacing w:before="100" w:beforeAutospacing="1" w:after="100" w:afterAutospacing="1" w:line="360" w:lineRule="auto"/>
        <w:jc w:val="both"/>
        <w:rPr>
          <w:rFonts w:eastAsia="Times New Roman" w:cs="Times New Roman"/>
          <w:b/>
          <w:i/>
          <w:noProof/>
        </w:rPr>
      </w:pPr>
      <w:r>
        <w:rPr>
          <w:b/>
          <w:noProof/>
        </w:rPr>
        <w:t>bedre og sikrere sundhedsydelser:</w:t>
      </w:r>
      <w:r>
        <w:rPr>
          <w:noProof/>
        </w:rPr>
        <w:t xml:space="preserve"> </w:t>
      </w:r>
      <w:r>
        <w:rPr>
          <w:b/>
          <w:i/>
          <w:noProof/>
        </w:rPr>
        <w:t>14 892 153,25 EUR</w:t>
      </w:r>
      <w:r>
        <w:rPr>
          <w:noProof/>
        </w:rPr>
        <w:t xml:space="preserve"> (</w:t>
      </w:r>
      <w:r>
        <w:rPr>
          <w:i/>
          <w:noProof/>
        </w:rPr>
        <w:t>26 %</w:t>
      </w:r>
      <w:r>
        <w:rPr>
          <w:noProof/>
        </w:rPr>
        <w:t>) til at lette EU-borgernes adgang til bedre og sikrere sundhedsydelser.</w:t>
      </w:r>
    </w:p>
    <w:p>
      <w:pPr>
        <w:spacing w:before="100" w:beforeAutospacing="1" w:after="100" w:afterAutospacing="1" w:line="360" w:lineRule="auto"/>
        <w:jc w:val="both"/>
        <w:rPr>
          <w:rFonts w:eastAsia="Times New Roman" w:cs="Times New Roman"/>
          <w:i/>
          <w:noProof/>
        </w:rPr>
      </w:pPr>
      <w:r>
        <w:rPr>
          <w:b/>
          <w:noProof/>
        </w:rPr>
        <w:t>Horisontale aktiviteter</w:t>
      </w:r>
      <w:r>
        <w:rPr>
          <w:noProof/>
        </w:rPr>
        <w:t xml:space="preserve"> (</w:t>
      </w:r>
      <w:r>
        <w:rPr>
          <w:i/>
          <w:noProof/>
        </w:rPr>
        <w:t>IT, kommunikation</w:t>
      </w:r>
      <w:r>
        <w:rPr>
          <w:noProof/>
        </w:rPr>
        <w:t>) beløb sig til 3 578 052,41 EUR (</w:t>
      </w:r>
      <w:r>
        <w:rPr>
          <w:i/>
          <w:noProof/>
        </w:rPr>
        <w:t>7 %</w:t>
      </w:r>
      <w:r>
        <w:rPr>
          <w:noProof/>
        </w:rPr>
        <w:t>).</w:t>
      </w:r>
    </w:p>
    <w:p>
      <w:pPr>
        <w:spacing w:before="100" w:beforeAutospacing="1" w:after="100" w:afterAutospacing="1" w:line="360" w:lineRule="auto"/>
        <w:rPr>
          <w:rFonts w:eastAsia="Times New Roman" w:cs="Times New Roman"/>
          <w:noProof/>
        </w:rPr>
      </w:pPr>
    </w:p>
    <w:p>
      <w:pPr>
        <w:keepNext/>
        <w:spacing w:before="120" w:after="120" w:line="360" w:lineRule="auto"/>
        <w:jc w:val="center"/>
        <w:rPr>
          <w:rFonts w:cs="Times New Roman"/>
          <w:b/>
          <w:noProof/>
        </w:rPr>
      </w:pPr>
      <w:r>
        <w:rPr>
          <w:b/>
          <w:noProof/>
        </w:rPr>
        <w:t>Figur 1: Driftsbudgettet opdelt på mål for det tredje sundhedsprogram i 2016</w:t>
      </w:r>
    </w:p>
    <w:p>
      <w:pPr>
        <w:keepNext/>
        <w:spacing w:before="120" w:after="120" w:line="360" w:lineRule="auto"/>
        <w:jc w:val="center"/>
        <w:rPr>
          <w:rFonts w:cs="Times New Roman"/>
          <w:b/>
          <w:noProof/>
        </w:rPr>
      </w:pPr>
      <w:r>
        <w:rPr>
          <w:noProof/>
          <w:lang w:val="en-GB" w:eastAsia="en-GB" w:bidi="ar-SA"/>
        </w:rPr>
        <w:drawing>
          <wp:inline distT="0" distB="0" distL="0" distR="0">
            <wp:extent cx="5353050" cy="3419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53050" cy="3419475"/>
                    </a:xfrm>
                    <a:prstGeom prst="rect">
                      <a:avLst/>
                    </a:prstGeom>
                    <a:noFill/>
                    <a:ln>
                      <a:noFill/>
                    </a:ln>
                  </pic:spPr>
                </pic:pic>
              </a:graphicData>
            </a:graphic>
          </wp:inline>
        </w:drawing>
      </w:r>
    </w:p>
    <w:p>
      <w:pPr>
        <w:spacing w:before="100" w:beforeAutospacing="1" w:after="100" w:afterAutospacing="1" w:line="360" w:lineRule="auto"/>
        <w:rPr>
          <w:rFonts w:eastAsia="Times New Roman" w:cs="Times New Roman"/>
          <w:noProof/>
        </w:rPr>
      </w:pPr>
    </w:p>
    <w:p>
      <w:pPr>
        <w:spacing w:before="100" w:beforeAutospacing="1" w:after="100" w:afterAutospacing="1" w:line="360" w:lineRule="auto"/>
        <w:rPr>
          <w:rFonts w:eastAsia="Times New Roman" w:cs="Times New Roman"/>
          <w:noProof/>
        </w:rPr>
      </w:pPr>
      <w:r>
        <w:rPr>
          <w:noProof/>
        </w:rPr>
        <w:t>Figuren nedenfor indeholder oplysninger om bevillingerne under sundhedsprogrammet i form af EU-tilskud under de forskellige tematiske prioriteringer i 2016.</w:t>
      </w:r>
    </w:p>
    <w:p>
      <w:pPr>
        <w:keepNext/>
        <w:spacing w:before="120" w:after="120" w:line="360" w:lineRule="auto"/>
        <w:jc w:val="center"/>
        <w:rPr>
          <w:rFonts w:cs="Times New Roman"/>
          <w:b/>
          <w:noProof/>
        </w:rPr>
      </w:pPr>
      <w:r>
        <w:rPr>
          <w:b/>
          <w:noProof/>
        </w:rPr>
        <w:t>Figur 2: Driftsbudget pr. prioriteret tema i 2016</w:t>
      </w:r>
    </w:p>
    <w:p>
      <w:pPr>
        <w:spacing w:line="360" w:lineRule="auto"/>
        <w:jc w:val="both"/>
        <w:rPr>
          <w:rFonts w:eastAsia="Times New Roman" w:cs="Times New Roman"/>
          <w:noProof/>
        </w:rPr>
      </w:pPr>
      <w:r>
        <w:rPr>
          <w:noProof/>
          <w:lang w:val="en-GB" w:eastAsia="en-GB" w:bidi="ar-SA"/>
        </w:rPr>
        <w:drawing>
          <wp:inline distT="0" distB="0" distL="0" distR="0">
            <wp:extent cx="5760720" cy="408627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4086271"/>
                    </a:xfrm>
                    <a:prstGeom prst="rect">
                      <a:avLst/>
                    </a:prstGeom>
                    <a:noFill/>
                    <a:ln>
                      <a:noFill/>
                    </a:ln>
                  </pic:spPr>
                </pic:pic>
              </a:graphicData>
            </a:graphic>
          </wp:inline>
        </w:drawing>
      </w:r>
    </w:p>
    <w:p>
      <w:pPr>
        <w:spacing w:line="360" w:lineRule="auto"/>
        <w:jc w:val="both"/>
        <w:rPr>
          <w:rFonts w:eastAsia="Times New Roman" w:cs="Times New Roman"/>
          <w:noProof/>
        </w:rPr>
      </w:pPr>
    </w:p>
    <w:p>
      <w:pPr>
        <w:spacing w:line="360" w:lineRule="auto"/>
        <w:jc w:val="both"/>
        <w:rPr>
          <w:rFonts w:eastAsia="Times New Roman" w:cs="Times New Roman"/>
          <w:noProof/>
        </w:rPr>
      </w:pPr>
      <w:r>
        <w:rPr>
          <w:noProof/>
        </w:rPr>
        <w:t>For at opfylde disse mål omfatter programmet en bred vifte af finansieringsinstrumenter. Disse er:</w:t>
      </w:r>
    </w:p>
    <w:p>
      <w:pPr>
        <w:pStyle w:val="ListParagraph"/>
        <w:numPr>
          <w:ilvl w:val="0"/>
          <w:numId w:val="26"/>
        </w:numPr>
        <w:spacing w:line="360" w:lineRule="auto"/>
        <w:jc w:val="both"/>
        <w:rPr>
          <w:rFonts w:ascii="Times New Roman" w:hAnsi="Times New Roman"/>
          <w:noProof/>
        </w:rPr>
      </w:pPr>
      <w:r>
        <w:rPr>
          <w:rFonts w:ascii="Times New Roman" w:hAnsi="Times New Roman"/>
          <w:noProof/>
        </w:rPr>
        <w:t>projekttilskud, herunder specifikke tilskudsaftaler for de europæiske netværk af referencecentre</w:t>
      </w:r>
    </w:p>
    <w:p>
      <w:pPr>
        <w:pStyle w:val="ListParagraph"/>
        <w:numPr>
          <w:ilvl w:val="0"/>
          <w:numId w:val="26"/>
        </w:numPr>
        <w:spacing w:line="360" w:lineRule="auto"/>
        <w:jc w:val="both"/>
        <w:rPr>
          <w:rFonts w:ascii="Times New Roman" w:hAnsi="Times New Roman"/>
          <w:noProof/>
        </w:rPr>
      </w:pPr>
      <w:r>
        <w:rPr>
          <w:rFonts w:ascii="Times New Roman" w:hAnsi="Times New Roman"/>
          <w:noProof/>
        </w:rPr>
        <w:t>driftstilskud til NGO'er</w:t>
      </w:r>
    </w:p>
    <w:p>
      <w:pPr>
        <w:pStyle w:val="ListParagraph"/>
        <w:numPr>
          <w:ilvl w:val="0"/>
          <w:numId w:val="26"/>
        </w:numPr>
        <w:spacing w:line="360" w:lineRule="auto"/>
        <w:jc w:val="both"/>
        <w:rPr>
          <w:rFonts w:ascii="Times New Roman" w:hAnsi="Times New Roman"/>
          <w:noProof/>
        </w:rPr>
      </w:pPr>
      <w:r>
        <w:rPr>
          <w:rFonts w:ascii="Times New Roman" w:hAnsi="Times New Roman"/>
          <w:noProof/>
        </w:rPr>
        <w:t>aktioner, der blev samfinansieret af Kommissionen og medlemsstaternes myndigheder ("fælles aktioner")</w:t>
      </w:r>
    </w:p>
    <w:p>
      <w:pPr>
        <w:pStyle w:val="ListParagraph"/>
        <w:numPr>
          <w:ilvl w:val="0"/>
          <w:numId w:val="26"/>
        </w:numPr>
        <w:spacing w:line="360" w:lineRule="auto"/>
        <w:jc w:val="both"/>
        <w:rPr>
          <w:rFonts w:ascii="Times New Roman" w:hAnsi="Times New Roman"/>
          <w:noProof/>
        </w:rPr>
      </w:pPr>
      <w:r>
        <w:rPr>
          <w:rFonts w:ascii="Times New Roman" w:hAnsi="Times New Roman"/>
          <w:noProof/>
        </w:rPr>
        <w:t>aftaler om direkte tilskud med internationale organisationer</w:t>
      </w:r>
    </w:p>
    <w:p>
      <w:pPr>
        <w:pStyle w:val="ListParagraph"/>
        <w:numPr>
          <w:ilvl w:val="0"/>
          <w:numId w:val="26"/>
        </w:numPr>
        <w:spacing w:line="360" w:lineRule="auto"/>
        <w:jc w:val="both"/>
        <w:rPr>
          <w:rFonts w:ascii="Times New Roman" w:hAnsi="Times New Roman"/>
          <w:noProof/>
        </w:rPr>
      </w:pPr>
      <w:r>
        <w:rPr>
          <w:rFonts w:ascii="Times New Roman" w:hAnsi="Times New Roman"/>
          <w:noProof/>
        </w:rPr>
        <w:t xml:space="preserve">offentlige udbud </w:t>
      </w:r>
    </w:p>
    <w:p>
      <w:pPr>
        <w:pStyle w:val="ListParagraph"/>
        <w:numPr>
          <w:ilvl w:val="0"/>
          <w:numId w:val="26"/>
        </w:numPr>
        <w:spacing w:line="360" w:lineRule="auto"/>
        <w:jc w:val="both"/>
        <w:rPr>
          <w:rFonts w:ascii="Times New Roman" w:hAnsi="Times New Roman"/>
          <w:noProof/>
        </w:rPr>
      </w:pPr>
      <w:r>
        <w:rPr>
          <w:rFonts w:ascii="Times New Roman" w:hAnsi="Times New Roman"/>
          <w:noProof/>
        </w:rPr>
        <w:t>andre aktioner, f.eks. støtte til videnskabelige komitéer, administrative aftaler med Det Fælles Forskningscenter og tilskud til formandskabskonferencer.</w:t>
      </w:r>
    </w:p>
    <w:p>
      <w:pPr>
        <w:spacing w:line="360" w:lineRule="auto"/>
        <w:jc w:val="both"/>
        <w:rPr>
          <w:rFonts w:cs="Times New Roman"/>
          <w:noProof/>
        </w:rPr>
      </w:pPr>
      <w:r>
        <w:rPr>
          <w:noProof/>
        </w:rPr>
        <w:t>Der blev benyttet konkurrencebaserede udvælgelses- og tildelingsprocedurer til at udvælge initiativer til finansiering. Der blev ikke benyttet konkurrencebaserede udvælgelses- og tildelingsprocedurer ved fælles aktioner, aftaler om direkte tilskud og tilskud til formandskabskonferencer afholdt af Rådet, fordi de i disse tilfælde enten ikke er tilladt i henhold til specifikke regler eller ikke er passende, eksempelvis som følge af en monopolsituation.</w:t>
      </w:r>
    </w:p>
    <w:p>
      <w:pPr>
        <w:spacing w:line="360" w:lineRule="auto"/>
        <w:jc w:val="both"/>
        <w:rPr>
          <w:rFonts w:cs="Times New Roman"/>
          <w:noProof/>
        </w:rPr>
      </w:pPr>
      <w:r>
        <w:rPr>
          <w:noProof/>
        </w:rPr>
        <w:t>Administrative bevillinger dækkede udgifter til undersøgelser, ekspertmøder, udgifter til information og offentliggørelse samt teknisk og administrativ bistand til IT-systemer.</w:t>
      </w:r>
    </w:p>
    <w:p>
      <w:pPr>
        <w:pStyle w:val="ManualHeading2"/>
        <w:rPr>
          <w:noProof/>
        </w:rPr>
      </w:pPr>
      <w:bookmarkStart w:id="31" w:name="_Toc388355511"/>
      <w:bookmarkStart w:id="32" w:name="_Toc390420265"/>
      <w:bookmarkStart w:id="33" w:name="_Toc404756131"/>
      <w:bookmarkStart w:id="34" w:name="_Toc472077570"/>
      <w:bookmarkStart w:id="35" w:name="_Toc10472514"/>
      <w:bookmarkStart w:id="36" w:name="_Toc13584230"/>
      <w:r>
        <w:t>3.</w:t>
      </w:r>
      <w:r>
        <w:tab/>
      </w:r>
      <w:r>
        <w:rPr>
          <w:noProof/>
        </w:rPr>
        <w:t>Gennemførelse opdelt efter finansieringsmekanismer</w:t>
      </w:r>
      <w:bookmarkEnd w:id="31"/>
      <w:bookmarkEnd w:id="32"/>
      <w:bookmarkEnd w:id="33"/>
      <w:bookmarkEnd w:id="34"/>
      <w:bookmarkEnd w:id="35"/>
      <w:bookmarkEnd w:id="36"/>
    </w:p>
    <w:tbl>
      <w:tblPr>
        <w:tblStyle w:val="TableGrid"/>
        <w:tblW w:w="9464" w:type="dxa"/>
        <w:tblLook w:val="0000" w:firstRow="0" w:lastRow="0" w:firstColumn="0" w:lastColumn="0" w:noHBand="0" w:noVBand="0"/>
      </w:tblPr>
      <w:tblGrid>
        <w:gridCol w:w="4361"/>
        <w:gridCol w:w="2551"/>
        <w:gridCol w:w="2552"/>
      </w:tblGrid>
      <w:tr>
        <w:trPr>
          <w:trHeight w:val="1020"/>
        </w:trPr>
        <w:tc>
          <w:tcPr>
            <w:tcW w:w="4361" w:type="dxa"/>
            <w:noWrap/>
          </w:tcPr>
          <w:p>
            <w:pPr>
              <w:spacing w:line="360" w:lineRule="auto"/>
              <w:jc w:val="both"/>
              <w:rPr>
                <w:b/>
                <w:noProof/>
              </w:rPr>
            </w:pPr>
            <w:r>
              <w:rPr>
                <w:b/>
                <w:noProof/>
              </w:rPr>
              <w:t>Type af finansieringsmekanisme</w:t>
            </w:r>
          </w:p>
        </w:tc>
        <w:tc>
          <w:tcPr>
            <w:tcW w:w="2551" w:type="dxa"/>
            <w:noWrap/>
          </w:tcPr>
          <w:p>
            <w:pPr>
              <w:spacing w:line="360" w:lineRule="auto"/>
              <w:jc w:val="both"/>
              <w:rPr>
                <w:b/>
                <w:noProof/>
              </w:rPr>
            </w:pPr>
            <w:r>
              <w:rPr>
                <w:b/>
                <w:noProof/>
              </w:rPr>
              <w:t>Gennemførelse (i EUR)</w:t>
            </w:r>
          </w:p>
        </w:tc>
        <w:tc>
          <w:tcPr>
            <w:tcW w:w="2552" w:type="dxa"/>
            <w:noWrap/>
          </w:tcPr>
          <w:p>
            <w:pPr>
              <w:spacing w:line="360" w:lineRule="auto"/>
              <w:rPr>
                <w:b/>
                <w:noProof/>
              </w:rPr>
            </w:pPr>
            <w:r>
              <w:rPr>
                <w:b/>
                <w:noProof/>
              </w:rPr>
              <w:t xml:space="preserve">Mekanismens andel i det samlede gennemførte budget </w:t>
            </w:r>
          </w:p>
        </w:tc>
      </w:tr>
      <w:tr>
        <w:trPr>
          <w:trHeight w:val="340"/>
        </w:trPr>
        <w:tc>
          <w:tcPr>
            <w:tcW w:w="4361" w:type="dxa"/>
            <w:noWrap/>
          </w:tcPr>
          <w:p>
            <w:pPr>
              <w:spacing w:line="360" w:lineRule="auto"/>
              <w:jc w:val="both"/>
              <w:rPr>
                <w:b/>
                <w:noProof/>
              </w:rPr>
            </w:pPr>
            <w:r>
              <w:rPr>
                <w:b/>
                <w:noProof/>
              </w:rPr>
              <w:t>Indkaldelser af forslag:</w:t>
            </w:r>
          </w:p>
        </w:tc>
        <w:tc>
          <w:tcPr>
            <w:tcW w:w="2551" w:type="dxa"/>
            <w:noWrap/>
          </w:tcPr>
          <w:p>
            <w:pPr>
              <w:spacing w:line="360" w:lineRule="auto"/>
              <w:jc w:val="right"/>
              <w:rPr>
                <w:b/>
                <w:noProof/>
              </w:rPr>
            </w:pPr>
            <w:r>
              <w:rPr>
                <w:b/>
                <w:noProof/>
              </w:rPr>
              <w:t>18 323 884,19</w:t>
            </w:r>
          </w:p>
        </w:tc>
        <w:tc>
          <w:tcPr>
            <w:tcW w:w="2552" w:type="dxa"/>
            <w:noWrap/>
          </w:tcPr>
          <w:p>
            <w:pPr>
              <w:tabs>
                <w:tab w:val="decimal" w:pos="792"/>
              </w:tabs>
              <w:spacing w:line="360" w:lineRule="auto"/>
              <w:jc w:val="right"/>
              <w:rPr>
                <w:b/>
                <w:noProof/>
              </w:rPr>
            </w:pPr>
            <w:r>
              <w:rPr>
                <w:b/>
                <w:noProof/>
              </w:rPr>
              <w:t>32,3 %</w:t>
            </w:r>
          </w:p>
        </w:tc>
      </w:tr>
      <w:tr>
        <w:trPr>
          <w:trHeight w:val="340"/>
        </w:trPr>
        <w:tc>
          <w:tcPr>
            <w:tcW w:w="4361" w:type="dxa"/>
            <w:noWrap/>
          </w:tcPr>
          <w:p>
            <w:pPr>
              <w:spacing w:line="360" w:lineRule="auto"/>
              <w:jc w:val="both"/>
              <w:rPr>
                <w:bCs/>
                <w:noProof/>
              </w:rPr>
            </w:pPr>
            <w:r>
              <w:rPr>
                <w:noProof/>
              </w:rPr>
              <w:t>Tilskud til projekter</w:t>
            </w:r>
          </w:p>
        </w:tc>
        <w:tc>
          <w:tcPr>
            <w:tcW w:w="2551" w:type="dxa"/>
            <w:noWrap/>
          </w:tcPr>
          <w:p>
            <w:pPr>
              <w:spacing w:line="360" w:lineRule="auto"/>
              <w:jc w:val="right"/>
              <w:rPr>
                <w:bCs/>
                <w:noProof/>
              </w:rPr>
            </w:pPr>
            <w:r>
              <w:rPr>
                <w:noProof/>
              </w:rPr>
              <w:t>8 795 212,04</w:t>
            </w:r>
          </w:p>
        </w:tc>
        <w:tc>
          <w:tcPr>
            <w:tcW w:w="2552" w:type="dxa"/>
            <w:noWrap/>
          </w:tcPr>
          <w:p>
            <w:pPr>
              <w:tabs>
                <w:tab w:val="decimal" w:pos="792"/>
              </w:tabs>
              <w:spacing w:line="360" w:lineRule="auto"/>
              <w:jc w:val="right"/>
              <w:rPr>
                <w:noProof/>
              </w:rPr>
            </w:pPr>
            <w:r>
              <w:rPr>
                <w:noProof/>
              </w:rPr>
              <w:t xml:space="preserve">15,5 % </w:t>
            </w:r>
          </w:p>
        </w:tc>
      </w:tr>
      <w:tr>
        <w:trPr>
          <w:trHeight w:val="340"/>
        </w:trPr>
        <w:tc>
          <w:tcPr>
            <w:tcW w:w="4361" w:type="dxa"/>
            <w:noWrap/>
          </w:tcPr>
          <w:p>
            <w:pPr>
              <w:spacing w:line="360" w:lineRule="auto"/>
              <w:jc w:val="both"/>
              <w:rPr>
                <w:bCs/>
                <w:noProof/>
              </w:rPr>
            </w:pPr>
            <w:r>
              <w:rPr>
                <w:noProof/>
              </w:rPr>
              <w:t>Specifikke tilskudsaftaler til det europæiske netværk af referencecentre (ERN) i henhold til målet om rammeaftaler om partnerskaber</w:t>
            </w:r>
          </w:p>
        </w:tc>
        <w:tc>
          <w:tcPr>
            <w:tcW w:w="2551" w:type="dxa"/>
            <w:noWrap/>
          </w:tcPr>
          <w:p>
            <w:pPr>
              <w:spacing w:line="360" w:lineRule="auto"/>
              <w:jc w:val="right"/>
              <w:rPr>
                <w:bCs/>
                <w:noProof/>
              </w:rPr>
            </w:pPr>
            <w:r>
              <w:rPr>
                <w:noProof/>
              </w:rPr>
              <w:t>4 386 344,15</w:t>
            </w:r>
          </w:p>
        </w:tc>
        <w:tc>
          <w:tcPr>
            <w:tcW w:w="2552" w:type="dxa"/>
            <w:noWrap/>
          </w:tcPr>
          <w:p>
            <w:pPr>
              <w:tabs>
                <w:tab w:val="decimal" w:pos="792"/>
              </w:tabs>
              <w:spacing w:line="360" w:lineRule="auto"/>
              <w:jc w:val="right"/>
              <w:rPr>
                <w:noProof/>
              </w:rPr>
            </w:pPr>
            <w:r>
              <w:rPr>
                <w:noProof/>
              </w:rPr>
              <w:t>7,7 %</w:t>
            </w:r>
          </w:p>
        </w:tc>
      </w:tr>
      <w:tr>
        <w:trPr>
          <w:trHeight w:val="340"/>
        </w:trPr>
        <w:tc>
          <w:tcPr>
            <w:tcW w:w="4361" w:type="dxa"/>
            <w:noWrap/>
          </w:tcPr>
          <w:p>
            <w:pPr>
              <w:spacing w:line="360" w:lineRule="auto"/>
              <w:jc w:val="both"/>
              <w:rPr>
                <w:bCs/>
                <w:noProof/>
              </w:rPr>
            </w:pPr>
            <w:r>
              <w:rPr>
                <w:noProof/>
              </w:rPr>
              <w:t>Driftstilskud</w:t>
            </w:r>
          </w:p>
        </w:tc>
        <w:tc>
          <w:tcPr>
            <w:tcW w:w="2551" w:type="dxa"/>
            <w:noWrap/>
          </w:tcPr>
          <w:p>
            <w:pPr>
              <w:spacing w:line="360" w:lineRule="auto"/>
              <w:jc w:val="right"/>
              <w:rPr>
                <w:bCs/>
                <w:noProof/>
              </w:rPr>
            </w:pPr>
            <w:r>
              <w:rPr>
                <w:noProof/>
              </w:rPr>
              <w:t>5 142 328,00</w:t>
            </w:r>
          </w:p>
        </w:tc>
        <w:tc>
          <w:tcPr>
            <w:tcW w:w="2552" w:type="dxa"/>
            <w:noWrap/>
          </w:tcPr>
          <w:p>
            <w:pPr>
              <w:tabs>
                <w:tab w:val="decimal" w:pos="792"/>
              </w:tabs>
              <w:spacing w:line="360" w:lineRule="auto"/>
              <w:jc w:val="right"/>
              <w:rPr>
                <w:noProof/>
              </w:rPr>
            </w:pPr>
            <w:r>
              <w:rPr>
                <w:noProof/>
              </w:rPr>
              <w:t>9,1 %</w:t>
            </w:r>
          </w:p>
        </w:tc>
      </w:tr>
      <w:tr>
        <w:trPr>
          <w:trHeight w:val="376"/>
        </w:trPr>
        <w:tc>
          <w:tcPr>
            <w:tcW w:w="4361" w:type="dxa"/>
            <w:noWrap/>
          </w:tcPr>
          <w:p>
            <w:pPr>
              <w:spacing w:line="360" w:lineRule="auto"/>
              <w:jc w:val="both"/>
              <w:rPr>
                <w:b/>
                <w:bCs/>
                <w:noProof/>
              </w:rPr>
            </w:pPr>
            <w:r>
              <w:rPr>
                <w:b/>
                <w:noProof/>
              </w:rPr>
              <w:t>Tilskud til fælles aktioner</w:t>
            </w:r>
          </w:p>
        </w:tc>
        <w:tc>
          <w:tcPr>
            <w:tcW w:w="2551" w:type="dxa"/>
            <w:noWrap/>
          </w:tcPr>
          <w:p>
            <w:pPr>
              <w:spacing w:line="360" w:lineRule="auto"/>
              <w:jc w:val="right"/>
              <w:rPr>
                <w:b/>
                <w:bCs/>
                <w:noProof/>
              </w:rPr>
            </w:pPr>
            <w:r>
              <w:rPr>
                <w:b/>
                <w:noProof/>
              </w:rPr>
              <w:t>14 376 881,83</w:t>
            </w:r>
          </w:p>
        </w:tc>
        <w:tc>
          <w:tcPr>
            <w:tcW w:w="2552" w:type="dxa"/>
            <w:noWrap/>
          </w:tcPr>
          <w:p>
            <w:pPr>
              <w:tabs>
                <w:tab w:val="decimal" w:pos="792"/>
              </w:tabs>
              <w:spacing w:line="360" w:lineRule="auto"/>
              <w:jc w:val="right"/>
              <w:rPr>
                <w:b/>
                <w:noProof/>
              </w:rPr>
            </w:pPr>
            <w:r>
              <w:rPr>
                <w:b/>
                <w:noProof/>
              </w:rPr>
              <w:t>25,4 %</w:t>
            </w:r>
          </w:p>
        </w:tc>
      </w:tr>
      <w:tr>
        <w:trPr>
          <w:trHeight w:val="517"/>
        </w:trPr>
        <w:tc>
          <w:tcPr>
            <w:tcW w:w="4361" w:type="dxa"/>
            <w:noWrap/>
          </w:tcPr>
          <w:p>
            <w:pPr>
              <w:spacing w:line="360" w:lineRule="auto"/>
              <w:rPr>
                <w:b/>
                <w:bCs/>
                <w:noProof/>
              </w:rPr>
            </w:pPr>
            <w:r>
              <w:rPr>
                <w:b/>
                <w:noProof/>
              </w:rPr>
              <w:t>Tilskud til konferencer til de medlemsstater, der har formandskabet for EU</w:t>
            </w:r>
          </w:p>
        </w:tc>
        <w:tc>
          <w:tcPr>
            <w:tcW w:w="2551" w:type="dxa"/>
            <w:noWrap/>
          </w:tcPr>
          <w:p>
            <w:pPr>
              <w:spacing w:line="360" w:lineRule="auto"/>
              <w:jc w:val="right"/>
              <w:rPr>
                <w:b/>
                <w:noProof/>
              </w:rPr>
            </w:pPr>
            <w:r>
              <w:rPr>
                <w:b/>
                <w:noProof/>
              </w:rPr>
              <w:t>141 780,43</w:t>
            </w:r>
          </w:p>
        </w:tc>
        <w:tc>
          <w:tcPr>
            <w:tcW w:w="2552" w:type="dxa"/>
            <w:noWrap/>
          </w:tcPr>
          <w:p>
            <w:pPr>
              <w:tabs>
                <w:tab w:val="decimal" w:pos="792"/>
              </w:tabs>
              <w:spacing w:line="360" w:lineRule="auto"/>
              <w:jc w:val="right"/>
              <w:rPr>
                <w:b/>
                <w:noProof/>
              </w:rPr>
            </w:pPr>
            <w:r>
              <w:rPr>
                <w:b/>
                <w:noProof/>
              </w:rPr>
              <w:t>0,3 %</w:t>
            </w:r>
          </w:p>
        </w:tc>
      </w:tr>
      <w:tr>
        <w:trPr>
          <w:trHeight w:val="340"/>
        </w:trPr>
        <w:tc>
          <w:tcPr>
            <w:tcW w:w="4361" w:type="dxa"/>
            <w:noWrap/>
          </w:tcPr>
          <w:p>
            <w:pPr>
              <w:spacing w:line="360" w:lineRule="auto"/>
              <w:jc w:val="both"/>
              <w:rPr>
                <w:b/>
                <w:bCs/>
                <w:noProof/>
              </w:rPr>
            </w:pPr>
            <w:r>
              <w:rPr>
                <w:b/>
                <w:noProof/>
              </w:rPr>
              <w:t>Aftaler om direkte tilskud</w:t>
            </w:r>
          </w:p>
        </w:tc>
        <w:tc>
          <w:tcPr>
            <w:tcW w:w="2551" w:type="dxa"/>
            <w:noWrap/>
          </w:tcPr>
          <w:p>
            <w:pPr>
              <w:jc w:val="right"/>
              <w:rPr>
                <w:b/>
                <w:noProof/>
                <w:color w:val="000000"/>
              </w:rPr>
            </w:pPr>
            <w:r>
              <w:rPr>
                <w:b/>
                <w:noProof/>
                <w:color w:val="000000"/>
              </w:rPr>
              <w:t>4 450 000,00</w:t>
            </w:r>
          </w:p>
        </w:tc>
        <w:tc>
          <w:tcPr>
            <w:tcW w:w="2552" w:type="dxa"/>
            <w:noWrap/>
          </w:tcPr>
          <w:p>
            <w:pPr>
              <w:tabs>
                <w:tab w:val="decimal" w:pos="792"/>
              </w:tabs>
              <w:spacing w:line="360" w:lineRule="auto"/>
              <w:jc w:val="right"/>
              <w:rPr>
                <w:b/>
                <w:noProof/>
              </w:rPr>
            </w:pPr>
            <w:r>
              <w:rPr>
                <w:b/>
                <w:noProof/>
              </w:rPr>
              <w:t>7,8 %</w:t>
            </w:r>
          </w:p>
        </w:tc>
      </w:tr>
      <w:tr>
        <w:trPr>
          <w:trHeight w:val="631"/>
        </w:trPr>
        <w:tc>
          <w:tcPr>
            <w:tcW w:w="4361" w:type="dxa"/>
            <w:noWrap/>
          </w:tcPr>
          <w:p>
            <w:pPr>
              <w:spacing w:line="360" w:lineRule="auto"/>
              <w:jc w:val="both"/>
              <w:rPr>
                <w:b/>
                <w:bCs/>
                <w:noProof/>
              </w:rPr>
            </w:pPr>
            <w:r>
              <w:rPr>
                <w:b/>
                <w:noProof/>
              </w:rPr>
              <w:t>Offentlige udbud (servicekontrakter)</w:t>
            </w:r>
          </w:p>
        </w:tc>
        <w:tc>
          <w:tcPr>
            <w:tcW w:w="2551" w:type="dxa"/>
            <w:noWrap/>
          </w:tcPr>
          <w:p>
            <w:pPr>
              <w:spacing w:line="360" w:lineRule="auto"/>
              <w:jc w:val="right"/>
              <w:rPr>
                <w:b/>
                <w:bCs/>
                <w:noProof/>
              </w:rPr>
            </w:pPr>
            <w:r>
              <w:rPr>
                <w:b/>
                <w:noProof/>
              </w:rPr>
              <w:t>16 089 842,38</w:t>
            </w:r>
          </w:p>
        </w:tc>
        <w:tc>
          <w:tcPr>
            <w:tcW w:w="2552" w:type="dxa"/>
            <w:noWrap/>
          </w:tcPr>
          <w:p>
            <w:pPr>
              <w:tabs>
                <w:tab w:val="decimal" w:pos="792"/>
              </w:tabs>
              <w:spacing w:line="360" w:lineRule="auto"/>
              <w:jc w:val="right"/>
              <w:rPr>
                <w:b/>
                <w:noProof/>
              </w:rPr>
            </w:pPr>
            <w:r>
              <w:rPr>
                <w:b/>
                <w:noProof/>
              </w:rPr>
              <w:t>28,3 %</w:t>
            </w:r>
          </w:p>
        </w:tc>
      </w:tr>
      <w:tr>
        <w:trPr>
          <w:trHeight w:val="340"/>
        </w:trPr>
        <w:tc>
          <w:tcPr>
            <w:tcW w:w="4361" w:type="dxa"/>
            <w:noWrap/>
          </w:tcPr>
          <w:p>
            <w:pPr>
              <w:spacing w:line="360" w:lineRule="auto"/>
              <w:jc w:val="right"/>
              <w:rPr>
                <w:b/>
                <w:bCs/>
                <w:i/>
                <w:noProof/>
              </w:rPr>
            </w:pPr>
            <w:r>
              <w:rPr>
                <w:b/>
                <w:i/>
                <w:noProof/>
              </w:rPr>
              <w:t>Forvaltet af CHAFEA</w:t>
            </w:r>
          </w:p>
        </w:tc>
        <w:tc>
          <w:tcPr>
            <w:tcW w:w="2551" w:type="dxa"/>
            <w:noWrap/>
          </w:tcPr>
          <w:p>
            <w:pPr>
              <w:spacing w:line="360" w:lineRule="auto"/>
              <w:jc w:val="right"/>
              <w:rPr>
                <w:noProof/>
              </w:rPr>
            </w:pPr>
            <w:r>
              <w:rPr>
                <w:noProof/>
              </w:rPr>
              <w:t>10 456 063,54</w:t>
            </w:r>
          </w:p>
        </w:tc>
        <w:tc>
          <w:tcPr>
            <w:tcW w:w="2552" w:type="dxa"/>
            <w:noWrap/>
          </w:tcPr>
          <w:p>
            <w:pPr>
              <w:tabs>
                <w:tab w:val="decimal" w:pos="792"/>
              </w:tabs>
              <w:spacing w:line="360" w:lineRule="auto"/>
              <w:jc w:val="right"/>
              <w:rPr>
                <w:noProof/>
              </w:rPr>
            </w:pPr>
            <w:r>
              <w:rPr>
                <w:noProof/>
              </w:rPr>
              <w:t>18,4 %</w:t>
            </w:r>
          </w:p>
        </w:tc>
      </w:tr>
      <w:tr>
        <w:trPr>
          <w:trHeight w:val="340"/>
        </w:trPr>
        <w:tc>
          <w:tcPr>
            <w:tcW w:w="4361" w:type="dxa"/>
            <w:noWrap/>
          </w:tcPr>
          <w:p>
            <w:pPr>
              <w:spacing w:line="360" w:lineRule="auto"/>
              <w:jc w:val="right"/>
              <w:rPr>
                <w:b/>
                <w:bCs/>
                <w:i/>
                <w:noProof/>
              </w:rPr>
            </w:pPr>
            <w:r>
              <w:rPr>
                <w:b/>
                <w:i/>
                <w:noProof/>
              </w:rPr>
              <w:t>Forvaltet af GD SANTE</w:t>
            </w:r>
          </w:p>
        </w:tc>
        <w:tc>
          <w:tcPr>
            <w:tcW w:w="2551" w:type="dxa"/>
            <w:noWrap/>
          </w:tcPr>
          <w:p>
            <w:pPr>
              <w:spacing w:line="360" w:lineRule="auto"/>
              <w:jc w:val="right"/>
              <w:rPr>
                <w:noProof/>
              </w:rPr>
            </w:pPr>
            <w:r>
              <w:rPr>
                <w:noProof/>
              </w:rPr>
              <w:t>5 633 778,84</w:t>
            </w:r>
          </w:p>
        </w:tc>
        <w:tc>
          <w:tcPr>
            <w:tcW w:w="2552" w:type="dxa"/>
            <w:noWrap/>
          </w:tcPr>
          <w:p>
            <w:pPr>
              <w:tabs>
                <w:tab w:val="decimal" w:pos="792"/>
              </w:tabs>
              <w:spacing w:line="360" w:lineRule="auto"/>
              <w:jc w:val="right"/>
              <w:rPr>
                <w:noProof/>
              </w:rPr>
            </w:pPr>
            <w:r>
              <w:rPr>
                <w:noProof/>
              </w:rPr>
              <w:t>9,9 %</w:t>
            </w:r>
          </w:p>
        </w:tc>
      </w:tr>
      <w:tr>
        <w:trPr>
          <w:trHeight w:val="425"/>
        </w:trPr>
        <w:tc>
          <w:tcPr>
            <w:tcW w:w="4361" w:type="dxa"/>
            <w:noWrap/>
          </w:tcPr>
          <w:p>
            <w:pPr>
              <w:spacing w:line="360" w:lineRule="auto"/>
              <w:rPr>
                <w:b/>
                <w:bCs/>
                <w:noProof/>
              </w:rPr>
            </w:pPr>
            <w:r>
              <w:rPr>
                <w:b/>
                <w:noProof/>
              </w:rPr>
              <w:t xml:space="preserve">Andre aktioner </w:t>
            </w:r>
          </w:p>
        </w:tc>
        <w:tc>
          <w:tcPr>
            <w:tcW w:w="2551" w:type="dxa"/>
            <w:noWrap/>
          </w:tcPr>
          <w:p>
            <w:pPr>
              <w:spacing w:line="360" w:lineRule="auto"/>
              <w:jc w:val="right"/>
              <w:rPr>
                <w:b/>
                <w:noProof/>
              </w:rPr>
            </w:pPr>
            <w:r>
              <w:rPr>
                <w:b/>
                <w:noProof/>
              </w:rPr>
              <w:t>3 313 500</w:t>
            </w:r>
          </w:p>
        </w:tc>
        <w:tc>
          <w:tcPr>
            <w:tcW w:w="2552" w:type="dxa"/>
            <w:noWrap/>
          </w:tcPr>
          <w:p>
            <w:pPr>
              <w:tabs>
                <w:tab w:val="decimal" w:pos="792"/>
              </w:tabs>
              <w:spacing w:line="360" w:lineRule="auto"/>
              <w:jc w:val="right"/>
              <w:rPr>
                <w:b/>
                <w:noProof/>
              </w:rPr>
            </w:pPr>
            <w:r>
              <w:rPr>
                <w:b/>
                <w:noProof/>
              </w:rPr>
              <w:t>5,9 %</w:t>
            </w:r>
          </w:p>
        </w:tc>
      </w:tr>
      <w:tr>
        <w:trPr>
          <w:trHeight w:val="275"/>
        </w:trPr>
        <w:tc>
          <w:tcPr>
            <w:tcW w:w="4361" w:type="dxa"/>
            <w:noWrap/>
          </w:tcPr>
          <w:p>
            <w:pPr>
              <w:spacing w:line="360" w:lineRule="auto"/>
              <w:jc w:val="right"/>
              <w:rPr>
                <w:b/>
                <w:bCs/>
                <w:noProof/>
              </w:rPr>
            </w:pPr>
            <w:r>
              <w:rPr>
                <w:b/>
                <w:i/>
                <w:noProof/>
              </w:rPr>
              <w:t>Forvaltet af CHAFEA</w:t>
            </w:r>
          </w:p>
        </w:tc>
        <w:tc>
          <w:tcPr>
            <w:tcW w:w="2551" w:type="dxa"/>
            <w:noWrap/>
          </w:tcPr>
          <w:p>
            <w:pPr>
              <w:spacing w:line="360" w:lineRule="auto"/>
              <w:jc w:val="right"/>
              <w:rPr>
                <w:bCs/>
                <w:noProof/>
              </w:rPr>
            </w:pPr>
            <w:r>
              <w:rPr>
                <w:noProof/>
              </w:rPr>
              <w:t>500 000,00</w:t>
            </w:r>
          </w:p>
        </w:tc>
        <w:tc>
          <w:tcPr>
            <w:tcW w:w="2552" w:type="dxa"/>
            <w:noWrap/>
          </w:tcPr>
          <w:p>
            <w:pPr>
              <w:tabs>
                <w:tab w:val="decimal" w:pos="792"/>
              </w:tabs>
              <w:spacing w:line="360" w:lineRule="auto"/>
              <w:jc w:val="right"/>
              <w:rPr>
                <w:bCs/>
                <w:noProof/>
              </w:rPr>
            </w:pPr>
            <w:r>
              <w:rPr>
                <w:noProof/>
              </w:rPr>
              <w:t>0,9 %</w:t>
            </w:r>
          </w:p>
        </w:tc>
      </w:tr>
      <w:tr>
        <w:trPr>
          <w:trHeight w:val="337"/>
        </w:trPr>
        <w:tc>
          <w:tcPr>
            <w:tcW w:w="4361" w:type="dxa"/>
            <w:noWrap/>
          </w:tcPr>
          <w:p>
            <w:pPr>
              <w:spacing w:line="360" w:lineRule="auto"/>
              <w:jc w:val="right"/>
              <w:rPr>
                <w:b/>
                <w:bCs/>
                <w:noProof/>
              </w:rPr>
            </w:pPr>
            <w:r>
              <w:rPr>
                <w:b/>
                <w:i/>
                <w:noProof/>
              </w:rPr>
              <w:t>Forvaltet af GD SANTE</w:t>
            </w:r>
          </w:p>
        </w:tc>
        <w:tc>
          <w:tcPr>
            <w:tcW w:w="2551" w:type="dxa"/>
            <w:noWrap/>
          </w:tcPr>
          <w:p>
            <w:pPr>
              <w:spacing w:line="360" w:lineRule="auto"/>
              <w:jc w:val="right"/>
              <w:rPr>
                <w:bCs/>
                <w:noProof/>
              </w:rPr>
            </w:pPr>
            <w:r>
              <w:rPr>
                <w:noProof/>
              </w:rPr>
              <w:t>2 813 500,00</w:t>
            </w:r>
          </w:p>
        </w:tc>
        <w:tc>
          <w:tcPr>
            <w:tcW w:w="2552" w:type="dxa"/>
            <w:noWrap/>
          </w:tcPr>
          <w:p>
            <w:pPr>
              <w:tabs>
                <w:tab w:val="decimal" w:pos="792"/>
              </w:tabs>
              <w:spacing w:line="360" w:lineRule="auto"/>
              <w:jc w:val="right"/>
              <w:rPr>
                <w:bCs/>
                <w:noProof/>
              </w:rPr>
            </w:pPr>
            <w:r>
              <w:rPr>
                <w:noProof/>
              </w:rPr>
              <w:t>5 %</w:t>
            </w:r>
          </w:p>
        </w:tc>
      </w:tr>
      <w:tr>
        <w:trPr>
          <w:trHeight w:val="340"/>
        </w:trPr>
        <w:tc>
          <w:tcPr>
            <w:tcW w:w="4361" w:type="dxa"/>
            <w:noWrap/>
          </w:tcPr>
          <w:p>
            <w:pPr>
              <w:spacing w:line="360" w:lineRule="auto"/>
              <w:jc w:val="both"/>
              <w:rPr>
                <w:b/>
                <w:bCs/>
                <w:noProof/>
              </w:rPr>
            </w:pPr>
            <w:r>
              <w:rPr>
                <w:b/>
                <w:noProof/>
              </w:rPr>
              <w:t>Budget for det årlige arbejdsprogram gennemført i 2016</w:t>
            </w:r>
          </w:p>
        </w:tc>
        <w:tc>
          <w:tcPr>
            <w:tcW w:w="2551" w:type="dxa"/>
            <w:noWrap/>
          </w:tcPr>
          <w:p>
            <w:pPr>
              <w:spacing w:line="360" w:lineRule="auto"/>
              <w:jc w:val="right"/>
              <w:rPr>
                <w:b/>
                <w:noProof/>
              </w:rPr>
            </w:pPr>
            <w:r>
              <w:rPr>
                <w:b/>
                <w:noProof/>
              </w:rPr>
              <w:t>56 695 888,83</w:t>
            </w:r>
          </w:p>
        </w:tc>
        <w:tc>
          <w:tcPr>
            <w:tcW w:w="2552" w:type="dxa"/>
            <w:noWrap/>
          </w:tcPr>
          <w:p>
            <w:pPr>
              <w:tabs>
                <w:tab w:val="decimal" w:pos="792"/>
              </w:tabs>
              <w:spacing w:line="360" w:lineRule="auto"/>
              <w:jc w:val="right"/>
              <w:rPr>
                <w:noProof/>
              </w:rPr>
            </w:pPr>
            <w:r>
              <w:rPr>
                <w:noProof/>
              </w:rPr>
              <w:t>97,76 %</w:t>
            </w:r>
          </w:p>
        </w:tc>
      </w:tr>
      <w:tr>
        <w:trPr>
          <w:trHeight w:val="340"/>
        </w:trPr>
        <w:tc>
          <w:tcPr>
            <w:tcW w:w="4361" w:type="dxa"/>
            <w:noWrap/>
          </w:tcPr>
          <w:p>
            <w:pPr>
              <w:spacing w:line="360" w:lineRule="auto"/>
              <w:jc w:val="both"/>
              <w:rPr>
                <w:b/>
                <w:bCs/>
                <w:noProof/>
              </w:rPr>
            </w:pPr>
            <w:r>
              <w:rPr>
                <w:b/>
                <w:noProof/>
              </w:rPr>
              <w:t>Samlet disponibelt budget for arbejdsprogrammet for 2016</w:t>
            </w:r>
          </w:p>
        </w:tc>
        <w:tc>
          <w:tcPr>
            <w:tcW w:w="2551" w:type="dxa"/>
            <w:noWrap/>
          </w:tcPr>
          <w:p>
            <w:pPr>
              <w:spacing w:line="360" w:lineRule="auto"/>
              <w:ind w:left="-108"/>
              <w:jc w:val="right"/>
              <w:rPr>
                <w:b/>
                <w:noProof/>
              </w:rPr>
            </w:pPr>
            <w:r>
              <w:rPr>
                <w:b/>
                <w:noProof/>
              </w:rPr>
              <w:t>57 992 112,00</w:t>
            </w:r>
          </w:p>
        </w:tc>
        <w:tc>
          <w:tcPr>
            <w:tcW w:w="2552" w:type="dxa"/>
            <w:noWrap/>
          </w:tcPr>
          <w:p>
            <w:pPr>
              <w:spacing w:line="360" w:lineRule="auto"/>
              <w:jc w:val="both"/>
              <w:rPr>
                <w:noProof/>
              </w:rPr>
            </w:pPr>
          </w:p>
        </w:tc>
      </w:tr>
      <w:tr>
        <w:trPr>
          <w:trHeight w:val="255"/>
        </w:trPr>
        <w:tc>
          <w:tcPr>
            <w:tcW w:w="4361" w:type="dxa"/>
            <w:noWrap/>
          </w:tcPr>
          <w:p>
            <w:pPr>
              <w:spacing w:line="360" w:lineRule="auto"/>
              <w:jc w:val="both"/>
              <w:rPr>
                <w:bCs/>
                <w:noProof/>
              </w:rPr>
            </w:pPr>
            <w:r>
              <w:rPr>
                <w:b/>
                <w:noProof/>
              </w:rPr>
              <w:t>Uudnyttede bevillinger</w:t>
            </w:r>
            <w:r>
              <w:rPr>
                <w:rStyle w:val="FootnoteReference"/>
                <w:noProof/>
              </w:rPr>
              <w:footnoteReference w:id="15"/>
            </w:r>
            <w:r>
              <w:rPr>
                <w:noProof/>
              </w:rPr>
              <w:t xml:space="preserve"> </w:t>
            </w:r>
          </w:p>
        </w:tc>
        <w:tc>
          <w:tcPr>
            <w:tcW w:w="2551" w:type="dxa"/>
            <w:noWrap/>
          </w:tcPr>
          <w:p>
            <w:pPr>
              <w:spacing w:line="360" w:lineRule="auto"/>
              <w:jc w:val="right"/>
              <w:rPr>
                <w:b/>
                <w:noProof/>
              </w:rPr>
            </w:pPr>
          </w:p>
        </w:tc>
        <w:tc>
          <w:tcPr>
            <w:tcW w:w="2552" w:type="dxa"/>
            <w:noWrap/>
          </w:tcPr>
          <w:p>
            <w:pPr>
              <w:spacing w:line="360" w:lineRule="auto"/>
              <w:jc w:val="both"/>
              <w:rPr>
                <w:noProof/>
              </w:rPr>
            </w:pPr>
          </w:p>
        </w:tc>
      </w:tr>
      <w:tr>
        <w:trPr>
          <w:trHeight w:val="517"/>
        </w:trPr>
        <w:tc>
          <w:tcPr>
            <w:tcW w:w="4361" w:type="dxa"/>
            <w:noWrap/>
          </w:tcPr>
          <w:p>
            <w:pPr>
              <w:spacing w:line="360" w:lineRule="auto"/>
              <w:jc w:val="right"/>
              <w:rPr>
                <w:b/>
                <w:bCs/>
                <w:noProof/>
              </w:rPr>
            </w:pPr>
            <w:r>
              <w:rPr>
                <w:b/>
                <w:i/>
                <w:noProof/>
              </w:rPr>
              <w:t>af CHAFEA</w:t>
            </w:r>
          </w:p>
        </w:tc>
        <w:tc>
          <w:tcPr>
            <w:tcW w:w="2551" w:type="dxa"/>
            <w:noWrap/>
          </w:tcPr>
          <w:p>
            <w:pPr>
              <w:spacing w:line="360" w:lineRule="auto"/>
              <w:jc w:val="right"/>
              <w:rPr>
                <w:bCs/>
                <w:noProof/>
              </w:rPr>
            </w:pPr>
            <w:r>
              <w:rPr>
                <w:noProof/>
              </w:rPr>
              <w:t>1 282 128,59</w:t>
            </w:r>
          </w:p>
        </w:tc>
        <w:tc>
          <w:tcPr>
            <w:tcW w:w="2552" w:type="dxa"/>
            <w:noWrap/>
          </w:tcPr>
          <w:p>
            <w:pPr>
              <w:tabs>
                <w:tab w:val="decimal" w:pos="792"/>
              </w:tabs>
              <w:spacing w:line="360" w:lineRule="auto"/>
              <w:jc w:val="right"/>
              <w:rPr>
                <w:bCs/>
                <w:noProof/>
              </w:rPr>
            </w:pPr>
            <w:r>
              <w:rPr>
                <w:noProof/>
              </w:rPr>
              <w:t>2,22 %</w:t>
            </w:r>
          </w:p>
        </w:tc>
      </w:tr>
      <w:tr>
        <w:trPr>
          <w:trHeight w:val="517"/>
        </w:trPr>
        <w:tc>
          <w:tcPr>
            <w:tcW w:w="4361" w:type="dxa"/>
            <w:noWrap/>
          </w:tcPr>
          <w:p>
            <w:pPr>
              <w:spacing w:line="360" w:lineRule="auto"/>
              <w:jc w:val="right"/>
              <w:rPr>
                <w:b/>
                <w:bCs/>
                <w:noProof/>
              </w:rPr>
            </w:pPr>
            <w:r>
              <w:rPr>
                <w:b/>
                <w:i/>
                <w:noProof/>
              </w:rPr>
              <w:t>af GD SANTE</w:t>
            </w:r>
          </w:p>
        </w:tc>
        <w:tc>
          <w:tcPr>
            <w:tcW w:w="2551" w:type="dxa"/>
            <w:noWrap/>
          </w:tcPr>
          <w:p>
            <w:pPr>
              <w:spacing w:line="360" w:lineRule="auto"/>
              <w:jc w:val="right"/>
              <w:rPr>
                <w:bCs/>
                <w:noProof/>
              </w:rPr>
            </w:pPr>
            <w:r>
              <w:rPr>
                <w:noProof/>
              </w:rPr>
              <w:t>14 094,58</w:t>
            </w:r>
          </w:p>
        </w:tc>
        <w:tc>
          <w:tcPr>
            <w:tcW w:w="2552" w:type="dxa"/>
            <w:noWrap/>
          </w:tcPr>
          <w:p>
            <w:pPr>
              <w:tabs>
                <w:tab w:val="decimal" w:pos="792"/>
              </w:tabs>
              <w:spacing w:line="360" w:lineRule="auto"/>
              <w:jc w:val="right"/>
              <w:rPr>
                <w:bCs/>
                <w:noProof/>
              </w:rPr>
            </w:pPr>
            <w:r>
              <w:rPr>
                <w:noProof/>
              </w:rPr>
              <w:t>0,02 %</w:t>
            </w:r>
          </w:p>
        </w:tc>
      </w:tr>
    </w:tbl>
    <w:p>
      <w:pPr>
        <w:spacing w:line="360" w:lineRule="auto"/>
        <w:jc w:val="both"/>
        <w:rPr>
          <w:rFonts w:cs="Times New Roman"/>
          <w:noProof/>
        </w:rPr>
      </w:pPr>
    </w:p>
    <w:p>
      <w:pPr>
        <w:pStyle w:val="ManualHeading2"/>
        <w:rPr>
          <w:noProof/>
        </w:rPr>
      </w:pPr>
      <w:bookmarkStart w:id="37" w:name="_Toc10472515"/>
      <w:bookmarkStart w:id="38" w:name="_Toc13584231"/>
      <w:r>
        <w:t>4.</w:t>
      </w:r>
      <w:r>
        <w:tab/>
      </w:r>
      <w:r>
        <w:rPr>
          <w:noProof/>
        </w:rPr>
        <w:t>Støttemodtagere</w:t>
      </w:r>
      <w:bookmarkEnd w:id="37"/>
      <w:bookmarkEnd w:id="38"/>
    </w:p>
    <w:p>
      <w:pPr>
        <w:spacing w:line="360" w:lineRule="auto"/>
        <w:jc w:val="both"/>
        <w:rPr>
          <w:rFonts w:cs="Times New Roman"/>
          <w:noProof/>
        </w:rPr>
      </w:pPr>
      <w:r>
        <w:rPr>
          <w:noProof/>
        </w:rPr>
        <w:t>I 2016 blev der indgået over 200</w:t>
      </w:r>
      <w:r>
        <w:rPr>
          <w:rStyle w:val="FootnoteReference"/>
          <w:noProof/>
        </w:rPr>
        <w:footnoteReference w:id="16"/>
      </w:r>
      <w:r>
        <w:rPr>
          <w:noProof/>
        </w:rPr>
        <w:t xml:space="preserve"> forskellige tilskuds- og servicekontrakter med forskellige modtagere og tjenesteydere, lige fra statslige og ikkestatslige organisationer til videregående uddannelsesinstitutioner og private virksomheder.</w:t>
      </w:r>
    </w:p>
    <w:p>
      <w:pPr>
        <w:spacing w:line="360" w:lineRule="auto"/>
        <w:jc w:val="both"/>
        <w:rPr>
          <w:rFonts w:cs="Times New Roman"/>
          <w:noProof/>
        </w:rPr>
      </w:pPr>
      <w:r>
        <w:rPr>
          <w:noProof/>
        </w:rPr>
        <w:t>Kategorien "andre" omfatter modtagere såsom leverandører af sundhedstjenester og internationale organisationer. Figur 3 giver et overblik over de forskellige grupper af støttemodtagere.</w:t>
      </w:r>
    </w:p>
    <w:p>
      <w:pPr>
        <w:spacing w:before="120" w:after="120" w:line="360" w:lineRule="auto"/>
        <w:jc w:val="center"/>
        <w:rPr>
          <w:rFonts w:cs="Times New Roman"/>
          <w:b/>
          <w:noProof/>
        </w:rPr>
      </w:pPr>
    </w:p>
    <w:p>
      <w:pPr>
        <w:spacing w:before="120" w:after="120" w:line="360" w:lineRule="auto"/>
        <w:jc w:val="center"/>
        <w:rPr>
          <w:rFonts w:cs="Times New Roman"/>
          <w:b/>
          <w:noProof/>
        </w:rPr>
      </w:pPr>
      <w:r>
        <w:rPr>
          <w:b/>
          <w:noProof/>
        </w:rPr>
        <w:t>Figur 3: Typer af støttemodtagere under det tredje sundhedsprogram i 2016</w:t>
      </w:r>
    </w:p>
    <w:p>
      <w:pPr>
        <w:spacing w:line="360" w:lineRule="auto"/>
        <w:rPr>
          <w:rFonts w:cs="Times New Roman"/>
          <w:noProof/>
        </w:rPr>
      </w:pPr>
      <w:r>
        <w:rPr>
          <w:noProof/>
          <w:lang w:val="en-GB" w:eastAsia="en-GB" w:bidi="ar-SA"/>
        </w:rPr>
        <w:drawing>
          <wp:inline distT="0" distB="0" distL="0" distR="0">
            <wp:extent cx="5219700" cy="3267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9700" cy="3267075"/>
                    </a:xfrm>
                    <a:prstGeom prst="rect">
                      <a:avLst/>
                    </a:prstGeom>
                    <a:noFill/>
                    <a:ln>
                      <a:noFill/>
                    </a:ln>
                  </pic:spPr>
                </pic:pic>
              </a:graphicData>
            </a:graphic>
          </wp:inline>
        </w:drawing>
      </w:r>
    </w:p>
    <w:p>
      <w:pPr>
        <w:pStyle w:val="Heading1"/>
        <w:spacing w:before="240"/>
        <w:rPr>
          <w:rFonts w:eastAsia="Calibri"/>
          <w:noProof/>
        </w:rPr>
      </w:pPr>
      <w:bookmarkStart w:id="39" w:name="_Toc472077576"/>
      <w:bookmarkStart w:id="40" w:name="_Toc10472516"/>
      <w:bookmarkStart w:id="41" w:name="_Toc13584232"/>
      <w:r>
        <w:rPr>
          <w:noProof/>
          <w:sz w:val="28"/>
        </w:rPr>
        <w:t>Forbedringer</w:t>
      </w:r>
      <w:bookmarkEnd w:id="39"/>
      <w:bookmarkEnd w:id="40"/>
      <w:bookmarkEnd w:id="41"/>
    </w:p>
    <w:p>
      <w:pPr>
        <w:spacing w:before="240" w:line="360" w:lineRule="auto"/>
        <w:jc w:val="both"/>
        <w:rPr>
          <w:rFonts w:cs="Times New Roman"/>
          <w:noProof/>
        </w:rPr>
      </w:pPr>
      <w:r>
        <w:rPr>
          <w:noProof/>
        </w:rPr>
        <w:t>Programmets støtte til ERN'er har fremmet innovation inden for sundhedspleje og øget adgangen til pleje af høj kvalitet i hele EU.</w:t>
      </w:r>
    </w:p>
    <w:p>
      <w:pPr>
        <w:spacing w:before="240" w:line="360" w:lineRule="auto"/>
        <w:jc w:val="both"/>
        <w:rPr>
          <w:rFonts w:cs="Times New Roman"/>
          <w:noProof/>
        </w:rPr>
      </w:pPr>
      <w:r>
        <w:rPr>
          <w:noProof/>
        </w:rPr>
        <w:t>CHAFEA anvendte alle de forenklingsmidler, organet havde til rådighed, for at strømline EU's finansielle bidrag til de europæiske netværk af referencecentre. Tildeling af rammeaftaler om partnerskaber og efterfølgende specifikke tilskud vil gøre gennemførelsen og rapporteringen lettere og give de europæiske netværk af referencecentre en stabil driftsmæssig ramme.</w:t>
      </w:r>
    </w:p>
    <w:p>
      <w:pPr>
        <w:spacing w:before="240" w:line="360" w:lineRule="auto"/>
        <w:jc w:val="both"/>
        <w:rPr>
          <w:rFonts w:cs="Times New Roman"/>
          <w:noProof/>
        </w:rPr>
      </w:pPr>
      <w:r>
        <w:rPr>
          <w:noProof/>
        </w:rPr>
        <w:t>Vigtige aktioner under programmålet for sundhedsfremme og sygdomsforebyggelse blev samfinansieret af Kommissionen og medlemsstaternes kompetente myndigheder (fælles aktioner). Antallet af deltagere i disse fælles aktioner</w:t>
      </w:r>
      <w:r>
        <w:rPr>
          <w:rStyle w:val="FootnoteReference"/>
          <w:noProof/>
        </w:rPr>
        <w:footnoteReference w:id="17"/>
      </w:r>
      <w:r>
        <w:rPr>
          <w:noProof/>
        </w:rPr>
        <w:t xml:space="preserve"> afspejler medlemsstaternes interesse i at deltage aktivt i fælles initiativer inden for bekæmpelse af tobaksrygning, forebyggelse af hiv/aids, tuberkulose og viral hepatitis samt kroniske sygdomme.</w:t>
      </w:r>
    </w:p>
    <w:p>
      <w:pPr>
        <w:spacing w:line="360" w:lineRule="auto"/>
        <w:jc w:val="both"/>
        <w:rPr>
          <w:rFonts w:cs="Times New Roman"/>
          <w:noProof/>
        </w:rPr>
      </w:pPr>
      <w:r>
        <w:rPr>
          <w:noProof/>
        </w:rPr>
        <w:t>Efter det arbejde, der blev udført i 2015, fortsatte CHAFEA med at investere betydeligt i oplysnings- og formidlingsaktiviteter i tæt samarbejde med GD SANTE og sundhedsprogrammets netværk af nationale kontaktpunkter. CHAFEA arrangerede en række workshopper, samarbejdede om vigtige nationale og internationale konferencer og afholdt enkeltstående arrangementer med nationale myndigheder i EU-landene. Forvaltningsorganet udarbejdede også en række brochurer og informationsark om de vigtigste prioriterede områder i sundhedsprogrammet. Yderligere oplysninger om formidlingsaktiviteter i 2016 findes i arbejdsdokumentet fra Kommissionens tjenestegrene.</w:t>
      </w:r>
    </w:p>
    <w:p>
      <w:pPr>
        <w:spacing w:line="360" w:lineRule="auto"/>
        <w:jc w:val="both"/>
        <w:rPr>
          <w:rFonts w:cs="Times New Roman"/>
          <w:noProof/>
        </w:rPr>
      </w:pPr>
      <w:r>
        <w:rPr>
          <w:noProof/>
        </w:rPr>
        <w:t>For at overvåge gennemførelsen af sundhedsprogrammet vil de fremskridt, der er gjort ifølge CORDA-systemet</w:t>
      </w:r>
      <w:r>
        <w:rPr>
          <w:rStyle w:val="FootnoteReference"/>
          <w:noProof/>
        </w:rPr>
        <w:footnoteReference w:id="18"/>
      </w:r>
      <w:r>
        <w:rPr>
          <w:noProof/>
        </w:rPr>
        <w:t>, blive fulgt op af en analyse af feedbacken om programmets resultater og potentielle virkninger.</w:t>
      </w:r>
    </w:p>
    <w:p>
      <w:pPr>
        <w:spacing w:line="360" w:lineRule="auto"/>
        <w:jc w:val="both"/>
        <w:rPr>
          <w:rFonts w:cs="Times New Roman"/>
          <w:noProof/>
          <w:sz w:val="36"/>
          <w:highlight w:val="yellow"/>
        </w:rPr>
      </w:pPr>
      <w:r>
        <w:rPr>
          <w:noProof/>
        </w:rPr>
        <w:t>Da de fleste aktioner stadig befinder sig i deres tidlige faser, foreligger der endnu ikke konkrete resultater. Der vil først foreligge en dybere forståelse af programmets samlede virkning, når den første generation af samfinansierede aktioner er afsluttet. Ikke desto mindre sikrer den flerårige plan, der blev udarbejdet ved begyndelsen af det tredje sundhedsprogram, kontinuitet og sammenhæng mellem de forskellige typer finansieringsinstrumenter, der er til rådighed. ERN'erne er et klart eksempel, da støtten hertil er blevet optimeret ved at tilpasse udbud (vurdering af leverandører af sundhedstjenester og ERN'er), projekttilskud (til patientregistres arbejde), fælles aktioner (vedrørende sjældne sygdomme og ORPHANET) og specifikke tilskud i henhold til en rammeaftale om partnerskab til koordinering af netværkene.</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993" w:left="1417"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097951"/>
      <w:docPartObj>
        <w:docPartGallery w:val="Page Numbers (Bottom of Page)"/>
        <w:docPartUnique/>
      </w:docPartObj>
    </w:sdtPr>
    <w:sdtEndPr>
      <w:rPr>
        <w:sz w:val="16"/>
      </w:rPr>
    </w:sdtEndPr>
    <w:sdtContent>
      <w:p>
        <w:pPr>
          <w:pStyle w:val="Footer"/>
          <w:jc w:val="right"/>
          <w:rPr>
            <w:sz w:val="16"/>
          </w:rPr>
        </w:pPr>
        <w:r>
          <w:rPr>
            <w:sz w:val="16"/>
          </w:rPr>
          <w:fldChar w:fldCharType="begin"/>
        </w:r>
        <w:r>
          <w:rPr>
            <w:sz w:val="16"/>
          </w:rPr>
          <w:instrText xml:space="preserve"> PAGE   \* MERGEFORMAT </w:instrText>
        </w:r>
        <w:r>
          <w:rPr>
            <w:sz w:val="16"/>
          </w:rPr>
          <w:fldChar w:fldCharType="separate"/>
        </w:r>
        <w:r>
          <w:rPr>
            <w:noProof/>
            <w:sz w:val="16"/>
          </w:rPr>
          <w:t>12</w:t>
        </w:r>
        <w:r>
          <w:rPr>
            <w:sz w:val="16"/>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contextualSpacing/>
        <w:rPr>
          <w:rFonts w:ascii="Times New Roman" w:hAnsi="Times New Roman"/>
          <w:sz w:val="16"/>
        </w:rPr>
      </w:pPr>
      <w:r>
        <w:rPr>
          <w:rStyle w:val="FootnoteReference"/>
          <w:rFonts w:ascii="Times New Roman" w:hAnsi="Times New Roman"/>
          <w:sz w:val="16"/>
        </w:rPr>
        <w:footnoteRef/>
      </w:r>
      <w:r>
        <w:tab/>
      </w:r>
      <w:r>
        <w:rPr>
          <w:rFonts w:ascii="Times New Roman" w:hAnsi="Times New Roman"/>
          <w:sz w:val="16"/>
        </w:rPr>
        <w:t>EUT L 86 af 21.3.2014, s. 1.</w:t>
      </w:r>
    </w:p>
  </w:footnote>
  <w:footnote w:id="2">
    <w:p>
      <w:pPr>
        <w:pStyle w:val="FootnoteText"/>
        <w:spacing w:after="0"/>
        <w:contextualSpacing/>
        <w:rPr>
          <w:rFonts w:ascii="Times New Roman" w:hAnsi="Times New Roman"/>
          <w:sz w:val="16"/>
        </w:rPr>
      </w:pPr>
      <w:r>
        <w:rPr>
          <w:rStyle w:val="FootnoteReference"/>
          <w:rFonts w:ascii="Times New Roman" w:hAnsi="Times New Roman"/>
          <w:sz w:val="16"/>
        </w:rPr>
        <w:footnoteRef/>
      </w:r>
      <w:r>
        <w:tab/>
      </w:r>
      <w:r>
        <w:rPr>
          <w:rFonts w:ascii="Times New Roman" w:hAnsi="Times New Roman"/>
          <w:sz w:val="16"/>
        </w:rPr>
        <w:t>EUT L 301 af 20.11.2007, s. 3.</w:t>
      </w:r>
    </w:p>
  </w:footnote>
  <w:footnote w:id="3">
    <w:p>
      <w:pPr>
        <w:pStyle w:val="FootnoteText"/>
        <w:contextualSpacing/>
        <w:rPr>
          <w:rFonts w:ascii="Times New Roman" w:hAnsi="Times New Roman"/>
          <w:sz w:val="16"/>
        </w:rPr>
      </w:pPr>
      <w:r>
        <w:rPr>
          <w:rStyle w:val="FootnoteReference"/>
          <w:rFonts w:ascii="Times New Roman" w:hAnsi="Times New Roman"/>
          <w:sz w:val="16"/>
        </w:rPr>
        <w:footnoteRef/>
      </w:r>
      <w:r>
        <w:tab/>
      </w:r>
      <w:hyperlink r:id="rId1">
        <w:r>
          <w:rPr>
            <w:rStyle w:val="Hyperlink"/>
          </w:rPr>
          <w:t>http://ec.europa.eu/health/ern/networks_da.</w:t>
        </w:r>
      </w:hyperlink>
    </w:p>
  </w:footnote>
  <w:footnote w:id="4">
    <w:p>
      <w:pPr>
        <w:pStyle w:val="FootnoteText"/>
        <w:contextualSpacing/>
        <w:rPr>
          <w:rFonts w:ascii="Times New Roman" w:hAnsi="Times New Roman"/>
          <w:sz w:val="16"/>
        </w:rPr>
      </w:pPr>
      <w:r>
        <w:rPr>
          <w:rStyle w:val="FootnoteReference"/>
          <w:rFonts w:ascii="Times New Roman" w:hAnsi="Times New Roman"/>
          <w:sz w:val="16"/>
        </w:rPr>
        <w:footnoteRef/>
      </w:r>
      <w:r>
        <w:tab/>
      </w:r>
      <w:r>
        <w:rPr>
          <w:rFonts w:ascii="Times New Roman" w:hAnsi="Times New Roman"/>
          <w:sz w:val="16"/>
        </w:rPr>
        <w:t>EUT L 88 af 4.4.2011, s. 45-65.</w:t>
      </w:r>
    </w:p>
  </w:footnote>
  <w:footnote w:id="5">
    <w:p>
      <w:pPr>
        <w:pStyle w:val="FootnoteText"/>
      </w:pPr>
      <w:r>
        <w:rPr>
          <w:rStyle w:val="FootnoteReference"/>
        </w:rPr>
        <w:footnoteRef/>
      </w:r>
      <w:r>
        <w:tab/>
      </w:r>
      <w:hyperlink r:id="rId2">
        <w:r>
          <w:rPr>
            <w:rStyle w:val="Hyperlink"/>
            <w:rFonts w:ascii="Times New Roman" w:hAnsi="Times New Roman"/>
            <w:sz w:val="16"/>
          </w:rPr>
          <w:t>https://ec.europa.eu/commission/sites/beta-political/files/juncker-political-guidelines-speech_da.pdf.</w:t>
        </w:r>
      </w:hyperlink>
    </w:p>
  </w:footnote>
  <w:footnote w:id="6">
    <w:p>
      <w:pPr>
        <w:pStyle w:val="FootnoteText"/>
      </w:pPr>
      <w:r>
        <w:rPr>
          <w:rStyle w:val="FootnoteReference"/>
        </w:rPr>
        <w:footnoteRef/>
      </w:r>
      <w:r>
        <w:tab/>
      </w:r>
      <w:hyperlink r:id="rId3">
        <w:r>
          <w:rPr>
            <w:rStyle w:val="Hyperlink"/>
            <w:rFonts w:ascii="Times New Roman" w:hAnsi="Times New Roman"/>
            <w:sz w:val="16"/>
          </w:rPr>
          <w:t>https://ec.europa.eu/commission/commissioners/sites/cwt/files/commissioner_mission_letters/andriukaitis_en.pdf.</w:t>
        </w:r>
      </w:hyperlink>
    </w:p>
  </w:footnote>
  <w:footnote w:id="7">
    <w:p>
      <w:pPr>
        <w:pStyle w:val="FootnoteText"/>
        <w:spacing w:after="0"/>
        <w:rPr>
          <w:rFonts w:ascii="Times New Roman" w:hAnsi="Times New Roman"/>
          <w:sz w:val="16"/>
          <w:szCs w:val="16"/>
        </w:rPr>
      </w:pPr>
      <w:r>
        <w:rPr>
          <w:rStyle w:val="FootnoteReference"/>
          <w:rFonts w:ascii="Times New Roman" w:hAnsi="Times New Roman"/>
          <w:sz w:val="16"/>
        </w:rPr>
        <w:footnoteRef/>
      </w:r>
      <w:r>
        <w:tab/>
      </w:r>
      <w:r>
        <w:rPr>
          <w:rFonts w:ascii="Times New Roman" w:hAnsi="Times New Roman"/>
          <w:sz w:val="16"/>
        </w:rPr>
        <w:t>EUT L 88 af 4.4.2011, s. 45-65.</w:t>
      </w:r>
    </w:p>
  </w:footnote>
  <w:footnote w:id="8">
    <w:p>
      <w:pPr>
        <w:pStyle w:val="FootnoteText"/>
        <w:rPr>
          <w:rFonts w:ascii="Times New Roman" w:hAnsi="Times New Roman"/>
          <w:sz w:val="16"/>
          <w:szCs w:val="16"/>
        </w:rPr>
      </w:pPr>
      <w:r>
        <w:rPr>
          <w:rStyle w:val="FootnoteReference"/>
          <w:rFonts w:ascii="Times New Roman" w:hAnsi="Times New Roman"/>
          <w:sz w:val="16"/>
        </w:rPr>
        <w:footnoteRef/>
      </w:r>
      <w:r>
        <w:tab/>
      </w:r>
      <w:r>
        <w:rPr>
          <w:rFonts w:ascii="Times New Roman" w:hAnsi="Times New Roman"/>
          <w:sz w:val="16"/>
        </w:rPr>
        <w:t>EUT L 147 af 17.5.2014, s. 79-87.</w:t>
      </w:r>
    </w:p>
  </w:footnote>
  <w:footnote w:id="9">
    <w:p>
      <w:pPr>
        <w:pStyle w:val="FootnoteText"/>
      </w:pPr>
      <w:r>
        <w:rPr>
          <w:rStyle w:val="FootnoteReference"/>
          <w:rFonts w:ascii="Times New Roman" w:hAnsi="Times New Roman"/>
          <w:sz w:val="16"/>
        </w:rPr>
        <w:footnoteRef/>
      </w:r>
      <w:r>
        <w:tab/>
      </w:r>
      <w:r>
        <w:rPr>
          <w:rFonts w:ascii="Times New Roman" w:hAnsi="Times New Roman"/>
          <w:sz w:val="16"/>
        </w:rPr>
        <w:t>EUT L 147 af 17.5.2014, s. 71-78.</w:t>
      </w:r>
    </w:p>
  </w:footnote>
  <w:footnote w:id="10">
    <w:p>
      <w:pPr>
        <w:pStyle w:val="FootnoteText"/>
        <w:spacing w:after="0"/>
        <w:jc w:val="both"/>
      </w:pPr>
      <w:r>
        <w:rPr>
          <w:rStyle w:val="FootnoteReference"/>
          <w:rFonts w:ascii="Times New Roman" w:hAnsi="Times New Roman"/>
          <w:sz w:val="16"/>
        </w:rPr>
        <w:footnoteRef/>
      </w:r>
      <w:r>
        <w:tab/>
      </w:r>
      <w:r>
        <w:rPr>
          <w:rFonts w:ascii="Times New Roman" w:hAnsi="Times New Roman"/>
          <w:sz w:val="16"/>
        </w:rPr>
        <w:t>I henhold til artikel 12 i direktiv 2011/24/EU om patientrettigheder i forbindelse med grænseoverskridende sundhedsydelser og relevante gennemførelsesforanstaltninger har Europa-Kommissionen – gennem en tjenesteydelseskontrakt forvaltet af CHAFEA – udviklet metoden og de tekniske værktøjer til vurdering af forslagene vedrørende "netværk og sundhedstjenesteydere". Kontrahenten har behandlet alle vurderingstrin fra offentliggørelsen af indkaldelsen af netværk til deres godkendelse, herunder de materialer og metoder, der skal benyttes, og de forventede slutprodukter.</w:t>
      </w:r>
    </w:p>
  </w:footnote>
  <w:footnote w:id="11">
    <w:p>
      <w:pPr>
        <w:pStyle w:val="FootnoteText"/>
        <w:spacing w:after="0"/>
        <w:rPr>
          <w:rFonts w:ascii="Times New Roman" w:hAnsi="Times New Roman"/>
        </w:rPr>
      </w:pPr>
      <w:r>
        <w:rPr>
          <w:rStyle w:val="FootnoteReference"/>
          <w:rFonts w:ascii="Times New Roman" w:hAnsi="Times New Roman"/>
          <w:sz w:val="16"/>
        </w:rPr>
        <w:footnoteRef/>
      </w:r>
      <w:r>
        <w:tab/>
      </w:r>
      <w:r>
        <w:rPr>
          <w:rFonts w:ascii="Times New Roman" w:hAnsi="Times New Roman"/>
          <w:sz w:val="16"/>
        </w:rPr>
        <w:t>Der skal i henhold til arbejdsprogrammet for 2018 ydes et flerårigt tilskud for at dække de sidste 3 års drift af netværkene. Denne EU-finansiering beløber sig til 13 800 000 EUR og løber indtil udgangen af februar 2022.</w:t>
      </w:r>
    </w:p>
  </w:footnote>
  <w:footnote w:id="12">
    <w:p>
      <w:pPr>
        <w:pStyle w:val="FootnoteText"/>
      </w:pPr>
      <w:r>
        <w:rPr>
          <w:rStyle w:val="FootnoteReference"/>
        </w:rPr>
        <w:footnoteRef/>
      </w:r>
      <w:r>
        <w:tab/>
      </w:r>
      <w:r>
        <w:rPr>
          <w:rFonts w:ascii="Times New Roman" w:hAnsi="Times New Roman"/>
          <w:sz w:val="16"/>
        </w:rPr>
        <w:t>Driftstilskud til sårbarhedsnetværket, rammeaftalen om partnerskab 2015-2017.</w:t>
      </w:r>
    </w:p>
  </w:footnote>
  <w:footnote w:id="13">
    <w:p>
      <w:pPr>
        <w:pStyle w:val="FootnoteText"/>
        <w:spacing w:after="0" w:line="240" w:lineRule="auto"/>
        <w:jc w:val="both"/>
        <w:rPr>
          <w:rFonts w:ascii="Times New Roman" w:hAnsi="Times New Roman"/>
          <w:sz w:val="16"/>
        </w:rPr>
      </w:pPr>
      <w:r>
        <w:rPr>
          <w:rStyle w:val="FootnoteReference"/>
          <w:rFonts w:ascii="Times New Roman" w:hAnsi="Times New Roman"/>
          <w:sz w:val="16"/>
        </w:rPr>
        <w:footnoteRef/>
      </w:r>
      <w:r>
        <w:tab/>
      </w:r>
      <w:r>
        <w:rPr>
          <w:rFonts w:ascii="Times New Roman" w:hAnsi="Times New Roman"/>
          <w:sz w:val="16"/>
        </w:rPr>
        <w:t xml:space="preserve">Afgørelse 2004/858/EF af 15. december 2004 (EUT L 369 af 16.12.2004, s. 73) ændret ved afgørelse 2008/544/EF af 20. juni 2008 (EUT L 173 af 3.7.2008, s. 27); fra december 2014 har CHAFEA erstattet Forvaltningsorganet for Sundhed og Forbrugere (PHEA) </w:t>
      </w:r>
      <w:hyperlink r:id="rId4">
        <w:r>
          <w:rPr>
            <w:rStyle w:val="Hyperlink"/>
          </w:rPr>
          <w:t>Kommissionens gennemførelsesafgørelse 2014/927/EU</w:t>
        </w:r>
      </w:hyperlink>
      <w:r>
        <w:rPr>
          <w:rStyle w:val="Hyperlink"/>
          <w:color w:val="auto"/>
          <w:u w:val="none"/>
        </w:rPr>
        <w:t>.</w:t>
      </w:r>
    </w:p>
  </w:footnote>
  <w:footnote w:id="14">
    <w:p>
      <w:pPr>
        <w:pStyle w:val="FootnoteText"/>
      </w:pPr>
      <w:r>
        <w:rPr>
          <w:rStyle w:val="FootnoteReference"/>
          <w:rFonts w:ascii="Times New Roman" w:hAnsi="Times New Roman"/>
          <w:sz w:val="16"/>
        </w:rPr>
        <w:footnoteRef/>
      </w:r>
      <w:r>
        <w:tab/>
      </w:r>
      <w:r>
        <w:rPr>
          <w:rFonts w:ascii="Times New Roman" w:hAnsi="Times New Roman"/>
          <w:sz w:val="16"/>
        </w:rPr>
        <w:t>Kommissionens gennemførelsesafgørelse af 1.3.2016 C (2016) 1158 final.</w:t>
      </w:r>
    </w:p>
  </w:footnote>
  <w:footnote w:id="15">
    <w:p>
      <w:pPr>
        <w:pStyle w:val="FootnoteText"/>
        <w:spacing w:after="0"/>
        <w:rPr>
          <w:rFonts w:ascii="Times New Roman" w:hAnsi="Times New Roman"/>
          <w:sz w:val="16"/>
        </w:rPr>
      </w:pPr>
      <w:r>
        <w:rPr>
          <w:rStyle w:val="FootnoteReference"/>
          <w:rFonts w:ascii="Times New Roman" w:hAnsi="Times New Roman"/>
          <w:sz w:val="16"/>
        </w:rPr>
        <w:footnoteRef/>
      </w:r>
      <w:r>
        <w:tab/>
      </w:r>
      <w:r>
        <w:rPr>
          <w:rFonts w:ascii="Times New Roman" w:hAnsi="Times New Roman"/>
          <w:sz w:val="16"/>
        </w:rPr>
        <w:t>Forskelle mellem de disponible bevillinger, der kun kan anvendes i 2016, og de beløb, der rent faktisk er indgået kontrakt om.</w:t>
      </w:r>
    </w:p>
  </w:footnote>
  <w:footnote w:id="16">
    <w:p>
      <w:pPr>
        <w:pStyle w:val="FootnoteText"/>
        <w:rPr>
          <w:rFonts w:ascii="Times New Roman" w:hAnsi="Times New Roman"/>
          <w:sz w:val="16"/>
        </w:rPr>
      </w:pPr>
      <w:r>
        <w:rPr>
          <w:rStyle w:val="FootnoteReference"/>
          <w:rFonts w:ascii="Times New Roman" w:hAnsi="Times New Roman"/>
          <w:sz w:val="16"/>
        </w:rPr>
        <w:footnoteRef/>
      </w:r>
      <w:r>
        <w:tab/>
      </w:r>
      <w:r>
        <w:rPr>
          <w:rFonts w:ascii="Times New Roman" w:hAnsi="Times New Roman"/>
          <w:sz w:val="16"/>
        </w:rPr>
        <w:t>Disse omfatter ikke kontrakter undertegnet med individuelle eksperter, f.eks. eksperter i videnskabelige udvalg.</w:t>
      </w:r>
    </w:p>
  </w:footnote>
  <w:footnote w:id="17">
    <w:p>
      <w:pPr>
        <w:pStyle w:val="FootnoteText"/>
        <w:spacing w:after="0"/>
        <w:jc w:val="both"/>
        <w:rPr>
          <w:rFonts w:ascii="Times New Roman" w:hAnsi="Times New Roman"/>
          <w:sz w:val="16"/>
          <w:szCs w:val="16"/>
        </w:rPr>
      </w:pPr>
      <w:r>
        <w:rPr>
          <w:rStyle w:val="FootnoteReference"/>
          <w:rFonts w:ascii="Times New Roman" w:hAnsi="Times New Roman"/>
          <w:sz w:val="16"/>
        </w:rPr>
        <w:footnoteRef/>
      </w:r>
      <w:r>
        <w:tab/>
      </w:r>
      <w:r>
        <w:rPr>
          <w:rFonts w:ascii="Times New Roman" w:hAnsi="Times New Roman"/>
          <w:sz w:val="16"/>
        </w:rPr>
        <w:t>I 2016 var der mellem 27 og 44 partnere (støttemodtagere, tilknyttede enheder ikke medregnet) pr. fælles aktion, hvilket var en udfordring for deres overordnede ledelse og koordinering, da alle partnere skulle underskrive tilskudsaftalen.</w:t>
      </w:r>
    </w:p>
  </w:footnote>
  <w:footnote w:id="18">
    <w:p>
      <w:pPr>
        <w:pStyle w:val="FootnoteText"/>
        <w:spacing w:after="0"/>
      </w:pPr>
      <w:r>
        <w:rPr>
          <w:rStyle w:val="FootnoteReference"/>
          <w:rFonts w:ascii="Times New Roman" w:hAnsi="Times New Roman"/>
          <w:sz w:val="16"/>
        </w:rPr>
        <w:footnoteRef/>
      </w:r>
      <w:r>
        <w:tab/>
      </w:r>
      <w:r>
        <w:rPr>
          <w:rFonts w:ascii="Times New Roman" w:hAnsi="Times New Roman"/>
          <w:sz w:val="16"/>
        </w:rPr>
        <w:t>CORDA centraliserer de indsamlede data for alle aktioner, som forvaltes af CHAFEA og overvåges ved brug af elektroniske H2020-værktøjer. Det er gennemført af det fælles støttecenter for forskning og innovation og er den vigtigste kilde til information og giver feedback om gennemførelsen af programmets mål og prioriteringer og om de typer af aktioner og organisationer, der er blevet samfinansieret.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tblLayout w:type="fixed"/>
      <w:tblCellMar>
        <w:left w:w="0" w:type="dxa"/>
        <w:right w:w="0" w:type="dxa"/>
      </w:tblCellMar>
      <w:tblLook w:val="0000" w:firstRow="0" w:lastRow="0" w:firstColumn="0" w:lastColumn="0" w:noHBand="0" w:noVBand="0"/>
    </w:tblPr>
    <w:tblGrid>
      <w:gridCol w:w="9468"/>
    </w:tblGrid>
    <w:tr>
      <w:trPr>
        <w:trHeight w:val="426"/>
      </w:trPr>
      <w:tc>
        <w:tcPr>
          <w:tcW w:w="9468" w:type="dxa"/>
          <w:tcBorders>
            <w:top w:val="nil"/>
            <w:left w:val="nil"/>
            <w:bottom w:val="nil"/>
            <w:right w:val="nil"/>
          </w:tcBorders>
        </w:tcPr>
        <w:p>
          <w:pPr>
            <w:widowControl w:val="0"/>
            <w:autoSpaceDE w:val="0"/>
            <w:autoSpaceDN w:val="0"/>
            <w:spacing w:after="0"/>
            <w:ind w:right="85"/>
            <w:jc w:val="center"/>
            <w:rPr>
              <w:rFonts w:ascii="Arial" w:hAnsi="Arial" w:cs="Arial"/>
              <w:sz w:val="16"/>
              <w:szCs w:val="16"/>
            </w:rPr>
          </w:pPr>
        </w:p>
      </w:tc>
    </w:tr>
  </w:tbl>
  <w:p>
    <w:pPr>
      <w:pStyle w:val="Header"/>
    </w:pPr>
    <w:r>
      <w:object w:dxaOrig="9072" w:dyaOrig="12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5.25pt;height:621pt" o:ole="">
          <v:imagedata r:id="rId1" o:title=""/>
        </v:shape>
        <o:OLEObject Type="Embed" ProgID="Word.Document.12" ShapeID="_x0000_i1026" DrawAspect="Content" ObjectID="_1625914206" r:id="rId2">
          <o:FieldCodes>\s</o:FieldCodes>
        </o:OLEObject>
      </w:obje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09AA66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6FC6470"/>
    <w:lvl w:ilvl="0">
      <w:start w:val="1"/>
      <w:numFmt w:val="decimal"/>
      <w:pStyle w:val="ListNumber3"/>
      <w:lvlText w:val="%1."/>
      <w:lvlJc w:val="left"/>
      <w:pPr>
        <w:tabs>
          <w:tab w:val="num" w:pos="926"/>
        </w:tabs>
        <w:ind w:left="926" w:hanging="360"/>
      </w:pPr>
    </w:lvl>
  </w:abstractNum>
  <w:abstractNum w:abstractNumId="2">
    <w:nsid w:val="FFFFFF7F"/>
    <w:multiLevelType w:val="singleLevel"/>
    <w:tmpl w:val="42A06A8A"/>
    <w:lvl w:ilvl="0">
      <w:start w:val="1"/>
      <w:numFmt w:val="decimal"/>
      <w:pStyle w:val="ListNumber2"/>
      <w:lvlText w:val="%1."/>
      <w:lvlJc w:val="left"/>
      <w:pPr>
        <w:tabs>
          <w:tab w:val="num" w:pos="643"/>
        </w:tabs>
        <w:ind w:left="643" w:hanging="360"/>
      </w:pPr>
    </w:lvl>
  </w:abstractNum>
  <w:abstractNum w:abstractNumId="3">
    <w:nsid w:val="FFFFFF81"/>
    <w:multiLevelType w:val="singleLevel"/>
    <w:tmpl w:val="2F36B92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88CFC5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F8CFFA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1F6387E"/>
    <w:lvl w:ilvl="0">
      <w:start w:val="1"/>
      <w:numFmt w:val="decimal"/>
      <w:pStyle w:val="ListNumber"/>
      <w:lvlText w:val="%1."/>
      <w:lvlJc w:val="left"/>
      <w:pPr>
        <w:tabs>
          <w:tab w:val="num" w:pos="360"/>
        </w:tabs>
        <w:ind w:left="360" w:hanging="360"/>
      </w:pPr>
    </w:lvl>
  </w:abstractNum>
  <w:abstractNum w:abstractNumId="7">
    <w:nsid w:val="FFFFFF89"/>
    <w:multiLevelType w:val="singleLevel"/>
    <w:tmpl w:val="E0329818"/>
    <w:name w:val="0,413154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2DC5A10"/>
    <w:multiLevelType w:val="hybridMultilevel"/>
    <w:tmpl w:val="CB40E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7A91BA6"/>
    <w:multiLevelType w:val="hybridMultilevel"/>
    <w:tmpl w:val="CAFE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7CF4D7F"/>
    <w:multiLevelType w:val="hybridMultilevel"/>
    <w:tmpl w:val="20547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D300D85"/>
    <w:multiLevelType w:val="hybridMultilevel"/>
    <w:tmpl w:val="B16C0F4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D7F713B"/>
    <w:multiLevelType w:val="hybridMultilevel"/>
    <w:tmpl w:val="4CDC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8323A3"/>
    <w:multiLevelType w:val="hybridMultilevel"/>
    <w:tmpl w:val="CBA86206"/>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nsid w:val="128F2C54"/>
    <w:multiLevelType w:val="multilevel"/>
    <w:tmpl w:val="ADECC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6062B06"/>
    <w:multiLevelType w:val="multilevel"/>
    <w:tmpl w:val="7592CA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A741B3C"/>
    <w:multiLevelType w:val="hybridMultilevel"/>
    <w:tmpl w:val="91B68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B3C78B8"/>
    <w:multiLevelType w:val="multilevel"/>
    <w:tmpl w:val="2ED4F4D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nsid w:val="1C5D40E1"/>
    <w:multiLevelType w:val="hybridMultilevel"/>
    <w:tmpl w:val="722C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D4922DC"/>
    <w:multiLevelType w:val="hybridMultilevel"/>
    <w:tmpl w:val="6048F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2320986"/>
    <w:multiLevelType w:val="hybridMultilevel"/>
    <w:tmpl w:val="373A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6A412D5"/>
    <w:multiLevelType w:val="hybridMultilevel"/>
    <w:tmpl w:val="717AE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7132B5D"/>
    <w:multiLevelType w:val="hybridMultilevel"/>
    <w:tmpl w:val="6A6C25E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82419EC"/>
    <w:multiLevelType w:val="hybridMultilevel"/>
    <w:tmpl w:val="3234604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5">
    <w:nsid w:val="2A0967B8"/>
    <w:multiLevelType w:val="multilevel"/>
    <w:tmpl w:val="5178F132"/>
    <w:lvl w:ilvl="0">
      <w:start w:val="1"/>
      <w:numFmt w:val="decimal"/>
      <w:lvlText w:val="%1"/>
      <w:lvlJc w:val="left"/>
      <w:pPr>
        <w:ind w:left="432" w:hanging="432"/>
      </w:pPr>
      <w:rPr>
        <w:b/>
      </w:rPr>
    </w:lvl>
    <w:lvl w:ilvl="1">
      <w:start w:val="1"/>
      <w:numFmt w:val="decimal"/>
      <w:pStyle w:val="Heading2"/>
      <w:lvlText w:val="%2."/>
      <w:lvlJc w:val="left"/>
      <w:pPr>
        <w:ind w:left="860"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2C656211"/>
    <w:multiLevelType w:val="hybridMultilevel"/>
    <w:tmpl w:val="AECAE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9">
    <w:nsid w:val="2F6E5929"/>
    <w:multiLevelType w:val="hybridMultilevel"/>
    <w:tmpl w:val="62B6553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0">
    <w:nsid w:val="32327534"/>
    <w:multiLevelType w:val="hybridMultilevel"/>
    <w:tmpl w:val="4DE8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3545D84"/>
    <w:multiLevelType w:val="hybridMultilevel"/>
    <w:tmpl w:val="D304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5344427"/>
    <w:multiLevelType w:val="hybridMultilevel"/>
    <w:tmpl w:val="C210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84D2CF2"/>
    <w:multiLevelType w:val="multilevel"/>
    <w:tmpl w:val="0AACAD9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AC54519"/>
    <w:multiLevelType w:val="multilevel"/>
    <w:tmpl w:val="19FAF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nsid w:val="42F02C9E"/>
    <w:multiLevelType w:val="hybridMultilevel"/>
    <w:tmpl w:val="B82C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8">
    <w:nsid w:val="44DA2072"/>
    <w:multiLevelType w:val="hybridMultilevel"/>
    <w:tmpl w:val="E39C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0">
    <w:nsid w:val="51B54209"/>
    <w:multiLevelType w:val="hybridMultilevel"/>
    <w:tmpl w:val="145C6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2391591"/>
    <w:multiLevelType w:val="multilevel"/>
    <w:tmpl w:val="C8305900"/>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60"/>
        </w:tabs>
        <w:ind w:left="97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5">
    <w:nsid w:val="5C4B6584"/>
    <w:multiLevelType w:val="multilevel"/>
    <w:tmpl w:val="9B3CC870"/>
    <w:lvl w:ilvl="0">
      <w:start w:val="1"/>
      <w:numFmt w:val="decimal"/>
      <w:lvlText w:val="%1."/>
      <w:lvlJc w:val="left"/>
      <w:pPr>
        <w:tabs>
          <w:tab w:val="num" w:pos="720"/>
        </w:tabs>
        <w:ind w:left="720" w:hanging="360"/>
      </w:pPr>
      <w:rPr>
        <w:rFonts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nsid w:val="64A12FA4"/>
    <w:multiLevelType w:val="multilevel"/>
    <w:tmpl w:val="E9B68C2E"/>
    <w:lvl w:ilvl="0">
      <w:start w:val="1"/>
      <w:numFmt w:val="decimal"/>
      <w:lvlText w:val="%1"/>
      <w:lvlJc w:val="left"/>
      <w:pPr>
        <w:ind w:left="432" w:hanging="432"/>
      </w:pPr>
      <w:rPr>
        <w:b/>
      </w:rPr>
    </w:lvl>
    <w:lvl w:ilvl="1">
      <w:start w:val="1"/>
      <w:numFmt w:val="decimal"/>
      <w:lvlText w:val="%1.%2"/>
      <w:lvlJc w:val="left"/>
      <w:pPr>
        <w:ind w:left="860" w:hanging="576"/>
      </w:pPr>
      <w:rPr>
        <w:color w:val="auto"/>
        <w:sz w:val="24"/>
        <w:szCs w:val="24"/>
      </w:r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nsid w:val="663977AF"/>
    <w:multiLevelType w:val="hybridMultilevel"/>
    <w:tmpl w:val="789A437E"/>
    <w:name w:val="0,8244091"/>
    <w:lvl w:ilvl="0" w:tplc="1F86C700">
      <w:start w:val="1"/>
      <w:numFmt w:val="bullet"/>
      <w:lvlRestart w:val="0"/>
      <w:pStyle w:val="ListDash"/>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670D2527"/>
    <w:multiLevelType w:val="hybridMultilevel"/>
    <w:tmpl w:val="B1349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1">
    <w:nsid w:val="6AB15973"/>
    <w:multiLevelType w:val="multilevel"/>
    <w:tmpl w:val="0AF6C76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F3E6E66"/>
    <w:multiLevelType w:val="hybridMultilevel"/>
    <w:tmpl w:val="1BCA743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3">
    <w:nsid w:val="7C27490B"/>
    <w:multiLevelType w:val="hybridMultilevel"/>
    <w:tmpl w:val="C00A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7"/>
  </w:num>
  <w:num w:numId="2">
    <w:abstractNumId w:val="46"/>
  </w:num>
  <w:num w:numId="3">
    <w:abstractNumId w:val="35"/>
  </w:num>
  <w:num w:numId="4">
    <w:abstractNumId w:val="50"/>
  </w:num>
  <w:num w:numId="5">
    <w:abstractNumId w:val="28"/>
  </w:num>
  <w:num w:numId="6">
    <w:abstractNumId w:val="37"/>
  </w:num>
  <w:num w:numId="7">
    <w:abstractNumId w:val="21"/>
  </w:num>
  <w:num w:numId="8">
    <w:abstractNumId w:val="39"/>
  </w:num>
  <w:num w:numId="9">
    <w:abstractNumId w:val="43"/>
  </w:num>
  <w:num w:numId="10">
    <w:abstractNumId w:val="44"/>
  </w:num>
  <w:num w:numId="11">
    <w:abstractNumId w:val="27"/>
  </w:num>
  <w:num w:numId="12">
    <w:abstractNumId w:val="42"/>
  </w:num>
  <w:num w:numId="13">
    <w:abstractNumId w:val="54"/>
  </w:num>
  <w:num w:numId="14">
    <w:abstractNumId w:val="7"/>
  </w:num>
  <w:num w:numId="15">
    <w:abstractNumId w:val="5"/>
  </w:num>
  <w:num w:numId="16">
    <w:abstractNumId w:val="4"/>
  </w:num>
  <w:num w:numId="17">
    <w:abstractNumId w:val="3"/>
  </w:num>
  <w:num w:numId="18">
    <w:abstractNumId w:val="48"/>
  </w:num>
  <w:num w:numId="19">
    <w:abstractNumId w:val="41"/>
  </w:num>
  <w:num w:numId="20">
    <w:abstractNumId w:val="17"/>
  </w:num>
  <w:num w:numId="21">
    <w:abstractNumId w:val="6"/>
  </w:num>
  <w:num w:numId="22">
    <w:abstractNumId w:val="2"/>
  </w:num>
  <w:num w:numId="23">
    <w:abstractNumId w:val="1"/>
  </w:num>
  <w:num w:numId="24">
    <w:abstractNumId w:val="0"/>
  </w:num>
  <w:num w:numId="25">
    <w:abstractNumId w:val="51"/>
  </w:num>
  <w:num w:numId="26">
    <w:abstractNumId w:val="20"/>
  </w:num>
  <w:num w:numId="27">
    <w:abstractNumId w:val="9"/>
  </w:num>
  <w:num w:numId="28">
    <w:abstractNumId w:val="52"/>
  </w:num>
  <w:num w:numId="29">
    <w:abstractNumId w:val="23"/>
  </w:num>
  <w:num w:numId="30">
    <w:abstractNumId w:val="30"/>
  </w:num>
  <w:num w:numId="31">
    <w:abstractNumId w:val="24"/>
  </w:num>
  <w:num w:numId="32">
    <w:abstractNumId w:val="8"/>
  </w:num>
  <w:num w:numId="33">
    <w:abstractNumId w:val="29"/>
  </w:num>
  <w:num w:numId="34">
    <w:abstractNumId w:val="16"/>
  </w:num>
  <w:num w:numId="35">
    <w:abstractNumId w:val="25"/>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10"/>
  </w:num>
  <w:num w:numId="40">
    <w:abstractNumId w:val="11"/>
  </w:num>
  <w:num w:numId="41">
    <w:abstractNumId w:val="33"/>
  </w:num>
  <w:num w:numId="42">
    <w:abstractNumId w:val="15"/>
  </w:num>
  <w:num w:numId="43">
    <w:abstractNumId w:val="25"/>
  </w:num>
  <w:num w:numId="44">
    <w:abstractNumId w:val="25"/>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26"/>
  </w:num>
  <w:num w:numId="48">
    <w:abstractNumId w:val="14"/>
  </w:num>
  <w:num w:numId="49">
    <w:abstractNumId w:val="45"/>
    <w:lvlOverride w:ilvl="0">
      <w:startOverride w:val="1"/>
    </w:lvlOverride>
    <w:lvlOverride w:ilvl="1"/>
    <w:lvlOverride w:ilvl="2"/>
    <w:lvlOverride w:ilvl="3"/>
    <w:lvlOverride w:ilvl="4"/>
    <w:lvlOverride w:ilvl="5"/>
    <w:lvlOverride w:ilvl="6"/>
    <w:lvlOverride w:ilvl="7"/>
    <w:lvlOverride w:ilvl="8"/>
  </w:num>
  <w:num w:numId="50">
    <w:abstractNumId w:val="13"/>
  </w:num>
  <w:num w:numId="51">
    <w:abstractNumId w:val="38"/>
  </w:num>
  <w:num w:numId="52">
    <w:abstractNumId w:val="18"/>
  </w:num>
  <w:num w:numId="53">
    <w:abstractNumId w:val="49"/>
  </w:num>
  <w:num w:numId="54">
    <w:abstractNumId w:val="31"/>
  </w:num>
  <w:num w:numId="55">
    <w:abstractNumId w:val="40"/>
  </w:num>
  <w:num w:numId="56">
    <w:abstractNumId w:val="36"/>
  </w:num>
  <w:num w:numId="57">
    <w:abstractNumId w:val="53"/>
  </w:num>
  <w:num w:numId="58">
    <w:abstractNumId w:val="32"/>
  </w:num>
  <w:num w:numId="59">
    <w:abstractNumId w:val="12"/>
  </w:num>
  <w:num w:numId="60">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drawingGridHorizontalSpacing w:val="110"/>
  <w:displayHorizontalDrawingGridEvery w:val="2"/>
  <w:characterSpacingControl w:val="doNotCompress"/>
  <w:hdrShapeDefaults>
    <o:shapedefaults v:ext="edit" spidmax="409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2B5BD1C-DB28-4FEC-B572-B852AE37009C"/>
    <w:docVar w:name="LW_COVERPAGE_TYPE" w:val="1"/>
    <w:docVar w:name="LW_CROSSREFERENCE" w:val="{SWD(2019) 316 final}"/>
    <w:docVar w:name="LW_DocType" w:val="NORMAL"/>
    <w:docVar w:name="LW_EMISSION" w:val="5.8.2019"/>
    <w:docVar w:name="LW_EMISSION_ISODATE" w:val="2019-08-05"/>
    <w:docVar w:name="LW_EMISSION_LOCATION" w:val="BRX"/>
    <w:docVar w:name="LW_EMISSION_PREFIX" w:val="Bruxelles, den "/>
    <w:docVar w:name="LW_EMISSION_SUFFIX" w:val=" "/>
    <w:docVar w:name="LW_ID_DOCTYPE_NONLW" w:val="CP-006"/>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9) 3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FMT:Bold&gt;Gennemførelse af tredje EU-handlingsprogram for sundhed i 2016&lt;/FMT&gt;"/>
    <w:docVar w:name="LW_TYPE.DOC.CP" w:val="RAPPORT FRA KOMMISSIONEN TIL EUROPA-PARLAMENTET OG RÅDET"/>
    <w:docVar w:name="Stamp" w:val="\\dossiers.dgt.cec.eu.int\dossiers\SANTE\SANTE-2019-11198\SANTE-2019-11198-00-00-EN-EDT-00.201906021826478571790.DOCX"/>
  </w:docVar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table of figures" w:uiPriority="0"/>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paragraph" w:styleId="Heading1">
    <w:name w:val="heading 1"/>
    <w:basedOn w:val="Normal"/>
    <w:next w:val="Normal"/>
    <w:link w:val="Heading1Char"/>
    <w:qFormat/>
    <w:pPr>
      <w:keepNext/>
      <w:spacing w:before="360" w:after="120" w:line="240" w:lineRule="auto"/>
      <w:jc w:val="both"/>
      <w:outlineLvl w:val="0"/>
    </w:pPr>
    <w:rPr>
      <w:rFonts w:eastAsia="Times New Roman" w:cs="Times New Roman"/>
      <w:b/>
      <w:bCs/>
      <w:kern w:val="32"/>
      <w:sz w:val="32"/>
      <w:szCs w:val="32"/>
    </w:rPr>
  </w:style>
  <w:style w:type="paragraph" w:styleId="Heading2">
    <w:name w:val="heading 2"/>
    <w:basedOn w:val="Normal"/>
    <w:next w:val="Normal"/>
    <w:link w:val="Heading2Char"/>
    <w:qFormat/>
    <w:pPr>
      <w:keepNext/>
      <w:numPr>
        <w:ilvl w:val="1"/>
        <w:numId w:val="35"/>
      </w:numPr>
      <w:spacing w:after="240" w:line="240" w:lineRule="auto"/>
      <w:jc w:val="both"/>
      <w:outlineLvl w:val="1"/>
    </w:pPr>
    <w:rPr>
      <w:rFonts w:eastAsia="Times New Roman" w:cs="Times New Roman"/>
      <w:b/>
      <w:bCs/>
      <w:i/>
      <w:iCs/>
      <w:sz w:val="28"/>
      <w:szCs w:val="28"/>
    </w:rPr>
  </w:style>
  <w:style w:type="paragraph" w:styleId="Heading3">
    <w:name w:val="heading 3"/>
    <w:basedOn w:val="Normal"/>
    <w:next w:val="Normal"/>
    <w:link w:val="Heading3Char"/>
    <w:qFormat/>
    <w:pPr>
      <w:keepNext/>
      <w:numPr>
        <w:ilvl w:val="2"/>
        <w:numId w:val="1"/>
      </w:numPr>
      <w:spacing w:before="120" w:after="120" w:line="240" w:lineRule="auto"/>
      <w:jc w:val="both"/>
      <w:outlineLvl w:val="2"/>
    </w:pPr>
    <w:rPr>
      <w:rFonts w:eastAsia="Times New Roman" w:cs="Times New Roman"/>
      <w:bCs/>
      <w:i/>
      <w:sz w:val="24"/>
      <w:szCs w:val="26"/>
    </w:rPr>
  </w:style>
  <w:style w:type="paragraph" w:styleId="Heading4">
    <w:name w:val="heading 4"/>
    <w:basedOn w:val="Normal"/>
    <w:next w:val="Normal"/>
    <w:link w:val="Heading4Char"/>
    <w:qFormat/>
    <w:pPr>
      <w:keepNext/>
      <w:numPr>
        <w:ilvl w:val="3"/>
        <w:numId w:val="1"/>
      </w:numPr>
      <w:spacing w:before="120" w:after="120" w:line="240" w:lineRule="auto"/>
      <w:jc w:val="both"/>
      <w:outlineLvl w:val="3"/>
    </w:pPr>
    <w:rPr>
      <w:rFonts w:eastAsia="Times New Roman" w:cs="Times New Roman"/>
      <w:bCs/>
      <w:sz w:val="24"/>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mbria" w:eastAsia="Times New Roman"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sz w:val="24"/>
    </w:r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sz w:val="24"/>
    </w:rPr>
  </w:style>
  <w:style w:type="character" w:customStyle="1" w:styleId="HeaderCoverPageChar">
    <w:name w:val="Header Cover Page Char"/>
    <w:basedOn w:val="DefaultParagraphFont"/>
    <w:link w:val="HeaderCoverPage"/>
    <w:rPr>
      <w:rFonts w:ascii="Times New Roman" w:hAnsi="Times New Roman"/>
      <w:sz w:val="24"/>
    </w:rPr>
  </w:style>
  <w:style w:type="character" w:customStyle="1" w:styleId="Heading1Char">
    <w:name w:val="Heading 1 Char"/>
    <w:basedOn w:val="DefaultParagraphFont"/>
    <w:link w:val="Heading1"/>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character" w:customStyle="1" w:styleId="Heading5Char">
    <w:name w:val="Heading 5 Char"/>
    <w:basedOn w:val="DefaultParagraphFont"/>
    <w:link w:val="Heading5"/>
    <w:uiPriority w:val="9"/>
    <w:semiHidden/>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Pr>
      <w:rFonts w:ascii="Calibri" w:eastAsia="Times New Roman" w:hAnsi="Calibri" w:cs="Times New Roman"/>
      <w:b/>
      <w:bCs/>
    </w:rPr>
  </w:style>
  <w:style w:type="character" w:customStyle="1" w:styleId="Heading7Char">
    <w:name w:val="Heading 7 Char"/>
    <w:basedOn w:val="DefaultParagraphFont"/>
    <w:link w:val="Heading7"/>
    <w:uiPriority w:val="9"/>
    <w:semiHidden/>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Pr>
      <w:rFonts w:ascii="Cambria" w:eastAsia="Times New Roman" w:hAnsi="Cambria" w:cs="Times New Roman"/>
    </w:rPr>
  </w:style>
  <w:style w:type="paragraph" w:styleId="TOC1">
    <w:name w:val="toc 1"/>
    <w:basedOn w:val="Normal"/>
    <w:next w:val="Normal"/>
    <w:autoRedefine/>
    <w:uiPriority w:val="39"/>
    <w:unhideWhenUsed/>
    <w:pPr>
      <w:tabs>
        <w:tab w:val="left" w:pos="440"/>
        <w:tab w:val="right" w:leader="dot" w:pos="9063"/>
      </w:tabs>
    </w:pPr>
    <w:rPr>
      <w:rFonts w:eastAsia="Calibri" w:cs="Times New Roman"/>
      <w:noProof/>
      <w:sz w:val="24"/>
      <w:szCs w:val="24"/>
    </w:rPr>
  </w:style>
  <w:style w:type="paragraph" w:styleId="TOC3">
    <w:name w:val="toc 3"/>
    <w:basedOn w:val="Normal"/>
    <w:next w:val="Normal"/>
    <w:autoRedefine/>
    <w:uiPriority w:val="39"/>
    <w:unhideWhenUsed/>
    <w:pPr>
      <w:ind w:left="440"/>
    </w:pPr>
    <w:rPr>
      <w:rFonts w:ascii="Calibri" w:eastAsia="Calibri" w:hAnsi="Calibri" w:cs="Times New Roman"/>
    </w:rPr>
  </w:style>
  <w:style w:type="paragraph" w:styleId="TOC2">
    <w:name w:val="toc 2"/>
    <w:basedOn w:val="Normal"/>
    <w:next w:val="Normal"/>
    <w:autoRedefine/>
    <w:uiPriority w:val="39"/>
    <w:unhideWhenUsed/>
    <w:pPr>
      <w:tabs>
        <w:tab w:val="left" w:pos="880"/>
        <w:tab w:val="right" w:leader="dot" w:pos="9063"/>
      </w:tabs>
      <w:spacing w:after="100"/>
      <w:ind w:left="142"/>
    </w:pPr>
    <w:rPr>
      <w:rFonts w:eastAsia="Arial Unicode MS" w:cs="Times New Roman"/>
      <w:noProof/>
      <w:sz w:val="24"/>
      <w:szCs w:val="24"/>
    </w:rPr>
  </w:style>
  <w:style w:type="paragraph" w:styleId="TOC4">
    <w:name w:val="toc 4"/>
    <w:basedOn w:val="Normal"/>
    <w:next w:val="Normal"/>
    <w:autoRedefine/>
    <w:uiPriority w:val="39"/>
    <w:unhideWhenUsed/>
    <w:pPr>
      <w:spacing w:after="100"/>
      <w:ind w:left="660"/>
    </w:pPr>
    <w:rPr>
      <w:rFonts w:ascii="Calibri" w:eastAsia="Times New Roman" w:hAnsi="Calibri" w:cs="Times New Roman"/>
    </w:rPr>
  </w:style>
  <w:style w:type="paragraph" w:styleId="TOC5">
    <w:name w:val="toc 5"/>
    <w:basedOn w:val="Normal"/>
    <w:next w:val="Normal"/>
    <w:autoRedefine/>
    <w:uiPriority w:val="39"/>
    <w:unhideWhenUsed/>
    <w:pPr>
      <w:spacing w:after="100"/>
      <w:ind w:left="880"/>
    </w:pPr>
    <w:rPr>
      <w:rFonts w:ascii="Calibri" w:eastAsia="Times New Roman" w:hAnsi="Calibri" w:cs="Times New Roman"/>
    </w:rPr>
  </w:style>
  <w:style w:type="paragraph" w:styleId="TOC6">
    <w:name w:val="toc 6"/>
    <w:basedOn w:val="Normal"/>
    <w:next w:val="Normal"/>
    <w:autoRedefine/>
    <w:uiPriority w:val="39"/>
    <w:unhideWhenUsed/>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pPr>
      <w:spacing w:after="100"/>
      <w:ind w:left="1760"/>
    </w:pPr>
    <w:rPr>
      <w:rFonts w:ascii="Calibri" w:eastAsia="Times New Roman" w:hAnsi="Calibri" w:cs="Times New Roman"/>
    </w:rPr>
  </w:style>
  <w:style w:type="character" w:styleId="Hyperlink">
    <w:name w:val="Hyperlink"/>
    <w:uiPriority w:val="99"/>
    <w:unhideWhenUsed/>
    <w:rPr>
      <w:color w:val="0000FF"/>
      <w:u w:val="single"/>
    </w:rPr>
  </w:style>
  <w:style w:type="paragraph" w:styleId="PlainText">
    <w:name w:val="Plain Text"/>
    <w:basedOn w:val="Normal"/>
    <w:link w:val="PlainTextChar"/>
    <w:pPr>
      <w:spacing w:after="24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character" w:styleId="FollowedHyperlink">
    <w:name w:val="FollowedHyperlink"/>
    <w:unhideWhenUsed/>
    <w:rPr>
      <w:color w:val="800080"/>
      <w:u w:val="single"/>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nhideWhenUsed/>
    <w:rPr>
      <w:rFonts w:ascii="Calibri" w:eastAsia="Calibri" w:hAnsi="Calibri" w:cs="Times New Roman"/>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Calibri" w:eastAsia="Calibri" w:hAnsi="Calibri" w:cs="Times New Roman"/>
      <w:b/>
      <w:bCs/>
      <w:sz w:val="20"/>
      <w:szCs w:val="20"/>
    </w:rPr>
  </w:style>
  <w:style w:type="paragraph" w:styleId="BalloonText">
    <w:name w:val="Balloon Text"/>
    <w:basedOn w:val="Normal"/>
    <w:link w:val="BalloonTextChar"/>
    <w:uiPriority w:val="99"/>
    <w:unhideWhenUse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paragraph" w:styleId="FootnoteText">
    <w:name w:val="footnote text"/>
    <w:basedOn w:val="Normal"/>
    <w:semiHidden/>
    <w:unhideWhenUsed/>
    <w:rPr>
      <w:rFonts w:ascii="Calibri" w:eastAsia="Calibri" w:hAnsi="Calibri" w:cs="Times New Roman"/>
      <w:sz w:val="20"/>
      <w:szCs w:val="20"/>
    </w:rPr>
  </w:style>
  <w:style w:type="character" w:customStyle="1" w:styleId="FootnoteTextChar">
    <w:name w:val="Footnote Text Char"/>
    <w:basedOn w:val="DefaultParagraphFont"/>
    <w:semiHidden/>
    <w:rPr>
      <w:rFonts w:ascii="Calibri" w:eastAsia="Calibri" w:hAnsi="Calibri" w:cs="Times New Roman"/>
      <w:sz w:val="20"/>
      <w:szCs w:val="20"/>
    </w:rPr>
  </w:style>
  <w:style w:type="character" w:styleId="FootnoteReference">
    <w:name w:val="footnote reference"/>
    <w:aliases w:val="Footnote symbol,Footnote,Voetnootverwijzing,Times 10 Point,Exposant 3 Point,Appel note de bas de p,BVI fnr,Footnote Refernece,Fußnotenzeichen_Raxen,callout,Footnote Reference Number,SUPERS,Footnote reference number,note TESI,fr,o"/>
    <w:unhideWhenUsed/>
    <w:rPr>
      <w:vertAlign w:val="superscript"/>
    </w:rPr>
  </w:style>
  <w:style w:type="paragraph" w:customStyle="1" w:styleId="HeaderLandscape">
    <w:name w:val="HeaderLandscape"/>
    <w:basedOn w:val="Normal"/>
    <w:pPr>
      <w:tabs>
        <w:tab w:val="center" w:pos="7285"/>
        <w:tab w:val="right" w:pos="14003"/>
      </w:tabs>
      <w:spacing w:after="120" w:line="240" w:lineRule="auto"/>
      <w:jc w:val="both"/>
    </w:pPr>
    <w:rPr>
      <w:rFonts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cs="Times New Roman"/>
      <w:sz w:val="24"/>
    </w:rPr>
  </w:style>
  <w:style w:type="paragraph" w:customStyle="1" w:styleId="Text1">
    <w:name w:val="Text 1"/>
    <w:basedOn w:val="Normal"/>
    <w:pPr>
      <w:spacing w:before="120" w:after="120" w:line="240" w:lineRule="auto"/>
      <w:ind w:left="850"/>
      <w:jc w:val="both"/>
    </w:pPr>
    <w:rPr>
      <w:rFonts w:eastAsia="Times New Roman" w:cs="Times New Roman"/>
      <w:sz w:val="24"/>
      <w:szCs w:val="24"/>
    </w:rPr>
  </w:style>
  <w:style w:type="paragraph" w:customStyle="1" w:styleId="Text2">
    <w:name w:val="Text 2"/>
    <w:basedOn w:val="Normal"/>
    <w:pPr>
      <w:spacing w:before="120" w:after="120" w:line="240" w:lineRule="auto"/>
      <w:ind w:left="1417"/>
      <w:jc w:val="both"/>
    </w:pPr>
    <w:rPr>
      <w:rFonts w:eastAsia="Times New Roman" w:cs="Times New Roman"/>
      <w:sz w:val="24"/>
      <w:szCs w:val="24"/>
    </w:rPr>
  </w:style>
  <w:style w:type="paragraph" w:customStyle="1" w:styleId="Text3">
    <w:name w:val="Text 3"/>
    <w:basedOn w:val="Normal"/>
    <w:pPr>
      <w:spacing w:before="120" w:after="120" w:line="240" w:lineRule="auto"/>
      <w:ind w:left="1984"/>
      <w:jc w:val="both"/>
    </w:pPr>
    <w:rPr>
      <w:rFonts w:eastAsia="Times New Roman" w:cs="Times New Roman"/>
      <w:sz w:val="24"/>
      <w:szCs w:val="24"/>
    </w:rPr>
  </w:style>
  <w:style w:type="paragraph" w:customStyle="1" w:styleId="Text4">
    <w:name w:val="Text 4"/>
    <w:basedOn w:val="Normal"/>
    <w:pPr>
      <w:spacing w:before="120" w:after="120" w:line="240" w:lineRule="auto"/>
      <w:ind w:left="2551"/>
      <w:jc w:val="both"/>
    </w:pPr>
    <w:rPr>
      <w:rFonts w:eastAsia="Times New Roman" w:cs="Times New Roman"/>
      <w:sz w:val="24"/>
      <w:szCs w:val="24"/>
    </w:rPr>
  </w:style>
  <w:style w:type="paragraph" w:customStyle="1" w:styleId="NormalCentered">
    <w:name w:val="Normal Centered"/>
    <w:basedOn w:val="Normal"/>
    <w:pPr>
      <w:spacing w:before="120" w:after="120" w:line="240" w:lineRule="auto"/>
      <w:jc w:val="center"/>
    </w:pPr>
    <w:rPr>
      <w:rFonts w:eastAsia="Times New Roman" w:cs="Times New Roman"/>
      <w:sz w:val="24"/>
      <w:szCs w:val="24"/>
    </w:rPr>
  </w:style>
  <w:style w:type="paragraph" w:customStyle="1" w:styleId="NormalLeft">
    <w:name w:val="Normal Left"/>
    <w:basedOn w:val="Normal"/>
    <w:pPr>
      <w:spacing w:before="120" w:after="120" w:line="240" w:lineRule="auto"/>
    </w:pPr>
    <w:rPr>
      <w:rFonts w:eastAsia="Times New Roman" w:cs="Times New Roman"/>
      <w:sz w:val="24"/>
      <w:szCs w:val="24"/>
    </w:rPr>
  </w:style>
  <w:style w:type="paragraph" w:customStyle="1" w:styleId="NormalRight">
    <w:name w:val="Normal Right"/>
    <w:basedOn w:val="Normal"/>
    <w:pPr>
      <w:spacing w:before="120" w:after="120" w:line="240" w:lineRule="auto"/>
      <w:jc w:val="right"/>
    </w:pPr>
    <w:rPr>
      <w:rFonts w:eastAsia="Times New Roman" w:cs="Times New Roman"/>
      <w:sz w:val="24"/>
      <w:szCs w:val="24"/>
    </w:rPr>
  </w:style>
  <w:style w:type="paragraph" w:customStyle="1" w:styleId="QuotedText">
    <w:name w:val="Quoted Text"/>
    <w:basedOn w:val="Normal"/>
    <w:pPr>
      <w:spacing w:before="120" w:after="120" w:line="240" w:lineRule="auto"/>
      <w:ind w:left="1417"/>
      <w:jc w:val="both"/>
    </w:pPr>
    <w:rPr>
      <w:rFonts w:eastAsia="Times New Roman" w:cs="Times New Roman"/>
      <w:sz w:val="24"/>
      <w:szCs w:val="24"/>
    </w:rPr>
  </w:style>
  <w:style w:type="paragraph" w:customStyle="1" w:styleId="Point0">
    <w:name w:val="Point 0"/>
    <w:basedOn w:val="Normal"/>
    <w:pPr>
      <w:spacing w:before="120" w:after="120" w:line="240" w:lineRule="auto"/>
      <w:ind w:left="850" w:hanging="850"/>
      <w:jc w:val="both"/>
    </w:pPr>
    <w:rPr>
      <w:rFonts w:eastAsia="Times New Roman" w:cs="Times New Roman"/>
      <w:sz w:val="24"/>
      <w:szCs w:val="24"/>
    </w:rPr>
  </w:style>
  <w:style w:type="paragraph" w:customStyle="1" w:styleId="Point1">
    <w:name w:val="Point 1"/>
    <w:basedOn w:val="Normal"/>
    <w:pPr>
      <w:spacing w:before="120" w:after="120" w:line="240" w:lineRule="auto"/>
      <w:ind w:left="1417" w:hanging="567"/>
      <w:jc w:val="both"/>
    </w:pPr>
    <w:rPr>
      <w:rFonts w:eastAsia="Times New Roman" w:cs="Times New Roman"/>
      <w:sz w:val="24"/>
      <w:szCs w:val="24"/>
    </w:rPr>
  </w:style>
  <w:style w:type="paragraph" w:customStyle="1" w:styleId="Point2">
    <w:name w:val="Point 2"/>
    <w:basedOn w:val="Normal"/>
    <w:pPr>
      <w:spacing w:before="120" w:after="120" w:line="240" w:lineRule="auto"/>
      <w:ind w:left="1984" w:hanging="567"/>
      <w:jc w:val="both"/>
    </w:pPr>
    <w:rPr>
      <w:rFonts w:eastAsia="Times New Roman" w:cs="Times New Roman"/>
      <w:sz w:val="24"/>
      <w:szCs w:val="24"/>
    </w:rPr>
  </w:style>
  <w:style w:type="paragraph" w:customStyle="1" w:styleId="Point3">
    <w:name w:val="Point 3"/>
    <w:basedOn w:val="Normal"/>
    <w:pPr>
      <w:spacing w:before="120" w:after="120" w:line="240" w:lineRule="auto"/>
      <w:ind w:left="2551" w:hanging="567"/>
      <w:jc w:val="both"/>
    </w:pPr>
    <w:rPr>
      <w:rFonts w:eastAsia="Times New Roman" w:cs="Times New Roman"/>
      <w:sz w:val="24"/>
      <w:szCs w:val="24"/>
    </w:rPr>
  </w:style>
  <w:style w:type="paragraph" w:customStyle="1" w:styleId="Point4">
    <w:name w:val="Point 4"/>
    <w:basedOn w:val="Normal"/>
    <w:pPr>
      <w:spacing w:before="120" w:after="120" w:line="240" w:lineRule="auto"/>
      <w:ind w:left="3118" w:hanging="567"/>
      <w:jc w:val="both"/>
    </w:pPr>
    <w:rPr>
      <w:rFonts w:eastAsia="Times New Roman" w:cs="Times New Roman"/>
      <w:sz w:val="24"/>
      <w:szCs w:val="24"/>
    </w:rPr>
  </w:style>
  <w:style w:type="paragraph" w:customStyle="1" w:styleId="Tiret0">
    <w:name w:val="Tiret 0"/>
    <w:basedOn w:val="Point0"/>
    <w:pPr>
      <w:numPr>
        <w:numId w:val="2"/>
      </w:numPr>
    </w:pPr>
  </w:style>
  <w:style w:type="paragraph" w:customStyle="1" w:styleId="Tiret1">
    <w:name w:val="Tiret 1"/>
    <w:basedOn w:val="Point1"/>
    <w:pPr>
      <w:numPr>
        <w:numId w:val="3"/>
      </w:numPr>
    </w:pPr>
  </w:style>
  <w:style w:type="paragraph" w:customStyle="1" w:styleId="Tiret2">
    <w:name w:val="Tiret 2"/>
    <w:basedOn w:val="Point2"/>
    <w:pPr>
      <w:numPr>
        <w:numId w:val="4"/>
      </w:numPr>
    </w:pPr>
  </w:style>
  <w:style w:type="paragraph" w:customStyle="1" w:styleId="Tiret3">
    <w:name w:val="Tiret 3"/>
    <w:basedOn w:val="Point3"/>
    <w:pPr>
      <w:numPr>
        <w:numId w:val="5"/>
      </w:numPr>
    </w:pPr>
  </w:style>
  <w:style w:type="paragraph" w:customStyle="1" w:styleId="Tiret4">
    <w:name w:val="Tiret 4"/>
    <w:basedOn w:val="Point4"/>
    <w:pPr>
      <w:numPr>
        <w:numId w:val="6"/>
      </w:numPr>
    </w:pPr>
  </w:style>
  <w:style w:type="paragraph" w:customStyle="1" w:styleId="PointDouble0">
    <w:name w:val="PointDouble 0"/>
    <w:basedOn w:val="Normal"/>
    <w:pPr>
      <w:tabs>
        <w:tab w:val="left" w:pos="850"/>
      </w:tabs>
      <w:spacing w:before="120" w:after="120" w:line="240" w:lineRule="auto"/>
      <w:ind w:left="1417" w:hanging="1417"/>
      <w:jc w:val="both"/>
    </w:pPr>
    <w:rPr>
      <w:rFonts w:eastAsia="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eastAsia="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eastAsia="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eastAsia="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eastAsia="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eastAsia="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eastAsia="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eastAsia="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eastAsia="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eastAsia="Times New Roman" w:cs="Times New Roman"/>
      <w:sz w:val="24"/>
      <w:szCs w:val="24"/>
    </w:rPr>
  </w:style>
  <w:style w:type="paragraph" w:customStyle="1" w:styleId="NumPar1">
    <w:name w:val="NumPar 1"/>
    <w:basedOn w:val="Normal"/>
    <w:next w:val="Text1"/>
    <w:pPr>
      <w:numPr>
        <w:numId w:val="7"/>
      </w:numPr>
      <w:spacing w:before="120" w:after="120" w:line="240" w:lineRule="auto"/>
      <w:jc w:val="both"/>
    </w:pPr>
    <w:rPr>
      <w:rFonts w:eastAsia="Times New Roman" w:cs="Times New Roman"/>
      <w:sz w:val="24"/>
      <w:szCs w:val="24"/>
    </w:rPr>
  </w:style>
  <w:style w:type="paragraph" w:customStyle="1" w:styleId="NumPar2">
    <w:name w:val="NumPar 2"/>
    <w:basedOn w:val="Normal"/>
    <w:next w:val="Text1"/>
    <w:pPr>
      <w:numPr>
        <w:ilvl w:val="1"/>
        <w:numId w:val="7"/>
      </w:numPr>
      <w:spacing w:before="120" w:after="120" w:line="240" w:lineRule="auto"/>
      <w:jc w:val="both"/>
    </w:pPr>
    <w:rPr>
      <w:rFonts w:eastAsia="Times New Roman" w:cs="Times New Roman"/>
      <w:sz w:val="24"/>
      <w:szCs w:val="24"/>
    </w:rPr>
  </w:style>
  <w:style w:type="paragraph" w:customStyle="1" w:styleId="NumPar3">
    <w:name w:val="NumPar 3"/>
    <w:basedOn w:val="Normal"/>
    <w:next w:val="Text1"/>
    <w:pPr>
      <w:numPr>
        <w:ilvl w:val="2"/>
        <w:numId w:val="7"/>
      </w:numPr>
      <w:spacing w:before="120" w:after="120" w:line="240" w:lineRule="auto"/>
      <w:jc w:val="both"/>
    </w:pPr>
    <w:rPr>
      <w:rFonts w:eastAsia="Times New Roman" w:cs="Times New Roman"/>
      <w:sz w:val="24"/>
      <w:szCs w:val="24"/>
    </w:rPr>
  </w:style>
  <w:style w:type="paragraph" w:customStyle="1" w:styleId="NumPar4">
    <w:name w:val="NumPar 4"/>
    <w:basedOn w:val="Normal"/>
    <w:next w:val="Text1"/>
    <w:pPr>
      <w:numPr>
        <w:ilvl w:val="3"/>
        <w:numId w:val="7"/>
      </w:numPr>
      <w:spacing w:before="120" w:after="120" w:line="240" w:lineRule="auto"/>
      <w:jc w:val="both"/>
    </w:pPr>
    <w:rPr>
      <w:rFonts w:eastAsia="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eastAsia="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eastAsia="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eastAsia="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eastAsia="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eastAsia="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eastAsia="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eastAsia="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eastAsia="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eastAsia="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eastAsia="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eastAsia="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eastAsia="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eastAsia="Times New Roman" w:cs="Times New Roman"/>
      <w:b/>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uiPriority w:val="39"/>
    <w:qFormat/>
    <w:pPr>
      <w:spacing w:before="120" w:after="240" w:line="240" w:lineRule="auto"/>
    </w:pPr>
    <w:rPr>
      <w:rFonts w:eastAsia="Times New Roman" w:cs="Times New Roman"/>
      <w:b/>
      <w:sz w:val="28"/>
      <w:szCs w:val="24"/>
    </w:rPr>
  </w:style>
  <w:style w:type="paragraph" w:customStyle="1" w:styleId="Point0number">
    <w:name w:val="Point 0 (number)"/>
    <w:basedOn w:val="Normal"/>
    <w:pPr>
      <w:numPr>
        <w:numId w:val="20"/>
      </w:numPr>
      <w:spacing w:before="120" w:after="120" w:line="240" w:lineRule="auto"/>
      <w:jc w:val="both"/>
    </w:pPr>
    <w:rPr>
      <w:rFonts w:eastAsia="Times New Roman" w:cs="Times New Roman"/>
      <w:sz w:val="24"/>
      <w:szCs w:val="24"/>
    </w:rPr>
  </w:style>
  <w:style w:type="paragraph" w:customStyle="1" w:styleId="Point1number">
    <w:name w:val="Point 1 (number)"/>
    <w:basedOn w:val="Normal"/>
    <w:pPr>
      <w:numPr>
        <w:ilvl w:val="2"/>
        <w:numId w:val="20"/>
      </w:numPr>
      <w:spacing w:before="120" w:after="120" w:line="240" w:lineRule="auto"/>
      <w:jc w:val="both"/>
    </w:pPr>
    <w:rPr>
      <w:rFonts w:eastAsia="Times New Roman" w:cs="Times New Roman"/>
      <w:sz w:val="24"/>
      <w:szCs w:val="24"/>
    </w:rPr>
  </w:style>
  <w:style w:type="paragraph" w:customStyle="1" w:styleId="Point2number">
    <w:name w:val="Point 2 (number)"/>
    <w:basedOn w:val="Normal"/>
    <w:pPr>
      <w:numPr>
        <w:ilvl w:val="4"/>
        <w:numId w:val="20"/>
      </w:numPr>
      <w:spacing w:before="120" w:after="120" w:line="240" w:lineRule="auto"/>
      <w:jc w:val="both"/>
    </w:pPr>
    <w:rPr>
      <w:rFonts w:eastAsia="Times New Roman" w:cs="Times New Roman"/>
      <w:sz w:val="24"/>
      <w:szCs w:val="24"/>
    </w:rPr>
  </w:style>
  <w:style w:type="paragraph" w:customStyle="1" w:styleId="Point3number">
    <w:name w:val="Point 3 (number)"/>
    <w:basedOn w:val="Normal"/>
    <w:pPr>
      <w:numPr>
        <w:ilvl w:val="6"/>
        <w:numId w:val="20"/>
      </w:numPr>
      <w:spacing w:before="120" w:after="120" w:line="240" w:lineRule="auto"/>
      <w:jc w:val="both"/>
    </w:pPr>
    <w:rPr>
      <w:rFonts w:eastAsia="Times New Roman" w:cs="Times New Roman"/>
      <w:sz w:val="24"/>
      <w:szCs w:val="24"/>
    </w:rPr>
  </w:style>
  <w:style w:type="paragraph" w:customStyle="1" w:styleId="Point0letter">
    <w:name w:val="Point 0 (letter)"/>
    <w:basedOn w:val="Normal"/>
    <w:pPr>
      <w:numPr>
        <w:ilvl w:val="1"/>
        <w:numId w:val="20"/>
      </w:numPr>
      <w:spacing w:before="120" w:after="120" w:line="240" w:lineRule="auto"/>
      <w:jc w:val="both"/>
    </w:pPr>
    <w:rPr>
      <w:rFonts w:eastAsia="Times New Roman" w:cs="Times New Roman"/>
      <w:sz w:val="24"/>
      <w:szCs w:val="24"/>
    </w:rPr>
  </w:style>
  <w:style w:type="paragraph" w:customStyle="1" w:styleId="Point1letter">
    <w:name w:val="Point 1 (letter)"/>
    <w:basedOn w:val="Normal"/>
    <w:pPr>
      <w:numPr>
        <w:ilvl w:val="3"/>
        <w:numId w:val="20"/>
      </w:numPr>
      <w:spacing w:before="120" w:after="120" w:line="240" w:lineRule="auto"/>
      <w:jc w:val="both"/>
    </w:pPr>
    <w:rPr>
      <w:rFonts w:eastAsia="Times New Roman" w:cs="Times New Roman"/>
      <w:sz w:val="24"/>
      <w:szCs w:val="24"/>
    </w:rPr>
  </w:style>
  <w:style w:type="paragraph" w:customStyle="1" w:styleId="Point2letter">
    <w:name w:val="Point 2 (letter)"/>
    <w:basedOn w:val="Normal"/>
    <w:pPr>
      <w:numPr>
        <w:ilvl w:val="5"/>
        <w:numId w:val="20"/>
      </w:numPr>
      <w:spacing w:before="120" w:after="120" w:line="240" w:lineRule="auto"/>
      <w:jc w:val="both"/>
    </w:pPr>
    <w:rPr>
      <w:rFonts w:eastAsia="Times New Roman" w:cs="Times New Roman"/>
      <w:sz w:val="24"/>
      <w:szCs w:val="24"/>
    </w:rPr>
  </w:style>
  <w:style w:type="paragraph" w:customStyle="1" w:styleId="Point3letter">
    <w:name w:val="Point 3 (letter)"/>
    <w:basedOn w:val="Normal"/>
    <w:pPr>
      <w:numPr>
        <w:ilvl w:val="7"/>
        <w:numId w:val="20"/>
      </w:numPr>
      <w:spacing w:before="120" w:after="120" w:line="240" w:lineRule="auto"/>
      <w:jc w:val="both"/>
    </w:pPr>
    <w:rPr>
      <w:rFonts w:eastAsia="Times New Roman" w:cs="Times New Roman"/>
      <w:sz w:val="24"/>
      <w:szCs w:val="24"/>
    </w:rPr>
  </w:style>
  <w:style w:type="paragraph" w:customStyle="1" w:styleId="Point4letter">
    <w:name w:val="Point 4 (letter)"/>
    <w:basedOn w:val="Normal"/>
    <w:pPr>
      <w:numPr>
        <w:ilvl w:val="8"/>
        <w:numId w:val="20"/>
      </w:numPr>
      <w:spacing w:before="120" w:after="120" w:line="240" w:lineRule="auto"/>
      <w:jc w:val="both"/>
    </w:pPr>
    <w:rPr>
      <w:rFonts w:eastAsia="Times New Roman" w:cs="Times New Roman"/>
      <w:sz w:val="24"/>
      <w:szCs w:val="24"/>
    </w:rPr>
  </w:style>
  <w:style w:type="paragraph" w:customStyle="1" w:styleId="Bullet0">
    <w:name w:val="Bullet 0"/>
    <w:basedOn w:val="Normal"/>
    <w:pPr>
      <w:numPr>
        <w:numId w:val="8"/>
      </w:numPr>
      <w:spacing w:before="120" w:after="120" w:line="240" w:lineRule="auto"/>
      <w:jc w:val="both"/>
    </w:pPr>
    <w:rPr>
      <w:rFonts w:eastAsia="Times New Roman" w:cs="Times New Roman"/>
      <w:sz w:val="24"/>
      <w:szCs w:val="24"/>
    </w:rPr>
  </w:style>
  <w:style w:type="paragraph" w:customStyle="1" w:styleId="Bullet1">
    <w:name w:val="Bullet 1"/>
    <w:basedOn w:val="Normal"/>
    <w:pPr>
      <w:numPr>
        <w:numId w:val="9"/>
      </w:numPr>
      <w:spacing w:before="120" w:after="120" w:line="240" w:lineRule="auto"/>
      <w:jc w:val="both"/>
    </w:pPr>
    <w:rPr>
      <w:rFonts w:eastAsia="Times New Roman" w:cs="Times New Roman"/>
      <w:sz w:val="24"/>
      <w:szCs w:val="24"/>
    </w:rPr>
  </w:style>
  <w:style w:type="paragraph" w:customStyle="1" w:styleId="Bullet2">
    <w:name w:val="Bullet 2"/>
    <w:basedOn w:val="Normal"/>
    <w:pPr>
      <w:numPr>
        <w:numId w:val="10"/>
      </w:numPr>
      <w:spacing w:before="120" w:after="120" w:line="240" w:lineRule="auto"/>
      <w:jc w:val="both"/>
    </w:pPr>
    <w:rPr>
      <w:rFonts w:eastAsia="Times New Roman" w:cs="Times New Roman"/>
      <w:sz w:val="24"/>
      <w:szCs w:val="24"/>
    </w:rPr>
  </w:style>
  <w:style w:type="paragraph" w:customStyle="1" w:styleId="Bullet3">
    <w:name w:val="Bullet 3"/>
    <w:basedOn w:val="Normal"/>
    <w:pPr>
      <w:numPr>
        <w:numId w:val="11"/>
      </w:numPr>
      <w:spacing w:before="120" w:after="120" w:line="240" w:lineRule="auto"/>
      <w:jc w:val="both"/>
    </w:pPr>
    <w:rPr>
      <w:rFonts w:eastAsia="Times New Roman" w:cs="Times New Roman"/>
      <w:sz w:val="24"/>
      <w:szCs w:val="24"/>
    </w:rPr>
  </w:style>
  <w:style w:type="paragraph" w:customStyle="1" w:styleId="Bullet4">
    <w:name w:val="Bullet 4"/>
    <w:basedOn w:val="Normal"/>
    <w:pPr>
      <w:numPr>
        <w:numId w:val="12"/>
      </w:numPr>
      <w:spacing w:before="120" w:after="120" w:line="240" w:lineRule="auto"/>
      <w:jc w:val="both"/>
    </w:pPr>
    <w:rPr>
      <w:rFonts w:eastAsia="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eastAsia="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eastAsia="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eastAsia="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eastAsia="Times New Roman" w:cs="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eastAsia="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eastAsia="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eastAsia="Times New Roman" w:cs="Times New Roman"/>
      <w:i/>
      <w:sz w:val="32"/>
      <w:szCs w:val="24"/>
    </w:rPr>
  </w:style>
  <w:style w:type="paragraph" w:customStyle="1" w:styleId="Considrant">
    <w:name w:val="Considérant"/>
    <w:basedOn w:val="Normal"/>
    <w:pPr>
      <w:numPr>
        <w:numId w:val="13"/>
      </w:numPr>
      <w:spacing w:before="120" w:after="120" w:line="240" w:lineRule="auto"/>
      <w:jc w:val="both"/>
    </w:pPr>
    <w:rPr>
      <w:rFonts w:eastAsia="Times New Roman" w:cs="Times New Roman"/>
      <w:sz w:val="24"/>
      <w:szCs w:val="24"/>
    </w:rPr>
  </w:style>
  <w:style w:type="paragraph" w:customStyle="1" w:styleId="Corrigendum">
    <w:name w:val="Corrigendum"/>
    <w:basedOn w:val="Normal"/>
    <w:next w:val="Normal"/>
    <w:pPr>
      <w:spacing w:after="240" w:line="240" w:lineRule="auto"/>
    </w:pPr>
    <w:rPr>
      <w:rFonts w:eastAsia="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eastAsia="Times New Roman" w:cs="Times New Roman"/>
      <w:b/>
      <w:sz w:val="24"/>
      <w:szCs w:val="24"/>
    </w:rPr>
  </w:style>
  <w:style w:type="paragraph" w:customStyle="1" w:styleId="Emission">
    <w:name w:val="Emission"/>
    <w:basedOn w:val="Normal"/>
    <w:next w:val="Rfrenceinstitutionnelle"/>
    <w:pPr>
      <w:spacing w:after="0" w:line="240" w:lineRule="auto"/>
      <w:ind w:left="5103"/>
    </w:pPr>
    <w:rPr>
      <w:rFonts w:eastAsia="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eastAsia="Times New Roman" w:cs="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eastAsia="Times New Roman" w:cs="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eastAsia="Times New Roman" w:cs="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eastAsia="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eastAsia="Times New Roman" w:cs="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eastAsia="Times New Roman" w:cs="Times New Roman"/>
      <w:b/>
      <w:caps/>
      <w:sz w:val="24"/>
      <w:szCs w:val="24"/>
    </w:rPr>
  </w:style>
  <w:style w:type="paragraph" w:customStyle="1" w:styleId="ManualConsidrant">
    <w:name w:val="Manual Considérant"/>
    <w:basedOn w:val="Normal"/>
    <w:pPr>
      <w:spacing w:before="120" w:after="120" w:line="240" w:lineRule="auto"/>
      <w:ind w:left="709" w:hanging="709"/>
      <w:jc w:val="both"/>
    </w:pPr>
    <w:rPr>
      <w:rFonts w:eastAsia="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pPr>
      <w:tabs>
        <w:tab w:val="left" w:pos="4252"/>
      </w:tabs>
      <w:spacing w:after="0" w:line="240" w:lineRule="auto"/>
    </w:pPr>
    <w:rPr>
      <w:rFonts w:eastAsia="Times New Roman" w:cs="Times New Roman"/>
      <w:i/>
      <w:sz w:val="24"/>
      <w:szCs w:val="24"/>
    </w:rPr>
  </w:style>
  <w:style w:type="paragraph" w:customStyle="1" w:styleId="Rfrenceinstitutionnelle">
    <w:name w:val="Référence institutionnelle"/>
    <w:basedOn w:val="Normal"/>
    <w:next w:val="Confidentialit"/>
    <w:pPr>
      <w:spacing w:after="240" w:line="240" w:lineRule="auto"/>
      <w:ind w:left="5103"/>
    </w:pPr>
    <w:rPr>
      <w:rFonts w:eastAsia="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eastAsia="Times New Roman" w:cs="Times New Roman"/>
      <w:sz w:val="24"/>
      <w:szCs w:val="24"/>
    </w:rPr>
  </w:style>
  <w:style w:type="paragraph" w:customStyle="1" w:styleId="Rfrenceinterne">
    <w:name w:val="Référence interne"/>
    <w:basedOn w:val="Normal"/>
    <w:next w:val="Rfrenceinterinstitutionnelle"/>
    <w:pPr>
      <w:spacing w:after="0" w:line="240" w:lineRule="auto"/>
      <w:ind w:left="5103"/>
    </w:pPr>
    <w:rPr>
      <w:rFonts w:eastAsia="Times New Roman" w:cs="Times New Roman"/>
      <w:sz w:val="24"/>
      <w:szCs w:val="24"/>
    </w:rPr>
  </w:style>
  <w:style w:type="paragraph" w:customStyle="1" w:styleId="Sous-titreobjet">
    <w:name w:val="Sous-titre objet"/>
    <w:basedOn w:val="Normal"/>
    <w:pPr>
      <w:spacing w:after="0" w:line="240" w:lineRule="auto"/>
      <w:jc w:val="center"/>
    </w:pPr>
    <w:rPr>
      <w:rFonts w:eastAsia="Times New Roman" w:cs="Times New Roman"/>
      <w:b/>
      <w:sz w:val="24"/>
      <w:szCs w:val="24"/>
    </w:rPr>
  </w:style>
  <w:style w:type="paragraph" w:customStyle="1" w:styleId="Statut">
    <w:name w:val="Statut"/>
    <w:basedOn w:val="Normal"/>
    <w:next w:val="Typedudocument"/>
    <w:pPr>
      <w:spacing w:before="360" w:after="0" w:line="240" w:lineRule="auto"/>
      <w:jc w:val="center"/>
    </w:pPr>
    <w:rPr>
      <w:rFonts w:eastAsia="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eastAsia="Times New Roman" w:cs="Times New Roman"/>
      <w:i/>
      <w:sz w:val="24"/>
      <w:szCs w:val="24"/>
    </w:rPr>
  </w:style>
  <w:style w:type="paragraph" w:customStyle="1" w:styleId="Titreobjet">
    <w:name w:val="Titre objet"/>
    <w:basedOn w:val="Normal"/>
    <w:next w:val="Sous-titreobjet"/>
    <w:pPr>
      <w:spacing w:before="360" w:after="360" w:line="240" w:lineRule="auto"/>
      <w:jc w:val="center"/>
    </w:pPr>
    <w:rPr>
      <w:rFonts w:eastAsia="Times New Roman" w:cs="Times New Roman"/>
      <w:b/>
      <w:sz w:val="24"/>
      <w:szCs w:val="24"/>
    </w:rPr>
  </w:style>
  <w:style w:type="paragraph" w:customStyle="1" w:styleId="Typedudocument">
    <w:name w:val="Type du document"/>
    <w:basedOn w:val="Normal"/>
    <w:next w:val="Titreobjet"/>
    <w:link w:val="TypedudocumentChar"/>
    <w:pPr>
      <w:spacing w:before="360" w:after="0" w:line="240" w:lineRule="auto"/>
      <w:jc w:val="center"/>
    </w:pPr>
    <w:rPr>
      <w:rFonts w:eastAsia="Times New Roman" w:cs="Times New Roman"/>
      <w:b/>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eastAsia="Times New Roman" w:cs="Times New Roman"/>
      <w:sz w:val="24"/>
      <w:szCs w:val="24"/>
    </w:rPr>
  </w:style>
  <w:style w:type="paragraph" w:customStyle="1" w:styleId="Objetexterne">
    <w:name w:val="Objet externe"/>
    <w:basedOn w:val="Normal"/>
    <w:next w:val="Normal"/>
    <w:pPr>
      <w:spacing w:before="120" w:after="120" w:line="240" w:lineRule="auto"/>
      <w:jc w:val="both"/>
    </w:pPr>
    <w:rPr>
      <w:rFonts w:eastAsia="Times New Roman" w:cs="Times New Roman"/>
      <w:i/>
      <w:caps/>
      <w:sz w:val="24"/>
      <w:szCs w:val="24"/>
    </w:rPr>
  </w:style>
  <w:style w:type="paragraph" w:customStyle="1" w:styleId="Supertitre">
    <w:name w:val="Supertitre"/>
    <w:basedOn w:val="Normal"/>
    <w:next w:val="Normal"/>
    <w:pPr>
      <w:spacing w:after="600" w:line="240" w:lineRule="auto"/>
      <w:jc w:val="center"/>
    </w:pPr>
    <w:rPr>
      <w:rFonts w:eastAsia="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eastAsia="Times New Roman" w:cs="Times New Roman"/>
      <w:sz w:val="24"/>
      <w:szCs w:val="24"/>
    </w:rPr>
  </w:style>
  <w:style w:type="paragraph" w:customStyle="1" w:styleId="Rfrencecroise">
    <w:name w:val="Référence croisée"/>
    <w:basedOn w:val="Normal"/>
    <w:pPr>
      <w:spacing w:after="0" w:line="240" w:lineRule="auto"/>
      <w:jc w:val="center"/>
    </w:pPr>
    <w:rPr>
      <w:rFonts w:eastAsia="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eastAsia="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eastAsia="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eastAsia="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eastAsia="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eastAsia="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eastAsia="Times New Roman" w:cs="Times New Roman"/>
      <w:sz w:val="24"/>
      <w:szCs w:val="24"/>
    </w:rPr>
  </w:style>
  <w:style w:type="paragraph" w:styleId="ListBullet">
    <w:name w:val="List Bullet"/>
    <w:basedOn w:val="Normal"/>
    <w:pPr>
      <w:numPr>
        <w:numId w:val="14"/>
      </w:numPr>
      <w:spacing w:before="120" w:after="120" w:line="240" w:lineRule="auto"/>
      <w:contextualSpacing/>
      <w:jc w:val="both"/>
    </w:pPr>
    <w:rPr>
      <w:rFonts w:eastAsia="Times New Roman" w:cs="Times New Roman"/>
      <w:sz w:val="24"/>
      <w:szCs w:val="24"/>
    </w:rPr>
  </w:style>
  <w:style w:type="paragraph" w:styleId="ListBullet2">
    <w:name w:val="List Bullet 2"/>
    <w:basedOn w:val="Normal"/>
    <w:pPr>
      <w:numPr>
        <w:numId w:val="15"/>
      </w:numPr>
      <w:spacing w:before="120" w:after="120" w:line="240" w:lineRule="auto"/>
      <w:contextualSpacing/>
      <w:jc w:val="both"/>
    </w:pPr>
    <w:rPr>
      <w:rFonts w:eastAsia="Times New Roman" w:cs="Times New Roman"/>
      <w:sz w:val="24"/>
      <w:szCs w:val="24"/>
    </w:rPr>
  </w:style>
  <w:style w:type="paragraph" w:styleId="ListBullet3">
    <w:name w:val="List Bullet 3"/>
    <w:basedOn w:val="Normal"/>
    <w:pPr>
      <w:numPr>
        <w:numId w:val="16"/>
      </w:numPr>
      <w:spacing w:before="120" w:after="120" w:line="240" w:lineRule="auto"/>
      <w:contextualSpacing/>
      <w:jc w:val="both"/>
    </w:pPr>
    <w:rPr>
      <w:rFonts w:eastAsia="Times New Roman" w:cs="Times New Roman"/>
      <w:sz w:val="24"/>
      <w:szCs w:val="24"/>
    </w:rPr>
  </w:style>
  <w:style w:type="paragraph" w:styleId="ListBullet4">
    <w:name w:val="List Bullet 4"/>
    <w:basedOn w:val="Normal"/>
    <w:pPr>
      <w:numPr>
        <w:numId w:val="17"/>
      </w:numPr>
      <w:spacing w:before="120" w:after="120" w:line="240" w:lineRule="auto"/>
      <w:contextualSpacing/>
      <w:jc w:val="both"/>
    </w:pPr>
    <w:rPr>
      <w:rFonts w:eastAsia="Times New Roman" w:cs="Times New Roman"/>
      <w:sz w:val="24"/>
      <w:szCs w:val="24"/>
    </w:rPr>
  </w:style>
  <w:style w:type="paragraph" w:customStyle="1" w:styleId="ListDash">
    <w:name w:val="List Dash"/>
    <w:basedOn w:val="Normal"/>
    <w:pPr>
      <w:numPr>
        <w:numId w:val="18"/>
      </w:numPr>
      <w:spacing w:before="120" w:after="120" w:line="240" w:lineRule="auto"/>
      <w:jc w:val="both"/>
    </w:pPr>
    <w:rPr>
      <w:rFonts w:eastAsia="Times New Roman" w:cs="Times New Roman"/>
      <w:sz w:val="24"/>
      <w:szCs w:val="24"/>
    </w:rPr>
  </w:style>
  <w:style w:type="character" w:styleId="Strong">
    <w:name w:val="Strong"/>
    <w:uiPriority w:val="22"/>
    <w:qFormat/>
    <w:rPr>
      <w:b/>
      <w:bCs/>
    </w:rPr>
  </w:style>
  <w:style w:type="paragraph" w:styleId="ListParagraph">
    <w:name w:val="List Paragraph"/>
    <w:basedOn w:val="Normal"/>
    <w:uiPriority w:val="34"/>
    <w:qFormat/>
    <w:pPr>
      <w:ind w:left="720"/>
      <w:contextualSpacing/>
    </w:pPr>
    <w:rPr>
      <w:rFonts w:ascii="Calibri" w:eastAsia="Times New Roman" w:hAnsi="Calibri" w:cs="Times New Roman"/>
    </w:rPr>
  </w:style>
  <w:style w:type="numbering" w:styleId="111111">
    <w:name w:val="Outline List 2"/>
    <w:basedOn w:val="NoList"/>
    <w:pPr>
      <w:numPr>
        <w:numId w:val="19"/>
      </w:numPr>
    </w:pPr>
  </w:style>
  <w:style w:type="character" w:styleId="PageNumber">
    <w:name w:val="page numbe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qFormat/>
    <w:pPr>
      <w:spacing w:before="120" w:after="120" w:line="240" w:lineRule="auto"/>
      <w:jc w:val="both"/>
    </w:pPr>
    <w:rPr>
      <w:rFonts w:eastAsia="Times New Roman" w:cs="Times New Roman"/>
      <w:b/>
      <w:bCs/>
      <w:sz w:val="20"/>
      <w:szCs w:val="20"/>
    </w:rPr>
  </w:style>
  <w:style w:type="paragraph" w:styleId="TableofFigures">
    <w:name w:val="table of figures"/>
    <w:basedOn w:val="Normal"/>
    <w:next w:val="Normal"/>
    <w:pPr>
      <w:spacing w:before="120" w:after="120" w:line="240" w:lineRule="auto"/>
      <w:jc w:val="both"/>
    </w:pPr>
    <w:rPr>
      <w:rFonts w:eastAsia="Times New Roman" w:cs="Times New Roman"/>
      <w:sz w:val="24"/>
      <w:szCs w:val="24"/>
    </w:rPr>
  </w:style>
  <w:style w:type="paragraph" w:styleId="ListNumber">
    <w:name w:val="List Number"/>
    <w:basedOn w:val="Normal"/>
    <w:pPr>
      <w:numPr>
        <w:numId w:val="21"/>
      </w:numPr>
      <w:spacing w:before="120" w:after="120" w:line="240" w:lineRule="auto"/>
      <w:contextualSpacing/>
      <w:jc w:val="both"/>
    </w:pPr>
    <w:rPr>
      <w:rFonts w:eastAsia="Times New Roman" w:cs="Times New Roman"/>
      <w:sz w:val="24"/>
      <w:szCs w:val="24"/>
    </w:rPr>
  </w:style>
  <w:style w:type="paragraph" w:styleId="ListNumber2">
    <w:name w:val="List Number 2"/>
    <w:basedOn w:val="Normal"/>
    <w:pPr>
      <w:numPr>
        <w:numId w:val="22"/>
      </w:numPr>
      <w:spacing w:before="120" w:after="120" w:line="240" w:lineRule="auto"/>
      <w:contextualSpacing/>
      <w:jc w:val="both"/>
    </w:pPr>
    <w:rPr>
      <w:rFonts w:eastAsia="Times New Roman" w:cs="Times New Roman"/>
      <w:sz w:val="24"/>
      <w:szCs w:val="24"/>
    </w:rPr>
  </w:style>
  <w:style w:type="paragraph" w:styleId="ListNumber3">
    <w:name w:val="List Number 3"/>
    <w:basedOn w:val="Normal"/>
    <w:pPr>
      <w:numPr>
        <w:numId w:val="23"/>
      </w:numPr>
      <w:spacing w:before="120" w:after="120" w:line="240" w:lineRule="auto"/>
      <w:contextualSpacing/>
      <w:jc w:val="both"/>
    </w:pPr>
    <w:rPr>
      <w:rFonts w:eastAsia="Times New Roman" w:cs="Times New Roman"/>
      <w:sz w:val="24"/>
      <w:szCs w:val="24"/>
    </w:rPr>
  </w:style>
  <w:style w:type="paragraph" w:styleId="ListNumber4">
    <w:name w:val="List Number 4"/>
    <w:basedOn w:val="Normal"/>
    <w:pPr>
      <w:numPr>
        <w:numId w:val="24"/>
      </w:numPr>
      <w:spacing w:before="120" w:after="120" w:line="240" w:lineRule="auto"/>
      <w:contextualSpacing/>
      <w:jc w:val="both"/>
    </w:pPr>
    <w:rPr>
      <w:rFonts w:eastAsia="Times New Roman" w:cs="Times New Roman"/>
      <w:sz w:val="24"/>
      <w:szCs w:val="24"/>
    </w:rPr>
  </w:style>
  <w:style w:type="character" w:customStyle="1" w:styleId="TypedudocumentChar">
    <w:name w:val="Type du document Char"/>
    <w:link w:val="Typedudocument"/>
    <w:rPr>
      <w:rFonts w:ascii="Times New Roman" w:eastAsia="Times New Roman" w:hAnsi="Times New Roman" w:cs="Times New Roman"/>
      <w:b/>
      <w:sz w:val="24"/>
      <w:szCs w:val="24"/>
    </w:rPr>
  </w:style>
  <w:style w:type="paragraph" w:styleId="DocumentMap">
    <w:name w:val="Document Map"/>
    <w:basedOn w:val="Normal"/>
    <w:link w:val="DocumentMapChar"/>
    <w:semiHidden/>
    <w:pPr>
      <w:shd w:val="clear" w:color="auto" w:fill="000080"/>
    </w:pPr>
    <w:rPr>
      <w:rFonts w:ascii="Tahoma" w:eastAsia="Calibri" w:hAnsi="Tahoma" w:cs="Tahoma"/>
    </w:rPr>
  </w:style>
  <w:style w:type="character" w:customStyle="1" w:styleId="DocumentMapChar">
    <w:name w:val="Document Map Char"/>
    <w:basedOn w:val="DefaultParagraphFont"/>
    <w:link w:val="DocumentMap"/>
    <w:semiHidden/>
    <w:rPr>
      <w:rFonts w:ascii="Tahoma" w:eastAsia="Calibri" w:hAnsi="Tahoma" w:cs="Tahoma"/>
      <w:shd w:val="clear" w:color="auto" w:fill="000080"/>
    </w:rPr>
  </w:style>
  <w:style w:type="paragraph" w:customStyle="1" w:styleId="EntInstit">
    <w:name w:val="EntInstit"/>
    <w:basedOn w:val="NormalConseil"/>
    <w:pPr>
      <w:jc w:val="right"/>
    </w:pPr>
    <w:rPr>
      <w:b/>
    </w:rPr>
  </w:style>
  <w:style w:type="paragraph" w:customStyle="1" w:styleId="NormalConseil">
    <w:name w:val="NormalConseil"/>
    <w:basedOn w:val="Normal"/>
    <w:pPr>
      <w:spacing w:after="0" w:line="240" w:lineRule="auto"/>
    </w:pPr>
    <w:rPr>
      <w:rFonts w:eastAsia="Times New Roman" w:cs="Times New Roman"/>
      <w:sz w:val="24"/>
      <w:szCs w:val="20"/>
    </w:rPr>
  </w:style>
  <w:style w:type="paragraph" w:customStyle="1" w:styleId="EntRefer">
    <w:name w:val="EntRefer"/>
    <w:basedOn w:val="NormalConseil"/>
    <w:rPr>
      <w:b/>
    </w:rPr>
  </w:style>
  <w:style w:type="paragraph" w:customStyle="1" w:styleId="EntEmet">
    <w:name w:val="EntEmet"/>
    <w:basedOn w:val="NormalConseil"/>
    <w:pPr>
      <w:tabs>
        <w:tab w:val="left" w:pos="284"/>
        <w:tab w:val="left" w:pos="567"/>
        <w:tab w:val="left" w:pos="851"/>
        <w:tab w:val="left" w:pos="1134"/>
        <w:tab w:val="left" w:pos="1418"/>
      </w:tabs>
      <w:spacing w:before="40"/>
    </w:pPr>
  </w:style>
  <w:style w:type="paragraph" w:customStyle="1" w:styleId="EntLogo">
    <w:name w:val="EntLogo"/>
    <w:basedOn w:val="NormalConseil"/>
    <w:next w:val="EntInstit"/>
    <w:pPr>
      <w:spacing w:line="360" w:lineRule="auto"/>
    </w:pPr>
    <w:rPr>
      <w:b/>
    </w:rPr>
  </w:style>
  <w:style w:type="paragraph" w:customStyle="1" w:styleId="FooterConseil">
    <w:name w:val="FooterConseil"/>
    <w:basedOn w:val="NormalConseil"/>
    <w:pPr>
      <w:tabs>
        <w:tab w:val="center" w:pos="4820"/>
        <w:tab w:val="center" w:pos="7371"/>
        <w:tab w:val="right" w:pos="9639"/>
      </w:tabs>
    </w:pPr>
  </w:style>
  <w:style w:type="paragraph" w:styleId="NormalWeb">
    <w:name w:val="Normal (Web)"/>
    <w:basedOn w:val="Normal"/>
    <w:uiPriority w:val="99"/>
    <w:unhideWhenUsed/>
    <w:rPr>
      <w:rFonts w:eastAsia="Calibri" w:cs="Times New Roman"/>
      <w:sz w:val="24"/>
      <w:szCs w:val="24"/>
    </w:rPr>
  </w:style>
  <w:style w:type="table" w:styleId="TableGrid">
    <w:name w:val="Table Grid"/>
    <w:basedOn w:val="TableNormal"/>
    <w:uiPriority w:val="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style>
  <w:style w:type="numbering" w:customStyle="1" w:styleId="1111111">
    <w:name w:val="1 / 1.1 / 1.1.11"/>
    <w:basedOn w:val="NoList"/>
    <w:next w:val="111111"/>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style>
  <w:style w:type="table" w:styleId="LightList-Accent4">
    <w:name w:val="Light List Accent 4"/>
    <w:basedOn w:val="TableNormal"/>
    <w:uiPriority w:val="61"/>
    <w:pPr>
      <w:spacing w:after="0" w:line="240" w:lineRule="auto"/>
    </w:pPr>
    <w:rPr>
      <w:rFonts w:ascii="Calibri" w:eastAsia="Calibri" w:hAnsi="Calibri"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footnotedefaultstyleChar">
    <w:name w:val="footnote default style Char"/>
    <w:basedOn w:val="DefaultParagraphFont"/>
    <w:link w:val="footnotedefaultstyle"/>
    <w:locked/>
    <w:rPr>
      <w:rFonts w:ascii="Verdana" w:hAnsi="Verdana"/>
    </w:rPr>
  </w:style>
  <w:style w:type="paragraph" w:customStyle="1" w:styleId="footnotedefaultstyle">
    <w:name w:val="footnote default style"/>
    <w:basedOn w:val="Normal"/>
    <w:link w:val="footnotedefaultstyleChar"/>
    <w:pPr>
      <w:spacing w:after="0" w:line="240" w:lineRule="auto"/>
      <w:ind w:left="357" w:hanging="357"/>
      <w:jc w:val="both"/>
    </w:pPr>
    <w:rPr>
      <w:rFonts w:ascii="Verdana" w:hAnsi="Verdana"/>
    </w:rPr>
  </w:style>
  <w:style w:type="paragraph" w:customStyle="1" w:styleId="rtejustify">
    <w:name w:val="rtejustify"/>
    <w:basedOn w:val="Normal"/>
    <w:pPr>
      <w:spacing w:before="100" w:beforeAutospacing="1" w:after="100" w:afterAutospacing="1" w:line="240" w:lineRule="auto"/>
    </w:pPr>
    <w:rPr>
      <w:rFonts w:eastAsia="Times New Roman" w:cs="Times New Roman"/>
      <w:sz w:val="24"/>
      <w:szCs w:val="24"/>
    </w:rPr>
  </w:style>
  <w:style w:type="paragraph" w:customStyle="1" w:styleId="Declassification">
    <w:name w:val="Declassification"/>
    <w:basedOn w:val="Normal"/>
    <w:next w:val="Normal"/>
    <w:pPr>
      <w:spacing w:after="0" w:line="240" w:lineRule="auto"/>
      <w:jc w:val="both"/>
    </w:pPr>
    <w:rPr>
      <w:rFonts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paragraph" w:customStyle="1" w:styleId="doc-ti">
    <w:name w:val="doc-ti"/>
    <w:basedOn w:val="Normal"/>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table of figures" w:uiPriority="0"/>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paragraph" w:styleId="Heading1">
    <w:name w:val="heading 1"/>
    <w:basedOn w:val="Normal"/>
    <w:next w:val="Normal"/>
    <w:link w:val="Heading1Char"/>
    <w:qFormat/>
    <w:pPr>
      <w:keepNext/>
      <w:spacing w:before="360" w:after="120" w:line="240" w:lineRule="auto"/>
      <w:jc w:val="both"/>
      <w:outlineLvl w:val="0"/>
    </w:pPr>
    <w:rPr>
      <w:rFonts w:eastAsia="Times New Roman" w:cs="Times New Roman"/>
      <w:b/>
      <w:bCs/>
      <w:kern w:val="32"/>
      <w:sz w:val="32"/>
      <w:szCs w:val="32"/>
    </w:rPr>
  </w:style>
  <w:style w:type="paragraph" w:styleId="Heading2">
    <w:name w:val="heading 2"/>
    <w:basedOn w:val="Normal"/>
    <w:next w:val="Normal"/>
    <w:link w:val="Heading2Char"/>
    <w:qFormat/>
    <w:pPr>
      <w:keepNext/>
      <w:numPr>
        <w:ilvl w:val="1"/>
        <w:numId w:val="35"/>
      </w:numPr>
      <w:spacing w:after="240" w:line="240" w:lineRule="auto"/>
      <w:jc w:val="both"/>
      <w:outlineLvl w:val="1"/>
    </w:pPr>
    <w:rPr>
      <w:rFonts w:eastAsia="Times New Roman" w:cs="Times New Roman"/>
      <w:b/>
      <w:bCs/>
      <w:i/>
      <w:iCs/>
      <w:sz w:val="28"/>
      <w:szCs w:val="28"/>
    </w:rPr>
  </w:style>
  <w:style w:type="paragraph" w:styleId="Heading3">
    <w:name w:val="heading 3"/>
    <w:basedOn w:val="Normal"/>
    <w:next w:val="Normal"/>
    <w:link w:val="Heading3Char"/>
    <w:qFormat/>
    <w:pPr>
      <w:keepNext/>
      <w:numPr>
        <w:ilvl w:val="2"/>
        <w:numId w:val="1"/>
      </w:numPr>
      <w:spacing w:before="120" w:after="120" w:line="240" w:lineRule="auto"/>
      <w:jc w:val="both"/>
      <w:outlineLvl w:val="2"/>
    </w:pPr>
    <w:rPr>
      <w:rFonts w:eastAsia="Times New Roman" w:cs="Times New Roman"/>
      <w:bCs/>
      <w:i/>
      <w:sz w:val="24"/>
      <w:szCs w:val="26"/>
    </w:rPr>
  </w:style>
  <w:style w:type="paragraph" w:styleId="Heading4">
    <w:name w:val="heading 4"/>
    <w:basedOn w:val="Normal"/>
    <w:next w:val="Normal"/>
    <w:link w:val="Heading4Char"/>
    <w:qFormat/>
    <w:pPr>
      <w:keepNext/>
      <w:numPr>
        <w:ilvl w:val="3"/>
        <w:numId w:val="1"/>
      </w:numPr>
      <w:spacing w:before="120" w:after="120" w:line="240" w:lineRule="auto"/>
      <w:jc w:val="both"/>
      <w:outlineLvl w:val="3"/>
    </w:pPr>
    <w:rPr>
      <w:rFonts w:eastAsia="Times New Roman" w:cs="Times New Roman"/>
      <w:bCs/>
      <w:sz w:val="24"/>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mbria" w:eastAsia="Times New Roman"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sz w:val="24"/>
    </w:r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sz w:val="24"/>
    </w:rPr>
  </w:style>
  <w:style w:type="character" w:customStyle="1" w:styleId="HeaderCoverPageChar">
    <w:name w:val="Header Cover Page Char"/>
    <w:basedOn w:val="DefaultParagraphFont"/>
    <w:link w:val="HeaderCoverPage"/>
    <w:rPr>
      <w:rFonts w:ascii="Times New Roman" w:hAnsi="Times New Roman"/>
      <w:sz w:val="24"/>
    </w:rPr>
  </w:style>
  <w:style w:type="character" w:customStyle="1" w:styleId="Heading1Char">
    <w:name w:val="Heading 1 Char"/>
    <w:basedOn w:val="DefaultParagraphFont"/>
    <w:link w:val="Heading1"/>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character" w:customStyle="1" w:styleId="Heading5Char">
    <w:name w:val="Heading 5 Char"/>
    <w:basedOn w:val="DefaultParagraphFont"/>
    <w:link w:val="Heading5"/>
    <w:uiPriority w:val="9"/>
    <w:semiHidden/>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Pr>
      <w:rFonts w:ascii="Calibri" w:eastAsia="Times New Roman" w:hAnsi="Calibri" w:cs="Times New Roman"/>
      <w:b/>
      <w:bCs/>
    </w:rPr>
  </w:style>
  <w:style w:type="character" w:customStyle="1" w:styleId="Heading7Char">
    <w:name w:val="Heading 7 Char"/>
    <w:basedOn w:val="DefaultParagraphFont"/>
    <w:link w:val="Heading7"/>
    <w:uiPriority w:val="9"/>
    <w:semiHidden/>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Pr>
      <w:rFonts w:ascii="Cambria" w:eastAsia="Times New Roman" w:hAnsi="Cambria" w:cs="Times New Roman"/>
    </w:rPr>
  </w:style>
  <w:style w:type="paragraph" w:styleId="TOC1">
    <w:name w:val="toc 1"/>
    <w:basedOn w:val="Normal"/>
    <w:next w:val="Normal"/>
    <w:autoRedefine/>
    <w:uiPriority w:val="39"/>
    <w:unhideWhenUsed/>
    <w:pPr>
      <w:tabs>
        <w:tab w:val="left" w:pos="440"/>
        <w:tab w:val="right" w:leader="dot" w:pos="9063"/>
      </w:tabs>
    </w:pPr>
    <w:rPr>
      <w:rFonts w:eastAsia="Calibri" w:cs="Times New Roman"/>
      <w:noProof/>
      <w:sz w:val="24"/>
      <w:szCs w:val="24"/>
    </w:rPr>
  </w:style>
  <w:style w:type="paragraph" w:styleId="TOC3">
    <w:name w:val="toc 3"/>
    <w:basedOn w:val="Normal"/>
    <w:next w:val="Normal"/>
    <w:autoRedefine/>
    <w:uiPriority w:val="39"/>
    <w:unhideWhenUsed/>
    <w:pPr>
      <w:ind w:left="440"/>
    </w:pPr>
    <w:rPr>
      <w:rFonts w:ascii="Calibri" w:eastAsia="Calibri" w:hAnsi="Calibri" w:cs="Times New Roman"/>
    </w:rPr>
  </w:style>
  <w:style w:type="paragraph" w:styleId="TOC2">
    <w:name w:val="toc 2"/>
    <w:basedOn w:val="Normal"/>
    <w:next w:val="Normal"/>
    <w:autoRedefine/>
    <w:uiPriority w:val="39"/>
    <w:unhideWhenUsed/>
    <w:pPr>
      <w:tabs>
        <w:tab w:val="left" w:pos="880"/>
        <w:tab w:val="right" w:leader="dot" w:pos="9063"/>
      </w:tabs>
      <w:spacing w:after="100"/>
      <w:ind w:left="142"/>
    </w:pPr>
    <w:rPr>
      <w:rFonts w:eastAsia="Arial Unicode MS" w:cs="Times New Roman"/>
      <w:noProof/>
      <w:sz w:val="24"/>
      <w:szCs w:val="24"/>
    </w:rPr>
  </w:style>
  <w:style w:type="paragraph" w:styleId="TOC4">
    <w:name w:val="toc 4"/>
    <w:basedOn w:val="Normal"/>
    <w:next w:val="Normal"/>
    <w:autoRedefine/>
    <w:uiPriority w:val="39"/>
    <w:unhideWhenUsed/>
    <w:pPr>
      <w:spacing w:after="100"/>
      <w:ind w:left="660"/>
    </w:pPr>
    <w:rPr>
      <w:rFonts w:ascii="Calibri" w:eastAsia="Times New Roman" w:hAnsi="Calibri" w:cs="Times New Roman"/>
    </w:rPr>
  </w:style>
  <w:style w:type="paragraph" w:styleId="TOC5">
    <w:name w:val="toc 5"/>
    <w:basedOn w:val="Normal"/>
    <w:next w:val="Normal"/>
    <w:autoRedefine/>
    <w:uiPriority w:val="39"/>
    <w:unhideWhenUsed/>
    <w:pPr>
      <w:spacing w:after="100"/>
      <w:ind w:left="880"/>
    </w:pPr>
    <w:rPr>
      <w:rFonts w:ascii="Calibri" w:eastAsia="Times New Roman" w:hAnsi="Calibri" w:cs="Times New Roman"/>
    </w:rPr>
  </w:style>
  <w:style w:type="paragraph" w:styleId="TOC6">
    <w:name w:val="toc 6"/>
    <w:basedOn w:val="Normal"/>
    <w:next w:val="Normal"/>
    <w:autoRedefine/>
    <w:uiPriority w:val="39"/>
    <w:unhideWhenUsed/>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pPr>
      <w:spacing w:after="100"/>
      <w:ind w:left="1760"/>
    </w:pPr>
    <w:rPr>
      <w:rFonts w:ascii="Calibri" w:eastAsia="Times New Roman" w:hAnsi="Calibri" w:cs="Times New Roman"/>
    </w:rPr>
  </w:style>
  <w:style w:type="character" w:styleId="Hyperlink">
    <w:name w:val="Hyperlink"/>
    <w:uiPriority w:val="99"/>
    <w:unhideWhenUsed/>
    <w:rPr>
      <w:color w:val="0000FF"/>
      <w:u w:val="single"/>
    </w:rPr>
  </w:style>
  <w:style w:type="paragraph" w:styleId="PlainText">
    <w:name w:val="Plain Text"/>
    <w:basedOn w:val="Normal"/>
    <w:link w:val="PlainTextChar"/>
    <w:pPr>
      <w:spacing w:after="24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character" w:styleId="FollowedHyperlink">
    <w:name w:val="FollowedHyperlink"/>
    <w:unhideWhenUsed/>
    <w:rPr>
      <w:color w:val="800080"/>
      <w:u w:val="single"/>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nhideWhenUsed/>
    <w:rPr>
      <w:rFonts w:ascii="Calibri" w:eastAsia="Calibri" w:hAnsi="Calibri" w:cs="Times New Roman"/>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Calibri" w:eastAsia="Calibri" w:hAnsi="Calibri" w:cs="Times New Roman"/>
      <w:b/>
      <w:bCs/>
      <w:sz w:val="20"/>
      <w:szCs w:val="20"/>
    </w:rPr>
  </w:style>
  <w:style w:type="paragraph" w:styleId="BalloonText">
    <w:name w:val="Balloon Text"/>
    <w:basedOn w:val="Normal"/>
    <w:link w:val="BalloonTextChar"/>
    <w:uiPriority w:val="99"/>
    <w:unhideWhenUse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paragraph" w:styleId="FootnoteText">
    <w:name w:val="footnote text"/>
    <w:basedOn w:val="Normal"/>
    <w:semiHidden/>
    <w:unhideWhenUsed/>
    <w:rPr>
      <w:rFonts w:ascii="Calibri" w:eastAsia="Calibri" w:hAnsi="Calibri" w:cs="Times New Roman"/>
      <w:sz w:val="20"/>
      <w:szCs w:val="20"/>
    </w:rPr>
  </w:style>
  <w:style w:type="character" w:customStyle="1" w:styleId="FootnoteTextChar">
    <w:name w:val="Footnote Text Char"/>
    <w:basedOn w:val="DefaultParagraphFont"/>
    <w:semiHidden/>
    <w:rPr>
      <w:rFonts w:ascii="Calibri" w:eastAsia="Calibri" w:hAnsi="Calibri" w:cs="Times New Roman"/>
      <w:sz w:val="20"/>
      <w:szCs w:val="20"/>
    </w:rPr>
  </w:style>
  <w:style w:type="character" w:styleId="FootnoteReference">
    <w:name w:val="footnote reference"/>
    <w:aliases w:val="Footnote symbol,Footnote,Voetnootverwijzing,Times 10 Point,Exposant 3 Point,Appel note de bas de p,BVI fnr,Footnote Refernece,Fußnotenzeichen_Raxen,callout,Footnote Reference Number,SUPERS,Footnote reference number,note TESI,fr,o"/>
    <w:unhideWhenUsed/>
    <w:rPr>
      <w:vertAlign w:val="superscript"/>
    </w:rPr>
  </w:style>
  <w:style w:type="paragraph" w:customStyle="1" w:styleId="HeaderLandscape">
    <w:name w:val="HeaderLandscape"/>
    <w:basedOn w:val="Normal"/>
    <w:pPr>
      <w:tabs>
        <w:tab w:val="center" w:pos="7285"/>
        <w:tab w:val="right" w:pos="14003"/>
      </w:tabs>
      <w:spacing w:after="120" w:line="240" w:lineRule="auto"/>
      <w:jc w:val="both"/>
    </w:pPr>
    <w:rPr>
      <w:rFonts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cs="Times New Roman"/>
      <w:sz w:val="24"/>
    </w:rPr>
  </w:style>
  <w:style w:type="paragraph" w:customStyle="1" w:styleId="Text1">
    <w:name w:val="Text 1"/>
    <w:basedOn w:val="Normal"/>
    <w:pPr>
      <w:spacing w:before="120" w:after="120" w:line="240" w:lineRule="auto"/>
      <w:ind w:left="850"/>
      <w:jc w:val="both"/>
    </w:pPr>
    <w:rPr>
      <w:rFonts w:eastAsia="Times New Roman" w:cs="Times New Roman"/>
      <w:sz w:val="24"/>
      <w:szCs w:val="24"/>
    </w:rPr>
  </w:style>
  <w:style w:type="paragraph" w:customStyle="1" w:styleId="Text2">
    <w:name w:val="Text 2"/>
    <w:basedOn w:val="Normal"/>
    <w:pPr>
      <w:spacing w:before="120" w:after="120" w:line="240" w:lineRule="auto"/>
      <w:ind w:left="1417"/>
      <w:jc w:val="both"/>
    </w:pPr>
    <w:rPr>
      <w:rFonts w:eastAsia="Times New Roman" w:cs="Times New Roman"/>
      <w:sz w:val="24"/>
      <w:szCs w:val="24"/>
    </w:rPr>
  </w:style>
  <w:style w:type="paragraph" w:customStyle="1" w:styleId="Text3">
    <w:name w:val="Text 3"/>
    <w:basedOn w:val="Normal"/>
    <w:pPr>
      <w:spacing w:before="120" w:after="120" w:line="240" w:lineRule="auto"/>
      <w:ind w:left="1984"/>
      <w:jc w:val="both"/>
    </w:pPr>
    <w:rPr>
      <w:rFonts w:eastAsia="Times New Roman" w:cs="Times New Roman"/>
      <w:sz w:val="24"/>
      <w:szCs w:val="24"/>
    </w:rPr>
  </w:style>
  <w:style w:type="paragraph" w:customStyle="1" w:styleId="Text4">
    <w:name w:val="Text 4"/>
    <w:basedOn w:val="Normal"/>
    <w:pPr>
      <w:spacing w:before="120" w:after="120" w:line="240" w:lineRule="auto"/>
      <w:ind w:left="2551"/>
      <w:jc w:val="both"/>
    </w:pPr>
    <w:rPr>
      <w:rFonts w:eastAsia="Times New Roman" w:cs="Times New Roman"/>
      <w:sz w:val="24"/>
      <w:szCs w:val="24"/>
    </w:rPr>
  </w:style>
  <w:style w:type="paragraph" w:customStyle="1" w:styleId="NormalCentered">
    <w:name w:val="Normal Centered"/>
    <w:basedOn w:val="Normal"/>
    <w:pPr>
      <w:spacing w:before="120" w:after="120" w:line="240" w:lineRule="auto"/>
      <w:jc w:val="center"/>
    </w:pPr>
    <w:rPr>
      <w:rFonts w:eastAsia="Times New Roman" w:cs="Times New Roman"/>
      <w:sz w:val="24"/>
      <w:szCs w:val="24"/>
    </w:rPr>
  </w:style>
  <w:style w:type="paragraph" w:customStyle="1" w:styleId="NormalLeft">
    <w:name w:val="Normal Left"/>
    <w:basedOn w:val="Normal"/>
    <w:pPr>
      <w:spacing w:before="120" w:after="120" w:line="240" w:lineRule="auto"/>
    </w:pPr>
    <w:rPr>
      <w:rFonts w:eastAsia="Times New Roman" w:cs="Times New Roman"/>
      <w:sz w:val="24"/>
      <w:szCs w:val="24"/>
    </w:rPr>
  </w:style>
  <w:style w:type="paragraph" w:customStyle="1" w:styleId="NormalRight">
    <w:name w:val="Normal Right"/>
    <w:basedOn w:val="Normal"/>
    <w:pPr>
      <w:spacing w:before="120" w:after="120" w:line="240" w:lineRule="auto"/>
      <w:jc w:val="right"/>
    </w:pPr>
    <w:rPr>
      <w:rFonts w:eastAsia="Times New Roman" w:cs="Times New Roman"/>
      <w:sz w:val="24"/>
      <w:szCs w:val="24"/>
    </w:rPr>
  </w:style>
  <w:style w:type="paragraph" w:customStyle="1" w:styleId="QuotedText">
    <w:name w:val="Quoted Text"/>
    <w:basedOn w:val="Normal"/>
    <w:pPr>
      <w:spacing w:before="120" w:after="120" w:line="240" w:lineRule="auto"/>
      <w:ind w:left="1417"/>
      <w:jc w:val="both"/>
    </w:pPr>
    <w:rPr>
      <w:rFonts w:eastAsia="Times New Roman" w:cs="Times New Roman"/>
      <w:sz w:val="24"/>
      <w:szCs w:val="24"/>
    </w:rPr>
  </w:style>
  <w:style w:type="paragraph" w:customStyle="1" w:styleId="Point0">
    <w:name w:val="Point 0"/>
    <w:basedOn w:val="Normal"/>
    <w:pPr>
      <w:spacing w:before="120" w:after="120" w:line="240" w:lineRule="auto"/>
      <w:ind w:left="850" w:hanging="850"/>
      <w:jc w:val="both"/>
    </w:pPr>
    <w:rPr>
      <w:rFonts w:eastAsia="Times New Roman" w:cs="Times New Roman"/>
      <w:sz w:val="24"/>
      <w:szCs w:val="24"/>
    </w:rPr>
  </w:style>
  <w:style w:type="paragraph" w:customStyle="1" w:styleId="Point1">
    <w:name w:val="Point 1"/>
    <w:basedOn w:val="Normal"/>
    <w:pPr>
      <w:spacing w:before="120" w:after="120" w:line="240" w:lineRule="auto"/>
      <w:ind w:left="1417" w:hanging="567"/>
      <w:jc w:val="both"/>
    </w:pPr>
    <w:rPr>
      <w:rFonts w:eastAsia="Times New Roman" w:cs="Times New Roman"/>
      <w:sz w:val="24"/>
      <w:szCs w:val="24"/>
    </w:rPr>
  </w:style>
  <w:style w:type="paragraph" w:customStyle="1" w:styleId="Point2">
    <w:name w:val="Point 2"/>
    <w:basedOn w:val="Normal"/>
    <w:pPr>
      <w:spacing w:before="120" w:after="120" w:line="240" w:lineRule="auto"/>
      <w:ind w:left="1984" w:hanging="567"/>
      <w:jc w:val="both"/>
    </w:pPr>
    <w:rPr>
      <w:rFonts w:eastAsia="Times New Roman" w:cs="Times New Roman"/>
      <w:sz w:val="24"/>
      <w:szCs w:val="24"/>
    </w:rPr>
  </w:style>
  <w:style w:type="paragraph" w:customStyle="1" w:styleId="Point3">
    <w:name w:val="Point 3"/>
    <w:basedOn w:val="Normal"/>
    <w:pPr>
      <w:spacing w:before="120" w:after="120" w:line="240" w:lineRule="auto"/>
      <w:ind w:left="2551" w:hanging="567"/>
      <w:jc w:val="both"/>
    </w:pPr>
    <w:rPr>
      <w:rFonts w:eastAsia="Times New Roman" w:cs="Times New Roman"/>
      <w:sz w:val="24"/>
      <w:szCs w:val="24"/>
    </w:rPr>
  </w:style>
  <w:style w:type="paragraph" w:customStyle="1" w:styleId="Point4">
    <w:name w:val="Point 4"/>
    <w:basedOn w:val="Normal"/>
    <w:pPr>
      <w:spacing w:before="120" w:after="120" w:line="240" w:lineRule="auto"/>
      <w:ind w:left="3118" w:hanging="567"/>
      <w:jc w:val="both"/>
    </w:pPr>
    <w:rPr>
      <w:rFonts w:eastAsia="Times New Roman" w:cs="Times New Roman"/>
      <w:sz w:val="24"/>
      <w:szCs w:val="24"/>
    </w:rPr>
  </w:style>
  <w:style w:type="paragraph" w:customStyle="1" w:styleId="Tiret0">
    <w:name w:val="Tiret 0"/>
    <w:basedOn w:val="Point0"/>
    <w:pPr>
      <w:numPr>
        <w:numId w:val="2"/>
      </w:numPr>
    </w:pPr>
  </w:style>
  <w:style w:type="paragraph" w:customStyle="1" w:styleId="Tiret1">
    <w:name w:val="Tiret 1"/>
    <w:basedOn w:val="Point1"/>
    <w:pPr>
      <w:numPr>
        <w:numId w:val="3"/>
      </w:numPr>
    </w:pPr>
  </w:style>
  <w:style w:type="paragraph" w:customStyle="1" w:styleId="Tiret2">
    <w:name w:val="Tiret 2"/>
    <w:basedOn w:val="Point2"/>
    <w:pPr>
      <w:numPr>
        <w:numId w:val="4"/>
      </w:numPr>
    </w:pPr>
  </w:style>
  <w:style w:type="paragraph" w:customStyle="1" w:styleId="Tiret3">
    <w:name w:val="Tiret 3"/>
    <w:basedOn w:val="Point3"/>
    <w:pPr>
      <w:numPr>
        <w:numId w:val="5"/>
      </w:numPr>
    </w:pPr>
  </w:style>
  <w:style w:type="paragraph" w:customStyle="1" w:styleId="Tiret4">
    <w:name w:val="Tiret 4"/>
    <w:basedOn w:val="Point4"/>
    <w:pPr>
      <w:numPr>
        <w:numId w:val="6"/>
      </w:numPr>
    </w:pPr>
  </w:style>
  <w:style w:type="paragraph" w:customStyle="1" w:styleId="PointDouble0">
    <w:name w:val="PointDouble 0"/>
    <w:basedOn w:val="Normal"/>
    <w:pPr>
      <w:tabs>
        <w:tab w:val="left" w:pos="850"/>
      </w:tabs>
      <w:spacing w:before="120" w:after="120" w:line="240" w:lineRule="auto"/>
      <w:ind w:left="1417" w:hanging="1417"/>
      <w:jc w:val="both"/>
    </w:pPr>
    <w:rPr>
      <w:rFonts w:eastAsia="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eastAsia="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eastAsia="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eastAsia="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eastAsia="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eastAsia="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eastAsia="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eastAsia="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eastAsia="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eastAsia="Times New Roman" w:cs="Times New Roman"/>
      <w:sz w:val="24"/>
      <w:szCs w:val="24"/>
    </w:rPr>
  </w:style>
  <w:style w:type="paragraph" w:customStyle="1" w:styleId="NumPar1">
    <w:name w:val="NumPar 1"/>
    <w:basedOn w:val="Normal"/>
    <w:next w:val="Text1"/>
    <w:pPr>
      <w:numPr>
        <w:numId w:val="7"/>
      </w:numPr>
      <w:spacing w:before="120" w:after="120" w:line="240" w:lineRule="auto"/>
      <w:jc w:val="both"/>
    </w:pPr>
    <w:rPr>
      <w:rFonts w:eastAsia="Times New Roman" w:cs="Times New Roman"/>
      <w:sz w:val="24"/>
      <w:szCs w:val="24"/>
    </w:rPr>
  </w:style>
  <w:style w:type="paragraph" w:customStyle="1" w:styleId="NumPar2">
    <w:name w:val="NumPar 2"/>
    <w:basedOn w:val="Normal"/>
    <w:next w:val="Text1"/>
    <w:pPr>
      <w:numPr>
        <w:ilvl w:val="1"/>
        <w:numId w:val="7"/>
      </w:numPr>
      <w:spacing w:before="120" w:after="120" w:line="240" w:lineRule="auto"/>
      <w:jc w:val="both"/>
    </w:pPr>
    <w:rPr>
      <w:rFonts w:eastAsia="Times New Roman" w:cs="Times New Roman"/>
      <w:sz w:val="24"/>
      <w:szCs w:val="24"/>
    </w:rPr>
  </w:style>
  <w:style w:type="paragraph" w:customStyle="1" w:styleId="NumPar3">
    <w:name w:val="NumPar 3"/>
    <w:basedOn w:val="Normal"/>
    <w:next w:val="Text1"/>
    <w:pPr>
      <w:numPr>
        <w:ilvl w:val="2"/>
        <w:numId w:val="7"/>
      </w:numPr>
      <w:spacing w:before="120" w:after="120" w:line="240" w:lineRule="auto"/>
      <w:jc w:val="both"/>
    </w:pPr>
    <w:rPr>
      <w:rFonts w:eastAsia="Times New Roman" w:cs="Times New Roman"/>
      <w:sz w:val="24"/>
      <w:szCs w:val="24"/>
    </w:rPr>
  </w:style>
  <w:style w:type="paragraph" w:customStyle="1" w:styleId="NumPar4">
    <w:name w:val="NumPar 4"/>
    <w:basedOn w:val="Normal"/>
    <w:next w:val="Text1"/>
    <w:pPr>
      <w:numPr>
        <w:ilvl w:val="3"/>
        <w:numId w:val="7"/>
      </w:numPr>
      <w:spacing w:before="120" w:after="120" w:line="240" w:lineRule="auto"/>
      <w:jc w:val="both"/>
    </w:pPr>
    <w:rPr>
      <w:rFonts w:eastAsia="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eastAsia="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eastAsia="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eastAsia="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eastAsia="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eastAsia="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eastAsia="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eastAsia="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eastAsia="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eastAsia="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eastAsia="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eastAsia="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eastAsia="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eastAsia="Times New Roman" w:cs="Times New Roman"/>
      <w:b/>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uiPriority w:val="39"/>
    <w:qFormat/>
    <w:pPr>
      <w:spacing w:before="120" w:after="240" w:line="240" w:lineRule="auto"/>
    </w:pPr>
    <w:rPr>
      <w:rFonts w:eastAsia="Times New Roman" w:cs="Times New Roman"/>
      <w:b/>
      <w:sz w:val="28"/>
      <w:szCs w:val="24"/>
    </w:rPr>
  </w:style>
  <w:style w:type="paragraph" w:customStyle="1" w:styleId="Point0number">
    <w:name w:val="Point 0 (number)"/>
    <w:basedOn w:val="Normal"/>
    <w:pPr>
      <w:numPr>
        <w:numId w:val="20"/>
      </w:numPr>
      <w:spacing w:before="120" w:after="120" w:line="240" w:lineRule="auto"/>
      <w:jc w:val="both"/>
    </w:pPr>
    <w:rPr>
      <w:rFonts w:eastAsia="Times New Roman" w:cs="Times New Roman"/>
      <w:sz w:val="24"/>
      <w:szCs w:val="24"/>
    </w:rPr>
  </w:style>
  <w:style w:type="paragraph" w:customStyle="1" w:styleId="Point1number">
    <w:name w:val="Point 1 (number)"/>
    <w:basedOn w:val="Normal"/>
    <w:pPr>
      <w:numPr>
        <w:ilvl w:val="2"/>
        <w:numId w:val="20"/>
      </w:numPr>
      <w:spacing w:before="120" w:after="120" w:line="240" w:lineRule="auto"/>
      <w:jc w:val="both"/>
    </w:pPr>
    <w:rPr>
      <w:rFonts w:eastAsia="Times New Roman" w:cs="Times New Roman"/>
      <w:sz w:val="24"/>
      <w:szCs w:val="24"/>
    </w:rPr>
  </w:style>
  <w:style w:type="paragraph" w:customStyle="1" w:styleId="Point2number">
    <w:name w:val="Point 2 (number)"/>
    <w:basedOn w:val="Normal"/>
    <w:pPr>
      <w:numPr>
        <w:ilvl w:val="4"/>
        <w:numId w:val="20"/>
      </w:numPr>
      <w:spacing w:before="120" w:after="120" w:line="240" w:lineRule="auto"/>
      <w:jc w:val="both"/>
    </w:pPr>
    <w:rPr>
      <w:rFonts w:eastAsia="Times New Roman" w:cs="Times New Roman"/>
      <w:sz w:val="24"/>
      <w:szCs w:val="24"/>
    </w:rPr>
  </w:style>
  <w:style w:type="paragraph" w:customStyle="1" w:styleId="Point3number">
    <w:name w:val="Point 3 (number)"/>
    <w:basedOn w:val="Normal"/>
    <w:pPr>
      <w:numPr>
        <w:ilvl w:val="6"/>
        <w:numId w:val="20"/>
      </w:numPr>
      <w:spacing w:before="120" w:after="120" w:line="240" w:lineRule="auto"/>
      <w:jc w:val="both"/>
    </w:pPr>
    <w:rPr>
      <w:rFonts w:eastAsia="Times New Roman" w:cs="Times New Roman"/>
      <w:sz w:val="24"/>
      <w:szCs w:val="24"/>
    </w:rPr>
  </w:style>
  <w:style w:type="paragraph" w:customStyle="1" w:styleId="Point0letter">
    <w:name w:val="Point 0 (letter)"/>
    <w:basedOn w:val="Normal"/>
    <w:pPr>
      <w:numPr>
        <w:ilvl w:val="1"/>
        <w:numId w:val="20"/>
      </w:numPr>
      <w:spacing w:before="120" w:after="120" w:line="240" w:lineRule="auto"/>
      <w:jc w:val="both"/>
    </w:pPr>
    <w:rPr>
      <w:rFonts w:eastAsia="Times New Roman" w:cs="Times New Roman"/>
      <w:sz w:val="24"/>
      <w:szCs w:val="24"/>
    </w:rPr>
  </w:style>
  <w:style w:type="paragraph" w:customStyle="1" w:styleId="Point1letter">
    <w:name w:val="Point 1 (letter)"/>
    <w:basedOn w:val="Normal"/>
    <w:pPr>
      <w:numPr>
        <w:ilvl w:val="3"/>
        <w:numId w:val="20"/>
      </w:numPr>
      <w:spacing w:before="120" w:after="120" w:line="240" w:lineRule="auto"/>
      <w:jc w:val="both"/>
    </w:pPr>
    <w:rPr>
      <w:rFonts w:eastAsia="Times New Roman" w:cs="Times New Roman"/>
      <w:sz w:val="24"/>
      <w:szCs w:val="24"/>
    </w:rPr>
  </w:style>
  <w:style w:type="paragraph" w:customStyle="1" w:styleId="Point2letter">
    <w:name w:val="Point 2 (letter)"/>
    <w:basedOn w:val="Normal"/>
    <w:pPr>
      <w:numPr>
        <w:ilvl w:val="5"/>
        <w:numId w:val="20"/>
      </w:numPr>
      <w:spacing w:before="120" w:after="120" w:line="240" w:lineRule="auto"/>
      <w:jc w:val="both"/>
    </w:pPr>
    <w:rPr>
      <w:rFonts w:eastAsia="Times New Roman" w:cs="Times New Roman"/>
      <w:sz w:val="24"/>
      <w:szCs w:val="24"/>
    </w:rPr>
  </w:style>
  <w:style w:type="paragraph" w:customStyle="1" w:styleId="Point3letter">
    <w:name w:val="Point 3 (letter)"/>
    <w:basedOn w:val="Normal"/>
    <w:pPr>
      <w:numPr>
        <w:ilvl w:val="7"/>
        <w:numId w:val="20"/>
      </w:numPr>
      <w:spacing w:before="120" w:after="120" w:line="240" w:lineRule="auto"/>
      <w:jc w:val="both"/>
    </w:pPr>
    <w:rPr>
      <w:rFonts w:eastAsia="Times New Roman" w:cs="Times New Roman"/>
      <w:sz w:val="24"/>
      <w:szCs w:val="24"/>
    </w:rPr>
  </w:style>
  <w:style w:type="paragraph" w:customStyle="1" w:styleId="Point4letter">
    <w:name w:val="Point 4 (letter)"/>
    <w:basedOn w:val="Normal"/>
    <w:pPr>
      <w:numPr>
        <w:ilvl w:val="8"/>
        <w:numId w:val="20"/>
      </w:numPr>
      <w:spacing w:before="120" w:after="120" w:line="240" w:lineRule="auto"/>
      <w:jc w:val="both"/>
    </w:pPr>
    <w:rPr>
      <w:rFonts w:eastAsia="Times New Roman" w:cs="Times New Roman"/>
      <w:sz w:val="24"/>
      <w:szCs w:val="24"/>
    </w:rPr>
  </w:style>
  <w:style w:type="paragraph" w:customStyle="1" w:styleId="Bullet0">
    <w:name w:val="Bullet 0"/>
    <w:basedOn w:val="Normal"/>
    <w:pPr>
      <w:numPr>
        <w:numId w:val="8"/>
      </w:numPr>
      <w:spacing w:before="120" w:after="120" w:line="240" w:lineRule="auto"/>
      <w:jc w:val="both"/>
    </w:pPr>
    <w:rPr>
      <w:rFonts w:eastAsia="Times New Roman" w:cs="Times New Roman"/>
      <w:sz w:val="24"/>
      <w:szCs w:val="24"/>
    </w:rPr>
  </w:style>
  <w:style w:type="paragraph" w:customStyle="1" w:styleId="Bullet1">
    <w:name w:val="Bullet 1"/>
    <w:basedOn w:val="Normal"/>
    <w:pPr>
      <w:numPr>
        <w:numId w:val="9"/>
      </w:numPr>
      <w:spacing w:before="120" w:after="120" w:line="240" w:lineRule="auto"/>
      <w:jc w:val="both"/>
    </w:pPr>
    <w:rPr>
      <w:rFonts w:eastAsia="Times New Roman" w:cs="Times New Roman"/>
      <w:sz w:val="24"/>
      <w:szCs w:val="24"/>
    </w:rPr>
  </w:style>
  <w:style w:type="paragraph" w:customStyle="1" w:styleId="Bullet2">
    <w:name w:val="Bullet 2"/>
    <w:basedOn w:val="Normal"/>
    <w:pPr>
      <w:numPr>
        <w:numId w:val="10"/>
      </w:numPr>
      <w:spacing w:before="120" w:after="120" w:line="240" w:lineRule="auto"/>
      <w:jc w:val="both"/>
    </w:pPr>
    <w:rPr>
      <w:rFonts w:eastAsia="Times New Roman" w:cs="Times New Roman"/>
      <w:sz w:val="24"/>
      <w:szCs w:val="24"/>
    </w:rPr>
  </w:style>
  <w:style w:type="paragraph" w:customStyle="1" w:styleId="Bullet3">
    <w:name w:val="Bullet 3"/>
    <w:basedOn w:val="Normal"/>
    <w:pPr>
      <w:numPr>
        <w:numId w:val="11"/>
      </w:numPr>
      <w:spacing w:before="120" w:after="120" w:line="240" w:lineRule="auto"/>
      <w:jc w:val="both"/>
    </w:pPr>
    <w:rPr>
      <w:rFonts w:eastAsia="Times New Roman" w:cs="Times New Roman"/>
      <w:sz w:val="24"/>
      <w:szCs w:val="24"/>
    </w:rPr>
  </w:style>
  <w:style w:type="paragraph" w:customStyle="1" w:styleId="Bullet4">
    <w:name w:val="Bullet 4"/>
    <w:basedOn w:val="Normal"/>
    <w:pPr>
      <w:numPr>
        <w:numId w:val="12"/>
      </w:numPr>
      <w:spacing w:before="120" w:after="120" w:line="240" w:lineRule="auto"/>
      <w:jc w:val="both"/>
    </w:pPr>
    <w:rPr>
      <w:rFonts w:eastAsia="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eastAsia="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eastAsia="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eastAsia="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eastAsia="Times New Roman" w:cs="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eastAsia="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eastAsia="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eastAsia="Times New Roman" w:cs="Times New Roman"/>
      <w:i/>
      <w:sz w:val="32"/>
      <w:szCs w:val="24"/>
    </w:rPr>
  </w:style>
  <w:style w:type="paragraph" w:customStyle="1" w:styleId="Considrant">
    <w:name w:val="Considérant"/>
    <w:basedOn w:val="Normal"/>
    <w:pPr>
      <w:numPr>
        <w:numId w:val="13"/>
      </w:numPr>
      <w:spacing w:before="120" w:after="120" w:line="240" w:lineRule="auto"/>
      <w:jc w:val="both"/>
    </w:pPr>
    <w:rPr>
      <w:rFonts w:eastAsia="Times New Roman" w:cs="Times New Roman"/>
      <w:sz w:val="24"/>
      <w:szCs w:val="24"/>
    </w:rPr>
  </w:style>
  <w:style w:type="paragraph" w:customStyle="1" w:styleId="Corrigendum">
    <w:name w:val="Corrigendum"/>
    <w:basedOn w:val="Normal"/>
    <w:next w:val="Normal"/>
    <w:pPr>
      <w:spacing w:after="240" w:line="240" w:lineRule="auto"/>
    </w:pPr>
    <w:rPr>
      <w:rFonts w:eastAsia="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eastAsia="Times New Roman" w:cs="Times New Roman"/>
      <w:b/>
      <w:sz w:val="24"/>
      <w:szCs w:val="24"/>
    </w:rPr>
  </w:style>
  <w:style w:type="paragraph" w:customStyle="1" w:styleId="Emission">
    <w:name w:val="Emission"/>
    <w:basedOn w:val="Normal"/>
    <w:next w:val="Rfrenceinstitutionnelle"/>
    <w:pPr>
      <w:spacing w:after="0" w:line="240" w:lineRule="auto"/>
      <w:ind w:left="5103"/>
    </w:pPr>
    <w:rPr>
      <w:rFonts w:eastAsia="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eastAsia="Times New Roman" w:cs="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eastAsia="Times New Roman" w:cs="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eastAsia="Times New Roman" w:cs="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eastAsia="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eastAsia="Times New Roman" w:cs="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eastAsia="Times New Roman" w:cs="Times New Roman"/>
      <w:b/>
      <w:caps/>
      <w:sz w:val="24"/>
      <w:szCs w:val="24"/>
    </w:rPr>
  </w:style>
  <w:style w:type="paragraph" w:customStyle="1" w:styleId="ManualConsidrant">
    <w:name w:val="Manual Considérant"/>
    <w:basedOn w:val="Normal"/>
    <w:pPr>
      <w:spacing w:before="120" w:after="120" w:line="240" w:lineRule="auto"/>
      <w:ind w:left="709" w:hanging="709"/>
      <w:jc w:val="both"/>
    </w:pPr>
    <w:rPr>
      <w:rFonts w:eastAsia="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pPr>
      <w:tabs>
        <w:tab w:val="left" w:pos="4252"/>
      </w:tabs>
      <w:spacing w:after="0" w:line="240" w:lineRule="auto"/>
    </w:pPr>
    <w:rPr>
      <w:rFonts w:eastAsia="Times New Roman" w:cs="Times New Roman"/>
      <w:i/>
      <w:sz w:val="24"/>
      <w:szCs w:val="24"/>
    </w:rPr>
  </w:style>
  <w:style w:type="paragraph" w:customStyle="1" w:styleId="Rfrenceinstitutionnelle">
    <w:name w:val="Référence institutionnelle"/>
    <w:basedOn w:val="Normal"/>
    <w:next w:val="Confidentialit"/>
    <w:pPr>
      <w:spacing w:after="240" w:line="240" w:lineRule="auto"/>
      <w:ind w:left="5103"/>
    </w:pPr>
    <w:rPr>
      <w:rFonts w:eastAsia="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eastAsia="Times New Roman" w:cs="Times New Roman"/>
      <w:sz w:val="24"/>
      <w:szCs w:val="24"/>
    </w:rPr>
  </w:style>
  <w:style w:type="paragraph" w:customStyle="1" w:styleId="Rfrenceinterne">
    <w:name w:val="Référence interne"/>
    <w:basedOn w:val="Normal"/>
    <w:next w:val="Rfrenceinterinstitutionnelle"/>
    <w:pPr>
      <w:spacing w:after="0" w:line="240" w:lineRule="auto"/>
      <w:ind w:left="5103"/>
    </w:pPr>
    <w:rPr>
      <w:rFonts w:eastAsia="Times New Roman" w:cs="Times New Roman"/>
      <w:sz w:val="24"/>
      <w:szCs w:val="24"/>
    </w:rPr>
  </w:style>
  <w:style w:type="paragraph" w:customStyle="1" w:styleId="Sous-titreobjet">
    <w:name w:val="Sous-titre objet"/>
    <w:basedOn w:val="Normal"/>
    <w:pPr>
      <w:spacing w:after="0" w:line="240" w:lineRule="auto"/>
      <w:jc w:val="center"/>
    </w:pPr>
    <w:rPr>
      <w:rFonts w:eastAsia="Times New Roman" w:cs="Times New Roman"/>
      <w:b/>
      <w:sz w:val="24"/>
      <w:szCs w:val="24"/>
    </w:rPr>
  </w:style>
  <w:style w:type="paragraph" w:customStyle="1" w:styleId="Statut">
    <w:name w:val="Statut"/>
    <w:basedOn w:val="Normal"/>
    <w:next w:val="Typedudocument"/>
    <w:pPr>
      <w:spacing w:before="360" w:after="0" w:line="240" w:lineRule="auto"/>
      <w:jc w:val="center"/>
    </w:pPr>
    <w:rPr>
      <w:rFonts w:eastAsia="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eastAsia="Times New Roman" w:cs="Times New Roman"/>
      <w:i/>
      <w:sz w:val="24"/>
      <w:szCs w:val="24"/>
    </w:rPr>
  </w:style>
  <w:style w:type="paragraph" w:customStyle="1" w:styleId="Titreobjet">
    <w:name w:val="Titre objet"/>
    <w:basedOn w:val="Normal"/>
    <w:next w:val="Sous-titreobjet"/>
    <w:pPr>
      <w:spacing w:before="360" w:after="360" w:line="240" w:lineRule="auto"/>
      <w:jc w:val="center"/>
    </w:pPr>
    <w:rPr>
      <w:rFonts w:eastAsia="Times New Roman" w:cs="Times New Roman"/>
      <w:b/>
      <w:sz w:val="24"/>
      <w:szCs w:val="24"/>
    </w:rPr>
  </w:style>
  <w:style w:type="paragraph" w:customStyle="1" w:styleId="Typedudocument">
    <w:name w:val="Type du document"/>
    <w:basedOn w:val="Normal"/>
    <w:next w:val="Titreobjet"/>
    <w:link w:val="TypedudocumentChar"/>
    <w:pPr>
      <w:spacing w:before="360" w:after="0" w:line="240" w:lineRule="auto"/>
      <w:jc w:val="center"/>
    </w:pPr>
    <w:rPr>
      <w:rFonts w:eastAsia="Times New Roman" w:cs="Times New Roman"/>
      <w:b/>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eastAsia="Times New Roman" w:cs="Times New Roman"/>
      <w:sz w:val="24"/>
      <w:szCs w:val="24"/>
    </w:rPr>
  </w:style>
  <w:style w:type="paragraph" w:customStyle="1" w:styleId="Objetexterne">
    <w:name w:val="Objet externe"/>
    <w:basedOn w:val="Normal"/>
    <w:next w:val="Normal"/>
    <w:pPr>
      <w:spacing w:before="120" w:after="120" w:line="240" w:lineRule="auto"/>
      <w:jc w:val="both"/>
    </w:pPr>
    <w:rPr>
      <w:rFonts w:eastAsia="Times New Roman" w:cs="Times New Roman"/>
      <w:i/>
      <w:caps/>
      <w:sz w:val="24"/>
      <w:szCs w:val="24"/>
    </w:rPr>
  </w:style>
  <w:style w:type="paragraph" w:customStyle="1" w:styleId="Supertitre">
    <w:name w:val="Supertitre"/>
    <w:basedOn w:val="Normal"/>
    <w:next w:val="Normal"/>
    <w:pPr>
      <w:spacing w:after="600" w:line="240" w:lineRule="auto"/>
      <w:jc w:val="center"/>
    </w:pPr>
    <w:rPr>
      <w:rFonts w:eastAsia="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eastAsia="Times New Roman" w:cs="Times New Roman"/>
      <w:sz w:val="24"/>
      <w:szCs w:val="24"/>
    </w:rPr>
  </w:style>
  <w:style w:type="paragraph" w:customStyle="1" w:styleId="Rfrencecroise">
    <w:name w:val="Référence croisée"/>
    <w:basedOn w:val="Normal"/>
    <w:pPr>
      <w:spacing w:after="0" w:line="240" w:lineRule="auto"/>
      <w:jc w:val="center"/>
    </w:pPr>
    <w:rPr>
      <w:rFonts w:eastAsia="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eastAsia="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eastAsia="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eastAsia="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eastAsia="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eastAsia="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eastAsia="Times New Roman" w:cs="Times New Roman"/>
      <w:sz w:val="24"/>
      <w:szCs w:val="24"/>
    </w:rPr>
  </w:style>
  <w:style w:type="paragraph" w:styleId="ListBullet">
    <w:name w:val="List Bullet"/>
    <w:basedOn w:val="Normal"/>
    <w:pPr>
      <w:numPr>
        <w:numId w:val="14"/>
      </w:numPr>
      <w:spacing w:before="120" w:after="120" w:line="240" w:lineRule="auto"/>
      <w:contextualSpacing/>
      <w:jc w:val="both"/>
    </w:pPr>
    <w:rPr>
      <w:rFonts w:eastAsia="Times New Roman" w:cs="Times New Roman"/>
      <w:sz w:val="24"/>
      <w:szCs w:val="24"/>
    </w:rPr>
  </w:style>
  <w:style w:type="paragraph" w:styleId="ListBullet2">
    <w:name w:val="List Bullet 2"/>
    <w:basedOn w:val="Normal"/>
    <w:pPr>
      <w:numPr>
        <w:numId w:val="15"/>
      </w:numPr>
      <w:spacing w:before="120" w:after="120" w:line="240" w:lineRule="auto"/>
      <w:contextualSpacing/>
      <w:jc w:val="both"/>
    </w:pPr>
    <w:rPr>
      <w:rFonts w:eastAsia="Times New Roman" w:cs="Times New Roman"/>
      <w:sz w:val="24"/>
      <w:szCs w:val="24"/>
    </w:rPr>
  </w:style>
  <w:style w:type="paragraph" w:styleId="ListBullet3">
    <w:name w:val="List Bullet 3"/>
    <w:basedOn w:val="Normal"/>
    <w:pPr>
      <w:numPr>
        <w:numId w:val="16"/>
      </w:numPr>
      <w:spacing w:before="120" w:after="120" w:line="240" w:lineRule="auto"/>
      <w:contextualSpacing/>
      <w:jc w:val="both"/>
    </w:pPr>
    <w:rPr>
      <w:rFonts w:eastAsia="Times New Roman" w:cs="Times New Roman"/>
      <w:sz w:val="24"/>
      <w:szCs w:val="24"/>
    </w:rPr>
  </w:style>
  <w:style w:type="paragraph" w:styleId="ListBullet4">
    <w:name w:val="List Bullet 4"/>
    <w:basedOn w:val="Normal"/>
    <w:pPr>
      <w:numPr>
        <w:numId w:val="17"/>
      </w:numPr>
      <w:spacing w:before="120" w:after="120" w:line="240" w:lineRule="auto"/>
      <w:contextualSpacing/>
      <w:jc w:val="both"/>
    </w:pPr>
    <w:rPr>
      <w:rFonts w:eastAsia="Times New Roman" w:cs="Times New Roman"/>
      <w:sz w:val="24"/>
      <w:szCs w:val="24"/>
    </w:rPr>
  </w:style>
  <w:style w:type="paragraph" w:customStyle="1" w:styleId="ListDash">
    <w:name w:val="List Dash"/>
    <w:basedOn w:val="Normal"/>
    <w:pPr>
      <w:numPr>
        <w:numId w:val="18"/>
      </w:numPr>
      <w:spacing w:before="120" w:after="120" w:line="240" w:lineRule="auto"/>
      <w:jc w:val="both"/>
    </w:pPr>
    <w:rPr>
      <w:rFonts w:eastAsia="Times New Roman" w:cs="Times New Roman"/>
      <w:sz w:val="24"/>
      <w:szCs w:val="24"/>
    </w:rPr>
  </w:style>
  <w:style w:type="character" w:styleId="Strong">
    <w:name w:val="Strong"/>
    <w:uiPriority w:val="22"/>
    <w:qFormat/>
    <w:rPr>
      <w:b/>
      <w:bCs/>
    </w:rPr>
  </w:style>
  <w:style w:type="paragraph" w:styleId="ListParagraph">
    <w:name w:val="List Paragraph"/>
    <w:basedOn w:val="Normal"/>
    <w:uiPriority w:val="34"/>
    <w:qFormat/>
    <w:pPr>
      <w:ind w:left="720"/>
      <w:contextualSpacing/>
    </w:pPr>
    <w:rPr>
      <w:rFonts w:ascii="Calibri" w:eastAsia="Times New Roman" w:hAnsi="Calibri" w:cs="Times New Roman"/>
    </w:rPr>
  </w:style>
  <w:style w:type="numbering" w:styleId="111111">
    <w:name w:val="Outline List 2"/>
    <w:basedOn w:val="NoList"/>
    <w:pPr>
      <w:numPr>
        <w:numId w:val="19"/>
      </w:numPr>
    </w:pPr>
  </w:style>
  <w:style w:type="character" w:styleId="PageNumber">
    <w:name w:val="page numbe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qFormat/>
    <w:pPr>
      <w:spacing w:before="120" w:after="120" w:line="240" w:lineRule="auto"/>
      <w:jc w:val="both"/>
    </w:pPr>
    <w:rPr>
      <w:rFonts w:eastAsia="Times New Roman" w:cs="Times New Roman"/>
      <w:b/>
      <w:bCs/>
      <w:sz w:val="20"/>
      <w:szCs w:val="20"/>
    </w:rPr>
  </w:style>
  <w:style w:type="paragraph" w:styleId="TableofFigures">
    <w:name w:val="table of figures"/>
    <w:basedOn w:val="Normal"/>
    <w:next w:val="Normal"/>
    <w:pPr>
      <w:spacing w:before="120" w:after="120" w:line="240" w:lineRule="auto"/>
      <w:jc w:val="both"/>
    </w:pPr>
    <w:rPr>
      <w:rFonts w:eastAsia="Times New Roman" w:cs="Times New Roman"/>
      <w:sz w:val="24"/>
      <w:szCs w:val="24"/>
    </w:rPr>
  </w:style>
  <w:style w:type="paragraph" w:styleId="ListNumber">
    <w:name w:val="List Number"/>
    <w:basedOn w:val="Normal"/>
    <w:pPr>
      <w:numPr>
        <w:numId w:val="21"/>
      </w:numPr>
      <w:spacing w:before="120" w:after="120" w:line="240" w:lineRule="auto"/>
      <w:contextualSpacing/>
      <w:jc w:val="both"/>
    </w:pPr>
    <w:rPr>
      <w:rFonts w:eastAsia="Times New Roman" w:cs="Times New Roman"/>
      <w:sz w:val="24"/>
      <w:szCs w:val="24"/>
    </w:rPr>
  </w:style>
  <w:style w:type="paragraph" w:styleId="ListNumber2">
    <w:name w:val="List Number 2"/>
    <w:basedOn w:val="Normal"/>
    <w:pPr>
      <w:numPr>
        <w:numId w:val="22"/>
      </w:numPr>
      <w:spacing w:before="120" w:after="120" w:line="240" w:lineRule="auto"/>
      <w:contextualSpacing/>
      <w:jc w:val="both"/>
    </w:pPr>
    <w:rPr>
      <w:rFonts w:eastAsia="Times New Roman" w:cs="Times New Roman"/>
      <w:sz w:val="24"/>
      <w:szCs w:val="24"/>
    </w:rPr>
  </w:style>
  <w:style w:type="paragraph" w:styleId="ListNumber3">
    <w:name w:val="List Number 3"/>
    <w:basedOn w:val="Normal"/>
    <w:pPr>
      <w:numPr>
        <w:numId w:val="23"/>
      </w:numPr>
      <w:spacing w:before="120" w:after="120" w:line="240" w:lineRule="auto"/>
      <w:contextualSpacing/>
      <w:jc w:val="both"/>
    </w:pPr>
    <w:rPr>
      <w:rFonts w:eastAsia="Times New Roman" w:cs="Times New Roman"/>
      <w:sz w:val="24"/>
      <w:szCs w:val="24"/>
    </w:rPr>
  </w:style>
  <w:style w:type="paragraph" w:styleId="ListNumber4">
    <w:name w:val="List Number 4"/>
    <w:basedOn w:val="Normal"/>
    <w:pPr>
      <w:numPr>
        <w:numId w:val="24"/>
      </w:numPr>
      <w:spacing w:before="120" w:after="120" w:line="240" w:lineRule="auto"/>
      <w:contextualSpacing/>
      <w:jc w:val="both"/>
    </w:pPr>
    <w:rPr>
      <w:rFonts w:eastAsia="Times New Roman" w:cs="Times New Roman"/>
      <w:sz w:val="24"/>
      <w:szCs w:val="24"/>
    </w:rPr>
  </w:style>
  <w:style w:type="character" w:customStyle="1" w:styleId="TypedudocumentChar">
    <w:name w:val="Type du document Char"/>
    <w:link w:val="Typedudocument"/>
    <w:rPr>
      <w:rFonts w:ascii="Times New Roman" w:eastAsia="Times New Roman" w:hAnsi="Times New Roman" w:cs="Times New Roman"/>
      <w:b/>
      <w:sz w:val="24"/>
      <w:szCs w:val="24"/>
    </w:rPr>
  </w:style>
  <w:style w:type="paragraph" w:styleId="DocumentMap">
    <w:name w:val="Document Map"/>
    <w:basedOn w:val="Normal"/>
    <w:link w:val="DocumentMapChar"/>
    <w:semiHidden/>
    <w:pPr>
      <w:shd w:val="clear" w:color="auto" w:fill="000080"/>
    </w:pPr>
    <w:rPr>
      <w:rFonts w:ascii="Tahoma" w:eastAsia="Calibri" w:hAnsi="Tahoma" w:cs="Tahoma"/>
    </w:rPr>
  </w:style>
  <w:style w:type="character" w:customStyle="1" w:styleId="DocumentMapChar">
    <w:name w:val="Document Map Char"/>
    <w:basedOn w:val="DefaultParagraphFont"/>
    <w:link w:val="DocumentMap"/>
    <w:semiHidden/>
    <w:rPr>
      <w:rFonts w:ascii="Tahoma" w:eastAsia="Calibri" w:hAnsi="Tahoma" w:cs="Tahoma"/>
      <w:shd w:val="clear" w:color="auto" w:fill="000080"/>
    </w:rPr>
  </w:style>
  <w:style w:type="paragraph" w:customStyle="1" w:styleId="EntInstit">
    <w:name w:val="EntInstit"/>
    <w:basedOn w:val="NormalConseil"/>
    <w:pPr>
      <w:jc w:val="right"/>
    </w:pPr>
    <w:rPr>
      <w:b/>
    </w:rPr>
  </w:style>
  <w:style w:type="paragraph" w:customStyle="1" w:styleId="NormalConseil">
    <w:name w:val="NormalConseil"/>
    <w:basedOn w:val="Normal"/>
    <w:pPr>
      <w:spacing w:after="0" w:line="240" w:lineRule="auto"/>
    </w:pPr>
    <w:rPr>
      <w:rFonts w:eastAsia="Times New Roman" w:cs="Times New Roman"/>
      <w:sz w:val="24"/>
      <w:szCs w:val="20"/>
    </w:rPr>
  </w:style>
  <w:style w:type="paragraph" w:customStyle="1" w:styleId="EntRefer">
    <w:name w:val="EntRefer"/>
    <w:basedOn w:val="NormalConseil"/>
    <w:rPr>
      <w:b/>
    </w:rPr>
  </w:style>
  <w:style w:type="paragraph" w:customStyle="1" w:styleId="EntEmet">
    <w:name w:val="EntEmet"/>
    <w:basedOn w:val="NormalConseil"/>
    <w:pPr>
      <w:tabs>
        <w:tab w:val="left" w:pos="284"/>
        <w:tab w:val="left" w:pos="567"/>
        <w:tab w:val="left" w:pos="851"/>
        <w:tab w:val="left" w:pos="1134"/>
        <w:tab w:val="left" w:pos="1418"/>
      </w:tabs>
      <w:spacing w:before="40"/>
    </w:pPr>
  </w:style>
  <w:style w:type="paragraph" w:customStyle="1" w:styleId="EntLogo">
    <w:name w:val="EntLogo"/>
    <w:basedOn w:val="NormalConseil"/>
    <w:next w:val="EntInstit"/>
    <w:pPr>
      <w:spacing w:line="360" w:lineRule="auto"/>
    </w:pPr>
    <w:rPr>
      <w:b/>
    </w:rPr>
  </w:style>
  <w:style w:type="paragraph" w:customStyle="1" w:styleId="FooterConseil">
    <w:name w:val="FooterConseil"/>
    <w:basedOn w:val="NormalConseil"/>
    <w:pPr>
      <w:tabs>
        <w:tab w:val="center" w:pos="4820"/>
        <w:tab w:val="center" w:pos="7371"/>
        <w:tab w:val="right" w:pos="9639"/>
      </w:tabs>
    </w:pPr>
  </w:style>
  <w:style w:type="paragraph" w:styleId="NormalWeb">
    <w:name w:val="Normal (Web)"/>
    <w:basedOn w:val="Normal"/>
    <w:uiPriority w:val="99"/>
    <w:unhideWhenUsed/>
    <w:rPr>
      <w:rFonts w:eastAsia="Calibri" w:cs="Times New Roman"/>
      <w:sz w:val="24"/>
      <w:szCs w:val="24"/>
    </w:rPr>
  </w:style>
  <w:style w:type="table" w:styleId="TableGrid">
    <w:name w:val="Table Grid"/>
    <w:basedOn w:val="TableNormal"/>
    <w:uiPriority w:val="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style>
  <w:style w:type="numbering" w:customStyle="1" w:styleId="1111111">
    <w:name w:val="1 / 1.1 / 1.1.11"/>
    <w:basedOn w:val="NoList"/>
    <w:next w:val="111111"/>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style>
  <w:style w:type="table" w:styleId="LightList-Accent4">
    <w:name w:val="Light List Accent 4"/>
    <w:basedOn w:val="TableNormal"/>
    <w:uiPriority w:val="61"/>
    <w:pPr>
      <w:spacing w:after="0" w:line="240" w:lineRule="auto"/>
    </w:pPr>
    <w:rPr>
      <w:rFonts w:ascii="Calibri" w:eastAsia="Calibri" w:hAnsi="Calibri"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footnotedefaultstyleChar">
    <w:name w:val="footnote default style Char"/>
    <w:basedOn w:val="DefaultParagraphFont"/>
    <w:link w:val="footnotedefaultstyle"/>
    <w:locked/>
    <w:rPr>
      <w:rFonts w:ascii="Verdana" w:hAnsi="Verdana"/>
    </w:rPr>
  </w:style>
  <w:style w:type="paragraph" w:customStyle="1" w:styleId="footnotedefaultstyle">
    <w:name w:val="footnote default style"/>
    <w:basedOn w:val="Normal"/>
    <w:link w:val="footnotedefaultstyleChar"/>
    <w:pPr>
      <w:spacing w:after="0" w:line="240" w:lineRule="auto"/>
      <w:ind w:left="357" w:hanging="357"/>
      <w:jc w:val="both"/>
    </w:pPr>
    <w:rPr>
      <w:rFonts w:ascii="Verdana" w:hAnsi="Verdana"/>
    </w:rPr>
  </w:style>
  <w:style w:type="paragraph" w:customStyle="1" w:styleId="rtejustify">
    <w:name w:val="rtejustify"/>
    <w:basedOn w:val="Normal"/>
    <w:pPr>
      <w:spacing w:before="100" w:beforeAutospacing="1" w:after="100" w:afterAutospacing="1" w:line="240" w:lineRule="auto"/>
    </w:pPr>
    <w:rPr>
      <w:rFonts w:eastAsia="Times New Roman" w:cs="Times New Roman"/>
      <w:sz w:val="24"/>
      <w:szCs w:val="24"/>
    </w:rPr>
  </w:style>
  <w:style w:type="paragraph" w:customStyle="1" w:styleId="Declassification">
    <w:name w:val="Declassification"/>
    <w:basedOn w:val="Normal"/>
    <w:next w:val="Normal"/>
    <w:pPr>
      <w:spacing w:after="0" w:line="240" w:lineRule="auto"/>
      <w:jc w:val="both"/>
    </w:pPr>
    <w:rPr>
      <w:rFonts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paragraph" w:customStyle="1" w:styleId="doc-ti">
    <w:name w:val="doc-ti"/>
    <w:basedOn w:val="Normal"/>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668">
      <w:bodyDiv w:val="1"/>
      <w:marLeft w:val="0"/>
      <w:marRight w:val="0"/>
      <w:marTop w:val="0"/>
      <w:marBottom w:val="0"/>
      <w:divBdr>
        <w:top w:val="none" w:sz="0" w:space="0" w:color="auto"/>
        <w:left w:val="none" w:sz="0" w:space="0" w:color="auto"/>
        <w:bottom w:val="none" w:sz="0" w:space="0" w:color="auto"/>
        <w:right w:val="none" w:sz="0" w:space="0" w:color="auto"/>
      </w:divBdr>
    </w:div>
    <w:div w:id="47151934">
      <w:bodyDiv w:val="1"/>
      <w:marLeft w:val="0"/>
      <w:marRight w:val="0"/>
      <w:marTop w:val="0"/>
      <w:marBottom w:val="0"/>
      <w:divBdr>
        <w:top w:val="none" w:sz="0" w:space="0" w:color="auto"/>
        <w:left w:val="none" w:sz="0" w:space="0" w:color="auto"/>
        <w:bottom w:val="none" w:sz="0" w:space="0" w:color="auto"/>
        <w:right w:val="none" w:sz="0" w:space="0" w:color="auto"/>
      </w:divBdr>
    </w:div>
    <w:div w:id="69355342">
      <w:bodyDiv w:val="1"/>
      <w:marLeft w:val="0"/>
      <w:marRight w:val="0"/>
      <w:marTop w:val="0"/>
      <w:marBottom w:val="0"/>
      <w:divBdr>
        <w:top w:val="none" w:sz="0" w:space="0" w:color="auto"/>
        <w:left w:val="none" w:sz="0" w:space="0" w:color="auto"/>
        <w:bottom w:val="none" w:sz="0" w:space="0" w:color="auto"/>
        <w:right w:val="none" w:sz="0" w:space="0" w:color="auto"/>
      </w:divBdr>
    </w:div>
    <w:div w:id="109395635">
      <w:bodyDiv w:val="1"/>
      <w:marLeft w:val="0"/>
      <w:marRight w:val="0"/>
      <w:marTop w:val="0"/>
      <w:marBottom w:val="0"/>
      <w:divBdr>
        <w:top w:val="none" w:sz="0" w:space="0" w:color="auto"/>
        <w:left w:val="none" w:sz="0" w:space="0" w:color="auto"/>
        <w:bottom w:val="none" w:sz="0" w:space="0" w:color="auto"/>
        <w:right w:val="none" w:sz="0" w:space="0" w:color="auto"/>
      </w:divBdr>
    </w:div>
    <w:div w:id="127480165">
      <w:bodyDiv w:val="1"/>
      <w:marLeft w:val="0"/>
      <w:marRight w:val="0"/>
      <w:marTop w:val="0"/>
      <w:marBottom w:val="0"/>
      <w:divBdr>
        <w:top w:val="none" w:sz="0" w:space="0" w:color="auto"/>
        <w:left w:val="none" w:sz="0" w:space="0" w:color="auto"/>
        <w:bottom w:val="none" w:sz="0" w:space="0" w:color="auto"/>
        <w:right w:val="none" w:sz="0" w:space="0" w:color="auto"/>
      </w:divBdr>
    </w:div>
    <w:div w:id="138235314">
      <w:bodyDiv w:val="1"/>
      <w:marLeft w:val="0"/>
      <w:marRight w:val="0"/>
      <w:marTop w:val="0"/>
      <w:marBottom w:val="0"/>
      <w:divBdr>
        <w:top w:val="none" w:sz="0" w:space="0" w:color="auto"/>
        <w:left w:val="none" w:sz="0" w:space="0" w:color="auto"/>
        <w:bottom w:val="none" w:sz="0" w:space="0" w:color="auto"/>
        <w:right w:val="none" w:sz="0" w:space="0" w:color="auto"/>
      </w:divBdr>
      <w:divsChild>
        <w:div w:id="1714885340">
          <w:marLeft w:val="0"/>
          <w:marRight w:val="0"/>
          <w:marTop w:val="0"/>
          <w:marBottom w:val="0"/>
          <w:divBdr>
            <w:top w:val="none" w:sz="0" w:space="0" w:color="auto"/>
            <w:left w:val="none" w:sz="0" w:space="0" w:color="auto"/>
            <w:bottom w:val="none" w:sz="0" w:space="0" w:color="auto"/>
            <w:right w:val="none" w:sz="0" w:space="0" w:color="auto"/>
          </w:divBdr>
          <w:divsChild>
            <w:div w:id="800611097">
              <w:marLeft w:val="0"/>
              <w:marRight w:val="0"/>
              <w:marTop w:val="0"/>
              <w:marBottom w:val="0"/>
              <w:divBdr>
                <w:top w:val="none" w:sz="0" w:space="0" w:color="auto"/>
                <w:left w:val="none" w:sz="0" w:space="0" w:color="auto"/>
                <w:bottom w:val="none" w:sz="0" w:space="0" w:color="auto"/>
                <w:right w:val="none" w:sz="0" w:space="0" w:color="auto"/>
              </w:divBdr>
              <w:divsChild>
                <w:div w:id="1390154784">
                  <w:marLeft w:val="0"/>
                  <w:marRight w:val="0"/>
                  <w:marTop w:val="0"/>
                  <w:marBottom w:val="0"/>
                  <w:divBdr>
                    <w:top w:val="none" w:sz="0" w:space="0" w:color="auto"/>
                    <w:left w:val="none" w:sz="0" w:space="0" w:color="auto"/>
                    <w:bottom w:val="none" w:sz="0" w:space="0" w:color="auto"/>
                    <w:right w:val="none" w:sz="0" w:space="0" w:color="auto"/>
                  </w:divBdr>
                  <w:divsChild>
                    <w:div w:id="214195939">
                      <w:marLeft w:val="0"/>
                      <w:marRight w:val="0"/>
                      <w:marTop w:val="0"/>
                      <w:marBottom w:val="0"/>
                      <w:divBdr>
                        <w:top w:val="none" w:sz="0" w:space="0" w:color="auto"/>
                        <w:left w:val="none" w:sz="0" w:space="0" w:color="auto"/>
                        <w:bottom w:val="none" w:sz="0" w:space="0" w:color="auto"/>
                        <w:right w:val="none" w:sz="0" w:space="0" w:color="auto"/>
                      </w:divBdr>
                      <w:divsChild>
                        <w:div w:id="4331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33958">
      <w:bodyDiv w:val="1"/>
      <w:marLeft w:val="0"/>
      <w:marRight w:val="0"/>
      <w:marTop w:val="0"/>
      <w:marBottom w:val="0"/>
      <w:divBdr>
        <w:top w:val="none" w:sz="0" w:space="0" w:color="auto"/>
        <w:left w:val="none" w:sz="0" w:space="0" w:color="auto"/>
        <w:bottom w:val="none" w:sz="0" w:space="0" w:color="auto"/>
        <w:right w:val="none" w:sz="0" w:space="0" w:color="auto"/>
      </w:divBdr>
    </w:div>
    <w:div w:id="180516488">
      <w:bodyDiv w:val="1"/>
      <w:marLeft w:val="0"/>
      <w:marRight w:val="0"/>
      <w:marTop w:val="0"/>
      <w:marBottom w:val="0"/>
      <w:divBdr>
        <w:top w:val="none" w:sz="0" w:space="0" w:color="auto"/>
        <w:left w:val="none" w:sz="0" w:space="0" w:color="auto"/>
        <w:bottom w:val="none" w:sz="0" w:space="0" w:color="auto"/>
        <w:right w:val="none" w:sz="0" w:space="0" w:color="auto"/>
      </w:divBdr>
    </w:div>
    <w:div w:id="183641237">
      <w:bodyDiv w:val="1"/>
      <w:marLeft w:val="0"/>
      <w:marRight w:val="0"/>
      <w:marTop w:val="0"/>
      <w:marBottom w:val="0"/>
      <w:divBdr>
        <w:top w:val="none" w:sz="0" w:space="0" w:color="auto"/>
        <w:left w:val="none" w:sz="0" w:space="0" w:color="auto"/>
        <w:bottom w:val="none" w:sz="0" w:space="0" w:color="auto"/>
        <w:right w:val="none" w:sz="0" w:space="0" w:color="auto"/>
      </w:divBdr>
    </w:div>
    <w:div w:id="205266399">
      <w:bodyDiv w:val="1"/>
      <w:marLeft w:val="0"/>
      <w:marRight w:val="0"/>
      <w:marTop w:val="0"/>
      <w:marBottom w:val="0"/>
      <w:divBdr>
        <w:top w:val="none" w:sz="0" w:space="0" w:color="auto"/>
        <w:left w:val="none" w:sz="0" w:space="0" w:color="auto"/>
        <w:bottom w:val="none" w:sz="0" w:space="0" w:color="auto"/>
        <w:right w:val="none" w:sz="0" w:space="0" w:color="auto"/>
      </w:divBdr>
    </w:div>
    <w:div w:id="207030180">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291132663">
      <w:bodyDiv w:val="1"/>
      <w:marLeft w:val="0"/>
      <w:marRight w:val="0"/>
      <w:marTop w:val="0"/>
      <w:marBottom w:val="0"/>
      <w:divBdr>
        <w:top w:val="none" w:sz="0" w:space="0" w:color="auto"/>
        <w:left w:val="none" w:sz="0" w:space="0" w:color="auto"/>
        <w:bottom w:val="none" w:sz="0" w:space="0" w:color="auto"/>
        <w:right w:val="none" w:sz="0" w:space="0" w:color="auto"/>
      </w:divBdr>
    </w:div>
    <w:div w:id="300775213">
      <w:bodyDiv w:val="1"/>
      <w:marLeft w:val="0"/>
      <w:marRight w:val="0"/>
      <w:marTop w:val="0"/>
      <w:marBottom w:val="0"/>
      <w:divBdr>
        <w:top w:val="none" w:sz="0" w:space="0" w:color="auto"/>
        <w:left w:val="none" w:sz="0" w:space="0" w:color="auto"/>
        <w:bottom w:val="none" w:sz="0" w:space="0" w:color="auto"/>
        <w:right w:val="none" w:sz="0" w:space="0" w:color="auto"/>
      </w:divBdr>
    </w:div>
    <w:div w:id="372006173">
      <w:bodyDiv w:val="1"/>
      <w:marLeft w:val="0"/>
      <w:marRight w:val="0"/>
      <w:marTop w:val="0"/>
      <w:marBottom w:val="0"/>
      <w:divBdr>
        <w:top w:val="none" w:sz="0" w:space="0" w:color="auto"/>
        <w:left w:val="none" w:sz="0" w:space="0" w:color="auto"/>
        <w:bottom w:val="none" w:sz="0" w:space="0" w:color="auto"/>
        <w:right w:val="none" w:sz="0" w:space="0" w:color="auto"/>
      </w:divBdr>
    </w:div>
    <w:div w:id="373194080">
      <w:bodyDiv w:val="1"/>
      <w:marLeft w:val="0"/>
      <w:marRight w:val="0"/>
      <w:marTop w:val="0"/>
      <w:marBottom w:val="0"/>
      <w:divBdr>
        <w:top w:val="none" w:sz="0" w:space="0" w:color="auto"/>
        <w:left w:val="none" w:sz="0" w:space="0" w:color="auto"/>
        <w:bottom w:val="none" w:sz="0" w:space="0" w:color="auto"/>
        <w:right w:val="none" w:sz="0" w:space="0" w:color="auto"/>
      </w:divBdr>
    </w:div>
    <w:div w:id="460730473">
      <w:bodyDiv w:val="1"/>
      <w:marLeft w:val="0"/>
      <w:marRight w:val="0"/>
      <w:marTop w:val="0"/>
      <w:marBottom w:val="0"/>
      <w:divBdr>
        <w:top w:val="none" w:sz="0" w:space="0" w:color="auto"/>
        <w:left w:val="none" w:sz="0" w:space="0" w:color="auto"/>
        <w:bottom w:val="none" w:sz="0" w:space="0" w:color="auto"/>
        <w:right w:val="none" w:sz="0" w:space="0" w:color="auto"/>
      </w:divBdr>
    </w:div>
    <w:div w:id="461387523">
      <w:bodyDiv w:val="1"/>
      <w:marLeft w:val="0"/>
      <w:marRight w:val="0"/>
      <w:marTop w:val="0"/>
      <w:marBottom w:val="0"/>
      <w:divBdr>
        <w:top w:val="none" w:sz="0" w:space="0" w:color="auto"/>
        <w:left w:val="none" w:sz="0" w:space="0" w:color="auto"/>
        <w:bottom w:val="none" w:sz="0" w:space="0" w:color="auto"/>
        <w:right w:val="none" w:sz="0" w:space="0" w:color="auto"/>
      </w:divBdr>
    </w:div>
    <w:div w:id="575434405">
      <w:bodyDiv w:val="1"/>
      <w:marLeft w:val="0"/>
      <w:marRight w:val="0"/>
      <w:marTop w:val="0"/>
      <w:marBottom w:val="0"/>
      <w:divBdr>
        <w:top w:val="none" w:sz="0" w:space="0" w:color="auto"/>
        <w:left w:val="none" w:sz="0" w:space="0" w:color="auto"/>
        <w:bottom w:val="none" w:sz="0" w:space="0" w:color="auto"/>
        <w:right w:val="none" w:sz="0" w:space="0" w:color="auto"/>
      </w:divBdr>
    </w:div>
    <w:div w:id="607927946">
      <w:bodyDiv w:val="1"/>
      <w:marLeft w:val="0"/>
      <w:marRight w:val="0"/>
      <w:marTop w:val="0"/>
      <w:marBottom w:val="0"/>
      <w:divBdr>
        <w:top w:val="none" w:sz="0" w:space="0" w:color="auto"/>
        <w:left w:val="none" w:sz="0" w:space="0" w:color="auto"/>
        <w:bottom w:val="none" w:sz="0" w:space="0" w:color="auto"/>
        <w:right w:val="none" w:sz="0" w:space="0" w:color="auto"/>
      </w:divBdr>
      <w:divsChild>
        <w:div w:id="850022250">
          <w:marLeft w:val="0"/>
          <w:marRight w:val="0"/>
          <w:marTop w:val="0"/>
          <w:marBottom w:val="0"/>
          <w:divBdr>
            <w:top w:val="none" w:sz="0" w:space="0" w:color="auto"/>
            <w:left w:val="none" w:sz="0" w:space="0" w:color="auto"/>
            <w:bottom w:val="none" w:sz="0" w:space="0" w:color="auto"/>
            <w:right w:val="none" w:sz="0" w:space="0" w:color="auto"/>
          </w:divBdr>
          <w:divsChild>
            <w:div w:id="556169316">
              <w:marLeft w:val="0"/>
              <w:marRight w:val="0"/>
              <w:marTop w:val="0"/>
              <w:marBottom w:val="0"/>
              <w:divBdr>
                <w:top w:val="none" w:sz="0" w:space="0" w:color="auto"/>
                <w:left w:val="none" w:sz="0" w:space="0" w:color="auto"/>
                <w:bottom w:val="none" w:sz="0" w:space="0" w:color="auto"/>
                <w:right w:val="none" w:sz="0" w:space="0" w:color="auto"/>
              </w:divBdr>
              <w:divsChild>
                <w:div w:id="281882465">
                  <w:marLeft w:val="0"/>
                  <w:marRight w:val="0"/>
                  <w:marTop w:val="0"/>
                  <w:marBottom w:val="0"/>
                  <w:divBdr>
                    <w:top w:val="none" w:sz="0" w:space="0" w:color="auto"/>
                    <w:left w:val="none" w:sz="0" w:space="0" w:color="auto"/>
                    <w:bottom w:val="none" w:sz="0" w:space="0" w:color="auto"/>
                    <w:right w:val="none" w:sz="0" w:space="0" w:color="auto"/>
                  </w:divBdr>
                  <w:divsChild>
                    <w:div w:id="665787151">
                      <w:marLeft w:val="0"/>
                      <w:marRight w:val="0"/>
                      <w:marTop w:val="0"/>
                      <w:marBottom w:val="0"/>
                      <w:divBdr>
                        <w:top w:val="none" w:sz="0" w:space="0" w:color="auto"/>
                        <w:left w:val="none" w:sz="0" w:space="0" w:color="auto"/>
                        <w:bottom w:val="none" w:sz="0" w:space="0" w:color="auto"/>
                        <w:right w:val="none" w:sz="0" w:space="0" w:color="auto"/>
                      </w:divBdr>
                      <w:divsChild>
                        <w:div w:id="959649044">
                          <w:marLeft w:val="0"/>
                          <w:marRight w:val="0"/>
                          <w:marTop w:val="150"/>
                          <w:marBottom w:val="0"/>
                          <w:divBdr>
                            <w:top w:val="none" w:sz="0" w:space="0" w:color="auto"/>
                            <w:left w:val="none" w:sz="0" w:space="0" w:color="auto"/>
                            <w:bottom w:val="none" w:sz="0" w:space="0" w:color="auto"/>
                            <w:right w:val="none" w:sz="0" w:space="0" w:color="auto"/>
                          </w:divBdr>
                          <w:divsChild>
                            <w:div w:id="1542665418">
                              <w:marLeft w:val="0"/>
                              <w:marRight w:val="0"/>
                              <w:marTop w:val="0"/>
                              <w:marBottom w:val="0"/>
                              <w:divBdr>
                                <w:top w:val="none" w:sz="0" w:space="0" w:color="auto"/>
                                <w:left w:val="none" w:sz="0" w:space="0" w:color="auto"/>
                                <w:bottom w:val="none" w:sz="0" w:space="0" w:color="auto"/>
                                <w:right w:val="none" w:sz="0" w:space="0" w:color="auto"/>
                              </w:divBdr>
                              <w:divsChild>
                                <w:div w:id="355693972">
                                  <w:marLeft w:val="0"/>
                                  <w:marRight w:val="0"/>
                                  <w:marTop w:val="0"/>
                                  <w:marBottom w:val="0"/>
                                  <w:divBdr>
                                    <w:top w:val="none" w:sz="0" w:space="0" w:color="auto"/>
                                    <w:left w:val="none" w:sz="0" w:space="0" w:color="auto"/>
                                    <w:bottom w:val="none" w:sz="0" w:space="0" w:color="auto"/>
                                    <w:right w:val="none" w:sz="0" w:space="0" w:color="auto"/>
                                  </w:divBdr>
                                  <w:divsChild>
                                    <w:div w:id="1020623427">
                                      <w:marLeft w:val="0"/>
                                      <w:marRight w:val="0"/>
                                      <w:marTop w:val="0"/>
                                      <w:marBottom w:val="0"/>
                                      <w:divBdr>
                                        <w:top w:val="none" w:sz="0" w:space="0" w:color="auto"/>
                                        <w:left w:val="none" w:sz="0" w:space="0" w:color="auto"/>
                                        <w:bottom w:val="none" w:sz="0" w:space="0" w:color="auto"/>
                                        <w:right w:val="none" w:sz="0" w:space="0" w:color="auto"/>
                                      </w:divBdr>
                                      <w:divsChild>
                                        <w:div w:id="1049308148">
                                          <w:marLeft w:val="0"/>
                                          <w:marRight w:val="0"/>
                                          <w:marTop w:val="0"/>
                                          <w:marBottom w:val="0"/>
                                          <w:divBdr>
                                            <w:top w:val="none" w:sz="0" w:space="0" w:color="auto"/>
                                            <w:left w:val="none" w:sz="0" w:space="0" w:color="auto"/>
                                            <w:bottom w:val="none" w:sz="0" w:space="0" w:color="auto"/>
                                            <w:right w:val="none" w:sz="0" w:space="0" w:color="auto"/>
                                          </w:divBdr>
                                          <w:divsChild>
                                            <w:div w:id="2060124732">
                                              <w:marLeft w:val="0"/>
                                              <w:marRight w:val="0"/>
                                              <w:marTop w:val="0"/>
                                              <w:marBottom w:val="0"/>
                                              <w:divBdr>
                                                <w:top w:val="none" w:sz="0" w:space="0" w:color="auto"/>
                                                <w:left w:val="none" w:sz="0" w:space="0" w:color="auto"/>
                                                <w:bottom w:val="none" w:sz="0" w:space="0" w:color="auto"/>
                                                <w:right w:val="none" w:sz="0" w:space="0" w:color="auto"/>
                                              </w:divBdr>
                                              <w:divsChild>
                                                <w:div w:id="1241257141">
                                                  <w:marLeft w:val="0"/>
                                                  <w:marRight w:val="0"/>
                                                  <w:marTop w:val="0"/>
                                                  <w:marBottom w:val="0"/>
                                                  <w:divBdr>
                                                    <w:top w:val="none" w:sz="0" w:space="0" w:color="auto"/>
                                                    <w:left w:val="none" w:sz="0" w:space="0" w:color="auto"/>
                                                    <w:bottom w:val="none" w:sz="0" w:space="0" w:color="auto"/>
                                                    <w:right w:val="none" w:sz="0" w:space="0" w:color="auto"/>
                                                  </w:divBdr>
                                                  <w:divsChild>
                                                    <w:div w:id="581329241">
                                                      <w:marLeft w:val="0"/>
                                                      <w:marRight w:val="0"/>
                                                      <w:marTop w:val="0"/>
                                                      <w:marBottom w:val="0"/>
                                                      <w:divBdr>
                                                        <w:top w:val="none" w:sz="0" w:space="0" w:color="auto"/>
                                                        <w:left w:val="none" w:sz="0" w:space="0" w:color="auto"/>
                                                        <w:bottom w:val="none" w:sz="0" w:space="0" w:color="auto"/>
                                                        <w:right w:val="none" w:sz="0" w:space="0" w:color="auto"/>
                                                      </w:divBdr>
                                                      <w:divsChild>
                                                        <w:div w:id="206570183">
                                                          <w:marLeft w:val="0"/>
                                                          <w:marRight w:val="0"/>
                                                          <w:marTop w:val="0"/>
                                                          <w:marBottom w:val="0"/>
                                                          <w:divBdr>
                                                            <w:top w:val="none" w:sz="0" w:space="0" w:color="auto"/>
                                                            <w:left w:val="none" w:sz="0" w:space="0" w:color="auto"/>
                                                            <w:bottom w:val="none" w:sz="0" w:space="0" w:color="auto"/>
                                                            <w:right w:val="none" w:sz="0" w:space="0" w:color="auto"/>
                                                          </w:divBdr>
                                                          <w:divsChild>
                                                            <w:div w:id="462773388">
                                                              <w:marLeft w:val="0"/>
                                                              <w:marRight w:val="0"/>
                                                              <w:marTop w:val="0"/>
                                                              <w:marBottom w:val="0"/>
                                                              <w:divBdr>
                                                                <w:top w:val="none" w:sz="0" w:space="0" w:color="auto"/>
                                                                <w:left w:val="none" w:sz="0" w:space="0" w:color="auto"/>
                                                                <w:bottom w:val="none" w:sz="0" w:space="0" w:color="auto"/>
                                                                <w:right w:val="none" w:sz="0" w:space="0" w:color="auto"/>
                                                              </w:divBdr>
                                                              <w:divsChild>
                                                                <w:div w:id="1824925186">
                                                                  <w:marLeft w:val="0"/>
                                                                  <w:marRight w:val="0"/>
                                                                  <w:marTop w:val="0"/>
                                                                  <w:marBottom w:val="0"/>
                                                                  <w:divBdr>
                                                                    <w:top w:val="none" w:sz="0" w:space="0" w:color="auto"/>
                                                                    <w:left w:val="none" w:sz="0" w:space="0" w:color="auto"/>
                                                                    <w:bottom w:val="none" w:sz="0" w:space="0" w:color="auto"/>
                                                                    <w:right w:val="none" w:sz="0" w:space="0" w:color="auto"/>
                                                                  </w:divBdr>
                                                                  <w:divsChild>
                                                                    <w:div w:id="706687569">
                                                                      <w:marLeft w:val="0"/>
                                                                      <w:marRight w:val="0"/>
                                                                      <w:marTop w:val="0"/>
                                                                      <w:marBottom w:val="0"/>
                                                                      <w:divBdr>
                                                                        <w:top w:val="none" w:sz="0" w:space="0" w:color="auto"/>
                                                                        <w:left w:val="none" w:sz="0" w:space="0" w:color="auto"/>
                                                                        <w:bottom w:val="none" w:sz="0" w:space="0" w:color="auto"/>
                                                                        <w:right w:val="none" w:sz="0" w:space="0" w:color="auto"/>
                                                                      </w:divBdr>
                                                                      <w:divsChild>
                                                                        <w:div w:id="2279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4213952">
      <w:bodyDiv w:val="1"/>
      <w:marLeft w:val="0"/>
      <w:marRight w:val="0"/>
      <w:marTop w:val="0"/>
      <w:marBottom w:val="0"/>
      <w:divBdr>
        <w:top w:val="none" w:sz="0" w:space="0" w:color="auto"/>
        <w:left w:val="none" w:sz="0" w:space="0" w:color="auto"/>
        <w:bottom w:val="none" w:sz="0" w:space="0" w:color="auto"/>
        <w:right w:val="none" w:sz="0" w:space="0" w:color="auto"/>
      </w:divBdr>
    </w:div>
    <w:div w:id="714816181">
      <w:bodyDiv w:val="1"/>
      <w:marLeft w:val="0"/>
      <w:marRight w:val="0"/>
      <w:marTop w:val="0"/>
      <w:marBottom w:val="0"/>
      <w:divBdr>
        <w:top w:val="none" w:sz="0" w:space="0" w:color="auto"/>
        <w:left w:val="none" w:sz="0" w:space="0" w:color="auto"/>
        <w:bottom w:val="none" w:sz="0" w:space="0" w:color="auto"/>
        <w:right w:val="none" w:sz="0" w:space="0" w:color="auto"/>
      </w:divBdr>
    </w:div>
    <w:div w:id="754321380">
      <w:bodyDiv w:val="1"/>
      <w:marLeft w:val="0"/>
      <w:marRight w:val="0"/>
      <w:marTop w:val="0"/>
      <w:marBottom w:val="0"/>
      <w:divBdr>
        <w:top w:val="none" w:sz="0" w:space="0" w:color="auto"/>
        <w:left w:val="none" w:sz="0" w:space="0" w:color="auto"/>
        <w:bottom w:val="none" w:sz="0" w:space="0" w:color="auto"/>
        <w:right w:val="none" w:sz="0" w:space="0" w:color="auto"/>
      </w:divBdr>
    </w:div>
    <w:div w:id="814033623">
      <w:bodyDiv w:val="1"/>
      <w:marLeft w:val="0"/>
      <w:marRight w:val="0"/>
      <w:marTop w:val="0"/>
      <w:marBottom w:val="0"/>
      <w:divBdr>
        <w:top w:val="none" w:sz="0" w:space="0" w:color="auto"/>
        <w:left w:val="none" w:sz="0" w:space="0" w:color="auto"/>
        <w:bottom w:val="none" w:sz="0" w:space="0" w:color="auto"/>
        <w:right w:val="none" w:sz="0" w:space="0" w:color="auto"/>
      </w:divBdr>
    </w:div>
    <w:div w:id="932324286">
      <w:bodyDiv w:val="1"/>
      <w:marLeft w:val="0"/>
      <w:marRight w:val="0"/>
      <w:marTop w:val="0"/>
      <w:marBottom w:val="0"/>
      <w:divBdr>
        <w:top w:val="none" w:sz="0" w:space="0" w:color="auto"/>
        <w:left w:val="none" w:sz="0" w:space="0" w:color="auto"/>
        <w:bottom w:val="none" w:sz="0" w:space="0" w:color="auto"/>
        <w:right w:val="none" w:sz="0" w:space="0" w:color="auto"/>
      </w:divBdr>
    </w:div>
    <w:div w:id="968626350">
      <w:bodyDiv w:val="1"/>
      <w:marLeft w:val="0"/>
      <w:marRight w:val="0"/>
      <w:marTop w:val="0"/>
      <w:marBottom w:val="0"/>
      <w:divBdr>
        <w:top w:val="none" w:sz="0" w:space="0" w:color="auto"/>
        <w:left w:val="none" w:sz="0" w:space="0" w:color="auto"/>
        <w:bottom w:val="none" w:sz="0" w:space="0" w:color="auto"/>
        <w:right w:val="none" w:sz="0" w:space="0" w:color="auto"/>
      </w:divBdr>
    </w:div>
    <w:div w:id="1045570462">
      <w:bodyDiv w:val="1"/>
      <w:marLeft w:val="0"/>
      <w:marRight w:val="0"/>
      <w:marTop w:val="0"/>
      <w:marBottom w:val="0"/>
      <w:divBdr>
        <w:top w:val="none" w:sz="0" w:space="0" w:color="auto"/>
        <w:left w:val="none" w:sz="0" w:space="0" w:color="auto"/>
        <w:bottom w:val="none" w:sz="0" w:space="0" w:color="auto"/>
        <w:right w:val="none" w:sz="0" w:space="0" w:color="auto"/>
      </w:divBdr>
    </w:div>
    <w:div w:id="1061368972">
      <w:bodyDiv w:val="1"/>
      <w:marLeft w:val="0"/>
      <w:marRight w:val="0"/>
      <w:marTop w:val="0"/>
      <w:marBottom w:val="0"/>
      <w:divBdr>
        <w:top w:val="none" w:sz="0" w:space="0" w:color="auto"/>
        <w:left w:val="none" w:sz="0" w:space="0" w:color="auto"/>
        <w:bottom w:val="none" w:sz="0" w:space="0" w:color="auto"/>
        <w:right w:val="none" w:sz="0" w:space="0" w:color="auto"/>
      </w:divBdr>
    </w:div>
    <w:div w:id="1096756206">
      <w:bodyDiv w:val="1"/>
      <w:marLeft w:val="0"/>
      <w:marRight w:val="0"/>
      <w:marTop w:val="0"/>
      <w:marBottom w:val="0"/>
      <w:divBdr>
        <w:top w:val="none" w:sz="0" w:space="0" w:color="auto"/>
        <w:left w:val="none" w:sz="0" w:space="0" w:color="auto"/>
        <w:bottom w:val="none" w:sz="0" w:space="0" w:color="auto"/>
        <w:right w:val="none" w:sz="0" w:space="0" w:color="auto"/>
      </w:divBdr>
    </w:div>
    <w:div w:id="1105732180">
      <w:bodyDiv w:val="1"/>
      <w:marLeft w:val="0"/>
      <w:marRight w:val="0"/>
      <w:marTop w:val="0"/>
      <w:marBottom w:val="0"/>
      <w:divBdr>
        <w:top w:val="none" w:sz="0" w:space="0" w:color="auto"/>
        <w:left w:val="none" w:sz="0" w:space="0" w:color="auto"/>
        <w:bottom w:val="none" w:sz="0" w:space="0" w:color="auto"/>
        <w:right w:val="none" w:sz="0" w:space="0" w:color="auto"/>
      </w:divBdr>
    </w:div>
    <w:div w:id="1112699578">
      <w:bodyDiv w:val="1"/>
      <w:marLeft w:val="0"/>
      <w:marRight w:val="0"/>
      <w:marTop w:val="0"/>
      <w:marBottom w:val="0"/>
      <w:divBdr>
        <w:top w:val="none" w:sz="0" w:space="0" w:color="auto"/>
        <w:left w:val="none" w:sz="0" w:space="0" w:color="auto"/>
        <w:bottom w:val="none" w:sz="0" w:space="0" w:color="auto"/>
        <w:right w:val="none" w:sz="0" w:space="0" w:color="auto"/>
      </w:divBdr>
    </w:div>
    <w:div w:id="1131288496">
      <w:bodyDiv w:val="1"/>
      <w:marLeft w:val="0"/>
      <w:marRight w:val="0"/>
      <w:marTop w:val="0"/>
      <w:marBottom w:val="0"/>
      <w:divBdr>
        <w:top w:val="none" w:sz="0" w:space="0" w:color="auto"/>
        <w:left w:val="none" w:sz="0" w:space="0" w:color="auto"/>
        <w:bottom w:val="none" w:sz="0" w:space="0" w:color="auto"/>
        <w:right w:val="none" w:sz="0" w:space="0" w:color="auto"/>
      </w:divBdr>
    </w:div>
    <w:div w:id="1216622994">
      <w:bodyDiv w:val="1"/>
      <w:marLeft w:val="0"/>
      <w:marRight w:val="0"/>
      <w:marTop w:val="0"/>
      <w:marBottom w:val="0"/>
      <w:divBdr>
        <w:top w:val="none" w:sz="0" w:space="0" w:color="auto"/>
        <w:left w:val="none" w:sz="0" w:space="0" w:color="auto"/>
        <w:bottom w:val="none" w:sz="0" w:space="0" w:color="auto"/>
        <w:right w:val="none" w:sz="0" w:space="0" w:color="auto"/>
      </w:divBdr>
    </w:div>
    <w:div w:id="1228803273">
      <w:bodyDiv w:val="1"/>
      <w:marLeft w:val="0"/>
      <w:marRight w:val="0"/>
      <w:marTop w:val="0"/>
      <w:marBottom w:val="0"/>
      <w:divBdr>
        <w:top w:val="none" w:sz="0" w:space="0" w:color="auto"/>
        <w:left w:val="none" w:sz="0" w:space="0" w:color="auto"/>
        <w:bottom w:val="none" w:sz="0" w:space="0" w:color="auto"/>
        <w:right w:val="none" w:sz="0" w:space="0" w:color="auto"/>
      </w:divBdr>
    </w:div>
    <w:div w:id="1249265688">
      <w:bodyDiv w:val="1"/>
      <w:marLeft w:val="0"/>
      <w:marRight w:val="0"/>
      <w:marTop w:val="0"/>
      <w:marBottom w:val="0"/>
      <w:divBdr>
        <w:top w:val="none" w:sz="0" w:space="0" w:color="auto"/>
        <w:left w:val="none" w:sz="0" w:space="0" w:color="auto"/>
        <w:bottom w:val="none" w:sz="0" w:space="0" w:color="auto"/>
        <w:right w:val="none" w:sz="0" w:space="0" w:color="auto"/>
      </w:divBdr>
    </w:div>
    <w:div w:id="1252543980">
      <w:bodyDiv w:val="1"/>
      <w:marLeft w:val="0"/>
      <w:marRight w:val="0"/>
      <w:marTop w:val="0"/>
      <w:marBottom w:val="0"/>
      <w:divBdr>
        <w:top w:val="none" w:sz="0" w:space="0" w:color="auto"/>
        <w:left w:val="none" w:sz="0" w:space="0" w:color="auto"/>
        <w:bottom w:val="none" w:sz="0" w:space="0" w:color="auto"/>
        <w:right w:val="none" w:sz="0" w:space="0" w:color="auto"/>
      </w:divBdr>
    </w:div>
    <w:div w:id="1292201186">
      <w:bodyDiv w:val="1"/>
      <w:marLeft w:val="0"/>
      <w:marRight w:val="0"/>
      <w:marTop w:val="0"/>
      <w:marBottom w:val="0"/>
      <w:divBdr>
        <w:top w:val="none" w:sz="0" w:space="0" w:color="auto"/>
        <w:left w:val="none" w:sz="0" w:space="0" w:color="auto"/>
        <w:bottom w:val="none" w:sz="0" w:space="0" w:color="auto"/>
        <w:right w:val="none" w:sz="0" w:space="0" w:color="auto"/>
      </w:divBdr>
    </w:div>
    <w:div w:id="1316103323">
      <w:bodyDiv w:val="1"/>
      <w:marLeft w:val="0"/>
      <w:marRight w:val="0"/>
      <w:marTop w:val="0"/>
      <w:marBottom w:val="0"/>
      <w:divBdr>
        <w:top w:val="none" w:sz="0" w:space="0" w:color="auto"/>
        <w:left w:val="none" w:sz="0" w:space="0" w:color="auto"/>
        <w:bottom w:val="none" w:sz="0" w:space="0" w:color="auto"/>
        <w:right w:val="none" w:sz="0" w:space="0" w:color="auto"/>
      </w:divBdr>
    </w:div>
    <w:div w:id="1389373861">
      <w:bodyDiv w:val="1"/>
      <w:marLeft w:val="0"/>
      <w:marRight w:val="0"/>
      <w:marTop w:val="0"/>
      <w:marBottom w:val="0"/>
      <w:divBdr>
        <w:top w:val="none" w:sz="0" w:space="0" w:color="auto"/>
        <w:left w:val="none" w:sz="0" w:space="0" w:color="auto"/>
        <w:bottom w:val="none" w:sz="0" w:space="0" w:color="auto"/>
        <w:right w:val="none" w:sz="0" w:space="0" w:color="auto"/>
      </w:divBdr>
    </w:div>
    <w:div w:id="1414551358">
      <w:bodyDiv w:val="1"/>
      <w:marLeft w:val="0"/>
      <w:marRight w:val="0"/>
      <w:marTop w:val="0"/>
      <w:marBottom w:val="0"/>
      <w:divBdr>
        <w:top w:val="none" w:sz="0" w:space="0" w:color="auto"/>
        <w:left w:val="none" w:sz="0" w:space="0" w:color="auto"/>
        <w:bottom w:val="none" w:sz="0" w:space="0" w:color="auto"/>
        <w:right w:val="none" w:sz="0" w:space="0" w:color="auto"/>
      </w:divBdr>
    </w:div>
    <w:div w:id="1430467448">
      <w:bodyDiv w:val="1"/>
      <w:marLeft w:val="0"/>
      <w:marRight w:val="0"/>
      <w:marTop w:val="0"/>
      <w:marBottom w:val="0"/>
      <w:divBdr>
        <w:top w:val="none" w:sz="0" w:space="0" w:color="auto"/>
        <w:left w:val="none" w:sz="0" w:space="0" w:color="auto"/>
        <w:bottom w:val="none" w:sz="0" w:space="0" w:color="auto"/>
        <w:right w:val="none" w:sz="0" w:space="0" w:color="auto"/>
      </w:divBdr>
    </w:div>
    <w:div w:id="1503470744">
      <w:bodyDiv w:val="1"/>
      <w:marLeft w:val="0"/>
      <w:marRight w:val="0"/>
      <w:marTop w:val="0"/>
      <w:marBottom w:val="0"/>
      <w:divBdr>
        <w:top w:val="none" w:sz="0" w:space="0" w:color="auto"/>
        <w:left w:val="none" w:sz="0" w:space="0" w:color="auto"/>
        <w:bottom w:val="none" w:sz="0" w:space="0" w:color="auto"/>
        <w:right w:val="none" w:sz="0" w:space="0" w:color="auto"/>
      </w:divBdr>
    </w:div>
    <w:div w:id="1556895582">
      <w:bodyDiv w:val="1"/>
      <w:marLeft w:val="0"/>
      <w:marRight w:val="0"/>
      <w:marTop w:val="0"/>
      <w:marBottom w:val="0"/>
      <w:divBdr>
        <w:top w:val="none" w:sz="0" w:space="0" w:color="auto"/>
        <w:left w:val="none" w:sz="0" w:space="0" w:color="auto"/>
        <w:bottom w:val="none" w:sz="0" w:space="0" w:color="auto"/>
        <w:right w:val="none" w:sz="0" w:space="0" w:color="auto"/>
      </w:divBdr>
    </w:div>
    <w:div w:id="1562247636">
      <w:bodyDiv w:val="1"/>
      <w:marLeft w:val="0"/>
      <w:marRight w:val="0"/>
      <w:marTop w:val="0"/>
      <w:marBottom w:val="0"/>
      <w:divBdr>
        <w:top w:val="none" w:sz="0" w:space="0" w:color="auto"/>
        <w:left w:val="none" w:sz="0" w:space="0" w:color="auto"/>
        <w:bottom w:val="none" w:sz="0" w:space="0" w:color="auto"/>
        <w:right w:val="none" w:sz="0" w:space="0" w:color="auto"/>
      </w:divBdr>
    </w:div>
    <w:div w:id="1627353436">
      <w:bodyDiv w:val="1"/>
      <w:marLeft w:val="0"/>
      <w:marRight w:val="0"/>
      <w:marTop w:val="0"/>
      <w:marBottom w:val="0"/>
      <w:divBdr>
        <w:top w:val="none" w:sz="0" w:space="0" w:color="auto"/>
        <w:left w:val="none" w:sz="0" w:space="0" w:color="auto"/>
        <w:bottom w:val="none" w:sz="0" w:space="0" w:color="auto"/>
        <w:right w:val="none" w:sz="0" w:space="0" w:color="auto"/>
      </w:divBdr>
    </w:div>
    <w:div w:id="1681808957">
      <w:bodyDiv w:val="1"/>
      <w:marLeft w:val="0"/>
      <w:marRight w:val="0"/>
      <w:marTop w:val="0"/>
      <w:marBottom w:val="0"/>
      <w:divBdr>
        <w:top w:val="none" w:sz="0" w:space="0" w:color="auto"/>
        <w:left w:val="none" w:sz="0" w:space="0" w:color="auto"/>
        <w:bottom w:val="none" w:sz="0" w:space="0" w:color="auto"/>
        <w:right w:val="none" w:sz="0" w:space="0" w:color="auto"/>
      </w:divBdr>
    </w:div>
    <w:div w:id="1698578156">
      <w:bodyDiv w:val="1"/>
      <w:marLeft w:val="0"/>
      <w:marRight w:val="0"/>
      <w:marTop w:val="0"/>
      <w:marBottom w:val="0"/>
      <w:divBdr>
        <w:top w:val="none" w:sz="0" w:space="0" w:color="auto"/>
        <w:left w:val="none" w:sz="0" w:space="0" w:color="auto"/>
        <w:bottom w:val="none" w:sz="0" w:space="0" w:color="auto"/>
        <w:right w:val="none" w:sz="0" w:space="0" w:color="auto"/>
      </w:divBdr>
    </w:div>
    <w:div w:id="1851219288">
      <w:bodyDiv w:val="1"/>
      <w:marLeft w:val="0"/>
      <w:marRight w:val="0"/>
      <w:marTop w:val="0"/>
      <w:marBottom w:val="0"/>
      <w:divBdr>
        <w:top w:val="none" w:sz="0" w:space="0" w:color="auto"/>
        <w:left w:val="none" w:sz="0" w:space="0" w:color="auto"/>
        <w:bottom w:val="none" w:sz="0" w:space="0" w:color="auto"/>
        <w:right w:val="none" w:sz="0" w:space="0" w:color="auto"/>
      </w:divBdr>
    </w:div>
    <w:div w:id="1853564359">
      <w:bodyDiv w:val="1"/>
      <w:marLeft w:val="0"/>
      <w:marRight w:val="0"/>
      <w:marTop w:val="0"/>
      <w:marBottom w:val="0"/>
      <w:divBdr>
        <w:top w:val="none" w:sz="0" w:space="0" w:color="auto"/>
        <w:left w:val="none" w:sz="0" w:space="0" w:color="auto"/>
        <w:bottom w:val="none" w:sz="0" w:space="0" w:color="auto"/>
        <w:right w:val="none" w:sz="0" w:space="0" w:color="auto"/>
      </w:divBdr>
    </w:div>
    <w:div w:id="1857964245">
      <w:bodyDiv w:val="1"/>
      <w:marLeft w:val="0"/>
      <w:marRight w:val="0"/>
      <w:marTop w:val="0"/>
      <w:marBottom w:val="0"/>
      <w:divBdr>
        <w:top w:val="none" w:sz="0" w:space="0" w:color="auto"/>
        <w:left w:val="none" w:sz="0" w:space="0" w:color="auto"/>
        <w:bottom w:val="none" w:sz="0" w:space="0" w:color="auto"/>
        <w:right w:val="none" w:sz="0" w:space="0" w:color="auto"/>
      </w:divBdr>
    </w:div>
    <w:div w:id="1946574416">
      <w:bodyDiv w:val="1"/>
      <w:marLeft w:val="0"/>
      <w:marRight w:val="0"/>
      <w:marTop w:val="0"/>
      <w:marBottom w:val="0"/>
      <w:divBdr>
        <w:top w:val="none" w:sz="0" w:space="0" w:color="auto"/>
        <w:left w:val="none" w:sz="0" w:space="0" w:color="auto"/>
        <w:bottom w:val="none" w:sz="0" w:space="0" w:color="auto"/>
        <w:right w:val="none" w:sz="0" w:space="0" w:color="auto"/>
      </w:divBdr>
    </w:div>
    <w:div w:id="1957788144">
      <w:bodyDiv w:val="1"/>
      <w:marLeft w:val="0"/>
      <w:marRight w:val="0"/>
      <w:marTop w:val="0"/>
      <w:marBottom w:val="0"/>
      <w:divBdr>
        <w:top w:val="none" w:sz="0" w:space="0" w:color="auto"/>
        <w:left w:val="none" w:sz="0" w:space="0" w:color="auto"/>
        <w:bottom w:val="none" w:sz="0" w:space="0" w:color="auto"/>
        <w:right w:val="none" w:sz="0" w:space="0" w:color="auto"/>
      </w:divBdr>
    </w:div>
    <w:div w:id="2044744286">
      <w:bodyDiv w:val="1"/>
      <w:marLeft w:val="0"/>
      <w:marRight w:val="0"/>
      <w:marTop w:val="0"/>
      <w:marBottom w:val="0"/>
      <w:divBdr>
        <w:top w:val="none" w:sz="0" w:space="0" w:color="auto"/>
        <w:left w:val="none" w:sz="0" w:space="0" w:color="auto"/>
        <w:bottom w:val="none" w:sz="0" w:space="0" w:color="auto"/>
        <w:right w:val="none" w:sz="0" w:space="0" w:color="auto"/>
      </w:divBdr>
    </w:div>
    <w:div w:id="2047755262">
      <w:bodyDiv w:val="1"/>
      <w:marLeft w:val="0"/>
      <w:marRight w:val="0"/>
      <w:marTop w:val="0"/>
      <w:marBottom w:val="0"/>
      <w:divBdr>
        <w:top w:val="none" w:sz="0" w:space="0" w:color="auto"/>
        <w:left w:val="none" w:sz="0" w:space="0" w:color="auto"/>
        <w:bottom w:val="none" w:sz="0" w:space="0" w:color="auto"/>
        <w:right w:val="none" w:sz="0" w:space="0" w:color="auto"/>
      </w:divBdr>
    </w:div>
    <w:div w:id="2094424862">
      <w:bodyDiv w:val="1"/>
      <w:marLeft w:val="0"/>
      <w:marRight w:val="0"/>
      <w:marTop w:val="0"/>
      <w:marBottom w:val="0"/>
      <w:divBdr>
        <w:top w:val="none" w:sz="0" w:space="0" w:color="auto"/>
        <w:left w:val="none" w:sz="0" w:space="0" w:color="auto"/>
        <w:bottom w:val="none" w:sz="0" w:space="0" w:color="auto"/>
        <w:right w:val="none" w:sz="0" w:space="0" w:color="auto"/>
      </w:divBdr>
    </w:div>
    <w:div w:id="2101676981">
      <w:bodyDiv w:val="1"/>
      <w:marLeft w:val="0"/>
      <w:marRight w:val="0"/>
      <w:marTop w:val="0"/>
      <w:marBottom w:val="0"/>
      <w:divBdr>
        <w:top w:val="none" w:sz="0" w:space="0" w:color="auto"/>
        <w:left w:val="none" w:sz="0" w:space="0" w:color="auto"/>
        <w:bottom w:val="none" w:sz="0" w:space="0" w:color="auto"/>
        <w:right w:val="none" w:sz="0" w:space="0" w:color="auto"/>
      </w:divBdr>
    </w:div>
    <w:div w:id="210228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commissioners/sites/cwt/files/commissioner_mission_letters/andriukaitis_en.pdf" TargetMode="External"/><Relationship Id="rId2" Type="http://schemas.openxmlformats.org/officeDocument/2006/relationships/hyperlink" Target="https://ec.europa.eu/commission/sites/beta-political/files/juncker-political-guidelines-speech_da.pdf" TargetMode="External"/><Relationship Id="rId1" Type="http://schemas.openxmlformats.org/officeDocument/2006/relationships/hyperlink" Target="http://ec.europa.eu/health/ern/networks_da" TargetMode="External"/><Relationship Id="rId4" Type="http://schemas.openxmlformats.org/officeDocument/2006/relationships/hyperlink" Target="https://eur-lex.europa.eu/legal-content/DA/TXT/PDF/?uri=CELEX:32014D0927&amp;from=DA" TargetMode="External"/></Relationships>
</file>

<file path=word/_rels/header5.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7DE38-0560-4BB3-AB4E-FB998CC5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2608</Words>
  <Characters>16724</Characters>
  <Application>Microsoft Office Word</Application>
  <DocSecurity>0</DocSecurity>
  <Lines>341</Lines>
  <Paragraphs>177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2018-11-27T12:25:00Z</cp:lastPrinted>
  <dcterms:created xsi:type="dcterms:W3CDTF">2019-06-24T10:29:00Z</dcterms:created>
  <dcterms:modified xsi:type="dcterms:W3CDTF">2019-07-29T12:03:00Z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