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996D3B3-8CBC-4314-BE52-177BBAD3F5A5" style="width:450.35pt;height:394.65pt">
            <v:imagedata r:id="rId10" o:title=""/>
          </v:shape>
        </w:pict>
      </w:r>
    </w:p>
    <w:bookmarkEnd w:id="0"/>
    <w:p>
      <w:pPr>
        <w:pStyle w:val="Pagedecouverture"/>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rPr>
          <w:noProof/>
        </w:rPr>
      </w:pPr>
      <w:bookmarkStart w:id="1" w:name="_GoBack"/>
      <w:bookmarkEnd w:id="1"/>
      <w:r>
        <w:rPr>
          <w:noProof/>
        </w:rPr>
        <w:lastRenderedPageBreak/>
        <w:t xml:space="preserve">Kommissionens forslag er baseret på en konsekvensanalyse, der blev indgivet til Udvalget for Forskriftskontrol den. 21 marts 2018, og som udvalget afgav en positiv udtalelse til (referencekode "MFF – CEF") med visse forbehold. Udvalget anbefalede især at udbygge beskrivelsen af ordningerne for programmets overvågning og evaluering for bedre at forklare sammenhængen med andre EU-programmer og mere udførligt redegøre for, hvordan udvidelsen af programmets anvendelsesområde styrker CEF's grænseoverskridende karakter. De henstillinger, som udvalget fremsatte i sin udtalelse, er afspejlet i den endelige udgave af konsekvensanalysen. </w:t>
      </w:r>
    </w:p>
    <w:p>
      <w:pPr>
        <w:rPr>
          <w:noProof/>
        </w:rPr>
      </w:pPr>
    </w:p>
    <w:p>
      <w:pPr>
        <w:rPr>
          <w:noProof/>
        </w:rPr>
      </w:pPr>
      <w:r>
        <w:rPr>
          <w:noProof/>
        </w:rPr>
        <w:t xml:space="preserve">I overensstemmelse med den generelle fremgangsmåde, der anvendes i forbindelse med all FFR-relaterede konsekvensanalyser, sætter konsekvensanalysen af CEF fokus på de ændringer og politiske valg, der er fastsat i lovgivningsforslaget. Rapporten redegjorde især for strukturen og prioriteterne i den foreslåede videreførelse af CEF-programmet og undersøgte mulighederne for en optimal gennemførelse. </w:t>
      </w:r>
    </w:p>
    <w:p>
      <w:pPr>
        <w:rPr>
          <w:noProof/>
        </w:rPr>
      </w:pPr>
      <w:r>
        <w:rPr>
          <w:noProof/>
        </w:rPr>
        <w:t xml:space="preserve">Konsekvensanalysen byggede på de indsamlede erfaringer fra den nuværende CEF, og CEF's nylige midtvejsevaluering blev anvendt som den primære datakilde (ud over resultaterne af den åbne offentlige høring, der blev afholdt som led i en række offentlige høringer om hele spektret af EU's finansiering i fremtiden, og af de mere målrettede udvekslinger med interessenterne i forbindelse med synergier og vedvarende energi). </w:t>
      </w:r>
    </w:p>
    <w:p>
      <w:pPr>
        <w:rPr>
          <w:noProof/>
        </w:rPr>
      </w:pPr>
    </w:p>
    <w:p>
      <w:pPr>
        <w:rPr>
          <w:noProof/>
        </w:rPr>
      </w:pPr>
      <w:r>
        <w:rPr>
          <w:noProof/>
        </w:rPr>
        <w:t xml:space="preserve">Ved at udnytte de indsamlede erfaringer og overveje de nye udfordringer og den nye udvikling (især inden for den digitale sektor) blev det vurderet, om målsætningerne skulle justeres i forbindelse med det videreførte program. De fremtidige udfordringer for det nye CEF-program blev fastlagt, og der blev foretaget en vurdering af, hvordan CEF kunne opfylde FFR's fælles målsætninger såsom forenkling, større fleksibilitet og bedre performance. </w:t>
      </w:r>
    </w:p>
    <w:p>
      <w:pPr>
        <w:rPr>
          <w:noProof/>
        </w:rPr>
      </w:pPr>
      <w:r>
        <w:rPr>
          <w:noProof/>
        </w:rPr>
        <w:t>Strukturen og prioriteterne, kalibreringen med det nuværende CEF-program og det nye programs forventede gennemførelsesmekanisme blev drøftet yderligere ud fra et perspektiv om, at programmet effektivt skal opnå de fastsatte målsætninger. Især for udvidelsen af programmets interventionsområde blev alternative gennemførelsesmodeller vurderet både i forbindelse med den digitale søjle og med projekter inden for vedvarende energi af europæisk interesse. Konsekvensanalysen undersøgte også mulighederne for og kapaciteten til at styrke synergierne mellem de sektorer, der er omfattet af programmet.</w:t>
      </w:r>
    </w:p>
    <w:p>
      <w:pPr>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edsagedokument til"/>
    <w:docVar w:name="LW_CORRIGENDUM" w:val="&lt;UNUSED&gt;"/>
    <w:docVar w:name="LW_COVERPAGE_EXISTS" w:val="True"/>
    <w:docVar w:name="LW_COVERPAGE_GUID" w:val="7996D3B3-8CBC-4314-BE52-177BBAD3F5A5"/>
    <w:docVar w:name="LW_COVERPAGE_TYPE" w:val="1"/>
    <w:docVar w:name="LW_CROSSREFERENCE" w:val="{COM(2018) 438 final}_x000b_{SEC(2018) 292 final}_x000b_{SWD(2018) 312 final}"/>
    <w:docVar w:name="LW_DocType" w:val="NORMAL"/>
    <w:docVar w:name="LW_EMISSION" w:val="6.6.2018"/>
    <w:docVar w:name="LW_EMISSION_ISODATE" w:val="2018-06-06"/>
    <w:docVar w:name="LW_EMISSION_LOCATION" w:val="BRX"/>
    <w:docVar w:name="LW_EMISSION_PREFIX" w:val="Bruxelles, den "/>
    <w:docVar w:name="LW_EMISSION_SUFFIX" w:val="&lt;EMPTY&gt;"/>
    <w:docVar w:name="LW_ID_DOCTYPE_NONLW" w:val="CP-027"/>
    <w:docVar w:name="LW_LANGUE" w:val="DA"/>
    <w:docVar w:name="LW_LEVEL_OF_SENSITIVITY" w:val="Standard treatment"/>
    <w:docVar w:name="LW_NOM.INST" w:val="EUROPA-KOMMISSIONEN"/>
    <w:docVar w:name="LW_NOM.INST_JOINTDOC" w:val="&lt;EMPTY&gt;"/>
    <w:docVar w:name="LW_OBJETACTEPRINCIPAL.CP" w:val="om oprettelse af Connecting Europe-faciliteten og om ophævelse af forordning (EU) nr. 1316/2013 og (EU) nr. 283/2014"/>
    <w:docVar w:name="LW_PART_NBR" w:val="1"/>
    <w:docVar w:name="LW_PART_NBR_TOTAL" w:val="1"/>
    <w:docVar w:name="LW_REF.INST.NEW" w:val="SWD"/>
    <w:docVar w:name="LW_REF.INST.NEW_ADOPTED" w:val="final"/>
    <w:docVar w:name="LW_REF.INST.NEW_TEXT" w:val="(2018)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RBEJDSDOKUMENT FRA KOMMISSIONENS TJENESTEGRENE_x000b__x000b_RESUME AF KONSEKVENSANALYSEN_x000b_"/>
    <w:docVar w:name="LW_TYPEACTEPRINCIPAL.CP" w:val="Forslag til Europa-Parlamentets of Rådets forordning"/>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FooterSensitivityChar">
    <w:name w:val="Footer Sensitivity Char"/>
    <w:basedOn w:val="PagedecouvertureChar"/>
    <w:link w:val="FooterSensitivity"/>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Pr>
      <w:rFonts w:ascii="Times New Roman" w:eastAsia="Times New Roman" w:hAnsi="Times New Roman" w:cs="Times New Roman"/>
      <w:b/>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da-D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FooterSensitivityChar">
    <w:name w:val="Footer Sensitivity Char"/>
    <w:basedOn w:val="PagedecouvertureChar"/>
    <w:link w:val="FooterSensitivity"/>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Pr>
      <w:rFonts w:ascii="Times New Roman" w:eastAsia="Times New Roman" w:hAnsi="Times New Roman" w:cs="Times New Roman"/>
      <w:b/>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72C5CBCF7389F4BBB676E2A27E7080A" ma:contentTypeVersion="0" ma:contentTypeDescription="Create a new document in this library." ma:contentTypeScope="" ma:versionID="919c2279e7dbca6958564e7e3f67bdd1">
  <xsd:schema xmlns:xsd="http://www.w3.org/2001/XMLSchema" xmlns:xs="http://www.w3.org/2001/XMLSchema" xmlns:p="http://schemas.microsoft.com/office/2006/metadata/properties" xmlns:ns2="http://schemas.microsoft.com/sharepoint/v3/fields" xmlns:ns3="174c85df-4a88-44e8-beac-7d48130160fa" targetNamespace="http://schemas.microsoft.com/office/2006/metadata/properties" ma:root="true" ma:fieldsID="70135cfb28e073dc00b6bf11fb243c26" ns2:_="" ns3:_="">
    <xsd:import namespace="http://schemas.microsoft.com/sharepoint/v3/fields"/>
    <xsd:import namespace="174c85df-4a88-44e8-beac-7d48130160f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4c85df-4a88-44e8-beac-7d48130160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174c85df-4a88-44e8-beac-7d48130160fa">EN</EC_Collab_DocumentLanguage>
    <_Status xmlns="http://schemas.microsoft.com/sharepoint/v3/fields">Not Started</_Status>
    <EC_Collab_Reference xmlns="174c85df-4a88-44e8-beac-7d48130160fa" xsi:nil="true"/>
    <EC_Collab_Status xmlns="174c85df-4a88-44e8-beac-7d48130160fa">Not Started</EC_Collab_Status>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A3D6EB5E-D67D-4930-BA91-E8952F2D9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4c85df-4a88-44e8-beac-7d4813016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schemas.openxmlformats.org/package/2006/metadata/core-properties"/>
    <ds:schemaRef ds:uri="174c85df-4a88-44e8-beac-7d48130160fa"/>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2172</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2018-05-29T14:58:00Z</dcterms:created>
  <dcterms:modified xsi:type="dcterms:W3CDTF">2018-06-13T08:24:00Z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0x010100258AA79CEB83498886A3A0868112325000E72C5CBCF7389F4BBB676E2A27E7080A</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