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668AA360-D3AC-47EA-A447-CB379244EA89" style="width:450.8pt;height:379.35pt">
            <v:imagedata r:id="rId13" o:title=""/>
          </v:shape>
        </w:pict>
      </w:r>
    </w:p>
    <w:p>
      <w:pPr>
        <w:rPr>
          <w:noProof/>
        </w:rPr>
        <w:sectPr>
          <w:headerReference w:type="even" r:id="rId14"/>
          <w:headerReference w:type="default" r:id="rId15"/>
          <w:footerReference w:type="even" r:id="rId16"/>
          <w:footerReference w:type="default" r:id="rId17"/>
          <w:headerReference w:type="first" r:id="rId18"/>
          <w:footerReference w:type="first" r:id="rId19"/>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BEGRUNDELSE</w:t>
      </w:r>
    </w:p>
    <w:p>
      <w:pPr>
        <w:pStyle w:val="ManualHeading1"/>
        <w:rPr>
          <w:noProof/>
        </w:rPr>
      </w:pPr>
      <w:r>
        <w:rPr>
          <w:noProof/>
        </w:rPr>
        <w:t>1.</w:t>
      </w:r>
      <w:r>
        <w:rPr>
          <w:noProof/>
        </w:rPr>
        <w:tab/>
        <w:t>BAGGRUND FOR FORSLAGET</w:t>
      </w:r>
    </w:p>
    <w:p>
      <w:pPr>
        <w:pStyle w:val="ManualHeading2"/>
        <w:rPr>
          <w:rFonts w:eastAsia="Arial Unicode MS"/>
          <w:noProof/>
        </w:rPr>
      </w:pPr>
      <w:r>
        <w:rPr>
          <w:noProof/>
          <w:color w:val="000000"/>
          <w:u w:color="000000"/>
          <w:bdr w:val="nil"/>
        </w:rPr>
        <w:t>•</w:t>
      </w:r>
      <w:r>
        <w:rPr>
          <w:noProof/>
        </w:rPr>
        <w:tab/>
        <w:t>Forslagets begrundelse og formål</w:t>
      </w:r>
    </w:p>
    <w:p>
      <w:pPr>
        <w:pBdr>
          <w:top w:val="nil"/>
          <w:left w:val="nil"/>
          <w:bottom w:val="nil"/>
          <w:right w:val="nil"/>
          <w:between w:val="nil"/>
          <w:bar w:val="nil"/>
        </w:pBdr>
        <w:spacing w:before="0" w:after="240"/>
        <w:rPr>
          <w:noProof/>
        </w:rPr>
      </w:pPr>
      <w:r>
        <w:rPr>
          <w:noProof/>
        </w:rPr>
        <w:t>Det Forenede Kongerige meddelte den 29. marts 2017 sin beslutning om at udtræde af Unionen i henhold til artikel 50 i traktaten om Den Europæiske Union. Det betyder, at hvis udtrædelsesaftalen</w:t>
      </w:r>
      <w:r>
        <w:rPr>
          <w:rStyle w:val="FootnoteReference"/>
          <w:noProof/>
        </w:rPr>
        <w:footnoteReference w:id="1"/>
      </w:r>
      <w:r>
        <w:rPr>
          <w:noProof/>
        </w:rPr>
        <w:t xml:space="preserve"> ikke er ratificeret, ophører Unionens primære og afledte ret med at finde anvendelse på Det Forenede Kongerige fra den 30. marts 2019 ("udtrædelsesdatoen"). Det Forenede Kongerige vil derefter blive et tredjeland.</w:t>
      </w:r>
    </w:p>
    <w:p>
      <w:pPr>
        <w:pBdr>
          <w:top w:val="nil"/>
          <w:left w:val="nil"/>
          <w:bottom w:val="nil"/>
          <w:right w:val="nil"/>
          <w:between w:val="nil"/>
          <w:bar w:val="nil"/>
        </w:pBdr>
        <w:spacing w:before="0" w:after="240"/>
        <w:rPr>
          <w:noProof/>
        </w:rPr>
      </w:pPr>
      <w:r>
        <w:rPr>
          <w:noProof/>
        </w:rPr>
        <w:t>I Kommissionens meddelelse "Forberedelse af Det Forenede Kongeriges udtræden af Den Europæiske Union den 30. marts 2019: en nødhandlingsplan"</w:t>
      </w:r>
      <w:r>
        <w:rPr>
          <w:rStyle w:val="FootnoteReference"/>
          <w:noProof/>
        </w:rPr>
        <w:footnoteReference w:id="2"/>
      </w:r>
      <w:r>
        <w:rPr>
          <w:noProof/>
        </w:rPr>
        <w:t xml:space="preserve"> hedder det, at </w:t>
      </w:r>
      <w:r>
        <w:rPr>
          <w:noProof/>
          <w:color w:val="1F497D"/>
        </w:rPr>
        <w:t>"</w:t>
      </w:r>
      <w:r>
        <w:rPr>
          <w:noProof/>
        </w:rPr>
        <w:t>Kommissionen også er fast besluttet på at sikre videreførelsen af de igangværende PEACE- og INTERREG-programmer i grænseområdet mellem Irland og Nordirland, som Det Forenede Kongerige deltager i</w:t>
      </w:r>
      <w:r>
        <w:rPr>
          <w:noProof/>
          <w:color w:val="1F497D"/>
        </w:rPr>
        <w:t>".</w:t>
      </w:r>
    </w:p>
    <w:p>
      <w:pPr>
        <w:pBdr>
          <w:top w:val="nil"/>
          <w:left w:val="nil"/>
          <w:bottom w:val="nil"/>
          <w:right w:val="nil"/>
          <w:between w:val="nil"/>
          <w:bar w:val="nil"/>
        </w:pBdr>
        <w:spacing w:before="0" w:after="240"/>
        <w:rPr>
          <w:noProof/>
        </w:rPr>
      </w:pPr>
      <w:r>
        <w:rPr>
          <w:noProof/>
        </w:rPr>
        <w:t>Det Europæiske Råd (artikel 50) gentog den 13. december 2018 sin opfordring til at intensivere arbejdet med på alle niveauer at forberede sig på konsekvenserne af Det Forenede Kongeriges udtræden, idet der tages højde for alle mulige udfald. Denne retsakt indgår i en pakke af foranstaltninger, som Kommissionen vedtager som svar på denne opfordring.</w:t>
      </w:r>
    </w:p>
    <w:p>
      <w:pPr>
        <w:pBdr>
          <w:top w:val="nil"/>
          <w:left w:val="nil"/>
          <w:bottom w:val="nil"/>
          <w:right w:val="nil"/>
          <w:between w:val="nil"/>
          <w:bar w:val="nil"/>
        </w:pBdr>
        <w:spacing w:before="0" w:after="240"/>
        <w:rPr>
          <w:noProof/>
        </w:rPr>
      </w:pPr>
      <w:r>
        <w:rPr>
          <w:noProof/>
        </w:rPr>
        <w:t>Formålet med dette forslag er at sikre videreførelsen af to bilaterale samarbejdsprogrammer, der omfatter Irland, nemlig PEACE IV (Ireland-United Kingdom)-programmet og United Kingdom-Ireland (Ireland-Northern Ireland-Scotland)-programmet.</w:t>
      </w:r>
    </w:p>
    <w:p>
      <w:pPr>
        <w:pStyle w:val="ManualHeading2"/>
        <w:rPr>
          <w:rFonts w:eastAsia="Arial Unicode MS"/>
          <w:noProof/>
          <w:color w:val="000000"/>
          <w:u w:color="000000"/>
          <w:bdr w:val="nil"/>
        </w:rPr>
      </w:pPr>
      <w:r>
        <w:rPr>
          <w:noProof/>
          <w:color w:val="000000"/>
          <w:u w:color="000000"/>
          <w:bdr w:val="nil"/>
        </w:rPr>
        <w:t>•</w:t>
      </w:r>
      <w:r>
        <w:rPr>
          <w:noProof/>
        </w:rPr>
        <w:tab/>
        <w:t>Sammenhæng med de gældende regler på samme område</w:t>
      </w:r>
    </w:p>
    <w:p>
      <w:pPr>
        <w:pBdr>
          <w:top w:val="nil"/>
          <w:left w:val="nil"/>
          <w:bottom w:val="nil"/>
          <w:right w:val="nil"/>
          <w:between w:val="nil"/>
          <w:bar w:val="nil"/>
        </w:pBdr>
        <w:spacing w:before="0" w:after="240"/>
        <w:rPr>
          <w:noProof/>
        </w:rPr>
      </w:pPr>
      <w:r>
        <w:rPr>
          <w:noProof/>
        </w:rPr>
        <w:t>Dette forslag tager sigte på videreførelse af eksisterende programmer.</w:t>
      </w:r>
    </w:p>
    <w:p>
      <w:pPr>
        <w:pStyle w:val="ManualHeading2"/>
        <w:rPr>
          <w:rFonts w:eastAsia="Arial Unicode MS"/>
          <w:noProof/>
        </w:rPr>
      </w:pPr>
      <w:r>
        <w:rPr>
          <w:noProof/>
          <w:color w:val="000000"/>
          <w:u w:color="000000"/>
          <w:bdr w:val="nil"/>
        </w:rPr>
        <w:t>•</w:t>
      </w:r>
      <w:r>
        <w:rPr>
          <w:noProof/>
        </w:rPr>
        <w:tab/>
        <w:t>Sammenhæng med Unionens politik på andre områder</w:t>
      </w:r>
    </w:p>
    <w:p>
      <w:pPr>
        <w:pBdr>
          <w:top w:val="nil"/>
          <w:left w:val="nil"/>
          <w:bottom w:val="nil"/>
          <w:right w:val="nil"/>
          <w:between w:val="nil"/>
          <w:bar w:val="nil"/>
        </w:pBdr>
        <w:spacing w:before="0" w:after="240"/>
        <w:rPr>
          <w:rFonts w:eastAsia="Arial Unicode MS"/>
          <w:noProof/>
        </w:rPr>
      </w:pPr>
      <w:r>
        <w:rPr>
          <w:noProof/>
        </w:rPr>
        <w:t>Dette forslag er i fuld overensstemmelse med Rådets mandat for forhandlingerne med Det Forenede Kongerige om dets udtræden af Unionen</w:t>
      </w:r>
      <w:r>
        <w:rPr>
          <w:rStyle w:val="FootnoteReference"/>
          <w:noProof/>
        </w:rPr>
        <w:footnoteReference w:id="3"/>
      </w:r>
      <w:r>
        <w:rPr>
          <w:noProof/>
        </w:rPr>
        <w:t>.</w:t>
      </w:r>
      <w:r>
        <w:rPr>
          <w:rStyle w:val="CommentReference"/>
          <w:rFonts w:asciiTheme="minorHAnsi" w:hAnsiTheme="minorHAnsi" w:cstheme="minorBidi"/>
          <w:noProof/>
        </w:rPr>
        <w:t xml:space="preserve"> </w:t>
      </w:r>
    </w:p>
    <w:p>
      <w:pPr>
        <w:pStyle w:val="ManualHeading1"/>
        <w:rPr>
          <w:noProof/>
        </w:rPr>
      </w:pPr>
      <w:r>
        <w:rPr>
          <w:noProof/>
        </w:rPr>
        <w:t>2.</w:t>
      </w:r>
      <w:r>
        <w:rPr>
          <w:noProof/>
        </w:rPr>
        <w:tab/>
        <w:t>RETSGRUNDLAG, NÆRHEDSPRINCIPPET OG PROPORTIONALITETSPRINCIPPET</w:t>
      </w:r>
    </w:p>
    <w:p>
      <w:pPr>
        <w:pStyle w:val="ManualHeading2"/>
        <w:rPr>
          <w:rFonts w:eastAsia="Arial Unicode MS"/>
          <w:noProof/>
          <w:u w:color="000000"/>
          <w:bdr w:val="nil"/>
        </w:rPr>
      </w:pPr>
      <w:r>
        <w:rPr>
          <w:noProof/>
        </w:rPr>
        <w:t>•</w:t>
      </w:r>
      <w:r>
        <w:rPr>
          <w:noProof/>
        </w:rPr>
        <w:tab/>
        <w:t>Retsgrundlag</w:t>
      </w:r>
    </w:p>
    <w:p>
      <w:pPr>
        <w:pStyle w:val="ManualHeading2"/>
        <w:rPr>
          <w:rFonts w:eastAsia="Arial Unicode MS"/>
          <w:noProof/>
          <w:u w:color="000000"/>
          <w:bdr w:val="nil"/>
        </w:rPr>
      </w:pPr>
      <w:r>
        <w:rPr>
          <w:noProof/>
        </w:rPr>
        <w:t>Artikel 178 i TEUF.•</w:t>
      </w:r>
      <w:r>
        <w:rPr>
          <w:noProof/>
        </w:rPr>
        <w:tab/>
        <w:t xml:space="preserve">Nærhedsprincippet (for områder, der ikke er omfattet af enekompetence) </w:t>
      </w:r>
    </w:p>
    <w:p>
      <w:pPr>
        <w:pBdr>
          <w:top w:val="nil"/>
          <w:left w:val="nil"/>
          <w:bottom w:val="nil"/>
          <w:right w:val="nil"/>
          <w:between w:val="nil"/>
          <w:bar w:val="nil"/>
        </w:pBdr>
        <w:spacing w:before="0" w:after="240"/>
        <w:rPr>
          <w:rFonts w:eastAsia="Arial Unicode MS"/>
          <w:noProof/>
        </w:rPr>
      </w:pPr>
      <w:r>
        <w:rPr>
          <w:noProof/>
        </w:rPr>
        <w:t>Da den foreslåede retsakt har til formål at sikre videreførelsen af to samarbejdsprogrammer, som er omfattet af forordning (EU) nr. 1299/2013, er disse programmers overholdelse af nærhedsprincippet allerede blevet undersøgt, da sidstnævnte blev vedtaget.</w:t>
      </w:r>
    </w:p>
    <w:p>
      <w:pPr>
        <w:pStyle w:val="ManualHeading2"/>
        <w:rPr>
          <w:rFonts w:eastAsia="Arial Unicode MS"/>
          <w:noProof/>
          <w:u w:color="000000"/>
          <w:bdr w:val="nil"/>
        </w:rPr>
      </w:pPr>
      <w:r>
        <w:rPr>
          <w:noProof/>
        </w:rPr>
        <w:lastRenderedPageBreak/>
        <w:t>•</w:t>
      </w:r>
      <w:r>
        <w:rPr>
          <w:noProof/>
        </w:rPr>
        <w:tab/>
        <w:t>Proportionalitetsprincippet</w:t>
      </w:r>
    </w:p>
    <w:p>
      <w:pPr>
        <w:pBdr>
          <w:top w:val="nil"/>
          <w:left w:val="nil"/>
          <w:bottom w:val="nil"/>
          <w:right w:val="nil"/>
          <w:between w:val="nil"/>
          <w:bar w:val="nil"/>
        </w:pBdr>
        <w:spacing w:before="0" w:after="240"/>
        <w:rPr>
          <w:rFonts w:eastAsia="Arial Unicode MS"/>
          <w:noProof/>
        </w:rPr>
      </w:pPr>
      <w:r>
        <w:rPr>
          <w:noProof/>
        </w:rPr>
        <w:t xml:space="preserve">Forslaget er i overensstemmelse med proportionalitetsprincippet, da det tilvejebringer de nødvendige juridiske ændringer og samtidig går ikke ud over, hvad der er nødvendigt for at opnå en velordnet videreførelse af de to nord-syd-samarbejdsprogrammer, som vedrører Nordirland. </w:t>
      </w:r>
    </w:p>
    <w:p>
      <w:pPr>
        <w:pStyle w:val="ManualHeading2"/>
        <w:rPr>
          <w:rFonts w:eastAsia="Arial Unicode MS"/>
          <w:noProof/>
          <w:u w:color="000000"/>
          <w:bdr w:val="nil"/>
        </w:rPr>
      </w:pPr>
      <w:r>
        <w:rPr>
          <w:noProof/>
        </w:rPr>
        <w:t>•</w:t>
      </w:r>
      <w:r>
        <w:rPr>
          <w:noProof/>
        </w:rPr>
        <w:tab/>
        <w:t>Valg af retsakt</w:t>
      </w:r>
    </w:p>
    <w:p>
      <w:pPr>
        <w:pBdr>
          <w:top w:val="nil"/>
          <w:left w:val="nil"/>
          <w:bottom w:val="nil"/>
          <w:right w:val="nil"/>
          <w:between w:val="nil"/>
          <w:bar w:val="nil"/>
        </w:pBdr>
        <w:spacing w:before="0" w:after="240"/>
        <w:rPr>
          <w:noProof/>
        </w:rPr>
      </w:pPr>
      <w:r>
        <w:rPr>
          <w:noProof/>
        </w:rPr>
        <w:t>Eftersom retsakten bygger på forordning (EU) nr. 1299/2013, er et forslag til forordning den eneste passende form.</w:t>
      </w:r>
    </w:p>
    <w:p>
      <w:pPr>
        <w:pBdr>
          <w:top w:val="nil"/>
          <w:left w:val="nil"/>
          <w:bottom w:val="nil"/>
          <w:right w:val="nil"/>
          <w:between w:val="nil"/>
          <w:bar w:val="nil"/>
        </w:pBdr>
        <w:spacing w:before="0" w:after="240"/>
        <w:rPr>
          <w:noProof/>
        </w:rPr>
      </w:pPr>
      <w:r>
        <w:rPr>
          <w:noProof/>
        </w:rPr>
        <w:t xml:space="preserve">Da denne forordning, som træder i kraft dagen efter offentliggørelsen i </w:t>
      </w:r>
      <w:r>
        <w:rPr>
          <w:i/>
          <w:noProof/>
        </w:rPr>
        <w:t>Den Europæiske Unions Tidende</w:t>
      </w:r>
      <w:r>
        <w:rPr>
          <w:noProof/>
        </w:rPr>
        <w:t>, kun finder anvendelse, hvis en udtrædelsesaftale indgået med Det Forenede Kongerige i henhold til artikel 50, stk. 2, i traktaten om Den Europæiske Union ikke er trådt i kraft senest på den dato, hvor traktaterne ophører med at finde anvendelse på og i Det Forenede Kongerige, er den foreslåede ad hoc-retsakt mere passende end en forordning i form af en ændringsretsakt.</w:t>
      </w:r>
    </w:p>
    <w:p>
      <w:pPr>
        <w:pStyle w:val="ManualHeading1"/>
        <w:rPr>
          <w:noProof/>
        </w:rPr>
      </w:pPr>
      <w:r>
        <w:rPr>
          <w:noProof/>
        </w:rPr>
        <w:t>3.</w:t>
      </w:r>
      <w:r>
        <w:rPr>
          <w:noProof/>
        </w:rPr>
        <w:tab/>
        <w:t>RESULTATER AF EFTERFØLGENDE EVALUERINGER, HØRINGER AF INTERESSEREDE PARTER OG KONSEKVENSANALYSER</w:t>
      </w:r>
    </w:p>
    <w:p>
      <w:pPr>
        <w:pStyle w:val="ManualHeading2"/>
        <w:rPr>
          <w:rFonts w:eastAsia="Arial Unicode MS"/>
          <w:noProof/>
          <w:u w:color="000000"/>
          <w:bdr w:val="nil"/>
        </w:rPr>
      </w:pPr>
      <w:r>
        <w:rPr>
          <w:noProof/>
        </w:rPr>
        <w:t>•</w:t>
      </w:r>
      <w:r>
        <w:rPr>
          <w:noProof/>
        </w:rPr>
        <w:tab/>
        <w:t>Høringer af interesserede parter</w:t>
      </w:r>
    </w:p>
    <w:p>
      <w:pPr>
        <w:pBdr>
          <w:top w:val="nil"/>
          <w:left w:val="nil"/>
          <w:bottom w:val="nil"/>
          <w:right w:val="nil"/>
          <w:between w:val="nil"/>
          <w:bar w:val="nil"/>
        </w:pBdr>
        <w:spacing w:before="0" w:after="240"/>
        <w:rPr>
          <w:noProof/>
          <w:color w:val="000000" w:themeColor="text1"/>
        </w:rPr>
      </w:pPr>
      <w:r>
        <w:rPr>
          <w:noProof/>
          <w:color w:val="000000" w:themeColor="text1"/>
        </w:rPr>
        <w:t xml:space="preserve">På grund af det presserende behov for at udarbejde forslaget, således at det kan vedtages af Europa-Parlamentet og Rådet i tide, kunne der ikke gennemføres en høring af de berørte parter. </w:t>
      </w:r>
    </w:p>
    <w:p>
      <w:pPr>
        <w:pStyle w:val="ManualHeading2"/>
        <w:rPr>
          <w:rFonts w:eastAsia="Arial Unicode MS"/>
          <w:noProof/>
          <w:u w:color="000000"/>
          <w:bdr w:val="nil"/>
        </w:rPr>
      </w:pPr>
      <w:r>
        <w:rPr>
          <w:noProof/>
        </w:rPr>
        <w:t>•</w:t>
      </w:r>
      <w:r>
        <w:rPr>
          <w:noProof/>
        </w:rPr>
        <w:tab/>
        <w:t>Konsekvensanalyse</w:t>
      </w:r>
    </w:p>
    <w:p>
      <w:pPr>
        <w:pBdr>
          <w:top w:val="nil"/>
          <w:left w:val="nil"/>
          <w:bottom w:val="nil"/>
          <w:right w:val="nil"/>
          <w:between w:val="nil"/>
          <w:bar w:val="nil"/>
        </w:pBdr>
        <w:spacing w:before="0" w:after="240"/>
        <w:rPr>
          <w:rFonts w:eastAsia="Arial Unicode MS"/>
          <w:noProof/>
        </w:rPr>
      </w:pPr>
      <w:r>
        <w:rPr>
          <w:noProof/>
          <w:color w:val="000000" w:themeColor="text1"/>
        </w:rPr>
        <w:t xml:space="preserve">Der kunne på grund af den foreslåede foranstaltnings karakter ikke foretages nogen konsekvensanalyse i overensstemmelse med retningslinjerne for bedre lovgivning. Der findes ingen andre væsentligt forskellige valgmuligheder. </w:t>
      </w:r>
      <w:r>
        <w:rPr>
          <w:noProof/>
        </w:rPr>
        <w:t>Den påtænkte foranstaltning er den eneste levedygtige løsningsmodel til sikring af velordnet videreførelse af to bilaterale samarbejdsprogrammer, der omfatter Irland, nemlig PEACE IV (Ireland-United Kingdom)-programmet og United Kingdom-Ireland (Ireland-Northern Ireland-Scotland)-programmet, efter Det Forenede Kongeriges udtræden af Unionen.</w:t>
      </w:r>
    </w:p>
    <w:p>
      <w:pPr>
        <w:pStyle w:val="ManualHeading1"/>
        <w:rPr>
          <w:noProof/>
        </w:rPr>
      </w:pPr>
      <w:r>
        <w:rPr>
          <w:noProof/>
        </w:rPr>
        <w:t>4.</w:t>
      </w:r>
      <w:r>
        <w:rPr>
          <w:noProof/>
        </w:rPr>
        <w:tab/>
        <w:t>VIRKNINGER FOR BUDGETTET</w:t>
      </w:r>
    </w:p>
    <w:p>
      <w:pPr>
        <w:pBdr>
          <w:top w:val="nil"/>
          <w:left w:val="nil"/>
          <w:bottom w:val="nil"/>
          <w:right w:val="nil"/>
          <w:between w:val="nil"/>
          <w:bar w:val="nil"/>
        </w:pBdr>
        <w:spacing w:before="0" w:after="240"/>
        <w:rPr>
          <w:noProof/>
          <w:color w:val="000000" w:themeColor="text1"/>
        </w:rPr>
      </w:pPr>
      <w:r>
        <w:rPr>
          <w:noProof/>
        </w:rPr>
        <w:t>Dette forslag har til formål, hvis udtrædelsesaftalen ikke ratificeres, at sikre videreførelsen af to bilaterale samarbejdsprogrammer, der omfatter Irland, nemlig PEACE IV (Ireland-United Kingdom)-programmet og United Kingdom-Ireland (Ireland-Northern Ireland-Scotland)-programmet, uden at ændre de beløb, der er tildelt dem og deres finansiering.</w:t>
      </w:r>
      <w:r>
        <w:rPr>
          <w:noProof/>
          <w:color w:val="000000" w:themeColor="text1"/>
        </w:rPr>
        <w:t xml:space="preserve"> De to programmer vil fortsat blive finansieret over EU's budget. Muligheden for at foretage de nødvendige kontroller og revisioner i alle deltagende regioner skal bekræftes ved en aftale mellem Kommissionen og myndighederne i Det Forenede Kongerige og vil udgøre en betingelse for finansiering. </w:t>
      </w:r>
    </w:p>
    <w:p>
      <w:pPr>
        <w:rPr>
          <w:noProof/>
        </w:rPr>
        <w:sectPr>
          <w:footerReference w:type="default" r:id="rId20"/>
          <w:footerReference w:type="first" r:id="rId21"/>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2018/0432 (COD)</w:t>
      </w:r>
    </w:p>
    <w:p>
      <w:pPr>
        <w:pStyle w:val="Statut"/>
        <w:rPr>
          <w:noProof/>
        </w:rPr>
      </w:pPr>
      <w:r>
        <w:rPr>
          <w:noProof/>
        </w:rPr>
        <w:t>Forslag til</w:t>
      </w:r>
    </w:p>
    <w:p>
      <w:pPr>
        <w:pStyle w:val="Typedudocument"/>
        <w:rPr>
          <w:noProof/>
        </w:rPr>
      </w:pPr>
      <w:r>
        <w:rPr>
          <w:noProof/>
        </w:rPr>
        <w:t>EUROPA-PARLAMENTETS OG RÅDETS FORORDNING</w:t>
      </w:r>
    </w:p>
    <w:p>
      <w:pPr>
        <w:pStyle w:val="Titreobjet"/>
        <w:rPr>
          <w:noProof/>
        </w:rPr>
      </w:pPr>
      <w:r>
        <w:rPr>
          <w:noProof/>
        </w:rPr>
        <w:t>om muligheden for at videreføre de territoriale samarbejdsprogrammer PEACE IV (Ireland-United Kingdom) og United Kingdom-Ireland (Ireland-Northern Ireland-Scotland) i forbindelse med Det Forenede Kongeriges udtræden af Den Europæiske Union</w:t>
      </w:r>
    </w:p>
    <w:p>
      <w:pPr>
        <w:pStyle w:val="Institutionquiagit"/>
        <w:rPr>
          <w:noProof/>
        </w:rPr>
      </w:pPr>
      <w:r>
        <w:rPr>
          <w:noProof/>
        </w:rPr>
        <w:t>EUROPA-PARLAMENTET OG RÅDET FOR DEN EUROPÆISKE UNION HAR —</w:t>
      </w:r>
    </w:p>
    <w:p>
      <w:pPr>
        <w:rPr>
          <w:noProof/>
        </w:rPr>
      </w:pPr>
      <w:r>
        <w:rPr>
          <w:noProof/>
        </w:rPr>
        <w:t>under henvisning til traktaten om Den Europæiske Unions funktionsmåde, særlig artikel 178,</w:t>
      </w:r>
    </w:p>
    <w:p>
      <w:pPr>
        <w:rPr>
          <w:noProof/>
          <w:szCs w:val="24"/>
        </w:rPr>
      </w:pPr>
      <w:r>
        <w:rPr>
          <w:noProof/>
        </w:rPr>
        <w:t xml:space="preserve">under henvisning til forslag fra Europa-Kommissionen, </w:t>
      </w:r>
    </w:p>
    <w:p>
      <w:pPr>
        <w:rPr>
          <w:noProof/>
        </w:rPr>
      </w:pPr>
      <w:r>
        <w:rPr>
          <w:noProof/>
        </w:rPr>
        <w:t>efter fremsendelse af udkast til lovgivningsmæssig retsakt til de nationale parlamenter,</w:t>
      </w:r>
    </w:p>
    <w:p>
      <w:pPr>
        <w:rPr>
          <w:noProof/>
        </w:rPr>
      </w:pPr>
      <w:r>
        <w:rPr>
          <w:noProof/>
        </w:rPr>
        <w:t>under henvisning til udtalelse fra Det Europæiske Økonomiske og Sociale Udvalg</w:t>
      </w:r>
      <w:r>
        <w:rPr>
          <w:rStyle w:val="FootnoteReference"/>
          <w:noProof/>
        </w:rPr>
        <w:footnoteReference w:id="4"/>
      </w:r>
      <w:r>
        <w:rPr>
          <w:noProof/>
        </w:rPr>
        <w:t xml:space="preserve">, </w:t>
      </w:r>
    </w:p>
    <w:p>
      <w:pPr>
        <w:rPr>
          <w:noProof/>
        </w:rPr>
      </w:pPr>
      <w:r>
        <w:rPr>
          <w:noProof/>
        </w:rPr>
        <w:t>under henvisning til udtalelse fra Regionsudvalget</w:t>
      </w:r>
      <w:r>
        <w:rPr>
          <w:rStyle w:val="FootnoteReference"/>
          <w:noProof/>
        </w:rPr>
        <w:footnoteReference w:id="5"/>
      </w:r>
      <w:r>
        <w:rPr>
          <w:noProof/>
        </w:rPr>
        <w:t>,</w:t>
      </w:r>
    </w:p>
    <w:p>
      <w:pPr>
        <w:rPr>
          <w:noProof/>
        </w:rPr>
      </w:pPr>
      <w:r>
        <w:rPr>
          <w:noProof/>
        </w:rPr>
        <w:t>efter den almindelige lovgivningsprocedure, og</w:t>
      </w:r>
    </w:p>
    <w:p>
      <w:pPr>
        <w:rPr>
          <w:noProof/>
        </w:rPr>
      </w:pPr>
      <w:r>
        <w:rPr>
          <w:noProof/>
        </w:rPr>
        <w:t>ud fra følgende betragtninger:</w:t>
      </w:r>
    </w:p>
    <w:p>
      <w:pPr>
        <w:pStyle w:val="ManualConsidrant"/>
        <w:rPr>
          <w:noProof/>
        </w:rPr>
      </w:pPr>
      <w:r>
        <w:t>(1)</w:t>
      </w:r>
      <w:r>
        <w:tab/>
      </w:r>
      <w:r>
        <w:rPr>
          <w:noProof/>
          <w:sz w:val="23"/>
        </w:rPr>
        <w:t>Den 29. marts 2017 meddelte Det Forenede Kongerige</w:t>
      </w:r>
      <w:r>
        <w:rPr>
          <w:noProof/>
        </w:rPr>
        <w:t xml:space="preserve"> sin beslutning om at udtræde af Unionen i henhold til artikel 50 i traktaten om Den Europæiske Union. Traktaterne ophører med at finde anvendelse på Det Forenede Kongerige fra den dato, hvor en udtrædelsesaftale træder i kraft, eller, hvis en sådan aftale udebliver, to år efter nævnte meddelelse, dvs. fra den 30. marts 2019, medmindre Det Europæiske Råd efter aftale med Det Forenede Kongerige enstemmigt beslutter at forlænge denne periode.</w:t>
      </w:r>
      <w:r>
        <w:rPr>
          <w:noProof/>
          <w:sz w:val="23"/>
        </w:rPr>
        <w:t xml:space="preserve"> </w:t>
      </w:r>
    </w:p>
    <w:p>
      <w:pPr>
        <w:pStyle w:val="ManualConsidrant"/>
        <w:rPr>
          <w:noProof/>
        </w:rPr>
      </w:pPr>
      <w:r>
        <w:t>(2)</w:t>
      </w:r>
      <w:r>
        <w:tab/>
      </w:r>
      <w:r>
        <w:rPr>
          <w:noProof/>
        </w:rPr>
        <w:t xml:space="preserve">Udtrædelsen sker i programmeringsperioden 2014-2020, hvor Det Forenede Kongerige deltager i femten programmer under målet om europæisk territorialt samarbejde ("samarbejdsprogrammer"). To af disse programmer er programmer, der involverer Nordirland og støtter fred og forsoning og samarbejdet mellem nord og syd under "Langfredagsaftalen", som Unionen agter at videreføre, selv hvis Det Forenede Kongerige udtræder af EU, uden at en udtrædelsesaftale er trådt i kraft senest på den dato, hvor traktaterne ophører med at finde anvendelse på og i Det Forenede Kongerige i henhold til artikel 50, stk. 3, i traktaten om Den Europæiske Union. Denne forordning bør derfor begrænses til disse to samarbejdsprogrammer. </w:t>
      </w:r>
    </w:p>
    <w:p>
      <w:pPr>
        <w:pStyle w:val="ManualConsidrant"/>
        <w:rPr>
          <w:noProof/>
        </w:rPr>
      </w:pPr>
      <w:r>
        <w:t>(3)</w:t>
      </w:r>
      <w:r>
        <w:tab/>
      </w:r>
      <w:r>
        <w:rPr>
          <w:noProof/>
        </w:rPr>
        <w:t>De to samarbejdsprogrammer er navnlig reguleret ved Europa-Parlamentets og Rådets forordning (EU) nr. 1299/2013</w:t>
      </w:r>
      <w:r>
        <w:rPr>
          <w:rStyle w:val="FootnoteReference"/>
          <w:noProof/>
        </w:rPr>
        <w:footnoteReference w:id="6"/>
      </w:r>
      <w:r>
        <w:rPr>
          <w:noProof/>
        </w:rPr>
        <w:t>, Europa-Parlamentets og Rådets forordning (EU) nr. 1303/2013</w:t>
      </w:r>
      <w:r>
        <w:rPr>
          <w:rStyle w:val="FootnoteReference"/>
          <w:noProof/>
        </w:rPr>
        <w:footnoteReference w:id="7"/>
      </w:r>
      <w:r>
        <w:rPr>
          <w:noProof/>
        </w:rPr>
        <w:t xml:space="preserve"> og Europa-Parlamentets og Rådets forordning (EU, Euratom) </w:t>
      </w:r>
      <w:r>
        <w:rPr>
          <w:noProof/>
        </w:rPr>
        <w:lastRenderedPageBreak/>
        <w:t>2018/1046</w:t>
      </w:r>
      <w:r>
        <w:rPr>
          <w:rStyle w:val="FootnoteReference"/>
          <w:noProof/>
        </w:rPr>
        <w:footnoteReference w:id="8"/>
      </w:r>
      <w:r>
        <w:rPr>
          <w:noProof/>
        </w:rPr>
        <w:t>. Ved nærværende forordning bør der fastsættes bestemmelser, som gør det muligt at videreføre disse to samarbejdsprogrammer efter Det Forenede Kongeriges udtræden af Unionen i overensstemmelse med nævnte forordninger.</w:t>
      </w:r>
    </w:p>
    <w:p>
      <w:pPr>
        <w:pStyle w:val="ManualConsidrant"/>
        <w:rPr>
          <w:noProof/>
        </w:rPr>
      </w:pPr>
      <w:r>
        <w:t>(4)</w:t>
      </w:r>
      <w:r>
        <w:tab/>
      </w:r>
      <w:r>
        <w:rPr>
          <w:noProof/>
        </w:rPr>
        <w:t xml:space="preserve">For så vidt angår de bilaterale samarbejdsprogrammer PEACE IV (Ireland-United Kingdom) og United Kingdom-Ireland (Ireland-Northern Ireland-Scotland), ligger forvaltningsmyndigheden i Special EU Programmes Body (SEUPB), der er oprettet i henhold til "Agreement between the Government of Ireland and the Government of the United Kingdom of Great Britain and Northern Ireland establishing implementing bodies", som blev undertegnet den 8. marts 1999 (British-Irish Agreement of 8 March 1999). Da disse to samarbejdsprogrammer vedrører Nordirland, bør de videreføres med de nødvendige supplerende bestemmelser. </w:t>
      </w:r>
    </w:p>
    <w:p>
      <w:pPr>
        <w:pStyle w:val="ManualConsidrant"/>
        <w:rPr>
          <w:noProof/>
        </w:rPr>
      </w:pPr>
      <w:r>
        <w:t>(5)</w:t>
      </w:r>
      <w:r>
        <w:tab/>
      </w:r>
      <w:r>
        <w:rPr>
          <w:noProof/>
        </w:rPr>
        <w:t xml:space="preserve">Med henblik på videreførelsen af disse programmer bør det præciseres, at de pågældende samarbejdsprogrammer kan omfatte de deltagende regioner i Det Forenede Kongerige, som bør svare til regioner på NUTS 3-niveau, jf. dog artikel 20, stk. 2 og 3, i forordning (EU) nr. 1299/2013.  </w:t>
      </w:r>
    </w:p>
    <w:p>
      <w:pPr>
        <w:pStyle w:val="ManualConsidrant"/>
        <w:rPr>
          <w:noProof/>
        </w:rPr>
      </w:pPr>
      <w:r>
        <w:t>(6)</w:t>
      </w:r>
      <w:r>
        <w:tab/>
      </w:r>
      <w:r>
        <w:rPr>
          <w:noProof/>
        </w:rPr>
        <w:t xml:space="preserve">Med henblik på videreførelsen af disse programmer med finansiering fra EU's almindelige budget bør der indgås en administrativ aftale med virkning fra den dato, hvor traktaterne ophører med at finde anvendelse på og i Det Forenede Kongerige, mellem Kommissionen og myndighederne i Det Forenede Kongerige for at muliggøre kontroller og revisioner af de respektive programmer. Hvis de nødvendige kontroller og revisioner ikke kan gennemføres, bør Kommissionen have mulighed for at afbryde betalingsfrister, suspendere betalinger og anvende finansielle korrektioner som fastsat i artikel 83, 142, 144 og 145 i forordning (EU) nr. 1303/2013. </w:t>
      </w:r>
    </w:p>
    <w:p>
      <w:pPr>
        <w:pStyle w:val="ManualConsidrant"/>
        <w:rPr>
          <w:noProof/>
        </w:rPr>
      </w:pPr>
      <w:r>
        <w:t>(7)</w:t>
      </w:r>
      <w:r>
        <w:tab/>
      </w:r>
      <w:r>
        <w:rPr>
          <w:noProof/>
        </w:rPr>
        <w:t xml:space="preserve">I overensstemmelse med artikel 76 i forordning (EU) nr. 1303/2013 skal Kommissionens afgørelser om godkendelse af PEACE IV (Ireland-United Kingdom)-programmet C(2015) 8564 af 30. november 2015, som ændret ved afgørelse C(2018) 5126 af 26. juli 2018, og Interreg VA-programmet C(2015) 890 af 12. februar 2015, som ændret ved C(2016) 1547 af 10. marts 2016, fortsat udgøre en finansieringsafgørelse som omhandlet i finansforordningen og dermed en retlig forpligtelse i nævnte forordnings forstand. Det Forenede Kongerige forbliver ansvarlig for de finansielle forpligtelser, som landet har påtaget sig som medlemsstat, og som vedrører disse retlige forpligtelser for Unionen.  </w:t>
      </w:r>
    </w:p>
    <w:p>
      <w:pPr>
        <w:pStyle w:val="ManualConsidrant"/>
        <w:rPr>
          <w:noProof/>
        </w:rPr>
      </w:pPr>
      <w:r>
        <w:t>(8)</w:t>
      </w:r>
      <w:r>
        <w:tab/>
      </w:r>
      <w:r>
        <w:rPr>
          <w:noProof/>
        </w:rPr>
        <w:t>Det Forenede Kongerige ophører fra den dato, hvor traktaterne ophører med at finde anvendelse, med at være en del af "Unionens del af programområdet" som omhandlet i artikel 20, stk. 1, i forordning (EU) nr. 1299/2013. Derfor bør bestemmelserne om operationers støtteberettigelse afhængigt af sted tilpasses.</w:t>
      </w:r>
    </w:p>
    <w:p>
      <w:pPr>
        <w:pStyle w:val="ManualConsidrant"/>
        <w:rPr>
          <w:noProof/>
        </w:rPr>
      </w:pPr>
      <w:r>
        <w:t>(9)</w:t>
      </w:r>
      <w:r>
        <w:tab/>
      </w:r>
      <w:r>
        <w:rPr>
          <w:noProof/>
        </w:rPr>
        <w:t xml:space="preserve">For at sikre omgående anvendelse af foranstaltningerne i denne forordning bør forordningen træde i kraft dagen efter offentliggørelsen i </w:t>
      </w:r>
      <w:r>
        <w:rPr>
          <w:i/>
          <w:noProof/>
        </w:rPr>
        <w:t>Den Europæiske Unions Tidende</w:t>
      </w:r>
      <w:r>
        <w:rPr>
          <w:noProof/>
        </w:rPr>
        <w:t xml:space="preserve">. Denne forordning bør kun finde anvendelse, hvis en udtrædelsesaftale </w:t>
      </w:r>
      <w:r>
        <w:rPr>
          <w:noProof/>
        </w:rPr>
        <w:lastRenderedPageBreak/>
        <w:t>indgået med Det Forenede Kongerige i overensstemmelse med artikel 50, stk. 2, i traktaten om Den Europæiske Union ikke er trådt i kraft senest den dato, hvor traktaterne ophører med at finde anvendelse på og i Det Forenede Kongerige i henhold til artikel 50, stk. 3, i traktaten om Den Europæiske Union —</w:t>
      </w:r>
    </w:p>
    <w:p>
      <w:pPr>
        <w:pStyle w:val="Formuledadoption"/>
        <w:rPr>
          <w:noProof/>
        </w:rPr>
      </w:pPr>
      <w:r>
        <w:rPr>
          <w:noProof/>
        </w:rPr>
        <w:t>VEDTAGET DENNE FORORDNING:</w:t>
      </w:r>
    </w:p>
    <w:p>
      <w:pPr>
        <w:pStyle w:val="Titrearticle"/>
        <w:rPr>
          <w:noProof/>
        </w:rPr>
      </w:pPr>
      <w:r>
        <w:rPr>
          <w:noProof/>
        </w:rPr>
        <w:t>Artikel 1</w:t>
      </w:r>
      <w:r>
        <w:rPr>
          <w:noProof/>
        </w:rPr>
        <w:br/>
      </w:r>
      <w:r>
        <w:rPr>
          <w:b/>
          <w:noProof/>
        </w:rPr>
        <w:t>Genstand og anvendelsesområde</w:t>
      </w:r>
    </w:p>
    <w:p>
      <w:pPr>
        <w:rPr>
          <w:noProof/>
        </w:rPr>
      </w:pPr>
      <w:r>
        <w:rPr>
          <w:noProof/>
        </w:rPr>
        <w:t xml:space="preserve">Ved denne forordning fastsættes der bestemmelser til afhjælpning af konsekvenserne af Det Forenede Kongeriges udtræden af Unionen, hvis en udtrædelsesaftale indgået med Det Forenede Kongerige i overensstemmelse med artikel 50, stk. 2, i traktaten om Den Europæiske Union ikke er trådt i kraft senest den dato, hvor traktaterne ophører med at finde anvendelse på og i Det Forenede Kongerige i henhold til artikel 50, stk. 3, i traktaten om Den Europæiske Union, og vedrørende videreførelsen af følgende to samarbejdsprogrammer, der er omfattet af forordning (EU) nr. 1299/2013 ("samarbejdsprogrammer") med deltagelse af Det Forenede Kongerige ("samarbejdsprogrammerne"): </w:t>
      </w:r>
    </w:p>
    <w:p>
      <w:pPr>
        <w:pStyle w:val="Point0number"/>
        <w:numPr>
          <w:ilvl w:val="0"/>
          <w:numId w:val="15"/>
        </w:numPr>
        <w:rPr>
          <w:noProof/>
          <w:lang w:val="en-GB"/>
        </w:rPr>
      </w:pPr>
      <w:r>
        <w:rPr>
          <w:noProof/>
          <w:lang w:val="en-GB"/>
        </w:rPr>
        <w:t xml:space="preserve">PEACE IV (Ireland-United Kingdom) </w:t>
      </w:r>
    </w:p>
    <w:p>
      <w:pPr>
        <w:pStyle w:val="Point0number"/>
        <w:rPr>
          <w:noProof/>
        </w:rPr>
      </w:pPr>
      <w:r>
        <w:rPr>
          <w:noProof/>
        </w:rPr>
        <w:t>United Kingdom-Ireland (Ireland-Northern Ireland-Scotland).</w:t>
      </w:r>
    </w:p>
    <w:p>
      <w:pPr>
        <w:rPr>
          <w:noProof/>
        </w:rPr>
      </w:pPr>
      <w:r>
        <w:rPr>
          <w:noProof/>
        </w:rPr>
        <w:t xml:space="preserve">Forordning (EU) nr. 1299/2013 finder fortsat anvendelse på de samarbejdsprogrammer, der er omfattet af bestemmelserne i nærværende forordning. </w:t>
      </w:r>
    </w:p>
    <w:p>
      <w:pPr>
        <w:pStyle w:val="Titrearticle"/>
        <w:ind w:left="1080"/>
        <w:rPr>
          <w:noProof/>
        </w:rPr>
      </w:pPr>
      <w:r>
        <w:rPr>
          <w:noProof/>
        </w:rPr>
        <w:t xml:space="preserve">Artikel 2 </w:t>
      </w:r>
      <w:r>
        <w:rPr>
          <w:noProof/>
        </w:rPr>
        <w:br/>
      </w:r>
      <w:r>
        <w:rPr>
          <w:b/>
          <w:noProof/>
        </w:rPr>
        <w:t>Geografisk dækning</w:t>
      </w:r>
    </w:p>
    <w:p>
      <w:pPr>
        <w:rPr>
          <w:noProof/>
        </w:rPr>
      </w:pPr>
      <w:r>
        <w:rPr>
          <w:noProof/>
        </w:rPr>
        <w:t>Samarbejdsprogrammerne kan omfatte de deltagende regioner i Det Forenede Kongerige, som svarer til regioner på NUTS 3-niveau, jf. dog artikel 20, stk. 2 og 3, i forordning (EU) nr. 1299/2013.</w:t>
      </w:r>
    </w:p>
    <w:p>
      <w:pPr>
        <w:pStyle w:val="Titrearticle"/>
        <w:rPr>
          <w:noProof/>
        </w:rPr>
      </w:pPr>
      <w:r>
        <w:rPr>
          <w:noProof/>
        </w:rPr>
        <w:t>Artikel 3</w:t>
      </w:r>
      <w:r>
        <w:rPr>
          <w:noProof/>
        </w:rPr>
        <w:br/>
      </w:r>
      <w:r>
        <w:rPr>
          <w:b/>
          <w:noProof/>
        </w:rPr>
        <w:t>Programmyndigheder</w:t>
      </w:r>
    </w:p>
    <w:p>
      <w:pPr>
        <w:rPr>
          <w:noProof/>
        </w:rPr>
      </w:pPr>
      <w:r>
        <w:rPr>
          <w:noProof/>
        </w:rPr>
        <w:t>Uanset artikel 21, stk. 1, i forordning (EU) nr. 1299/2013</w:t>
      </w:r>
    </w:p>
    <w:p>
      <w:pPr>
        <w:pStyle w:val="ListDash"/>
        <w:rPr>
          <w:noProof/>
        </w:rPr>
      </w:pPr>
      <w:r>
        <w:rPr>
          <w:noProof/>
        </w:rPr>
        <w:t>fortsætter Special EU Programmes Body (SEUPB), hvor forvaltningsmyndigheden og attesteringsmyndigheden for PEACE IV (Ireland-United Kingdom)-programmet og United Kingdom-Ireland (Ireland-Northern Ireland-Scotland)-programmet har hjemme, med at udøve sine funktioner, og</w:t>
      </w:r>
    </w:p>
    <w:p>
      <w:pPr>
        <w:pStyle w:val="ListDash"/>
        <w:spacing w:before="0" w:after="200" w:line="276" w:lineRule="auto"/>
        <w:jc w:val="left"/>
        <w:rPr>
          <w:i/>
          <w:noProof/>
        </w:rPr>
      </w:pPr>
      <w:r>
        <w:rPr>
          <w:noProof/>
        </w:rPr>
        <w:t xml:space="preserve">Department of Finance of Northern Ireland forbliver revisionsmyndigheden for disse programmer. </w:t>
      </w:r>
      <w:r>
        <w:rPr>
          <w:noProof/>
        </w:rPr>
        <w:br w:type="page"/>
      </w:r>
    </w:p>
    <w:p>
      <w:pPr>
        <w:pStyle w:val="Titrearticle"/>
        <w:rPr>
          <w:b/>
          <w:i w:val="0"/>
          <w:noProof/>
          <w:szCs w:val="24"/>
        </w:rPr>
      </w:pPr>
      <w:r>
        <w:rPr>
          <w:noProof/>
        </w:rPr>
        <w:lastRenderedPageBreak/>
        <w:t>Artikel 4</w:t>
      </w:r>
      <w:r>
        <w:rPr>
          <w:noProof/>
        </w:rPr>
        <w:br/>
      </w:r>
      <w:r>
        <w:rPr>
          <w:b/>
          <w:noProof/>
        </w:rPr>
        <w:t>Kommissionens beføjelser med hensyn til kontroller</w:t>
      </w:r>
    </w:p>
    <w:p>
      <w:pPr>
        <w:rPr>
          <w:noProof/>
        </w:rPr>
      </w:pPr>
      <w:r>
        <w:rPr>
          <w:noProof/>
        </w:rPr>
        <w:t>Anvendelsen af reglerne om kontroller og revision i forbindelse med de respektive programmer skal aftales mellem Kommissionen og myndighederne i Det Forenede Kongerige. Kontrollerne og revisionerne skal dække hele den periode, som samarbejdsprogrammerne omfatter.</w:t>
      </w:r>
    </w:p>
    <w:p>
      <w:pPr>
        <w:rPr>
          <w:noProof/>
        </w:rPr>
      </w:pPr>
      <w:r>
        <w:rPr>
          <w:noProof/>
        </w:rPr>
        <w:t>Hvis de nødvendige kontroller og den nødvendige revision af programmerne ikke kan gennemføres i alle de berørte regioner, betragtes dette som en alvorlig mangel ved forvaltnings- og kontrolsystemet for foranstaltninger, jf. artikel 83, 142, 144 og 145 i forordning (EU) nr. 1303/2013.</w:t>
      </w:r>
    </w:p>
    <w:p>
      <w:pPr>
        <w:pStyle w:val="Titrearticle"/>
        <w:rPr>
          <w:noProof/>
        </w:rPr>
      </w:pPr>
      <w:r>
        <w:rPr>
          <w:noProof/>
        </w:rPr>
        <w:t>Artikel 5</w:t>
      </w:r>
      <w:r>
        <w:rPr>
          <w:noProof/>
        </w:rPr>
        <w:br/>
      </w:r>
      <w:r>
        <w:rPr>
          <w:b/>
          <w:noProof/>
        </w:rPr>
        <w:t>Operationers støtteberettigelse afhængigt af sted</w:t>
      </w:r>
    </w:p>
    <w:p>
      <w:pPr>
        <w:rPr>
          <w:noProof/>
        </w:rPr>
      </w:pPr>
      <w:r>
        <w:rPr>
          <w:noProof/>
        </w:rPr>
        <w:t>Det loft, der er fastsat i artikel 20, stk. 2, litra b), i forordning (EU) nr. 1299/2013, finder ikke anvendelse på samarbejdsprogrammerne.</w:t>
      </w:r>
    </w:p>
    <w:p>
      <w:pPr>
        <w:pStyle w:val="Titrearticle"/>
        <w:rPr>
          <w:noProof/>
        </w:rPr>
      </w:pPr>
      <w:r>
        <w:rPr>
          <w:noProof/>
        </w:rPr>
        <w:t>Artikel 6</w:t>
      </w:r>
      <w:r>
        <w:br/>
      </w:r>
      <w:r>
        <w:rPr>
          <w:b/>
          <w:noProof/>
        </w:rPr>
        <w:t>Ikrafttræden og anvendelse</w:t>
      </w:r>
    </w:p>
    <w:p>
      <w:pPr>
        <w:rPr>
          <w:noProof/>
        </w:rPr>
      </w:pPr>
      <w:r>
        <w:rPr>
          <w:noProof/>
        </w:rPr>
        <w:t xml:space="preserve">Denne forordning træder i kraft dagen efter offentliggørelsen i </w:t>
      </w:r>
      <w:r>
        <w:rPr>
          <w:i/>
          <w:noProof/>
        </w:rPr>
        <w:t>Den Europæiske Unions Tidende</w:t>
      </w:r>
      <w:r>
        <w:rPr>
          <w:noProof/>
        </w:rPr>
        <w:t xml:space="preserve">. </w:t>
      </w:r>
    </w:p>
    <w:p>
      <w:pPr>
        <w:keepNext/>
        <w:rPr>
          <w:noProof/>
        </w:rPr>
      </w:pPr>
      <w:r>
        <w:rPr>
          <w:noProof/>
        </w:rPr>
        <w:t>Den anvendes fra dagen efter den dag, hvor EU-retten ophører med at finde anvendelse på Det Forenede Kongerige i henhold til artikel 50, stk. 3, i traktaten om Den Europæiske Union.</w:t>
      </w:r>
    </w:p>
    <w:p>
      <w:pPr>
        <w:keepNext/>
        <w:rPr>
          <w:noProof/>
        </w:rPr>
      </w:pPr>
      <w:r>
        <w:rPr>
          <w:noProof/>
        </w:rPr>
        <w:t>Denne forordning finder dog ikke anvendelse, hvis en udtrædelsesaftale med Det Forenede Kongerige i henhold til artikel 50, stk. 2, i traktaten om Den Europæiske Union er trådt i kraft senest på nævnte dato.</w:t>
      </w:r>
    </w:p>
    <w:p>
      <w:pPr>
        <w:pStyle w:val="Applicationdirecte"/>
        <w:rPr>
          <w:noProof/>
        </w:rPr>
      </w:pPr>
      <w:r>
        <w:rPr>
          <w:noProof/>
        </w:rPr>
        <w:t>Denne forordning er bindende i alle enkeltheder og gælder umiddelbart i hver medlemsstat.</w:t>
      </w:r>
    </w:p>
    <w:p>
      <w:pPr>
        <w:pStyle w:val="Fait"/>
        <w:rPr>
          <w:noProof/>
        </w:rPr>
      </w:pPr>
      <w:r>
        <w:t xml:space="preserve">Udfærdiget i Bruxelles, den </w:t>
      </w:r>
      <w:r>
        <w:rPr>
          <w:rStyle w:val="Marker"/>
        </w:rPr>
        <w:t>[…]</w:t>
      </w:r>
      <w:r>
        <w:t>.</w:t>
      </w:r>
    </w:p>
    <w:p>
      <w:pPr>
        <w:pStyle w:val="Institutionquisigne"/>
        <w:rPr>
          <w:noProof/>
        </w:rPr>
      </w:pPr>
      <w:r>
        <w:rPr>
          <w:noProof/>
        </w:rPr>
        <w:t>På Europa-Parlamentets vegne</w:t>
      </w:r>
      <w:r>
        <w:rPr>
          <w:noProof/>
        </w:rPr>
        <w:tab/>
        <w:t>På Rådets vegne</w:t>
      </w:r>
    </w:p>
    <w:p>
      <w:pPr>
        <w:pStyle w:val="Personnequisigne"/>
        <w:rPr>
          <w:i w:val="0"/>
          <w:noProof/>
        </w:rPr>
      </w:pPr>
      <w:r>
        <w:rPr>
          <w:noProof/>
        </w:rPr>
        <w:t>Formand</w:t>
      </w:r>
      <w:r>
        <w:rPr>
          <w:noProof/>
        </w:rPr>
        <w:tab/>
        <w:t>Formand</w:t>
      </w:r>
    </w:p>
    <w:p>
      <w:pPr>
        <w:pStyle w:val="Personnequisigne"/>
        <w:rPr>
          <w:noProof/>
        </w:rPr>
        <w:sectPr>
          <w:pgSz w:w="11907" w:h="16839"/>
          <w:pgMar w:top="1134" w:right="1417" w:bottom="1134" w:left="1417" w:header="709" w:footer="709" w:gutter="0"/>
          <w:cols w:space="708"/>
          <w:docGrid w:linePitch="360"/>
        </w:sectPr>
      </w:pPr>
    </w:p>
    <w:p>
      <w:pPr>
        <w:pStyle w:val="Fichefinanciretitre"/>
        <w:rPr>
          <w:noProof/>
        </w:rPr>
      </w:pPr>
      <w:r>
        <w:rPr>
          <w:noProof/>
        </w:rPr>
        <w:lastRenderedPageBreak/>
        <w:t>FINANSIERINGSOVERSIGT</w:t>
      </w:r>
    </w:p>
    <w:p>
      <w:pPr>
        <w:pStyle w:val="ManualHeading1"/>
        <w:rPr>
          <w:noProof/>
        </w:rPr>
      </w:pPr>
      <w:bookmarkStart w:id="1" w:name="_Toc514938007"/>
      <w:bookmarkStart w:id="2" w:name="_Toc520485025"/>
      <w:r>
        <w:t>1.</w:t>
      </w:r>
      <w:r>
        <w:tab/>
      </w:r>
      <w:r>
        <w:rPr>
          <w:noProof/>
        </w:rPr>
        <w:t>FORSLAGETS/INITIATIVETS RAMME</w:t>
      </w:r>
      <w:bookmarkEnd w:id="1"/>
      <w:bookmarkEnd w:id="2"/>
      <w:r>
        <w:rPr>
          <w:noProof/>
        </w:rPr>
        <w:t xml:space="preserve"> </w:t>
      </w:r>
    </w:p>
    <w:p>
      <w:pPr>
        <w:pStyle w:val="ManualHeading2"/>
        <w:rPr>
          <w:noProof/>
        </w:rPr>
      </w:pPr>
      <w:bookmarkStart w:id="3" w:name="_Toc514938008"/>
      <w:bookmarkStart w:id="4" w:name="_Toc520485026"/>
      <w:r>
        <w:t>1.1.</w:t>
      </w:r>
      <w:r>
        <w:tab/>
      </w:r>
      <w:r>
        <w:rPr>
          <w:noProof/>
        </w:rPr>
        <w:t>Forslagets/initiativets betegnelse</w:t>
      </w:r>
      <w:bookmarkEnd w:id="3"/>
      <w:bookmarkEnd w:id="4"/>
    </w:p>
    <w:p>
      <w:pPr>
        <w:pStyle w:val="ManualHeading2"/>
        <w:rPr>
          <w:i/>
          <w:noProof/>
        </w:rPr>
      </w:pPr>
      <w:bookmarkStart w:id="5" w:name="_Toc514938011"/>
      <w:bookmarkStart w:id="6" w:name="_Toc520485027"/>
      <w:r>
        <w:t>1.2.</w:t>
      </w:r>
      <w:r>
        <w:tab/>
      </w:r>
      <w:r>
        <w:rPr>
          <w:noProof/>
        </w:rPr>
        <w:t>Berørt(e) politikområde(r)</w:t>
      </w:r>
      <w:bookmarkEnd w:id="5"/>
      <w:bookmarkEnd w:id="6"/>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Forslag til Europa-Parlamentets og Rådets forordning om særlige bestemmelser for forvaltningen af de europæiske territoriale samarbejdsprogrammer i forbindelse med Det Forenede Kongeriges udtræden af Den Europæiske Union.</w:t>
      </w:r>
    </w:p>
    <w:p>
      <w:pPr>
        <w:pStyle w:val="ManualHeading2"/>
        <w:rPr>
          <w:bCs/>
          <w:noProof/>
          <w:szCs w:val="24"/>
        </w:rPr>
      </w:pPr>
      <w:bookmarkStart w:id="7" w:name="_Toc514938025"/>
      <w:bookmarkStart w:id="8" w:name="_Toc520485034"/>
      <w:r>
        <w:t>1.3.</w:t>
      </w:r>
      <w:r>
        <w:tab/>
      </w:r>
      <w:r>
        <w:rPr>
          <w:noProof/>
        </w:rPr>
        <w:t>Forslagets/initiativets begrundelse</w:t>
      </w:r>
      <w:bookmarkEnd w:id="7"/>
      <w:bookmarkEnd w:id="8"/>
      <w:r>
        <w:rPr>
          <w:noProof/>
        </w:rPr>
        <w:t xml:space="preserve"> </w:t>
      </w:r>
    </w:p>
    <w:p>
      <w:pPr>
        <w:pStyle w:val="ManualHeading3"/>
        <w:rPr>
          <w:noProof/>
        </w:rPr>
      </w:pPr>
      <w:bookmarkStart w:id="9" w:name="_Toc514938026"/>
      <w:bookmarkStart w:id="10" w:name="_Toc520485035"/>
      <w:r>
        <w:t>1.3.1.</w:t>
      </w:r>
      <w:r>
        <w:tab/>
      </w:r>
      <w:r>
        <w:rPr>
          <w:noProof/>
        </w:rPr>
        <w:t>Behov, der skal opfyldes på kort eller lang sigt, herunder en detaljeret tidsplan for iværksættelsen af initiativet</w:t>
      </w:r>
      <w:bookmarkEnd w:id="9"/>
      <w:bookmarkEnd w:id="10"/>
    </w:p>
    <w:p>
      <w:pPr>
        <w:pStyle w:val="Text1"/>
        <w:pBdr>
          <w:top w:val="single" w:sz="4" w:space="1" w:color="auto"/>
          <w:left w:val="single" w:sz="4" w:space="4" w:color="auto"/>
          <w:bottom w:val="single" w:sz="4" w:space="1" w:color="auto"/>
          <w:right w:val="single" w:sz="4" w:space="4" w:color="auto"/>
        </w:pBdr>
        <w:rPr>
          <w:noProof/>
        </w:rPr>
      </w:pPr>
      <w:r>
        <w:rPr>
          <w:noProof/>
        </w:rPr>
        <w:t>Denne forordning træder i kraft dagen efter offentliggørelsen i Den Europæiske Unions Tidende.</w:t>
      </w:r>
    </w:p>
    <w:p>
      <w:pPr>
        <w:pStyle w:val="Text1"/>
        <w:pBdr>
          <w:top w:val="single" w:sz="4" w:space="1" w:color="auto"/>
          <w:left w:val="single" w:sz="4" w:space="4" w:color="auto"/>
          <w:bottom w:val="single" w:sz="4" w:space="1" w:color="auto"/>
          <w:right w:val="single" w:sz="4" w:space="4" w:color="auto"/>
        </w:pBdr>
        <w:rPr>
          <w:noProof/>
        </w:rPr>
      </w:pPr>
      <w:r>
        <w:rPr>
          <w:noProof/>
        </w:rPr>
        <w:t>Den anvendes fra dagen efter den dag, hvor traktaterne ophører med at finde anvendelse på og i Det Forenede Kongerige i henhold til artikel 50, stk. 3, i traktaten om Den Europæiske Union.</w:t>
      </w:r>
    </w:p>
    <w:p>
      <w:pPr>
        <w:pStyle w:val="Text1"/>
        <w:pBdr>
          <w:top w:val="single" w:sz="4" w:space="1" w:color="auto"/>
          <w:left w:val="single" w:sz="4" w:space="4" w:color="auto"/>
          <w:bottom w:val="single" w:sz="4" w:space="1" w:color="auto"/>
          <w:right w:val="single" w:sz="4" w:space="4" w:color="auto"/>
        </w:pBdr>
        <w:rPr>
          <w:noProof/>
        </w:rPr>
      </w:pPr>
      <w:r>
        <w:rPr>
          <w:noProof/>
        </w:rPr>
        <w:t>Denne forordning finder ikke anvendelse, hvis en udtrædelsesaftale indgået med Det Forenede Kongerige i henhold til artikel 50, stk. 2, i traktaten om Den Europæiske Union er trådt i kraft senest på nævnte dato.</w:t>
      </w:r>
    </w:p>
    <w:p>
      <w:pPr>
        <w:pStyle w:val="ManualHeading3"/>
        <w:rPr>
          <w:bCs/>
          <w:noProof/>
          <w:szCs w:val="24"/>
        </w:rPr>
      </w:pPr>
      <w:bookmarkStart w:id="11" w:name="_Toc514938029"/>
      <w:bookmarkStart w:id="12" w:name="_Toc520485036"/>
      <w:r>
        <w:t>1.3.2.</w:t>
      </w:r>
      <w:r>
        <w:tab/>
      </w:r>
      <w:r>
        <w:rPr>
          <w:noProof/>
        </w:rPr>
        <w:t>Merværdien ved en indsats fra EU's side (det kan være et resultat af mange faktorer f.eks. koordineringsfordele, retssikkerhed, større effektivitet eller komplementaritet). Ved "merværdien ved en indsats fra EU's side" forstås her merværdien af EU's intervention i forhold til den værdi, som medlemsstaterne ville have skabt enkeltvis.</w:t>
      </w:r>
      <w:bookmarkEnd w:id="11"/>
      <w:bookmarkEnd w:id="12"/>
    </w:p>
    <w:p>
      <w:pPr>
        <w:pStyle w:val="Text1"/>
        <w:pBdr>
          <w:top w:val="single" w:sz="4" w:space="1" w:color="auto"/>
          <w:left w:val="single" w:sz="4" w:space="4" w:color="auto"/>
          <w:bottom w:val="single" w:sz="4" w:space="1" w:color="auto"/>
          <w:right w:val="single" w:sz="4" w:space="4" w:color="auto"/>
        </w:pBdr>
        <w:rPr>
          <w:noProof/>
        </w:rPr>
      </w:pPr>
      <w:r>
        <w:t>Ikke relevant.</w:t>
      </w:r>
    </w:p>
    <w:p>
      <w:pPr>
        <w:pStyle w:val="ManualHeading3"/>
        <w:rPr>
          <w:noProof/>
        </w:rPr>
      </w:pPr>
      <w:bookmarkStart w:id="13" w:name="_Toc514938030"/>
      <w:bookmarkStart w:id="14" w:name="_Toc520485037"/>
      <w:r>
        <w:t>1.3.3.</w:t>
      </w:r>
      <w:r>
        <w:tab/>
      </w:r>
      <w:r>
        <w:rPr>
          <w:noProof/>
        </w:rPr>
        <w:t>Erfaringer fra lignende foranstaltninger</w:t>
      </w:r>
      <w:bookmarkEnd w:id="13"/>
      <w:bookmarkEnd w:id="14"/>
    </w:p>
    <w:p>
      <w:pPr>
        <w:pStyle w:val="Text1"/>
        <w:pBdr>
          <w:top w:val="single" w:sz="4" w:space="1" w:color="auto"/>
          <w:left w:val="single" w:sz="4" w:space="4" w:color="auto"/>
          <w:bottom w:val="single" w:sz="4" w:space="1" w:color="auto"/>
          <w:right w:val="single" w:sz="4" w:space="4" w:color="auto"/>
        </w:pBdr>
        <w:rPr>
          <w:noProof/>
        </w:rPr>
      </w:pPr>
      <w:r>
        <w:t>Ikke relevant.</w:t>
      </w:r>
    </w:p>
    <w:p>
      <w:pPr>
        <w:pStyle w:val="ManualHeading3"/>
        <w:rPr>
          <w:noProof/>
        </w:rPr>
      </w:pPr>
      <w:bookmarkStart w:id="15" w:name="_Toc514938033"/>
      <w:bookmarkStart w:id="16" w:name="_Toc520485038"/>
      <w:r>
        <w:t>1.3.4.</w:t>
      </w:r>
      <w:r>
        <w:tab/>
      </w:r>
      <w:r>
        <w:rPr>
          <w:noProof/>
        </w:rPr>
        <w:t>Forenelighed med den flerårige finansielle ramme og mulige synergivirkninger med andre relevante instrumenter</w:t>
      </w:r>
      <w:bookmarkEnd w:id="15"/>
      <w:bookmarkEnd w:id="16"/>
    </w:p>
    <w:p>
      <w:pPr>
        <w:pStyle w:val="Text1"/>
        <w:pBdr>
          <w:top w:val="single" w:sz="4" w:space="1" w:color="auto"/>
          <w:left w:val="single" w:sz="4" w:space="4" w:color="auto"/>
          <w:bottom w:val="single" w:sz="4" w:space="1" w:color="auto"/>
          <w:right w:val="single" w:sz="4" w:space="4" w:color="auto"/>
        </w:pBdr>
        <w:rPr>
          <w:noProof/>
        </w:rPr>
      </w:pPr>
      <w:r>
        <w:rPr>
          <w:noProof/>
        </w:rPr>
        <w:t>Denne forordning er i overensstemmelse med den flerårige finansielle ramme. Den har ingen finansiel virkning.</w:t>
      </w:r>
    </w:p>
    <w:p>
      <w:pPr>
        <w:pStyle w:val="ManualHeading3"/>
        <w:rPr>
          <w:noProof/>
        </w:rPr>
      </w:pPr>
      <w:bookmarkStart w:id="17" w:name="_Toc514938036"/>
      <w:bookmarkStart w:id="18" w:name="_Toc520485039"/>
      <w:r>
        <w:t>1.3.5.</w:t>
      </w:r>
      <w:r>
        <w:tab/>
      </w:r>
      <w:r>
        <w:rPr>
          <w:noProof/>
        </w:rPr>
        <w:t>Vurdering af de forskellige tilgængelige finansieringsmuligheder, herunder muligheden for omfordeling</w:t>
      </w:r>
      <w:bookmarkEnd w:id="17"/>
      <w:bookmarkEnd w:id="18"/>
    </w:p>
    <w:p>
      <w:pPr>
        <w:pStyle w:val="Text1"/>
        <w:pBdr>
          <w:top w:val="single" w:sz="4" w:space="1" w:color="auto"/>
          <w:left w:val="single" w:sz="4" w:space="4" w:color="auto"/>
          <w:bottom w:val="single" w:sz="4" w:space="0" w:color="auto"/>
          <w:right w:val="single" w:sz="4" w:space="4" w:color="auto"/>
        </w:pBdr>
        <w:rPr>
          <w:noProof/>
        </w:rPr>
      </w:pPr>
      <w:r>
        <w:rPr>
          <w:noProof/>
          <w:lang w:val="nb-NO"/>
        </w:rPr>
        <w:t xml:space="preserve">Denne forordning har ingen finansielle virkninger. </w:t>
      </w:r>
      <w:r>
        <w:rPr>
          <w:noProof/>
        </w:rPr>
        <w:t>Unionens bidrag til programmerne finansieres over Unionens almindelige budget.</w:t>
      </w:r>
    </w:p>
    <w:p>
      <w:pPr>
        <w:pStyle w:val="Text1"/>
        <w:rPr>
          <w:noProof/>
        </w:rPr>
      </w:pPr>
    </w:p>
    <w:p>
      <w:pPr>
        <w:pStyle w:val="ManualHeading2"/>
        <w:rPr>
          <w:bCs/>
          <w:noProof/>
          <w:szCs w:val="24"/>
        </w:rPr>
      </w:pPr>
      <w:r>
        <w:rPr>
          <w:noProof/>
        </w:rPr>
        <w:br w:type="page"/>
      </w:r>
      <w:bookmarkStart w:id="19" w:name="_Toc514938039"/>
      <w:bookmarkStart w:id="20" w:name="_Toc520485040"/>
      <w:r>
        <w:lastRenderedPageBreak/>
        <w:t>1.4.</w:t>
      </w:r>
      <w:r>
        <w:tab/>
      </w:r>
      <w:r>
        <w:rPr>
          <w:noProof/>
        </w:rPr>
        <w:t>Forslagets/initiativets varighed og finansielle virkninger</w:t>
      </w:r>
      <w:bookmarkEnd w:id="19"/>
      <w:bookmarkEnd w:id="20"/>
    </w:p>
    <w:p>
      <w:pPr>
        <w:pStyle w:val="ListDash1"/>
        <w:rPr>
          <w:noProof/>
        </w:rPr>
      </w:pPr>
      <w:r>
        <w:rPr>
          <w:b/>
          <w:noProof/>
        </w:rPr>
        <w:t>X</w:t>
      </w:r>
      <w:r>
        <w:rPr>
          <w:noProof/>
        </w:rPr>
        <w:t xml:space="preserve"> ingen finansielle virkninger.</w:t>
      </w:r>
    </w:p>
    <w:p>
      <w:pPr>
        <w:pStyle w:val="ManualHeading2"/>
        <w:rPr>
          <w:bCs/>
          <w:noProof/>
          <w:szCs w:val="24"/>
        </w:rPr>
      </w:pPr>
      <w:bookmarkStart w:id="21" w:name="_Toc514938040"/>
      <w:bookmarkStart w:id="22" w:name="_Toc520485041"/>
      <w:r>
        <w:t>1.5.</w:t>
      </w:r>
      <w:r>
        <w:tab/>
      </w:r>
      <w:r>
        <w:rPr>
          <w:noProof/>
        </w:rPr>
        <w:t>Påtænkt(e) forvaltningsmetode(r)</w:t>
      </w:r>
      <w:r>
        <w:rPr>
          <w:rStyle w:val="FootnoteReference"/>
          <w:noProof/>
        </w:rPr>
        <w:footnoteReference w:id="9"/>
      </w:r>
      <w:bookmarkEnd w:id="21"/>
      <w:bookmarkEnd w:id="22"/>
      <w:r>
        <w:rPr>
          <w:rStyle w:val="FootnoteReference"/>
          <w:noProof/>
        </w:rPr>
        <w:t xml:space="preserve"> </w:t>
      </w:r>
    </w:p>
    <w:p>
      <w:pPr>
        <w:pStyle w:val="Text1"/>
        <w:rPr>
          <w:noProof/>
        </w:rPr>
      </w:pPr>
      <w:r>
        <w:rPr>
          <w:noProof/>
        </w:rPr>
        <w:sym w:font="Wingdings" w:char="F0A8"/>
      </w:r>
      <w:r>
        <w:rPr>
          <w:i/>
          <w:noProof/>
        </w:rPr>
        <w:t xml:space="preserve"> </w:t>
      </w:r>
      <w:r>
        <w:rPr>
          <w:b/>
          <w:noProof/>
        </w:rPr>
        <w:t xml:space="preserve">Direkte forvaltning </w:t>
      </w:r>
      <w:r>
        <w:rPr>
          <w:noProof/>
        </w:rPr>
        <w:t>ved Kommissionen</w:t>
      </w:r>
    </w:p>
    <w:p>
      <w:pPr>
        <w:pStyle w:val="ListDash2"/>
        <w:rPr>
          <w:rFonts w:cs="EUAlbertina"/>
          <w:noProof/>
        </w:rPr>
      </w:pPr>
      <w:r>
        <w:rPr>
          <w:noProof/>
        </w:rPr>
        <w:sym w:font="Wingdings" w:char="F0A8"/>
      </w:r>
      <w:r>
        <w:rPr>
          <w:noProof/>
        </w:rPr>
        <w:t xml:space="preserve"> i dens tjenestegrene, herunder ved dens personale i EU's delegationer </w:t>
      </w:r>
    </w:p>
    <w:p>
      <w:pPr>
        <w:pStyle w:val="ListDash2"/>
        <w:rPr>
          <w:noProof/>
        </w:rPr>
      </w:pPr>
      <w:r>
        <w:rPr>
          <w:noProof/>
        </w:rPr>
        <w:sym w:font="Wingdings" w:char="F0A8"/>
      </w:r>
      <w:r>
        <w:rPr>
          <w:noProof/>
        </w:rPr>
        <w:tab/>
        <w:t xml:space="preserve">i gennemførelsesorganer </w:t>
      </w:r>
    </w:p>
    <w:p>
      <w:pPr>
        <w:pStyle w:val="Text1"/>
        <w:rPr>
          <w:noProof/>
        </w:rPr>
      </w:pPr>
      <w:r>
        <w:rPr>
          <w:b/>
          <w:noProof/>
        </w:rPr>
        <w:t>X</w:t>
      </w:r>
      <w:r>
        <w:rPr>
          <w:b/>
          <w:i/>
          <w:noProof/>
        </w:rPr>
        <w:t xml:space="preserve"> </w:t>
      </w:r>
      <w:r>
        <w:rPr>
          <w:b/>
          <w:noProof/>
        </w:rPr>
        <w:t>Delt forvaltning</w:t>
      </w:r>
      <w:r>
        <w:rPr>
          <w:noProof/>
        </w:rPr>
        <w:t xml:space="preserve"> i samarbejde med medlemsstaterne </w:t>
      </w:r>
    </w:p>
    <w:p>
      <w:pPr>
        <w:pStyle w:val="Text1"/>
        <w:rPr>
          <w:noProof/>
        </w:rPr>
      </w:pPr>
      <w:r>
        <w:rPr>
          <w:noProof/>
        </w:rPr>
        <w:sym w:font="Wingdings" w:char="F0A8"/>
      </w:r>
      <w:r>
        <w:rPr>
          <w:i/>
          <w:noProof/>
        </w:rPr>
        <w:t xml:space="preserve"> </w:t>
      </w:r>
      <w:r>
        <w:rPr>
          <w:b/>
          <w:noProof/>
        </w:rPr>
        <w:t>Indirekte forvaltning</w:t>
      </w:r>
      <w:r>
        <w:rPr>
          <w:noProof/>
        </w:rPr>
        <w:t xml:space="preserve"> ved at overlade budgetgennemførelsesopgaver til:</w:t>
      </w:r>
    </w:p>
    <w:p>
      <w:pPr>
        <w:pStyle w:val="ListDash2"/>
        <w:rPr>
          <w:noProof/>
        </w:rPr>
      </w:pPr>
      <w:r>
        <w:rPr>
          <w:noProof/>
        </w:rPr>
        <w:sym w:font="Wingdings" w:char="F0A8"/>
      </w:r>
      <w:r>
        <w:rPr>
          <w:noProof/>
        </w:rPr>
        <w:t xml:space="preserve"> tredjelande eller organer, som tredjelande har udpeget</w:t>
      </w:r>
    </w:p>
    <w:p>
      <w:pPr>
        <w:pStyle w:val="ListDash2"/>
        <w:rPr>
          <w:noProof/>
        </w:rPr>
      </w:pPr>
      <w:r>
        <w:rPr>
          <w:noProof/>
        </w:rPr>
        <w:sym w:font="Wingdings" w:char="F0A8"/>
      </w:r>
      <w:r>
        <w:rPr>
          <w:noProof/>
        </w:rPr>
        <w:t xml:space="preserve"> internationale organisationer og deres organer (angives nærmere)</w:t>
      </w:r>
    </w:p>
    <w:p>
      <w:pPr>
        <w:pStyle w:val="ListDash2"/>
        <w:rPr>
          <w:noProof/>
        </w:rPr>
      </w:pPr>
      <w:r>
        <w:rPr>
          <w:noProof/>
        </w:rPr>
        <w:sym w:font="Wingdings" w:char="F0A8"/>
      </w:r>
      <w:r>
        <w:rPr>
          <w:noProof/>
        </w:rPr>
        <w:t xml:space="preserve"> Den Europæiske Investeringsbank og Den Europæiske Investeringsfond</w:t>
      </w:r>
    </w:p>
    <w:p>
      <w:pPr>
        <w:pStyle w:val="ListDash2"/>
        <w:rPr>
          <w:noProof/>
        </w:rPr>
      </w:pPr>
      <w:r>
        <w:rPr>
          <w:noProof/>
        </w:rPr>
        <w:sym w:font="Wingdings" w:char="F0A8"/>
      </w:r>
      <w:r>
        <w:rPr>
          <w:noProof/>
        </w:rPr>
        <w:t xml:space="preserve"> de organer, der er omhandlet i finansforordningens artikel 70 og 71</w:t>
      </w:r>
    </w:p>
    <w:p>
      <w:pPr>
        <w:pStyle w:val="ListDash2"/>
        <w:rPr>
          <w:noProof/>
        </w:rPr>
      </w:pPr>
      <w:r>
        <w:rPr>
          <w:noProof/>
        </w:rPr>
        <w:sym w:font="Wingdings" w:char="F0A8"/>
      </w:r>
      <w:r>
        <w:rPr>
          <w:noProof/>
        </w:rPr>
        <w:t xml:space="preserve"> offentligretlige organer</w:t>
      </w:r>
    </w:p>
    <w:p>
      <w:pPr>
        <w:pStyle w:val="ListDash2"/>
        <w:rPr>
          <w:noProof/>
        </w:rPr>
      </w:pPr>
      <w:r>
        <w:rPr>
          <w:noProof/>
        </w:rPr>
        <w:sym w:font="Wingdings" w:char="F0A8"/>
      </w:r>
      <w:r>
        <w:rPr>
          <w:noProof/>
        </w:rPr>
        <w:t xml:space="preserve"> privatretlige organer, der har fået overdraget samfundsopgaver, forudsat at de stiller tilstrækkelige finansielle garantier</w:t>
      </w:r>
    </w:p>
    <w:p>
      <w:pPr>
        <w:pStyle w:val="ListDash2"/>
        <w:rPr>
          <w:noProof/>
        </w:rPr>
      </w:pPr>
      <w:r>
        <w:rPr>
          <w:noProof/>
        </w:rPr>
        <w:sym w:font="Wingdings" w:char="F0A8"/>
      </w:r>
      <w:r>
        <w:rPr>
          <w:noProof/>
        </w:rPr>
        <w:t xml:space="preserve"> privatretlige organer, undergivet lovgivningen i en medlemsstat, som har fået overdraget gennemførelsen af et offentlig-privat partnerskab, og som stiller tilstrækkelige finansielle garantier</w:t>
      </w:r>
    </w:p>
    <w:p>
      <w:pPr>
        <w:pStyle w:val="ListDash2"/>
        <w:rPr>
          <w:noProof/>
        </w:rPr>
      </w:pPr>
      <w:r>
        <w:rPr>
          <w:noProof/>
        </w:rPr>
        <w:sym w:font="Wingdings" w:char="F0A8"/>
      </w:r>
      <w:r>
        <w:rPr>
          <w:noProof/>
        </w:rPr>
        <w:t xml:space="preserve"> personer, der har fået overdraget gennemførelsen af specifikke aktioner i den fælles udenrigs- og sikkerhedspolitik i henhold til afsnit V i traktaten om Den Europæiske Union, og som er udpeget i den relevante basisretsakt</w:t>
      </w:r>
    </w:p>
    <w:p>
      <w:pPr>
        <w:pStyle w:val="ListDash2"/>
        <w:rPr>
          <w:i/>
          <w:noProof/>
          <w:sz w:val="18"/>
          <w:u w:val="single"/>
        </w:rPr>
      </w:pPr>
      <w:r>
        <w:rPr>
          <w:i/>
          <w:noProof/>
          <w:sz w:val="18"/>
        </w:rPr>
        <w:t>Hvis der angives flere forvaltningsmetoder, gives der en nærmere forklaring i afsnittet "Bemærkninger".</w:t>
      </w:r>
    </w:p>
    <w:p>
      <w:pPr>
        <w:rPr>
          <w:noProof/>
        </w:rPr>
      </w:pPr>
      <w:r>
        <w:rPr>
          <w:noProof/>
        </w:rPr>
        <w:t xml:space="preserve">Bemærkninger </w:t>
      </w:r>
    </w:p>
    <w:p>
      <w:pPr>
        <w:pBdr>
          <w:top w:val="single" w:sz="4" w:space="1" w:color="auto"/>
          <w:left w:val="single" w:sz="4" w:space="4" w:color="auto"/>
          <w:bottom w:val="single" w:sz="4" w:space="1" w:color="auto"/>
          <w:right w:val="single" w:sz="4" w:space="4" w:color="auto"/>
        </w:pBdr>
        <w:rPr>
          <w:noProof/>
        </w:rPr>
        <w:sectPr>
          <w:pgSz w:w="11907" w:h="16840" w:code="9"/>
          <w:pgMar w:top="1134" w:right="1418" w:bottom="1134" w:left="1418" w:header="709" w:footer="709" w:gutter="0"/>
          <w:cols w:space="708"/>
          <w:docGrid w:linePitch="360"/>
        </w:sectPr>
      </w:pPr>
      <w:r>
        <w:t>Ikke relevant.</w:t>
      </w:r>
    </w:p>
    <w:p>
      <w:pPr>
        <w:pStyle w:val="ManualHeading1"/>
        <w:rPr>
          <w:bCs/>
          <w:noProof/>
          <w:szCs w:val="24"/>
        </w:rPr>
      </w:pPr>
      <w:bookmarkStart w:id="23" w:name="_Toc514938041"/>
      <w:bookmarkStart w:id="24" w:name="_Toc520485042"/>
      <w:r>
        <w:lastRenderedPageBreak/>
        <w:t>2.</w:t>
      </w:r>
      <w:r>
        <w:tab/>
      </w:r>
      <w:r>
        <w:rPr>
          <w:noProof/>
        </w:rPr>
        <w:t>FORVALTNINGSFORANSTALTNINGER</w:t>
      </w:r>
      <w:bookmarkEnd w:id="23"/>
      <w:bookmarkEnd w:id="24"/>
      <w:r>
        <w:rPr>
          <w:noProof/>
        </w:rPr>
        <w:t xml:space="preserve"> </w:t>
      </w:r>
    </w:p>
    <w:p>
      <w:pPr>
        <w:pStyle w:val="ManualHeading2"/>
        <w:rPr>
          <w:noProof/>
        </w:rPr>
      </w:pPr>
      <w:bookmarkStart w:id="25" w:name="_Toc514938042"/>
      <w:bookmarkStart w:id="26" w:name="_Toc520485043"/>
      <w:r>
        <w:t>2.1.</w:t>
      </w:r>
      <w:r>
        <w:tab/>
      </w:r>
      <w:r>
        <w:rPr>
          <w:noProof/>
        </w:rPr>
        <w:t>Bestemmelser om kontrol og rapportering</w:t>
      </w:r>
      <w:bookmarkEnd w:id="25"/>
      <w:bookmarkEnd w:id="26"/>
      <w:r>
        <w:rPr>
          <w:noProof/>
        </w:rPr>
        <w:t xml:space="preserve"> </w:t>
      </w:r>
    </w:p>
    <w:p>
      <w:pPr>
        <w:pStyle w:val="Text1"/>
        <w:rPr>
          <w:i/>
          <w:noProof/>
          <w:sz w:val="20"/>
        </w:rPr>
      </w:pPr>
      <w:r>
        <w:rPr>
          <w:i/>
          <w:noProof/>
          <w:sz w:val="20"/>
        </w:rPr>
        <w:t>Angiv hyppighed og betingelser.</w:t>
      </w:r>
    </w:p>
    <w:p>
      <w:pPr>
        <w:pStyle w:val="Text1"/>
        <w:pBdr>
          <w:top w:val="single" w:sz="4" w:space="1" w:color="auto"/>
          <w:left w:val="single" w:sz="4" w:space="4" w:color="auto"/>
          <w:bottom w:val="single" w:sz="4" w:space="1" w:color="auto"/>
          <w:right w:val="single" w:sz="4" w:space="4" w:color="auto"/>
        </w:pBdr>
        <w:rPr>
          <w:noProof/>
        </w:rPr>
      </w:pPr>
      <w:r>
        <w:t>Ikke relevant.</w:t>
      </w:r>
    </w:p>
    <w:p>
      <w:pPr>
        <w:pStyle w:val="ManualHeading2"/>
        <w:rPr>
          <w:bCs/>
          <w:noProof/>
          <w:szCs w:val="24"/>
        </w:rPr>
      </w:pPr>
      <w:bookmarkStart w:id="27" w:name="_Toc514938045"/>
      <w:bookmarkStart w:id="28" w:name="_Toc520485044"/>
      <w:r>
        <w:t>2.2.</w:t>
      </w:r>
      <w:r>
        <w:tab/>
      </w:r>
      <w:r>
        <w:rPr>
          <w:noProof/>
        </w:rPr>
        <w:t>Forvaltnings- og kontrolsystem(er)</w:t>
      </w:r>
      <w:bookmarkEnd w:id="27"/>
      <w:bookmarkEnd w:id="28"/>
      <w:r>
        <w:rPr>
          <w:noProof/>
        </w:rPr>
        <w:t xml:space="preserve"> </w:t>
      </w:r>
    </w:p>
    <w:p>
      <w:pPr>
        <w:pStyle w:val="ManualHeading3"/>
        <w:rPr>
          <w:noProof/>
        </w:rPr>
      </w:pPr>
      <w:bookmarkStart w:id="29" w:name="_Toc514938046"/>
      <w:bookmarkStart w:id="30" w:name="_Toc520485045"/>
      <w:r>
        <w:t>2.2.1.</w:t>
      </w:r>
      <w:r>
        <w:tab/>
      </w:r>
      <w:r>
        <w:rPr>
          <w:noProof/>
        </w:rPr>
        <w:t>Begrundelse for den/de påtænkte forvaltningsmetode(r), finansieringsmekanisme(r), betalingsvilkår og kontrolstrategi</w:t>
      </w:r>
      <w:bookmarkEnd w:id="29"/>
      <w:bookmarkEnd w:id="30"/>
    </w:p>
    <w:p>
      <w:pPr>
        <w:pStyle w:val="Text1"/>
        <w:pBdr>
          <w:top w:val="single" w:sz="4" w:space="1" w:color="auto"/>
          <w:left w:val="single" w:sz="4" w:space="4" w:color="auto"/>
          <w:bottom w:val="single" w:sz="4" w:space="1" w:color="auto"/>
          <w:right w:val="single" w:sz="4" w:space="4" w:color="auto"/>
        </w:pBdr>
        <w:rPr>
          <w:noProof/>
        </w:rPr>
      </w:pPr>
      <w:r>
        <w:t>Ikke relevant.</w:t>
      </w:r>
    </w:p>
    <w:p>
      <w:pPr>
        <w:pStyle w:val="ManualHeading3"/>
        <w:rPr>
          <w:bCs/>
          <w:noProof/>
          <w:szCs w:val="24"/>
        </w:rPr>
      </w:pPr>
      <w:bookmarkStart w:id="31" w:name="_Toc514938047"/>
      <w:bookmarkStart w:id="32" w:name="_Toc520485046"/>
      <w:r>
        <w:t>2.2.2.</w:t>
      </w:r>
      <w:r>
        <w:tab/>
      </w:r>
      <w:r>
        <w:rPr>
          <w:noProof/>
        </w:rPr>
        <w:t>Oplysninger om de udpegede risici og det/de interne kontrolsystem(er), der etableres for at afbøde dem</w:t>
      </w:r>
      <w:bookmarkEnd w:id="31"/>
      <w:bookmarkEnd w:id="32"/>
    </w:p>
    <w:p>
      <w:pPr>
        <w:pStyle w:val="Text1"/>
        <w:pBdr>
          <w:top w:val="single" w:sz="4" w:space="1" w:color="auto"/>
          <w:left w:val="single" w:sz="4" w:space="4" w:color="auto"/>
          <w:bottom w:val="single" w:sz="4" w:space="1" w:color="auto"/>
          <w:right w:val="single" w:sz="4" w:space="4" w:color="auto"/>
        </w:pBdr>
        <w:rPr>
          <w:noProof/>
        </w:rPr>
      </w:pPr>
      <w:r>
        <w:t>Ikke relevant.</w:t>
      </w:r>
    </w:p>
    <w:p>
      <w:pPr>
        <w:pStyle w:val="ManualHeading3"/>
        <w:rPr>
          <w:noProof/>
        </w:rPr>
      </w:pPr>
      <w:bookmarkStart w:id="33" w:name="_Toc514938048"/>
      <w:bookmarkStart w:id="34" w:name="_Toc520485047"/>
      <w:r>
        <w:t>2.2.3.</w:t>
      </w:r>
      <w:r>
        <w:tab/>
      </w:r>
      <w:r>
        <w:rPr>
          <w:noProof/>
        </w:rPr>
        <w:t>Vurdering af og begrundelse for kontrolforanstaltningernes omkostningseffektivitet (forholdet mellem kontrolomkostningerne og værdien af de forvaltede midler) samt vurdering af den forventede risiko for fejl (ved betaling og ved afslutning)</w:t>
      </w:r>
      <w:bookmarkEnd w:id="33"/>
      <w:bookmarkEnd w:id="34"/>
      <w:r>
        <w:rPr>
          <w:noProof/>
        </w:rPr>
        <w:t xml:space="preserve"> </w:t>
      </w:r>
    </w:p>
    <w:p>
      <w:pPr>
        <w:pStyle w:val="Text1"/>
        <w:pBdr>
          <w:top w:val="single" w:sz="4" w:space="1" w:color="auto"/>
          <w:left w:val="single" w:sz="4" w:space="4" w:color="auto"/>
          <w:bottom w:val="single" w:sz="4" w:space="1" w:color="auto"/>
          <w:right w:val="single" w:sz="4" w:space="4" w:color="auto"/>
        </w:pBdr>
      </w:pPr>
      <w:r>
        <w:t>Ikke relevant.</w:t>
      </w:r>
    </w:p>
    <w:p>
      <w:pPr>
        <w:pStyle w:val="ManualHeading2"/>
        <w:rPr>
          <w:bCs/>
          <w:noProof/>
          <w:szCs w:val="24"/>
        </w:rPr>
      </w:pPr>
      <w:bookmarkStart w:id="35" w:name="_Toc514938049"/>
      <w:bookmarkStart w:id="36" w:name="_Toc520485048"/>
      <w:r>
        <w:t>2.3.</w:t>
      </w:r>
      <w:r>
        <w:tab/>
      </w:r>
      <w:r>
        <w:rPr>
          <w:noProof/>
        </w:rPr>
        <w:t>Foranstaltninger til forebyggelse af svig og uregelmæssigheder</w:t>
      </w:r>
      <w:bookmarkEnd w:id="35"/>
      <w:bookmarkEnd w:id="36"/>
      <w:r>
        <w:rPr>
          <w:noProof/>
        </w:rPr>
        <w:t xml:space="preserve"> </w:t>
      </w:r>
    </w:p>
    <w:p>
      <w:pPr>
        <w:pStyle w:val="Text1"/>
        <w:rPr>
          <w:i/>
          <w:noProof/>
          <w:sz w:val="20"/>
        </w:rPr>
      </w:pPr>
      <w:r>
        <w:rPr>
          <w:i/>
          <w:noProof/>
          <w:sz w:val="20"/>
        </w:rPr>
        <w:t>Angiv eksisterende eller påtænkte forebyggelses- og beskyttelsesforanstaltninger, f.eks. fra strategien til bekæmpelse af svig.</w:t>
      </w:r>
    </w:p>
    <w:p>
      <w:pPr>
        <w:pStyle w:val="Text1"/>
        <w:pBdr>
          <w:top w:val="single" w:sz="4" w:space="1" w:color="auto"/>
          <w:left w:val="single" w:sz="4" w:space="4" w:color="auto"/>
          <w:bottom w:val="single" w:sz="4" w:space="1" w:color="auto"/>
          <w:right w:val="single" w:sz="4" w:space="4" w:color="auto"/>
        </w:pBdr>
        <w:rPr>
          <w:noProof/>
        </w:rPr>
        <w:sectPr>
          <w:pgSz w:w="11907" w:h="16840" w:code="9"/>
          <w:pgMar w:top="1134" w:right="1418" w:bottom="1134" w:left="1418" w:header="709" w:footer="709" w:gutter="0"/>
          <w:cols w:space="708"/>
          <w:docGrid w:linePitch="360"/>
        </w:sectPr>
      </w:pPr>
      <w:r>
        <w:t>Ikke relevant.</w:t>
      </w:r>
    </w:p>
    <w:p>
      <w:pPr>
        <w:pStyle w:val="ManualHeading1"/>
        <w:rPr>
          <w:bCs/>
          <w:noProof/>
          <w:szCs w:val="24"/>
        </w:rPr>
      </w:pPr>
      <w:bookmarkStart w:id="37" w:name="_Toc514938050"/>
      <w:bookmarkStart w:id="38" w:name="_Toc520485049"/>
      <w:r>
        <w:lastRenderedPageBreak/>
        <w:t>3.</w:t>
      </w:r>
      <w:r>
        <w:tab/>
      </w:r>
      <w:r>
        <w:rPr>
          <w:noProof/>
        </w:rPr>
        <w:t>FORSLAGETS/INITIATIVETS ANSLÅEDE FINANSIELLE VIRKNINGER</w:t>
      </w:r>
      <w:bookmarkEnd w:id="37"/>
      <w:bookmarkEnd w:id="38"/>
      <w:r>
        <w:rPr>
          <w:noProof/>
        </w:rPr>
        <w:t xml:space="preserve"> </w:t>
      </w:r>
    </w:p>
    <w:p>
      <w:pPr>
        <w:pStyle w:val="ManualHeading2"/>
        <w:rPr>
          <w:noProof/>
        </w:rPr>
      </w:pPr>
      <w:bookmarkStart w:id="39" w:name="_Toc514938051"/>
      <w:bookmarkStart w:id="40" w:name="_Toc520485050"/>
      <w:r>
        <w:t>3.1.</w:t>
      </w:r>
      <w:r>
        <w:tab/>
      </w:r>
      <w:r>
        <w:rPr>
          <w:noProof/>
        </w:rPr>
        <w:t>Berørt(e) udgiftspost(er) på budgettet og udgiftsområde(r) i den flerårige finansielle ramme</w:t>
      </w:r>
      <w:bookmarkEnd w:id="39"/>
      <w:bookmarkEnd w:id="40"/>
      <w:r>
        <w:rPr>
          <w:noProof/>
        </w:rPr>
        <w:t xml:space="preserve"> </w:t>
      </w:r>
    </w:p>
    <w:p>
      <w:pPr>
        <w:pStyle w:val="ListBullet1"/>
        <w:rPr>
          <w:noProof/>
        </w:rPr>
      </w:pPr>
      <w:r>
        <w:rPr>
          <w:noProof/>
        </w:rPr>
        <w:t xml:space="preserve">Eksisterende udgiftsposter på budgettet </w:t>
      </w:r>
    </w:p>
    <w:p>
      <w:pPr>
        <w:pStyle w:val="Text1"/>
        <w:rPr>
          <w:i/>
          <w:noProof/>
        </w:rPr>
      </w:pPr>
      <w:r>
        <w:rPr>
          <w:i/>
          <w:noProof/>
          <w:u w:val="single"/>
        </w:rPr>
        <w:t>I samme rækkefølge</w:t>
      </w:r>
      <w:r>
        <w:rPr>
          <w:i/>
          <w:noProof/>
        </w:rPr>
        <w:t xml:space="preserve"> som udgiftsområderne i den flerårige finansielle ramme og budgetposterne.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rPr>
            </w:pPr>
            <w:r>
              <w:rPr>
                <w:noProof/>
                <w:sz w:val="18"/>
              </w:rPr>
              <w:t>Udgiftsområde i den flerårige finansielle ramme</w:t>
            </w:r>
          </w:p>
        </w:tc>
        <w:tc>
          <w:tcPr>
            <w:tcW w:w="3960" w:type="dxa"/>
            <w:vAlign w:val="center"/>
          </w:tcPr>
          <w:p>
            <w:pPr>
              <w:spacing w:before="60" w:after="60"/>
              <w:jc w:val="center"/>
              <w:rPr>
                <w:noProof/>
              </w:rPr>
            </w:pPr>
            <w:r>
              <w:rPr>
                <w:noProof/>
                <w:sz w:val="20"/>
              </w:rPr>
              <w:t>Budgetpost</w:t>
            </w:r>
          </w:p>
        </w:tc>
        <w:tc>
          <w:tcPr>
            <w:tcW w:w="1080" w:type="dxa"/>
            <w:vAlign w:val="center"/>
          </w:tcPr>
          <w:p>
            <w:pPr>
              <w:spacing w:before="60" w:after="60"/>
              <w:jc w:val="center"/>
              <w:rPr>
                <w:noProof/>
              </w:rPr>
            </w:pPr>
            <w:r>
              <w:rPr>
                <w:noProof/>
                <w:sz w:val="18"/>
              </w:rPr>
              <w:t xml:space="preserve">Udgiftens </w:t>
            </w:r>
            <w:r>
              <w:rPr>
                <w:noProof/>
                <w:sz w:val="22"/>
              </w:rPr>
              <w:br/>
            </w:r>
            <w:r>
              <w:rPr>
                <w:noProof/>
                <w:sz w:val="18"/>
              </w:rPr>
              <w:t>art</w:t>
            </w:r>
          </w:p>
        </w:tc>
        <w:tc>
          <w:tcPr>
            <w:tcW w:w="4440" w:type="dxa"/>
            <w:gridSpan w:val="4"/>
            <w:vAlign w:val="center"/>
          </w:tcPr>
          <w:p>
            <w:pPr>
              <w:spacing w:before="60" w:after="60"/>
              <w:jc w:val="center"/>
              <w:rPr>
                <w:noProof/>
              </w:rPr>
            </w:pPr>
            <w:r>
              <w:rPr>
                <w:noProof/>
                <w:sz w:val="20"/>
              </w:rPr>
              <w:t xml:space="preserve">Bidrag </w:t>
            </w:r>
          </w:p>
        </w:tc>
      </w:tr>
      <w:tr>
        <w:tc>
          <w:tcPr>
            <w:tcW w:w="1080" w:type="dxa"/>
            <w:vMerge/>
            <w:vAlign w:val="center"/>
          </w:tcPr>
          <w:p>
            <w:pPr>
              <w:jc w:val="center"/>
              <w:rPr>
                <w:noProof/>
              </w:rPr>
            </w:pPr>
          </w:p>
        </w:tc>
        <w:tc>
          <w:tcPr>
            <w:tcW w:w="3960" w:type="dxa"/>
            <w:vAlign w:val="center"/>
          </w:tcPr>
          <w:p>
            <w:pPr>
              <w:rPr>
                <w:noProof/>
              </w:rPr>
            </w:pPr>
            <w:r>
              <w:rPr>
                <w:noProof/>
                <w:sz w:val="20"/>
              </w:rPr>
              <w:t xml:space="preserve">Nummer </w:t>
            </w:r>
            <w:r>
              <w:rPr>
                <w:noProof/>
                <w:sz w:val="22"/>
              </w:rPr>
              <w:br/>
            </w:r>
          </w:p>
        </w:tc>
        <w:tc>
          <w:tcPr>
            <w:tcW w:w="1080" w:type="dxa"/>
            <w:vAlign w:val="center"/>
          </w:tcPr>
          <w:p>
            <w:pPr>
              <w:jc w:val="center"/>
              <w:rPr>
                <w:noProof/>
              </w:rPr>
            </w:pPr>
            <w:r>
              <w:rPr>
                <w:noProof/>
                <w:sz w:val="18"/>
              </w:rPr>
              <w:t>OB/IOB</w:t>
            </w:r>
            <w:r>
              <w:rPr>
                <w:rStyle w:val="FootnoteReference"/>
                <w:noProof/>
                <w:sz w:val="18"/>
              </w:rPr>
              <w:footnoteReference w:id="10"/>
            </w:r>
            <w:r>
              <w:rPr>
                <w:noProof/>
              </w:rPr>
              <w:t>.</w:t>
            </w:r>
          </w:p>
        </w:tc>
        <w:tc>
          <w:tcPr>
            <w:tcW w:w="956" w:type="dxa"/>
            <w:vAlign w:val="center"/>
          </w:tcPr>
          <w:p>
            <w:pPr>
              <w:jc w:val="center"/>
              <w:rPr>
                <w:noProof/>
              </w:rPr>
            </w:pPr>
            <w:r>
              <w:rPr>
                <w:noProof/>
                <w:sz w:val="18"/>
              </w:rPr>
              <w:t>fra EFTA-lande</w:t>
            </w:r>
            <w:r>
              <w:rPr>
                <w:rStyle w:val="FootnoteReference"/>
                <w:noProof/>
                <w:sz w:val="18"/>
              </w:rPr>
              <w:footnoteReference w:id="11"/>
            </w:r>
          </w:p>
          <w:p>
            <w:pPr>
              <w:spacing w:before="0" w:after="0"/>
              <w:jc w:val="center"/>
              <w:rPr>
                <w:b/>
                <w:noProof/>
                <w:sz w:val="18"/>
              </w:rPr>
            </w:pPr>
          </w:p>
        </w:tc>
        <w:tc>
          <w:tcPr>
            <w:tcW w:w="1080" w:type="dxa"/>
            <w:vAlign w:val="center"/>
          </w:tcPr>
          <w:p>
            <w:pPr>
              <w:jc w:val="center"/>
              <w:rPr>
                <w:noProof/>
              </w:rPr>
            </w:pPr>
            <w:r>
              <w:rPr>
                <w:noProof/>
                <w:sz w:val="18"/>
              </w:rPr>
              <w:t>fra kandidat</w:t>
            </w:r>
            <w:r>
              <w:rPr>
                <w:noProof/>
              </w:rPr>
              <w:softHyphen/>
            </w:r>
            <w:r>
              <w:rPr>
                <w:noProof/>
                <w:sz w:val="18"/>
              </w:rPr>
              <w:t>lande</w:t>
            </w:r>
            <w:r>
              <w:rPr>
                <w:rStyle w:val="FootnoteReference"/>
                <w:noProof/>
                <w:sz w:val="18"/>
              </w:rPr>
              <w:footnoteReference w:id="12"/>
            </w:r>
          </w:p>
          <w:p>
            <w:pPr>
              <w:spacing w:before="0" w:after="0"/>
              <w:jc w:val="center"/>
              <w:rPr>
                <w:noProof/>
                <w:sz w:val="18"/>
              </w:rPr>
            </w:pPr>
          </w:p>
        </w:tc>
        <w:tc>
          <w:tcPr>
            <w:tcW w:w="956" w:type="dxa"/>
            <w:vAlign w:val="center"/>
          </w:tcPr>
          <w:p>
            <w:pPr>
              <w:jc w:val="center"/>
              <w:rPr>
                <w:noProof/>
                <w:sz w:val="18"/>
              </w:rPr>
            </w:pPr>
            <w:r>
              <w:rPr>
                <w:noProof/>
                <w:sz w:val="18"/>
              </w:rPr>
              <w:t>fra tredjelande</w:t>
            </w:r>
          </w:p>
        </w:tc>
        <w:tc>
          <w:tcPr>
            <w:tcW w:w="1448" w:type="dxa"/>
            <w:vAlign w:val="center"/>
          </w:tcPr>
          <w:p>
            <w:pPr>
              <w:jc w:val="center"/>
              <w:rPr>
                <w:noProof/>
              </w:rPr>
            </w:pPr>
            <w:r>
              <w:rPr>
                <w:noProof/>
                <w:sz w:val="16"/>
              </w:rPr>
              <w:t>iht. finans</w:t>
            </w:r>
            <w:r>
              <w:rPr>
                <w:noProof/>
              </w:rPr>
              <w:softHyphen/>
            </w:r>
            <w:r>
              <w:rPr>
                <w:noProof/>
                <w:sz w:val="16"/>
              </w:rPr>
              <w:t>forord</w:t>
            </w:r>
            <w:r>
              <w:rPr>
                <w:noProof/>
              </w:rPr>
              <w:softHyphen/>
            </w:r>
            <w:r>
              <w:rPr>
                <w:noProof/>
                <w:sz w:val="16"/>
              </w:rPr>
              <w:t xml:space="preserve">ningens artikel 21, stk. 2, litra b) </w:t>
            </w:r>
          </w:p>
        </w:tc>
      </w:tr>
      <w:tr>
        <w:tc>
          <w:tcPr>
            <w:tcW w:w="1080" w:type="dxa"/>
            <w:vAlign w:val="center"/>
          </w:tcPr>
          <w:p>
            <w:pPr>
              <w:jc w:val="center"/>
              <w:rPr>
                <w:noProof/>
                <w:color w:val="0000FF"/>
              </w:rPr>
            </w:pPr>
            <w:r>
              <w:rPr>
                <w:noProof/>
                <w:color w:val="0000FF"/>
              </w:rPr>
              <w:t>13</w:t>
            </w:r>
          </w:p>
        </w:tc>
        <w:tc>
          <w:tcPr>
            <w:tcW w:w="3960" w:type="dxa"/>
            <w:vAlign w:val="center"/>
          </w:tcPr>
          <w:p>
            <w:pPr>
              <w:spacing w:before="60"/>
              <w:rPr>
                <w:noProof/>
                <w:sz w:val="22"/>
              </w:rPr>
            </w:pPr>
          </w:p>
          <w:p>
            <w:pPr>
              <w:spacing w:before="60"/>
              <w:rPr>
                <w:noProof/>
              </w:rPr>
            </w:pPr>
            <w:r>
              <w:rPr>
                <w:noProof/>
                <w:sz w:val="22"/>
              </w:rPr>
              <w:t>13.03.64.01 - Den Europæiske Fond for Regionaludvikling (EFRU) — europæisk territorialt samarbejde</w:t>
            </w:r>
          </w:p>
          <w:p>
            <w:pPr>
              <w:spacing w:after="60"/>
              <w:rPr>
                <w:noProof/>
              </w:rPr>
            </w:pPr>
          </w:p>
        </w:tc>
        <w:tc>
          <w:tcPr>
            <w:tcW w:w="1080" w:type="dxa"/>
            <w:vAlign w:val="center"/>
          </w:tcPr>
          <w:p>
            <w:pPr>
              <w:jc w:val="center"/>
              <w:rPr>
                <w:noProof/>
                <w:color w:val="0000FF"/>
              </w:rPr>
            </w:pPr>
            <w:r>
              <w:rPr>
                <w:noProof/>
                <w:sz w:val="22"/>
              </w:rPr>
              <w:t>Opdelte</w:t>
            </w:r>
          </w:p>
        </w:tc>
        <w:tc>
          <w:tcPr>
            <w:tcW w:w="956" w:type="dxa"/>
            <w:vAlign w:val="center"/>
          </w:tcPr>
          <w:p>
            <w:pPr>
              <w:jc w:val="center"/>
              <w:rPr>
                <w:noProof/>
                <w:sz w:val="20"/>
                <w:szCs w:val="20"/>
              </w:rPr>
            </w:pPr>
            <w:r>
              <w:rPr>
                <w:noProof/>
                <w:sz w:val="20"/>
              </w:rPr>
              <w:t>NEJ</w:t>
            </w:r>
          </w:p>
        </w:tc>
        <w:tc>
          <w:tcPr>
            <w:tcW w:w="1080" w:type="dxa"/>
            <w:vAlign w:val="center"/>
          </w:tcPr>
          <w:p>
            <w:pPr>
              <w:jc w:val="center"/>
              <w:rPr>
                <w:noProof/>
                <w:sz w:val="20"/>
                <w:szCs w:val="20"/>
              </w:rPr>
            </w:pPr>
            <w:r>
              <w:rPr>
                <w:noProof/>
                <w:sz w:val="20"/>
              </w:rPr>
              <w:t>NEJ</w:t>
            </w:r>
          </w:p>
        </w:tc>
        <w:tc>
          <w:tcPr>
            <w:tcW w:w="956" w:type="dxa"/>
            <w:vAlign w:val="center"/>
          </w:tcPr>
          <w:p>
            <w:pPr>
              <w:jc w:val="center"/>
              <w:rPr>
                <w:noProof/>
                <w:sz w:val="20"/>
                <w:szCs w:val="20"/>
              </w:rPr>
            </w:pPr>
            <w:r>
              <w:rPr>
                <w:noProof/>
                <w:sz w:val="20"/>
              </w:rPr>
              <w:t>NEJ</w:t>
            </w:r>
          </w:p>
        </w:tc>
        <w:tc>
          <w:tcPr>
            <w:tcW w:w="1448" w:type="dxa"/>
            <w:vAlign w:val="center"/>
          </w:tcPr>
          <w:p>
            <w:pPr>
              <w:rPr>
                <w:noProof/>
                <w:sz w:val="20"/>
                <w:szCs w:val="20"/>
              </w:rPr>
            </w:pPr>
            <w:r>
              <w:rPr>
                <w:noProof/>
                <w:sz w:val="20"/>
              </w:rPr>
              <w:t xml:space="preserve">      NEJ</w:t>
            </w:r>
          </w:p>
        </w:tc>
      </w:tr>
    </w:tbl>
    <w:p>
      <w:pPr>
        <w:pStyle w:val="ManualHeading2"/>
        <w:rPr>
          <w:bCs/>
          <w:noProof/>
          <w:szCs w:val="24"/>
        </w:rPr>
      </w:pPr>
      <w:bookmarkStart w:id="41" w:name="_Toc514938052"/>
      <w:bookmarkStart w:id="42" w:name="_Toc520485051"/>
      <w:r>
        <w:t>3.2.</w:t>
      </w:r>
      <w:r>
        <w:tab/>
      </w:r>
      <w:r>
        <w:rPr>
          <w:noProof/>
        </w:rPr>
        <w:t>Forslagets anslåede finansielle virkninger for bevillingerne</w:t>
      </w:r>
      <w:bookmarkEnd w:id="41"/>
      <w:bookmarkEnd w:id="42"/>
      <w:r>
        <w:rPr>
          <w:noProof/>
        </w:rPr>
        <w:t xml:space="preserve"> </w:t>
      </w:r>
    </w:p>
    <w:p>
      <w:pPr>
        <w:pStyle w:val="ManualHeading3"/>
        <w:rPr>
          <w:noProof/>
        </w:rPr>
      </w:pPr>
      <w:bookmarkStart w:id="43" w:name="_Toc514938053"/>
      <w:bookmarkStart w:id="44" w:name="_Toc520485052"/>
      <w:r>
        <w:t>3.2.1.</w:t>
      </w:r>
      <w:r>
        <w:tab/>
      </w:r>
      <w:r>
        <w:rPr>
          <w:noProof/>
        </w:rPr>
        <w:t>Sammenfatning af de anslåede virkninger for aktionsbevillingerne</w:t>
      </w:r>
      <w:bookmarkEnd w:id="43"/>
      <w:bookmarkEnd w:id="44"/>
      <w:r>
        <w:rPr>
          <w:noProof/>
        </w:rPr>
        <w:t xml:space="preserve"> </w:t>
      </w:r>
    </w:p>
    <w:p>
      <w:pPr>
        <w:pStyle w:val="ListDash1"/>
        <w:rPr>
          <w:b/>
          <w:noProof/>
          <w:lang w:val="nb-NO"/>
        </w:rPr>
      </w:pPr>
      <w:r>
        <w:rPr>
          <w:b/>
          <w:noProof/>
          <w:lang w:val="nb-NO"/>
        </w:rPr>
        <w:t>X</w:t>
      </w:r>
      <w:r>
        <w:rPr>
          <w:noProof/>
          <w:lang w:val="nb-NO"/>
        </w:rPr>
        <w:tab/>
      </w:r>
      <w:r>
        <w:rPr>
          <w:b/>
          <w:noProof/>
          <w:lang w:val="nb-NO"/>
        </w:rPr>
        <w:t xml:space="preserve">Denne forordning har ingen finansielle virkninger.  </w:t>
      </w:r>
    </w:p>
    <w:p>
      <w:pPr>
        <w:pStyle w:val="Text1"/>
        <w:rPr>
          <w:noProof/>
        </w:rPr>
      </w:pPr>
      <w:r>
        <w:rPr>
          <w:noProof/>
        </w:rPr>
        <w:sym w:font="Wingdings" w:char="F0A8"/>
      </w:r>
      <w:r>
        <w:rPr>
          <w:noProof/>
        </w:rPr>
        <w:tab/>
        <w:t>Forslaget/initiativet medfører anvendelse af aktionsbevillinger som anført herunder:</w:t>
      </w:r>
    </w:p>
    <w:p>
      <w:pPr>
        <w:jc w:val="right"/>
        <w:rPr>
          <w:noProof/>
          <w:sz w:val="18"/>
          <w:szCs w:val="18"/>
        </w:rPr>
      </w:pPr>
      <w:r>
        <w:rPr>
          <w:noProof/>
          <w:sz w:val="18"/>
        </w:rPr>
        <w:t xml:space="preserve">EUR. </w:t>
      </w:r>
    </w:p>
    <w:p>
      <w:pPr>
        <w:rPr>
          <w:noProof/>
        </w:rPr>
      </w:pPr>
      <w:r>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b/>
                <w:noProof/>
                <w:sz w:val="22"/>
              </w:rPr>
              <w:lastRenderedPageBreak/>
              <w:t>Udgiftsområde i den flerårige finansielle</w:t>
            </w:r>
            <w:r>
              <w:rPr>
                <w:noProof/>
                <w:sz w:val="22"/>
              </w:rPr>
              <w:br/>
            </w:r>
            <w:r>
              <w:rPr>
                <w:b/>
                <w:noProof/>
                <w:sz w:val="22"/>
              </w:rPr>
              <w:t xml:space="preserve">ramme </w:t>
            </w:r>
          </w:p>
        </w:tc>
        <w:tc>
          <w:tcPr>
            <w:tcW w:w="1080" w:type="dxa"/>
            <w:vAlign w:val="center"/>
          </w:tcPr>
          <w:p>
            <w:pPr>
              <w:spacing w:before="60" w:after="60"/>
              <w:jc w:val="center"/>
              <w:rPr>
                <w:noProof/>
              </w:rPr>
            </w:pPr>
            <w:r>
              <w:rPr>
                <w:noProof/>
                <w:sz w:val="22"/>
              </w:rPr>
              <w:t>13</w:t>
            </w:r>
          </w:p>
        </w:tc>
        <w:tc>
          <w:tcPr>
            <w:tcW w:w="7817" w:type="dxa"/>
            <w:vAlign w:val="center"/>
          </w:tcPr>
          <w:p>
            <w:pPr>
              <w:spacing w:before="60" w:after="60"/>
              <w:rPr>
                <w:noProof/>
              </w:rPr>
            </w:pPr>
          </w:p>
        </w:tc>
      </w:tr>
    </w:tbl>
    <w:p>
      <w:pPr>
        <w:rPr>
          <w:noProof/>
          <w:sz w:val="16"/>
        </w:rPr>
      </w:pPr>
    </w:p>
    <w:tbl>
      <w:tblPr>
        <w:tblW w:w="15952" w:type="dxa"/>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1252"/>
        <w:gridCol w:w="1116"/>
        <w:gridCol w:w="1010"/>
        <w:gridCol w:w="1134"/>
        <w:gridCol w:w="1418"/>
        <w:gridCol w:w="1559"/>
        <w:gridCol w:w="2409"/>
      </w:tblGrid>
      <w:tr>
        <w:trPr>
          <w:trHeight w:val="1068"/>
        </w:trPr>
        <w:tc>
          <w:tcPr>
            <w:tcW w:w="3960" w:type="dxa"/>
            <w:vAlign w:val="center"/>
          </w:tcPr>
          <w:p>
            <w:pPr>
              <w:rPr>
                <w:noProof/>
              </w:rPr>
            </w:pPr>
          </w:p>
        </w:tc>
        <w:tc>
          <w:tcPr>
            <w:tcW w:w="1560" w:type="dxa"/>
            <w:gridSpan w:val="2"/>
          </w:tcPr>
          <w:p>
            <w:pPr>
              <w:rPr>
                <w:noProof/>
                <w:sz w:val="20"/>
              </w:rPr>
            </w:pPr>
          </w:p>
        </w:tc>
        <w:tc>
          <w:tcPr>
            <w:tcW w:w="534" w:type="dxa"/>
          </w:tcPr>
          <w:p>
            <w:pPr>
              <w:jc w:val="center"/>
              <w:rPr>
                <w:noProof/>
                <w:sz w:val="20"/>
              </w:rPr>
            </w:pPr>
          </w:p>
        </w:tc>
        <w:tc>
          <w:tcPr>
            <w:tcW w:w="1252" w:type="dxa"/>
            <w:vAlign w:val="center"/>
          </w:tcPr>
          <w:p>
            <w:pPr>
              <w:jc w:val="center"/>
              <w:rPr>
                <w:noProof/>
                <w:sz w:val="20"/>
              </w:rPr>
            </w:pPr>
            <w:r>
              <w:rPr>
                <w:noProof/>
                <w:sz w:val="20"/>
              </w:rPr>
              <w:t>2019</w:t>
            </w:r>
          </w:p>
        </w:tc>
        <w:tc>
          <w:tcPr>
            <w:tcW w:w="1116" w:type="dxa"/>
            <w:vAlign w:val="center"/>
          </w:tcPr>
          <w:p>
            <w:pPr>
              <w:jc w:val="center"/>
              <w:rPr>
                <w:noProof/>
                <w:sz w:val="20"/>
              </w:rPr>
            </w:pPr>
            <w:r>
              <w:rPr>
                <w:noProof/>
                <w:sz w:val="20"/>
              </w:rPr>
              <w:t>2020</w:t>
            </w:r>
          </w:p>
        </w:tc>
        <w:tc>
          <w:tcPr>
            <w:tcW w:w="1010" w:type="dxa"/>
            <w:vAlign w:val="center"/>
          </w:tcPr>
          <w:p>
            <w:pPr>
              <w:jc w:val="center"/>
              <w:rPr>
                <w:noProof/>
                <w:sz w:val="20"/>
              </w:rPr>
            </w:pPr>
            <w:r>
              <w:rPr>
                <w:noProof/>
                <w:sz w:val="20"/>
              </w:rPr>
              <w:t>2021</w:t>
            </w:r>
          </w:p>
        </w:tc>
        <w:tc>
          <w:tcPr>
            <w:tcW w:w="1134" w:type="dxa"/>
            <w:vAlign w:val="center"/>
          </w:tcPr>
          <w:p>
            <w:pPr>
              <w:jc w:val="center"/>
              <w:rPr>
                <w:noProof/>
                <w:sz w:val="20"/>
              </w:rPr>
            </w:pPr>
            <w:r>
              <w:rPr>
                <w:noProof/>
                <w:sz w:val="20"/>
              </w:rPr>
              <w:t>2022</w:t>
            </w:r>
          </w:p>
        </w:tc>
        <w:tc>
          <w:tcPr>
            <w:tcW w:w="1418" w:type="dxa"/>
          </w:tcPr>
          <w:p>
            <w:pPr>
              <w:rPr>
                <w:noProof/>
                <w:sz w:val="20"/>
              </w:rPr>
            </w:pPr>
            <w:r>
              <w:rPr>
                <w:noProof/>
                <w:sz w:val="20"/>
              </w:rPr>
              <w:t xml:space="preserve">   </w:t>
            </w:r>
          </w:p>
          <w:p>
            <w:pPr>
              <w:rPr>
                <w:noProof/>
                <w:sz w:val="20"/>
              </w:rPr>
            </w:pPr>
            <w:r>
              <w:rPr>
                <w:noProof/>
                <w:sz w:val="20"/>
              </w:rPr>
              <w:t xml:space="preserve">      2023</w:t>
            </w:r>
          </w:p>
        </w:tc>
        <w:tc>
          <w:tcPr>
            <w:tcW w:w="1559" w:type="dxa"/>
          </w:tcPr>
          <w:p>
            <w:pPr>
              <w:jc w:val="center"/>
              <w:rPr>
                <w:noProof/>
                <w:sz w:val="20"/>
              </w:rPr>
            </w:pPr>
          </w:p>
          <w:p>
            <w:pPr>
              <w:jc w:val="center"/>
              <w:rPr>
                <w:noProof/>
                <w:sz w:val="20"/>
              </w:rPr>
            </w:pPr>
            <w:r>
              <w:rPr>
                <w:noProof/>
                <w:sz w:val="20"/>
              </w:rPr>
              <w:t>Efterfølgende år</w:t>
            </w:r>
          </w:p>
        </w:tc>
        <w:tc>
          <w:tcPr>
            <w:tcW w:w="2409" w:type="dxa"/>
            <w:vAlign w:val="center"/>
          </w:tcPr>
          <w:p>
            <w:pPr>
              <w:jc w:val="center"/>
              <w:rPr>
                <w:b/>
                <w:noProof/>
                <w:sz w:val="20"/>
              </w:rPr>
            </w:pPr>
            <w:r>
              <w:rPr>
                <w:b/>
                <w:noProof/>
                <w:sz w:val="20"/>
              </w:rPr>
              <w:t>I ALT</w:t>
            </w:r>
          </w:p>
        </w:tc>
      </w:tr>
      <w:tr>
        <w:trPr>
          <w:trHeight w:val="213"/>
        </w:trPr>
        <w:tc>
          <w:tcPr>
            <w:tcW w:w="6054" w:type="dxa"/>
            <w:gridSpan w:val="4"/>
            <w:vAlign w:val="center"/>
          </w:tcPr>
          <w:p>
            <w:pPr>
              <w:spacing w:before="20" w:after="20"/>
              <w:rPr>
                <w:b/>
                <w:noProof/>
                <w:szCs w:val="24"/>
              </w:rPr>
            </w:pPr>
            <w:r>
              <w:rPr>
                <w:noProof/>
                <w:sz w:val="21"/>
              </w:rPr>
              <w:sym w:font="Wingdings" w:char="F09F"/>
            </w:r>
            <w:r>
              <w:rPr>
                <w:noProof/>
                <w:sz w:val="21"/>
              </w:rPr>
              <w:t xml:space="preserve"> </w:t>
            </w:r>
            <w:r>
              <w:rPr>
                <w:b/>
                <w:noProof/>
              </w:rPr>
              <w:t>Bortfald af aktionsbevillinger</w:t>
            </w:r>
          </w:p>
        </w:tc>
        <w:tc>
          <w:tcPr>
            <w:tcW w:w="1252" w:type="dxa"/>
            <w:vAlign w:val="center"/>
          </w:tcPr>
          <w:p>
            <w:pPr>
              <w:rPr>
                <w:noProof/>
                <w:sz w:val="20"/>
              </w:rPr>
            </w:pPr>
          </w:p>
        </w:tc>
        <w:tc>
          <w:tcPr>
            <w:tcW w:w="1116" w:type="dxa"/>
            <w:vAlign w:val="center"/>
          </w:tcPr>
          <w:p>
            <w:pPr>
              <w:rPr>
                <w:noProof/>
                <w:sz w:val="20"/>
              </w:rPr>
            </w:pPr>
          </w:p>
        </w:tc>
        <w:tc>
          <w:tcPr>
            <w:tcW w:w="1010" w:type="dxa"/>
            <w:vAlign w:val="center"/>
          </w:tcPr>
          <w:p>
            <w:pPr>
              <w:rPr>
                <w:noProof/>
                <w:sz w:val="20"/>
              </w:rPr>
            </w:pPr>
          </w:p>
        </w:tc>
        <w:tc>
          <w:tcPr>
            <w:tcW w:w="1134" w:type="dxa"/>
            <w:vAlign w:val="center"/>
          </w:tcPr>
          <w:p>
            <w:pPr>
              <w:rPr>
                <w:noProof/>
                <w:sz w:val="20"/>
              </w:rPr>
            </w:pPr>
          </w:p>
        </w:tc>
        <w:tc>
          <w:tcPr>
            <w:tcW w:w="1418" w:type="dxa"/>
          </w:tcPr>
          <w:p>
            <w:pPr>
              <w:rPr>
                <w:b/>
                <w:noProof/>
                <w:sz w:val="20"/>
              </w:rPr>
            </w:pPr>
          </w:p>
        </w:tc>
        <w:tc>
          <w:tcPr>
            <w:tcW w:w="1559" w:type="dxa"/>
          </w:tcPr>
          <w:p>
            <w:pPr>
              <w:rPr>
                <w:b/>
                <w:noProof/>
                <w:sz w:val="20"/>
              </w:rPr>
            </w:pPr>
          </w:p>
        </w:tc>
        <w:tc>
          <w:tcPr>
            <w:tcW w:w="2409" w:type="dxa"/>
            <w:vAlign w:val="center"/>
          </w:tcPr>
          <w:p>
            <w:pPr>
              <w:rPr>
                <w:b/>
                <w:noProof/>
                <w:sz w:val="20"/>
              </w:rPr>
            </w:pPr>
          </w:p>
        </w:tc>
      </w:tr>
      <w:tr>
        <w:trPr>
          <w:trHeight w:val="509"/>
        </w:trPr>
        <w:tc>
          <w:tcPr>
            <w:tcW w:w="3960" w:type="dxa"/>
            <w:vMerge w:val="restart"/>
            <w:vAlign w:val="center"/>
          </w:tcPr>
          <w:p>
            <w:pPr>
              <w:rPr>
                <w:noProof/>
                <w:sz w:val="20"/>
              </w:rPr>
            </w:pPr>
            <w:r>
              <w:rPr>
                <w:noProof/>
                <w:sz w:val="20"/>
              </w:rPr>
              <w:t>13.03.64.01 - Den Europæiske Fond for Regionaludvikling (EFRU) — europæisk territorialt samarbejde</w:t>
            </w:r>
          </w:p>
        </w:tc>
        <w:tc>
          <w:tcPr>
            <w:tcW w:w="1440" w:type="dxa"/>
            <w:vAlign w:val="center"/>
          </w:tcPr>
          <w:p>
            <w:pPr>
              <w:spacing w:before="20" w:after="20"/>
              <w:rPr>
                <w:noProof/>
                <w:sz w:val="18"/>
              </w:rPr>
            </w:pPr>
            <w:r>
              <w:rPr>
                <w:noProof/>
                <w:sz w:val="18"/>
              </w:rPr>
              <w:t>Forpligtelser</w:t>
            </w:r>
          </w:p>
        </w:tc>
        <w:tc>
          <w:tcPr>
            <w:tcW w:w="654" w:type="dxa"/>
            <w:gridSpan w:val="2"/>
            <w:vAlign w:val="center"/>
          </w:tcPr>
          <w:p>
            <w:pPr>
              <w:spacing w:before="20" w:after="20"/>
              <w:jc w:val="center"/>
              <w:rPr>
                <w:noProof/>
                <w:sz w:val="14"/>
              </w:rPr>
            </w:pPr>
            <w:r>
              <w:rPr>
                <w:noProof/>
                <w:sz w:val="14"/>
              </w:rPr>
              <w:t>(1a)</w:t>
            </w:r>
          </w:p>
        </w:tc>
        <w:tc>
          <w:tcPr>
            <w:tcW w:w="1252" w:type="dxa"/>
            <w:vAlign w:val="center"/>
          </w:tcPr>
          <w:p>
            <w:pPr>
              <w:spacing w:before="20" w:after="20"/>
              <w:rPr>
                <w:noProof/>
                <w:sz w:val="18"/>
                <w:szCs w:val="18"/>
              </w:rPr>
            </w:pPr>
          </w:p>
        </w:tc>
        <w:tc>
          <w:tcPr>
            <w:tcW w:w="1116" w:type="dxa"/>
            <w:vAlign w:val="center"/>
          </w:tcPr>
          <w:p>
            <w:pPr>
              <w:spacing w:before="20" w:after="20"/>
              <w:jc w:val="right"/>
              <w:rPr>
                <w:noProof/>
                <w:sz w:val="18"/>
                <w:szCs w:val="18"/>
              </w:rPr>
            </w:pPr>
          </w:p>
        </w:tc>
        <w:tc>
          <w:tcPr>
            <w:tcW w:w="1010"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418" w:type="dxa"/>
          </w:tcPr>
          <w:p>
            <w:pPr>
              <w:spacing w:before="20" w:after="20"/>
              <w:jc w:val="right"/>
              <w:rPr>
                <w:b/>
                <w:noProof/>
                <w:sz w:val="20"/>
              </w:rPr>
            </w:pPr>
          </w:p>
        </w:tc>
        <w:tc>
          <w:tcPr>
            <w:tcW w:w="1559" w:type="dxa"/>
          </w:tcPr>
          <w:p>
            <w:pPr>
              <w:spacing w:before="20" w:after="20"/>
              <w:jc w:val="right"/>
              <w:rPr>
                <w:b/>
                <w:noProof/>
                <w:sz w:val="20"/>
              </w:rPr>
            </w:pPr>
          </w:p>
        </w:tc>
        <w:tc>
          <w:tcPr>
            <w:tcW w:w="2409" w:type="dxa"/>
            <w:vAlign w:val="center"/>
          </w:tcPr>
          <w:p>
            <w:pPr>
              <w:spacing w:before="20" w:after="20"/>
              <w:jc w:val="right"/>
              <w:rPr>
                <w:noProof/>
                <w:sz w:val="18"/>
                <w:szCs w:val="18"/>
              </w:rPr>
            </w:pP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Betalinger</w:t>
            </w:r>
          </w:p>
        </w:tc>
        <w:tc>
          <w:tcPr>
            <w:tcW w:w="654" w:type="dxa"/>
            <w:gridSpan w:val="2"/>
            <w:vAlign w:val="center"/>
          </w:tcPr>
          <w:p>
            <w:pPr>
              <w:spacing w:before="20" w:after="20"/>
              <w:jc w:val="center"/>
              <w:rPr>
                <w:noProof/>
                <w:sz w:val="14"/>
              </w:rPr>
            </w:pPr>
            <w:r>
              <w:rPr>
                <w:noProof/>
                <w:sz w:val="14"/>
              </w:rPr>
              <w:t>(2a)</w:t>
            </w:r>
          </w:p>
        </w:tc>
        <w:tc>
          <w:tcPr>
            <w:tcW w:w="1252" w:type="dxa"/>
            <w:vAlign w:val="center"/>
          </w:tcPr>
          <w:p>
            <w:pPr>
              <w:spacing w:before="20" w:after="20"/>
              <w:jc w:val="right"/>
              <w:rPr>
                <w:noProof/>
                <w:sz w:val="18"/>
                <w:szCs w:val="18"/>
              </w:rPr>
            </w:pPr>
          </w:p>
        </w:tc>
        <w:tc>
          <w:tcPr>
            <w:tcW w:w="1116" w:type="dxa"/>
            <w:vAlign w:val="center"/>
          </w:tcPr>
          <w:p>
            <w:pPr>
              <w:spacing w:before="20" w:after="20"/>
              <w:jc w:val="right"/>
              <w:rPr>
                <w:noProof/>
                <w:sz w:val="18"/>
                <w:szCs w:val="18"/>
              </w:rPr>
            </w:pPr>
          </w:p>
        </w:tc>
        <w:tc>
          <w:tcPr>
            <w:tcW w:w="1010" w:type="dxa"/>
            <w:vAlign w:val="center"/>
          </w:tcPr>
          <w:p>
            <w:pPr>
              <w:spacing w:before="20" w:after="20"/>
              <w:jc w:val="right"/>
              <w:rPr>
                <w:noProof/>
                <w:sz w:val="18"/>
                <w:szCs w:val="18"/>
                <w:highlight w:val="yellow"/>
              </w:rPr>
            </w:pPr>
          </w:p>
        </w:tc>
        <w:tc>
          <w:tcPr>
            <w:tcW w:w="1134" w:type="dxa"/>
            <w:vAlign w:val="center"/>
          </w:tcPr>
          <w:p>
            <w:pPr>
              <w:spacing w:before="20" w:after="20"/>
              <w:jc w:val="right"/>
              <w:rPr>
                <w:noProof/>
                <w:sz w:val="18"/>
                <w:szCs w:val="18"/>
              </w:rPr>
            </w:pPr>
          </w:p>
        </w:tc>
        <w:tc>
          <w:tcPr>
            <w:tcW w:w="1418" w:type="dxa"/>
          </w:tcPr>
          <w:p>
            <w:pPr>
              <w:spacing w:before="20" w:after="20"/>
              <w:jc w:val="right"/>
              <w:rPr>
                <w:noProof/>
                <w:sz w:val="18"/>
                <w:szCs w:val="18"/>
              </w:rPr>
            </w:pPr>
          </w:p>
        </w:tc>
        <w:tc>
          <w:tcPr>
            <w:tcW w:w="1559" w:type="dxa"/>
          </w:tcPr>
          <w:p>
            <w:pPr>
              <w:spacing w:before="20" w:after="20"/>
              <w:jc w:val="right"/>
              <w:rPr>
                <w:noProof/>
                <w:sz w:val="18"/>
                <w:szCs w:val="18"/>
              </w:rPr>
            </w:pPr>
          </w:p>
        </w:tc>
        <w:tc>
          <w:tcPr>
            <w:tcW w:w="2409" w:type="dxa"/>
            <w:vAlign w:val="center"/>
          </w:tcPr>
          <w:p>
            <w:pPr>
              <w:spacing w:before="20" w:after="20"/>
              <w:jc w:val="right"/>
              <w:rPr>
                <w:noProof/>
                <w:sz w:val="18"/>
                <w:szCs w:val="18"/>
              </w:rPr>
            </w:pPr>
          </w:p>
        </w:tc>
      </w:tr>
      <w:tr>
        <w:tc>
          <w:tcPr>
            <w:tcW w:w="3960" w:type="dxa"/>
            <w:vMerge w:val="restart"/>
            <w:vAlign w:val="center"/>
          </w:tcPr>
          <w:p>
            <w:pPr>
              <w:jc w:val="center"/>
              <w:rPr>
                <w:b/>
                <w:noProof/>
              </w:rPr>
            </w:pPr>
            <w:r>
              <w:rPr>
                <w:b/>
                <w:noProof/>
                <w:sz w:val="22"/>
              </w:rPr>
              <w:t>Bevillinger I ALT</w:t>
            </w:r>
            <w:r>
              <w:rPr>
                <w:noProof/>
                <w:sz w:val="22"/>
              </w:rPr>
              <w:br/>
            </w:r>
          </w:p>
        </w:tc>
        <w:tc>
          <w:tcPr>
            <w:tcW w:w="1440" w:type="dxa"/>
            <w:vAlign w:val="center"/>
          </w:tcPr>
          <w:p>
            <w:pPr>
              <w:rPr>
                <w:noProof/>
                <w:sz w:val="18"/>
              </w:rPr>
            </w:pPr>
            <w:r>
              <w:rPr>
                <w:noProof/>
                <w:sz w:val="18"/>
              </w:rPr>
              <w:t>Forpligtelser</w:t>
            </w:r>
          </w:p>
        </w:tc>
        <w:tc>
          <w:tcPr>
            <w:tcW w:w="654" w:type="dxa"/>
            <w:gridSpan w:val="2"/>
            <w:vAlign w:val="center"/>
          </w:tcPr>
          <w:p>
            <w:pPr>
              <w:jc w:val="center"/>
              <w:rPr>
                <w:noProof/>
                <w:sz w:val="14"/>
              </w:rPr>
            </w:pPr>
            <w:r>
              <w:rPr>
                <w:noProof/>
                <w:sz w:val="14"/>
              </w:rPr>
              <w:t>= 1a + 1b + 3</w:t>
            </w:r>
          </w:p>
        </w:tc>
        <w:tc>
          <w:tcPr>
            <w:tcW w:w="1252" w:type="dxa"/>
            <w:vAlign w:val="center"/>
          </w:tcPr>
          <w:p>
            <w:pPr>
              <w:spacing w:before="20" w:after="20"/>
              <w:jc w:val="right"/>
              <w:rPr>
                <w:noProof/>
                <w:sz w:val="18"/>
                <w:szCs w:val="18"/>
              </w:rPr>
            </w:pPr>
          </w:p>
        </w:tc>
        <w:tc>
          <w:tcPr>
            <w:tcW w:w="1116" w:type="dxa"/>
            <w:vAlign w:val="center"/>
          </w:tcPr>
          <w:p>
            <w:pPr>
              <w:spacing w:before="20" w:after="20"/>
              <w:jc w:val="right"/>
              <w:rPr>
                <w:noProof/>
                <w:sz w:val="18"/>
                <w:szCs w:val="18"/>
              </w:rPr>
            </w:pPr>
          </w:p>
        </w:tc>
        <w:tc>
          <w:tcPr>
            <w:tcW w:w="1010" w:type="dxa"/>
            <w:vAlign w:val="center"/>
          </w:tcPr>
          <w:p>
            <w:pPr>
              <w:spacing w:before="20" w:after="20"/>
              <w:jc w:val="right"/>
              <w:rPr>
                <w:noProof/>
                <w:sz w:val="18"/>
                <w:szCs w:val="18"/>
              </w:rPr>
            </w:pPr>
          </w:p>
        </w:tc>
        <w:tc>
          <w:tcPr>
            <w:tcW w:w="1134" w:type="dxa"/>
            <w:vAlign w:val="center"/>
          </w:tcPr>
          <w:p>
            <w:pPr>
              <w:spacing w:before="20" w:after="20"/>
              <w:jc w:val="right"/>
              <w:rPr>
                <w:noProof/>
                <w:sz w:val="18"/>
                <w:szCs w:val="18"/>
              </w:rPr>
            </w:pPr>
          </w:p>
        </w:tc>
        <w:tc>
          <w:tcPr>
            <w:tcW w:w="1418" w:type="dxa"/>
          </w:tcPr>
          <w:p>
            <w:pPr>
              <w:spacing w:before="20" w:after="20"/>
              <w:jc w:val="right"/>
              <w:rPr>
                <w:b/>
                <w:noProof/>
                <w:sz w:val="18"/>
                <w:szCs w:val="18"/>
              </w:rPr>
            </w:pPr>
          </w:p>
        </w:tc>
        <w:tc>
          <w:tcPr>
            <w:tcW w:w="1559" w:type="dxa"/>
          </w:tcPr>
          <w:p>
            <w:pPr>
              <w:spacing w:before="20" w:after="20"/>
              <w:jc w:val="right"/>
              <w:rPr>
                <w:b/>
                <w:noProof/>
                <w:sz w:val="18"/>
                <w:szCs w:val="18"/>
              </w:rPr>
            </w:pPr>
          </w:p>
        </w:tc>
        <w:tc>
          <w:tcPr>
            <w:tcW w:w="2409" w:type="dxa"/>
            <w:vAlign w:val="center"/>
          </w:tcPr>
          <w:p>
            <w:pPr>
              <w:spacing w:before="20" w:after="20"/>
              <w:jc w:val="right"/>
              <w:rPr>
                <w:b/>
                <w:noProof/>
                <w:sz w:val="18"/>
                <w:szCs w:val="18"/>
              </w:rPr>
            </w:pPr>
          </w:p>
        </w:tc>
      </w:tr>
      <w:tr>
        <w:tc>
          <w:tcPr>
            <w:tcW w:w="3960" w:type="dxa"/>
            <w:vMerge/>
          </w:tcPr>
          <w:p>
            <w:pPr>
              <w:rPr>
                <w:noProof/>
                <w:sz w:val="20"/>
              </w:rPr>
            </w:pPr>
          </w:p>
        </w:tc>
        <w:tc>
          <w:tcPr>
            <w:tcW w:w="1440" w:type="dxa"/>
            <w:vAlign w:val="center"/>
          </w:tcPr>
          <w:p>
            <w:pPr>
              <w:rPr>
                <w:noProof/>
                <w:sz w:val="18"/>
              </w:rPr>
            </w:pPr>
            <w:r>
              <w:rPr>
                <w:noProof/>
                <w:sz w:val="18"/>
              </w:rPr>
              <w:t>Betalinger</w:t>
            </w:r>
          </w:p>
        </w:tc>
        <w:tc>
          <w:tcPr>
            <w:tcW w:w="654" w:type="dxa"/>
            <w:gridSpan w:val="2"/>
            <w:vAlign w:val="center"/>
          </w:tcPr>
          <w:p>
            <w:pPr>
              <w:jc w:val="center"/>
              <w:rPr>
                <w:noProof/>
                <w:sz w:val="14"/>
              </w:rPr>
            </w:pPr>
            <w:r>
              <w:rPr>
                <w:noProof/>
                <w:sz w:val="14"/>
              </w:rPr>
              <w:t>=2a+2b</w:t>
            </w:r>
          </w:p>
          <w:p>
            <w:pPr>
              <w:jc w:val="center"/>
              <w:rPr>
                <w:noProof/>
                <w:sz w:val="14"/>
              </w:rPr>
            </w:pPr>
            <w:r>
              <w:rPr>
                <w:noProof/>
                <w:sz w:val="14"/>
              </w:rPr>
              <w:t>+3</w:t>
            </w:r>
          </w:p>
        </w:tc>
        <w:tc>
          <w:tcPr>
            <w:tcW w:w="1252" w:type="dxa"/>
            <w:vAlign w:val="center"/>
          </w:tcPr>
          <w:p>
            <w:pPr>
              <w:spacing w:before="20" w:after="20"/>
              <w:jc w:val="right"/>
              <w:rPr>
                <w:noProof/>
                <w:sz w:val="18"/>
                <w:szCs w:val="18"/>
              </w:rPr>
            </w:pPr>
          </w:p>
        </w:tc>
        <w:tc>
          <w:tcPr>
            <w:tcW w:w="1116" w:type="dxa"/>
            <w:vAlign w:val="center"/>
          </w:tcPr>
          <w:p>
            <w:pPr>
              <w:spacing w:before="20" w:after="20"/>
              <w:jc w:val="right"/>
              <w:rPr>
                <w:noProof/>
                <w:sz w:val="18"/>
                <w:szCs w:val="18"/>
              </w:rPr>
            </w:pPr>
          </w:p>
        </w:tc>
        <w:tc>
          <w:tcPr>
            <w:tcW w:w="1010" w:type="dxa"/>
            <w:vAlign w:val="center"/>
          </w:tcPr>
          <w:p>
            <w:pPr>
              <w:spacing w:before="20" w:after="20"/>
              <w:jc w:val="right"/>
              <w:rPr>
                <w:noProof/>
                <w:sz w:val="18"/>
                <w:szCs w:val="18"/>
              </w:rPr>
            </w:pPr>
          </w:p>
        </w:tc>
        <w:tc>
          <w:tcPr>
            <w:tcW w:w="1134" w:type="dxa"/>
            <w:vAlign w:val="center"/>
          </w:tcPr>
          <w:p>
            <w:pPr>
              <w:spacing w:before="20" w:after="20"/>
              <w:jc w:val="right"/>
              <w:rPr>
                <w:noProof/>
                <w:sz w:val="18"/>
                <w:szCs w:val="18"/>
              </w:rPr>
            </w:pPr>
          </w:p>
        </w:tc>
        <w:tc>
          <w:tcPr>
            <w:tcW w:w="1418" w:type="dxa"/>
          </w:tcPr>
          <w:p>
            <w:pPr>
              <w:spacing w:before="20" w:after="20"/>
              <w:jc w:val="right"/>
              <w:rPr>
                <w:b/>
                <w:noProof/>
                <w:sz w:val="18"/>
                <w:szCs w:val="18"/>
              </w:rPr>
            </w:pPr>
          </w:p>
        </w:tc>
        <w:tc>
          <w:tcPr>
            <w:tcW w:w="1559" w:type="dxa"/>
          </w:tcPr>
          <w:p>
            <w:pPr>
              <w:spacing w:before="20" w:after="20"/>
              <w:jc w:val="right"/>
              <w:rPr>
                <w:b/>
                <w:noProof/>
                <w:sz w:val="18"/>
                <w:szCs w:val="18"/>
              </w:rPr>
            </w:pPr>
          </w:p>
        </w:tc>
        <w:tc>
          <w:tcPr>
            <w:tcW w:w="2409" w:type="dxa"/>
            <w:vAlign w:val="center"/>
          </w:tcPr>
          <w:p>
            <w:pPr>
              <w:spacing w:before="20" w:after="20"/>
              <w:jc w:val="right"/>
              <w:rPr>
                <w:b/>
                <w:noProof/>
                <w:sz w:val="18"/>
                <w:szCs w:val="18"/>
              </w:rPr>
            </w:pPr>
          </w:p>
        </w:tc>
      </w:tr>
    </w:tbl>
    <w:p>
      <w:pPr>
        <w:rPr>
          <w:noProof/>
        </w:rPr>
      </w:pPr>
      <w:r>
        <w:rPr>
          <w:noProof/>
        </w:rPr>
        <w:br/>
      </w:r>
    </w:p>
    <w:tbl>
      <w:tblPr>
        <w:tblW w:w="1439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1252"/>
        <w:gridCol w:w="1116"/>
        <w:gridCol w:w="1152"/>
        <w:gridCol w:w="1134"/>
        <w:gridCol w:w="1134"/>
        <w:gridCol w:w="1134"/>
        <w:gridCol w:w="1418"/>
      </w:tblGrid>
      <w:tr>
        <w:trPr>
          <w:trHeight w:val="277"/>
        </w:trPr>
        <w:tc>
          <w:tcPr>
            <w:tcW w:w="3960" w:type="dxa"/>
            <w:vMerge w:val="restart"/>
            <w:vAlign w:val="center"/>
          </w:tcPr>
          <w:p>
            <w:pPr>
              <w:spacing w:before="20" w:after="20"/>
              <w:rPr>
                <w:noProof/>
              </w:rPr>
            </w:pPr>
            <w:r>
              <w:rPr>
                <w:noProof/>
              </w:rPr>
              <w:br w:type="page"/>
            </w:r>
            <w:r>
              <w:rPr>
                <w:noProof/>
                <w:sz w:val="21"/>
              </w:rPr>
              <w:sym w:font="Wingdings" w:char="F09F"/>
            </w:r>
            <w:r>
              <w:rPr>
                <w:noProof/>
                <w:sz w:val="21"/>
              </w:rPr>
              <w:t xml:space="preserve"> Aktionsbevillinger I ALT</w:t>
            </w:r>
          </w:p>
        </w:tc>
        <w:tc>
          <w:tcPr>
            <w:tcW w:w="1440" w:type="dxa"/>
            <w:vAlign w:val="center"/>
          </w:tcPr>
          <w:p>
            <w:pPr>
              <w:spacing w:beforeLines="20" w:before="48" w:afterLines="20" w:after="48"/>
              <w:rPr>
                <w:noProof/>
                <w:sz w:val="18"/>
              </w:rPr>
            </w:pPr>
            <w:r>
              <w:rPr>
                <w:noProof/>
                <w:sz w:val="18"/>
              </w:rPr>
              <w:t>Forpligtelser</w:t>
            </w:r>
          </w:p>
        </w:tc>
        <w:tc>
          <w:tcPr>
            <w:tcW w:w="654" w:type="dxa"/>
            <w:vAlign w:val="center"/>
          </w:tcPr>
          <w:p>
            <w:pPr>
              <w:spacing w:beforeLines="20" w:before="48" w:afterLines="20" w:after="48"/>
              <w:jc w:val="center"/>
              <w:rPr>
                <w:noProof/>
                <w:sz w:val="14"/>
              </w:rPr>
            </w:pPr>
            <w:r>
              <w:rPr>
                <w:noProof/>
                <w:sz w:val="14"/>
              </w:rPr>
              <w:t>(4)</w:t>
            </w:r>
          </w:p>
        </w:tc>
        <w:tc>
          <w:tcPr>
            <w:tcW w:w="1252" w:type="dxa"/>
            <w:vAlign w:val="center"/>
          </w:tcPr>
          <w:p>
            <w:pPr>
              <w:spacing w:before="20" w:after="20"/>
              <w:jc w:val="right"/>
              <w:rPr>
                <w:noProof/>
                <w:sz w:val="20"/>
              </w:rPr>
            </w:pPr>
          </w:p>
        </w:tc>
        <w:tc>
          <w:tcPr>
            <w:tcW w:w="1116" w:type="dxa"/>
            <w:vAlign w:val="center"/>
          </w:tcPr>
          <w:p>
            <w:pPr>
              <w:spacing w:before="20" w:after="20"/>
              <w:jc w:val="right"/>
              <w:rPr>
                <w:noProof/>
                <w:sz w:val="20"/>
              </w:rPr>
            </w:pPr>
          </w:p>
        </w:tc>
        <w:tc>
          <w:tcPr>
            <w:tcW w:w="1152"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418" w:type="dxa"/>
            <w:vAlign w:val="center"/>
          </w:tcPr>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Betalinger</w:t>
            </w:r>
          </w:p>
        </w:tc>
        <w:tc>
          <w:tcPr>
            <w:tcW w:w="654" w:type="dxa"/>
            <w:vAlign w:val="center"/>
          </w:tcPr>
          <w:p>
            <w:pPr>
              <w:spacing w:beforeLines="20" w:before="48" w:afterLines="20" w:after="48"/>
              <w:jc w:val="center"/>
              <w:rPr>
                <w:noProof/>
                <w:sz w:val="14"/>
              </w:rPr>
            </w:pPr>
            <w:r>
              <w:rPr>
                <w:noProof/>
                <w:sz w:val="14"/>
              </w:rPr>
              <w:t>(5)</w:t>
            </w:r>
          </w:p>
        </w:tc>
        <w:tc>
          <w:tcPr>
            <w:tcW w:w="1252" w:type="dxa"/>
            <w:vAlign w:val="center"/>
          </w:tcPr>
          <w:p>
            <w:pPr>
              <w:spacing w:before="20" w:after="20"/>
              <w:jc w:val="right"/>
              <w:rPr>
                <w:noProof/>
                <w:sz w:val="20"/>
              </w:rPr>
            </w:pPr>
          </w:p>
        </w:tc>
        <w:tc>
          <w:tcPr>
            <w:tcW w:w="1116" w:type="dxa"/>
            <w:vAlign w:val="center"/>
          </w:tcPr>
          <w:p>
            <w:pPr>
              <w:spacing w:before="20" w:after="20"/>
              <w:jc w:val="right"/>
              <w:rPr>
                <w:noProof/>
                <w:sz w:val="20"/>
              </w:rPr>
            </w:pPr>
          </w:p>
        </w:tc>
        <w:tc>
          <w:tcPr>
            <w:tcW w:w="1152"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134" w:type="dxa"/>
            <w:vAlign w:val="center"/>
          </w:tcPr>
          <w:p>
            <w:pPr>
              <w:spacing w:before="20" w:after="20"/>
              <w:jc w:val="right"/>
              <w:rPr>
                <w:noProof/>
                <w:sz w:val="20"/>
              </w:rPr>
            </w:pPr>
          </w:p>
        </w:tc>
        <w:tc>
          <w:tcPr>
            <w:tcW w:w="1418" w:type="dxa"/>
            <w:vAlign w:val="center"/>
          </w:tcPr>
          <w:p>
            <w:pPr>
              <w:spacing w:before="20" w:after="20"/>
              <w:jc w:val="right"/>
              <w:rPr>
                <w:b/>
                <w:noProof/>
                <w:sz w:val="20"/>
              </w:rPr>
            </w:pPr>
          </w:p>
        </w:tc>
      </w:tr>
      <w:tr>
        <w:trPr>
          <w:trHeight w:val="533"/>
        </w:trPr>
        <w:tc>
          <w:tcPr>
            <w:tcW w:w="5400" w:type="dxa"/>
            <w:gridSpan w:val="2"/>
            <w:vAlign w:val="center"/>
          </w:tcPr>
          <w:p>
            <w:pPr>
              <w:spacing w:beforeLines="20" w:before="48" w:afterLines="20" w:after="48"/>
              <w:rPr>
                <w:noProof/>
              </w:rPr>
            </w:pPr>
            <w:r>
              <w:rPr>
                <w:noProof/>
                <w:sz w:val="21"/>
              </w:rPr>
              <w:sym w:font="Wingdings" w:char="F09F"/>
            </w:r>
            <w:r>
              <w:rPr>
                <w:noProof/>
                <w:sz w:val="21"/>
              </w:rPr>
              <w:t xml:space="preserve"> Administrationsbevillinger finansieret over bevillingsrammen for særprogrammer I ALT</w:t>
            </w:r>
          </w:p>
        </w:tc>
        <w:tc>
          <w:tcPr>
            <w:tcW w:w="654" w:type="dxa"/>
            <w:vAlign w:val="center"/>
          </w:tcPr>
          <w:p>
            <w:pPr>
              <w:spacing w:beforeLines="20" w:before="48" w:afterLines="20" w:after="48"/>
              <w:jc w:val="center"/>
              <w:rPr>
                <w:noProof/>
                <w:sz w:val="14"/>
              </w:rPr>
            </w:pPr>
            <w:r>
              <w:rPr>
                <w:noProof/>
                <w:sz w:val="14"/>
              </w:rPr>
              <w:t>(6)</w:t>
            </w:r>
          </w:p>
        </w:tc>
        <w:tc>
          <w:tcPr>
            <w:tcW w:w="1252" w:type="dxa"/>
            <w:vAlign w:val="center"/>
          </w:tcPr>
          <w:p>
            <w:pPr>
              <w:spacing w:before="20" w:after="20"/>
              <w:jc w:val="right"/>
              <w:rPr>
                <w:b/>
                <w:noProof/>
                <w:sz w:val="20"/>
              </w:rPr>
            </w:pPr>
          </w:p>
        </w:tc>
        <w:tc>
          <w:tcPr>
            <w:tcW w:w="1116" w:type="dxa"/>
            <w:vAlign w:val="center"/>
          </w:tcPr>
          <w:p>
            <w:pPr>
              <w:spacing w:before="20" w:after="20"/>
              <w:jc w:val="right"/>
              <w:rPr>
                <w:b/>
                <w:noProof/>
                <w:sz w:val="20"/>
              </w:rPr>
            </w:pPr>
          </w:p>
        </w:tc>
        <w:tc>
          <w:tcPr>
            <w:tcW w:w="1152" w:type="dxa"/>
            <w:vAlign w:val="center"/>
          </w:tcPr>
          <w:p>
            <w:pPr>
              <w:spacing w:before="20" w:after="20"/>
              <w:jc w:val="right"/>
              <w:rPr>
                <w:b/>
                <w:noProof/>
                <w:sz w:val="20"/>
              </w:rPr>
            </w:pPr>
          </w:p>
        </w:tc>
        <w:tc>
          <w:tcPr>
            <w:tcW w:w="1134" w:type="dxa"/>
            <w:vAlign w:val="center"/>
          </w:tcPr>
          <w:p>
            <w:pPr>
              <w:spacing w:before="20" w:after="20"/>
              <w:jc w:val="right"/>
              <w:rPr>
                <w:b/>
                <w:noProof/>
                <w:sz w:val="20"/>
              </w:rPr>
            </w:pPr>
          </w:p>
        </w:tc>
        <w:tc>
          <w:tcPr>
            <w:tcW w:w="1134" w:type="dxa"/>
            <w:vAlign w:val="center"/>
          </w:tcPr>
          <w:p>
            <w:pPr>
              <w:spacing w:before="20" w:after="20"/>
              <w:jc w:val="right"/>
              <w:rPr>
                <w:b/>
                <w:noProof/>
                <w:sz w:val="20"/>
              </w:rPr>
            </w:pPr>
          </w:p>
        </w:tc>
        <w:tc>
          <w:tcPr>
            <w:tcW w:w="1134" w:type="dxa"/>
            <w:vAlign w:val="center"/>
          </w:tcPr>
          <w:p>
            <w:pPr>
              <w:spacing w:before="20" w:after="20"/>
              <w:jc w:val="right"/>
              <w:rPr>
                <w:b/>
                <w:noProof/>
                <w:sz w:val="20"/>
              </w:rPr>
            </w:pPr>
          </w:p>
        </w:tc>
        <w:tc>
          <w:tcPr>
            <w:tcW w:w="1418" w:type="dxa"/>
            <w:vAlign w:val="center"/>
          </w:tcPr>
          <w:p>
            <w:pPr>
              <w:spacing w:before="20" w:after="20"/>
              <w:jc w:val="right"/>
              <w:rPr>
                <w:b/>
                <w:noProof/>
                <w:sz w:val="20"/>
              </w:rPr>
            </w:pPr>
          </w:p>
        </w:tc>
      </w:tr>
      <w:tr>
        <w:tc>
          <w:tcPr>
            <w:tcW w:w="3960" w:type="dxa"/>
            <w:vMerge w:val="restart"/>
            <w:shd w:val="thinDiagStripe" w:color="C0C0C0" w:fill="auto"/>
            <w:vAlign w:val="center"/>
          </w:tcPr>
          <w:p>
            <w:pPr>
              <w:jc w:val="center"/>
              <w:rPr>
                <w:b/>
                <w:noProof/>
              </w:rPr>
            </w:pPr>
            <w:r>
              <w:rPr>
                <w:b/>
                <w:noProof/>
                <w:sz w:val="22"/>
              </w:rPr>
              <w:t>Bevillinger I ALT</w:t>
            </w:r>
            <w:r>
              <w:rPr>
                <w:noProof/>
                <w:sz w:val="22"/>
              </w:rPr>
              <w:br/>
            </w:r>
            <w:r>
              <w:rPr>
                <w:b/>
                <w:noProof/>
                <w:sz w:val="22"/>
              </w:rPr>
              <w:t>under UDGIFTSOMRÅDE 13</w:t>
            </w:r>
            <w:r>
              <w:rPr>
                <w:noProof/>
                <w:sz w:val="22"/>
              </w:rPr>
              <w:br/>
              <w:t>i den flerårige finansielle ramme</w:t>
            </w:r>
          </w:p>
        </w:tc>
        <w:tc>
          <w:tcPr>
            <w:tcW w:w="1440" w:type="dxa"/>
            <w:vAlign w:val="center"/>
          </w:tcPr>
          <w:p>
            <w:pPr>
              <w:rPr>
                <w:noProof/>
                <w:sz w:val="18"/>
              </w:rPr>
            </w:pPr>
            <w:r>
              <w:rPr>
                <w:noProof/>
                <w:sz w:val="18"/>
              </w:rPr>
              <w:t>Forpligtelser</w:t>
            </w:r>
          </w:p>
        </w:tc>
        <w:tc>
          <w:tcPr>
            <w:tcW w:w="654" w:type="dxa"/>
            <w:vAlign w:val="center"/>
          </w:tcPr>
          <w:p>
            <w:pPr>
              <w:jc w:val="center"/>
              <w:rPr>
                <w:noProof/>
                <w:sz w:val="14"/>
              </w:rPr>
            </w:pPr>
            <w:r>
              <w:rPr>
                <w:noProof/>
                <w:sz w:val="14"/>
              </w:rPr>
              <w:t>=4+ 6</w:t>
            </w:r>
          </w:p>
        </w:tc>
        <w:tc>
          <w:tcPr>
            <w:tcW w:w="1252" w:type="dxa"/>
            <w:vAlign w:val="center"/>
          </w:tcPr>
          <w:p>
            <w:pPr>
              <w:spacing w:before="20" w:after="20"/>
              <w:jc w:val="right"/>
              <w:rPr>
                <w:noProof/>
                <w:sz w:val="18"/>
                <w:szCs w:val="18"/>
              </w:rPr>
            </w:pPr>
          </w:p>
        </w:tc>
        <w:tc>
          <w:tcPr>
            <w:tcW w:w="1116" w:type="dxa"/>
            <w:vAlign w:val="center"/>
          </w:tcPr>
          <w:p>
            <w:pPr>
              <w:spacing w:before="20" w:after="20"/>
              <w:jc w:val="right"/>
              <w:rPr>
                <w:noProof/>
                <w:sz w:val="18"/>
                <w:szCs w:val="18"/>
              </w:rPr>
            </w:pPr>
          </w:p>
        </w:tc>
        <w:tc>
          <w:tcPr>
            <w:tcW w:w="1152" w:type="dxa"/>
            <w:vAlign w:val="center"/>
          </w:tcPr>
          <w:p>
            <w:pPr>
              <w:spacing w:before="20" w:after="20"/>
              <w:jc w:val="right"/>
              <w:rPr>
                <w:noProof/>
                <w:sz w:val="18"/>
                <w:szCs w:val="18"/>
              </w:rPr>
            </w:pPr>
          </w:p>
        </w:tc>
        <w:tc>
          <w:tcPr>
            <w:tcW w:w="1134" w:type="dxa"/>
            <w:vAlign w:val="center"/>
          </w:tcPr>
          <w:p>
            <w:pPr>
              <w:spacing w:before="20" w:after="20"/>
              <w:jc w:val="right"/>
              <w:rPr>
                <w:noProof/>
                <w:sz w:val="18"/>
                <w:szCs w:val="18"/>
              </w:rPr>
            </w:pPr>
          </w:p>
        </w:tc>
        <w:tc>
          <w:tcPr>
            <w:tcW w:w="1134" w:type="dxa"/>
          </w:tcPr>
          <w:p>
            <w:pPr>
              <w:spacing w:before="20" w:after="20"/>
              <w:jc w:val="right"/>
              <w:rPr>
                <w:noProof/>
                <w:sz w:val="18"/>
                <w:szCs w:val="18"/>
              </w:rPr>
            </w:pPr>
          </w:p>
        </w:tc>
        <w:tc>
          <w:tcPr>
            <w:tcW w:w="1134" w:type="dxa"/>
          </w:tcPr>
          <w:p>
            <w:pPr>
              <w:spacing w:before="20" w:after="20"/>
              <w:jc w:val="right"/>
              <w:rPr>
                <w:noProof/>
                <w:sz w:val="18"/>
                <w:szCs w:val="18"/>
              </w:rPr>
            </w:pPr>
          </w:p>
        </w:tc>
        <w:tc>
          <w:tcPr>
            <w:tcW w:w="1418" w:type="dxa"/>
            <w:vAlign w:val="center"/>
          </w:tcPr>
          <w:p>
            <w:pPr>
              <w:spacing w:before="20" w:after="20"/>
              <w:jc w:val="right"/>
              <w:rPr>
                <w:b/>
                <w:noProof/>
                <w:sz w:val="18"/>
                <w:szCs w:val="18"/>
              </w:rPr>
            </w:pPr>
          </w:p>
        </w:tc>
      </w:tr>
      <w:tr>
        <w:tc>
          <w:tcPr>
            <w:tcW w:w="3960" w:type="dxa"/>
            <w:vMerge/>
            <w:shd w:val="thinDiagStripe" w:color="C0C0C0" w:fill="auto"/>
          </w:tcPr>
          <w:p>
            <w:pPr>
              <w:rPr>
                <w:noProof/>
                <w:sz w:val="20"/>
              </w:rPr>
            </w:pPr>
          </w:p>
        </w:tc>
        <w:tc>
          <w:tcPr>
            <w:tcW w:w="1440" w:type="dxa"/>
            <w:vAlign w:val="center"/>
          </w:tcPr>
          <w:p>
            <w:pPr>
              <w:rPr>
                <w:noProof/>
                <w:sz w:val="18"/>
              </w:rPr>
            </w:pPr>
            <w:r>
              <w:rPr>
                <w:noProof/>
                <w:sz w:val="18"/>
              </w:rPr>
              <w:t>Betalinger</w:t>
            </w:r>
          </w:p>
        </w:tc>
        <w:tc>
          <w:tcPr>
            <w:tcW w:w="654" w:type="dxa"/>
            <w:vAlign w:val="center"/>
          </w:tcPr>
          <w:p>
            <w:pPr>
              <w:jc w:val="center"/>
              <w:rPr>
                <w:noProof/>
                <w:sz w:val="14"/>
              </w:rPr>
            </w:pPr>
            <w:r>
              <w:rPr>
                <w:noProof/>
                <w:sz w:val="14"/>
              </w:rPr>
              <w:t>=5+ 6</w:t>
            </w:r>
          </w:p>
        </w:tc>
        <w:tc>
          <w:tcPr>
            <w:tcW w:w="1252" w:type="dxa"/>
            <w:vAlign w:val="center"/>
          </w:tcPr>
          <w:p>
            <w:pPr>
              <w:spacing w:before="20" w:after="20"/>
              <w:jc w:val="right"/>
              <w:rPr>
                <w:noProof/>
                <w:sz w:val="18"/>
                <w:szCs w:val="18"/>
              </w:rPr>
            </w:pPr>
          </w:p>
        </w:tc>
        <w:tc>
          <w:tcPr>
            <w:tcW w:w="1116" w:type="dxa"/>
            <w:vAlign w:val="center"/>
          </w:tcPr>
          <w:p>
            <w:pPr>
              <w:spacing w:before="20" w:after="20"/>
              <w:jc w:val="right"/>
              <w:rPr>
                <w:noProof/>
                <w:sz w:val="18"/>
                <w:szCs w:val="18"/>
              </w:rPr>
            </w:pPr>
          </w:p>
        </w:tc>
        <w:tc>
          <w:tcPr>
            <w:tcW w:w="1152" w:type="dxa"/>
            <w:vAlign w:val="center"/>
          </w:tcPr>
          <w:p>
            <w:pPr>
              <w:spacing w:before="20" w:after="20"/>
              <w:jc w:val="right"/>
              <w:rPr>
                <w:noProof/>
                <w:sz w:val="18"/>
                <w:szCs w:val="18"/>
              </w:rPr>
            </w:pPr>
          </w:p>
        </w:tc>
        <w:tc>
          <w:tcPr>
            <w:tcW w:w="1134" w:type="dxa"/>
            <w:vAlign w:val="center"/>
          </w:tcPr>
          <w:p>
            <w:pPr>
              <w:spacing w:before="20" w:after="20"/>
              <w:jc w:val="right"/>
              <w:rPr>
                <w:noProof/>
                <w:sz w:val="18"/>
                <w:szCs w:val="18"/>
              </w:rPr>
            </w:pPr>
          </w:p>
        </w:tc>
        <w:tc>
          <w:tcPr>
            <w:tcW w:w="1134" w:type="dxa"/>
          </w:tcPr>
          <w:p>
            <w:pPr>
              <w:spacing w:before="20" w:after="20"/>
              <w:jc w:val="right"/>
              <w:rPr>
                <w:noProof/>
                <w:sz w:val="18"/>
                <w:szCs w:val="18"/>
              </w:rPr>
            </w:pPr>
          </w:p>
        </w:tc>
        <w:tc>
          <w:tcPr>
            <w:tcW w:w="1134" w:type="dxa"/>
          </w:tcPr>
          <w:p>
            <w:pPr>
              <w:spacing w:before="20" w:after="20"/>
              <w:jc w:val="right"/>
              <w:rPr>
                <w:noProof/>
                <w:sz w:val="18"/>
                <w:szCs w:val="18"/>
              </w:rPr>
            </w:pPr>
          </w:p>
        </w:tc>
        <w:tc>
          <w:tcPr>
            <w:tcW w:w="1418" w:type="dxa"/>
            <w:vAlign w:val="center"/>
          </w:tcPr>
          <w:p>
            <w:pPr>
              <w:spacing w:before="20" w:after="20"/>
              <w:jc w:val="right"/>
              <w:rPr>
                <w:b/>
                <w:noProof/>
                <w:sz w:val="18"/>
                <w:szCs w:val="18"/>
              </w:rPr>
            </w:pPr>
          </w:p>
        </w:tc>
      </w:tr>
    </w:tbl>
    <w:p>
      <w:pPr>
        <w:spacing w:after="40"/>
        <w:rPr>
          <w:b/>
          <w:noProof/>
          <w:sz w:val="22"/>
          <w:u w:val="single"/>
        </w:rPr>
      </w:pPr>
    </w:p>
    <w:p>
      <w:pPr>
        <w:spacing w:after="40"/>
        <w:rPr>
          <w:b/>
          <w:noProof/>
          <w:sz w:val="22"/>
          <w:u w:val="single"/>
        </w:rPr>
      </w:pPr>
      <w:r>
        <w:rPr>
          <w:b/>
          <w:noProof/>
          <w:sz w:val="22"/>
          <w:u w:val="single"/>
        </w:rPr>
        <w:t>Hvis flere driftsmæssige udgiftsområder påvirkes af forslaget/initiativet, indsættes der et tilsvarende afsnit for hvert udgiftområde</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tcBorders>
              <w:top w:val="single" w:sz="4" w:space="0" w:color="auto"/>
              <w:left w:val="single" w:sz="4" w:space="0" w:color="auto"/>
              <w:bottom w:val="single" w:sz="4" w:space="0" w:color="FF0000"/>
            </w:tcBorders>
            <w:vAlign w:val="center"/>
          </w:tcPr>
          <w:p>
            <w:pPr>
              <w:spacing w:before="20" w:after="20"/>
              <w:rPr>
                <w:noProof/>
              </w:rPr>
            </w:pPr>
            <w:r>
              <w:rPr>
                <w:noProof/>
                <w:sz w:val="21"/>
              </w:rPr>
              <w:sym w:font="Wingdings" w:char="F09F"/>
            </w:r>
            <w:r>
              <w:rPr>
                <w:noProof/>
                <w:sz w:val="21"/>
              </w:rPr>
              <w:t xml:space="preserve">Aktionsbevillinger I ALT (alle </w:t>
            </w:r>
            <w:r>
              <w:rPr>
                <w:noProof/>
                <w:sz w:val="21"/>
              </w:rPr>
              <w:lastRenderedPageBreak/>
              <w:t>driftsmæssige udgiftsområder)</w:t>
            </w:r>
          </w:p>
        </w:tc>
        <w:tc>
          <w:tcPr>
            <w:tcW w:w="1440" w:type="dxa"/>
            <w:tcBorders>
              <w:top w:val="single" w:sz="4" w:space="0" w:color="auto"/>
            </w:tcBorders>
            <w:vAlign w:val="center"/>
          </w:tcPr>
          <w:p>
            <w:pPr>
              <w:spacing w:beforeLines="20" w:before="48" w:afterLines="20" w:after="48"/>
              <w:rPr>
                <w:noProof/>
                <w:sz w:val="18"/>
              </w:rPr>
            </w:pPr>
            <w:r>
              <w:rPr>
                <w:noProof/>
                <w:sz w:val="18"/>
              </w:rPr>
              <w:lastRenderedPageBreak/>
              <w:t>Forpligtelser</w:t>
            </w:r>
          </w:p>
        </w:tc>
        <w:tc>
          <w:tcPr>
            <w:tcW w:w="654" w:type="dxa"/>
            <w:tcBorders>
              <w:top w:val="single" w:sz="4" w:space="0" w:color="auto"/>
            </w:tcBorders>
            <w:vAlign w:val="center"/>
          </w:tcPr>
          <w:p>
            <w:pPr>
              <w:spacing w:beforeLines="20" w:before="48" w:afterLines="20" w:after="48"/>
              <w:jc w:val="center"/>
              <w:rPr>
                <w:noProof/>
                <w:sz w:val="14"/>
              </w:rPr>
            </w:pPr>
            <w:r>
              <w:rPr>
                <w:noProof/>
                <w:sz w:val="14"/>
              </w:rPr>
              <w:t>(4)</w:t>
            </w: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noProof/>
                <w:sz w:val="20"/>
              </w:rPr>
            </w:pPr>
          </w:p>
        </w:tc>
        <w:tc>
          <w:tcPr>
            <w:tcW w:w="868" w:type="dxa"/>
            <w:tcBorders>
              <w:top w:val="single" w:sz="4" w:space="0" w:color="auto"/>
            </w:tcBorders>
            <w:vAlign w:val="center"/>
          </w:tcPr>
          <w:p>
            <w:pPr>
              <w:spacing w:before="20" w:after="20"/>
              <w:jc w:val="right"/>
              <w:rPr>
                <w:b/>
                <w:noProof/>
                <w:sz w:val="20"/>
              </w:rPr>
            </w:pPr>
          </w:p>
        </w:tc>
        <w:tc>
          <w:tcPr>
            <w:tcW w:w="1777" w:type="dxa"/>
            <w:tcBorders>
              <w:top w:val="single" w:sz="4" w:space="0" w:color="auto"/>
              <w:right w:val="single" w:sz="4" w:space="0" w:color="auto"/>
            </w:tcBorders>
            <w:vAlign w:val="center"/>
          </w:tcPr>
          <w:p>
            <w:pPr>
              <w:spacing w:before="20" w:after="20"/>
              <w:jc w:val="right"/>
              <w:rPr>
                <w:b/>
                <w:noProof/>
                <w:sz w:val="20"/>
              </w:rPr>
            </w:pPr>
          </w:p>
        </w:tc>
      </w:tr>
      <w:tr>
        <w:tc>
          <w:tcPr>
            <w:tcW w:w="3960" w:type="dxa"/>
            <w:vMerge/>
            <w:tcBorders>
              <w:top w:val="single" w:sz="4" w:space="0" w:color="FF0000"/>
              <w:left w:val="single" w:sz="4" w:space="0" w:color="auto"/>
              <w:bottom w:val="single" w:sz="4" w:space="0" w:color="FF0000"/>
            </w:tcBorders>
          </w:tcPr>
          <w:p>
            <w:pPr>
              <w:jc w:val="center"/>
              <w:rPr>
                <w:noProof/>
                <w:sz w:val="20"/>
              </w:rPr>
            </w:pPr>
          </w:p>
        </w:tc>
        <w:tc>
          <w:tcPr>
            <w:tcW w:w="1440" w:type="dxa"/>
            <w:vAlign w:val="center"/>
          </w:tcPr>
          <w:p>
            <w:pPr>
              <w:spacing w:beforeLines="20" w:before="48" w:afterLines="20" w:after="48"/>
              <w:rPr>
                <w:noProof/>
                <w:sz w:val="18"/>
              </w:rPr>
            </w:pPr>
            <w:r>
              <w:rPr>
                <w:noProof/>
                <w:sz w:val="18"/>
              </w:rPr>
              <w:t>Betalinger</w:t>
            </w:r>
          </w:p>
        </w:tc>
        <w:tc>
          <w:tcPr>
            <w:tcW w:w="654" w:type="dxa"/>
            <w:vAlign w:val="center"/>
          </w:tcPr>
          <w:p>
            <w:pPr>
              <w:spacing w:beforeLines="20" w:before="48" w:afterLines="20" w:after="48"/>
              <w:jc w:val="center"/>
              <w:rPr>
                <w:noProof/>
                <w:sz w:val="14"/>
              </w:rPr>
            </w:pPr>
            <w:r>
              <w:rPr>
                <w:noProof/>
                <w:sz w:val="14"/>
              </w:rPr>
              <w:t>(5)</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Borders>
              <w:right w:val="single" w:sz="4" w:space="0" w:color="auto"/>
            </w:tcBorders>
            <w:vAlign w:val="center"/>
          </w:tcPr>
          <w:p>
            <w:pPr>
              <w:spacing w:before="20" w:after="20"/>
              <w:jc w:val="right"/>
              <w:rPr>
                <w:b/>
                <w:noProof/>
                <w:sz w:val="20"/>
              </w:rPr>
            </w:pPr>
          </w:p>
        </w:tc>
      </w:tr>
      <w:tr>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pPr>
              <w:spacing w:beforeLines="20" w:before="48" w:afterLines="20" w:after="48"/>
              <w:rPr>
                <w:noProof/>
              </w:rPr>
            </w:pPr>
            <w:r>
              <w:rPr>
                <w:noProof/>
                <w:sz w:val="21"/>
              </w:rPr>
              <w:lastRenderedPageBreak/>
              <w:t xml:space="preserve"> Administrationsbevillinger finansieret over bevillingsrammen for særprogrammer I ALT (alle driftsmæssige udgiftsområder)</w:t>
            </w:r>
          </w:p>
        </w:tc>
        <w:tc>
          <w:tcPr>
            <w:tcW w:w="654" w:type="dxa"/>
            <w:vAlign w:val="center"/>
          </w:tcPr>
          <w:p>
            <w:pPr>
              <w:rPr>
                <w:noProof/>
              </w:rPr>
            </w:pPr>
          </w:p>
          <w:p>
            <w:pPr>
              <w:spacing w:beforeLines="20" w:before="48" w:afterLines="20" w:after="48"/>
              <w:jc w:val="center"/>
              <w:rPr>
                <w:noProof/>
                <w:sz w:val="14"/>
              </w:rPr>
            </w:pPr>
            <w:r>
              <w:rPr>
                <w:noProof/>
                <w:sz w:val="14"/>
              </w:rPr>
              <w:t>(6)</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restart"/>
            <w:tcBorders>
              <w:top w:val="single" w:sz="4" w:space="0" w:color="FF0000"/>
              <w:left w:val="single" w:sz="4" w:space="0" w:color="auto"/>
              <w:bottom w:val="single" w:sz="4" w:space="0" w:color="FF0000"/>
            </w:tcBorders>
            <w:shd w:val="thinDiagStripe" w:color="C0C0C0" w:fill="auto"/>
            <w:vAlign w:val="center"/>
          </w:tcPr>
          <w:p>
            <w:pPr>
              <w:jc w:val="center"/>
              <w:rPr>
                <w:b/>
                <w:noProof/>
              </w:rPr>
            </w:pPr>
            <w:r>
              <w:rPr>
                <w:b/>
                <w:noProof/>
                <w:sz w:val="22"/>
              </w:rPr>
              <w:t>Bevillinger I ALT</w:t>
            </w:r>
            <w:r>
              <w:rPr>
                <w:noProof/>
                <w:sz w:val="22"/>
              </w:rPr>
              <w:br/>
            </w:r>
            <w:r>
              <w:rPr>
                <w:b/>
                <w:noProof/>
                <w:sz w:val="22"/>
              </w:rPr>
              <w:t>under UDGIFTSOMRÅDE 1-4</w:t>
            </w:r>
            <w:r>
              <w:rPr>
                <w:noProof/>
                <w:sz w:val="22"/>
              </w:rPr>
              <w:br/>
              <w:t>i den flerårige finansielle ramme</w:t>
            </w:r>
            <w:r>
              <w:rPr>
                <w:noProof/>
                <w:sz w:val="22"/>
              </w:rPr>
              <w:br/>
            </w:r>
            <w:r>
              <w:rPr>
                <w:noProof/>
                <w:sz w:val="20"/>
              </w:rPr>
              <w:t>(referencebeløb)</w:t>
            </w:r>
          </w:p>
        </w:tc>
        <w:tc>
          <w:tcPr>
            <w:tcW w:w="1440" w:type="dxa"/>
            <w:vAlign w:val="center"/>
          </w:tcPr>
          <w:p>
            <w:pPr>
              <w:rPr>
                <w:noProof/>
                <w:sz w:val="18"/>
              </w:rPr>
            </w:pPr>
            <w:r>
              <w:rPr>
                <w:noProof/>
                <w:sz w:val="18"/>
              </w:rPr>
              <w:t>Forpligtelser</w:t>
            </w:r>
          </w:p>
        </w:tc>
        <w:tc>
          <w:tcPr>
            <w:tcW w:w="654" w:type="dxa"/>
            <w:vAlign w:val="center"/>
          </w:tcPr>
          <w:p>
            <w:pPr>
              <w:jc w:val="center"/>
              <w:rPr>
                <w:noProof/>
                <w:sz w:val="14"/>
              </w:rPr>
            </w:pPr>
            <w:r>
              <w:rPr>
                <w:noProof/>
                <w:sz w:val="14"/>
              </w:rPr>
              <w:t>=4+ 6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Borders>
              <w:right w:val="single" w:sz="4" w:space="0" w:color="auto"/>
            </w:tcBorders>
            <w:vAlign w:val="center"/>
          </w:tcPr>
          <w:p>
            <w:pPr>
              <w:spacing w:before="20" w:after="20"/>
              <w:jc w:val="right"/>
              <w:rPr>
                <w:b/>
                <w:noProof/>
                <w:sz w:val="20"/>
              </w:rPr>
            </w:pPr>
          </w:p>
        </w:tc>
      </w:tr>
      <w:tr>
        <w:tc>
          <w:tcPr>
            <w:tcW w:w="3960" w:type="dxa"/>
            <w:vMerge/>
            <w:tcBorders>
              <w:top w:val="single" w:sz="4" w:space="0" w:color="FF0000"/>
              <w:left w:val="single" w:sz="4" w:space="0" w:color="auto"/>
              <w:bottom w:val="single" w:sz="4" w:space="0" w:color="auto"/>
            </w:tcBorders>
            <w:shd w:val="thinDiagStripe" w:color="C0C0C0" w:fill="auto"/>
          </w:tcPr>
          <w:p>
            <w:pPr>
              <w:rPr>
                <w:noProof/>
                <w:sz w:val="20"/>
              </w:rPr>
            </w:pPr>
          </w:p>
        </w:tc>
        <w:tc>
          <w:tcPr>
            <w:tcW w:w="1440" w:type="dxa"/>
            <w:tcBorders>
              <w:bottom w:val="single" w:sz="4" w:space="0" w:color="auto"/>
            </w:tcBorders>
            <w:vAlign w:val="center"/>
          </w:tcPr>
          <w:p>
            <w:pPr>
              <w:rPr>
                <w:noProof/>
                <w:sz w:val="18"/>
              </w:rPr>
            </w:pPr>
            <w:r>
              <w:rPr>
                <w:noProof/>
                <w:sz w:val="18"/>
              </w:rPr>
              <w:t>Betalinger</w:t>
            </w:r>
          </w:p>
        </w:tc>
        <w:tc>
          <w:tcPr>
            <w:tcW w:w="654" w:type="dxa"/>
            <w:tcBorders>
              <w:bottom w:val="single" w:sz="4" w:space="0" w:color="auto"/>
            </w:tcBorders>
            <w:vAlign w:val="center"/>
          </w:tcPr>
          <w:p>
            <w:pPr>
              <w:jc w:val="center"/>
              <w:rPr>
                <w:noProof/>
                <w:sz w:val="14"/>
              </w:rPr>
            </w:pPr>
            <w:r>
              <w:rPr>
                <w:noProof/>
                <w:sz w:val="14"/>
              </w:rPr>
              <w:t>=5+ 6</w:t>
            </w: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noProof/>
                <w:sz w:val="20"/>
              </w:rPr>
            </w:pPr>
          </w:p>
        </w:tc>
        <w:tc>
          <w:tcPr>
            <w:tcW w:w="868" w:type="dxa"/>
            <w:tcBorders>
              <w:bottom w:val="single" w:sz="4" w:space="0" w:color="auto"/>
            </w:tcBorders>
            <w:vAlign w:val="center"/>
          </w:tcPr>
          <w:p>
            <w:pPr>
              <w:spacing w:before="20" w:after="20"/>
              <w:jc w:val="right"/>
              <w:rPr>
                <w:b/>
                <w:noProof/>
                <w:sz w:val="20"/>
              </w:rPr>
            </w:pPr>
          </w:p>
        </w:tc>
        <w:tc>
          <w:tcPr>
            <w:tcW w:w="1777" w:type="dxa"/>
            <w:tcBorders>
              <w:bottom w:val="single" w:sz="4" w:space="0" w:color="auto"/>
              <w:right w:val="single" w:sz="4" w:space="0" w:color="auto"/>
            </w:tcBorders>
            <w:vAlign w:val="center"/>
          </w:tcPr>
          <w:p>
            <w:pPr>
              <w:spacing w:before="20" w:after="20"/>
              <w:jc w:val="right"/>
              <w:rPr>
                <w:b/>
                <w:noProof/>
                <w:sz w:val="20"/>
              </w:rPr>
            </w:pPr>
          </w:p>
        </w:tc>
      </w:tr>
    </w:tbl>
    <w:p>
      <w:pPr>
        <w:rPr>
          <w:noProof/>
        </w:rPr>
      </w:pPr>
    </w:p>
    <w:p>
      <w:pPr>
        <w:spacing w:before="0" w:after="0"/>
        <w:jc w:val="left"/>
        <w:rPr>
          <w:noProof/>
        </w:rPr>
      </w:pPr>
      <w:r>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noProof/>
              </w:rPr>
              <w:lastRenderedPageBreak/>
              <w:br w:type="page"/>
            </w:r>
            <w:r>
              <w:rPr>
                <w:b/>
                <w:noProof/>
                <w:sz w:val="22"/>
              </w:rPr>
              <w:t>Udgiftsområde i den flerårige finansielle</w:t>
            </w:r>
            <w:r>
              <w:rPr>
                <w:noProof/>
                <w:sz w:val="22"/>
              </w:rPr>
              <w:br/>
            </w:r>
            <w:r>
              <w:rPr>
                <w:b/>
                <w:noProof/>
                <w:sz w:val="22"/>
              </w:rPr>
              <w:t xml:space="preserve">ramme </w:t>
            </w:r>
          </w:p>
        </w:tc>
        <w:tc>
          <w:tcPr>
            <w:tcW w:w="1080" w:type="dxa"/>
            <w:shd w:val="thinDiagStripe" w:color="C0C0C0" w:fill="auto"/>
            <w:vAlign w:val="center"/>
          </w:tcPr>
          <w:p>
            <w:pPr>
              <w:spacing w:before="60" w:after="60"/>
              <w:jc w:val="center"/>
              <w:rPr>
                <w:noProof/>
              </w:rPr>
            </w:pPr>
            <w:r>
              <w:rPr>
                <w:b/>
                <w:noProof/>
                <w:sz w:val="22"/>
              </w:rPr>
              <w:t>5</w:t>
            </w:r>
          </w:p>
        </w:tc>
        <w:tc>
          <w:tcPr>
            <w:tcW w:w="7817" w:type="dxa"/>
            <w:vAlign w:val="center"/>
          </w:tcPr>
          <w:p>
            <w:pPr>
              <w:spacing w:before="60" w:after="60"/>
              <w:rPr>
                <w:noProof/>
              </w:rPr>
            </w:pPr>
            <w:r>
              <w:rPr>
                <w:noProof/>
                <w:sz w:val="22"/>
              </w:rPr>
              <w:t>"Administrationsudgifter"</w:t>
            </w:r>
          </w:p>
        </w:tc>
      </w:tr>
    </w:tbl>
    <w:p>
      <w:pPr>
        <w:jc w:val="left"/>
        <w:rPr>
          <w:noProof/>
          <w:sz w:val="20"/>
        </w:rPr>
      </w:pPr>
      <w:r>
        <w:rPr>
          <w:noProof/>
        </w:rPr>
        <w:t xml:space="preserve">Dette afsnit skal udfyldes ved hjælp af arket vedrørende administrative budgetoplysninger, der først skal indføres i </w:t>
      </w:r>
      <w:hyperlink r:id="rId22">
        <w:r>
          <w:rPr>
            <w:rStyle w:val="Hyperlink"/>
            <w:noProof/>
          </w:rPr>
          <w:t>bilaget til finansieringsoversigten</w:t>
        </w:r>
      </w:hyperlink>
      <w:r>
        <w:rPr>
          <w:noProof/>
        </w:rPr>
        <w:t xml:space="preserve"> (bilag V til de interne regler), som uploades til DECIDE med henblik på høring af andre tjenestegrene.</w:t>
      </w:r>
    </w:p>
    <w:p>
      <w:pPr>
        <w:jc w:val="right"/>
        <w:rPr>
          <w:noProof/>
          <w:sz w:val="20"/>
          <w:lang w:val="it-IT"/>
        </w:rPr>
      </w:pPr>
      <w:r>
        <w:rPr>
          <w:noProof/>
          <w:sz w:val="20"/>
          <w:lang w:val="it-IT"/>
        </w:rPr>
        <w:t>i mio. EUR (tre decimaler)</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lang w:val="it-IT"/>
              </w:rPr>
            </w:pPr>
          </w:p>
        </w:tc>
        <w:tc>
          <w:tcPr>
            <w:tcW w:w="1560" w:type="dxa"/>
            <w:tcBorders>
              <w:top w:val="nil"/>
              <w:left w:val="nil"/>
              <w:right w:val="nil"/>
            </w:tcBorders>
          </w:tcPr>
          <w:p>
            <w:pPr>
              <w:rPr>
                <w:noProof/>
                <w:sz w:val="20"/>
                <w:lang w:val="it-IT"/>
              </w:rPr>
            </w:pPr>
          </w:p>
        </w:tc>
        <w:tc>
          <w:tcPr>
            <w:tcW w:w="534" w:type="dxa"/>
            <w:tcBorders>
              <w:top w:val="nil"/>
              <w:left w:val="nil"/>
            </w:tcBorders>
          </w:tcPr>
          <w:p>
            <w:pPr>
              <w:jc w:val="center"/>
              <w:rPr>
                <w:noProof/>
                <w:sz w:val="20"/>
                <w:lang w:val="it-IT"/>
              </w:rPr>
            </w:pPr>
          </w:p>
        </w:tc>
        <w:tc>
          <w:tcPr>
            <w:tcW w:w="868" w:type="dxa"/>
            <w:vAlign w:val="center"/>
          </w:tcPr>
          <w:p>
            <w:pPr>
              <w:jc w:val="center"/>
              <w:rPr>
                <w:noProof/>
                <w:sz w:val="20"/>
              </w:rPr>
            </w:pPr>
            <w:r>
              <w:rPr>
                <w:noProof/>
                <w:sz w:val="20"/>
              </w:rPr>
              <w:t>År</w:t>
            </w:r>
            <w:r>
              <w:rPr>
                <w:noProof/>
                <w:sz w:val="22"/>
              </w:rPr>
              <w:br/>
            </w:r>
            <w:r>
              <w:rPr>
                <w:b/>
                <w:noProof/>
                <w:sz w:val="20"/>
              </w:rPr>
              <w:t>n</w:t>
            </w:r>
          </w:p>
        </w:tc>
        <w:tc>
          <w:tcPr>
            <w:tcW w:w="868" w:type="dxa"/>
            <w:vAlign w:val="center"/>
          </w:tcPr>
          <w:p>
            <w:pPr>
              <w:jc w:val="center"/>
              <w:rPr>
                <w:noProof/>
                <w:sz w:val="20"/>
              </w:rPr>
            </w:pPr>
            <w:r>
              <w:rPr>
                <w:noProof/>
                <w:sz w:val="20"/>
              </w:rPr>
              <w:t>År</w:t>
            </w:r>
            <w:r>
              <w:rPr>
                <w:noProof/>
                <w:sz w:val="22"/>
              </w:rPr>
              <w:br/>
            </w:r>
            <w:r>
              <w:rPr>
                <w:b/>
                <w:noProof/>
                <w:sz w:val="20"/>
              </w:rPr>
              <w:t>n + 1</w:t>
            </w:r>
          </w:p>
        </w:tc>
        <w:tc>
          <w:tcPr>
            <w:tcW w:w="868" w:type="dxa"/>
            <w:vAlign w:val="center"/>
          </w:tcPr>
          <w:p>
            <w:pPr>
              <w:jc w:val="center"/>
              <w:rPr>
                <w:noProof/>
                <w:sz w:val="20"/>
              </w:rPr>
            </w:pPr>
            <w:r>
              <w:rPr>
                <w:noProof/>
                <w:sz w:val="20"/>
              </w:rPr>
              <w:t>År</w:t>
            </w:r>
            <w:r>
              <w:rPr>
                <w:noProof/>
                <w:sz w:val="22"/>
              </w:rPr>
              <w:br/>
            </w:r>
            <w:r>
              <w:rPr>
                <w:b/>
                <w:noProof/>
                <w:sz w:val="20"/>
              </w:rPr>
              <w:t>n + 2</w:t>
            </w:r>
          </w:p>
        </w:tc>
        <w:tc>
          <w:tcPr>
            <w:tcW w:w="868" w:type="dxa"/>
            <w:vAlign w:val="center"/>
          </w:tcPr>
          <w:p>
            <w:pPr>
              <w:jc w:val="center"/>
              <w:rPr>
                <w:noProof/>
                <w:sz w:val="20"/>
              </w:rPr>
            </w:pPr>
            <w:r>
              <w:rPr>
                <w:noProof/>
                <w:sz w:val="20"/>
              </w:rPr>
              <w:t>År</w:t>
            </w:r>
            <w:r>
              <w:rPr>
                <w:noProof/>
                <w:sz w:val="22"/>
              </w:rPr>
              <w:br/>
            </w:r>
            <w:r>
              <w:rPr>
                <w:b/>
                <w:noProof/>
                <w:sz w:val="20"/>
              </w:rPr>
              <w:t>n + 3</w:t>
            </w:r>
          </w:p>
        </w:tc>
        <w:tc>
          <w:tcPr>
            <w:tcW w:w="2604" w:type="dxa"/>
            <w:gridSpan w:val="3"/>
            <w:vAlign w:val="center"/>
          </w:tcPr>
          <w:p>
            <w:pPr>
              <w:jc w:val="center"/>
              <w:rPr>
                <w:b/>
                <w:noProof/>
                <w:sz w:val="18"/>
              </w:rPr>
            </w:pPr>
            <w:r>
              <w:rPr>
                <w:noProof/>
                <w:sz w:val="18"/>
              </w:rPr>
              <w:t xml:space="preserve">Der indsættes flere år, hvis virkningerne varer længere (jf. punkt 1.6) </w:t>
            </w:r>
          </w:p>
        </w:tc>
        <w:tc>
          <w:tcPr>
            <w:tcW w:w="1777" w:type="dxa"/>
            <w:vAlign w:val="center"/>
          </w:tcPr>
          <w:p>
            <w:pPr>
              <w:jc w:val="center"/>
              <w:rPr>
                <w:b/>
                <w:noProof/>
                <w:sz w:val="20"/>
              </w:rPr>
            </w:pPr>
            <w:r>
              <w:rPr>
                <w:b/>
                <w:noProof/>
                <w:sz w:val="20"/>
              </w:rPr>
              <w:t>I ALT</w:t>
            </w:r>
          </w:p>
        </w:tc>
      </w:tr>
      <w:tr>
        <w:trPr>
          <w:gridAfter w:val="10"/>
          <w:wAfter w:w="9947" w:type="dxa"/>
        </w:trPr>
        <w:tc>
          <w:tcPr>
            <w:tcW w:w="3960" w:type="dxa"/>
            <w:vAlign w:val="center"/>
          </w:tcPr>
          <w:p>
            <w:pPr>
              <w:spacing w:before="60" w:after="60"/>
              <w:jc w:val="center"/>
              <w:rPr>
                <w:noProof/>
              </w:rPr>
            </w:pPr>
            <w:r>
              <w:rPr>
                <w:noProof/>
                <w:sz w:val="22"/>
              </w:rPr>
              <w:t>GD: &lt;…….&gt;</w:t>
            </w:r>
          </w:p>
        </w:tc>
      </w:tr>
      <w:tr>
        <w:trPr>
          <w:trHeight w:val="313"/>
        </w:trPr>
        <w:tc>
          <w:tcPr>
            <w:tcW w:w="6054" w:type="dxa"/>
            <w:gridSpan w:val="3"/>
            <w:vAlign w:val="center"/>
          </w:tcPr>
          <w:p>
            <w:pPr>
              <w:spacing w:before="20" w:after="20"/>
              <w:rPr>
                <w:noProof/>
              </w:rPr>
            </w:pPr>
            <w:r>
              <w:rPr>
                <w:noProof/>
                <w:sz w:val="22"/>
              </w:rPr>
              <w:sym w:font="Wingdings" w:char="F09F"/>
            </w:r>
            <w:r>
              <w:rPr>
                <w:noProof/>
                <w:sz w:val="22"/>
              </w:rPr>
              <w:t xml:space="preserve"> Menneskelige ressourcer</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51"/>
        </w:trPr>
        <w:tc>
          <w:tcPr>
            <w:tcW w:w="6054" w:type="dxa"/>
            <w:gridSpan w:val="3"/>
            <w:vAlign w:val="center"/>
          </w:tcPr>
          <w:p>
            <w:pPr>
              <w:spacing w:before="20" w:after="20"/>
              <w:rPr>
                <w:noProof/>
              </w:rPr>
            </w:pPr>
            <w:r>
              <w:rPr>
                <w:noProof/>
                <w:sz w:val="22"/>
              </w:rPr>
              <w:sym w:font="Wingdings" w:char="F09F"/>
            </w:r>
            <w:r>
              <w:rPr>
                <w:noProof/>
                <w:sz w:val="22"/>
              </w:rPr>
              <w:t xml:space="preserve"> Andre administrationsudgifter</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Align w:val="center"/>
          </w:tcPr>
          <w:p>
            <w:pPr>
              <w:jc w:val="center"/>
              <w:rPr>
                <w:b/>
                <w:noProof/>
              </w:rPr>
            </w:pPr>
            <w:r>
              <w:rPr>
                <w:b/>
                <w:noProof/>
                <w:sz w:val="22"/>
              </w:rPr>
              <w:t xml:space="preserve">I ALT GD </w:t>
            </w:r>
            <w:r>
              <w:rPr>
                <w:noProof/>
                <w:sz w:val="22"/>
              </w:rPr>
              <w:t>&lt;…….&gt;</w:t>
            </w:r>
          </w:p>
        </w:tc>
        <w:tc>
          <w:tcPr>
            <w:tcW w:w="2094" w:type="dxa"/>
            <w:gridSpan w:val="2"/>
            <w:vAlign w:val="center"/>
          </w:tcPr>
          <w:p>
            <w:pPr>
              <w:rPr>
                <w:noProof/>
                <w:sz w:val="14"/>
              </w:rPr>
            </w:pPr>
            <w:r>
              <w:rPr>
                <w:noProof/>
                <w:sz w:val="18"/>
              </w:rPr>
              <w:t xml:space="preserve">Bevillinger </w:t>
            </w:r>
          </w:p>
        </w:tc>
        <w:tc>
          <w:tcPr>
            <w:tcW w:w="868" w:type="dxa"/>
            <w:vAlign w:val="center"/>
          </w:tcPr>
          <w:p>
            <w:pPr>
              <w:spacing w:before="60" w:after="6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rPr>
            </w:pPr>
            <w:r>
              <w:rPr>
                <w:b/>
                <w:noProof/>
                <w:sz w:val="22"/>
              </w:rPr>
              <w:t>Bevillinger I ALT</w:t>
            </w:r>
            <w:r>
              <w:rPr>
                <w:noProof/>
                <w:sz w:val="22"/>
              </w:rPr>
              <w:br/>
            </w:r>
            <w:r>
              <w:rPr>
                <w:b/>
                <w:noProof/>
                <w:sz w:val="22"/>
              </w:rPr>
              <w:t>under UDGIFTSOMRÅDE 5</w:t>
            </w:r>
            <w:r>
              <w:rPr>
                <w:noProof/>
                <w:sz w:val="22"/>
              </w:rPr>
              <w:br/>
              <w:t>i den flerårige finansielle ramme</w:t>
            </w:r>
            <w:r>
              <w:rPr>
                <w:b/>
                <w:noProof/>
                <w:sz w:val="22"/>
              </w:rPr>
              <w:t xml:space="preserve"> </w:t>
            </w:r>
          </w:p>
        </w:tc>
        <w:tc>
          <w:tcPr>
            <w:tcW w:w="2094" w:type="dxa"/>
            <w:vAlign w:val="center"/>
          </w:tcPr>
          <w:p>
            <w:pPr>
              <w:spacing w:before="40" w:after="40"/>
              <w:rPr>
                <w:noProof/>
              </w:rPr>
            </w:pPr>
            <w:r>
              <w:rPr>
                <w:noProof/>
                <w:sz w:val="18"/>
              </w:rPr>
              <w:t>(Forpligtelser i alt = betalinger i alt)</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bl>
    <w:p>
      <w:pPr>
        <w:jc w:val="right"/>
        <w:rPr>
          <w:noProof/>
          <w:sz w:val="20"/>
          <w:lang w:val="it-IT"/>
        </w:rPr>
      </w:pPr>
      <w:r>
        <w:rPr>
          <w:noProof/>
          <w:sz w:val="20"/>
          <w:lang w:val="it-IT"/>
        </w:rPr>
        <w:t>i mio. EUR (tre decimaler)</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lang w:val="it-IT"/>
              </w:rPr>
            </w:pPr>
          </w:p>
        </w:tc>
        <w:tc>
          <w:tcPr>
            <w:tcW w:w="1560" w:type="dxa"/>
            <w:tcBorders>
              <w:top w:val="nil"/>
              <w:left w:val="nil"/>
              <w:right w:val="nil"/>
            </w:tcBorders>
          </w:tcPr>
          <w:p>
            <w:pPr>
              <w:rPr>
                <w:noProof/>
                <w:sz w:val="20"/>
                <w:lang w:val="it-IT"/>
              </w:rPr>
            </w:pPr>
          </w:p>
        </w:tc>
        <w:tc>
          <w:tcPr>
            <w:tcW w:w="534" w:type="dxa"/>
            <w:tcBorders>
              <w:top w:val="nil"/>
              <w:left w:val="nil"/>
            </w:tcBorders>
          </w:tcPr>
          <w:p>
            <w:pPr>
              <w:jc w:val="center"/>
              <w:rPr>
                <w:noProof/>
                <w:sz w:val="20"/>
                <w:lang w:val="it-IT"/>
              </w:rPr>
            </w:pPr>
          </w:p>
        </w:tc>
        <w:tc>
          <w:tcPr>
            <w:tcW w:w="868" w:type="dxa"/>
            <w:vAlign w:val="center"/>
          </w:tcPr>
          <w:p>
            <w:pPr>
              <w:jc w:val="center"/>
              <w:rPr>
                <w:noProof/>
                <w:sz w:val="20"/>
              </w:rPr>
            </w:pPr>
            <w:r>
              <w:rPr>
                <w:noProof/>
                <w:sz w:val="20"/>
              </w:rPr>
              <w:t>År</w:t>
            </w:r>
            <w:r>
              <w:rPr>
                <w:noProof/>
                <w:sz w:val="22"/>
              </w:rPr>
              <w:br/>
            </w:r>
            <w:r>
              <w:rPr>
                <w:b/>
                <w:noProof/>
                <w:sz w:val="20"/>
              </w:rPr>
              <w:t>n</w:t>
            </w:r>
            <w:r>
              <w:rPr>
                <w:rStyle w:val="FootnoteReference"/>
                <w:b/>
                <w:noProof/>
                <w:sz w:val="20"/>
              </w:rPr>
              <w:footnoteReference w:id="13"/>
            </w:r>
          </w:p>
        </w:tc>
        <w:tc>
          <w:tcPr>
            <w:tcW w:w="868" w:type="dxa"/>
            <w:vAlign w:val="center"/>
          </w:tcPr>
          <w:p>
            <w:pPr>
              <w:jc w:val="center"/>
              <w:rPr>
                <w:noProof/>
                <w:sz w:val="20"/>
              </w:rPr>
            </w:pPr>
            <w:r>
              <w:rPr>
                <w:noProof/>
                <w:sz w:val="20"/>
              </w:rPr>
              <w:t>År</w:t>
            </w:r>
            <w:r>
              <w:rPr>
                <w:noProof/>
                <w:sz w:val="22"/>
              </w:rPr>
              <w:br/>
            </w:r>
            <w:r>
              <w:rPr>
                <w:b/>
                <w:noProof/>
                <w:sz w:val="20"/>
              </w:rPr>
              <w:t>n + 1</w:t>
            </w:r>
          </w:p>
        </w:tc>
        <w:tc>
          <w:tcPr>
            <w:tcW w:w="868" w:type="dxa"/>
            <w:vAlign w:val="center"/>
          </w:tcPr>
          <w:p>
            <w:pPr>
              <w:jc w:val="center"/>
              <w:rPr>
                <w:noProof/>
                <w:sz w:val="20"/>
              </w:rPr>
            </w:pPr>
            <w:r>
              <w:rPr>
                <w:noProof/>
                <w:sz w:val="20"/>
              </w:rPr>
              <w:t>År</w:t>
            </w:r>
            <w:r>
              <w:rPr>
                <w:noProof/>
                <w:sz w:val="22"/>
              </w:rPr>
              <w:br/>
            </w:r>
            <w:r>
              <w:rPr>
                <w:b/>
                <w:noProof/>
                <w:sz w:val="20"/>
              </w:rPr>
              <w:t>n + 2</w:t>
            </w:r>
          </w:p>
        </w:tc>
        <w:tc>
          <w:tcPr>
            <w:tcW w:w="868" w:type="dxa"/>
            <w:vAlign w:val="center"/>
          </w:tcPr>
          <w:p>
            <w:pPr>
              <w:jc w:val="center"/>
              <w:rPr>
                <w:noProof/>
                <w:sz w:val="20"/>
              </w:rPr>
            </w:pPr>
            <w:r>
              <w:rPr>
                <w:noProof/>
                <w:sz w:val="20"/>
              </w:rPr>
              <w:t>År</w:t>
            </w:r>
            <w:r>
              <w:rPr>
                <w:noProof/>
                <w:sz w:val="22"/>
              </w:rPr>
              <w:br/>
            </w:r>
            <w:r>
              <w:rPr>
                <w:b/>
                <w:noProof/>
                <w:sz w:val="20"/>
              </w:rPr>
              <w:t>n + 3</w:t>
            </w:r>
          </w:p>
        </w:tc>
        <w:tc>
          <w:tcPr>
            <w:tcW w:w="2604" w:type="dxa"/>
            <w:gridSpan w:val="3"/>
            <w:vAlign w:val="center"/>
          </w:tcPr>
          <w:p>
            <w:pPr>
              <w:jc w:val="center"/>
              <w:rPr>
                <w:b/>
                <w:noProof/>
                <w:sz w:val="18"/>
              </w:rPr>
            </w:pPr>
            <w:r>
              <w:rPr>
                <w:noProof/>
                <w:sz w:val="18"/>
              </w:rPr>
              <w:t>Der indsættes flere år, hvis virkningerne varer længere (jf. punkt 1.6)</w:t>
            </w:r>
          </w:p>
        </w:tc>
        <w:tc>
          <w:tcPr>
            <w:tcW w:w="1777" w:type="dxa"/>
            <w:vAlign w:val="center"/>
          </w:tcPr>
          <w:p>
            <w:pPr>
              <w:jc w:val="center"/>
              <w:rPr>
                <w:b/>
                <w:noProof/>
                <w:sz w:val="20"/>
              </w:rPr>
            </w:pPr>
            <w:r>
              <w:rPr>
                <w:b/>
                <w:noProof/>
                <w:sz w:val="20"/>
              </w:rPr>
              <w:t>I ALT</w:t>
            </w:r>
          </w:p>
        </w:tc>
      </w:tr>
      <w:tr>
        <w:tc>
          <w:tcPr>
            <w:tcW w:w="3960" w:type="dxa"/>
            <w:vMerge w:val="restart"/>
            <w:shd w:val="clear" w:color="auto" w:fill="C0C0C0"/>
            <w:vAlign w:val="center"/>
          </w:tcPr>
          <w:p>
            <w:pPr>
              <w:jc w:val="center"/>
              <w:rPr>
                <w:b/>
                <w:noProof/>
              </w:rPr>
            </w:pPr>
            <w:r>
              <w:rPr>
                <w:b/>
                <w:noProof/>
                <w:sz w:val="22"/>
              </w:rPr>
              <w:t>Bevillinger I ALT</w:t>
            </w:r>
            <w:r>
              <w:rPr>
                <w:noProof/>
                <w:sz w:val="22"/>
              </w:rPr>
              <w:br/>
            </w:r>
            <w:r>
              <w:rPr>
                <w:b/>
                <w:noProof/>
                <w:sz w:val="22"/>
              </w:rPr>
              <w:t>under UDGIFTSOMRÅDE 1-5</w:t>
            </w:r>
            <w:r>
              <w:rPr>
                <w:noProof/>
                <w:sz w:val="22"/>
              </w:rPr>
              <w:br/>
              <w:t>i den flerårige finansielle ramme</w:t>
            </w:r>
            <w:r>
              <w:rPr>
                <w:b/>
                <w:noProof/>
                <w:sz w:val="22"/>
              </w:rPr>
              <w:t xml:space="preserve"> </w:t>
            </w:r>
          </w:p>
        </w:tc>
        <w:tc>
          <w:tcPr>
            <w:tcW w:w="2094" w:type="dxa"/>
            <w:gridSpan w:val="2"/>
            <w:vAlign w:val="center"/>
          </w:tcPr>
          <w:p>
            <w:pPr>
              <w:rPr>
                <w:noProof/>
                <w:sz w:val="14"/>
              </w:rPr>
            </w:pPr>
            <w:r>
              <w:rPr>
                <w:noProof/>
                <w:sz w:val="18"/>
              </w:rPr>
              <w:t>Forpligtelser</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p>
        </w:tc>
      </w:tr>
      <w:tr>
        <w:tc>
          <w:tcPr>
            <w:tcW w:w="3960" w:type="dxa"/>
            <w:vMerge/>
            <w:shd w:val="clear" w:color="auto" w:fill="C0C0C0"/>
          </w:tcPr>
          <w:p>
            <w:pPr>
              <w:rPr>
                <w:noProof/>
                <w:sz w:val="20"/>
              </w:rPr>
            </w:pPr>
          </w:p>
        </w:tc>
        <w:tc>
          <w:tcPr>
            <w:tcW w:w="2094" w:type="dxa"/>
            <w:gridSpan w:val="2"/>
            <w:vAlign w:val="center"/>
          </w:tcPr>
          <w:p>
            <w:pPr>
              <w:rPr>
                <w:noProof/>
                <w:sz w:val="14"/>
              </w:rPr>
            </w:pPr>
            <w:r>
              <w:rPr>
                <w:noProof/>
                <w:sz w:val="18"/>
              </w:rPr>
              <w:t>Betalinger</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p>
        </w:tc>
      </w:tr>
    </w:tbl>
    <w:p>
      <w:pPr>
        <w:rPr>
          <w:noProof/>
        </w:rPr>
      </w:pPr>
    </w:p>
    <w:p>
      <w:pPr>
        <w:pStyle w:val="ManualHeading3"/>
        <w:rPr>
          <w:bCs/>
          <w:noProof/>
          <w:szCs w:val="24"/>
        </w:rPr>
      </w:pPr>
      <w:bookmarkStart w:id="45" w:name="_Toc514938054"/>
      <w:bookmarkStart w:id="46" w:name="_Toc520485053"/>
      <w:r>
        <w:t>3.2.2.</w:t>
      </w:r>
      <w:r>
        <w:tab/>
      </w:r>
      <w:r>
        <w:rPr>
          <w:noProof/>
        </w:rPr>
        <w:t>Anslåede resultater finansieret med aktionsbevillinger</w:t>
      </w:r>
      <w:bookmarkEnd w:id="45"/>
      <w:bookmarkEnd w:id="46"/>
      <w:r>
        <w:rPr>
          <w:noProof/>
        </w:rPr>
        <w:t xml:space="preserve"> </w:t>
      </w:r>
    </w:p>
    <w:p>
      <w:pPr>
        <w:jc w:val="right"/>
        <w:rPr>
          <w:noProof/>
          <w:sz w:val="20"/>
        </w:rPr>
      </w:pPr>
      <w:r>
        <w:rPr>
          <w:noProof/>
          <w:sz w:val="20"/>
        </w:rPr>
        <w:t>Forpligtelsesbevillinger i mio. EUR (tre decimaler)</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Der angives mål og resultater </w:t>
            </w:r>
          </w:p>
          <w:p>
            <w:pPr>
              <w:ind w:right="-29"/>
              <w:jc w:val="center"/>
              <w:rPr>
                <w:b/>
                <w:noProof/>
                <w:sz w:val="18"/>
                <w:szCs w:val="18"/>
              </w:rPr>
            </w:pPr>
          </w:p>
          <w:p>
            <w:pPr>
              <w:ind w:right="-29"/>
              <w:jc w:val="center"/>
              <w:rPr>
                <w:noProof/>
                <w:sz w:val="18"/>
                <w:szCs w:val="18"/>
              </w:rPr>
            </w:pPr>
            <w:r>
              <w:rPr>
                <w:noProof/>
                <w:sz w:val="18"/>
              </w:rPr>
              <w:sym w:font="Wingdings" w:char="F0F2"/>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År</w:t>
            </w:r>
            <w:r>
              <w:rPr>
                <w:noProof/>
                <w:sz w:val="22"/>
              </w:rPr>
              <w:br/>
            </w:r>
            <w:r>
              <w:rPr>
                <w:b/>
                <w:noProof/>
                <w:sz w:val="18"/>
              </w:rPr>
              <w:t>n</w:t>
            </w:r>
          </w:p>
        </w:tc>
        <w:tc>
          <w:tcPr>
            <w:tcW w:w="1260" w:type="dxa"/>
            <w:gridSpan w:val="2"/>
            <w:vAlign w:val="center"/>
          </w:tcPr>
          <w:p>
            <w:pPr>
              <w:ind w:right="-29"/>
              <w:jc w:val="center"/>
              <w:rPr>
                <w:noProof/>
                <w:sz w:val="18"/>
                <w:szCs w:val="18"/>
              </w:rPr>
            </w:pPr>
            <w:r>
              <w:rPr>
                <w:noProof/>
                <w:sz w:val="18"/>
              </w:rPr>
              <w:t>År</w:t>
            </w:r>
            <w:r>
              <w:rPr>
                <w:noProof/>
                <w:sz w:val="22"/>
              </w:rPr>
              <w:br/>
            </w:r>
            <w:r>
              <w:rPr>
                <w:b/>
                <w:noProof/>
                <w:sz w:val="18"/>
              </w:rPr>
              <w:t>n + 1</w:t>
            </w:r>
          </w:p>
        </w:tc>
        <w:tc>
          <w:tcPr>
            <w:tcW w:w="1440" w:type="dxa"/>
            <w:gridSpan w:val="2"/>
            <w:vAlign w:val="center"/>
          </w:tcPr>
          <w:p>
            <w:pPr>
              <w:ind w:right="-29"/>
              <w:jc w:val="center"/>
              <w:rPr>
                <w:noProof/>
                <w:sz w:val="18"/>
                <w:szCs w:val="18"/>
              </w:rPr>
            </w:pPr>
            <w:r>
              <w:rPr>
                <w:noProof/>
                <w:sz w:val="18"/>
              </w:rPr>
              <w:t>År</w:t>
            </w:r>
            <w:r>
              <w:rPr>
                <w:noProof/>
                <w:sz w:val="22"/>
              </w:rPr>
              <w:br/>
            </w:r>
            <w:r>
              <w:rPr>
                <w:b/>
                <w:noProof/>
                <w:sz w:val="18"/>
              </w:rPr>
              <w:t>n + 2</w:t>
            </w:r>
          </w:p>
        </w:tc>
        <w:tc>
          <w:tcPr>
            <w:tcW w:w="1620" w:type="dxa"/>
            <w:gridSpan w:val="3"/>
            <w:vAlign w:val="center"/>
          </w:tcPr>
          <w:p>
            <w:pPr>
              <w:ind w:right="-29"/>
              <w:jc w:val="center"/>
              <w:rPr>
                <w:noProof/>
                <w:sz w:val="18"/>
                <w:szCs w:val="18"/>
              </w:rPr>
            </w:pPr>
            <w:r>
              <w:rPr>
                <w:noProof/>
                <w:sz w:val="18"/>
              </w:rPr>
              <w:t>År</w:t>
            </w:r>
            <w:r>
              <w:rPr>
                <w:noProof/>
                <w:sz w:val="22"/>
              </w:rPr>
              <w:br/>
            </w:r>
            <w:r>
              <w:rPr>
                <w:b/>
                <w:noProof/>
                <w:sz w:val="18"/>
              </w:rPr>
              <w:t>n + 3</w:t>
            </w:r>
          </w:p>
        </w:tc>
        <w:tc>
          <w:tcPr>
            <w:tcW w:w="3600" w:type="dxa"/>
            <w:gridSpan w:val="6"/>
            <w:vAlign w:val="center"/>
          </w:tcPr>
          <w:p>
            <w:pPr>
              <w:jc w:val="center"/>
              <w:rPr>
                <w:noProof/>
                <w:sz w:val="18"/>
                <w:szCs w:val="18"/>
              </w:rPr>
            </w:pPr>
            <w:r>
              <w:rPr>
                <w:noProof/>
                <w:sz w:val="18"/>
              </w:rPr>
              <w:t>Der indsættes flere år, hvis virkningerne varer længere (jf. punkt 1.6)</w:t>
            </w:r>
          </w:p>
        </w:tc>
        <w:tc>
          <w:tcPr>
            <w:tcW w:w="1620" w:type="dxa"/>
            <w:gridSpan w:val="2"/>
            <w:tcBorders>
              <w:left w:val="nil"/>
              <w:bottom w:val="nil"/>
            </w:tcBorders>
            <w:vAlign w:val="center"/>
          </w:tcPr>
          <w:p>
            <w:pPr>
              <w:ind w:right="-29"/>
              <w:jc w:val="center"/>
              <w:rPr>
                <w:noProof/>
                <w:sz w:val="18"/>
                <w:szCs w:val="18"/>
              </w:rPr>
            </w:pPr>
            <w:r>
              <w:rPr>
                <w:b/>
                <w:noProof/>
                <w:sz w:val="18"/>
              </w:rPr>
              <w:t>I ALT</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RESULTATER</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Type</w:t>
            </w:r>
            <w:r>
              <w:rPr>
                <w:rStyle w:val="FootnoteReference"/>
                <w:noProof/>
                <w:sz w:val="18"/>
              </w:rPr>
              <w:footnoteReference w:id="14"/>
            </w:r>
          </w:p>
          <w:p>
            <w:pPr>
              <w:spacing w:before="0" w:after="0"/>
              <w:jc w:val="center"/>
              <w:rPr>
                <w:noProof/>
                <w:sz w:val="18"/>
                <w:szCs w:val="18"/>
              </w:rPr>
            </w:pPr>
          </w:p>
        </w:tc>
        <w:tc>
          <w:tcPr>
            <w:tcW w:w="701" w:type="dxa"/>
            <w:vAlign w:val="center"/>
          </w:tcPr>
          <w:p>
            <w:pPr>
              <w:jc w:val="center"/>
              <w:rPr>
                <w:noProof/>
                <w:sz w:val="18"/>
                <w:szCs w:val="18"/>
              </w:rPr>
            </w:pPr>
            <w:r>
              <w:rPr>
                <w:noProof/>
                <w:sz w:val="18"/>
              </w:rPr>
              <w:t>Gnsntl. omkostninger</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Antal</w:t>
            </w:r>
          </w:p>
        </w:tc>
        <w:tc>
          <w:tcPr>
            <w:tcW w:w="720" w:type="dxa"/>
            <w:tcBorders>
              <w:left w:val="dashSmallGap" w:sz="4" w:space="0" w:color="auto"/>
            </w:tcBorders>
            <w:shd w:val="pct10" w:color="auto" w:fill="auto"/>
            <w:vAlign w:val="center"/>
          </w:tcPr>
          <w:p>
            <w:pPr>
              <w:jc w:val="center"/>
              <w:rPr>
                <w:noProof/>
                <w:sz w:val="18"/>
                <w:szCs w:val="18"/>
              </w:rPr>
            </w:pPr>
            <w:r>
              <w:rPr>
                <w:noProof/>
                <w:sz w:val="18"/>
              </w:rPr>
              <w:t>Om</w:t>
            </w:r>
            <w:r>
              <w:rPr>
                <w:noProof/>
              </w:rPr>
              <w:softHyphen/>
            </w:r>
            <w:r>
              <w:rPr>
                <w:noProof/>
                <w:sz w:val="18"/>
              </w:rPr>
              <w:t>kost</w:t>
            </w:r>
            <w:r>
              <w:rPr>
                <w:noProof/>
              </w:rPr>
              <w:softHyphen/>
            </w:r>
            <w:r>
              <w:rPr>
                <w:noProof/>
                <w:sz w:val="18"/>
              </w:rPr>
              <w:t>ninger</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Antal</w:t>
            </w:r>
          </w:p>
        </w:tc>
        <w:tc>
          <w:tcPr>
            <w:tcW w:w="720" w:type="dxa"/>
            <w:tcBorders>
              <w:left w:val="dashSmallGap" w:sz="4" w:space="0" w:color="auto"/>
            </w:tcBorders>
            <w:shd w:val="pct10" w:color="auto" w:fill="auto"/>
            <w:vAlign w:val="center"/>
          </w:tcPr>
          <w:p>
            <w:pPr>
              <w:jc w:val="center"/>
              <w:rPr>
                <w:noProof/>
                <w:sz w:val="18"/>
                <w:szCs w:val="18"/>
              </w:rPr>
            </w:pPr>
            <w:r>
              <w:rPr>
                <w:noProof/>
                <w:sz w:val="18"/>
              </w:rPr>
              <w:t>Om</w:t>
            </w:r>
            <w:r>
              <w:rPr>
                <w:noProof/>
              </w:rPr>
              <w:softHyphen/>
            </w:r>
            <w:r>
              <w:rPr>
                <w:noProof/>
                <w:sz w:val="18"/>
              </w:rPr>
              <w:t>kost</w:t>
            </w:r>
            <w:r>
              <w:rPr>
                <w:noProof/>
              </w:rPr>
              <w:softHyphen/>
            </w:r>
            <w:r>
              <w:rPr>
                <w:noProof/>
                <w:sz w:val="18"/>
              </w:rPr>
              <w:t>ninger</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Antal</w:t>
            </w:r>
          </w:p>
        </w:tc>
        <w:tc>
          <w:tcPr>
            <w:tcW w:w="720" w:type="dxa"/>
            <w:tcBorders>
              <w:left w:val="dashSmallGap" w:sz="4" w:space="0" w:color="auto"/>
            </w:tcBorders>
            <w:shd w:val="pct10" w:color="auto" w:fill="auto"/>
            <w:vAlign w:val="center"/>
          </w:tcPr>
          <w:p>
            <w:pPr>
              <w:jc w:val="center"/>
              <w:rPr>
                <w:noProof/>
                <w:sz w:val="18"/>
                <w:szCs w:val="18"/>
              </w:rPr>
            </w:pPr>
            <w:r>
              <w:rPr>
                <w:noProof/>
                <w:sz w:val="18"/>
              </w:rPr>
              <w:t>Om</w:t>
            </w:r>
            <w:r>
              <w:rPr>
                <w:noProof/>
              </w:rPr>
              <w:softHyphen/>
            </w:r>
            <w:r>
              <w:rPr>
                <w:noProof/>
                <w:sz w:val="18"/>
              </w:rPr>
              <w:t>kost</w:t>
            </w:r>
            <w:r>
              <w:rPr>
                <w:noProof/>
              </w:rPr>
              <w:softHyphen/>
            </w:r>
            <w:r>
              <w:rPr>
                <w:noProof/>
                <w:sz w:val="18"/>
              </w:rPr>
              <w:t>ninger</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Antal</w:t>
            </w:r>
          </w:p>
        </w:tc>
        <w:tc>
          <w:tcPr>
            <w:tcW w:w="720" w:type="dxa"/>
            <w:gridSpan w:val="2"/>
            <w:tcBorders>
              <w:left w:val="dashSmallGap" w:sz="4" w:space="0" w:color="auto"/>
            </w:tcBorders>
            <w:shd w:val="pct10" w:color="auto" w:fill="auto"/>
            <w:vAlign w:val="center"/>
          </w:tcPr>
          <w:p>
            <w:pPr>
              <w:jc w:val="center"/>
              <w:rPr>
                <w:noProof/>
                <w:sz w:val="18"/>
                <w:szCs w:val="18"/>
              </w:rPr>
            </w:pPr>
            <w:r>
              <w:rPr>
                <w:noProof/>
                <w:sz w:val="18"/>
              </w:rPr>
              <w:t>Om</w:t>
            </w:r>
            <w:r>
              <w:rPr>
                <w:noProof/>
              </w:rPr>
              <w:softHyphen/>
            </w:r>
            <w:r>
              <w:rPr>
                <w:noProof/>
                <w:sz w:val="18"/>
              </w:rPr>
              <w:t>kost</w:t>
            </w:r>
            <w:r>
              <w:rPr>
                <w:noProof/>
              </w:rPr>
              <w:softHyphen/>
            </w:r>
            <w:r>
              <w:rPr>
                <w:noProof/>
                <w:sz w:val="18"/>
              </w:rPr>
              <w:t>ninger</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Antal</w:t>
            </w:r>
          </w:p>
        </w:tc>
        <w:tc>
          <w:tcPr>
            <w:tcW w:w="648" w:type="dxa"/>
            <w:tcBorders>
              <w:left w:val="dashSmallGap" w:sz="4" w:space="0" w:color="auto"/>
            </w:tcBorders>
            <w:shd w:val="pct10" w:color="auto" w:fill="auto"/>
            <w:vAlign w:val="center"/>
          </w:tcPr>
          <w:p>
            <w:pPr>
              <w:jc w:val="center"/>
              <w:rPr>
                <w:noProof/>
                <w:sz w:val="18"/>
                <w:szCs w:val="18"/>
              </w:rPr>
            </w:pPr>
            <w:r>
              <w:rPr>
                <w:noProof/>
                <w:sz w:val="18"/>
              </w:rPr>
              <w:t>Om</w:t>
            </w:r>
            <w:r>
              <w:rPr>
                <w:noProof/>
              </w:rPr>
              <w:softHyphen/>
            </w:r>
            <w:r>
              <w:rPr>
                <w:noProof/>
                <w:sz w:val="18"/>
              </w:rPr>
              <w:t>kost</w:t>
            </w:r>
            <w:r>
              <w:rPr>
                <w:noProof/>
              </w:rPr>
              <w:softHyphen/>
            </w:r>
            <w:r>
              <w:rPr>
                <w:noProof/>
                <w:sz w:val="18"/>
              </w:rPr>
              <w:t>ninger</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Antal</w:t>
            </w:r>
          </w:p>
        </w:tc>
        <w:tc>
          <w:tcPr>
            <w:tcW w:w="720" w:type="dxa"/>
            <w:tcBorders>
              <w:left w:val="dashSmallGap" w:sz="4" w:space="0" w:color="auto"/>
            </w:tcBorders>
            <w:shd w:val="pct10" w:color="auto" w:fill="auto"/>
            <w:vAlign w:val="center"/>
          </w:tcPr>
          <w:p>
            <w:pPr>
              <w:jc w:val="center"/>
              <w:rPr>
                <w:noProof/>
                <w:sz w:val="18"/>
                <w:szCs w:val="18"/>
              </w:rPr>
            </w:pPr>
            <w:r>
              <w:rPr>
                <w:noProof/>
                <w:sz w:val="18"/>
              </w:rPr>
              <w:t>Om</w:t>
            </w:r>
            <w:r>
              <w:rPr>
                <w:noProof/>
              </w:rPr>
              <w:softHyphen/>
            </w:r>
            <w:r>
              <w:rPr>
                <w:noProof/>
                <w:sz w:val="18"/>
              </w:rPr>
              <w:t>kost</w:t>
            </w:r>
            <w:r>
              <w:rPr>
                <w:noProof/>
              </w:rPr>
              <w:softHyphen/>
            </w:r>
            <w:r>
              <w:rPr>
                <w:noProof/>
                <w:sz w:val="18"/>
              </w:rPr>
              <w:t>ninger</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Antal</w:t>
            </w:r>
          </w:p>
        </w:tc>
        <w:tc>
          <w:tcPr>
            <w:tcW w:w="720" w:type="dxa"/>
            <w:tcBorders>
              <w:left w:val="dashSmallGap" w:sz="4" w:space="0" w:color="auto"/>
            </w:tcBorders>
            <w:shd w:val="pct10" w:color="auto" w:fill="auto"/>
            <w:vAlign w:val="center"/>
          </w:tcPr>
          <w:p>
            <w:pPr>
              <w:jc w:val="center"/>
              <w:rPr>
                <w:noProof/>
                <w:sz w:val="18"/>
                <w:szCs w:val="18"/>
              </w:rPr>
            </w:pPr>
            <w:r>
              <w:rPr>
                <w:noProof/>
                <w:sz w:val="18"/>
              </w:rPr>
              <w:t>Om</w:t>
            </w:r>
            <w:r>
              <w:rPr>
                <w:noProof/>
              </w:rPr>
              <w:softHyphen/>
            </w:r>
            <w:r>
              <w:rPr>
                <w:noProof/>
                <w:sz w:val="18"/>
              </w:rPr>
              <w:t>kost</w:t>
            </w:r>
            <w:r>
              <w:rPr>
                <w:noProof/>
              </w:rPr>
              <w:softHyphen/>
            </w:r>
            <w:r>
              <w:rPr>
                <w:noProof/>
                <w:sz w:val="18"/>
              </w:rPr>
              <w:t>ninger</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Antal resul</w:t>
            </w:r>
            <w:r>
              <w:rPr>
                <w:noProof/>
              </w:rPr>
              <w:softHyphen/>
            </w:r>
            <w:r>
              <w:rPr>
                <w:noProof/>
                <w:sz w:val="18"/>
              </w:rPr>
              <w:t>tater i alt</w:t>
            </w:r>
          </w:p>
        </w:tc>
        <w:tc>
          <w:tcPr>
            <w:tcW w:w="900" w:type="dxa"/>
            <w:tcBorders>
              <w:left w:val="dashSmallGap" w:sz="4" w:space="0" w:color="auto"/>
            </w:tcBorders>
            <w:shd w:val="pct10" w:color="auto" w:fill="auto"/>
            <w:vAlign w:val="center"/>
          </w:tcPr>
          <w:p>
            <w:pPr>
              <w:jc w:val="center"/>
              <w:rPr>
                <w:noProof/>
                <w:sz w:val="18"/>
                <w:szCs w:val="18"/>
              </w:rPr>
            </w:pPr>
            <w:r>
              <w:rPr>
                <w:noProof/>
                <w:sz w:val="18"/>
              </w:rPr>
              <w:t>Om</w:t>
            </w:r>
            <w:r>
              <w:rPr>
                <w:noProof/>
              </w:rPr>
              <w:softHyphen/>
            </w:r>
            <w:r>
              <w:rPr>
                <w:noProof/>
                <w:sz w:val="18"/>
              </w:rPr>
              <w:t>kost</w:t>
            </w:r>
            <w:r>
              <w:rPr>
                <w:noProof/>
              </w:rPr>
              <w:softHyphen/>
            </w:r>
            <w:r>
              <w:rPr>
                <w:noProof/>
                <w:sz w:val="18"/>
              </w:rPr>
              <w:t>ninger i alt</w:t>
            </w:r>
          </w:p>
        </w:tc>
      </w:tr>
      <w:tr>
        <w:trPr>
          <w:jc w:val="center"/>
        </w:trPr>
        <w:tc>
          <w:tcPr>
            <w:tcW w:w="2844" w:type="dxa"/>
            <w:gridSpan w:val="3"/>
            <w:vAlign w:val="center"/>
          </w:tcPr>
          <w:p>
            <w:pPr>
              <w:spacing w:before="60" w:after="60"/>
              <w:ind w:right="-29"/>
              <w:jc w:val="center"/>
              <w:rPr>
                <w:noProof/>
                <w:sz w:val="18"/>
                <w:szCs w:val="18"/>
              </w:rPr>
            </w:pPr>
            <w:r>
              <w:rPr>
                <w:noProof/>
                <w:sz w:val="18"/>
              </w:rPr>
              <w:t>SPECIFIKT MÅL NR. 1</w:t>
            </w:r>
            <w:r>
              <w:rPr>
                <w:rStyle w:val="FootnoteReference"/>
                <w:noProof/>
                <w:sz w:val="18"/>
              </w:rPr>
              <w:footnoteReference w:id="15"/>
            </w:r>
            <w:r>
              <w:rPr>
                <w:noProof/>
                <w:sz w:val="18"/>
              </w:rPr>
              <w:t>...</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Resultat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Resultat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Resultat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szCs w:val="18"/>
                <w:lang w:val="nn-NO"/>
              </w:rPr>
            </w:pPr>
            <w:r>
              <w:rPr>
                <w:noProof/>
                <w:sz w:val="18"/>
                <w:lang w:val="nn-NO"/>
              </w:rPr>
              <w:t>Subtotal for specifikt mål nr. 1</w:t>
            </w:r>
          </w:p>
        </w:tc>
        <w:tc>
          <w:tcPr>
            <w:tcW w:w="504" w:type="dxa"/>
            <w:tcBorders>
              <w:bottom w:val="single" w:sz="12" w:space="0" w:color="auto"/>
            </w:tcBorders>
          </w:tcPr>
          <w:p>
            <w:pPr>
              <w:ind w:right="-29"/>
              <w:jc w:val="center"/>
              <w:rPr>
                <w:noProof/>
                <w:sz w:val="18"/>
                <w:szCs w:val="18"/>
                <w:lang w:val="nn-NO"/>
              </w:rPr>
            </w:pPr>
          </w:p>
        </w:tc>
        <w:tc>
          <w:tcPr>
            <w:tcW w:w="720" w:type="dxa"/>
            <w:tcBorders>
              <w:bottom w:val="single" w:sz="12" w:space="0" w:color="auto"/>
            </w:tcBorders>
          </w:tcPr>
          <w:p>
            <w:pPr>
              <w:ind w:right="-29"/>
              <w:jc w:val="center"/>
              <w:rPr>
                <w:noProof/>
                <w:sz w:val="18"/>
                <w:szCs w:val="18"/>
                <w:lang w:val="nn-NO"/>
              </w:rPr>
            </w:pPr>
          </w:p>
        </w:tc>
        <w:tc>
          <w:tcPr>
            <w:tcW w:w="540" w:type="dxa"/>
            <w:tcBorders>
              <w:bottom w:val="single" w:sz="12" w:space="0" w:color="auto"/>
            </w:tcBorders>
          </w:tcPr>
          <w:p>
            <w:pPr>
              <w:ind w:right="-29"/>
              <w:jc w:val="center"/>
              <w:rPr>
                <w:noProof/>
                <w:sz w:val="18"/>
                <w:szCs w:val="18"/>
                <w:lang w:val="nn-NO"/>
              </w:rPr>
            </w:pPr>
          </w:p>
        </w:tc>
        <w:tc>
          <w:tcPr>
            <w:tcW w:w="720" w:type="dxa"/>
            <w:tcBorders>
              <w:bottom w:val="single" w:sz="12" w:space="0" w:color="auto"/>
            </w:tcBorders>
          </w:tcPr>
          <w:p>
            <w:pPr>
              <w:ind w:right="-29"/>
              <w:jc w:val="center"/>
              <w:rPr>
                <w:noProof/>
                <w:sz w:val="18"/>
                <w:szCs w:val="18"/>
                <w:lang w:val="nn-NO"/>
              </w:rPr>
            </w:pPr>
          </w:p>
        </w:tc>
        <w:tc>
          <w:tcPr>
            <w:tcW w:w="720" w:type="dxa"/>
            <w:tcBorders>
              <w:bottom w:val="single" w:sz="12" w:space="0" w:color="auto"/>
            </w:tcBorders>
          </w:tcPr>
          <w:p>
            <w:pPr>
              <w:ind w:right="-29"/>
              <w:jc w:val="center"/>
              <w:rPr>
                <w:noProof/>
                <w:sz w:val="18"/>
                <w:szCs w:val="18"/>
                <w:lang w:val="nn-NO"/>
              </w:rPr>
            </w:pPr>
          </w:p>
        </w:tc>
        <w:tc>
          <w:tcPr>
            <w:tcW w:w="720" w:type="dxa"/>
            <w:tcBorders>
              <w:bottom w:val="single" w:sz="12" w:space="0" w:color="auto"/>
            </w:tcBorders>
          </w:tcPr>
          <w:p>
            <w:pPr>
              <w:ind w:right="-29"/>
              <w:jc w:val="center"/>
              <w:rPr>
                <w:noProof/>
                <w:sz w:val="18"/>
                <w:szCs w:val="18"/>
                <w:lang w:val="nn-NO"/>
              </w:rPr>
            </w:pPr>
          </w:p>
        </w:tc>
        <w:tc>
          <w:tcPr>
            <w:tcW w:w="900" w:type="dxa"/>
            <w:tcBorders>
              <w:bottom w:val="single" w:sz="12" w:space="0" w:color="auto"/>
            </w:tcBorders>
          </w:tcPr>
          <w:p>
            <w:pPr>
              <w:ind w:right="-29"/>
              <w:jc w:val="center"/>
              <w:rPr>
                <w:noProof/>
                <w:sz w:val="18"/>
                <w:szCs w:val="18"/>
                <w:lang w:val="nn-NO"/>
              </w:rPr>
            </w:pPr>
          </w:p>
        </w:tc>
        <w:tc>
          <w:tcPr>
            <w:tcW w:w="720" w:type="dxa"/>
            <w:gridSpan w:val="2"/>
            <w:tcBorders>
              <w:bottom w:val="single" w:sz="12" w:space="0" w:color="auto"/>
            </w:tcBorders>
          </w:tcPr>
          <w:p>
            <w:pPr>
              <w:ind w:right="-29"/>
              <w:jc w:val="center"/>
              <w:rPr>
                <w:noProof/>
                <w:sz w:val="18"/>
                <w:szCs w:val="18"/>
                <w:lang w:val="nn-NO"/>
              </w:rPr>
            </w:pPr>
          </w:p>
        </w:tc>
        <w:tc>
          <w:tcPr>
            <w:tcW w:w="540" w:type="dxa"/>
            <w:tcBorders>
              <w:bottom w:val="single" w:sz="12" w:space="0" w:color="auto"/>
            </w:tcBorders>
          </w:tcPr>
          <w:p>
            <w:pPr>
              <w:ind w:right="-29"/>
              <w:jc w:val="center"/>
              <w:rPr>
                <w:noProof/>
                <w:sz w:val="18"/>
                <w:szCs w:val="18"/>
                <w:lang w:val="nn-NO"/>
              </w:rPr>
            </w:pPr>
          </w:p>
        </w:tc>
        <w:tc>
          <w:tcPr>
            <w:tcW w:w="648" w:type="dxa"/>
            <w:tcBorders>
              <w:bottom w:val="single" w:sz="12" w:space="0" w:color="auto"/>
            </w:tcBorders>
          </w:tcPr>
          <w:p>
            <w:pPr>
              <w:ind w:right="-29"/>
              <w:jc w:val="center"/>
              <w:rPr>
                <w:noProof/>
                <w:sz w:val="18"/>
                <w:szCs w:val="18"/>
                <w:lang w:val="nn-NO"/>
              </w:rPr>
            </w:pPr>
          </w:p>
        </w:tc>
        <w:tc>
          <w:tcPr>
            <w:tcW w:w="432" w:type="dxa"/>
            <w:tcBorders>
              <w:bottom w:val="single" w:sz="12" w:space="0" w:color="auto"/>
            </w:tcBorders>
          </w:tcPr>
          <w:p>
            <w:pPr>
              <w:ind w:right="-29"/>
              <w:jc w:val="center"/>
              <w:rPr>
                <w:noProof/>
                <w:sz w:val="18"/>
                <w:szCs w:val="18"/>
                <w:lang w:val="nn-NO"/>
              </w:rPr>
            </w:pPr>
          </w:p>
        </w:tc>
        <w:tc>
          <w:tcPr>
            <w:tcW w:w="720" w:type="dxa"/>
            <w:tcBorders>
              <w:bottom w:val="single" w:sz="12" w:space="0" w:color="auto"/>
            </w:tcBorders>
          </w:tcPr>
          <w:p>
            <w:pPr>
              <w:ind w:right="-29"/>
              <w:jc w:val="center"/>
              <w:rPr>
                <w:noProof/>
                <w:sz w:val="18"/>
                <w:szCs w:val="18"/>
                <w:lang w:val="nn-NO"/>
              </w:rPr>
            </w:pPr>
          </w:p>
        </w:tc>
        <w:tc>
          <w:tcPr>
            <w:tcW w:w="540" w:type="dxa"/>
            <w:tcBorders>
              <w:bottom w:val="single" w:sz="12" w:space="0" w:color="auto"/>
            </w:tcBorders>
          </w:tcPr>
          <w:p>
            <w:pPr>
              <w:ind w:right="-29"/>
              <w:jc w:val="center"/>
              <w:rPr>
                <w:noProof/>
                <w:sz w:val="18"/>
                <w:szCs w:val="18"/>
                <w:lang w:val="nn-NO"/>
              </w:rPr>
            </w:pPr>
          </w:p>
        </w:tc>
        <w:tc>
          <w:tcPr>
            <w:tcW w:w="720" w:type="dxa"/>
            <w:tcBorders>
              <w:bottom w:val="single" w:sz="12" w:space="0" w:color="auto"/>
            </w:tcBorders>
          </w:tcPr>
          <w:p>
            <w:pPr>
              <w:ind w:right="-29"/>
              <w:jc w:val="center"/>
              <w:rPr>
                <w:noProof/>
                <w:sz w:val="18"/>
                <w:szCs w:val="18"/>
                <w:lang w:val="nn-NO"/>
              </w:rPr>
            </w:pPr>
          </w:p>
        </w:tc>
        <w:tc>
          <w:tcPr>
            <w:tcW w:w="720" w:type="dxa"/>
            <w:tcBorders>
              <w:bottom w:val="single" w:sz="12" w:space="0" w:color="auto"/>
            </w:tcBorders>
          </w:tcPr>
          <w:p>
            <w:pPr>
              <w:ind w:right="-29"/>
              <w:jc w:val="center"/>
              <w:rPr>
                <w:noProof/>
                <w:sz w:val="18"/>
                <w:szCs w:val="18"/>
                <w:lang w:val="nn-NO"/>
              </w:rPr>
            </w:pPr>
          </w:p>
        </w:tc>
        <w:tc>
          <w:tcPr>
            <w:tcW w:w="900" w:type="dxa"/>
            <w:tcBorders>
              <w:bottom w:val="single" w:sz="12" w:space="0" w:color="auto"/>
            </w:tcBorders>
          </w:tcPr>
          <w:p>
            <w:pPr>
              <w:ind w:right="-29"/>
              <w:jc w:val="center"/>
              <w:rPr>
                <w:noProof/>
                <w:sz w:val="18"/>
                <w:szCs w:val="18"/>
                <w:lang w:val="nn-NO"/>
              </w:rPr>
            </w:pPr>
          </w:p>
        </w:tc>
      </w:tr>
      <w:tr>
        <w:trPr>
          <w:jc w:val="center"/>
        </w:trPr>
        <w:tc>
          <w:tcPr>
            <w:tcW w:w="2844" w:type="dxa"/>
            <w:gridSpan w:val="3"/>
            <w:vAlign w:val="center"/>
          </w:tcPr>
          <w:p>
            <w:pPr>
              <w:spacing w:before="60" w:after="60"/>
              <w:ind w:right="-29"/>
              <w:jc w:val="center"/>
              <w:rPr>
                <w:noProof/>
                <w:sz w:val="18"/>
                <w:szCs w:val="18"/>
              </w:rPr>
            </w:pPr>
            <w:r>
              <w:rPr>
                <w:noProof/>
                <w:sz w:val="18"/>
              </w:rPr>
              <w:t>SPECIFIKT MÅL NR. 2</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Resultat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szCs w:val="18"/>
                <w:lang w:val="nn-NO"/>
              </w:rPr>
            </w:pPr>
            <w:r>
              <w:rPr>
                <w:noProof/>
                <w:sz w:val="18"/>
                <w:lang w:val="nn-NO"/>
              </w:rPr>
              <w:t>Subtotal for specifikt mål nr. 2</w:t>
            </w:r>
          </w:p>
        </w:tc>
        <w:tc>
          <w:tcPr>
            <w:tcW w:w="504" w:type="dxa"/>
            <w:tcBorders>
              <w:bottom w:val="single" w:sz="12" w:space="0" w:color="auto"/>
            </w:tcBorders>
          </w:tcPr>
          <w:p>
            <w:pPr>
              <w:ind w:right="-29"/>
              <w:jc w:val="center"/>
              <w:rPr>
                <w:noProof/>
                <w:sz w:val="18"/>
                <w:szCs w:val="18"/>
                <w:lang w:val="nn-NO"/>
              </w:rPr>
            </w:pPr>
          </w:p>
        </w:tc>
        <w:tc>
          <w:tcPr>
            <w:tcW w:w="720" w:type="dxa"/>
            <w:tcBorders>
              <w:bottom w:val="single" w:sz="12" w:space="0" w:color="auto"/>
            </w:tcBorders>
          </w:tcPr>
          <w:p>
            <w:pPr>
              <w:ind w:right="-29"/>
              <w:jc w:val="center"/>
              <w:rPr>
                <w:noProof/>
                <w:sz w:val="18"/>
                <w:szCs w:val="18"/>
                <w:lang w:val="nn-NO"/>
              </w:rPr>
            </w:pPr>
          </w:p>
        </w:tc>
        <w:tc>
          <w:tcPr>
            <w:tcW w:w="540" w:type="dxa"/>
            <w:tcBorders>
              <w:bottom w:val="single" w:sz="12" w:space="0" w:color="auto"/>
            </w:tcBorders>
          </w:tcPr>
          <w:p>
            <w:pPr>
              <w:ind w:right="-29"/>
              <w:jc w:val="center"/>
              <w:rPr>
                <w:noProof/>
                <w:sz w:val="18"/>
                <w:szCs w:val="18"/>
                <w:lang w:val="nn-NO"/>
              </w:rPr>
            </w:pPr>
          </w:p>
        </w:tc>
        <w:tc>
          <w:tcPr>
            <w:tcW w:w="720" w:type="dxa"/>
            <w:tcBorders>
              <w:bottom w:val="single" w:sz="12" w:space="0" w:color="auto"/>
            </w:tcBorders>
          </w:tcPr>
          <w:p>
            <w:pPr>
              <w:ind w:right="-29"/>
              <w:jc w:val="center"/>
              <w:rPr>
                <w:noProof/>
                <w:sz w:val="18"/>
                <w:szCs w:val="18"/>
                <w:lang w:val="nn-NO"/>
              </w:rPr>
            </w:pPr>
          </w:p>
        </w:tc>
        <w:tc>
          <w:tcPr>
            <w:tcW w:w="720" w:type="dxa"/>
            <w:tcBorders>
              <w:bottom w:val="single" w:sz="12" w:space="0" w:color="auto"/>
            </w:tcBorders>
          </w:tcPr>
          <w:p>
            <w:pPr>
              <w:ind w:right="-29"/>
              <w:jc w:val="center"/>
              <w:rPr>
                <w:noProof/>
                <w:sz w:val="18"/>
                <w:szCs w:val="18"/>
                <w:lang w:val="nn-NO"/>
              </w:rPr>
            </w:pPr>
          </w:p>
        </w:tc>
        <w:tc>
          <w:tcPr>
            <w:tcW w:w="720" w:type="dxa"/>
            <w:tcBorders>
              <w:bottom w:val="single" w:sz="12" w:space="0" w:color="auto"/>
            </w:tcBorders>
          </w:tcPr>
          <w:p>
            <w:pPr>
              <w:ind w:right="-29"/>
              <w:jc w:val="center"/>
              <w:rPr>
                <w:noProof/>
                <w:sz w:val="18"/>
                <w:szCs w:val="18"/>
                <w:lang w:val="nn-NO"/>
              </w:rPr>
            </w:pPr>
          </w:p>
        </w:tc>
        <w:tc>
          <w:tcPr>
            <w:tcW w:w="951" w:type="dxa"/>
            <w:gridSpan w:val="2"/>
            <w:tcBorders>
              <w:bottom w:val="single" w:sz="12" w:space="0" w:color="auto"/>
            </w:tcBorders>
          </w:tcPr>
          <w:p>
            <w:pPr>
              <w:ind w:right="-29"/>
              <w:jc w:val="center"/>
              <w:rPr>
                <w:noProof/>
                <w:sz w:val="18"/>
                <w:szCs w:val="18"/>
                <w:lang w:val="nn-NO"/>
              </w:rPr>
            </w:pPr>
          </w:p>
        </w:tc>
        <w:tc>
          <w:tcPr>
            <w:tcW w:w="669" w:type="dxa"/>
            <w:tcBorders>
              <w:bottom w:val="single" w:sz="12" w:space="0" w:color="auto"/>
            </w:tcBorders>
          </w:tcPr>
          <w:p>
            <w:pPr>
              <w:ind w:right="-29"/>
              <w:jc w:val="center"/>
              <w:rPr>
                <w:noProof/>
                <w:sz w:val="18"/>
                <w:szCs w:val="18"/>
                <w:lang w:val="nn-NO"/>
              </w:rPr>
            </w:pPr>
          </w:p>
        </w:tc>
        <w:tc>
          <w:tcPr>
            <w:tcW w:w="540" w:type="dxa"/>
            <w:tcBorders>
              <w:bottom w:val="single" w:sz="12" w:space="0" w:color="auto"/>
            </w:tcBorders>
          </w:tcPr>
          <w:p>
            <w:pPr>
              <w:ind w:right="-29"/>
              <w:jc w:val="center"/>
              <w:rPr>
                <w:noProof/>
                <w:sz w:val="18"/>
                <w:szCs w:val="18"/>
                <w:lang w:val="nn-NO"/>
              </w:rPr>
            </w:pPr>
          </w:p>
        </w:tc>
        <w:tc>
          <w:tcPr>
            <w:tcW w:w="648" w:type="dxa"/>
            <w:tcBorders>
              <w:bottom w:val="single" w:sz="12" w:space="0" w:color="auto"/>
            </w:tcBorders>
          </w:tcPr>
          <w:p>
            <w:pPr>
              <w:ind w:right="-29"/>
              <w:jc w:val="center"/>
              <w:rPr>
                <w:noProof/>
                <w:sz w:val="18"/>
                <w:szCs w:val="18"/>
                <w:lang w:val="nn-NO"/>
              </w:rPr>
            </w:pPr>
          </w:p>
        </w:tc>
        <w:tc>
          <w:tcPr>
            <w:tcW w:w="432" w:type="dxa"/>
            <w:tcBorders>
              <w:bottom w:val="single" w:sz="12" w:space="0" w:color="auto"/>
            </w:tcBorders>
          </w:tcPr>
          <w:p>
            <w:pPr>
              <w:ind w:right="-29"/>
              <w:jc w:val="center"/>
              <w:rPr>
                <w:noProof/>
                <w:sz w:val="18"/>
                <w:szCs w:val="18"/>
                <w:lang w:val="nn-NO"/>
              </w:rPr>
            </w:pPr>
          </w:p>
        </w:tc>
        <w:tc>
          <w:tcPr>
            <w:tcW w:w="720" w:type="dxa"/>
            <w:tcBorders>
              <w:bottom w:val="single" w:sz="12" w:space="0" w:color="auto"/>
            </w:tcBorders>
          </w:tcPr>
          <w:p>
            <w:pPr>
              <w:ind w:right="-29"/>
              <w:jc w:val="center"/>
              <w:rPr>
                <w:noProof/>
                <w:sz w:val="18"/>
                <w:szCs w:val="18"/>
                <w:lang w:val="nn-NO"/>
              </w:rPr>
            </w:pPr>
          </w:p>
        </w:tc>
        <w:tc>
          <w:tcPr>
            <w:tcW w:w="540" w:type="dxa"/>
            <w:tcBorders>
              <w:bottom w:val="single" w:sz="12" w:space="0" w:color="auto"/>
            </w:tcBorders>
          </w:tcPr>
          <w:p>
            <w:pPr>
              <w:ind w:right="-29"/>
              <w:jc w:val="center"/>
              <w:rPr>
                <w:noProof/>
                <w:sz w:val="18"/>
                <w:szCs w:val="18"/>
                <w:lang w:val="nn-NO"/>
              </w:rPr>
            </w:pPr>
          </w:p>
        </w:tc>
        <w:tc>
          <w:tcPr>
            <w:tcW w:w="720" w:type="dxa"/>
            <w:tcBorders>
              <w:bottom w:val="single" w:sz="12" w:space="0" w:color="auto"/>
            </w:tcBorders>
          </w:tcPr>
          <w:p>
            <w:pPr>
              <w:ind w:right="-29"/>
              <w:jc w:val="center"/>
              <w:rPr>
                <w:noProof/>
                <w:sz w:val="18"/>
                <w:szCs w:val="18"/>
                <w:lang w:val="nn-NO"/>
              </w:rPr>
            </w:pPr>
          </w:p>
        </w:tc>
        <w:tc>
          <w:tcPr>
            <w:tcW w:w="720" w:type="dxa"/>
            <w:tcBorders>
              <w:bottom w:val="single" w:sz="12" w:space="0" w:color="auto"/>
            </w:tcBorders>
          </w:tcPr>
          <w:p>
            <w:pPr>
              <w:ind w:right="-29"/>
              <w:jc w:val="center"/>
              <w:rPr>
                <w:noProof/>
                <w:sz w:val="18"/>
                <w:szCs w:val="18"/>
                <w:lang w:val="nn-NO"/>
              </w:rPr>
            </w:pPr>
          </w:p>
        </w:tc>
        <w:tc>
          <w:tcPr>
            <w:tcW w:w="900" w:type="dxa"/>
            <w:tcBorders>
              <w:bottom w:val="single" w:sz="12" w:space="0" w:color="auto"/>
            </w:tcBorders>
          </w:tcPr>
          <w:p>
            <w:pPr>
              <w:ind w:right="-29"/>
              <w:jc w:val="center"/>
              <w:rPr>
                <w:noProof/>
                <w:sz w:val="18"/>
                <w:szCs w:val="18"/>
                <w:lang w:val="nn-NO"/>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I ALT</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tcBorders>
          </w:tcPr>
          <w:p>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p>
        </w:tc>
      </w:tr>
    </w:tbl>
    <w:p>
      <w:pPr>
        <w:rPr>
          <w:noProof/>
        </w:rPr>
        <w:sectPr>
          <w:headerReference w:type="default" r:id="rId23"/>
          <w:footerReference w:type="default" r:id="rId24"/>
          <w:headerReference w:type="first" r:id="rId25"/>
          <w:footerReference w:type="first" r:id="rId26"/>
          <w:pgSz w:w="16840" w:h="11907" w:orient="landscape" w:code="9"/>
          <w:pgMar w:top="1134" w:right="1418" w:bottom="567" w:left="1418" w:header="709" w:footer="709" w:gutter="0"/>
          <w:cols w:space="708"/>
          <w:docGrid w:linePitch="360"/>
        </w:sectPr>
      </w:pPr>
    </w:p>
    <w:p>
      <w:pPr>
        <w:pStyle w:val="ManualHeading3"/>
        <w:rPr>
          <w:bCs/>
          <w:noProof/>
          <w:szCs w:val="24"/>
        </w:rPr>
      </w:pPr>
      <w:bookmarkStart w:id="47" w:name="_Toc514938055"/>
      <w:bookmarkStart w:id="48" w:name="_Toc520485054"/>
      <w:r>
        <w:lastRenderedPageBreak/>
        <w:t>3.2.3.</w:t>
      </w:r>
      <w:r>
        <w:tab/>
      </w:r>
      <w:r>
        <w:rPr>
          <w:noProof/>
        </w:rPr>
        <w:t>Sammenfatning af de anslåede virkninger for administrationsbevillingerne</w:t>
      </w:r>
      <w:bookmarkEnd w:id="47"/>
      <w:bookmarkEnd w:id="48"/>
      <w:r>
        <w:rPr>
          <w:noProof/>
        </w:rPr>
        <w:t xml:space="preserve"> </w:t>
      </w:r>
    </w:p>
    <w:p>
      <w:pPr>
        <w:pStyle w:val="ListDash1"/>
        <w:rPr>
          <w:noProof/>
        </w:rPr>
      </w:pPr>
      <w:r>
        <w:rPr>
          <w:noProof/>
        </w:rPr>
        <w:sym w:font="Wingdings" w:char="F0A8"/>
      </w:r>
      <w:r>
        <w:rPr>
          <w:noProof/>
        </w:rPr>
        <w:tab/>
        <w:t xml:space="preserve">Forslaget/initiativet medfører ikke anvendelse af administrationsbevillinger </w:t>
      </w:r>
    </w:p>
    <w:p>
      <w:pPr>
        <w:pStyle w:val="ListDash1"/>
        <w:rPr>
          <w:noProof/>
        </w:rPr>
      </w:pPr>
      <w:r>
        <w:rPr>
          <w:noProof/>
        </w:rPr>
        <w:sym w:font="Wingdings" w:char="F0A8"/>
      </w:r>
      <w:r>
        <w:rPr>
          <w:noProof/>
        </w:rPr>
        <w:tab/>
        <w:t>Forslaget/initiativet medfører anvendelse af administrationsbevillinger som anført herunder:</w:t>
      </w:r>
    </w:p>
    <w:p>
      <w:pPr>
        <w:jc w:val="right"/>
        <w:rPr>
          <w:noProof/>
          <w:sz w:val="20"/>
          <w:lang w:val="it-IT"/>
        </w:rPr>
      </w:pPr>
      <w:r>
        <w:rPr>
          <w:noProof/>
          <w:sz w:val="20"/>
          <w:lang w:val="it-IT"/>
        </w:rPr>
        <w:t>i mio. EUR (tre decimaler)</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noProof/>
                <w:sz w:val="16"/>
                <w:szCs w:val="16"/>
                <w:lang w:val="it-IT"/>
              </w:rPr>
            </w:pPr>
          </w:p>
        </w:tc>
        <w:tc>
          <w:tcPr>
            <w:tcW w:w="1080" w:type="dxa"/>
            <w:vAlign w:val="center"/>
          </w:tcPr>
          <w:p>
            <w:pPr>
              <w:spacing w:before="60" w:after="60" w:line="200" w:lineRule="exact"/>
              <w:jc w:val="center"/>
              <w:rPr>
                <w:noProof/>
                <w:sz w:val="16"/>
                <w:szCs w:val="16"/>
              </w:rPr>
            </w:pPr>
            <w:r>
              <w:rPr>
                <w:noProof/>
                <w:sz w:val="16"/>
              </w:rPr>
              <w:t>År</w:t>
            </w:r>
            <w:r>
              <w:rPr>
                <w:noProof/>
                <w:sz w:val="22"/>
              </w:rPr>
              <w:br/>
            </w:r>
            <w:r>
              <w:rPr>
                <w:b/>
                <w:noProof/>
                <w:sz w:val="16"/>
              </w:rPr>
              <w:t>n</w:t>
            </w:r>
            <w:r>
              <w:rPr>
                <w:rStyle w:val="FootnoteReference"/>
                <w:b/>
                <w:noProof/>
                <w:sz w:val="16"/>
              </w:rPr>
              <w:footnoteReference w:id="16"/>
            </w:r>
          </w:p>
        </w:tc>
        <w:tc>
          <w:tcPr>
            <w:tcW w:w="1080" w:type="dxa"/>
            <w:vAlign w:val="center"/>
          </w:tcPr>
          <w:p>
            <w:pPr>
              <w:spacing w:before="60" w:after="60" w:line="200" w:lineRule="exact"/>
              <w:jc w:val="center"/>
              <w:rPr>
                <w:noProof/>
                <w:sz w:val="16"/>
                <w:szCs w:val="16"/>
              </w:rPr>
            </w:pPr>
            <w:r>
              <w:rPr>
                <w:noProof/>
                <w:sz w:val="16"/>
              </w:rPr>
              <w:t>År</w:t>
            </w:r>
            <w:r>
              <w:rPr>
                <w:noProof/>
                <w:sz w:val="22"/>
              </w:rPr>
              <w:br/>
            </w:r>
            <w:r>
              <w:rPr>
                <w:b/>
                <w:noProof/>
                <w:sz w:val="16"/>
              </w:rPr>
              <w:t>n + 1</w:t>
            </w:r>
          </w:p>
        </w:tc>
        <w:tc>
          <w:tcPr>
            <w:tcW w:w="1080" w:type="dxa"/>
            <w:vAlign w:val="center"/>
          </w:tcPr>
          <w:p>
            <w:pPr>
              <w:spacing w:before="60" w:after="60" w:line="200" w:lineRule="exact"/>
              <w:jc w:val="center"/>
              <w:rPr>
                <w:noProof/>
                <w:sz w:val="16"/>
                <w:szCs w:val="16"/>
              </w:rPr>
            </w:pPr>
            <w:r>
              <w:rPr>
                <w:noProof/>
                <w:sz w:val="16"/>
              </w:rPr>
              <w:t>År</w:t>
            </w:r>
            <w:r>
              <w:rPr>
                <w:noProof/>
                <w:sz w:val="22"/>
              </w:rPr>
              <w:br/>
            </w:r>
            <w:r>
              <w:rPr>
                <w:b/>
                <w:noProof/>
                <w:sz w:val="16"/>
              </w:rPr>
              <w:t>n + 2</w:t>
            </w:r>
          </w:p>
        </w:tc>
        <w:tc>
          <w:tcPr>
            <w:tcW w:w="1080" w:type="dxa"/>
            <w:vAlign w:val="center"/>
          </w:tcPr>
          <w:p>
            <w:pPr>
              <w:spacing w:before="60" w:after="60" w:line="200" w:lineRule="exact"/>
              <w:jc w:val="center"/>
              <w:rPr>
                <w:noProof/>
                <w:sz w:val="16"/>
                <w:szCs w:val="16"/>
              </w:rPr>
            </w:pPr>
            <w:r>
              <w:rPr>
                <w:noProof/>
                <w:sz w:val="16"/>
              </w:rPr>
              <w:t>År</w:t>
            </w:r>
            <w:r>
              <w:rPr>
                <w:noProof/>
                <w:sz w:val="22"/>
              </w:rPr>
              <w:br/>
            </w:r>
            <w:r>
              <w:rPr>
                <w:b/>
                <w:noProof/>
                <w:sz w:val="16"/>
              </w:rPr>
              <w:t>n + 3</w:t>
            </w:r>
          </w:p>
        </w:tc>
        <w:tc>
          <w:tcPr>
            <w:tcW w:w="3240" w:type="dxa"/>
            <w:vAlign w:val="center"/>
          </w:tcPr>
          <w:p>
            <w:pPr>
              <w:spacing w:line="200" w:lineRule="exact"/>
              <w:jc w:val="center"/>
              <w:rPr>
                <w:b/>
                <w:noProof/>
                <w:sz w:val="16"/>
                <w:szCs w:val="16"/>
              </w:rPr>
            </w:pPr>
            <w:r>
              <w:rPr>
                <w:noProof/>
                <w:sz w:val="16"/>
              </w:rPr>
              <w:t>Der indsættes flere år, hvis virkningerne varer længere (jf. punkt 1.6)</w:t>
            </w:r>
          </w:p>
        </w:tc>
        <w:tc>
          <w:tcPr>
            <w:tcW w:w="1080" w:type="dxa"/>
            <w:vAlign w:val="center"/>
          </w:tcPr>
          <w:p>
            <w:pPr>
              <w:spacing w:before="60" w:after="60" w:line="200" w:lineRule="exact"/>
              <w:jc w:val="center"/>
              <w:rPr>
                <w:b/>
                <w:noProof/>
                <w:sz w:val="16"/>
                <w:szCs w:val="16"/>
              </w:rPr>
            </w:pPr>
            <w:r>
              <w:rPr>
                <w:b/>
                <w:noProof/>
                <w:sz w:val="16"/>
              </w:rPr>
              <w:t>I ALT</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UDGIFTSOMRÅDE 5</w:t>
            </w:r>
            <w:r>
              <w:rPr>
                <w:noProof/>
                <w:sz w:val="22"/>
              </w:rPr>
              <w:br/>
            </w:r>
            <w:r>
              <w:rPr>
                <w:b/>
                <w:noProof/>
                <w:sz w:val="16"/>
              </w:rPr>
              <w:t>i den flerårige finansielle ramme</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Menneskelige ressourcer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Andre administrationsudgifter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Subtotal UDGIFTSOMRÅDE 5</w:t>
            </w:r>
            <w:r>
              <w:rPr>
                <w:noProof/>
                <w:sz w:val="22"/>
              </w:rPr>
              <w:br/>
            </w:r>
            <w:r>
              <w:rPr>
                <w:b/>
                <w:noProof/>
                <w:sz w:val="16"/>
              </w:rPr>
              <w:t xml:space="preserve">i den flerårige finansielle ramme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Uden for UDGIFTSOMRÅDE 5</w:t>
            </w:r>
            <w:r>
              <w:rPr>
                <w:rStyle w:val="FootnoteReference"/>
                <w:b/>
                <w:noProof/>
                <w:sz w:val="16"/>
              </w:rPr>
              <w:footnoteReference w:id="17"/>
            </w:r>
            <w:r>
              <w:rPr>
                <w:noProof/>
                <w:sz w:val="22"/>
              </w:rPr>
              <w:br/>
            </w:r>
            <w:r>
              <w:rPr>
                <w:b/>
                <w:noProof/>
                <w:sz w:val="16"/>
              </w:rPr>
              <w:t xml:space="preserve">i den flerårige finansielle ramme </w:t>
            </w:r>
          </w:p>
          <w:p>
            <w:pPr>
              <w:spacing w:before="0" w:after="0" w:line="200" w:lineRule="exact"/>
              <w:jc w:val="center"/>
              <w:rPr>
                <w:b/>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Menneskelige ressourcer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Andre udgifter </w:t>
            </w:r>
            <w:r>
              <w:rPr>
                <w:noProof/>
                <w:sz w:val="22"/>
              </w:rPr>
              <w:br/>
            </w:r>
            <w:r>
              <w:rPr>
                <w:noProof/>
                <w:sz w:val="16"/>
              </w:rPr>
              <w:t>af administrativ art</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Subtotal </w:t>
            </w:r>
            <w:r>
              <w:rPr>
                <w:noProof/>
                <w:sz w:val="22"/>
              </w:rPr>
              <w:br/>
            </w:r>
            <w:r>
              <w:rPr>
                <w:b/>
                <w:noProof/>
                <w:sz w:val="16"/>
              </w:rPr>
              <w:t>uden for UDGIFTSOMRÅDE 5</w:t>
            </w:r>
            <w:r>
              <w:rPr>
                <w:noProof/>
                <w:sz w:val="22"/>
              </w:rPr>
              <w:br/>
            </w:r>
            <w:r>
              <w:rPr>
                <w:b/>
                <w:noProof/>
                <w:sz w:val="16"/>
              </w:rPr>
              <w:t xml:space="preserve">i den flerårige finansielle ramme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I ALT</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b/>
                <w:noProof/>
                <w:sz w:val="16"/>
                <w:szCs w:val="16"/>
              </w:rPr>
            </w:pPr>
          </w:p>
        </w:tc>
      </w:tr>
    </w:tbl>
    <w:p>
      <w:pPr>
        <w:rPr>
          <w:noProof/>
          <w:sz w:val="18"/>
        </w:rPr>
      </w:pPr>
      <w:r>
        <w:rPr>
          <w:noProof/>
          <w:sz w:val="18"/>
        </w:rPr>
        <w:t>Bevillingerne til menneskelige ressourcer og andre administrationsudgifter vil blive dækket ved hjælp af de bevillinger, der i forvejen er afsat til generaldirektoratets forvaltning af aktionen, og/eller ved intern omfordeling i generaldirektoratet, eventuelt suppleret med yderligere bevillinger, som tildeles det ansvarlige generaldirektorat i forbindelse med den årlige tildelingsprocedure under hensyntagen til de budgetmæssige begrænsninger.</w:t>
      </w:r>
    </w:p>
    <w:p>
      <w:pPr>
        <w:rPr>
          <w:noProof/>
          <w:sz w:val="18"/>
        </w:rPr>
        <w:sectPr>
          <w:headerReference w:type="default" r:id="rId27"/>
          <w:footerReference w:type="default" r:id="rId28"/>
          <w:headerReference w:type="first" r:id="rId29"/>
          <w:footerReference w:type="first" r:id="rId30"/>
          <w:pgSz w:w="11907" w:h="16840"/>
          <w:pgMar w:top="1134" w:right="1418" w:bottom="1134" w:left="1418" w:header="709" w:footer="709" w:gutter="0"/>
          <w:cols w:space="708"/>
          <w:docGrid w:linePitch="360"/>
        </w:sectPr>
      </w:pPr>
    </w:p>
    <w:p>
      <w:pPr>
        <w:pStyle w:val="ManualHeading4"/>
        <w:rPr>
          <w:bCs/>
          <w:noProof/>
          <w:szCs w:val="24"/>
        </w:rPr>
      </w:pPr>
      <w:r>
        <w:lastRenderedPageBreak/>
        <w:t>3.2.3.1.</w:t>
      </w:r>
      <w:r>
        <w:tab/>
      </w:r>
      <w:r>
        <w:rPr>
          <w:noProof/>
        </w:rPr>
        <w:t xml:space="preserve">Anslået behov for menneskelige ressourcer </w:t>
      </w:r>
    </w:p>
    <w:p>
      <w:pPr>
        <w:pStyle w:val="ListDash1"/>
        <w:rPr>
          <w:noProof/>
        </w:rPr>
      </w:pPr>
      <w:r>
        <w:rPr>
          <w:noProof/>
        </w:rPr>
        <w:sym w:font="Wingdings" w:char="F0A8"/>
      </w:r>
      <w:r>
        <w:rPr>
          <w:noProof/>
        </w:rPr>
        <w:tab/>
        <w:t xml:space="preserve">Forslaget/initiativet medfører ikke anvendelse af menneskelige ressourcer </w:t>
      </w:r>
    </w:p>
    <w:p>
      <w:pPr>
        <w:pStyle w:val="ListDash1"/>
        <w:rPr>
          <w:noProof/>
        </w:rPr>
      </w:pPr>
      <w:r>
        <w:rPr>
          <w:noProof/>
        </w:rPr>
        <w:sym w:font="Wingdings" w:char="F0A8"/>
      </w:r>
      <w:r>
        <w:rPr>
          <w:noProof/>
        </w:rPr>
        <w:tab/>
        <w:t>Forslaget/initiativet medfører anvendelse af menneskelige ressourcer som anført herunder:</w:t>
      </w:r>
    </w:p>
    <w:p>
      <w:pPr>
        <w:spacing w:after="60"/>
        <w:jc w:val="right"/>
        <w:rPr>
          <w:i/>
          <w:noProof/>
          <w:sz w:val="20"/>
        </w:rPr>
      </w:pPr>
      <w:r>
        <w:rPr>
          <w:i/>
          <w:noProof/>
          <w:sz w:val="20"/>
        </w:rPr>
        <w:t>Overslag angives i årsværk</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731"/>
        <w:gridCol w:w="731"/>
        <w:gridCol w:w="731"/>
        <w:gridCol w:w="731"/>
        <w:gridCol w:w="731"/>
      </w:tblGrid>
      <w:tr>
        <w:trPr>
          <w:gridBefore w:val="1"/>
          <w:wBefore w:w="13" w:type="dxa"/>
          <w:trHeight w:val="289"/>
          <w:jc w:val="center"/>
        </w:trPr>
        <w:tc>
          <w:tcPr>
            <w:tcW w:w="3906" w:type="dxa"/>
            <w:gridSpan w:val="2"/>
            <w:shd w:val="clear" w:color="auto" w:fill="auto"/>
          </w:tcPr>
          <w:p>
            <w:pPr>
              <w:pStyle w:val="Text1"/>
              <w:spacing w:before="40" w:after="40"/>
              <w:ind w:left="0"/>
              <w:jc w:val="center"/>
              <w:rPr>
                <w:i/>
                <w:noProof/>
                <w:sz w:val="16"/>
                <w:szCs w:val="16"/>
              </w:rPr>
            </w:pPr>
          </w:p>
        </w:tc>
        <w:tc>
          <w:tcPr>
            <w:tcW w:w="600" w:type="dxa"/>
            <w:shd w:val="clear" w:color="auto" w:fill="auto"/>
            <w:vAlign w:val="center"/>
          </w:tcPr>
          <w:p>
            <w:pPr>
              <w:spacing w:before="20" w:after="20"/>
              <w:jc w:val="center"/>
              <w:rPr>
                <w:noProof/>
                <w:sz w:val="16"/>
                <w:szCs w:val="16"/>
              </w:rPr>
            </w:pPr>
            <w:r>
              <w:rPr>
                <w:noProof/>
                <w:sz w:val="16"/>
              </w:rPr>
              <w:t>År</w:t>
            </w:r>
            <w:r>
              <w:rPr>
                <w:noProof/>
                <w:sz w:val="22"/>
              </w:rPr>
              <w:br/>
            </w:r>
            <w:r>
              <w:rPr>
                <w:b/>
                <w:noProof/>
                <w:sz w:val="16"/>
              </w:rPr>
              <w:t>n</w:t>
            </w:r>
          </w:p>
        </w:tc>
        <w:tc>
          <w:tcPr>
            <w:tcW w:w="600" w:type="dxa"/>
            <w:shd w:val="clear" w:color="auto" w:fill="auto"/>
            <w:vAlign w:val="center"/>
          </w:tcPr>
          <w:p>
            <w:pPr>
              <w:spacing w:before="20" w:after="20"/>
              <w:jc w:val="center"/>
              <w:rPr>
                <w:noProof/>
                <w:sz w:val="16"/>
                <w:szCs w:val="16"/>
              </w:rPr>
            </w:pPr>
            <w:r>
              <w:rPr>
                <w:noProof/>
                <w:sz w:val="16"/>
              </w:rPr>
              <w:t>År</w:t>
            </w:r>
            <w:r>
              <w:rPr>
                <w:noProof/>
                <w:sz w:val="22"/>
              </w:rPr>
              <w:br/>
            </w:r>
            <w:r>
              <w:rPr>
                <w:b/>
                <w:noProof/>
                <w:sz w:val="16"/>
              </w:rPr>
              <w:t>n + 1</w:t>
            </w:r>
          </w:p>
        </w:tc>
        <w:tc>
          <w:tcPr>
            <w:tcW w:w="600" w:type="dxa"/>
            <w:shd w:val="clear" w:color="auto" w:fill="auto"/>
            <w:vAlign w:val="center"/>
          </w:tcPr>
          <w:p>
            <w:pPr>
              <w:spacing w:before="20" w:after="20"/>
              <w:jc w:val="center"/>
              <w:rPr>
                <w:noProof/>
                <w:sz w:val="16"/>
                <w:szCs w:val="16"/>
              </w:rPr>
            </w:pPr>
            <w:r>
              <w:rPr>
                <w:noProof/>
                <w:sz w:val="16"/>
              </w:rPr>
              <w:t xml:space="preserve">År </w:t>
            </w:r>
            <w:r>
              <w:rPr>
                <w:b/>
                <w:noProof/>
                <w:sz w:val="16"/>
              </w:rPr>
              <w:t>n + 2</w:t>
            </w:r>
          </w:p>
        </w:tc>
        <w:tc>
          <w:tcPr>
            <w:tcW w:w="600" w:type="dxa"/>
            <w:shd w:val="clear" w:color="auto" w:fill="auto"/>
            <w:vAlign w:val="center"/>
          </w:tcPr>
          <w:p>
            <w:pPr>
              <w:spacing w:before="20" w:after="20"/>
              <w:jc w:val="center"/>
              <w:rPr>
                <w:noProof/>
                <w:sz w:val="16"/>
                <w:szCs w:val="16"/>
              </w:rPr>
            </w:pPr>
            <w:r>
              <w:rPr>
                <w:noProof/>
                <w:sz w:val="16"/>
              </w:rPr>
              <w:t xml:space="preserve">År </w:t>
            </w:r>
            <w:r>
              <w:rPr>
                <w:b/>
                <w:noProof/>
                <w:sz w:val="16"/>
              </w:rPr>
              <w:t>n + 3</w:t>
            </w:r>
          </w:p>
        </w:tc>
        <w:tc>
          <w:tcPr>
            <w:tcW w:w="600" w:type="dxa"/>
            <w:gridSpan w:val="3"/>
            <w:shd w:val="clear" w:color="auto" w:fill="auto"/>
            <w:vAlign w:val="center"/>
          </w:tcPr>
          <w:p>
            <w:pPr>
              <w:jc w:val="center"/>
              <w:rPr>
                <w:b/>
                <w:noProof/>
                <w:sz w:val="16"/>
                <w:szCs w:val="16"/>
              </w:rPr>
            </w:pPr>
            <w:r>
              <w:rPr>
                <w:noProof/>
                <w:sz w:val="16"/>
              </w:rPr>
              <w:t>Der indsættes flere år, hvis virkningerne varer længere (jf. punkt 1.6)</w:t>
            </w:r>
          </w:p>
        </w:tc>
      </w:tr>
      <w:tr>
        <w:trPr>
          <w:gridBefore w:val="1"/>
          <w:wBefore w:w="13" w:type="dxa"/>
          <w:trHeight w:val="289"/>
          <w:jc w:val="center"/>
        </w:trPr>
        <w:tc>
          <w:tcPr>
            <w:tcW w:w="600" w:type="dxa"/>
            <w:gridSpan w:val="9"/>
            <w:shd w:val="clear" w:color="auto" w:fill="auto"/>
          </w:tcPr>
          <w:p>
            <w:pPr>
              <w:jc w:val="left"/>
              <w:rPr>
                <w:noProof/>
                <w:sz w:val="16"/>
                <w:szCs w:val="16"/>
              </w:rPr>
            </w:pPr>
            <w:r>
              <w:rPr>
                <w:b/>
                <w:noProof/>
                <w:sz w:val="16"/>
              </w:rPr>
              <w:sym w:font="Wingdings" w:char="F09F"/>
            </w:r>
            <w:r>
              <w:rPr>
                <w:b/>
                <w:noProof/>
                <w:sz w:val="16"/>
              </w:rPr>
              <w:t xml:space="preserve"> Stillinger i stillingsfortegnelsen (tjenestemænd og midlertidigt ansatte)</w:t>
            </w: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4"/>
              <w:jc w:val="left"/>
              <w:rPr>
                <w:b/>
                <w:noProof/>
                <w:sz w:val="16"/>
                <w:szCs w:val="16"/>
              </w:rPr>
            </w:pPr>
            <w:r>
              <w:rPr>
                <w:noProof/>
                <w:sz w:val="16"/>
              </w:rPr>
              <w:t>XX 01 01 01 (i hovedsædet og i Kommissionens repræsentationskontorer)</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4"/>
              <w:jc w:val="left"/>
              <w:rPr>
                <w:noProof/>
                <w:sz w:val="16"/>
                <w:szCs w:val="16"/>
              </w:rPr>
            </w:pPr>
            <w:r>
              <w:rPr>
                <w:noProof/>
                <w:sz w:val="16"/>
              </w:rPr>
              <w:t>XX 01 01 02 (i delegationer)</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4"/>
              <w:jc w:val="left"/>
              <w:rPr>
                <w:noProof/>
                <w:sz w:val="16"/>
                <w:szCs w:val="16"/>
              </w:rPr>
            </w:pPr>
            <w:r>
              <w:rPr>
                <w:noProof/>
                <w:sz w:val="16"/>
              </w:rPr>
              <w:t>XX 01 05 01/11/21 (indirekte forskning)</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4"/>
              <w:jc w:val="left"/>
              <w:rPr>
                <w:noProof/>
                <w:sz w:val="16"/>
                <w:szCs w:val="16"/>
              </w:rPr>
            </w:pPr>
            <w:r>
              <w:rPr>
                <w:noProof/>
                <w:sz w:val="16"/>
              </w:rPr>
              <w:t>10 01 05 01/11 (direkte forskning)</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trHeight w:val="248"/>
          <w:jc w:val="center"/>
        </w:trPr>
        <w:tc>
          <w:tcPr>
            <w:tcW w:w="600" w:type="dxa"/>
            <w:gridSpan w:val="10"/>
            <w:shd w:val="clear" w:color="auto" w:fill="auto"/>
            <w:vAlign w:val="center"/>
          </w:tcPr>
          <w:p>
            <w:pPr>
              <w:pStyle w:val="Text1"/>
              <w:spacing w:before="60" w:after="60"/>
              <w:ind w:left="0"/>
              <w:jc w:val="left"/>
              <w:rPr>
                <w:b/>
                <w:noProof/>
                <w:sz w:val="16"/>
                <w:szCs w:val="16"/>
              </w:rPr>
            </w:pPr>
            <w:r>
              <w:rPr>
                <w:b/>
                <w:noProof/>
                <w:sz w:val="16"/>
              </w:rPr>
              <w:sym w:font="Wingdings" w:char="F09F"/>
            </w:r>
            <w:r>
              <w:rPr>
                <w:b/>
                <w:noProof/>
                <w:sz w:val="16"/>
              </w:rPr>
              <w:t>Eksternt personale (i årsværk) FTÆ)</w:t>
            </w:r>
            <w:r>
              <w:rPr>
                <w:rStyle w:val="FootnoteReference"/>
                <w:b/>
                <w:noProof/>
                <w:sz w:val="16"/>
              </w:rPr>
              <w:footnoteReference w:id="18"/>
            </w:r>
          </w:p>
          <w:p>
            <w:pPr>
              <w:pStyle w:val="Text1"/>
              <w:spacing w:before="0" w:after="0"/>
              <w:ind w:left="0"/>
              <w:jc w:val="left"/>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6"/>
              <w:jc w:val="left"/>
              <w:rPr>
                <w:b/>
                <w:noProof/>
                <w:sz w:val="16"/>
                <w:szCs w:val="16"/>
              </w:rPr>
            </w:pPr>
            <w:r>
              <w:rPr>
                <w:noProof/>
                <w:sz w:val="16"/>
              </w:rPr>
              <w:t>XX 01 02 01 (KA, UNE, V under den samlede bevillingsramme)</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6"/>
              <w:jc w:val="left"/>
              <w:rPr>
                <w:noProof/>
                <w:sz w:val="16"/>
                <w:szCs w:val="16"/>
              </w:rPr>
            </w:pPr>
            <w:r>
              <w:rPr>
                <w:noProof/>
                <w:sz w:val="16"/>
              </w:rPr>
              <w:t>XX 01 02 02 (KA, LA, UNE, V og JED i delegationerne)</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1952" w:type="dxa"/>
            <w:vMerge w:val="restart"/>
            <w:shd w:val="clear" w:color="auto" w:fill="auto"/>
            <w:vAlign w:val="center"/>
          </w:tcPr>
          <w:p>
            <w:pPr>
              <w:pStyle w:val="Text1"/>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b/>
                <w:i/>
                <w:noProof/>
                <w:sz w:val="16"/>
              </w:rPr>
              <w:t xml:space="preserve"> </w:t>
            </w:r>
            <w:r>
              <w:rPr>
                <w:rStyle w:val="FootnoteReference"/>
                <w:b/>
                <w:i/>
                <w:noProof/>
                <w:sz w:val="16"/>
              </w:rPr>
              <w:footnoteReference w:id="19"/>
            </w:r>
          </w:p>
          <w:p>
            <w:pPr>
              <w:pStyle w:val="Text1"/>
              <w:spacing w:beforeLines="20" w:before="48" w:afterLines="20" w:after="48"/>
              <w:ind w:left="136"/>
              <w:jc w:val="left"/>
              <w:rPr>
                <w:b/>
                <w:noProof/>
                <w:sz w:val="16"/>
                <w:szCs w:val="16"/>
              </w:rPr>
            </w:pPr>
          </w:p>
        </w:tc>
        <w:tc>
          <w:tcPr>
            <w:tcW w:w="1954" w:type="dxa"/>
            <w:shd w:val="clear" w:color="auto" w:fill="auto"/>
            <w:vAlign w:val="center"/>
          </w:tcPr>
          <w:p>
            <w:pPr>
              <w:pStyle w:val="Text1"/>
              <w:spacing w:beforeLines="20" w:before="48" w:afterLines="20" w:after="48"/>
              <w:ind w:left="136"/>
              <w:jc w:val="left"/>
              <w:rPr>
                <w:b/>
                <w:noProof/>
                <w:sz w:val="16"/>
                <w:szCs w:val="16"/>
              </w:rPr>
            </w:pPr>
            <w:r>
              <w:rPr>
                <w:noProof/>
                <w:sz w:val="16"/>
              </w:rPr>
              <w:t>- i hovedsædet</w:t>
            </w:r>
          </w:p>
          <w:p>
            <w:pPr>
              <w:pStyle w:val="Text1"/>
              <w:spacing w:beforeLines="20" w:before="48" w:afterLines="20" w:after="48"/>
              <w:ind w:left="136"/>
              <w:jc w:val="left"/>
              <w:rPr>
                <w:b/>
                <w:noProof/>
                <w:sz w:val="16"/>
                <w:szCs w:val="16"/>
              </w:rPr>
            </w:pPr>
          </w:p>
        </w:tc>
        <w:tc>
          <w:tcPr>
            <w:tcW w:w="600" w:type="dxa"/>
            <w:shd w:val="clear" w:color="auto" w:fill="auto"/>
            <w:vAlign w:val="center"/>
          </w:tcPr>
          <w:p>
            <w:pPr>
              <w:pStyle w:val="Text1"/>
              <w:spacing w:beforeLines="20" w:before="48" w:afterLines="20" w:after="48"/>
              <w:ind w:left="0"/>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1952" w:type="dxa"/>
            <w:vMerge/>
            <w:shd w:val="clear" w:color="auto" w:fill="auto"/>
            <w:vAlign w:val="center"/>
          </w:tcPr>
          <w:p>
            <w:pPr>
              <w:pStyle w:val="Text1"/>
              <w:spacing w:beforeLines="20" w:before="48" w:afterLines="20" w:after="48"/>
              <w:ind w:left="136"/>
              <w:jc w:val="left"/>
              <w:rPr>
                <w:b/>
                <w:noProof/>
                <w:sz w:val="16"/>
                <w:szCs w:val="16"/>
              </w:rPr>
            </w:pPr>
          </w:p>
        </w:tc>
        <w:tc>
          <w:tcPr>
            <w:tcW w:w="1954" w:type="dxa"/>
            <w:shd w:val="clear" w:color="auto" w:fill="auto"/>
            <w:vAlign w:val="center"/>
          </w:tcPr>
          <w:p>
            <w:pPr>
              <w:pStyle w:val="Text1"/>
              <w:spacing w:beforeLines="20" w:before="48" w:afterLines="20" w:after="48"/>
              <w:ind w:left="136"/>
              <w:jc w:val="left"/>
              <w:rPr>
                <w:b/>
                <w:noProof/>
                <w:sz w:val="16"/>
                <w:szCs w:val="16"/>
              </w:rPr>
            </w:pPr>
            <w:r>
              <w:rPr>
                <w:noProof/>
                <w:sz w:val="16"/>
              </w:rPr>
              <w:t xml:space="preserve">- i delegationer </w:t>
            </w:r>
          </w:p>
        </w:tc>
        <w:tc>
          <w:tcPr>
            <w:tcW w:w="600" w:type="dxa"/>
            <w:shd w:val="clear" w:color="auto" w:fill="auto"/>
            <w:vAlign w:val="center"/>
          </w:tcPr>
          <w:p>
            <w:pPr>
              <w:pStyle w:val="Text1"/>
              <w:spacing w:beforeLines="20" w:before="48" w:afterLines="20" w:after="48"/>
              <w:ind w:left="0"/>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6"/>
              <w:jc w:val="left"/>
              <w:rPr>
                <w:noProof/>
                <w:sz w:val="16"/>
                <w:szCs w:val="16"/>
              </w:rPr>
            </w:pPr>
            <w:r>
              <w:rPr>
                <w:b/>
                <w:noProof/>
                <w:sz w:val="16"/>
              </w:rPr>
              <w:t>XX</w:t>
            </w:r>
            <w:r>
              <w:rPr>
                <w:noProof/>
                <w:sz w:val="16"/>
              </w:rPr>
              <w:t xml:space="preserve"> 01 05 02/12/22 (KA, UNE, V – indirekte forskning)</w:t>
            </w: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c>
          <w:tcPr>
            <w:tcW w:w="600" w:type="dxa"/>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shd w:val="clear" w:color="auto" w:fill="auto"/>
            <w:vAlign w:val="center"/>
          </w:tcPr>
          <w:p>
            <w:pPr>
              <w:pStyle w:val="Text1"/>
              <w:spacing w:beforeLines="20" w:before="48" w:afterLines="20" w:after="48"/>
              <w:ind w:left="136"/>
              <w:jc w:val="left"/>
              <w:rPr>
                <w:noProof/>
                <w:sz w:val="16"/>
                <w:szCs w:val="16"/>
                <w:lang w:val="nb-NO"/>
              </w:rPr>
            </w:pPr>
            <w:r>
              <w:rPr>
                <w:noProof/>
                <w:sz w:val="16"/>
                <w:lang w:val="nb-NO"/>
              </w:rPr>
              <w:t>10 01 05 02/12 (KA, UNE, V – direkte forskning)</w:t>
            </w:r>
          </w:p>
        </w:tc>
        <w:tc>
          <w:tcPr>
            <w:tcW w:w="600" w:type="dxa"/>
            <w:shd w:val="clear" w:color="auto" w:fill="auto"/>
            <w:vAlign w:val="center"/>
          </w:tcPr>
          <w:p>
            <w:pPr>
              <w:spacing w:beforeLines="20" w:before="48" w:afterLines="20" w:after="48"/>
              <w:jc w:val="center"/>
              <w:rPr>
                <w:noProof/>
                <w:sz w:val="16"/>
                <w:szCs w:val="16"/>
                <w:lang w:val="nb-NO"/>
              </w:rPr>
            </w:pPr>
          </w:p>
        </w:tc>
        <w:tc>
          <w:tcPr>
            <w:tcW w:w="600" w:type="dxa"/>
            <w:shd w:val="clear" w:color="auto" w:fill="auto"/>
            <w:vAlign w:val="center"/>
          </w:tcPr>
          <w:p>
            <w:pPr>
              <w:spacing w:beforeLines="20" w:before="48" w:afterLines="20" w:after="48"/>
              <w:jc w:val="center"/>
              <w:rPr>
                <w:noProof/>
                <w:sz w:val="16"/>
                <w:szCs w:val="16"/>
                <w:lang w:val="nb-NO"/>
              </w:rPr>
            </w:pPr>
          </w:p>
        </w:tc>
        <w:tc>
          <w:tcPr>
            <w:tcW w:w="600" w:type="dxa"/>
            <w:shd w:val="clear" w:color="auto" w:fill="auto"/>
            <w:vAlign w:val="center"/>
          </w:tcPr>
          <w:p>
            <w:pPr>
              <w:spacing w:beforeLines="20" w:before="48" w:afterLines="20" w:after="48"/>
              <w:jc w:val="center"/>
              <w:rPr>
                <w:noProof/>
                <w:sz w:val="16"/>
                <w:szCs w:val="16"/>
                <w:lang w:val="nb-NO"/>
              </w:rPr>
            </w:pPr>
          </w:p>
        </w:tc>
        <w:tc>
          <w:tcPr>
            <w:tcW w:w="600" w:type="dxa"/>
            <w:shd w:val="clear" w:color="auto" w:fill="auto"/>
            <w:vAlign w:val="center"/>
          </w:tcPr>
          <w:p>
            <w:pPr>
              <w:spacing w:beforeLines="20" w:before="48" w:afterLines="20" w:after="48"/>
              <w:jc w:val="center"/>
              <w:rPr>
                <w:noProof/>
                <w:sz w:val="16"/>
                <w:szCs w:val="16"/>
                <w:lang w:val="nb-NO"/>
              </w:rPr>
            </w:pPr>
          </w:p>
        </w:tc>
        <w:tc>
          <w:tcPr>
            <w:tcW w:w="600" w:type="dxa"/>
            <w:shd w:val="clear" w:color="auto" w:fill="auto"/>
            <w:vAlign w:val="center"/>
          </w:tcPr>
          <w:p>
            <w:pPr>
              <w:spacing w:beforeLines="20" w:before="48" w:afterLines="20" w:after="48"/>
              <w:jc w:val="center"/>
              <w:rPr>
                <w:noProof/>
                <w:sz w:val="16"/>
                <w:szCs w:val="16"/>
                <w:lang w:val="nb-NO"/>
              </w:rPr>
            </w:pPr>
          </w:p>
        </w:tc>
        <w:tc>
          <w:tcPr>
            <w:tcW w:w="600" w:type="dxa"/>
            <w:shd w:val="clear" w:color="auto" w:fill="auto"/>
            <w:vAlign w:val="center"/>
          </w:tcPr>
          <w:p>
            <w:pPr>
              <w:spacing w:beforeLines="20" w:before="48" w:afterLines="20" w:after="48"/>
              <w:jc w:val="center"/>
              <w:rPr>
                <w:noProof/>
                <w:sz w:val="16"/>
                <w:szCs w:val="16"/>
                <w:lang w:val="nb-NO"/>
              </w:rPr>
            </w:pPr>
          </w:p>
        </w:tc>
        <w:tc>
          <w:tcPr>
            <w:tcW w:w="600" w:type="dxa"/>
            <w:shd w:val="clear" w:color="auto" w:fill="auto"/>
            <w:vAlign w:val="center"/>
          </w:tcPr>
          <w:p>
            <w:pPr>
              <w:spacing w:beforeLines="20" w:before="48" w:afterLines="20" w:after="48"/>
              <w:jc w:val="center"/>
              <w:rPr>
                <w:noProof/>
                <w:sz w:val="16"/>
                <w:szCs w:val="16"/>
                <w:lang w:val="nb-NO"/>
              </w:rPr>
            </w:pPr>
          </w:p>
        </w:tc>
      </w:tr>
      <w:tr>
        <w:trPr>
          <w:gridBefore w:val="1"/>
          <w:wBefore w:w="13" w:type="dxa"/>
          <w:trHeight w:val="289"/>
          <w:jc w:val="center"/>
        </w:trPr>
        <w:tc>
          <w:tcPr>
            <w:tcW w:w="3906" w:type="dxa"/>
            <w:gridSpan w:val="2"/>
            <w:tcBorders>
              <w:bottom w:val="double" w:sz="4" w:space="0" w:color="auto"/>
            </w:tcBorders>
            <w:shd w:val="clear" w:color="auto" w:fill="auto"/>
            <w:vAlign w:val="center"/>
          </w:tcPr>
          <w:p>
            <w:pPr>
              <w:pStyle w:val="Text1"/>
              <w:spacing w:beforeLines="20" w:before="48" w:afterLines="20" w:after="48"/>
              <w:ind w:left="134"/>
              <w:jc w:val="left"/>
              <w:rPr>
                <w:noProof/>
                <w:sz w:val="16"/>
                <w:szCs w:val="16"/>
              </w:rPr>
            </w:pPr>
            <w:r>
              <w:rPr>
                <w:noProof/>
                <w:sz w:val="16"/>
              </w:rPr>
              <w:t>Andre budgetposter (skal angives)</w:t>
            </w: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noProof/>
                <w:sz w:val="16"/>
                <w:szCs w:val="16"/>
              </w:rPr>
            </w:pPr>
          </w:p>
        </w:tc>
      </w:tr>
      <w:tr>
        <w:trPr>
          <w:gridBefore w:val="1"/>
          <w:wBefore w:w="13" w:type="dxa"/>
          <w:trHeight w:val="289"/>
          <w:jc w:val="center"/>
        </w:trPr>
        <w:tc>
          <w:tcPr>
            <w:tcW w:w="3906" w:type="dxa"/>
            <w:gridSpan w:val="2"/>
            <w:tcBorders>
              <w:top w:val="double" w:sz="4" w:space="0" w:color="auto"/>
            </w:tcBorders>
            <w:shd w:val="clear" w:color="auto" w:fill="auto"/>
            <w:vAlign w:val="center"/>
          </w:tcPr>
          <w:p>
            <w:pPr>
              <w:pStyle w:val="Text1"/>
              <w:spacing w:beforeLines="20" w:before="48" w:afterLines="20" w:after="48"/>
              <w:ind w:left="136"/>
              <w:jc w:val="left"/>
              <w:rPr>
                <w:noProof/>
                <w:sz w:val="16"/>
                <w:szCs w:val="16"/>
              </w:rPr>
            </w:pPr>
            <w:r>
              <w:rPr>
                <w:b/>
                <w:noProof/>
                <w:sz w:val="16"/>
              </w:rPr>
              <w:t>I ALT</w:t>
            </w: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b/>
                <w:noProof/>
                <w:sz w:val="16"/>
                <w:szCs w:val="16"/>
              </w:rPr>
            </w:pPr>
          </w:p>
        </w:tc>
      </w:tr>
    </w:tbl>
    <w:p>
      <w:pPr>
        <w:pStyle w:val="Text1"/>
        <w:spacing w:before="60" w:after="60"/>
        <w:ind w:left="851"/>
        <w:rPr>
          <w:noProof/>
          <w:sz w:val="18"/>
          <w:szCs w:val="18"/>
        </w:rPr>
      </w:pPr>
      <w:r>
        <w:rPr>
          <w:b/>
          <w:noProof/>
          <w:sz w:val="18"/>
        </w:rPr>
        <w:t>XX</w:t>
      </w:r>
      <w:r>
        <w:rPr>
          <w:noProof/>
        </w:rPr>
        <w:t xml:space="preserve"> </w:t>
      </w:r>
      <w:r>
        <w:rPr>
          <w:noProof/>
          <w:sz w:val="18"/>
        </w:rPr>
        <w:t>angiver det berørte politikområde eller budgetafsnit.</w:t>
      </w:r>
    </w:p>
    <w:p>
      <w:pPr>
        <w:pStyle w:val="Text1"/>
        <w:rPr>
          <w:noProof/>
          <w:sz w:val="18"/>
          <w:szCs w:val="18"/>
        </w:rPr>
      </w:pPr>
      <w:r>
        <w:rPr>
          <w:noProof/>
          <w:sz w:val="18"/>
        </w:rPr>
        <w:t>Personalebehovet vil blive dækket ved hjælp af det personale, som generaldirektoratet allerede har afsat til aktionen, og/eller interne rokader i generaldirektoratet, eventuelt suppleret med yderligere bevillinger, som tildeles det ansvarlige generaldirektorat i forbindelse med den årlige tildelingsprocedure under hensyntagen til de budgetmæssige begrænsninger.</w:t>
      </w:r>
    </w:p>
    <w:p>
      <w:pPr>
        <w:rPr>
          <w:noProof/>
          <w:sz w:val="20"/>
        </w:rPr>
      </w:pPr>
      <w:r>
        <w:rPr>
          <w:noProof/>
          <w:sz w:val="20"/>
        </w:rPr>
        <w:t>Opgavebeskrivelse: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Tjenestemænd og midlertidigt ansatte</w:t>
            </w:r>
          </w:p>
        </w:tc>
        <w:tc>
          <w:tcPr>
            <w:tcW w:w="7200" w:type="dxa"/>
          </w:tcPr>
          <w:p>
            <w:pPr>
              <w:rPr>
                <w:noProof/>
                <w:sz w:val="20"/>
              </w:rPr>
            </w:pPr>
          </w:p>
        </w:tc>
      </w:tr>
      <w:tr>
        <w:tc>
          <w:tcPr>
            <w:tcW w:w="3240" w:type="dxa"/>
          </w:tcPr>
          <w:p>
            <w:pPr>
              <w:spacing w:before="60" w:after="60"/>
              <w:rPr>
                <w:noProof/>
                <w:sz w:val="20"/>
              </w:rPr>
            </w:pPr>
            <w:r>
              <w:rPr>
                <w:noProof/>
                <w:sz w:val="20"/>
              </w:rPr>
              <w:t>Eksternt personale</w:t>
            </w:r>
          </w:p>
        </w:tc>
        <w:tc>
          <w:tcPr>
            <w:tcW w:w="7200" w:type="dxa"/>
          </w:tcPr>
          <w:p>
            <w:pPr>
              <w:rPr>
                <w:noProof/>
                <w:sz w:val="20"/>
              </w:rPr>
            </w:pPr>
          </w:p>
        </w:tc>
      </w:tr>
    </w:tbl>
    <w:p>
      <w:pPr>
        <w:rPr>
          <w:noProof/>
        </w:rPr>
        <w:sectPr>
          <w:pgSz w:w="11907" w:h="16840"/>
          <w:pgMar w:top="1134" w:right="1418" w:bottom="1134" w:left="1418" w:header="709" w:footer="709" w:gutter="0"/>
          <w:cols w:space="708"/>
          <w:docGrid w:linePitch="360"/>
        </w:sectPr>
      </w:pPr>
    </w:p>
    <w:p>
      <w:pPr>
        <w:pStyle w:val="ManualHeading3"/>
        <w:rPr>
          <w:noProof/>
        </w:rPr>
      </w:pPr>
      <w:bookmarkStart w:id="49" w:name="_Toc514938056"/>
      <w:bookmarkStart w:id="50" w:name="_Toc520485055"/>
      <w:r>
        <w:lastRenderedPageBreak/>
        <w:t>3.2.4.</w:t>
      </w:r>
      <w:r>
        <w:tab/>
      </w:r>
      <w:r>
        <w:rPr>
          <w:noProof/>
        </w:rPr>
        <w:t>Forenelighed med indeværende flerårige finansielle ramme</w:t>
      </w:r>
      <w:bookmarkEnd w:id="49"/>
      <w:bookmarkEnd w:id="50"/>
      <w:r>
        <w:rPr>
          <w:noProof/>
        </w:rPr>
        <w:t xml:space="preserve"> </w:t>
      </w:r>
    </w:p>
    <w:p>
      <w:pPr>
        <w:pStyle w:val="Text1"/>
        <w:rPr>
          <w:noProof/>
        </w:rPr>
      </w:pPr>
      <w:r>
        <w:rPr>
          <w:noProof/>
        </w:rPr>
        <w:t>Forslaget/initiativet:</w:t>
      </w:r>
    </w:p>
    <w:p>
      <w:pPr>
        <w:pStyle w:val="ListDash1"/>
        <w:rPr>
          <w:noProof/>
        </w:rPr>
      </w:pPr>
      <w:r>
        <w:rPr>
          <w:b/>
          <w:noProof/>
        </w:rPr>
        <w:t>X</w:t>
      </w:r>
      <w:r>
        <w:rPr>
          <w:noProof/>
        </w:rPr>
        <w:tab/>
        <w:t>kan finansieres fuldt ud inden for det relevante udgiftsområde i den flerårige finansielle ramme (FFR).</w:t>
      </w:r>
    </w:p>
    <w:p>
      <w:pPr>
        <w:pStyle w:val="ListDash1"/>
        <w:rPr>
          <w:noProof/>
        </w:rPr>
      </w:pPr>
      <w:r>
        <w:rPr>
          <w:noProof/>
        </w:rPr>
        <w:sym w:font="Wingdings" w:char="F0A8"/>
      </w:r>
      <w:r>
        <w:rPr>
          <w:noProof/>
        </w:rPr>
        <w:tab/>
        <w:t>kræver anvendelse af den uudnyttede margen under det relevante udgiftsområde i FFR og/eller anvendelse af særlige instrumenter som fastlagt i FFR-forordningen.</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Der redegøres for behovet med angivelse af de berørte udgiftsområder og budgetposter, de tilsvarende beløb og de instrumenter, der foreslås anvendt.</w:t>
      </w:r>
    </w:p>
    <w:p>
      <w:pPr>
        <w:pStyle w:val="ListDash1"/>
        <w:rPr>
          <w:noProof/>
        </w:rPr>
      </w:pPr>
      <w:r>
        <w:rPr>
          <w:noProof/>
        </w:rPr>
        <w:sym w:font="Wingdings" w:char="F0A8"/>
      </w:r>
      <w:r>
        <w:rPr>
          <w:noProof/>
        </w:rPr>
        <w:tab/>
        <w:t>kræver, at der foretages en revision af FFR.</w:t>
      </w:r>
    </w:p>
    <w:p>
      <w:pPr>
        <w:pStyle w:val="Text1"/>
        <w:pBdr>
          <w:top w:val="single" w:sz="4" w:space="1" w:color="auto"/>
          <w:left w:val="single" w:sz="4" w:space="4" w:color="auto"/>
          <w:bottom w:val="single" w:sz="4" w:space="3" w:color="auto"/>
          <w:right w:val="single" w:sz="4" w:space="4" w:color="auto"/>
        </w:pBdr>
        <w:rPr>
          <w:noProof/>
          <w:sz w:val="20"/>
        </w:rPr>
      </w:pPr>
      <w:r>
        <w:rPr>
          <w:noProof/>
          <w:sz w:val="20"/>
        </w:rPr>
        <w:t>Der redegøres for behovet med angivelse af de berørte udgiftsområder og budgetposter og beløbenes størrelse</w:t>
      </w:r>
    </w:p>
    <w:p>
      <w:pPr>
        <w:pStyle w:val="ManualHeading3"/>
        <w:rPr>
          <w:bCs/>
          <w:noProof/>
          <w:szCs w:val="24"/>
        </w:rPr>
      </w:pPr>
      <w:bookmarkStart w:id="51" w:name="_Toc514938058"/>
      <w:bookmarkStart w:id="52" w:name="_Toc520485056"/>
      <w:r>
        <w:t>3.2.5.</w:t>
      </w:r>
      <w:r>
        <w:tab/>
      </w:r>
      <w:r>
        <w:rPr>
          <w:noProof/>
        </w:rPr>
        <w:t>Tredjemands bidrag til finansieringen</w:t>
      </w:r>
      <w:bookmarkEnd w:id="51"/>
      <w:bookmarkEnd w:id="52"/>
      <w:r>
        <w:rPr>
          <w:noProof/>
        </w:rPr>
        <w:t xml:space="preserve"> </w:t>
      </w:r>
    </w:p>
    <w:p>
      <w:pPr>
        <w:pStyle w:val="Text1"/>
        <w:rPr>
          <w:noProof/>
        </w:rPr>
      </w:pPr>
      <w:r>
        <w:rPr>
          <w:noProof/>
        </w:rPr>
        <w:t>Forslaget/initiativet:</w:t>
      </w:r>
    </w:p>
    <w:p>
      <w:pPr>
        <w:pStyle w:val="ListDash1"/>
        <w:rPr>
          <w:noProof/>
        </w:rPr>
      </w:pPr>
      <w:r>
        <w:rPr>
          <w:b/>
          <w:noProof/>
        </w:rPr>
        <w:t xml:space="preserve">X </w:t>
      </w:r>
      <w:r>
        <w:rPr>
          <w:noProof/>
        </w:rPr>
        <w:t>indeholder ikke bestemmelser om samfinansiering med tredjemand</w:t>
      </w:r>
    </w:p>
    <w:p>
      <w:pPr>
        <w:pStyle w:val="ListDash1"/>
        <w:rPr>
          <w:noProof/>
        </w:rPr>
      </w:pPr>
      <w:r>
        <w:rPr>
          <w:noProof/>
        </w:rPr>
        <w:tab/>
        <w:t>indeholder bestemmelser om samfinansiering med tredjemand, jf. følgende overslag:</w:t>
      </w:r>
    </w:p>
    <w:p>
      <w:pPr>
        <w:jc w:val="right"/>
        <w:rPr>
          <w:noProof/>
          <w:sz w:val="20"/>
        </w:rPr>
      </w:pPr>
      <w:r>
        <w:rPr>
          <w:noProof/>
          <w:sz w:val="20"/>
        </w:rPr>
        <w:t xml:space="preserve">Bevillinger i EUR </w:t>
      </w:r>
    </w:p>
    <w:p>
      <w:pPr>
        <w:jc w:val="right"/>
        <w:rPr>
          <w:noProof/>
          <w:sz w:val="20"/>
        </w:rPr>
      </w:pPr>
    </w:p>
    <w:p>
      <w:pPr>
        <w:rPr>
          <w:noProof/>
        </w:rPr>
      </w:pPr>
      <w:r>
        <w:rPr>
          <w:noProof/>
        </w:rPr>
        <w:br/>
      </w:r>
    </w:p>
    <w:p>
      <w:pPr>
        <w:pStyle w:val="ManualHeading2"/>
        <w:rPr>
          <w:bCs/>
          <w:noProof/>
          <w:szCs w:val="24"/>
        </w:rPr>
      </w:pPr>
      <w:r>
        <w:rPr>
          <w:noProof/>
        </w:rPr>
        <w:br w:type="page"/>
      </w:r>
      <w:bookmarkStart w:id="53" w:name="_Toc514938059"/>
      <w:bookmarkStart w:id="54" w:name="_Toc520485057"/>
      <w:r>
        <w:lastRenderedPageBreak/>
        <w:t>3.3.</w:t>
      </w:r>
      <w:r>
        <w:tab/>
      </w:r>
      <w:r>
        <w:rPr>
          <w:noProof/>
        </w:rPr>
        <w:t>Anslåede virkninger for indtægterne</w:t>
      </w:r>
      <w:bookmarkEnd w:id="53"/>
      <w:bookmarkEnd w:id="54"/>
      <w:r>
        <w:rPr>
          <w:noProof/>
        </w:rPr>
        <w:t xml:space="preserve"> </w:t>
      </w:r>
    </w:p>
    <w:p>
      <w:pPr>
        <w:pStyle w:val="ListDash1"/>
        <w:rPr>
          <w:noProof/>
        </w:rPr>
      </w:pPr>
      <w:r>
        <w:rPr>
          <w:b/>
          <w:noProof/>
        </w:rPr>
        <w:t>X</w:t>
      </w:r>
      <w:r>
        <w:rPr>
          <w:noProof/>
        </w:rPr>
        <w:tab/>
        <w:t xml:space="preserve">Forslaget/initiativet har ingen finansielle virkninger for indtægterne </w:t>
      </w:r>
    </w:p>
    <w:p>
      <w:pPr>
        <w:pStyle w:val="ListDash1"/>
        <w:rPr>
          <w:noProof/>
        </w:rPr>
      </w:pPr>
      <w:r>
        <w:rPr>
          <w:noProof/>
        </w:rPr>
        <w:tab/>
        <w:t>Forslaget/initiativet har følgende finansielle virkninger:</w:t>
      </w:r>
    </w:p>
    <w:p>
      <w:pPr>
        <w:pStyle w:val="Tiret2"/>
        <w:numPr>
          <w:ilvl w:val="0"/>
          <w:numId w:val="16"/>
        </w:numPr>
        <w:rPr>
          <w:noProof/>
        </w:rPr>
      </w:pPr>
      <w:r>
        <w:rPr>
          <w:noProof/>
        </w:rPr>
        <w:sym w:font="Wingdings" w:char="F0A8"/>
      </w:r>
      <w:r>
        <w:rPr>
          <w:noProof/>
        </w:rPr>
        <w:tab/>
        <w:t xml:space="preserve">for egne indtægter </w:t>
      </w:r>
    </w:p>
    <w:p>
      <w:pPr>
        <w:pStyle w:val="Tiret2"/>
        <w:rPr>
          <w:noProof/>
        </w:rPr>
      </w:pPr>
      <w:r>
        <w:rPr>
          <w:noProof/>
        </w:rPr>
        <w:sym w:font="Wingdings" w:char="F0A8"/>
      </w:r>
      <w:r>
        <w:rPr>
          <w:noProof/>
        </w:rPr>
        <w:tab/>
        <w:t>for andre indtægter</w:t>
      </w:r>
    </w:p>
    <w:p>
      <w:pPr>
        <w:pStyle w:val="Tiret2"/>
        <w:rPr>
          <w:noProof/>
        </w:rPr>
      </w:pPr>
      <w:r>
        <w:rPr>
          <w:noProof/>
        </w:rPr>
        <w:t>Angiv, om indtægterne er formålsbestemte X</w:t>
      </w:r>
      <w:r>
        <w:rPr>
          <w:noProof/>
        </w:rPr>
        <w:tab/>
      </w:r>
    </w:p>
    <w:p>
      <w:pPr>
        <w:pStyle w:val="ListNumberLevel3"/>
        <w:tabs>
          <w:tab w:val="clear" w:pos="2126"/>
        </w:tabs>
        <w:ind w:firstLine="0"/>
        <w:rPr>
          <w:noProof/>
        </w:rPr>
      </w:pPr>
    </w:p>
    <w:p>
      <w:pPr>
        <w:ind w:left="4320"/>
        <w:rPr>
          <w:i/>
          <w:noProof/>
          <w:sz w:val="20"/>
        </w:rPr>
      </w:pPr>
      <w:r>
        <w:rPr>
          <w:noProof/>
        </w:rPr>
        <w:t xml:space="preserve">     EUR. </w:t>
      </w:r>
    </w:p>
    <w:p>
      <w:pPr>
        <w:pStyle w:val="Text1"/>
        <w:rPr>
          <w:noProof/>
          <w:sz w:val="20"/>
        </w:rPr>
      </w:pPr>
      <w:r>
        <w:rPr>
          <w:noProof/>
        </w:rPr>
        <w:br/>
      </w:r>
    </w:p>
    <w:p>
      <w:pPr>
        <w:pStyle w:val="Text1"/>
        <w:rPr>
          <w:noProof/>
          <w:sz w:val="20"/>
        </w:rPr>
      </w:pPr>
      <w:r>
        <w:rPr>
          <w:noProof/>
          <w:sz w:val="20"/>
        </w:rPr>
        <w:t>For indtægter, der er formålsbestemte, angives det, hvilke af budgettets udgiftsposter der påvirkes.</w:t>
      </w:r>
    </w:p>
    <w:p>
      <w:pPr>
        <w:pStyle w:val="Text1"/>
        <w:pBdr>
          <w:top w:val="single" w:sz="4" w:space="1" w:color="auto"/>
          <w:left w:val="single" w:sz="4" w:space="4" w:color="auto"/>
          <w:bottom w:val="single" w:sz="4" w:space="1" w:color="auto"/>
          <w:right w:val="single" w:sz="4" w:space="4" w:color="auto"/>
        </w:pBdr>
        <w:rPr>
          <w:noProof/>
        </w:rPr>
      </w:pPr>
      <w:r>
        <w:t>Ikke relevant.</w:t>
      </w:r>
    </w:p>
    <w:p>
      <w:pPr>
        <w:pStyle w:val="Text1"/>
        <w:rPr>
          <w:noProof/>
        </w:rPr>
      </w:pPr>
      <w:r>
        <w:rPr>
          <w:noProof/>
          <w:sz w:val="20"/>
        </w:rPr>
        <w:t>Andre bemærkninger (f.eks. om hvilken metode, der er benyttet til at beregne virkningerne for indtægterne).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rPr>
        <w:rFonts w:ascii="Arial" w:hAnsi="Arial" w:cs="Arial"/>
        <w:b/>
        <w:sz w:val="48"/>
      </w:rPr>
      <w:tab/>
    </w:r>
    <w:r>
      <w:tab/>
    </w:r>
    <w:r>
      <w:rPr>
        <w:rFonts w:ascii="Arial" w:hAnsi="Arial" w:cs="Arial"/>
        <w:b/>
        <w:sz w:val="48"/>
      </w:rPr>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r>
      <w:tab/>
    </w:r>
    <w:r>
      <w:rPr>
        <w:rFonts w:ascii="Arial" w:hAnsi="Arial" w:cs="Arial"/>
        <w:b/>
        <w:sz w:val="48"/>
      </w:rPr>
      <w:t>DA</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DA</w:t>
    </w:r>
    <w:r>
      <w:rPr>
        <w:rFonts w:ascii="Arial" w:hAnsi="Arial" w:cs="Arial"/>
        <w:b/>
        <w:sz w:val="48"/>
      </w:rPr>
      <w:tab/>
    </w:r>
    <w:r>
      <w:fldChar w:fldCharType="begin"/>
    </w:r>
    <w:r>
      <w:instrText xml:space="preserve"> PAGE  \* MERGEFORMAT </w:instrText>
    </w:r>
    <w:r>
      <w:fldChar w:fldCharType="separate"/>
    </w:r>
    <w:r>
      <w:rPr>
        <w:noProof/>
      </w:rPr>
      <w:t>9</w:t>
    </w:r>
    <w:r>
      <w:fldChar w:fldCharType="end"/>
    </w:r>
    <w:r>
      <w:tab/>
    </w:r>
    <w:r>
      <w:tab/>
    </w:r>
    <w:r>
      <w:rPr>
        <w:rFonts w:ascii="Arial" w:hAnsi="Arial" w:cs="Arial"/>
        <w:b/>
        <w:sz w:val="48"/>
      </w:rPr>
      <w:t>DA</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fldChar w:fldCharType="begin"/>
    </w:r>
    <w:r>
      <w:instrText xml:space="preserve"> PAGE  \* MERGEFORMAT </w:instrText>
    </w:r>
    <w:r>
      <w:fldChar w:fldCharType="separate"/>
    </w:r>
    <w:r>
      <w:rPr>
        <w:noProof/>
      </w:rPr>
      <w:t>18</w:t>
    </w:r>
    <w:r>
      <w:fldChar w:fldCharType="end"/>
    </w:r>
    <w:r>
      <w:tab/>
    </w:r>
    <w:r>
      <w:tab/>
    </w:r>
    <w:r>
      <w:rPr>
        <w:rFonts w:ascii="Arial" w:hAnsi="Arial" w:cs="Arial"/>
        <w:b/>
        <w:sz w:val="48"/>
      </w:rPr>
      <w:t>DA</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tab/>
      </w:r>
      <w:hyperlink r:id="rId1">
        <w:r>
          <w:rPr>
            <w:rStyle w:val="Hyperlink"/>
          </w:rPr>
          <w:t>https://ec.europa.eu/commission/sites/beta-political/files/draft_withdrawal_agreement_0.pdf</w:t>
        </w:r>
      </w:hyperlink>
      <w:r>
        <w:t>.</w:t>
      </w:r>
    </w:p>
  </w:footnote>
  <w:footnote w:id="2">
    <w:p>
      <w:pPr>
        <w:pStyle w:val="FootnoteText"/>
      </w:pPr>
      <w:r>
        <w:rPr>
          <w:rStyle w:val="FootnoteReference"/>
        </w:rPr>
        <w:footnoteRef/>
      </w:r>
      <w:r>
        <w:tab/>
        <w:t>COM(2018)880 final af 13.11.2018.</w:t>
      </w:r>
    </w:p>
  </w:footnote>
  <w:footnote w:id="3">
    <w:p>
      <w:pPr>
        <w:pStyle w:val="FootnoteText"/>
      </w:pPr>
      <w:r>
        <w:rPr>
          <w:rStyle w:val="FootnoteReference"/>
        </w:rPr>
        <w:footnoteRef/>
      </w:r>
      <w:r>
        <w:tab/>
        <w:t>Med inspiration fra forslaget til Europa-Parlamentets og Rådets forordning om ændring af forordning (EU) nr. 1316/2013 for så vidt angår Det Forenede Kongeriges udtræden af Unionen (COM(2018) 568 af 1.8. 2018).</w:t>
      </w:r>
    </w:p>
  </w:footnote>
  <w:footnote w:id="4">
    <w:p>
      <w:pPr>
        <w:pStyle w:val="FootnoteText"/>
      </w:pPr>
      <w:r>
        <w:rPr>
          <w:rStyle w:val="FootnoteReference"/>
        </w:rPr>
        <w:footnoteRef/>
      </w:r>
      <w:r>
        <w:tab/>
        <w:t>EUT C  af , s. .</w:t>
      </w:r>
    </w:p>
  </w:footnote>
  <w:footnote w:id="5">
    <w:p>
      <w:pPr>
        <w:pStyle w:val="FootnoteText"/>
      </w:pPr>
      <w:r>
        <w:rPr>
          <w:rStyle w:val="FootnoteReference"/>
        </w:rPr>
        <w:footnoteRef/>
      </w:r>
      <w:r>
        <w:tab/>
        <w:t>EUT C  af , s. .</w:t>
      </w:r>
    </w:p>
  </w:footnote>
  <w:footnote w:id="6">
    <w:p>
      <w:pPr>
        <w:pStyle w:val="FootnoteText"/>
      </w:pPr>
      <w:r>
        <w:rPr>
          <w:rStyle w:val="FootnoteReference"/>
        </w:rPr>
        <w:footnoteRef/>
      </w:r>
      <w:r>
        <w:tab/>
        <w:t>Europa-Parlamentets og Rådets forordning (EU) nr. 1299/2013 af 17. december 2013 om særlige bestemmelser for støtte fra Den Europæiske Fond for Regionaludvikling til målet om europæisk territorialt samarbejde (EUT L 347 af 20.12.2013, s. 259).</w:t>
      </w:r>
    </w:p>
  </w:footnote>
  <w:footnote w:id="7">
    <w:p>
      <w:pPr>
        <w:pStyle w:val="FootnoteText"/>
      </w:pPr>
      <w:r>
        <w:rPr>
          <w:rStyle w:val="FootnoteReference"/>
        </w:rPr>
        <w:footnoteRef/>
      </w:r>
      <w:r>
        <w:tab/>
        <w:t>Europa-Parlamentets og Rådets forordning (EU) nr. 1303/2013 af 17. december 2013 om fælles bestemmelser for Den Europæiske Fond for Regionaludvikling, Den Europæiske Socialfond, Samhørighedsfonden, Den Europæiske Landbrugsfond for Udvikling af Landdistrikterne og Den Europæiske Hav- og Fiskerifond og om generelle bestemmelser for Den Europæiske Fond for Regionaludvikling, Den Europæiske Socialfond, Samhørighedsfonden og Den Europæiske Hav- og Fiskerifond og om ophævelse af Rådets forordning (EF) nr. 1083/2006 (EUT L 347 af 20.12.2013, s. 320).</w:t>
      </w:r>
    </w:p>
  </w:footnote>
  <w:footnote w:id="8">
    <w:p>
      <w:pPr>
        <w:pStyle w:val="FootnoteText"/>
      </w:pPr>
      <w:r>
        <w:rPr>
          <w:rStyle w:val="FootnoteReference"/>
        </w:rPr>
        <w:footnoteRef/>
      </w:r>
      <w:r>
        <w:tab/>
        <w:t>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 (EUT L 193 af 30.7.2018, s. 1).</w:t>
      </w:r>
    </w:p>
  </w:footnote>
  <w:footnote w:id="9">
    <w:p>
      <w:pPr>
        <w:pStyle w:val="FootnoteText"/>
        <w:jc w:val="left"/>
        <w:rPr>
          <w:szCs w:val="24"/>
        </w:rPr>
      </w:pPr>
      <w:r>
        <w:rPr>
          <w:rStyle w:val="FootnoteReference"/>
        </w:rPr>
        <w:footnoteRef/>
      </w:r>
      <w:r>
        <w:tab/>
        <w:t xml:space="preserve">Forklaringer vedrørende forvaltningsmetoder og henvisninger til finansforordningen findes på webstedet BudgWeb: </w:t>
      </w:r>
      <w:hyperlink r:id="rId2">
        <w:r>
          <w:rPr>
            <w:rStyle w:val="Hyperlink"/>
          </w:rPr>
          <w:t>https://myintracomm.ec.europa.eu/budgweb/DA/man/budgmanag/Pages/budgmanag.aspx</w:t>
        </w:r>
      </w:hyperlink>
      <w:r>
        <w:t xml:space="preserve"> </w:t>
      </w:r>
    </w:p>
  </w:footnote>
  <w:footnote w:id="10">
    <w:p>
      <w:pPr>
        <w:pStyle w:val="FootnoteText"/>
        <w:rPr>
          <w:szCs w:val="24"/>
        </w:rPr>
      </w:pPr>
      <w:r>
        <w:rPr>
          <w:rStyle w:val="FootnoteReference"/>
        </w:rPr>
        <w:footnoteRef/>
      </w:r>
      <w:r>
        <w:tab/>
        <w:t>OB = opdelte bevillinger/IOB = ikke-opdelte bevillinger.</w:t>
      </w:r>
    </w:p>
  </w:footnote>
  <w:footnote w:id="11">
    <w:p>
      <w:pPr>
        <w:pStyle w:val="FootnoteText"/>
        <w:rPr>
          <w:szCs w:val="24"/>
        </w:rPr>
      </w:pPr>
      <w:r>
        <w:rPr>
          <w:rStyle w:val="FootnoteReference"/>
        </w:rPr>
        <w:footnoteRef/>
      </w:r>
      <w:r>
        <w:tab/>
        <w:t xml:space="preserve">EFTA: Den Europæiske Frihandelssammenslutning. </w:t>
      </w:r>
    </w:p>
  </w:footnote>
  <w:footnote w:id="12">
    <w:p>
      <w:pPr>
        <w:pStyle w:val="FootnoteText"/>
        <w:rPr>
          <w:szCs w:val="24"/>
        </w:rPr>
      </w:pPr>
      <w:r>
        <w:rPr>
          <w:rStyle w:val="FootnoteReference"/>
        </w:rPr>
        <w:footnoteRef/>
      </w:r>
      <w:r>
        <w:tab/>
        <w:t>Kandidatlande og, efter omstændighederne, potentielle kandidatlande på Vestbalkan.</w:t>
      </w:r>
    </w:p>
  </w:footnote>
  <w:footnote w:id="13">
    <w:p>
      <w:pPr>
        <w:pStyle w:val="FootnoteText"/>
        <w:rPr>
          <w:szCs w:val="24"/>
        </w:rPr>
      </w:pPr>
      <w:r>
        <w:rPr>
          <w:rStyle w:val="FootnoteReference"/>
        </w:rPr>
        <w:footnoteRef/>
      </w:r>
      <w:r>
        <w:tab/>
      </w:r>
      <w:r>
        <w:rPr>
          <w:sz w:val="18"/>
        </w:rPr>
        <w:t>År n er det år, hvor gennemførelsen af forslaget/initiativet begyndes. I stedet for "n" indsættes det forventede første gennemførelsesår (f.eks.: 2021). Dette gælder også for de følgende år.</w:t>
      </w:r>
    </w:p>
  </w:footnote>
  <w:footnote w:id="14">
    <w:p>
      <w:pPr>
        <w:pStyle w:val="FootnoteText"/>
        <w:rPr>
          <w:szCs w:val="24"/>
        </w:rPr>
      </w:pPr>
      <w:r>
        <w:rPr>
          <w:rStyle w:val="FootnoteReference"/>
        </w:rPr>
        <w:footnoteRef/>
      </w:r>
      <w:r>
        <w:tab/>
        <w:t>Resultater er de produkter og tjenesteydelser, der skal leveres (f.eks.: antal finansierede studenterudvekslinger, antal km byggede veje osv.).</w:t>
      </w:r>
    </w:p>
  </w:footnote>
  <w:footnote w:id="15">
    <w:p>
      <w:pPr>
        <w:pStyle w:val="FootnoteText"/>
        <w:rPr>
          <w:szCs w:val="24"/>
        </w:rPr>
      </w:pPr>
      <w:r>
        <w:rPr>
          <w:rStyle w:val="FootnoteReference"/>
        </w:rPr>
        <w:footnoteRef/>
      </w:r>
      <w:r>
        <w:tab/>
        <w:t xml:space="preserve">Som beskrevet i punkt 1.4.2. "Specifikke mål ...". </w:t>
      </w:r>
    </w:p>
  </w:footnote>
  <w:footnote w:id="16">
    <w:p>
      <w:pPr>
        <w:pStyle w:val="FootnoteText"/>
        <w:rPr>
          <w:sz w:val="18"/>
          <w:szCs w:val="18"/>
        </w:rPr>
      </w:pPr>
      <w:r>
        <w:rPr>
          <w:rStyle w:val="FootnoteReference"/>
        </w:rPr>
        <w:footnoteRef/>
      </w:r>
      <w:r>
        <w:tab/>
      </w:r>
      <w:r>
        <w:rPr>
          <w:sz w:val="18"/>
        </w:rPr>
        <w:t>År n er det år, hvor gennemførelsen af forslaget/initiativet begyndes. I stedet for "n" indsættes det forventede første gennemførelsesår (f.eks.: 2021). Dette gælder også for de følgende år.</w:t>
      </w:r>
    </w:p>
  </w:footnote>
  <w:footnote w:id="17">
    <w:p>
      <w:pPr>
        <w:pStyle w:val="FootnoteText"/>
        <w:rPr>
          <w:szCs w:val="24"/>
        </w:rPr>
      </w:pPr>
      <w:r>
        <w:rPr>
          <w:rStyle w:val="FootnoteReference"/>
        </w:rPr>
        <w:footnoteRef/>
      </w:r>
      <w:r>
        <w:tab/>
      </w:r>
      <w:r>
        <w:rPr>
          <w:sz w:val="18"/>
        </w:rPr>
        <w:t>Teknisk og/eller administrativ bistand og udgifter til støtte for gennemførelsen af EU's programmer og/eller aktioner (tidligere BA-poster), indirekte forskning, direkte forskning.</w:t>
      </w:r>
    </w:p>
  </w:footnote>
  <w:footnote w:id="18">
    <w:p>
      <w:pPr>
        <w:pStyle w:val="FootnoteText"/>
        <w:rPr>
          <w:szCs w:val="24"/>
        </w:rPr>
      </w:pPr>
      <w:r>
        <w:rPr>
          <w:rStyle w:val="FootnoteReference"/>
        </w:rPr>
        <w:footnoteRef/>
      </w:r>
      <w:r>
        <w:tab/>
        <w:t xml:space="preserve">KA: kontraktansatte, LA: lokalt ansatte, UNE: udstationerede nationale eksperter, V: vikarer, JED: junioreksperter ved delegationerne. </w:t>
      </w:r>
    </w:p>
  </w:footnote>
  <w:footnote w:id="19">
    <w:p>
      <w:pPr>
        <w:pStyle w:val="FootnoteText"/>
        <w:rPr>
          <w:szCs w:val="24"/>
        </w:rPr>
      </w:pPr>
      <w:r>
        <w:rPr>
          <w:rStyle w:val="FootnoteReference"/>
        </w:rPr>
        <w:footnoteRef/>
      </w:r>
      <w:r>
        <w:tab/>
        <w:t>Delloft for eksternt personale under aktionsbevillingerne (tidligere BA-poster).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F40EEB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E426808"/>
    <w:lvl w:ilvl="0">
      <w:start w:val="1"/>
      <w:numFmt w:val="decimal"/>
      <w:pStyle w:val="ListNumber3"/>
      <w:lvlText w:val="%1."/>
      <w:lvlJc w:val="left"/>
      <w:pPr>
        <w:tabs>
          <w:tab w:val="num" w:pos="926"/>
        </w:tabs>
        <w:ind w:left="926" w:hanging="360"/>
      </w:pPr>
    </w:lvl>
  </w:abstractNum>
  <w:abstractNum w:abstractNumId="2">
    <w:nsid w:val="FFFFFF7F"/>
    <w:multiLevelType w:val="singleLevel"/>
    <w:tmpl w:val="AD16A6D0"/>
    <w:lvl w:ilvl="0">
      <w:start w:val="1"/>
      <w:numFmt w:val="decimal"/>
      <w:pStyle w:val="ListNumber2"/>
      <w:lvlText w:val="%1."/>
      <w:lvlJc w:val="left"/>
      <w:pPr>
        <w:tabs>
          <w:tab w:val="num" w:pos="643"/>
        </w:tabs>
        <w:ind w:left="643" w:hanging="360"/>
      </w:pPr>
    </w:lvl>
  </w:abstractNum>
  <w:abstractNum w:abstractNumId="3">
    <w:nsid w:val="FFFFFF81"/>
    <w:multiLevelType w:val="singleLevel"/>
    <w:tmpl w:val="1804D4C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B8633F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8BC462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E78C8196"/>
    <w:lvl w:ilvl="0">
      <w:start w:val="1"/>
      <w:numFmt w:val="decimal"/>
      <w:pStyle w:val="ListNumber"/>
      <w:lvlText w:val="%1."/>
      <w:lvlJc w:val="left"/>
      <w:pPr>
        <w:tabs>
          <w:tab w:val="num" w:pos="360"/>
        </w:tabs>
        <w:ind w:left="360" w:hanging="360"/>
      </w:pPr>
    </w:lvl>
  </w:abstractNum>
  <w:abstractNum w:abstractNumId="7">
    <w:nsid w:val="FFFFFF89"/>
    <w:multiLevelType w:val="singleLevel"/>
    <w:tmpl w:val="50345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18">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5"/>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8"/>
  </w:num>
  <w:num w:numId="11">
    <w:abstractNumId w:val="13"/>
  </w:num>
  <w:num w:numId="12">
    <w:abstractNumId w:val="18"/>
  </w:num>
  <w:num w:numId="13">
    <w:abstractNumId w:val="17"/>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num>
  <w:num w:numId="17">
    <w:abstractNumId w:val="22"/>
  </w:num>
  <w:num w:numId="18">
    <w:abstractNumId w:val="14"/>
  </w:num>
  <w:num w:numId="19">
    <w:abstractNumId w:val="24"/>
  </w:num>
  <w:num w:numId="20">
    <w:abstractNumId w:val="12"/>
  </w:num>
  <w:num w:numId="21">
    <w:abstractNumId w:val="15"/>
  </w:num>
  <w:num w:numId="22">
    <w:abstractNumId w:val="10"/>
  </w:num>
  <w:num w:numId="23">
    <w:abstractNumId w:val="23"/>
  </w:num>
  <w:num w:numId="24">
    <w:abstractNumId w:val="9"/>
  </w:num>
  <w:num w:numId="25">
    <w:abstractNumId w:val="16"/>
  </w:num>
  <w:num w:numId="26">
    <w:abstractNumId w:val="20"/>
  </w:num>
  <w:num w:numId="27">
    <w:abstractNumId w:val="21"/>
  </w:num>
  <w:num w:numId="28">
    <w:abstractNumId w:val="11"/>
  </w:num>
  <w:num w:numId="29">
    <w:abstractNumId w:val="19"/>
  </w:num>
  <w:num w:numId="30">
    <w:abstractNumId w:val="25"/>
  </w:num>
  <w:num w:numId="31">
    <w:abstractNumId w:val="22"/>
  </w:num>
  <w:num w:numId="32">
    <w:abstractNumId w:val="14"/>
  </w:num>
  <w:num w:numId="33">
    <w:abstractNumId w:val="24"/>
  </w:num>
  <w:num w:numId="34">
    <w:abstractNumId w:val="12"/>
  </w:num>
  <w:num w:numId="35">
    <w:abstractNumId w:val="15"/>
  </w:num>
  <w:num w:numId="36">
    <w:abstractNumId w:val="10"/>
  </w:num>
  <w:num w:numId="37">
    <w:abstractNumId w:val="23"/>
  </w:num>
  <w:num w:numId="38">
    <w:abstractNumId w:val="9"/>
  </w:num>
  <w:num w:numId="39">
    <w:abstractNumId w:val="16"/>
  </w:num>
  <w:num w:numId="40">
    <w:abstractNumId w:val="20"/>
  </w:num>
  <w:num w:numId="41">
    <w:abstractNumId w:val="21"/>
  </w:num>
  <w:num w:numId="42">
    <w:abstractNumId w:val="11"/>
  </w:num>
  <w:num w:numId="43">
    <w:abstractNumId w:val="19"/>
  </w:num>
  <w:num w:numId="44">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12-21 10:14:03"/>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1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668AA360-D3AC-47EA-A447-CB379244EA89"/>
    <w:docVar w:name="LW_COVERPAGE_TYPE" w:val="1"/>
    <w:docVar w:name="LW_CROSSREFERENCE" w:val="&lt;UNUSED&gt;"/>
    <w:docVar w:name="LW_DocType" w:val="COM"/>
    <w:docVar w:name="LW_EMISSION" w:val="19.12.2018"/>
    <w:docVar w:name="LW_EMISSION_ISODATE" w:val="2018-12-19"/>
    <w:docVar w:name="LW_EMISSION_LOCATION" w:val="BRX"/>
    <w:docVar w:name="LW_EMISSION_PREFIX" w:val="Bruxelles, den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DA"/>
    <w:docVar w:name="LW_LEVEL_OF_SENSITIVITY" w:val="Standard treatment"/>
    <w:docVar w:name="LW_NOM.INST" w:val="EUROPA-KOMMISSIONEN"/>
    <w:docVar w:name="LW_NOM.INST_JOINTDOC" w:val="&lt;EMPTY&gt;"/>
    <w:docVar w:name="LW_PART_NBR" w:val="1"/>
    <w:docVar w:name="LW_PART_NBR_TOTAL" w:val="1"/>
    <w:docVar w:name="LW_REF.II.NEW.CP" w:val="COD"/>
    <w:docVar w:name="LW_REF.II.NEW.CP_NUMBER" w:val="0432"/>
    <w:docVar w:name="LW_REF.II.NEW.CP_YEAR" w:val="2018"/>
    <w:docVar w:name="LW_REF.INST.NEW" w:val="COM"/>
    <w:docVar w:name="LW_REF.INST.NEW_ADOPTED" w:val="final"/>
    <w:docVar w:name="LW_REF.INST.NEW_TEXT" w:val="(2018) 8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Forslag til"/>
    <w:docVar w:name="LW_SUPERTITRE" w:val="&lt;UNUSED&gt;"/>
    <w:docVar w:name="LW_TITRE.OBJ.CP" w:val="om muligheden for at videreføre de territoriale samarbejdsprogrammer PEACE IV (Ireland-United Kingdom) og United Kingdom-Ireland (Ireland-Northern Ireland-Scotland) i forbindelse med Det Forenede Kongeriges udtræden af Den Europæiske Union"/>
    <w:docVar w:name="LW_TYPE.DOC.CP" w:val="EUROPA-PARLAMENTETS OG RÅDETS FORORDNING"/>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sz w:val="22"/>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before="0" w:after="160"/>
      <w:jc w:val="left"/>
    </w:pPr>
    <w:rPr>
      <w:rFonts w:asciiTheme="minorHAnsi" w:hAnsiTheme="minorHAnsi" w:cstheme="minorBidi"/>
      <w:sz w:val="20"/>
      <w:szCs w:val="20"/>
    </w:rPr>
  </w:style>
  <w:style w:type="character" w:customStyle="1" w:styleId="CommentTextChar">
    <w:name w:val="Comment Text Char"/>
    <w:basedOn w:val="DefaultParagraphFont"/>
    <w:link w:val="CommentText"/>
    <w:rPr>
      <w:sz w:val="20"/>
      <w:szCs w:val="20"/>
      <w:lang w:val="da-DK"/>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da-DK"/>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Bullet">
    <w:name w:val="List Bullet"/>
    <w:basedOn w:val="Normal"/>
    <w:unhideWhenUsed/>
    <w:pPr>
      <w:numPr>
        <w:numId w:val="2"/>
      </w:numPr>
      <w:contextualSpacing/>
    </w:pPr>
  </w:style>
  <w:style w:type="paragraph" w:styleId="ListBullet2">
    <w:name w:val="List Bullet 2"/>
    <w:basedOn w:val="Normal"/>
    <w:unhideWhenUsed/>
    <w:pPr>
      <w:numPr>
        <w:numId w:val="3"/>
      </w:numPr>
      <w:contextualSpacing/>
    </w:pPr>
  </w:style>
  <w:style w:type="paragraph" w:styleId="ListBullet3">
    <w:name w:val="List Bullet 3"/>
    <w:basedOn w:val="Normal"/>
    <w:unhideWhenUsed/>
    <w:pPr>
      <w:numPr>
        <w:numId w:val="4"/>
      </w:numPr>
      <w:contextualSpacing/>
    </w:pPr>
  </w:style>
  <w:style w:type="paragraph" w:styleId="ListBullet4">
    <w:name w:val="List Bullet 4"/>
    <w:basedOn w:val="Normal"/>
    <w:unhideWhenUsed/>
    <w:pPr>
      <w:numPr>
        <w:numId w:val="5"/>
      </w:numPr>
      <w:contextualSpacing/>
    </w:pPr>
  </w:style>
  <w:style w:type="paragraph" w:styleId="ListNumber">
    <w:name w:val="List Number"/>
    <w:basedOn w:val="Normal"/>
    <w:unhideWhenUsed/>
    <w:pPr>
      <w:numPr>
        <w:numId w:val="6"/>
      </w:numPr>
      <w:contextualSpacing/>
    </w:pPr>
  </w:style>
  <w:style w:type="paragraph" w:styleId="ListNumber2">
    <w:name w:val="List Number 2"/>
    <w:basedOn w:val="Normal"/>
    <w:unhideWhenUsed/>
    <w:pPr>
      <w:numPr>
        <w:numId w:val="7"/>
      </w:numPr>
      <w:contextualSpacing/>
    </w:pPr>
  </w:style>
  <w:style w:type="paragraph" w:styleId="ListNumber3">
    <w:name w:val="List Number 3"/>
    <w:basedOn w:val="Normal"/>
    <w:unhideWhenUsed/>
    <w:pPr>
      <w:numPr>
        <w:numId w:val="8"/>
      </w:numPr>
      <w:contextualSpacing/>
    </w:pPr>
  </w:style>
  <w:style w:type="paragraph" w:styleId="ListNumber4">
    <w:name w:val="List Number 4"/>
    <w:basedOn w:val="Normal"/>
    <w:unhideWhenUsed/>
    <w:pPr>
      <w:numPr>
        <w:numId w:val="9"/>
      </w:numPr>
      <w:contextualSpacing/>
    </w:pPr>
  </w:style>
  <w:style w:type="paragraph" w:styleId="CommentSubject">
    <w:name w:val="annotation subject"/>
    <w:basedOn w:val="CommentText"/>
    <w:next w:val="CommentText"/>
    <w:link w:val="CommentSubjectChar"/>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da-DK"/>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istBullet1">
    <w:name w:val="List Bullet 1"/>
    <w:basedOn w:val="Normal"/>
    <w:pPr>
      <w:numPr>
        <w:numId w:val="10"/>
      </w:numPr>
    </w:pPr>
  </w:style>
  <w:style w:type="paragraph" w:customStyle="1" w:styleId="ListDash">
    <w:name w:val="List Dash"/>
    <w:basedOn w:val="Normal"/>
    <w:pPr>
      <w:numPr>
        <w:numId w:val="11"/>
      </w:numPr>
    </w:pPr>
  </w:style>
  <w:style w:type="paragraph" w:customStyle="1" w:styleId="ListDash1">
    <w:name w:val="List Dash 1"/>
    <w:basedOn w:val="Normal"/>
    <w:pPr>
      <w:numPr>
        <w:numId w:val="12"/>
      </w:numPr>
    </w:pPr>
  </w:style>
  <w:style w:type="paragraph" w:customStyle="1" w:styleId="ListDash2">
    <w:name w:val="List Dash 2"/>
    <w:basedOn w:val="Normal"/>
    <w:pPr>
      <w:numPr>
        <w:numId w:val="13"/>
      </w:numPr>
    </w:pPr>
  </w:style>
  <w:style w:type="paragraph" w:customStyle="1" w:styleId="ListNumberLevel2">
    <w:name w:val="List Number (Level 2)"/>
    <w:basedOn w:val="Normal"/>
    <w:pPr>
      <w:tabs>
        <w:tab w:val="num" w:pos="1417"/>
      </w:tabs>
      <w:ind w:left="1417" w:hanging="708"/>
    </w:pPr>
  </w:style>
  <w:style w:type="paragraph" w:customStyle="1" w:styleId="ListNumberLevel3">
    <w:name w:val="List Number (Level 3)"/>
    <w:basedOn w:val="Normal"/>
    <w:pPr>
      <w:tabs>
        <w:tab w:val="num" w:pos="2126"/>
      </w:tabs>
      <w:ind w:left="2126" w:hanging="709"/>
    </w:pPr>
  </w:style>
  <w:style w:type="paragraph" w:customStyle="1" w:styleId="ListNumberLevel4">
    <w:name w:val="List Number (Level 4)"/>
    <w:basedOn w:val="Normal"/>
    <w:pPr>
      <w:tabs>
        <w:tab w:val="num" w:pos="2835"/>
      </w:tabs>
      <w:ind w:left="2835" w:hanging="709"/>
    </w:p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FollowedHyperlink">
    <w:name w:val="FollowedHyperlink"/>
    <w:rPr>
      <w:color w:val="800080"/>
      <w:u w:val="singl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OCHeadingChar">
    <w:name w:val="TOC Heading Char"/>
    <w:basedOn w:val="DefaultParagraphFont"/>
    <w:uiPriority w:val="39"/>
    <w:rPr>
      <w:rFonts w:ascii="Times New Roman" w:hAnsi="Times New Roman" w:cs="Times New Roman"/>
      <w:b/>
      <w:sz w:val="28"/>
      <w:lang w:val="da-DK"/>
    </w:rPr>
  </w:style>
  <w:style w:type="character" w:customStyle="1" w:styleId="FooterCoverPageChar">
    <w:name w:val="Footer Cover Page Char"/>
    <w:basedOn w:val="TOCHeadingChar"/>
    <w:link w:val="FooterCoverPage"/>
    <w:rPr>
      <w:rFonts w:ascii="Times New Roman" w:hAnsi="Times New Roman" w:cs="Times New Roman"/>
      <w:b w:val="0"/>
      <w:sz w:val="24"/>
      <w:lang w:val="da-DK"/>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TOCHeadingChar"/>
    <w:link w:val="HeaderCoverPage"/>
    <w:rPr>
      <w:rFonts w:ascii="Times New Roman" w:hAnsi="Times New Roman" w:cs="Times New Roman"/>
      <w:b w:val="0"/>
      <w:sz w:val="24"/>
      <w:lang w:val="da-DK" w:eastAsia="da-DK"/>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a-D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sz w:val="22"/>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before="0" w:after="160"/>
      <w:jc w:val="left"/>
    </w:pPr>
    <w:rPr>
      <w:rFonts w:asciiTheme="minorHAnsi" w:hAnsiTheme="minorHAnsi" w:cstheme="minorBidi"/>
      <w:sz w:val="20"/>
      <w:szCs w:val="20"/>
    </w:rPr>
  </w:style>
  <w:style w:type="character" w:customStyle="1" w:styleId="CommentTextChar">
    <w:name w:val="Comment Text Char"/>
    <w:basedOn w:val="DefaultParagraphFont"/>
    <w:link w:val="CommentText"/>
    <w:rPr>
      <w:sz w:val="20"/>
      <w:szCs w:val="20"/>
      <w:lang w:val="da-DK"/>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da-DK"/>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Bullet">
    <w:name w:val="List Bullet"/>
    <w:basedOn w:val="Normal"/>
    <w:unhideWhenUsed/>
    <w:pPr>
      <w:numPr>
        <w:numId w:val="2"/>
      </w:numPr>
      <w:contextualSpacing/>
    </w:pPr>
  </w:style>
  <w:style w:type="paragraph" w:styleId="ListBullet2">
    <w:name w:val="List Bullet 2"/>
    <w:basedOn w:val="Normal"/>
    <w:unhideWhenUsed/>
    <w:pPr>
      <w:numPr>
        <w:numId w:val="3"/>
      </w:numPr>
      <w:contextualSpacing/>
    </w:pPr>
  </w:style>
  <w:style w:type="paragraph" w:styleId="ListBullet3">
    <w:name w:val="List Bullet 3"/>
    <w:basedOn w:val="Normal"/>
    <w:unhideWhenUsed/>
    <w:pPr>
      <w:numPr>
        <w:numId w:val="4"/>
      </w:numPr>
      <w:contextualSpacing/>
    </w:pPr>
  </w:style>
  <w:style w:type="paragraph" w:styleId="ListBullet4">
    <w:name w:val="List Bullet 4"/>
    <w:basedOn w:val="Normal"/>
    <w:unhideWhenUsed/>
    <w:pPr>
      <w:numPr>
        <w:numId w:val="5"/>
      </w:numPr>
      <w:contextualSpacing/>
    </w:pPr>
  </w:style>
  <w:style w:type="paragraph" w:styleId="ListNumber">
    <w:name w:val="List Number"/>
    <w:basedOn w:val="Normal"/>
    <w:unhideWhenUsed/>
    <w:pPr>
      <w:numPr>
        <w:numId w:val="6"/>
      </w:numPr>
      <w:contextualSpacing/>
    </w:pPr>
  </w:style>
  <w:style w:type="paragraph" w:styleId="ListNumber2">
    <w:name w:val="List Number 2"/>
    <w:basedOn w:val="Normal"/>
    <w:unhideWhenUsed/>
    <w:pPr>
      <w:numPr>
        <w:numId w:val="7"/>
      </w:numPr>
      <w:contextualSpacing/>
    </w:pPr>
  </w:style>
  <w:style w:type="paragraph" w:styleId="ListNumber3">
    <w:name w:val="List Number 3"/>
    <w:basedOn w:val="Normal"/>
    <w:unhideWhenUsed/>
    <w:pPr>
      <w:numPr>
        <w:numId w:val="8"/>
      </w:numPr>
      <w:contextualSpacing/>
    </w:pPr>
  </w:style>
  <w:style w:type="paragraph" w:styleId="ListNumber4">
    <w:name w:val="List Number 4"/>
    <w:basedOn w:val="Normal"/>
    <w:unhideWhenUsed/>
    <w:pPr>
      <w:numPr>
        <w:numId w:val="9"/>
      </w:numPr>
      <w:contextualSpacing/>
    </w:pPr>
  </w:style>
  <w:style w:type="paragraph" w:styleId="CommentSubject">
    <w:name w:val="annotation subject"/>
    <w:basedOn w:val="CommentText"/>
    <w:next w:val="CommentText"/>
    <w:link w:val="CommentSubjectChar"/>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da-DK"/>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istBullet1">
    <w:name w:val="List Bullet 1"/>
    <w:basedOn w:val="Normal"/>
    <w:pPr>
      <w:numPr>
        <w:numId w:val="10"/>
      </w:numPr>
    </w:pPr>
  </w:style>
  <w:style w:type="paragraph" w:customStyle="1" w:styleId="ListDash">
    <w:name w:val="List Dash"/>
    <w:basedOn w:val="Normal"/>
    <w:pPr>
      <w:numPr>
        <w:numId w:val="11"/>
      </w:numPr>
    </w:pPr>
  </w:style>
  <w:style w:type="paragraph" w:customStyle="1" w:styleId="ListDash1">
    <w:name w:val="List Dash 1"/>
    <w:basedOn w:val="Normal"/>
    <w:pPr>
      <w:numPr>
        <w:numId w:val="12"/>
      </w:numPr>
    </w:pPr>
  </w:style>
  <w:style w:type="paragraph" w:customStyle="1" w:styleId="ListDash2">
    <w:name w:val="List Dash 2"/>
    <w:basedOn w:val="Normal"/>
    <w:pPr>
      <w:numPr>
        <w:numId w:val="13"/>
      </w:numPr>
    </w:pPr>
  </w:style>
  <w:style w:type="paragraph" w:customStyle="1" w:styleId="ListNumberLevel2">
    <w:name w:val="List Number (Level 2)"/>
    <w:basedOn w:val="Normal"/>
    <w:pPr>
      <w:tabs>
        <w:tab w:val="num" w:pos="1417"/>
      </w:tabs>
      <w:ind w:left="1417" w:hanging="708"/>
    </w:pPr>
  </w:style>
  <w:style w:type="paragraph" w:customStyle="1" w:styleId="ListNumberLevel3">
    <w:name w:val="List Number (Level 3)"/>
    <w:basedOn w:val="Normal"/>
    <w:pPr>
      <w:tabs>
        <w:tab w:val="num" w:pos="2126"/>
      </w:tabs>
      <w:ind w:left="2126" w:hanging="709"/>
    </w:pPr>
  </w:style>
  <w:style w:type="paragraph" w:customStyle="1" w:styleId="ListNumberLevel4">
    <w:name w:val="List Number (Level 4)"/>
    <w:basedOn w:val="Normal"/>
    <w:pPr>
      <w:tabs>
        <w:tab w:val="num" w:pos="2835"/>
      </w:tabs>
      <w:ind w:left="2835" w:hanging="709"/>
    </w:p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FollowedHyperlink">
    <w:name w:val="FollowedHyperlink"/>
    <w:rPr>
      <w:color w:val="800080"/>
      <w:u w:val="singl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OCHeadingChar">
    <w:name w:val="TOC Heading Char"/>
    <w:basedOn w:val="DefaultParagraphFont"/>
    <w:uiPriority w:val="39"/>
    <w:rPr>
      <w:rFonts w:ascii="Times New Roman" w:hAnsi="Times New Roman" w:cs="Times New Roman"/>
      <w:b/>
      <w:sz w:val="28"/>
      <w:lang w:val="da-DK"/>
    </w:rPr>
  </w:style>
  <w:style w:type="character" w:customStyle="1" w:styleId="FooterCoverPageChar">
    <w:name w:val="Footer Cover Page Char"/>
    <w:basedOn w:val="TOCHeadingChar"/>
    <w:link w:val="FooterCoverPage"/>
    <w:rPr>
      <w:rFonts w:ascii="Times New Roman" w:hAnsi="Times New Roman" w:cs="Times New Roman"/>
      <w:b w:val="0"/>
      <w:sz w:val="24"/>
      <w:lang w:val="da-DK"/>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TOCHeadingChar"/>
    <w:link w:val="HeaderCoverPage"/>
    <w:rPr>
      <w:rFonts w:ascii="Times New Roman" w:hAnsi="Times New Roman" w:cs="Times New Roman"/>
      <w:b w:val="0"/>
      <w:sz w:val="24"/>
      <w:lang w:val="da-DK" w:eastAsia="da-DK"/>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a-D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835442">
      <w:bodyDiv w:val="1"/>
      <w:marLeft w:val="0"/>
      <w:marRight w:val="0"/>
      <w:marTop w:val="0"/>
      <w:marBottom w:val="0"/>
      <w:divBdr>
        <w:top w:val="none" w:sz="0" w:space="0" w:color="auto"/>
        <w:left w:val="none" w:sz="0" w:space="0" w:color="auto"/>
        <w:bottom w:val="none" w:sz="0" w:space="0" w:color="auto"/>
        <w:right w:val="none" w:sz="0" w:space="0" w:color="auto"/>
      </w:divBdr>
    </w:div>
    <w:div w:id="909922137">
      <w:bodyDiv w:val="1"/>
      <w:marLeft w:val="0"/>
      <w:marRight w:val="0"/>
      <w:marTop w:val="0"/>
      <w:marBottom w:val="0"/>
      <w:divBdr>
        <w:top w:val="none" w:sz="0" w:space="0" w:color="auto"/>
        <w:left w:val="none" w:sz="0" w:space="0" w:color="auto"/>
        <w:bottom w:val="none" w:sz="0" w:space="0" w:color="auto"/>
        <w:right w:val="none" w:sz="0" w:space="0" w:color="auto"/>
      </w:divBdr>
    </w:div>
    <w:div w:id="1107970632">
      <w:bodyDiv w:val="1"/>
      <w:marLeft w:val="0"/>
      <w:marRight w:val="0"/>
      <w:marTop w:val="0"/>
      <w:marBottom w:val="0"/>
      <w:divBdr>
        <w:top w:val="none" w:sz="0" w:space="0" w:color="auto"/>
        <w:left w:val="none" w:sz="0" w:space="0" w:color="auto"/>
        <w:bottom w:val="none" w:sz="0" w:space="0" w:color="auto"/>
        <w:right w:val="none" w:sz="0" w:space="0" w:color="auto"/>
      </w:divBdr>
    </w:div>
    <w:div w:id="1344938254">
      <w:bodyDiv w:val="1"/>
      <w:marLeft w:val="0"/>
      <w:marRight w:val="0"/>
      <w:marTop w:val="0"/>
      <w:marBottom w:val="0"/>
      <w:divBdr>
        <w:top w:val="none" w:sz="0" w:space="0" w:color="auto"/>
        <w:left w:val="none" w:sz="0" w:space="0" w:color="auto"/>
        <w:bottom w:val="none" w:sz="0" w:space="0" w:color="auto"/>
        <w:right w:val="none" w:sz="0" w:space="0" w:color="auto"/>
      </w:divBdr>
    </w:div>
    <w:div w:id="1599363576">
      <w:bodyDiv w:val="1"/>
      <w:marLeft w:val="0"/>
      <w:marRight w:val="0"/>
      <w:marTop w:val="0"/>
      <w:marBottom w:val="0"/>
      <w:divBdr>
        <w:top w:val="none" w:sz="0" w:space="0" w:color="auto"/>
        <w:left w:val="none" w:sz="0" w:space="0" w:color="auto"/>
        <w:bottom w:val="none" w:sz="0" w:space="0" w:color="auto"/>
        <w:right w:val="none" w:sz="0" w:space="0" w:color="auto"/>
      </w:divBdr>
    </w:div>
    <w:div w:id="1819226502">
      <w:bodyDiv w:val="1"/>
      <w:marLeft w:val="0"/>
      <w:marRight w:val="0"/>
      <w:marTop w:val="0"/>
      <w:marBottom w:val="0"/>
      <w:divBdr>
        <w:top w:val="none" w:sz="0" w:space="0" w:color="auto"/>
        <w:left w:val="none" w:sz="0" w:space="0" w:color="auto"/>
        <w:bottom w:val="none" w:sz="0" w:space="0" w:color="auto"/>
        <w:right w:val="none" w:sz="0" w:space="0" w:color="auto"/>
      </w:divBdr>
    </w:div>
    <w:div w:id="204088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footer" Target="footer8.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myintracomm.ec.europa.eu/budgweb/EN/leg/internal/Documents/2016-5-legislative-financial-statement-ann-en.docx" TargetMode="External"/><Relationship Id="rId27" Type="http://schemas.openxmlformats.org/officeDocument/2006/relationships/header" Target="header6.xml"/><Relationship Id="rId30" Type="http://schemas.openxmlformats.org/officeDocument/2006/relationships/footer" Target="footer9.xml"/></Relationships>
</file>

<file path=word/_rels/footnotes.xml.rels><?xml version="1.0" encoding="UTF-8" standalone="yes"?>
<Relationships xmlns="http://schemas.openxmlformats.org/package/2006/relationships"><Relationship Id="rId2" Type="http://schemas.openxmlformats.org/officeDocument/2006/relationships/hyperlink" Target="https://myintracomm.ec.europa.eu/budgweb/DA/man/budgmanag/Pages/budgmanag.aspx" TargetMode="External"/><Relationship Id="rId1" Type="http://schemas.openxmlformats.org/officeDocument/2006/relationships/hyperlink" Target="https://ec.europa.eu/commission/sites/beta-political/files/draft_withdrawal_agreement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D33D44CF0C8FEB45875F235DEEF2E1B9" ma:contentTypeVersion="7" ma:contentTypeDescription="Create a new document in this library." ma:contentTypeScope="" ma:versionID="0cb51d011d44aaa2f2f2559eb8aaf023">
  <xsd:schema xmlns:xsd="http://www.w3.org/2001/XMLSchema" xmlns:xs="http://www.w3.org/2001/XMLSchema" xmlns:p="http://schemas.microsoft.com/office/2006/metadata/properties" xmlns:ns1="http://schemas.microsoft.com/sharepoint/v3" xmlns:ns2="http://schemas.microsoft.com/sharepoint/v3/fields" xmlns:ns3="25173920-bf43-43cc-9123-1897e847dfc2" targetNamespace="http://schemas.microsoft.com/office/2006/metadata/properties" ma:root="true" ma:fieldsID="a931e117a4c2a292401c17c6d61581df" ns1:_="" ns2:_="" ns3:_="">
    <xsd:import namespace="http://schemas.microsoft.com/sharepoint/v3"/>
    <xsd:import namespace="http://schemas.microsoft.com/sharepoint/v3/fields"/>
    <xsd:import namespace="25173920-bf43-43cc-9123-1897e847dfc2"/>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1:RelatedItems" minOccurs="0"/>
                <xsd:element ref="ns3:DG"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16" nillable="true" ma:displayName="Related Items" ma:internalName="RelatedItems" ma:readOnly="false">
      <xsd:simpleType>
        <xsd:restriction base="dms:Not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5173920-bf43-43cc-9123-1897e847dfc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G" ma:index="17" nillable="true" ma:displayName="DG" ma:description="Associated DG(s)" ma:list="{a436e1b9-89ab-4a0f-bf89-77e0c01004af}" ma:internalName="DG"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25173920-bf43-43cc-9123-1897e847dfc2" xsi:nil="true"/>
    <_Status xmlns="http://schemas.microsoft.com/sharepoint/v3/fields">Not Started</_Status>
    <EC_Collab_Status xmlns="25173920-bf43-43cc-9123-1897e847dfc2">Not Started</EC_Collab_Status>
    <DG xmlns="25173920-bf43-43cc-9123-1897e847dfc2"/>
    <EC_Collab_DocumentLanguage xmlns="25173920-bf43-43cc-9123-1897e847dfc2">EN</EC_Collab_DocumentLanguage>
    <RelatedItem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p:Policy xmlns:p="office.server.policy" id="" local="true">
  <p:Name>EC Document</p:Name>
  <p:Description/>
  <p:Statement/>
  <p:PolicyItems>
    <p:PolicyItem featureId="Microsoft.Office.RecordsManagement.PolicyFeatures.PolicyAudit" staticId="0x010100258AA79CEB83498886A3A0868112325000D33D44CF0C8FEB45875F235DEEF2E1B9|8138272" UniqueId="82ebddaa-263f-44a4-b383-ae40ea096670">
      <p:Name>Auditing</p:Name>
      <p:Description>Audits user actions on documents and list items to the Audit Log.</p:Description>
      <p:CustomData>
        <Audit>
          <Update/>
          <View/>
          <CheckInOut/>
          <MoveCopy/>
          <DeleteRestore/>
        </Audit>
      </p:CustomData>
    </p:PolicyItem>
  </p:PolicyItems>
</p:Policy>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F0D82-652B-49F8-AE82-E378CACF6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25173920-bf43-43cc-9123-1897e847d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7B865B-36F0-4138-B199-ECE1D0A637C6}">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5173920-bf43-43cc-9123-1897e847dfc2"/>
    <ds:schemaRef ds:uri="http://schemas.microsoft.com/sharepoint/v3/fields"/>
    <ds:schemaRef ds:uri="http://www.w3.org/XML/1998/namespace"/>
    <ds:schemaRef ds:uri="http://purl.org/dc/dcmitype/"/>
  </ds:schemaRefs>
</ds:datastoreItem>
</file>

<file path=customXml/itemProps3.xml><?xml version="1.0" encoding="utf-8"?>
<ds:datastoreItem xmlns:ds="http://schemas.openxmlformats.org/officeDocument/2006/customXml" ds:itemID="{D030B0AC-03B6-4A47-A2F9-041C46CC9DCE}">
  <ds:schemaRefs>
    <ds:schemaRef ds:uri="http://schemas.microsoft.com/sharepoint/v3/contenttype/forms"/>
  </ds:schemaRefs>
</ds:datastoreItem>
</file>

<file path=customXml/itemProps4.xml><?xml version="1.0" encoding="utf-8"?>
<ds:datastoreItem xmlns:ds="http://schemas.openxmlformats.org/officeDocument/2006/customXml" ds:itemID="{C9EAE0B0-F058-49FE-8663-1102E71390BC}">
  <ds:schemaRefs>
    <ds:schemaRef ds:uri="office.server.policy"/>
  </ds:schemaRefs>
</ds:datastoreItem>
</file>

<file path=customXml/itemProps5.xml><?xml version="1.0" encoding="utf-8"?>
<ds:datastoreItem xmlns:ds="http://schemas.openxmlformats.org/officeDocument/2006/customXml" ds:itemID="{393E8DA6-1784-4588-966E-0C0F3C345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19</Pages>
  <Words>3527</Words>
  <Characters>22434</Characters>
  <Application>Microsoft Office Word</Application>
  <DocSecurity>0</DocSecurity>
  <Lines>1246</Lines>
  <Paragraphs>393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2018-12-19T10:00:00Z</dcterms:created>
  <dcterms:modified xsi:type="dcterms:W3CDTF">2018-12-21T09:14:00Z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ContentTypeId">
    <vt:lpwstr>0x010100258AA79CEB83498886A3A0868112325000D33D44CF0C8FEB45875F235DEEF2E1B9</vt:lpwstr>
  </property>
  <property fmtid="{D5CDD505-2E9C-101B-9397-08002B2CF9AE}" pid="9" name="DQCStatus">
    <vt:lpwstr>Green (DQC version 03)</vt:lpwstr>
  </property>
</Properties>
</file>