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42AA6A3-C2BE-4431-ACE3-B288B6EB9CE3" style="width:450.7pt;height:352.0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BEGRUNDELSE</w:t>
      </w:r>
    </w:p>
    <w:p>
      <w:pPr>
        <w:rPr>
          <w:noProof/>
        </w:rPr>
      </w:pPr>
      <w:r>
        <w:rPr>
          <w:noProof/>
        </w:rPr>
        <w:t>I henhold til artikel 395, stk. 1, i Rådets direktiv 2006/112/EF</w:t>
      </w:r>
      <w:r>
        <w:rPr>
          <w:rStyle w:val="FootnoteReference0"/>
          <w:noProof/>
        </w:rPr>
        <w:footnoteReference w:id="1"/>
      </w:r>
      <w:r>
        <w:rPr>
          <w:noProof/>
        </w:rPr>
        <w:t xml:space="preserve"> af 28. november 2006 om det fælles merværdiafgiftssystem (i det følgende benævnt "momsdirektivet") kan Rådet med enstemmighed på forslag af Kommissionen give en medlemsstat tilladelse til at anvende særlige foranstaltninger, der fraviger bestemmelserne i direktivet, for at forenkle momsopkrævningen eller for at forhindre visse former for momsunddragelse eller momsundgåelse.</w:t>
      </w:r>
    </w:p>
    <w:p>
      <w:pPr>
        <w:rPr>
          <w:noProof/>
        </w:rPr>
      </w:pPr>
      <w:r>
        <w:rPr>
          <w:noProof/>
        </w:rPr>
        <w:t>Ved brev registreret i Kommissionen den 22. september 2017 anmodede Malta om tilladelse til at anvende en foranstaltning fra den 1. januar 2018, der fraviger momsdirektivets artikel 287, og som giver Malta mulighed for at momsfritage afgiftspligtige personer, hvis økonomiske aktivitet hovedsageligt består i levering af ydelser med en høj merværdi (lavt input), og hvis årlige omsætning ikke overstiger 20 000 EUR.</w:t>
      </w:r>
    </w:p>
    <w:p>
      <w:pPr>
        <w:rPr>
          <w:noProof/>
        </w:rPr>
      </w:pPr>
      <w:r>
        <w:rPr>
          <w:noProof/>
        </w:rPr>
        <w:t>I overensstemmelse med momsdirektivets artikel 395, stk. 2, underrettede Kommissionen ved brev af 3. november 2017 de øvrige medlemsstater om Maltas anmodning. Ved brev af 7. november 2017 meddelte Kommissionen Malta, at den rådede over alle de oplysninger, der var nødvendige for at vurdere anmodningen.</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bdr w:val="nil"/>
        </w:rPr>
        <w:t>•</w:t>
      </w:r>
      <w:r>
        <w:rPr>
          <w:noProof/>
        </w:rPr>
        <w:tab/>
        <w:t>Forslagets begrundelse og formål</w:t>
      </w:r>
    </w:p>
    <w:p>
      <w:pPr>
        <w:rPr>
          <w:noProof/>
        </w:rPr>
      </w:pPr>
      <w:r>
        <w:rPr>
          <w:noProof/>
        </w:rPr>
        <w:t>Det følger af momsdirektivets afsnit XII, kapitel 1, at medlemsstaterne har mulighed for at anvende særordninger for små virksomheder, herunder mulighed for at indrømme momsfritagelse til afgiftspligtige personer med en årlig omsætning under et vist beløb. Momsfritagelsen indebærer, at en afgiftspligtig person ikke skal opkræve moms af leveringer og følgelig heller ikke kan fradrage indgående moms.</w:t>
      </w:r>
    </w:p>
    <w:p>
      <w:pPr>
        <w:rPr>
          <w:noProof/>
        </w:rPr>
      </w:pPr>
      <w:r>
        <w:rPr>
          <w:noProof/>
        </w:rPr>
        <w:t xml:space="preserve">I henhold til momsdirektivets artikel 287 kan medlemsstater, som er tiltrådt efter den 1. januar 1978, indrømme momsfritagelse til afgiftspligtige personer, hvis årlige omsætning højst er lig med modværdien i national valuta af et bestemt beløb beregnet på grundlag af kursen på dagen for deres tiltrædelse. Malta indførte euroen den 1. januar 2008. </w:t>
      </w:r>
    </w:p>
    <w:p>
      <w:pPr>
        <w:rPr>
          <w:noProof/>
        </w:rPr>
      </w:pPr>
      <w:r>
        <w:rPr>
          <w:noProof/>
        </w:rPr>
        <w:t>I henhold til momsdirektivets artikel 287, nr. 13), kan Malta indrømme momsfritagelse til tre kategorier af afgiftspligtige personer: afgiftspligtige personer, hvis årlige omsætning højst er lig med 37 000 EUR, såfremt den økonomiske aktivitet hovedsageligt består i levering af varer, højst 24 300 EUR, såfremt den økonomiske aktivitet hovedsageligt består i levering af ydelser med en ringe merværdi (højt input), og højst 14 600 EUR i andre tilfælde, dvs. levering af ydelser med høj merværdi (lavt input).</w:t>
      </w:r>
    </w:p>
    <w:p>
      <w:pPr>
        <w:rPr>
          <w:noProof/>
        </w:rPr>
      </w:pPr>
      <w:r>
        <w:rPr>
          <w:noProof/>
        </w:rPr>
        <w:t xml:space="preserve">Malta har siden sin tiltrædelse anvendt denne bestemmelse til at hjælpe små virksomheder og anspore nye virksomheder til at påbegynde en aktivitet. Den har vist sig at være en nyttig forenklingsforanstaltning, da den fjerner mange momsforpligtelser for virksomheder med en årlig omsætning under et vist beløb, hvilket er med til at reducere disse virksomheders driftsomkostninger. Samtidig har den en ubetydelig virkning for indtægterne. Den maltesiske regering er fast besluttet på fortsat at anvende foranstaltninger til at forenkle de små virksomheders forpligtelser i overensstemmelse med Den Europæiske Unions målsætninger </w:t>
      </w:r>
      <w:r>
        <w:rPr>
          <w:noProof/>
        </w:rPr>
        <w:lastRenderedPageBreak/>
        <w:t>for små virksomheder som beskrevet i Kommissionens meddelelse "Tænk småt først – En "Small Business Act" for Europa"</w:t>
      </w:r>
      <w:r>
        <w:rPr>
          <w:rStyle w:val="FootnoteReference0"/>
          <w:noProof/>
        </w:rPr>
        <w:footnoteReference w:id="2"/>
      </w:r>
      <w:r>
        <w:rPr>
          <w:noProof/>
        </w:rPr>
        <w:t>.</w:t>
      </w:r>
    </w:p>
    <w:p>
      <w:pPr>
        <w:rPr>
          <w:noProof/>
        </w:rPr>
      </w:pPr>
      <w:r>
        <w:rPr>
          <w:noProof/>
        </w:rPr>
        <w:t>Malta ønsker derfor at øge den nugældende tærskel for kategorien med den laveste omsætning (14 600 EUR) til 20 000 EUR.</w:t>
      </w:r>
    </w:p>
    <w:p>
      <w:pPr>
        <w:rPr>
          <w:noProof/>
        </w:rPr>
      </w:pPr>
      <w:r>
        <w:rPr>
          <w:noProof/>
        </w:rPr>
        <w:t>Ifølge de maltesiske myndigheder kan en sådan forhøjelse potentielt øge antallet af små virksomheder, der er registreret under forenklingsordningen for SMV'er i den laveste kategori, fra 15 615 virksomheder til omkring 16 504 svarende til en stigning på ca. 5,3 %. Det vil desuden give de maltesiske skattemyndigheder mulighed for at afsætte mere personale til bekæmpelse af momssvig.</w:t>
      </w:r>
    </w:p>
    <w:p>
      <w:pPr>
        <w:rPr>
          <w:noProof/>
        </w:rPr>
      </w:pPr>
      <w:r>
        <w:rPr>
          <w:noProof/>
        </w:rPr>
        <w:t xml:space="preserve">Ved at hæve tærsklen for momsregistrering af afgiftspligtige personer fra 14 600 EUR til 20 000 EUR forventes det, at de administrative byrder for virksomheder, der kan omfattes af ordningen, og især for mikrovirksomheder, vil mindskes som følge af foranstaltningen, idet de fritages for mange af momsforpligtelserne under den almindelige momsordning, f.eks. at føre momsregnskab eller indgive momsangivelser. </w:t>
      </w:r>
    </w:p>
    <w:p>
      <w:pPr>
        <w:rPr>
          <w:noProof/>
        </w:rPr>
      </w:pPr>
      <w:r>
        <w:rPr>
          <w:noProof/>
        </w:rPr>
        <w:t>De maltesiske myndigheder anslår, at denne forøgelse potentielt vil reducere momsindtægterne med ca. 0,24 % af de samlede momsindtægter, og at den derfor ikke vil have nogen væsentlig indvirkning på statens indtægter. Denne ubetydelige reduktion i indtægterne ventes at blive opvejet af en generelt bedre anvendelse af reglerne og bedre revisionsarbejde.</w:t>
      </w:r>
    </w:p>
    <w:p>
      <w:pPr>
        <w:rPr>
          <w:noProof/>
        </w:rPr>
      </w:pPr>
      <w:r>
        <w:rPr>
          <w:noProof/>
        </w:rPr>
        <w:t>Afgiftspligtige personer, hvis omsætning ikke overstiger tærsklen, vil stadig have mulighed for at lade sig momsregistrere.</w:t>
      </w:r>
    </w:p>
    <w:p>
      <w:pPr>
        <w:pStyle w:val="ManualHeading2"/>
        <w:rPr>
          <w:rFonts w:eastAsia="Arial Unicode MS"/>
          <w:noProof/>
          <w:color w:val="000000"/>
          <w:u w:color="000000"/>
          <w:bdr w:val="nil"/>
        </w:rPr>
      </w:pPr>
      <w:r>
        <w:rPr>
          <w:noProof/>
          <w:color w:val="000000"/>
          <w:u w:color="000000"/>
          <w:bdr w:val="nil"/>
        </w:rPr>
        <w:t>•</w:t>
      </w:r>
      <w:r>
        <w:rPr>
          <w:noProof/>
        </w:rPr>
        <w:tab/>
        <w:t>Sammenhæng med de gældende regler på samme område:</w:t>
      </w:r>
    </w:p>
    <w:p>
      <w:pPr>
        <w:rPr>
          <w:noProof/>
          <w:color w:val="000000"/>
        </w:rPr>
      </w:pPr>
      <w:r>
        <w:rPr>
          <w:noProof/>
        </w:rPr>
        <w:t>Andre medlemsstater har fået tilladelse til lignende fravigelser.</w:t>
      </w:r>
      <w:r>
        <w:rPr>
          <w:noProof/>
          <w:color w:val="000000"/>
        </w:rPr>
        <w:t xml:space="preserve"> Belgien</w:t>
      </w:r>
      <w:r>
        <w:rPr>
          <w:rStyle w:val="FootnoteReference0"/>
          <w:noProof/>
          <w:color w:val="000000"/>
        </w:rPr>
        <w:footnoteReference w:id="3"/>
      </w:r>
      <w:r>
        <w:rPr>
          <w:noProof/>
          <w:color w:val="000000"/>
        </w:rPr>
        <w:t xml:space="preserve"> har fået godkendt en tærskel på 25 000 EUR, Luxembourg</w:t>
      </w:r>
      <w:r>
        <w:rPr>
          <w:rStyle w:val="FootnoteReference0"/>
          <w:noProof/>
          <w:color w:val="000000"/>
        </w:rPr>
        <w:footnoteReference w:id="4"/>
      </w:r>
      <w:r>
        <w:rPr>
          <w:noProof/>
          <w:color w:val="000000"/>
        </w:rPr>
        <w:t xml:space="preserve"> en tærskel på 30 000 EUR, Polen</w:t>
      </w:r>
      <w:r>
        <w:rPr>
          <w:rStyle w:val="FootnoteReference0"/>
          <w:noProof/>
          <w:color w:val="000000"/>
        </w:rPr>
        <w:footnoteReference w:id="5"/>
      </w:r>
      <w:r>
        <w:rPr>
          <w:noProof/>
          <w:color w:val="000000"/>
        </w:rPr>
        <w:t xml:space="preserve"> og Estland</w:t>
      </w:r>
      <w:r>
        <w:rPr>
          <w:rStyle w:val="FootnoteReference0"/>
          <w:noProof/>
          <w:color w:val="000000"/>
        </w:rPr>
        <w:footnoteReference w:id="6"/>
      </w:r>
      <w:r>
        <w:rPr>
          <w:noProof/>
          <w:color w:val="000000"/>
        </w:rPr>
        <w:t xml:space="preserve"> en tærskel på 40 000 EUR, Litauen</w:t>
      </w:r>
      <w:r>
        <w:rPr>
          <w:rStyle w:val="FootnoteReference0"/>
          <w:noProof/>
          <w:color w:val="000000"/>
        </w:rPr>
        <w:footnoteReference w:id="7"/>
      </w:r>
      <w:r>
        <w:rPr>
          <w:rStyle w:val="footnotereference"/>
          <w:noProof/>
          <w:color w:val="000000"/>
        </w:rPr>
        <w:t xml:space="preserve"> </w:t>
      </w:r>
      <w:r>
        <w:rPr>
          <w:noProof/>
          <w:color w:val="000000"/>
        </w:rPr>
        <w:t>en tærskel på 45 000 EUR, Letland</w:t>
      </w:r>
      <w:r>
        <w:rPr>
          <w:rStyle w:val="FootnoteReference0"/>
          <w:noProof/>
        </w:rPr>
        <w:footnoteReference w:id="8"/>
      </w:r>
      <w:r>
        <w:rPr>
          <w:noProof/>
          <w:color w:val="000000"/>
        </w:rPr>
        <w:t xml:space="preserve"> og Slovenien</w:t>
      </w:r>
      <w:r>
        <w:rPr>
          <w:rStyle w:val="FootnoteReference0"/>
          <w:noProof/>
          <w:color w:val="000000"/>
        </w:rPr>
        <w:footnoteReference w:id="9"/>
      </w:r>
      <w:r>
        <w:rPr>
          <w:rStyle w:val="footnotereference"/>
          <w:noProof/>
          <w:color w:val="000000"/>
        </w:rPr>
        <w:t xml:space="preserve"> </w:t>
      </w:r>
      <w:r>
        <w:rPr>
          <w:noProof/>
          <w:color w:val="000000"/>
        </w:rPr>
        <w:t xml:space="preserve">en </w:t>
      </w:r>
      <w:r>
        <w:rPr>
          <w:noProof/>
          <w:color w:val="000000"/>
        </w:rPr>
        <w:lastRenderedPageBreak/>
        <w:t>tærskel på 50 000 EUR, Italien</w:t>
      </w:r>
      <w:r>
        <w:rPr>
          <w:rStyle w:val="FootnoteReference0"/>
          <w:noProof/>
          <w:color w:val="000000"/>
        </w:rPr>
        <w:footnoteReference w:id="10"/>
      </w:r>
      <w:r>
        <w:rPr>
          <w:noProof/>
          <w:color w:val="000000"/>
        </w:rPr>
        <w:t xml:space="preserve"> en tærskel på 65 000 EUR og Rumænien</w:t>
      </w:r>
      <w:r>
        <w:rPr>
          <w:rStyle w:val="FootnoteReference0"/>
          <w:noProof/>
          <w:color w:val="000000"/>
        </w:rPr>
        <w:footnoteReference w:id="11"/>
      </w:r>
      <w:r>
        <w:rPr>
          <w:noProof/>
          <w:color w:val="000000"/>
        </w:rPr>
        <w:t xml:space="preserve"> en tærskel på 88 500 EUR.</w:t>
      </w:r>
    </w:p>
    <w:p>
      <w:pPr>
        <w:rPr>
          <w:noProof/>
        </w:rPr>
      </w:pPr>
      <w:r>
        <w:rPr>
          <w:noProof/>
        </w:rPr>
        <w:t>Undtagelser fra momsdirektivets regler bør altid være begrænset i tid, således at virkningerne heraf kan bedømmes. Bestemmelserne i momsdirektivets artikel 281-294 om særordningen for små virksomheder er desuden taget op til revision. Som bebudet i momshandlingsplanen</w:t>
      </w:r>
      <w:r>
        <w:rPr>
          <w:rStyle w:val="FootnoteReference0"/>
          <w:noProof/>
        </w:rPr>
        <w:footnoteReference w:id="12"/>
      </w:r>
      <w:r>
        <w:rPr>
          <w:noProof/>
        </w:rPr>
        <w:t xml:space="preserve"> og i Kommissionens arbejdsprogram 2017</w:t>
      </w:r>
      <w:r>
        <w:rPr>
          <w:rStyle w:val="FootnoteReference0"/>
          <w:noProof/>
        </w:rPr>
        <w:footnoteReference w:id="13"/>
      </w:r>
      <w:r>
        <w:rPr>
          <w:noProof/>
        </w:rPr>
        <w:t xml:space="preserve"> ventes Kommissionen at fremsætte et forslag i form af en omfattende forenklingspakke inden udgangen af 2017.</w:t>
      </w:r>
    </w:p>
    <w:p>
      <w:pPr>
        <w:rPr>
          <w:rFonts w:eastAsia="Arial Unicode MS"/>
          <w:noProof/>
        </w:rPr>
      </w:pPr>
      <w:r>
        <w:rPr>
          <w:noProof/>
        </w:rPr>
        <w:t xml:space="preserve">Det foreslås derfor at tillade en forhøjelse af tærsklen for små virksomheder, hvis økonomiske aktivitet hovedsageligt består i levering af ydelser med en høj merværdi, på op til 20 000 EUR fra den 1. januar 2018 indtil den 31. december 2020 eller indtil datoen for ikrafttrædelse af et direktiv om ændring af bestemmelserne i momsdirektivet om særordningen for små virksomheder, alt efter hvilken dato der kommer først. </w:t>
      </w:r>
    </w:p>
    <w:p>
      <w:pPr>
        <w:pStyle w:val="ManualHeading2"/>
        <w:rPr>
          <w:rFonts w:eastAsia="Arial Unicode MS"/>
          <w:noProof/>
        </w:rPr>
      </w:pPr>
      <w:r>
        <w:rPr>
          <w:noProof/>
          <w:color w:val="000000"/>
          <w:u w:color="000000"/>
          <w:bdr w:val="nil"/>
        </w:rPr>
        <w:t>•</w:t>
      </w:r>
      <w:r>
        <w:rPr>
          <w:noProof/>
        </w:rPr>
        <w:tab/>
        <w:t>Sammenhæng med Unionens politik på andre områder</w:t>
      </w:r>
    </w:p>
    <w:p>
      <w:pPr>
        <w:pBdr>
          <w:top w:val="nil"/>
          <w:left w:val="nil"/>
          <w:bottom w:val="nil"/>
          <w:right w:val="nil"/>
          <w:between w:val="nil"/>
          <w:bar w:val="nil"/>
        </w:pBdr>
        <w:spacing w:before="0" w:after="240"/>
        <w:rPr>
          <w:rFonts w:eastAsia="Arial Unicode MS"/>
          <w:noProof/>
        </w:rPr>
      </w:pPr>
      <w:r>
        <w:rPr>
          <w:noProof/>
        </w:rPr>
        <w:t>Foranstaltningen er i overensstemmelser med Unionens målsætninger for små virksomheder som beskrevet i Kommissionens meddelelse "Tænk småt først – En "Small Business Act" for Europa"</w:t>
      </w:r>
      <w:r>
        <w:rPr>
          <w:rStyle w:val="FootnoteReference0"/>
          <w:noProof/>
        </w:rPr>
        <w:footnoteReference w:id="14"/>
      </w:r>
      <w:r>
        <w:rPr>
          <w:noProof/>
        </w:rPr>
        <w:t>, hvori medlemsstaterne opfordres til at tage hensyn til SMV'ernes særlige karakteristika ved udformning af lovgivningen og derfor til at forenkle de gældende regler.</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pBdr>
          <w:top w:val="nil"/>
          <w:left w:val="nil"/>
          <w:bottom w:val="nil"/>
          <w:right w:val="nil"/>
          <w:between w:val="nil"/>
          <w:bar w:val="nil"/>
        </w:pBdr>
        <w:spacing w:before="0" w:after="240"/>
        <w:rPr>
          <w:rFonts w:eastAsia="Arial Unicode MS"/>
          <w:noProof/>
        </w:rPr>
      </w:pPr>
      <w:r>
        <w:rPr>
          <w:noProof/>
        </w:rPr>
        <w:t>Momsdirektivets artikel 395.</w:t>
      </w:r>
    </w:p>
    <w:p>
      <w:pPr>
        <w:pStyle w:val="ManualHeading2"/>
        <w:rPr>
          <w:rFonts w:eastAsia="Arial Unicode MS"/>
          <w:noProof/>
          <w:u w:color="000000"/>
          <w:bdr w:val="nil"/>
        </w:rPr>
      </w:pPr>
      <w:r>
        <w:rPr>
          <w:noProof/>
        </w:rPr>
        <w:t>•</w:t>
      </w:r>
      <w:r>
        <w:rPr>
          <w:noProof/>
        </w:rPr>
        <w:tab/>
        <w:t xml:space="preserve">Nærhedsprincippet (for områder, der ikke er omfattet af enekompetence) </w:t>
      </w:r>
    </w:p>
    <w:p>
      <w:pPr>
        <w:pBdr>
          <w:top w:val="nil"/>
          <w:left w:val="nil"/>
          <w:bottom w:val="nil"/>
          <w:right w:val="nil"/>
          <w:between w:val="nil"/>
          <w:bar w:val="nil"/>
        </w:pBdr>
        <w:spacing w:before="0" w:after="240"/>
        <w:rPr>
          <w:rFonts w:eastAsia="Arial Unicode MS"/>
          <w:noProof/>
        </w:rPr>
      </w:pPr>
      <w:r>
        <w:rPr>
          <w:noProof/>
        </w:rPr>
        <w:t>I betragtning af den bestemmelse i momsdirektivet, som forslaget bygger på, finder nærhedsprincippet ikke anvendelse.</w:t>
      </w:r>
    </w:p>
    <w:p>
      <w:pPr>
        <w:pStyle w:val="ManualHeading2"/>
        <w:rPr>
          <w:rFonts w:eastAsia="Arial Unicode MS"/>
          <w:noProof/>
          <w:u w:color="000000"/>
          <w:bdr w:val="nil"/>
        </w:rPr>
      </w:pPr>
      <w:r>
        <w:rPr>
          <w:noProof/>
        </w:rPr>
        <w:t>•</w:t>
      </w:r>
      <w:r>
        <w:rPr>
          <w:noProof/>
        </w:rPr>
        <w:tab/>
        <w:t>Proportionalitetsprincippet</w:t>
      </w:r>
    </w:p>
    <w:p>
      <w:pPr>
        <w:pBdr>
          <w:top w:val="nil"/>
          <w:left w:val="nil"/>
          <w:bottom w:val="nil"/>
          <w:right w:val="nil"/>
          <w:between w:val="nil"/>
          <w:bar w:val="nil"/>
        </w:pBdr>
        <w:spacing w:before="0" w:after="240"/>
        <w:rPr>
          <w:noProof/>
        </w:rPr>
      </w:pPr>
      <w:r>
        <w:rPr>
          <w:noProof/>
        </w:rPr>
        <w:t>Afgørelsen vedrører en tilladelse, der indrømmes en medlemsstat på dennes egen anmodning og udgør ikke en forpligtelse.</w:t>
      </w:r>
    </w:p>
    <w:p>
      <w:pPr>
        <w:rPr>
          <w:noProof/>
        </w:rPr>
      </w:pPr>
      <w:r>
        <w:rPr>
          <w:noProof/>
        </w:rPr>
        <w:lastRenderedPageBreak/>
        <w:t>I betragtning af undtagelsens begrænsede anvendelsesområde står den særlige foranstaltning i rimeligt forhold til det tilstræbte mål, nemlig at forenkle momsopkrævningen for et større antal små afgiftspligtige personer og for skatteforvaltningen.</w:t>
      </w:r>
    </w:p>
    <w:p>
      <w:pPr>
        <w:pStyle w:val="ManualHeading2"/>
        <w:rPr>
          <w:rFonts w:eastAsia="Arial Unicode MS"/>
          <w:noProof/>
          <w:u w:color="000000"/>
          <w:bdr w:val="nil"/>
        </w:rPr>
      </w:pPr>
      <w:r>
        <w:rPr>
          <w:noProof/>
        </w:rPr>
        <w:t>•</w:t>
      </w:r>
      <w:r>
        <w:rPr>
          <w:noProof/>
        </w:rPr>
        <w:tab/>
        <w:t>Valg af retsakt</w:t>
      </w:r>
    </w:p>
    <w:p>
      <w:pPr>
        <w:spacing w:before="0" w:after="240"/>
        <w:rPr>
          <w:rFonts w:eastAsia="Arial Unicode MS"/>
          <w:noProof/>
        </w:rPr>
      </w:pPr>
      <w:r>
        <w:rPr>
          <w:noProof/>
        </w:rPr>
        <w:t>Foreslået retsakt: Rådets gennemførelsesafgørelse.</w:t>
      </w:r>
    </w:p>
    <w:p>
      <w:pPr>
        <w:spacing w:before="0" w:after="240"/>
        <w:rPr>
          <w:rFonts w:eastAsia="Arial Unicode MS"/>
          <w:noProof/>
        </w:rPr>
      </w:pPr>
      <w:r>
        <w:rPr>
          <w:noProof/>
        </w:rPr>
        <w:t>Andre midler ville ikke være hensigtsmæssige, da en fravigelse af de fælles momsregler i henhold til momsdirektivets artikel 395 kun er mulig, hvis Rådet med enstemmighed på forslag af Kommissionen giver tilladelse til det. En gennemførelsesafgørelse vedtaget af Rådet er derfor det bedst egnede reguleringsmiddel, da den kan rettes til individuelle medlemsstater.</w:t>
      </w:r>
    </w:p>
    <w:p>
      <w:pPr>
        <w:pStyle w:val="ManualHeading1"/>
        <w:rPr>
          <w:noProof/>
        </w:rPr>
      </w:pPr>
      <w:r>
        <w:rPr>
          <w:noProof/>
        </w:rPr>
        <w:t>3.</w:t>
      </w:r>
      <w:r>
        <w:rPr>
          <w:noProof/>
        </w:rPr>
        <w:tab/>
        <w:t>RESULTATER AF EFTERFØLGENDE EVALUERINGER, HØRINGER AF INTERESSEREDE PARTER OG KONSEKVENSANALYSER</w:t>
      </w:r>
    </w:p>
    <w:p>
      <w:pPr>
        <w:pStyle w:val="ManualHeading2"/>
        <w:rPr>
          <w:rFonts w:eastAsia="Arial Unicode MS"/>
          <w:noProof/>
          <w:u w:color="000000"/>
          <w:bdr w:val="nil"/>
        </w:rPr>
      </w:pPr>
      <w:r>
        <w:rPr>
          <w:noProof/>
        </w:rPr>
        <w:t>•</w:t>
      </w:r>
      <w:r>
        <w:rPr>
          <w:noProof/>
        </w:rPr>
        <w:tab/>
        <w:t>Høringer af interesserede parter</w:t>
      </w:r>
    </w:p>
    <w:p>
      <w:pPr>
        <w:spacing w:before="0" w:after="240"/>
        <w:rPr>
          <w:rFonts w:eastAsia="Arial Unicode MS"/>
          <w:noProof/>
        </w:rPr>
      </w:pPr>
      <w:r>
        <w:rPr>
          <w:noProof/>
        </w:rPr>
        <w:t>Forslaget er baseret på en anmodning fra Malta og vedrører kun denne medlemsstat.</w:t>
      </w:r>
    </w:p>
    <w:p>
      <w:pPr>
        <w:pStyle w:val="ManualHeading2"/>
        <w:rPr>
          <w:rFonts w:eastAsia="Arial Unicode MS"/>
          <w:noProof/>
          <w:u w:color="000000"/>
          <w:bdr w:val="nil"/>
        </w:rPr>
      </w:pPr>
      <w:r>
        <w:rPr>
          <w:noProof/>
        </w:rPr>
        <w:t>•</w:t>
      </w:r>
      <w:r>
        <w:rPr>
          <w:noProof/>
        </w:rPr>
        <w:tab/>
        <w:t>Ekspertbistand</w:t>
      </w:r>
    </w:p>
    <w:p>
      <w:pPr>
        <w:spacing w:before="0" w:after="240"/>
        <w:rPr>
          <w:rFonts w:eastAsia="Arial Unicode MS"/>
          <w:noProof/>
        </w:rPr>
      </w:pPr>
      <w:r>
        <w:rPr>
          <w:noProof/>
        </w:rPr>
        <w:t>Der har ikke været behov for ekstern ekspertbistand.</w:t>
      </w:r>
    </w:p>
    <w:p>
      <w:pPr>
        <w:pStyle w:val="ManualHeading2"/>
        <w:rPr>
          <w:rFonts w:eastAsia="Arial Unicode MS"/>
          <w:noProof/>
          <w:u w:color="000000"/>
          <w:bdr w:val="nil"/>
        </w:rPr>
      </w:pPr>
      <w:r>
        <w:rPr>
          <w:noProof/>
        </w:rPr>
        <w:t>•</w:t>
      </w:r>
      <w:r>
        <w:rPr>
          <w:noProof/>
        </w:rPr>
        <w:tab/>
        <w:t>Konsekvensanalyse</w:t>
      </w:r>
    </w:p>
    <w:p>
      <w:pPr>
        <w:rPr>
          <w:noProof/>
        </w:rPr>
      </w:pPr>
      <w:r>
        <w:rPr>
          <w:noProof/>
        </w:rPr>
        <w:t>Forslaget til en rådsafgørelse tilsigter en indførelse af en forenklingsforanstaltning, som fjerner mange af momsforpligtelserne for virksomheder, hvis økonomiske aktivitet hovedsageligt består i levering af ydelser med en høj merværdi og lave input, og hvis årlige omsætning ikke overstiger 20 000 EUR. Det vil derfor potentielt kunne bidrage positivt til at nedbringe den administrative byrde for en række afgiftspligtige personer og følgelig for skatteforvaltningen.</w:t>
      </w:r>
    </w:p>
    <w:p>
      <w:pPr>
        <w:rPr>
          <w:rFonts w:eastAsia="Arial Unicode MS"/>
          <w:noProof/>
        </w:rPr>
      </w:pPr>
      <w:r>
        <w:rPr>
          <w:noProof/>
        </w:rPr>
        <w:t>På grund af fravigelsens begrænsede karakter og dens begrænsede tidsmæssige anvendelse vil virkningen under alle omstændigheder være begrænset.</w:t>
      </w:r>
    </w:p>
    <w:p>
      <w:pPr>
        <w:pStyle w:val="ManualHeading1"/>
        <w:rPr>
          <w:noProof/>
        </w:rPr>
      </w:pPr>
      <w:r>
        <w:rPr>
          <w:noProof/>
        </w:rPr>
        <w:t>4.</w:t>
      </w:r>
      <w:r>
        <w:rPr>
          <w:noProof/>
        </w:rPr>
        <w:tab/>
        <w:t>VIRKNINGER FOR BUDGETTET</w:t>
      </w:r>
    </w:p>
    <w:p>
      <w:pPr>
        <w:rPr>
          <w:rFonts w:eastAsia="Arial Unicode MS"/>
          <w:noProof/>
        </w:rPr>
      </w:pPr>
      <w:r>
        <w:rPr>
          <w:noProof/>
        </w:rPr>
        <w:t>Forslaget har ingen virkninger for EU-budgettet, eftersom Malta vil beregne en kompensation efter artikel 6 i Rådets forordning (EØF, EURATOM) nr. 1553/89</w:t>
      </w:r>
      <w:r>
        <w:rPr>
          <w:rStyle w:val="FootnoteReference0"/>
          <w:noProof/>
        </w:rPr>
        <w:footnoteReference w:id="15"/>
      </w:r>
      <w:r>
        <w:rPr>
          <w:noProof/>
        </w:rPr>
        <w:t>.</w:t>
      </w:r>
    </w:p>
    <w:p>
      <w:pPr>
        <w:pStyle w:val="ManualHeading1"/>
        <w:rPr>
          <w:noProof/>
        </w:rPr>
      </w:pPr>
      <w:r>
        <w:rPr>
          <w:noProof/>
        </w:rPr>
        <w:t>5.</w:t>
      </w:r>
      <w:r>
        <w:rPr>
          <w:noProof/>
        </w:rPr>
        <w:tab/>
        <w:t>ANDRE FORHOLD</w:t>
      </w:r>
    </w:p>
    <w:p>
      <w:pPr>
        <w:rPr>
          <w:noProof/>
        </w:rPr>
      </w:pPr>
      <w:r>
        <w:rPr>
          <w:noProof/>
        </w:rPr>
        <w:t>Forslaget indeholder en udløbsklausul.</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2017/0361 (NLE)</w:t>
      </w:r>
    </w:p>
    <w:p>
      <w:pPr>
        <w:pStyle w:val="Statut"/>
        <w:rPr>
          <w:noProof/>
        </w:rPr>
      </w:pPr>
      <w:r>
        <w:rPr>
          <w:noProof/>
        </w:rPr>
        <w:t>Forslag til</w:t>
      </w:r>
    </w:p>
    <w:p>
      <w:pPr>
        <w:pStyle w:val="Typedudocument"/>
        <w:rPr>
          <w:noProof/>
        </w:rPr>
      </w:pPr>
      <w:r>
        <w:rPr>
          <w:noProof/>
        </w:rPr>
        <w:t>RÅDETS GENNEMFØRELSESAFGØRELSE</w:t>
      </w:r>
    </w:p>
    <w:p>
      <w:pPr>
        <w:pStyle w:val="Titreobjet"/>
        <w:rPr>
          <w:noProof/>
        </w:rPr>
      </w:pPr>
      <w:r>
        <w:rPr>
          <w:noProof/>
        </w:rPr>
        <w:t>om at give Republikken Malta tilladelse til at anvende en særlig foranstaltning, der fraviger artikel 287 i direktiv 2006/112/EF om det fælles merværdiafgiftssystem</w:t>
      </w:r>
    </w:p>
    <w:p>
      <w:pPr>
        <w:pStyle w:val="Institutionquiagit"/>
        <w:rPr>
          <w:noProof/>
        </w:rPr>
      </w:pPr>
      <w:r>
        <w:rPr>
          <w:noProof/>
        </w:rPr>
        <w:t>RÅDET FOR DEN EUROPÆISKE UNION HAR —</w:t>
      </w:r>
    </w:p>
    <w:p>
      <w:pPr>
        <w:rPr>
          <w:noProof/>
        </w:rPr>
      </w:pPr>
      <w:r>
        <w:rPr>
          <w:noProof/>
        </w:rPr>
        <w:t>under henvisning til traktaten om Den Europæiske Unions funktionsmåde,</w:t>
      </w:r>
    </w:p>
    <w:p>
      <w:pPr>
        <w:rPr>
          <w:noProof/>
        </w:rPr>
      </w:pPr>
      <w:r>
        <w:rPr>
          <w:noProof/>
        </w:rPr>
        <w:t>under henvisning til Rådets direktiv 2006/112/EF af 28. november 2006 om det fælles merværdiafgiftssystem</w:t>
      </w:r>
      <w:r>
        <w:rPr>
          <w:rStyle w:val="FootnoteReference0"/>
          <w:noProof/>
        </w:rPr>
        <w:footnoteReference w:id="16"/>
      </w:r>
      <w:r>
        <w:rPr>
          <w:noProof/>
        </w:rPr>
        <w:t>, særlig artikel 395, stk. 1,</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 xml:space="preserve">I henhold til artikel 287, nr. 13), i direktiv 2006/112/EF kan Malta indrømme momsfritagelse til tre kategorier af afgiftspligtige personer: dem, hvis årlige omsætning højst er lig med 37 000 EUR, såfremt den økonomiske aktivitet hovedsageligt består i levering af varer, lig med 24 300 EUR, såfremt den økonomiske aktivitet hovedsageligt består i levering af ydelser med en ringe merværdi (højt input), og lig med 14 600 EUR i andre tilfælde, dvs. levering af ydelser med en høj merværdi (lavt input). </w:t>
      </w:r>
    </w:p>
    <w:p>
      <w:pPr>
        <w:pStyle w:val="ManualConsidrant"/>
        <w:rPr>
          <w:noProof/>
        </w:rPr>
      </w:pPr>
      <w:r>
        <w:t>(2)</w:t>
      </w:r>
      <w:r>
        <w:tab/>
      </w:r>
      <w:r>
        <w:rPr>
          <w:noProof/>
        </w:rPr>
        <w:t>Ved brev registreret i Kommissionen den 22. september 2017 anmodede Malta om tilladelse til at hæve den laveste tærskel fra 14 600 EUR til 20 000 EUR for levering af ydelser med en høj merværdi (lavt input) fra og med den 1. januar 2018. Foranstaltningen vil indebære en fritagelse af disse afgiftspligtige personer for nogle af eller alle de momsforpligtelser, der er omhandlet i afsnit XI, kapitel 2-6, i direktiv 2006/112/EF.</w:t>
      </w:r>
    </w:p>
    <w:p>
      <w:pPr>
        <w:pStyle w:val="ManualConsidrant"/>
        <w:rPr>
          <w:noProof/>
        </w:rPr>
      </w:pPr>
      <w:r>
        <w:t>(3)</w:t>
      </w:r>
      <w:r>
        <w:tab/>
      </w:r>
      <w:r>
        <w:rPr>
          <w:noProof/>
        </w:rPr>
        <w:t>I overensstemmelse med artikel 395, stk. 2, i direktiv 2006/112/EF underrettede Kommissionen ved brev af 3. november 2017 de øvrige medlemsstater om Maltas anmodning. Ved brev af 7. november 2017 meddelte Kommissionen Malta, at den rådede over alle de oplysninger, der var nødvendige for at vurdere anmodningen.</w:t>
      </w:r>
    </w:p>
    <w:p>
      <w:pPr>
        <w:pStyle w:val="ManualConsidrant"/>
        <w:rPr>
          <w:noProof/>
        </w:rPr>
      </w:pPr>
      <w:r>
        <w:t>(4)</w:t>
      </w:r>
      <w:r>
        <w:tab/>
      </w:r>
      <w:r>
        <w:rPr>
          <w:noProof/>
        </w:rPr>
        <w:t>Fravigelsesforanstaltningen er i overensstemmelse med målsætningerne i Kommissionens meddelelse "Tænk småt først – En "Small Business Act" for Europa" af 25. juni 2008</w:t>
      </w:r>
      <w:r>
        <w:rPr>
          <w:rStyle w:val="FootnoteReference0"/>
          <w:noProof/>
        </w:rPr>
        <w:footnoteReference w:id="17"/>
      </w:r>
      <w:r>
        <w:rPr>
          <w:noProof/>
        </w:rPr>
        <w:t>.</w:t>
      </w:r>
    </w:p>
    <w:p>
      <w:pPr>
        <w:pStyle w:val="ManualConsidrant"/>
        <w:rPr>
          <w:noProof/>
        </w:rPr>
      </w:pPr>
      <w:r>
        <w:t>(5)</w:t>
      </w:r>
      <w:r>
        <w:tab/>
      </w:r>
      <w:r>
        <w:rPr>
          <w:noProof/>
        </w:rPr>
        <w:t>Eftersom fravigelsesforanstaltningen bør medføre færre momsforpligtelser og dermed en reduktion af de administrative byrder og omkostninger for små virksomheder, bør Malta indrømmes tilladelse til at anvende foranstaltningen i en begrænset periode frem til den 31. december 2020. Den særlige ordning er valgfri for afgiftspligtige personer.</w:t>
      </w:r>
    </w:p>
    <w:p>
      <w:pPr>
        <w:pStyle w:val="ManualConsidrant"/>
        <w:rPr>
          <w:noProof/>
        </w:rPr>
      </w:pPr>
      <w:r>
        <w:lastRenderedPageBreak/>
        <w:t>(6)</w:t>
      </w:r>
      <w:r>
        <w:tab/>
      </w:r>
      <w:r>
        <w:rPr>
          <w:noProof/>
        </w:rPr>
        <w:t xml:space="preserve">Da artikel 281-294 i direktiv 2006/112/EF, som omhandler særordningen for små virksomheder, er under revision, er det muligt, at et direktiv om ændring af disse bestemmelser i direktiv 2006/112/EF vil træde i kraft inden udløbet af undtagelsens gyldighedsperiode; i givet fald ophører denne afgørelse med at finde anvendelse. </w:t>
      </w:r>
    </w:p>
    <w:p>
      <w:pPr>
        <w:pStyle w:val="ManualConsidrant"/>
        <w:rPr>
          <w:noProof/>
        </w:rPr>
      </w:pPr>
      <w:r>
        <w:t>(7)</w:t>
      </w:r>
      <w:r>
        <w:tab/>
      </w:r>
      <w:r>
        <w:rPr>
          <w:noProof/>
        </w:rPr>
        <w:t>På grundlag af de oplysninger, som Malta har fremlagt, vil den hævede tærskel have ubetydelig virkning på de samlede momsindtægter, der opkræves i det endelige forbrugsled.</w:t>
      </w:r>
    </w:p>
    <w:p>
      <w:pPr>
        <w:pStyle w:val="ManualConsidrant"/>
        <w:rPr>
          <w:noProof/>
        </w:rPr>
      </w:pPr>
      <w:r>
        <w:t>(8)</w:t>
      </w:r>
      <w:r>
        <w:tab/>
      </w:r>
      <w:r>
        <w:rPr>
          <w:noProof/>
        </w:rPr>
        <w:t>Undtagelsen vil ikke få negativ indvirkning på Unionens egne indtægter hidrørende fra moms, idet Malta vil foretage en kompensationsberegning som omhandlet i artikel 6 i Rådets forordning (EØF, EURATOM) nr. 1553/89</w:t>
      </w:r>
      <w:r>
        <w:rPr>
          <w:rStyle w:val="FootnoteReference0"/>
          <w:noProof/>
        </w:rPr>
        <w:footnoteReference w:id="18"/>
      </w:r>
      <w:r>
        <w:rPr>
          <w:noProof/>
        </w:rPr>
        <w:t xml:space="preserve"> —</w:t>
      </w:r>
    </w:p>
    <w:p>
      <w:pPr>
        <w:pStyle w:val="Formuledadoption"/>
        <w:rPr>
          <w:noProof/>
        </w:rPr>
      </w:pPr>
      <w:r>
        <w:rPr>
          <w:noProof/>
        </w:rPr>
        <w:t xml:space="preserve">VEDTAGET DENNE AFGØRELSE: </w:t>
      </w:r>
    </w:p>
    <w:p>
      <w:pPr>
        <w:pStyle w:val="Titrearticle"/>
        <w:rPr>
          <w:noProof/>
        </w:rPr>
      </w:pPr>
      <w:r>
        <w:rPr>
          <w:noProof/>
        </w:rPr>
        <w:t>Artikel 1</w:t>
      </w:r>
    </w:p>
    <w:p>
      <w:pPr>
        <w:keepLines/>
        <w:rPr>
          <w:noProof/>
        </w:rPr>
      </w:pPr>
      <w:r>
        <w:rPr>
          <w:noProof/>
        </w:rPr>
        <w:t>Som en undtagelse fra artikel 287, nr. 13), i direktiv 2006/112/EF bemyndiges Malta til at momsfritage afgiftspligtige personer, hvis økonomiske aktivitet hovedsageligt består i levering af ydelser med en høj merværdi (lavt input), og hvis årlige omsætning ikke overstiger 20 000 EUR.</w:t>
      </w:r>
    </w:p>
    <w:p>
      <w:pPr>
        <w:pStyle w:val="Titrearticle"/>
        <w:keepNext w:val="0"/>
        <w:rPr>
          <w:noProof/>
        </w:rPr>
      </w:pPr>
      <w:r>
        <w:rPr>
          <w:noProof/>
        </w:rPr>
        <w:t>Artikel 2</w:t>
      </w:r>
    </w:p>
    <w:p>
      <w:pPr>
        <w:rPr>
          <w:noProof/>
        </w:rPr>
      </w:pPr>
      <w:r>
        <w:rPr>
          <w:noProof/>
        </w:rPr>
        <w:t>Denne afgørelse anvendes fra den 1. januar 2018 til den 31. december 2020 eller indtil ikrafttrædelsesdatoen for et direktiv om ændring af artikel 281-294 i direktiv 2006/112/EF vedrørende særordningen for små virksomheder, alt efter hvilken dato der kommer først.</w:t>
      </w:r>
    </w:p>
    <w:p>
      <w:pPr>
        <w:pStyle w:val="Titrearticle"/>
        <w:rPr>
          <w:noProof/>
        </w:rPr>
      </w:pPr>
      <w:r>
        <w:rPr>
          <w:noProof/>
        </w:rPr>
        <w:t>Artikel 3</w:t>
      </w:r>
    </w:p>
    <w:p>
      <w:pPr>
        <w:keepNext/>
        <w:keepLines/>
        <w:rPr>
          <w:noProof/>
        </w:rPr>
      </w:pPr>
      <w:r>
        <w:rPr>
          <w:noProof/>
        </w:rPr>
        <w:t>Denne afgørelse er rettet til Republikken Malta.</w:t>
      </w:r>
    </w:p>
    <w:p>
      <w:pPr>
        <w:pStyle w:val="Fait"/>
        <w:rPr>
          <w:noProof/>
        </w:rPr>
      </w:pPr>
      <w:r>
        <w:t xml:space="preserve">Udfærdiget i Bruxelles, den </w:t>
      </w:r>
      <w:r>
        <w:rPr>
          <w:rStyle w:val="Marker"/>
        </w:rPr>
        <w:t>[…]</w:t>
      </w:r>
      <w:r>
        <w:t>.</w:t>
      </w:r>
    </w:p>
    <w:p>
      <w:pPr>
        <w:pStyle w:val="Institutionquisigne"/>
        <w:rPr>
          <w:noProof/>
        </w:rPr>
      </w:pPr>
      <w:r>
        <w:rPr>
          <w:noProof/>
        </w:rPr>
        <w:tab/>
        <w:t>På Rådets vegne</w:t>
      </w:r>
    </w:p>
    <w:p>
      <w:pPr>
        <w:pStyle w:val="Personnequisigne"/>
        <w:rPr>
          <w:noProof/>
        </w:rPr>
      </w:pPr>
      <w:r>
        <w:rPr>
          <w:noProof/>
        </w:rPr>
        <w:tab/>
        <w:t>Formand</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DA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0"/>
        </w:rPr>
        <w:footnoteRef/>
      </w:r>
      <w:r>
        <w:tab/>
        <w:t>EUT L 347 af 11.12.2006, s. 1.</w:t>
      </w:r>
    </w:p>
  </w:footnote>
  <w:footnote w:id="2">
    <w:p>
      <w:pPr>
        <w:pStyle w:val="FootnoteText"/>
      </w:pPr>
      <w:r>
        <w:rPr>
          <w:rStyle w:val="FootnoteReference0"/>
        </w:rPr>
        <w:footnoteRef/>
      </w:r>
      <w:r>
        <w:tab/>
        <w:t>Meddelelse fra Kommissionen til Rådet, Europa-Parlamentet, Det Europæiske Økonomiske og Sociale Udvalg og Regionsudvalget – "Tænk småt først – En "Small Business Act" for Europa", Bruxelles, den 25.6.2008 (KOM(2008) 394 endelig).</w:t>
      </w:r>
    </w:p>
  </w:footnote>
  <w:footnote w:id="3">
    <w:p>
      <w:pPr>
        <w:pStyle w:val="FootnoteText"/>
      </w:pPr>
      <w:r>
        <w:rPr>
          <w:rStyle w:val="FootnoteReference0"/>
        </w:rPr>
        <w:footnoteRef/>
      </w:r>
      <w:r>
        <w:tab/>
        <w:t>Rådets gennemførelsesafgørelse (EU) 2015/2348 af 10. december 2015 om ændring af gennemførelsesafgørelse 2013/53/EU om bemyndigelse af Kongeriget Belgien til at indføre en særlig foranstaltning, der fraviger artikel 285 i direktiv 2006/112/EF om det fælles merværdiafgiftssystem (EUT L 330 af 16.12.2015, s. 51).</w:t>
      </w:r>
    </w:p>
  </w:footnote>
  <w:footnote w:id="4">
    <w:p>
      <w:pPr>
        <w:pStyle w:val="FootnoteText"/>
      </w:pPr>
      <w:r>
        <w:rPr>
          <w:rStyle w:val="FootnoteReference0"/>
        </w:rPr>
        <w:footnoteRef/>
      </w:r>
      <w:r>
        <w:tab/>
        <w:t xml:space="preserve">Rådets gennemførelsesafgørelse (EU) 2017/319 af 21. februar 2017 om ændring af gennemførelsesafgørelse 2013/677/EU om bemyndigelse af Luxembourg til at indføre en særlig foranstaltning, der fraviger artikel 285 i direktiv 2006/112/EF om det fælles merværdiafgiftssystem (EUT L 47 af 24.2.2017, s. 7). </w:t>
      </w:r>
    </w:p>
  </w:footnote>
  <w:footnote w:id="5">
    <w:p>
      <w:pPr>
        <w:pStyle w:val="FootnoteText"/>
      </w:pPr>
      <w:r>
        <w:rPr>
          <w:rStyle w:val="FootnoteReference0"/>
        </w:rPr>
        <w:footnoteRef/>
      </w:r>
      <w:r>
        <w:tab/>
        <w:t>Rådets gennemførelsesafgørelse (EU) 2016/2090 af 21. november 2016 om ændring af beslutning 2009/790/EF om bemyndigelse af Republikken Polen til at anvende en foranstaltning, der fraviger artikel 287 i direktiv 2006/112/EF om det fælles merværdiafgiftssystem (EUT L 324 af 30.11.2016, s. 7).</w:t>
      </w:r>
    </w:p>
  </w:footnote>
  <w:footnote w:id="6">
    <w:p>
      <w:pPr>
        <w:pStyle w:val="FootnoteText"/>
      </w:pPr>
      <w:r>
        <w:rPr>
          <w:rStyle w:val="FootnoteReference0"/>
        </w:rPr>
        <w:footnoteRef/>
      </w:r>
      <w:r>
        <w:tab/>
        <w:t>Rådets gennemførelsesafgørelse (EU) 2017/563 af 21. marts 2017 om bemyndigelse af Republikken Estland til at anvende en særlig foranstaltning, der fraviger artikel 287 i direktiv 2006/112/EF om det fælles merværdiafgiftssystem (EUT L 80 af 25.3.2017, s. 33).</w:t>
      </w:r>
    </w:p>
  </w:footnote>
  <w:footnote w:id="7">
    <w:p>
      <w:pPr>
        <w:pStyle w:val="FootnoteText"/>
      </w:pPr>
      <w:r>
        <w:rPr>
          <w:rStyle w:val="FootnoteReference0"/>
        </w:rPr>
        <w:footnoteRef/>
      </w:r>
      <w:r>
        <w:tab/>
      </w:r>
      <w:r>
        <w:rPr>
          <w:color w:val="000000"/>
        </w:rPr>
        <w:t>Rådets gennemførelsesafgørelse (EU) 2017/1853 af 10. oktober 2017 om ændring af gennemførelsesafgørelse 2011/335/EU om bemyndigelse af Republikken Litauen til at anvende en foranstaltning, der fraviger artikel 287 i direktiv 2006/112/EF om det fælles merværdiafgiftssystem (EUT L 265 af 14.10.2017, s. 15).</w:t>
      </w:r>
    </w:p>
  </w:footnote>
  <w:footnote w:id="8">
    <w:p>
      <w:pPr>
        <w:pStyle w:val="FootnoteText"/>
      </w:pPr>
      <w:r>
        <w:rPr>
          <w:rStyle w:val="FootnoteReference0"/>
        </w:rPr>
        <w:footnoteRef/>
      </w:r>
      <w:r>
        <w:tab/>
        <w:t>Rådets gennemførelsesafgørelse 2014/796/EU af 7. november 2014 om bemyndigelse af Republikken Letland til at anvende en foranstaltning, der fraviger artikel 287 i direktiv 2006/112/EF om det fælles merværdiafgiftssystem (EUT L 330 af 15.11.2014, s. 46).</w:t>
      </w:r>
    </w:p>
  </w:footnote>
  <w:footnote w:id="9">
    <w:p>
      <w:pPr>
        <w:pStyle w:val="FootnoteText"/>
      </w:pPr>
      <w:r>
        <w:rPr>
          <w:rStyle w:val="FootnoteReference0"/>
        </w:rPr>
        <w:footnoteRef/>
      </w:r>
      <w:r>
        <w:tab/>
      </w:r>
      <w:r>
        <w:rPr>
          <w:color w:val="000000"/>
        </w:rPr>
        <w:t>Rådets gennemførelsesafgørelse (EU) 2015/2089 af 10. november 2015 om ændring af Rådets gennemførelsesafgørelse 2013/54/EU om bemyndigelse af Republikken Slovenien til at indføre en særlig foranstaltning, der fraviger artikel 287 i direktiv 2006/112/EF om det fælles merværdiafgiftssystem (EUT L 302 af 19.11.2015, s. 107).</w:t>
      </w:r>
    </w:p>
  </w:footnote>
  <w:footnote w:id="10">
    <w:p>
      <w:pPr>
        <w:pStyle w:val="FootnoteText"/>
      </w:pPr>
      <w:r>
        <w:rPr>
          <w:rStyle w:val="FootnoteReference0"/>
        </w:rPr>
        <w:footnoteRef/>
      </w:r>
      <w:r>
        <w:tab/>
        <w:t>Rådets gennemførelsesafgørelse (EU) 2016/1988 af 8. november 2016 om ændring af gennemførelsesafgørelse 2013/678/EU om tilladelse til Den Italienske Republik til fortsat at anvende en særlig foranstaltning, der fraviger artikel 285 i direktiv 2006/112/EF om det fælles merværdiafgiftssystem (EUT L 306 af 15.11.2016, s. 11).</w:t>
      </w:r>
    </w:p>
  </w:footnote>
  <w:footnote w:id="11">
    <w:p>
      <w:pPr>
        <w:pStyle w:val="FootnoteText"/>
      </w:pPr>
      <w:r>
        <w:rPr>
          <w:rStyle w:val="FootnoteReference0"/>
        </w:rPr>
        <w:footnoteRef/>
      </w:r>
      <w:r>
        <w:tab/>
        <w:t>Rådets gennemførelsesafgørelse (EU) 2017/1855 af 10. oktober 2017 om bemyndigelse af Rumænien til at anvende en særlig foranstaltning, der fraviger artikel 287 i direktiv 2006/112/EF om det fælles merværdiafgiftssystem (EUT L 265 af 14.10.2017, s. 19).</w:t>
      </w:r>
    </w:p>
  </w:footnote>
  <w:footnote w:id="12">
    <w:p>
      <w:pPr>
        <w:pStyle w:val="FootnoteText"/>
      </w:pPr>
      <w:r>
        <w:rPr>
          <w:rStyle w:val="FootnoteReference0"/>
        </w:rPr>
        <w:footnoteRef/>
      </w:r>
      <w:r>
        <w:tab/>
        <w:t>Meddelelse fra Kommissionen til Europa-Parlamentet, Rådet og Det Europæiske Økonomiske og Sociale Udvalg om en handlingsplan for moms – Mod et fælles europæisk momsområde – De svære valg, Bruxelles, den 7.4.2016 (COM(2016)148 final).</w:t>
      </w:r>
    </w:p>
  </w:footnote>
  <w:footnote w:id="13">
    <w:p>
      <w:pPr>
        <w:pStyle w:val="FootnoteText"/>
      </w:pPr>
      <w:r>
        <w:rPr>
          <w:rStyle w:val="FootnoteReference0"/>
        </w:rPr>
        <w:footnoteRef/>
      </w:r>
      <w:r>
        <w:tab/>
        <w:t>Kommissionens arbejdsprogram 2017 – Realisering af et Europa, der beskytter, styrker og forsvarer, Strasbourg, den 25.10.2016 (COM(2016) 710 final).</w:t>
      </w:r>
    </w:p>
  </w:footnote>
  <w:footnote w:id="14">
    <w:p>
      <w:pPr>
        <w:pStyle w:val="FootnoteText"/>
      </w:pPr>
      <w:r>
        <w:rPr>
          <w:rStyle w:val="FootnoteReference0"/>
        </w:rPr>
        <w:footnoteRef/>
      </w:r>
      <w:r>
        <w:tab/>
        <w:t>Meddelelse fra Kommissionen til Rådet, Europa-Parlamentet, Det Europæiske Økonomiske og Sociale Udvalg og Regionsudvalget – "Tænk småt først – En "Small Business Act" for Europa", Bruxelles, den 25.6.2008 (KOM(2008) 394 endelig).</w:t>
      </w:r>
    </w:p>
  </w:footnote>
  <w:footnote w:id="15">
    <w:p>
      <w:pPr>
        <w:pStyle w:val="FootnoteText"/>
      </w:pPr>
      <w:r>
        <w:rPr>
          <w:rStyle w:val="FootnoteReference0"/>
        </w:rPr>
        <w:footnoteRef/>
      </w:r>
      <w:r>
        <w:tab/>
        <w:t>EFT L 155 af 7.6.1989, s. 9.</w:t>
      </w:r>
    </w:p>
  </w:footnote>
  <w:footnote w:id="16">
    <w:p>
      <w:pPr>
        <w:pStyle w:val="FootnoteText"/>
      </w:pPr>
      <w:r>
        <w:rPr>
          <w:rStyle w:val="FootnoteReference0"/>
        </w:rPr>
        <w:footnoteRef/>
      </w:r>
      <w:r>
        <w:tab/>
        <w:t>EUT L 347 af 11.12.2006, s. 1.</w:t>
      </w:r>
    </w:p>
  </w:footnote>
  <w:footnote w:id="17">
    <w:p>
      <w:pPr>
        <w:pStyle w:val="FootnoteText"/>
      </w:pPr>
      <w:r>
        <w:rPr>
          <w:rStyle w:val="FootnoteReference0"/>
        </w:rPr>
        <w:footnoteRef/>
      </w:r>
      <w:r>
        <w:tab/>
        <w:t>Meddelelse fra Kommissionen til Rådet, Europa-Parlamentet, Det Europæiske Økonomiske og Sociale Udvalg og Regionsudvalget – "Tænk småt først – En "Small Business Act" for Europa", Bruxelles, den 25.6.2008 (KOM(2008) 394 endelig).</w:t>
      </w:r>
      <w:r>
        <w:rPr>
          <w:rStyle w:val="Strong"/>
          <w:rFonts w:ascii="Lucida Sans Unicode" w:hAnsi="Lucida Sans Unicode"/>
          <w:color w:val="444444"/>
          <w:sz w:val="19"/>
        </w:rPr>
        <w:t xml:space="preserve"> </w:t>
      </w:r>
    </w:p>
  </w:footnote>
  <w:footnote w:id="18">
    <w:p>
      <w:pPr>
        <w:pStyle w:val="FootnoteText"/>
      </w:pPr>
      <w:r>
        <w:rPr>
          <w:rStyle w:val="FootnoteReference0"/>
        </w:rPr>
        <w:footnoteRef/>
      </w:r>
      <w:r>
        <w:tab/>
        <w:t>Rådets forordning (EØF, Euratom) nr. 1553/89 af 29. maj 1989 om den endelige ordning for ensartet opkrævning af egne indtægter hidrørende fra merværdiafgiften (EFT L 155 af 7.6.1989, s.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04C0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1B8C1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6C1AC1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C1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9C6B9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7DAA8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86A1590"/>
    <w:lvl w:ilvl="0">
      <w:start w:val="1"/>
      <w:numFmt w:val="decimal"/>
      <w:pStyle w:val="ListNumber"/>
      <w:lvlText w:val="%1."/>
      <w:lvlJc w:val="left"/>
      <w:pPr>
        <w:tabs>
          <w:tab w:val="num" w:pos="360"/>
        </w:tabs>
        <w:ind w:left="360" w:hanging="360"/>
      </w:pPr>
    </w:lvl>
  </w:abstractNum>
  <w:abstractNum w:abstractNumId="7">
    <w:nsid w:val="FFFFFF89"/>
    <w:multiLevelType w:val="singleLevel"/>
    <w:tmpl w:val="933CFF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4 14:17:5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42AA6A3-C2BE-4431-ACE3-B288B6EB9CE3"/>
    <w:docVar w:name="LW_COVERPAGE_TYPE" w:val="1"/>
    <w:docVar w:name="LW_CROSSREFERENCE" w:val="&lt;UNUSED&gt;"/>
    <w:docVar w:name="LW_DocType" w:val="COM"/>
    <w:docVar w:name="LW_EMISSION" w:val="10.1.2018"/>
    <w:docVar w:name="LW_EMISSION_ISODATE" w:val="2018-01-10"/>
    <w:docVar w:name="LW_EMISSION_LOCATION" w:val="BRX"/>
    <w:docVar w:name="LW_EMISSION_PREFIX" w:val="Bruxelles, den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361"/>
    <w:docVar w:name="LW_REF.II.NEW.CP_YEAR" w:val="2017"/>
    <w:docVar w:name="LW_REF.INST.NEW" w:val="COM"/>
    <w:docVar w:name="LW_REF.INST.NEW_ADOPTED" w:val="final"/>
    <w:docVar w:name="LW_REF.INST.NEW_TEXT" w:val="(2018)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Forslag til"/>
    <w:docVar w:name="LW_SUPERTITRE" w:val="&lt;UNUSED&gt;"/>
    <w:docVar w:name="LW_TITRE.OBJ.CP" w:val="om at give Republikken Malta tilladelse til at anvende en særlig foranstaltning, der fraviger artikel 287 i direktiv 2006/112/EF om det fælles merværdiafgiftssystem"/>
    <w:docVar w:name="LW_TYPE.DOC.CP" w:val="RÅDETS GENNEMFØRELSES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185">
      <w:bodyDiv w:val="1"/>
      <w:marLeft w:val="0"/>
      <w:marRight w:val="0"/>
      <w:marTop w:val="0"/>
      <w:marBottom w:val="0"/>
      <w:divBdr>
        <w:top w:val="none" w:sz="0" w:space="0" w:color="auto"/>
        <w:left w:val="none" w:sz="0" w:space="0" w:color="auto"/>
        <w:bottom w:val="none" w:sz="0" w:space="0" w:color="auto"/>
        <w:right w:val="none" w:sz="0" w:space="0" w:color="auto"/>
      </w:divBdr>
    </w:div>
    <w:div w:id="2057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32F1-D800-4A37-9E3B-E95260CB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1785</Words>
  <Characters>10587</Characters>
  <Application>Microsoft Office Word</Application>
  <DocSecurity>0</DocSecurity>
  <Lines>185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2017-01-09T13:12:00Z</cp:lastPrinted>
  <dcterms:created xsi:type="dcterms:W3CDTF">2017-12-21T09:40:00Z</dcterms:created>
  <dcterms:modified xsi:type="dcterms:W3CDTF">2018-01-04T13:17:00Z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