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82BBA0C-2CEF-4DE8-9307-D907A3F6659B" style="width:450.75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center"/>
        <w:rPr>
          <w:rFonts w:ascii="Times New Roman" w:hAnsi="Times New Roman"/>
          <w:b/>
          <w:noProof/>
          <w:sz w:val="24"/>
          <w:szCs w:val="24"/>
        </w:rPr>
      </w:pPr>
      <w:bookmarkStart w:id="1" w:name="_GoBack"/>
      <w:bookmarkEnd w:id="1"/>
      <w:r>
        <w:rPr>
          <w:rFonts w:ascii="Times New Roman" w:hAnsi="Times New Roman"/>
          <w:b/>
          <w:noProof/>
          <w:sz w:val="24"/>
        </w:rPr>
        <w:lastRenderedPageBreak/>
        <w:t>RAPPORT FRA KOMMISSIONEN TIL EUROPA-PARLAMENTET OG</w:t>
      </w:r>
    </w:p>
    <w:p>
      <w:pPr>
        <w:spacing w:line="240" w:lineRule="auto"/>
        <w:jc w:val="center"/>
        <w:rPr>
          <w:rFonts w:ascii="Times New Roman" w:hAnsi="Times New Roman"/>
          <w:b/>
          <w:noProof/>
          <w:sz w:val="24"/>
          <w:szCs w:val="24"/>
        </w:rPr>
      </w:pPr>
      <w:r>
        <w:rPr>
          <w:rFonts w:ascii="Times New Roman" w:hAnsi="Times New Roman"/>
          <w:b/>
          <w:noProof/>
          <w:sz w:val="24"/>
        </w:rPr>
        <w:t>RÅDET</w:t>
      </w:r>
    </w:p>
    <w:p>
      <w:pPr>
        <w:spacing w:line="240" w:lineRule="auto"/>
        <w:jc w:val="center"/>
        <w:rPr>
          <w:rFonts w:ascii="Times New Roman" w:hAnsi="Times New Roman"/>
          <w:b/>
          <w:noProof/>
          <w:sz w:val="24"/>
          <w:szCs w:val="24"/>
        </w:rPr>
      </w:pPr>
      <w:r>
        <w:rPr>
          <w:rFonts w:ascii="Times New Roman" w:hAnsi="Times New Roman"/>
          <w:b/>
          <w:noProof/>
          <w:sz w:val="24"/>
        </w:rPr>
        <w:t>om udøvelsen af de beføjelser til at vedtage delegerede retsakter, der er tillagt Kommissionen ved Europa-Parlamentets og Rådets direktiv 2013/55/EU af 20. november 2013 om ændring af direktiv 2005/36/EF om anerkendelse af erhvervsmæssige kvalifikationer og forordning (EU) nr. 1024/2012 om administrativt samarbejde via informationssystemet for det indre marked ("IMI-forordningen")</w:t>
      </w:r>
    </w:p>
    <w:p>
      <w:pPr>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 xml:space="preserve">1. </w:t>
      </w:r>
      <w:r>
        <w:rPr>
          <w:noProof/>
        </w:rPr>
        <w:tab/>
      </w:r>
      <w:r>
        <w:rPr>
          <w:rFonts w:ascii="Times New Roman" w:hAnsi="Times New Roman"/>
          <w:b/>
          <w:noProof/>
          <w:sz w:val="24"/>
        </w:rPr>
        <w:t>INDLEDNING</w:t>
      </w:r>
    </w:p>
    <w:p>
      <w:pPr>
        <w:jc w:val="both"/>
        <w:rPr>
          <w:rFonts w:ascii="Times New Roman" w:hAnsi="Times New Roman"/>
          <w:noProof/>
          <w:sz w:val="24"/>
          <w:szCs w:val="24"/>
        </w:rPr>
      </w:pPr>
      <w:r>
        <w:rPr>
          <w:rFonts w:ascii="Times New Roman" w:hAnsi="Times New Roman"/>
          <w:noProof/>
          <w:sz w:val="24"/>
        </w:rPr>
        <w:t>Europa-Parlamentets og Rådets direktiv 2005/36/EF af 7. september 2005 om anerkendelse af erhvervsmæssige kvalifikationer</w:t>
      </w:r>
      <w:r>
        <w:rPr>
          <w:rStyle w:val="FootnoteReference"/>
          <w:rFonts w:ascii="Times New Roman" w:hAnsi="Times New Roman"/>
          <w:noProof/>
          <w:sz w:val="24"/>
        </w:rPr>
        <w:footnoteReference w:id="1"/>
      </w:r>
      <w:r>
        <w:rPr>
          <w:rFonts w:ascii="Times New Roman" w:hAnsi="Times New Roman"/>
          <w:noProof/>
          <w:sz w:val="24"/>
        </w:rPr>
        <w:t xml:space="preserve"> konsoliderede ordningen med gensidig anerkendelse, som var baseret på 15 direktiver. </w:t>
      </w:r>
    </w:p>
    <w:p>
      <w:pPr>
        <w:jc w:val="both"/>
        <w:rPr>
          <w:rFonts w:ascii="Times New Roman" w:hAnsi="Times New Roman"/>
          <w:noProof/>
          <w:sz w:val="24"/>
          <w:szCs w:val="24"/>
        </w:rPr>
      </w:pPr>
      <w:r>
        <w:rPr>
          <w:rFonts w:ascii="Times New Roman" w:hAnsi="Times New Roman"/>
          <w:noProof/>
          <w:sz w:val="24"/>
        </w:rPr>
        <w:t>I sin meddelelse af 27. oktober 2011</w:t>
      </w:r>
      <w:r>
        <w:rPr>
          <w:rStyle w:val="FootnoteReference"/>
          <w:rFonts w:ascii="Times New Roman" w:hAnsi="Times New Roman"/>
          <w:noProof/>
          <w:sz w:val="24"/>
        </w:rPr>
        <w:footnoteReference w:id="2"/>
      </w:r>
      <w:r>
        <w:rPr>
          <w:rFonts w:ascii="Times New Roman" w:hAnsi="Times New Roman"/>
          <w:noProof/>
          <w:sz w:val="24"/>
        </w:rPr>
        <w:t xml:space="preserve"> pegede Kommissionen på behovet for at modernisere EU-retten på dette område. Dette resulterede i vedtagelsen af direktiv 2013/55/EU</w:t>
      </w:r>
      <w:r>
        <w:rPr>
          <w:rStyle w:val="FootnoteReference"/>
          <w:rFonts w:ascii="Times New Roman" w:hAnsi="Times New Roman"/>
          <w:noProof/>
          <w:sz w:val="24"/>
        </w:rPr>
        <w:footnoteReference w:id="3"/>
      </w:r>
      <w:r>
        <w:rPr>
          <w:rFonts w:ascii="Times New Roman" w:hAnsi="Times New Roman"/>
          <w:noProof/>
          <w:sz w:val="24"/>
        </w:rPr>
        <w:t xml:space="preserve"> den 20. november 2013.</w:t>
      </w:r>
    </w:p>
    <w:p>
      <w:pPr>
        <w:jc w:val="both"/>
        <w:rPr>
          <w:rFonts w:ascii="Times New Roman" w:hAnsi="Times New Roman"/>
          <w:noProof/>
          <w:sz w:val="24"/>
          <w:szCs w:val="24"/>
        </w:rPr>
      </w:pPr>
      <w:r>
        <w:rPr>
          <w:rFonts w:ascii="Times New Roman" w:hAnsi="Times New Roman"/>
          <w:noProof/>
          <w:sz w:val="24"/>
        </w:rPr>
        <w:t>Med de opstillede mål for øje tillægges Kommissionen ved direktiv 2013/55/EU om ændring af direktiv 2005/36/EF beføjelser til at vedtage delegerede retsakter vedrørende et antal aspekter opstillet i artikel 57c, stk. 2, i direktiv 2005/36/EF ("direktivet") og på de i denne artikel fastlagte betingelser, jf. artikel 290 TEUF.</w:t>
      </w:r>
    </w:p>
    <w:p>
      <w:pPr>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RETSGRUNDLAG</w:t>
      </w:r>
    </w:p>
    <w:p>
      <w:pPr>
        <w:jc w:val="both"/>
        <w:rPr>
          <w:rFonts w:ascii="Times New Roman" w:hAnsi="Times New Roman"/>
          <w:noProof/>
          <w:sz w:val="24"/>
          <w:szCs w:val="24"/>
        </w:rPr>
      </w:pPr>
      <w:r>
        <w:rPr>
          <w:rFonts w:ascii="Times New Roman" w:hAnsi="Times New Roman"/>
          <w:noProof/>
          <w:sz w:val="24"/>
        </w:rPr>
        <w:t>Ved artikel 57c, stk. 2, i direktiv 2005/36/EF som ændret ved direktiv 2013/55/EU tillægges Kommissionen beføjelse til at vedtage delegerede retsakter vedrørende de deri nævnte aspekter for en periode på fem år fra 17. januar 2014. Desuden forpligtes Kommissionen til at udarbejde en rapport vedrørende delegationen af beføjelser senest ni måneder inden udløbet af femårsperioden.</w:t>
      </w:r>
    </w:p>
    <w:p>
      <w:pPr>
        <w:jc w:val="both"/>
        <w:rPr>
          <w:rFonts w:ascii="Times New Roman" w:hAnsi="Times New Roman"/>
          <w:noProof/>
          <w:sz w:val="24"/>
          <w:szCs w:val="24"/>
        </w:rPr>
      </w:pPr>
      <w:r>
        <w:rPr>
          <w:rFonts w:ascii="Times New Roman" w:hAnsi="Times New Roman"/>
          <w:noProof/>
          <w:sz w:val="24"/>
        </w:rPr>
        <w:t>Delegationen af beføjelser forlænges stiltiende for perioder af fem år, medmindre Europa-Parlamentet eller Rådet modsætter sig en sådan forlængelse senest tre måneder inden udløbet af hver periode.</w:t>
      </w:r>
    </w:p>
    <w:p>
      <w:pPr>
        <w:jc w:val="both"/>
        <w:rPr>
          <w:rFonts w:ascii="Times New Roman" w:hAnsi="Times New Roman"/>
          <w:noProof/>
          <w:sz w:val="24"/>
          <w:szCs w:val="24"/>
        </w:rPr>
      </w:pPr>
      <w:r>
        <w:rPr>
          <w:rFonts w:ascii="Times New Roman" w:hAnsi="Times New Roman"/>
          <w:noProof/>
          <w:sz w:val="24"/>
        </w:rPr>
        <w:t xml:space="preserve">Beføjelserne til at vedtage delegerede retsakter tillægges Kommissionen på de i artikel 57c i direktiv 2005/36/EF som ændret ved direktiv 2013/55/EU anførte betingelser. Delegationen af beføjelser kan til enhver tid tilbagekaldes af Europa-Parlamentet eller Rådet. </w:t>
      </w:r>
    </w:p>
    <w:p>
      <w:pPr>
        <w:jc w:val="both"/>
        <w:rPr>
          <w:noProof/>
        </w:rPr>
      </w:pPr>
      <w:r>
        <w:rPr>
          <w:rFonts w:ascii="Times New Roman" w:hAnsi="Times New Roman"/>
          <w:noProof/>
          <w:sz w:val="24"/>
        </w:rPr>
        <w:lastRenderedPageBreak/>
        <w:t>Artikel 57c, stk. 2, i forordning 2005/36/EF som ændret ved direktiv 2013/55/EU tillægger Kommissionen beføjelser til at vedtage delegerede retsakter særlig vedrørende følgende aspekter:</w:t>
      </w:r>
    </w:p>
    <w:p>
      <w:pPr>
        <w:pStyle w:val="CM3"/>
        <w:spacing w:before="60" w:after="60"/>
        <w:rPr>
          <w:rFonts w:cs="EUAlbertina"/>
          <w:noProof/>
          <w:color w:val="000000"/>
        </w:rPr>
      </w:pPr>
    </w:p>
    <w:p>
      <w:pPr>
        <w:numPr>
          <w:ilvl w:val="0"/>
          <w:numId w:val="1"/>
        </w:numPr>
        <w:jc w:val="both"/>
        <w:rPr>
          <w:rFonts w:ascii="Times New Roman" w:hAnsi="Times New Roman"/>
          <w:noProof/>
          <w:sz w:val="24"/>
          <w:szCs w:val="24"/>
        </w:rPr>
      </w:pPr>
      <w:r>
        <w:rPr>
          <w:rFonts w:ascii="Times New Roman" w:hAnsi="Times New Roman"/>
          <w:noProof/>
          <w:sz w:val="24"/>
        </w:rPr>
        <w:t>Ajourføring af benævnelser på uddannelsesbeviser og, hvis det er relevant, det organ, der udsteder uddannelsesbeviset, det certifikat, der ledsager det, og den tilsvarende faglige titel, der er omhandlet i punkt 5.1.1-5.1.4, 5.2.2, 5.3.2, 5.3.3, 5.4.2, 5.5.2, 5.6.2 og 5.7.1 i bilag V</w:t>
      </w:r>
    </w:p>
    <w:p>
      <w:pPr>
        <w:numPr>
          <w:ilvl w:val="0"/>
          <w:numId w:val="1"/>
        </w:numPr>
        <w:jc w:val="both"/>
        <w:rPr>
          <w:rFonts w:ascii="Times New Roman" w:hAnsi="Times New Roman"/>
          <w:noProof/>
          <w:sz w:val="24"/>
          <w:szCs w:val="24"/>
        </w:rPr>
      </w:pPr>
      <w:r>
        <w:rPr>
          <w:rFonts w:ascii="Times New Roman" w:hAnsi="Times New Roman"/>
          <w:noProof/>
          <w:sz w:val="24"/>
        </w:rPr>
        <w:t>Ajourføring af mindstekrav til uddannelse, der er fastsat i direktivet for seks erhverv</w:t>
      </w:r>
    </w:p>
    <w:p>
      <w:pPr>
        <w:numPr>
          <w:ilvl w:val="0"/>
          <w:numId w:val="1"/>
        </w:numPr>
        <w:jc w:val="both"/>
        <w:rPr>
          <w:rFonts w:ascii="Times New Roman" w:hAnsi="Times New Roman"/>
          <w:noProof/>
          <w:sz w:val="24"/>
          <w:szCs w:val="24"/>
        </w:rPr>
      </w:pPr>
      <w:r>
        <w:rPr>
          <w:rFonts w:ascii="Times New Roman" w:hAnsi="Times New Roman"/>
          <w:noProof/>
          <w:sz w:val="24"/>
        </w:rPr>
        <w:t>Opstilling af fælles uddannelsesrammer eller fælles uddannelsestest</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Så snart Kommissionen vedtager en delegeret retsakt, giver den samtidig Europa-Parlamentet og Rådet meddelelse herom (artikel 57c, stk. 4, i direktiv 2005/36/EF som ændret ved direktiv 2013/55/EU).</w:t>
      </w:r>
    </w:p>
    <w:p>
      <w:pPr>
        <w:jc w:val="both"/>
        <w:rPr>
          <w:rFonts w:ascii="Times New Roman" w:hAnsi="Times New Roman"/>
          <w:noProof/>
          <w:sz w:val="24"/>
          <w:szCs w:val="24"/>
        </w:rPr>
      </w:pPr>
      <w:r>
        <w:rPr>
          <w:rFonts w:ascii="Times New Roman" w:hAnsi="Times New Roman"/>
          <w:noProof/>
          <w:sz w:val="24"/>
        </w:rPr>
        <w:t>I henhold til artikel 57c, stk. 5, i direktiv 2005/36/EF som ændret ved direktiv 2013/55/EU træder en delegeret retsakt kun i kraft, hvis hverken Europa-Parlamentet eller Rådet har gjort indsigelse inden for en frist på to måneder fra meddelelsen af den pågældende retsakt til Europa-Parlamentet eller Rådet, eller hvis Europa-Parlamentet og Rådet inden udløbet af denne frist begge har meddelt Kommissionen, at de ikke agter at gøre indsigelse. Fristen forlænges med to måneder på Europa-Parlamentets eller Rådets initiativ.</w:t>
      </w:r>
    </w:p>
    <w:p>
      <w:pPr>
        <w:jc w:val="both"/>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UDØVELSE AF DE DELEGEREDE BEFØJELSER</w:t>
      </w:r>
    </w:p>
    <w:p>
      <w:pPr>
        <w:jc w:val="both"/>
        <w:rPr>
          <w:rFonts w:ascii="Times New Roman" w:hAnsi="Times New Roman"/>
          <w:b/>
          <w:noProof/>
          <w:sz w:val="24"/>
          <w:szCs w:val="24"/>
        </w:rPr>
      </w:pPr>
      <w:r>
        <w:rPr>
          <w:rFonts w:ascii="Times New Roman" w:hAnsi="Times New Roman"/>
          <w:b/>
          <w:noProof/>
          <w:sz w:val="24"/>
        </w:rPr>
        <w:t>3.1 Delegerede retsakter, der allerede er blevet vedtaget</w:t>
      </w:r>
    </w:p>
    <w:p>
      <w:pPr>
        <w:jc w:val="both"/>
        <w:rPr>
          <w:rFonts w:ascii="Times New Roman" w:hAnsi="Times New Roman" w:cs="Times New Roman"/>
          <w:bCs/>
          <w:noProof/>
          <w:sz w:val="24"/>
          <w:szCs w:val="24"/>
        </w:rPr>
      </w:pPr>
      <w:r>
        <w:rPr>
          <w:rFonts w:ascii="Times New Roman" w:hAnsi="Times New Roman"/>
          <w:noProof/>
          <w:sz w:val="24"/>
        </w:rPr>
        <w:t xml:space="preserve">Kommissionen har udøvet følgende delegerede beføjelser i referenceperioden: </w:t>
      </w:r>
    </w:p>
    <w:p>
      <w:pPr>
        <w:jc w:val="both"/>
        <w:rPr>
          <w:rFonts w:ascii="Times New Roman" w:hAnsi="Times New Roman"/>
          <w:noProof/>
          <w:sz w:val="24"/>
          <w:szCs w:val="24"/>
        </w:rPr>
      </w:pPr>
      <w:r>
        <w:rPr>
          <w:rFonts w:ascii="Times New Roman" w:hAnsi="Times New Roman"/>
          <w:noProof/>
          <w:sz w:val="24"/>
        </w:rPr>
        <w:t xml:space="preserve">På baggrund af artikel 21a, stk. 4, i direktiv 2005/36/EF som ændret ved direktiv 2013/55/EU er der vedtaget to Kommissionens delegerede afgørelser vedrørende ændring af bilag V til direktiv 2005/36/EF for så vidt angår uddannelsesbeviser (se punkt 2, litra a), ovenfor). </w:t>
      </w:r>
    </w:p>
    <w:p>
      <w:pPr>
        <w:jc w:val="both"/>
        <w:rPr>
          <w:rFonts w:ascii="Times New Roman" w:hAnsi="Times New Roman"/>
          <w:noProof/>
          <w:sz w:val="24"/>
          <w:szCs w:val="24"/>
        </w:rPr>
      </w:pPr>
      <w:r>
        <w:rPr>
          <w:rFonts w:ascii="Times New Roman" w:hAnsi="Times New Roman"/>
          <w:noProof/>
          <w:sz w:val="24"/>
        </w:rPr>
        <w:t>Den første delegerede afgørelse vedrørende ændring af bilag V for at indarbejde ændringer til nationale eksamensbeviser i de sektorielle erhverv, som medlemsstaterne havde meddelt Kommissionen, blev vedtaget den 13. januar 2016</w:t>
      </w:r>
      <w:r>
        <w:rPr>
          <w:rStyle w:val="FootnoteReference"/>
          <w:rFonts w:ascii="Times New Roman" w:hAnsi="Times New Roman"/>
          <w:noProof/>
          <w:sz w:val="24"/>
        </w:rPr>
        <w:footnoteReference w:id="4"/>
      </w:r>
      <w:r>
        <w:rPr>
          <w:rFonts w:ascii="Times New Roman" w:hAnsi="Times New Roman"/>
          <w:noProof/>
          <w:sz w:val="24"/>
        </w:rPr>
        <w:t>, og den anden delegerede afgørelse blev vedtaget den 1. december 2017</w:t>
      </w:r>
      <w:r>
        <w:rPr>
          <w:rStyle w:val="FootnoteReference"/>
          <w:rFonts w:ascii="Times New Roman" w:hAnsi="Times New Roman"/>
          <w:noProof/>
          <w:sz w:val="24"/>
        </w:rPr>
        <w:footnoteReference w:id="5"/>
      </w:r>
      <w:r>
        <w:rPr>
          <w:rFonts w:ascii="Times New Roman" w:hAnsi="Times New Roman"/>
          <w:noProof/>
          <w:sz w:val="24"/>
        </w:rPr>
        <w:t xml:space="preserve">. </w:t>
      </w:r>
    </w:p>
    <w:p>
      <w:pPr>
        <w:rPr>
          <w:noProof/>
        </w:rPr>
      </w:pPr>
    </w:p>
    <w:p>
      <w:pPr>
        <w:jc w:val="both"/>
        <w:rPr>
          <w:rFonts w:ascii="Times New Roman" w:hAnsi="Times New Roman"/>
          <w:b/>
          <w:noProof/>
          <w:sz w:val="24"/>
          <w:szCs w:val="24"/>
        </w:rPr>
      </w:pPr>
      <w:r>
        <w:rPr>
          <w:rFonts w:ascii="Times New Roman" w:hAnsi="Times New Roman"/>
          <w:b/>
          <w:noProof/>
          <w:sz w:val="24"/>
        </w:rPr>
        <w:lastRenderedPageBreak/>
        <w:t>3.2 Høring forud for vedtagelse</w:t>
      </w:r>
    </w:p>
    <w:p>
      <w:pPr>
        <w:jc w:val="both"/>
        <w:rPr>
          <w:rFonts w:ascii="Times New Roman" w:hAnsi="Times New Roman"/>
          <w:noProof/>
          <w:sz w:val="24"/>
          <w:szCs w:val="24"/>
        </w:rPr>
      </w:pPr>
      <w:r>
        <w:rPr>
          <w:rFonts w:ascii="Times New Roman" w:hAnsi="Times New Roman"/>
          <w:noProof/>
          <w:sz w:val="24"/>
        </w:rPr>
        <w:t>I overensstemmelse med sine forpligtelser i den interinstitutionelle aftale om bedre lovgivning</w:t>
      </w:r>
      <w:r>
        <w:rPr>
          <w:rStyle w:val="FootnoteReference"/>
          <w:rFonts w:ascii="Times New Roman" w:hAnsi="Times New Roman"/>
          <w:noProof/>
          <w:sz w:val="24"/>
        </w:rPr>
        <w:footnoteReference w:id="6"/>
      </w:r>
      <w:r>
        <w:rPr>
          <w:rFonts w:ascii="Times New Roman" w:hAnsi="Times New Roman"/>
          <w:noProof/>
          <w:sz w:val="24"/>
        </w:rPr>
        <w:t xml:space="preserve"> har Kommissionen under udarbejdelsen af delegerede retsakter hørt eksperter udpeget af medlemsstaterne og relevante interesserede parter gennem særlige ekspertmøder og skriftlige høringer. </w:t>
      </w:r>
    </w:p>
    <w:p>
      <w:pPr>
        <w:jc w:val="both"/>
        <w:rPr>
          <w:rFonts w:ascii="Times New Roman" w:hAnsi="Times New Roman"/>
          <w:noProof/>
          <w:sz w:val="24"/>
          <w:szCs w:val="24"/>
        </w:rPr>
      </w:pPr>
      <w:r>
        <w:rPr>
          <w:rFonts w:ascii="Times New Roman" w:hAnsi="Times New Roman"/>
          <w:noProof/>
          <w:sz w:val="24"/>
        </w:rPr>
        <w:t>Den ekspertgruppe, der deltog i udarbejdelsen af de delegerede retsakter, er koordinatorgruppen for anerkendelse af erhvervsmæssige kvalifikationer, som oprettet ved Kommissionens afgørelse af 19. marts 2007</w:t>
      </w:r>
      <w:r>
        <w:rPr>
          <w:rStyle w:val="FootnoteReference"/>
          <w:rFonts w:ascii="Times New Roman" w:hAnsi="Times New Roman"/>
          <w:noProof/>
          <w:sz w:val="24"/>
        </w:rPr>
        <w:footnoteReference w:id="7"/>
      </w:r>
      <w:r>
        <w:rPr>
          <w:rFonts w:ascii="Times New Roman" w:hAnsi="Times New Roman"/>
          <w:noProof/>
          <w:sz w:val="24"/>
        </w:rPr>
        <w:t>.</w:t>
      </w:r>
      <w:r>
        <w:rPr>
          <w:noProof/>
        </w:rPr>
        <w:t xml:space="preserve"> </w:t>
      </w:r>
      <w:r>
        <w:rPr>
          <w:rFonts w:ascii="Times New Roman" w:hAnsi="Times New Roman"/>
          <w:noProof/>
          <w:sz w:val="24"/>
        </w:rPr>
        <w:t>Der er blevet taget højde for de bemærkninger, der er blevet fremsat under høringerne, i udarbejdelsen af de endelige versioner af de delegerede retsakter.</w:t>
      </w:r>
    </w:p>
    <w:p>
      <w:pPr>
        <w:jc w:val="both"/>
        <w:rPr>
          <w:rFonts w:ascii="Times New Roman" w:hAnsi="Times New Roman"/>
          <w:noProof/>
          <w:sz w:val="24"/>
          <w:szCs w:val="24"/>
        </w:rPr>
      </w:pPr>
      <w:r>
        <w:rPr>
          <w:rFonts w:ascii="Times New Roman" w:hAnsi="Times New Roman"/>
          <w:noProof/>
          <w:sz w:val="24"/>
        </w:rPr>
        <w:t>De dokumenter, der har været relevante for høringerne, er blevet sendt samtidig til Europa-Parlamentet og Rådet, og begge institutioner har haft lejlighed til at sende eksperter til møderne i ekspertgruppen.</w:t>
      </w:r>
    </w:p>
    <w:p>
      <w:pPr>
        <w:jc w:val="both"/>
        <w:rPr>
          <w:rFonts w:ascii="Times New Roman" w:hAnsi="Times New Roman"/>
          <w:b/>
          <w:noProof/>
          <w:sz w:val="24"/>
          <w:szCs w:val="24"/>
        </w:rPr>
      </w:pPr>
      <w:r>
        <w:rPr>
          <w:rFonts w:ascii="Times New Roman" w:hAnsi="Times New Roman"/>
          <w:b/>
          <w:noProof/>
          <w:sz w:val="24"/>
        </w:rPr>
        <w:t>3.3. Ingen indsigelser mod delegerede retsakter</w:t>
      </w:r>
    </w:p>
    <w:p>
      <w:pPr>
        <w:jc w:val="both"/>
        <w:rPr>
          <w:rFonts w:ascii="Times New Roman" w:hAnsi="Times New Roman"/>
          <w:noProof/>
          <w:sz w:val="24"/>
          <w:szCs w:val="24"/>
        </w:rPr>
      </w:pPr>
      <w:r>
        <w:rPr>
          <w:rFonts w:ascii="Times New Roman" w:hAnsi="Times New Roman"/>
          <w:noProof/>
          <w:sz w:val="24"/>
        </w:rPr>
        <w:t>I henhold til artikel 57c, stk. 5, i direktiv 2005/36/EF som ændret ved direktiv 2013/55/EU kan Europa-Parlamentet eller Rådet gøre indsigelse mod en delegeret retsakt inden for en frist på to måneder fra datoen for meddelelsen, og denne frist kan forlænges med endnu to måneder på Europa-Parlamentets eller Rådets initiativ. Gør enten Europa-Parlamentet eller Rådet indsigelse mod en delegeret retsakt inden udløbet af fristen, træder den ikke i kraft.</w:t>
      </w:r>
    </w:p>
    <w:p>
      <w:pPr>
        <w:jc w:val="both"/>
        <w:rPr>
          <w:rFonts w:ascii="Times New Roman" w:hAnsi="Times New Roman"/>
          <w:b/>
          <w:noProof/>
          <w:sz w:val="24"/>
          <w:szCs w:val="24"/>
        </w:rPr>
      </w:pPr>
      <w:r>
        <w:rPr>
          <w:rFonts w:ascii="Times New Roman" w:hAnsi="Times New Roman"/>
          <w:noProof/>
          <w:sz w:val="24"/>
        </w:rPr>
        <w:t>Hverken Europa-Parlamentet eller Rådet har gjort indsigelser mod nogen af de delegerede retsakter, der er nævnt i punkt 3.1. ovenfor, og de delegerede retsakter blev derfor offentliggjort og trådte i kraft ved indsigelsesperiodens udløb.</w:t>
      </w:r>
    </w:p>
    <w:p>
      <w:pPr>
        <w:jc w:val="both"/>
        <w:rPr>
          <w:rFonts w:ascii="Times New Roman" w:hAnsi="Times New Roman"/>
          <w:b/>
          <w:noProof/>
          <w:sz w:val="24"/>
          <w:szCs w:val="24"/>
        </w:rPr>
      </w:pPr>
      <w:r>
        <w:rPr>
          <w:rFonts w:ascii="Times New Roman" w:hAnsi="Times New Roman"/>
          <w:b/>
          <w:noProof/>
          <w:sz w:val="24"/>
        </w:rPr>
        <w:t>3.4 Mulige fremtidige delegerede retsakter</w:t>
      </w:r>
    </w:p>
    <w:p>
      <w:pPr>
        <w:jc w:val="both"/>
        <w:rPr>
          <w:rFonts w:ascii="Times New Roman" w:hAnsi="Times New Roman"/>
          <w:noProof/>
          <w:sz w:val="24"/>
          <w:szCs w:val="24"/>
        </w:rPr>
      </w:pPr>
      <w:r>
        <w:rPr>
          <w:rFonts w:ascii="Times New Roman" w:hAnsi="Times New Roman"/>
          <w:noProof/>
          <w:sz w:val="24"/>
        </w:rPr>
        <w:t>Der skal vedtages andre delegerede retsakter på baggrund af artikel 21a, stk. 4, for at ændre bilag V i direktiv 2005/36/EF for så vidt angår uddannelsesbeviser. Kommissionens tjenestegrene er i øjeblikket ved at udarbejde den tredje delegerede afgørelse.</w:t>
      </w:r>
    </w:p>
    <w:p>
      <w:pPr>
        <w:jc w:val="both"/>
        <w:rPr>
          <w:rFonts w:ascii="Times New Roman" w:hAnsi="Times New Roman"/>
          <w:noProof/>
          <w:sz w:val="24"/>
          <w:szCs w:val="24"/>
        </w:rPr>
      </w:pPr>
      <w:r>
        <w:rPr>
          <w:rFonts w:ascii="Times New Roman" w:hAnsi="Times New Roman"/>
          <w:noProof/>
          <w:sz w:val="24"/>
        </w:rPr>
        <w:t>Derudover arbejder Kommissionens tjenestegrene på en mulig delegeret forordning om fastsættelse af en fælles uddannelsestest for skiinstruktører, jf. artikel 49b i direktivet.</w:t>
      </w:r>
    </w:p>
    <w:p>
      <w:pPr>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KONKLUSION</w:t>
      </w:r>
    </w:p>
    <w:p>
      <w:pPr>
        <w:jc w:val="both"/>
        <w:rPr>
          <w:rFonts w:ascii="Times New Roman" w:hAnsi="Times New Roman"/>
          <w:noProof/>
          <w:sz w:val="24"/>
          <w:szCs w:val="24"/>
        </w:rPr>
      </w:pPr>
      <w:r>
        <w:rPr>
          <w:rFonts w:ascii="Times New Roman" w:hAnsi="Times New Roman"/>
          <w:noProof/>
          <w:sz w:val="24"/>
        </w:rPr>
        <w:t>Kommissionen mener, at den har udøvet den delegerede beføjelse, den tillægges, inden for de grænser og i overensstemmelse med de bestemmelser, der er fastsat i artikel 57c i direktiv 2005/36/EF som ændret ved direktiv 2013/55/EU. Kommissionen finder det nødvendigt at forlænge beføjelserne, da der i fremtiden vil blive behov for flere delegerede retsakter om ændring af bl.a. bilag V i direktiv 2005/36/EF for så vidt angår uddannelsesbeviser . Med denne rapport opfylder Kommissionen rapporteringspligten i artikel 57c, stk. 2, i direktiv 2005/36/EF som ændret ved direktiv 2013/55/EU. Kommissionen opfordrer Europa-Parlamentet og Rådet til at tage denne rapport til efterretning.</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EUT L 255 af 30.9.2005, s. 22.</w:t>
      </w:r>
    </w:p>
  </w:footnote>
  <w:footnote w:id="2">
    <w:p>
      <w:pPr>
        <w:pStyle w:val="FootnoteText"/>
      </w:pPr>
      <w:r>
        <w:rPr>
          <w:rStyle w:val="FootnoteReference"/>
        </w:rPr>
        <w:footnoteRef/>
      </w:r>
      <w:r>
        <w:t xml:space="preserve"> Akten for det indre marked – Tolv løftestænger til at skabe vækst og øget tillid – "Sammen om fornyet vækst", (KOM(2011) 206 endelig).</w:t>
      </w:r>
    </w:p>
  </w:footnote>
  <w:footnote w:id="3">
    <w:p>
      <w:pPr>
        <w:pStyle w:val="FootnoteText"/>
      </w:pPr>
      <w:r>
        <w:rPr>
          <w:rStyle w:val="FootnoteReference"/>
        </w:rPr>
        <w:footnoteRef/>
      </w:r>
      <w:r>
        <w:t xml:space="preserve"> EUT L 354 af 28.12.2013, s. 132.</w:t>
      </w:r>
    </w:p>
  </w:footnote>
  <w:footnote w:id="4">
    <w:p>
      <w:pPr>
        <w:pStyle w:val="FootnoteText"/>
      </w:pPr>
      <w:r>
        <w:rPr>
          <w:rStyle w:val="FootnoteReference"/>
        </w:rPr>
        <w:footnoteRef/>
      </w:r>
      <w:r>
        <w:t xml:space="preserve"> EUT L 134 af 24.5.2016, s. 135.</w:t>
      </w:r>
    </w:p>
  </w:footnote>
  <w:footnote w:id="5">
    <w:p>
      <w:pPr>
        <w:pStyle w:val="FootnoteText"/>
      </w:pPr>
      <w:r>
        <w:rPr>
          <w:rStyle w:val="FootnoteReference"/>
        </w:rPr>
        <w:footnoteRef/>
      </w:r>
      <w:r>
        <w:t xml:space="preserve"> EUT </w:t>
      </w:r>
      <w:r>
        <w:rPr>
          <w:sz w:val="19"/>
        </w:rPr>
        <w:t>L 317 af 1.12.2017, s. 119.</w:t>
      </w:r>
    </w:p>
  </w:footnote>
  <w:footnote w:id="6">
    <w:p>
      <w:pPr>
        <w:pStyle w:val="FootnoteText"/>
      </w:pPr>
      <w:r>
        <w:rPr>
          <w:rStyle w:val="FootnoteReference"/>
        </w:rPr>
        <w:footnoteRef/>
      </w:r>
      <w:r>
        <w:t xml:space="preserve"> EUT L 123 af 12.5.2016.</w:t>
      </w:r>
    </w:p>
  </w:footnote>
  <w:footnote w:id="7">
    <w:p>
      <w:pPr>
        <w:pStyle w:val="FootnoteText"/>
      </w:pPr>
      <w:r>
        <w:rPr>
          <w:rStyle w:val="FootnoteReference"/>
        </w:rPr>
        <w:footnoteRef/>
      </w:r>
      <w:r>
        <w:t xml:space="preserve"> EUT L79 af 20.03.2007, s.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781"/>
    <w:multiLevelType w:val="hybridMultilevel"/>
    <w:tmpl w:val="2FF67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B524EA4"/>
    <w:multiLevelType w:val="hybridMultilevel"/>
    <w:tmpl w:val="C31C8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B0F7B56"/>
    <w:multiLevelType w:val="hybridMultilevel"/>
    <w:tmpl w:val="E4787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717966"/>
    <w:multiLevelType w:val="hybridMultilevel"/>
    <w:tmpl w:val="FEDE20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82BBA0C-2CEF-4DE8-9307-D907A3F6659B"/>
    <w:docVar w:name="LW_COVERPAGE_TYPE" w:val="1"/>
    <w:docVar w:name="LW_CROSSREFERENCE" w:val="&lt;UNUSED&gt;"/>
    <w:docVar w:name="LW_DocType" w:val="NORMAL"/>
    <w:docVar w:name="LW_EMISSION" w:val="7.5.2018"/>
    <w:docVar w:name="LW_EMISSION_ISODATE" w:val="2018-05-07"/>
    <w:docVar w:name="LW_EMISSION_LOCATION" w:val="BRX"/>
    <w:docVar w:name="LW_EMISSION_PREFIX" w:val="Bruxelles, den "/>
    <w:docVar w:name="LW_EMISSION_SUFFIX" w:val="&lt;EMPTY&gt;"/>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8) 2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om udøvelsen af de beføjelser til at vedtage delegerede retsakter, der er tillagt Kommissionen ved Europa-Parlamentets og Rådets direktiv 2013/55/EU af 20. november 2013 om ændring af direktiv 2005/36/EF om anerkendelse af erhvervsmæssige kvalifikationer og forordning (EU) nr. 1024/2012 om administrativt samarbejde via informationssystemet for det indre marked (&quot;IMI-forordningen&quot;)&lt;/FMT&gt;_x000b_"/>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5709-EF83-493B-98AC-26402636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976</Words>
  <Characters>5988</Characters>
  <Application>Microsoft Office Word</Application>
  <DocSecurity>0</DocSecurity>
  <Lines>103</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2018-04-10T07:53:00Z</cp:lastPrinted>
  <dcterms:created xsi:type="dcterms:W3CDTF">2018-04-20T05:05:00Z</dcterms:created>
  <dcterms:modified xsi:type="dcterms:W3CDTF">2018-04-25T15:52:00Z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