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Pagedecouverture"/>
        <w:rPr>
          <w:noProof/>
        </w:rPr>
      </w:pPr>
      <w:bookmarkStart w:id="0" w:name="LW_BM_COVERPAGE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alt="04C150284A5440F29952F1C6FA1C1ABB" style="width:450.8pt;height:397.05pt">
            <v:imagedata r:id="rId12" o:title=""/>
          </v:shape>
        </w:pict>
      </w:r>
    </w:p>
    <w:bookmarkEnd w:id="0"/>
    <w:p>
      <w:pPr>
        <w:pStyle w:val="Pagedecouverture"/>
        <w:rPr>
          <w:noProof/>
        </w:rPr>
        <w:sectPr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4" w:right="1417" w:bottom="1134" w:left="1417" w:header="709" w:footer="709" w:gutter="0"/>
          <w:pgNumType w:start="1"/>
          <w:cols w:space="720"/>
          <w:docGrid w:linePitch="360"/>
        </w:sectPr>
      </w:pPr>
    </w:p>
    <w:p>
      <w:pPr>
        <w:rPr>
          <w:noProof/>
        </w:rPr>
      </w:pPr>
      <w:bookmarkStart w:id="1" w:name="_GoBack"/>
      <w:bookmarkEnd w:id="1"/>
    </w:p>
    <w:tbl>
      <w:tblPr>
        <w:tblStyle w:val="TableGrid"/>
        <w:tblW w:w="9924" w:type="dxa"/>
        <w:tblInd w:w="-318" w:type="dxa"/>
        <w:tblLook w:val="01E0" w:firstRow="1" w:lastRow="1" w:firstColumn="1" w:lastColumn="1" w:noHBand="0" w:noVBand="0"/>
      </w:tblPr>
      <w:tblGrid>
        <w:gridCol w:w="9924"/>
      </w:tblGrid>
      <w:tr>
        <w:tc>
          <w:tcPr>
            <w:tcW w:w="9924" w:type="dxa"/>
            <w:tcBorders>
              <w:bottom w:val="single" w:sz="4" w:space="0" w:color="auto"/>
            </w:tcBorders>
            <w:shd w:val="clear" w:color="auto" w:fill="CCCCCC"/>
          </w:tcPr>
          <w:p>
            <w:pPr>
              <w:spacing w:before="60" w:after="60"/>
              <w:jc w:val="center"/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r>
              <w:rPr>
                <w:rFonts w:ascii="Tahoma" w:hAnsi="Tahoma"/>
                <w:b/>
                <w:noProof/>
                <w:sz w:val="22"/>
              </w:rPr>
              <w:t>Resumé</w:t>
            </w:r>
          </w:p>
        </w:tc>
      </w:tr>
      <w:tr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>
            <w:pPr>
              <w:spacing w:before="120" w:after="120"/>
              <w:jc w:val="both"/>
              <w:rPr>
                <w:rFonts w:ascii="Tahoma" w:hAnsi="Tahoma" w:cs="Tahoma"/>
                <w:noProof/>
                <w:color w:val="FFFFFF" w:themeColor="background1"/>
                <w:sz w:val="20"/>
                <w:szCs w:val="20"/>
              </w:rPr>
            </w:pPr>
            <w:r>
              <w:rPr>
                <w:rFonts w:ascii="Tahoma" w:hAnsi="Tahoma"/>
                <w:noProof/>
                <w:color w:val="FFFFFF" w:themeColor="background1"/>
                <w:sz w:val="20"/>
              </w:rPr>
              <w:t>Konsekvensanalyse af forslag til EUROPA-PARLAMENTETS OG RÅDETS DIREKTIV om ændring af direktiv 2011/65/EU om begrænsning af anvendelsen af visse farlige stoffer i elektrisk og elektronisk udstyr</w:t>
            </w:r>
          </w:p>
        </w:tc>
      </w:tr>
      <w:tr>
        <w:tc>
          <w:tcPr>
            <w:tcW w:w="9924" w:type="dxa"/>
            <w:tcBorders>
              <w:bottom w:val="single" w:sz="4" w:space="0" w:color="auto"/>
            </w:tcBorders>
            <w:shd w:val="clear" w:color="auto" w:fill="CCCCCC"/>
          </w:tcPr>
          <w:p>
            <w:pPr>
              <w:spacing w:before="60" w:after="60"/>
              <w:jc w:val="center"/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r>
              <w:rPr>
                <w:rFonts w:ascii="Tahoma" w:hAnsi="Tahoma"/>
                <w:b/>
                <w:noProof/>
                <w:sz w:val="22"/>
              </w:rPr>
              <w:t>A. Behov for handling</w:t>
            </w:r>
          </w:p>
        </w:tc>
      </w:tr>
      <w:tr>
        <w:tc>
          <w:tcPr>
            <w:tcW w:w="9924" w:type="dxa"/>
            <w:tcBorders>
              <w:bottom w:val="single" w:sz="4" w:space="0" w:color="auto"/>
            </w:tcBorders>
            <w:shd w:val="clear" w:color="auto" w:fill="E0E0E0"/>
          </w:tcPr>
          <w:p>
            <w:pPr>
              <w:spacing w:before="60" w:after="60"/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</w:rPr>
              <w:t>Hvorfor? Hvad er problemstillingen?</w:t>
            </w:r>
          </w:p>
        </w:tc>
      </w:tr>
      <w:tr>
        <w:tc>
          <w:tcPr>
            <w:tcW w:w="9924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</w:rPr>
              <w:t xml:space="preserve">I denne rapport fremlægges en analyse af, hvordan man bedst løser fire problemer, der er konstateret i forbindelse med anvendelsen af direktiv 2011/65/EU (RoHS 2): 1) det bratte stop for sekundære markedsoperationer for elektrisk og elektronisk udstyr (EEE), der er omfattet af RoHS 2, men ikke af RoHS 1 (direktiv 2002/95/EF), 2) virkningerne af RoHS 2 for så vidt angår reservedele til visse EEE, der ikke er omfattet af RoHS 1, 3) RoHS 2 resulterer i, at pibeorgler ikke længere bringes i omsætning, og 4) RoHS 2 resulterer i markedsforvridning for så vidt angår ledningsforbundne mobile ikke-vejgående maskiner. </w:t>
            </w:r>
          </w:p>
        </w:tc>
      </w:tr>
      <w:tr>
        <w:tc>
          <w:tcPr>
            <w:tcW w:w="9924" w:type="dxa"/>
            <w:tcBorders>
              <w:bottom w:val="single" w:sz="4" w:space="0" w:color="auto"/>
            </w:tcBorders>
            <w:shd w:val="clear" w:color="auto" w:fill="E6E6E6"/>
          </w:tcPr>
          <w:p>
            <w:pPr>
              <w:spacing w:before="60" w:after="60"/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</w:rPr>
              <w:t>Hvilke resultater forventes der af initiativet?</w:t>
            </w:r>
          </w:p>
        </w:tc>
      </w:tr>
      <w:tr>
        <w:tc>
          <w:tcPr>
            <w:tcW w:w="9924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</w:rPr>
              <w:t>Initiativet forventes at få positive virkninger for erhvervslivet, forbrugerne og sundheden: efter den 22. juli 2019 vil det sekundære marked og markedet for reparationer for alle nye EEE, der omfattes af anvendelsesområdet, stadig eksistere, og pibeorgler og ledningsforbundne mobile ikke-vejgående maskiner vil fortsat blive bragt i omsætning på EU-markedet uden risiko for markedsforvridning.</w:t>
            </w:r>
          </w:p>
        </w:tc>
      </w:tr>
      <w:tr>
        <w:tc>
          <w:tcPr>
            <w:tcW w:w="9924" w:type="dxa"/>
            <w:tcBorders>
              <w:bottom w:val="single" w:sz="4" w:space="0" w:color="auto"/>
            </w:tcBorders>
            <w:shd w:val="clear" w:color="auto" w:fill="E6E6E6"/>
          </w:tcPr>
          <w:p>
            <w:pPr>
              <w:spacing w:before="60" w:after="60"/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</w:rPr>
              <w:t>Hvad er merværdien ved at handle på EU-plan?</w:t>
            </w:r>
          </w:p>
        </w:tc>
      </w:tr>
      <w:tr>
        <w:tc>
          <w:tcPr>
            <w:tcW w:w="9924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</w:rPr>
              <w:t xml:space="preserve">Disse problemer, der har direkte virkning for EU's indre marked, kan kun løses på EU-plan. </w:t>
            </w:r>
          </w:p>
        </w:tc>
      </w:tr>
    </w:tbl>
    <w:p>
      <w:pPr>
        <w:rPr>
          <w:noProof/>
        </w:rPr>
      </w:pPr>
    </w:p>
    <w:tbl>
      <w:tblPr>
        <w:tblStyle w:val="TableGrid"/>
        <w:tblW w:w="9924" w:type="dxa"/>
        <w:tblInd w:w="-318" w:type="dxa"/>
        <w:tblLook w:val="01E0" w:firstRow="1" w:lastRow="1" w:firstColumn="1" w:lastColumn="1" w:noHBand="0" w:noVBand="0"/>
      </w:tblPr>
      <w:tblGrid>
        <w:gridCol w:w="9924"/>
      </w:tblGrid>
      <w:tr>
        <w:tc>
          <w:tcPr>
            <w:tcW w:w="9924" w:type="dxa"/>
            <w:tcBorders>
              <w:bottom w:val="single" w:sz="4" w:space="0" w:color="auto"/>
            </w:tcBorders>
            <w:shd w:val="clear" w:color="auto" w:fill="CCCCCC"/>
          </w:tcPr>
          <w:p>
            <w:pPr>
              <w:spacing w:before="60" w:after="60"/>
              <w:jc w:val="center"/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r>
              <w:rPr>
                <w:rFonts w:ascii="Tahoma" w:hAnsi="Tahoma"/>
                <w:b/>
                <w:noProof/>
                <w:sz w:val="22"/>
              </w:rPr>
              <w:t>B. Løsninger</w:t>
            </w:r>
          </w:p>
        </w:tc>
      </w:tr>
      <w:tr>
        <w:tc>
          <w:tcPr>
            <w:tcW w:w="9924" w:type="dxa"/>
            <w:tcBorders>
              <w:bottom w:val="single" w:sz="4" w:space="0" w:color="auto"/>
            </w:tcBorders>
            <w:shd w:val="clear" w:color="auto" w:fill="E6E6E6"/>
          </w:tcPr>
          <w:p>
            <w:pPr>
              <w:spacing w:before="60"/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</w:rPr>
              <w:t>Hvilke lovgivningsmæssige og ikkelovgivningsmæssige politiske løsninger er overvejet? Foretrækkes en bestemt løsning frem for andre? Hvorfor?</w:t>
            </w:r>
          </w:p>
        </w:tc>
      </w:tr>
      <w:tr>
        <w:tc>
          <w:tcPr>
            <w:tcW w:w="9924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</w:rPr>
              <w:t>I tillæg til referencescenariet, dvs. ikke at ændre RoHS 2, er nedenstående løsninger blevet vurderet i relation til de nedenfor angivne problemer:</w:t>
            </w:r>
          </w:p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</w:rPr>
              <w:t>1) genoprettelse af de sekundære markedsoperationer: Løsning 2 – kun for medicinsk udstyr og overvågnings- og reguleringsinstrumenter. Løsning 3 (foretrukket) – for alle nye EEE, der omfattes af anvendelsesområdet</w:t>
            </w:r>
          </w:p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</w:rPr>
              <w:t>2) reservedele: Løsning 2 (foretrukket) – bestemmelser om reservedele med henblik på reparation af EEE, der stammer fra før RoHS 2</w:t>
            </w:r>
          </w:p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</w:rPr>
              <w:t>3) pibeorgler: Løsning 2 (foretrukket) – udelukkelse fra anvendelsesområdet. Løsning 3 – fortolkningsvejledning. Løsning 4 – midlertidige fritagelser fra RoHS 2</w:t>
            </w:r>
          </w:p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</w:rPr>
              <w:t>4) ledningsforbundne mobile ikke-vejgående maskiner: Løsning 2 (foretrukket) – endvidere udelukkelse af ledningsforbundne mobile ikke-vejgående maskiner fra anvendelsesområdet.</w:t>
            </w:r>
          </w:p>
        </w:tc>
      </w:tr>
      <w:tr>
        <w:tc>
          <w:tcPr>
            <w:tcW w:w="9924" w:type="dxa"/>
            <w:shd w:val="clear" w:color="auto" w:fill="CCCCCC"/>
          </w:tcPr>
          <w:p>
            <w:pPr>
              <w:spacing w:before="60"/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</w:rPr>
              <w:t>Hvem støtter hvilken løsning?</w:t>
            </w:r>
          </w:p>
        </w:tc>
      </w:tr>
      <w:tr>
        <w:tc>
          <w:tcPr>
            <w:tcW w:w="9924" w:type="dxa"/>
            <w:shd w:val="clear" w:color="auto" w:fill="auto"/>
          </w:tcPr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</w:rPr>
              <w:t>De interesserede parter (erhvervslivet og medlemsstaterne) støtter overvejende den foretrukne løsning på alle fire problemer.</w:t>
            </w:r>
          </w:p>
        </w:tc>
      </w:tr>
      <w:tr>
        <w:tc>
          <w:tcPr>
            <w:tcW w:w="9924" w:type="dxa"/>
            <w:tcBorders>
              <w:bottom w:val="single" w:sz="4" w:space="0" w:color="auto"/>
            </w:tcBorders>
            <w:shd w:val="clear" w:color="auto" w:fill="CCCCCC"/>
          </w:tcPr>
          <w:p>
            <w:pPr>
              <w:spacing w:before="60" w:after="60"/>
              <w:jc w:val="center"/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r>
              <w:rPr>
                <w:rFonts w:ascii="Tahoma" w:hAnsi="Tahoma"/>
                <w:b/>
                <w:noProof/>
                <w:sz w:val="22"/>
              </w:rPr>
              <w:t>C. Den foretrukne løsnings virkninger</w:t>
            </w:r>
          </w:p>
        </w:tc>
      </w:tr>
      <w:tr>
        <w:tc>
          <w:tcPr>
            <w:tcW w:w="9924" w:type="dxa"/>
            <w:tcBorders>
              <w:bottom w:val="single" w:sz="4" w:space="0" w:color="auto"/>
            </w:tcBorders>
            <w:shd w:val="clear" w:color="auto" w:fill="E6E6E6"/>
          </w:tcPr>
          <w:p>
            <w:pPr>
              <w:spacing w:before="60" w:after="60"/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</w:rPr>
              <w:t>Hvilke fordele er der ved den foretrukne løsning?</w:t>
            </w:r>
          </w:p>
        </w:tc>
      </w:tr>
      <w:tr>
        <w:tc>
          <w:tcPr>
            <w:tcW w:w="9924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pPr>
            <w:r>
              <w:rPr>
                <w:rFonts w:ascii="Arial" w:hAnsi="Arial"/>
                <w:noProof/>
                <w:sz w:val="20"/>
              </w:rPr>
              <w:t>Det sekundære marked og bestemmelserne om reservedele vil have økonomiske (yderligere markedsmuligheder), sociale (øget adgang til f.eks. medicinsk udstyr for hospitaler i EU, besparelser på 170 mio. EUR, forlænget levetid for EEE) og miljømæssige fordele (forebyggelse af affald). Udelukkelsen af pibeorgler og ledningsforbundne mobile ikke-vejgående maskiner fra RoHS vil dæmme op for tab af arbejdspladser og ubegrundede yderligere omkostninger. De foretrukne løsninger vil reducere den administrative byrde.</w:t>
            </w:r>
          </w:p>
        </w:tc>
      </w:tr>
    </w:tbl>
    <w:p>
      <w:pPr>
        <w:widowControl w:val="0"/>
        <w:rPr>
          <w:noProof/>
        </w:rPr>
      </w:pPr>
    </w:p>
    <w:tbl>
      <w:tblPr>
        <w:tblStyle w:val="TableGrid"/>
        <w:tblW w:w="9924" w:type="dxa"/>
        <w:tblInd w:w="-318" w:type="dxa"/>
        <w:tblLook w:val="01E0" w:firstRow="1" w:lastRow="1" w:firstColumn="1" w:lastColumn="1" w:noHBand="0" w:noVBand="0"/>
      </w:tblPr>
      <w:tblGrid>
        <w:gridCol w:w="9924"/>
      </w:tblGrid>
      <w:tr>
        <w:tc>
          <w:tcPr>
            <w:tcW w:w="9924" w:type="dxa"/>
            <w:tcBorders>
              <w:bottom w:val="single" w:sz="4" w:space="0" w:color="auto"/>
            </w:tcBorders>
            <w:shd w:val="clear" w:color="auto" w:fill="E6E6E6"/>
          </w:tcPr>
          <w:p>
            <w:pPr>
              <w:spacing w:before="60" w:after="60"/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</w:rPr>
              <w:t>Hvilke omkostninger er der ved den foretrukne løsning?</w:t>
            </w:r>
          </w:p>
        </w:tc>
      </w:tr>
      <w:tr>
        <w:tc>
          <w:tcPr>
            <w:tcW w:w="9924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</w:rPr>
              <w:t>Genoprettelsen af det sekundære marked og bestemmelserne om reservedele vil få ubetydelig eller slet ingen negativ økonomisk, social og miljømæssig virkning.</w:t>
            </w:r>
            <w:r>
              <w:rPr>
                <w:rFonts w:ascii="Arial" w:hAnsi="Arial"/>
                <w:i/>
                <w:noProof/>
                <w:sz w:val="20"/>
              </w:rPr>
              <w:t xml:space="preserve"> </w:t>
            </w:r>
            <w:r>
              <w:rPr>
                <w:rFonts w:ascii="Arial" w:hAnsi="Arial"/>
                <w:noProof/>
                <w:sz w:val="20"/>
              </w:rPr>
              <w:t>Udelukkelsen af ledningsforbundne mobile ikke-vejgående maskiner fra RoHS forventes at få ubetydelig eller slet ingen negativ økonomisk, social eller miljømæssig og sundhedsmæssig virkning.</w:t>
            </w:r>
          </w:p>
        </w:tc>
      </w:tr>
      <w:tr>
        <w:tc>
          <w:tcPr>
            <w:tcW w:w="9924" w:type="dxa"/>
            <w:tcBorders>
              <w:bottom w:val="single" w:sz="4" w:space="0" w:color="auto"/>
            </w:tcBorders>
            <w:shd w:val="clear" w:color="auto" w:fill="E6E6E6"/>
          </w:tcPr>
          <w:p>
            <w:pPr>
              <w:spacing w:before="60" w:after="60"/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</w:rPr>
              <w:t>Hvordan påvirker den foretrukne løsning virksomhederne, herunder de små og mellemstore virksomheder og mikrovirksomhederne?</w:t>
            </w:r>
          </w:p>
        </w:tc>
      </w:tr>
      <w:tr>
        <w:tc>
          <w:tcPr>
            <w:tcW w:w="9924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spacing w:before="60" w:after="6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</w:rPr>
              <w:t>Markedsoperatørerne i de berørte sektorer, herunder SMV'er, vil opleve positive virkninger.</w:t>
            </w:r>
          </w:p>
        </w:tc>
      </w:tr>
      <w:tr>
        <w:tc>
          <w:tcPr>
            <w:tcW w:w="9924" w:type="dxa"/>
            <w:tcBorders>
              <w:bottom w:val="single" w:sz="4" w:space="0" w:color="auto"/>
            </w:tcBorders>
            <w:shd w:val="clear" w:color="auto" w:fill="E6E6E6"/>
          </w:tcPr>
          <w:p>
            <w:pPr>
              <w:spacing w:before="60"/>
              <w:jc w:val="both"/>
              <w:rPr>
                <w:rFonts w:ascii="Tahoma" w:hAnsi="Tahoma" w:cs="Tahoma"/>
                <w:b/>
                <w:i/>
                <w:noProof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</w:rPr>
              <w:t>Vil den foretrukne løsning få væsentlige virkninger</w:t>
            </w:r>
            <w:r>
              <w:rPr>
                <w:rFonts w:ascii="Tahoma" w:hAnsi="Tahoma"/>
                <w:noProof/>
                <w:sz w:val="20"/>
              </w:rPr>
              <w:t xml:space="preserve"> </w:t>
            </w:r>
            <w:r>
              <w:rPr>
                <w:rFonts w:ascii="Tahoma" w:hAnsi="Tahoma"/>
                <w:b/>
                <w:noProof/>
                <w:sz w:val="20"/>
              </w:rPr>
              <w:t>for de nationale budgetter og myndigheder?</w:t>
            </w:r>
          </w:p>
        </w:tc>
      </w:tr>
      <w:tr>
        <w:tc>
          <w:tcPr>
            <w:tcW w:w="9924" w:type="dxa"/>
            <w:shd w:val="clear" w:color="auto" w:fill="auto"/>
          </w:tcPr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</w:rPr>
              <w:t>Medlemsstaterne vil kun skulle gennemføre den lovgivningsmæssige del. Markedsovervågningen forventes forenklet af dette initiativ.</w:t>
            </w:r>
          </w:p>
        </w:tc>
      </w:tr>
      <w:tr>
        <w:tc>
          <w:tcPr>
            <w:tcW w:w="9924" w:type="dxa"/>
            <w:tcBorders>
              <w:bottom w:val="single" w:sz="4" w:space="0" w:color="auto"/>
            </w:tcBorders>
            <w:shd w:val="clear" w:color="auto" w:fill="E6E6E6"/>
          </w:tcPr>
          <w:p>
            <w:pPr>
              <w:spacing w:before="60"/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</w:rPr>
              <w:t>Vil den foretrukne løsning få andre væsentlige virkninger?</w:t>
            </w:r>
          </w:p>
        </w:tc>
      </w:tr>
      <w:tr>
        <w:tc>
          <w:tcPr>
            <w:tcW w:w="9924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</w:rPr>
              <w:t>Nej.</w:t>
            </w:r>
          </w:p>
        </w:tc>
      </w:tr>
      <w:tr>
        <w:tc>
          <w:tcPr>
            <w:tcW w:w="9924" w:type="dxa"/>
            <w:tcBorders>
              <w:bottom w:val="single" w:sz="4" w:space="0" w:color="auto"/>
            </w:tcBorders>
            <w:shd w:val="clear" w:color="auto" w:fill="C0C0C0"/>
          </w:tcPr>
          <w:p>
            <w:pPr>
              <w:spacing w:before="60" w:after="60"/>
              <w:jc w:val="center"/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r>
              <w:rPr>
                <w:rFonts w:ascii="Tahoma" w:hAnsi="Tahoma"/>
                <w:b/>
                <w:noProof/>
                <w:sz w:val="22"/>
              </w:rPr>
              <w:t>D. Opfølgning</w:t>
            </w:r>
          </w:p>
        </w:tc>
      </w:tr>
      <w:tr>
        <w:tc>
          <w:tcPr>
            <w:tcW w:w="9924" w:type="dxa"/>
            <w:tcBorders>
              <w:bottom w:val="single" w:sz="4" w:space="0" w:color="auto"/>
            </w:tcBorders>
            <w:shd w:val="clear" w:color="auto" w:fill="E6E6E6"/>
          </w:tcPr>
          <w:p>
            <w:pPr>
              <w:spacing w:before="60"/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</w:rPr>
              <w:t xml:space="preserve">Hvornår vil foranstaltningen blive taget op til fornyet overvejelse? </w:t>
            </w:r>
          </w:p>
        </w:tc>
      </w:tr>
      <w:tr>
        <w:tc>
          <w:tcPr>
            <w:tcW w:w="9924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/>
                <w:noProof/>
                <w:sz w:val="20"/>
              </w:rPr>
              <w:t>Kommissionen gennemfører en mere generel revision af RoHS 2 inden den 22. juli 2021.</w:t>
            </w:r>
          </w:p>
        </w:tc>
      </w:tr>
    </w:tbl>
    <w:p>
      <w:pPr>
        <w:rPr>
          <w:noProof/>
        </w:rPr>
      </w:pPr>
    </w:p>
    <w:sectPr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17" w:right="1417" w:bottom="1417" w:left="1417" w:header="708" w:footer="708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CoverPage"/>
      <w:rPr>
        <w:rFonts w:ascii="Arial" w:hAnsi="Arial" w:cs="Arial"/>
        <w:b/>
        <w:sz w:val="48"/>
      </w:rPr>
    </w:pPr>
    <w:r>
      <w:rPr>
        <w:rFonts w:ascii="Arial" w:hAnsi="Arial" w:cs="Arial"/>
        <w:b/>
        <w:sz w:val="48"/>
      </w:rPr>
      <w:t>DA</w:t>
    </w:r>
    <w:r>
      <w:rPr>
        <w:rFonts w:ascii="Arial" w:hAnsi="Arial" w:cs="Arial"/>
        <w:b/>
        <w:sz w:val="48"/>
      </w:rPr>
      <w:tab/>
    </w:r>
    <w:r>
      <w:rPr>
        <w:rFonts w:ascii="Arial" w:hAnsi="Arial" w:cs="Arial"/>
        <w:b/>
        <w:sz w:val="48"/>
      </w:rPr>
      <w:tab/>
    </w:r>
    <w:r>
      <w:fldChar w:fldCharType="begin"/>
    </w:r>
    <w:r>
      <w:instrText xml:space="preserve"> DOCVARIABLE "LW_Confidence" \* MERGEFORMAT </w:instrText>
    </w:r>
    <w:r>
      <w:fldChar w:fldCharType="separate"/>
    </w:r>
    <w:r>
      <w:t xml:space="preserve"> </w:t>
    </w:r>
    <w:r>
      <w:fldChar w:fldCharType="end"/>
    </w:r>
    <w:r>
      <w:tab/>
    </w:r>
    <w:r>
      <w:rPr>
        <w:rFonts w:ascii="Arial" w:hAnsi="Arial" w:cs="Arial"/>
        <w:b/>
        <w:sz w:val="48"/>
      </w:rPr>
      <w:t>DA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CoverPag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1775996"/>
      <w:docPartObj>
        <w:docPartGallery w:val="Page Numbers (Bottom of Page)"/>
        <w:docPartUnique/>
      </w:docPartObj>
    </w:sdtPr>
    <w:sdtEndPr>
      <w:rPr>
        <w:noProof/>
      </w:rPr>
    </w:sdtEndPr>
    <w:sdtContent>
      <w:p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CoverPag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CoverPag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C5BDF"/>
    <w:multiLevelType w:val="hybridMultilevel"/>
    <w:tmpl w:val="AC56FF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BF6961"/>
    <w:multiLevelType w:val="hybridMultilevel"/>
    <w:tmpl w:val="58F29FA6"/>
    <w:lvl w:ilvl="0" w:tplc="AA483AE8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revisionView w:markup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VERPAGE_EXISTS" w:val="True"/>
    <w:docVar w:name="DocStatus" w:val="Green"/>
    <w:docVar w:name="LW_ACCOMPAGNANT.CP" w:val="Ledsagedokument til"/>
    <w:docVar w:name="LW_CONFIDENCE" w:val=" "/>
    <w:docVar w:name="LW_CONST_RESTREINT_UE" w:val="RESTREINT UE"/>
    <w:docVar w:name="LW_CORRIGENDUM" w:val="&lt;UNUSED&gt;"/>
    <w:docVar w:name="LW_COVERPAGE_GUID" w:val="04C150284A5440F29952F1C6FA1C1ABB"/>
    <w:docVar w:name="LW_CROSSREFERENCE" w:val="{COM(2017) 38 final}_x000b_{SWD(2017) 23 final}"/>
    <w:docVar w:name="LW_DocType" w:val="NORMAL"/>
    <w:docVar w:name="LW_EMISSION" w:val="26.1.2017"/>
    <w:docVar w:name="LW_EMISSION_ISODATE" w:val="2017-01-26"/>
    <w:docVar w:name="LW_EMISSION_LOCATION" w:val="BRX"/>
    <w:docVar w:name="LW_EMISSION_PREFIX" w:val="Bruxelles, den "/>
    <w:docVar w:name="LW_EMISSION_SUFFIX" w:val=" "/>
    <w:docVar w:name="LW_ID_DOCTYPE_NONLW" w:val="CP-027"/>
    <w:docVar w:name="LW_LANGUE" w:val="DA"/>
    <w:docVar w:name="LW_MARKING" w:val="&lt;UNUSED&gt;"/>
    <w:docVar w:name="LW_NOM.INST" w:val="EUROPA-KOMMISSIONEN"/>
    <w:docVar w:name="LW_NOM.INST_JOINTDOC" w:val="&lt;EMPTY&gt;"/>
    <w:docVar w:name="LW_OBJETACTEPRINCIPAL.CP" w:val="Forslag til EUROPA-PARLAMENTETS OG RÅDETS DIREKTIV om ændring af direktiv 2011/65/EU om begrænsning af anvendelsen af visse farlige stoffer i elektrisk og elektronisk udstyr"/>
    <w:docVar w:name="LW_PART_NBR" w:val="1"/>
    <w:docVar w:name="LW_PART_NBR_TOTAL" w:val="1"/>
    <w:docVar w:name="LW_REF.INST.NEW" w:val="SWD"/>
    <w:docVar w:name="LW_REF.INST.NEW_ADOPTED" w:val="final"/>
    <w:docVar w:name="LW_REF.INST.NEW_TEXT" w:val="(2017) 22"/>
    <w:docVar w:name="LW_REF.INTERNE" w:val="&lt;UNUSED&gt;"/>
    <w:docVar w:name="LW_SUPERTITRE" w:val="&lt;UNUSED&gt;"/>
    <w:docVar w:name="LW_TITRE.OBJ.CP" w:val="&lt;UNUSED&gt;"/>
    <w:docVar w:name="LW_TYPE.DOC.CP" w:val="ARBEJDSDOKUMENT FRA KOMMISSIONENS TJENESTEGRENE_x000b__x000b_RESUME AF KONSEKVENSANALYSEN_x000b_"/>
    <w:docVar w:name="LW_TYPEACTEPRINCIPAL.CP" w:val="&lt;UNUSED&gt;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da-DK" w:bidi="da-D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eastAsia="da-DK"/>
    </w:rPr>
  </w:style>
  <w:style w:type="character" w:customStyle="1" w:styleId="Marker">
    <w:name w:val="Marker"/>
    <w:basedOn w:val="DefaultParagraphFont"/>
    <w:rPr>
      <w:color w:val="0000FF"/>
      <w:shd w:val="clear" w:color="auto" w:fill="auto"/>
    </w:rPr>
  </w:style>
  <w:style w:type="paragraph" w:customStyle="1" w:styleId="Pagedecouverture">
    <w:name w:val="Page de couverture"/>
    <w:basedOn w:val="Normal"/>
    <w:next w:val="Normal"/>
    <w:pPr>
      <w:jc w:val="both"/>
    </w:pPr>
    <w:rPr>
      <w:rFonts w:eastAsiaTheme="minorHAnsi"/>
      <w:szCs w:val="22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FooterCoverPage">
    <w:name w:val="Footer Cover Page"/>
    <w:basedOn w:val="Normal"/>
    <w:link w:val="FooterCoverPageChar"/>
    <w:pPr>
      <w:tabs>
        <w:tab w:val="center" w:pos="4535"/>
        <w:tab w:val="right" w:pos="9071"/>
        <w:tab w:val="right" w:pos="9921"/>
      </w:tabs>
      <w:spacing w:before="360"/>
      <w:ind w:left="-850" w:right="-850"/>
    </w:pPr>
  </w:style>
  <w:style w:type="character" w:customStyle="1" w:styleId="FooterCoverPageChar">
    <w:name w:val="Footer Cover Page Char"/>
    <w:basedOn w:val="DefaultParagraphFont"/>
    <w:link w:val="FooterCoverPage"/>
    <w:rPr>
      <w:rFonts w:ascii="Times New Roman" w:eastAsia="Times New Roman" w:hAnsi="Times New Roman" w:cs="Times New Roman"/>
      <w:sz w:val="24"/>
      <w:szCs w:val="24"/>
    </w:rPr>
  </w:style>
  <w:style w:type="paragraph" w:customStyle="1" w:styleId="HeaderCoverPage">
    <w:name w:val="Header Cover Page"/>
    <w:basedOn w:val="Normal"/>
    <w:link w:val="HeaderCoverPageChar"/>
    <w:pPr>
      <w:tabs>
        <w:tab w:val="center" w:pos="4535"/>
        <w:tab w:val="right" w:pos="9071"/>
      </w:tabs>
      <w:spacing w:after="120"/>
      <w:jc w:val="both"/>
    </w:pPr>
  </w:style>
  <w:style w:type="character" w:customStyle="1" w:styleId="HeaderCoverPageChar">
    <w:name w:val="Header Cover Page Char"/>
    <w:basedOn w:val="DefaultParagraphFont"/>
    <w:link w:val="HeaderCoverPage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da-DK" w:bidi="da-D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eastAsia="da-DK"/>
    </w:rPr>
  </w:style>
  <w:style w:type="character" w:customStyle="1" w:styleId="Marker">
    <w:name w:val="Marker"/>
    <w:basedOn w:val="DefaultParagraphFont"/>
    <w:rPr>
      <w:color w:val="0000FF"/>
      <w:shd w:val="clear" w:color="auto" w:fill="auto"/>
    </w:rPr>
  </w:style>
  <w:style w:type="paragraph" w:customStyle="1" w:styleId="Pagedecouverture">
    <w:name w:val="Page de couverture"/>
    <w:basedOn w:val="Normal"/>
    <w:next w:val="Normal"/>
    <w:pPr>
      <w:jc w:val="both"/>
    </w:pPr>
    <w:rPr>
      <w:rFonts w:eastAsiaTheme="minorHAnsi"/>
      <w:szCs w:val="22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FooterCoverPage">
    <w:name w:val="Footer Cover Page"/>
    <w:basedOn w:val="Normal"/>
    <w:link w:val="FooterCoverPageChar"/>
    <w:pPr>
      <w:tabs>
        <w:tab w:val="center" w:pos="4535"/>
        <w:tab w:val="right" w:pos="9071"/>
        <w:tab w:val="right" w:pos="9921"/>
      </w:tabs>
      <w:spacing w:before="360"/>
      <w:ind w:left="-850" w:right="-850"/>
    </w:pPr>
  </w:style>
  <w:style w:type="character" w:customStyle="1" w:styleId="FooterCoverPageChar">
    <w:name w:val="Footer Cover Page Char"/>
    <w:basedOn w:val="DefaultParagraphFont"/>
    <w:link w:val="FooterCoverPage"/>
    <w:rPr>
      <w:rFonts w:ascii="Times New Roman" w:eastAsia="Times New Roman" w:hAnsi="Times New Roman" w:cs="Times New Roman"/>
      <w:sz w:val="24"/>
      <w:szCs w:val="24"/>
    </w:rPr>
  </w:style>
  <w:style w:type="paragraph" w:customStyle="1" w:styleId="HeaderCoverPage">
    <w:name w:val="Header Cover Page"/>
    <w:basedOn w:val="Normal"/>
    <w:link w:val="HeaderCoverPageChar"/>
    <w:pPr>
      <w:tabs>
        <w:tab w:val="center" w:pos="4535"/>
        <w:tab w:val="right" w:pos="9071"/>
      </w:tabs>
      <w:spacing w:after="120"/>
      <w:jc w:val="both"/>
    </w:pPr>
  </w:style>
  <w:style w:type="character" w:customStyle="1" w:styleId="HeaderCoverPageChar">
    <w:name w:val="Header Cover Page Char"/>
    <w:basedOn w:val="DefaultParagraphFont"/>
    <w:link w:val="HeaderCoverPage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4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microsoft.com/office/2007/relationships/stylesWithEffects" Target="stylesWithEffects.xml"/><Relationship Id="rId12" Type="http://schemas.openxmlformats.org/officeDocument/2006/relationships/image" Target="media/image1.emf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footer" Target="footer6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DCF41F10D214DBDDF7E1F5EB8F7C1" ma:contentTypeVersion="1" ma:contentTypeDescription="Create a new document." ma:contentTypeScope="" ma:versionID="4d11a2104eb79e191fab213970d36f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f2aa9ed40e72a78c3822fc753b43e8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CE80E-734A-4297-8D0E-984F7E32D7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588CBB-D78F-412D-9B35-4671E1A447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B228E3-FEEC-429F-8C93-CFCC37DE565D}">
  <ds:schemaRefs>
    <ds:schemaRef ds:uri="http://purl.org/dc/elements/1.1/"/>
    <ds:schemaRef ds:uri="http://schemas.openxmlformats.org/package/2006/metadata/core-properties"/>
    <ds:schemaRef ds:uri="http://purl.org/dc/dcmitype/"/>
    <ds:schemaRef ds:uri="http://schemas.microsoft.com/sharepoint/v3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6C20129-E32D-4CF6-950C-20D82F247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580</Words>
  <Characters>3733</Characters>
  <Application>Microsoft Office Word</Application>
  <DocSecurity>0</DocSecurity>
  <Lines>65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20</cp:revision>
  <cp:lastPrinted>2017-01-19T15:11:00Z</cp:lastPrinted>
  <dcterms:created xsi:type="dcterms:W3CDTF">2017-01-19T13:34:00Z</dcterms:created>
  <dcterms:modified xsi:type="dcterms:W3CDTF">2017-01-24T09:44:00Z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rt">
    <vt:lpwstr>1</vt:lpwstr>
  </property>
  <property fmtid="{D5CDD505-2E9C-101B-9397-08002B2CF9AE}" pid="3" name="Total parts">
    <vt:lpwstr>1</vt:lpwstr>
  </property>
  <property fmtid="{D5CDD505-2E9C-101B-9397-08002B2CF9AE}" pid="4" name="DocStatus">
    <vt:lpwstr>Green</vt:lpwstr>
  </property>
  <property fmtid="{D5CDD505-2E9C-101B-9397-08002B2CF9AE}" pid="5" name="Classification">
    <vt:lpwstr> </vt:lpwstr>
  </property>
  <property fmtid="{D5CDD505-2E9C-101B-9397-08002B2CF9AE}" pid="6" name="Order">
    <vt:r8>400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NewReviewCycle">
    <vt:lpwstr/>
  </property>
  <property fmtid="{D5CDD505-2E9C-101B-9397-08002B2CF9AE}" pid="10" name="ContentTypeId">
    <vt:lpwstr>0x010100AB6DCF41F10D214DBDDF7E1F5EB8F7C1</vt:lpwstr>
  </property>
  <property fmtid="{D5CDD505-2E9C-101B-9397-08002B2CF9AE}" pid="11" name="TemplateUrl">
    <vt:lpwstr/>
  </property>
  <property name="OP_sanitized" fmtid="{D5CDD505-2E9C-101B-9397-08002B2CF9AE}" pid="12">
    <vt:lpwstr>True</vt:lpwstr>
  </property>
</Properties>
</file>