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47163CBD22947F7ADD41C930B68D1F8" style="width:450.75pt;height:351.75pt">
            <v:imagedata r:id="rId8" o:title=""/>
          </v:shape>
        </w:pict>
      </w:r>
    </w:p>
    <w:p>
      <w:pPr>
        <w:rPr>
          <w:noProof/>
        </w:rPr>
        <w:sectPr>
          <w:footerReference w:type="default" r:id="rId9"/>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BEGRUNDELSE</w:t>
      </w:r>
    </w:p>
    <w:p>
      <w:pPr>
        <w:pBdr>
          <w:top w:val="nil"/>
          <w:left w:val="nil"/>
          <w:bottom w:val="nil"/>
          <w:right w:val="nil"/>
          <w:between w:val="nil"/>
          <w:bar w:val="nil"/>
        </w:pBdr>
        <w:spacing w:before="0" w:after="240"/>
        <w:rPr>
          <w:rFonts w:eastAsia="Arial Unicode MS"/>
          <w:noProof/>
        </w:rPr>
      </w:pPr>
      <w:r>
        <w:rPr>
          <w:noProof/>
        </w:rPr>
        <w:t>I henhold til artikel 395, stk. 1, i direktiv 2006/112/EF af 28. november 2006 om det fælles merværdiafgiftssystem (herefter "momsdirektivet") kan Rådet med enstemmighed på forslag af Kommissionen give en medlemsstat tilladelse til at indføre særlige foranstaltninger, der fraviger bestemmelserne i nævnte direktiv, for at forenkle momsopkrævningen eller for at forebygge visse former for momsunddragelse og momsundgåelse.</w:t>
      </w:r>
    </w:p>
    <w:p>
      <w:pPr>
        <w:pBdr>
          <w:top w:val="nil"/>
          <w:left w:val="nil"/>
          <w:bottom w:val="nil"/>
          <w:right w:val="nil"/>
          <w:between w:val="nil"/>
          <w:bar w:val="nil"/>
        </w:pBdr>
        <w:spacing w:before="0" w:after="240"/>
        <w:rPr>
          <w:noProof/>
          <w:color w:val="008000"/>
        </w:rPr>
      </w:pPr>
      <w:r>
        <w:rPr>
          <w:noProof/>
        </w:rPr>
        <w:t>Ved brev registreret i Kommissionen den 7. oktober 2016 anmodede Polen om en fravigelse fra momsdirektivets artikel 193 for at anvende ordningen for omvendt betalingspligt på harddiskdrev såsom solid-state-drives (SSD'er) og hard-disk-drives (HDD'er). I overensstemmelse med momsdirektivets artikel 395, stk. 2, underrettede Kommissionen ved breve af 12. og 13. juli 2017 de øvrige medlemsstater om Polens anmodning. Ved brev af 13. juli 2017 meddelte Kommissionen Polen, at den rådede over alle de oplysninger, den fandt nødvendige for at kunne vurdere anmodningen.</w:t>
      </w:r>
    </w:p>
    <w:p>
      <w:pPr>
        <w:pStyle w:val="ManualHeading1"/>
        <w:rPr>
          <w:noProof/>
        </w:rPr>
      </w:pPr>
      <w:r>
        <w:rPr>
          <w:noProof/>
        </w:rPr>
        <w:t>1.</w:t>
      </w:r>
      <w:r>
        <w:rPr>
          <w:noProof/>
        </w:rPr>
        <w:tab/>
        <w:t>BAGGRUND FOR FORSLAGET</w:t>
      </w:r>
    </w:p>
    <w:p>
      <w:pPr>
        <w:pStyle w:val="ManualHeading2"/>
        <w:rPr>
          <w:rFonts w:eastAsia="Arial Unicode MS"/>
          <w:noProof/>
        </w:rPr>
      </w:pPr>
      <w:r>
        <w:rPr>
          <w:noProof/>
          <w:color w:val="000000"/>
          <w:u w:color="000000"/>
          <w:bdr w:val="nil"/>
        </w:rPr>
        <w:t>•</w:t>
      </w:r>
      <w:r>
        <w:rPr>
          <w:noProof/>
        </w:rPr>
        <w:tab/>
        <w:t>Forslagets begrundelse og formål</w:t>
      </w:r>
    </w:p>
    <w:p>
      <w:pPr>
        <w:pBdr>
          <w:top w:val="nil"/>
          <w:left w:val="nil"/>
          <w:bottom w:val="nil"/>
          <w:right w:val="nil"/>
          <w:between w:val="nil"/>
          <w:bar w:val="nil"/>
        </w:pBdr>
        <w:spacing w:before="0" w:after="240"/>
        <w:rPr>
          <w:rFonts w:eastAsia="Arial Unicode MS"/>
          <w:noProof/>
        </w:rPr>
      </w:pPr>
      <w:r>
        <w:rPr>
          <w:noProof/>
        </w:rPr>
        <w:t>I momsdirektivets artikel 193 fastsættes det som en generel regel, at merværdiafgiften (momsen) normalt påhviler den afgiftspligtige person, som foretager levering af varer eller tjenesteydelser.</w:t>
      </w:r>
    </w:p>
    <w:p>
      <w:pPr>
        <w:rPr>
          <w:noProof/>
        </w:rPr>
      </w:pPr>
      <w:r>
        <w:rPr>
          <w:noProof/>
        </w:rPr>
        <w:t xml:space="preserve">I henhold til momsdirektivets artikel 395 anmoder Polen om en fravigelse fra artikel 193 i momsdirektivet for at få tilladelse til at anvende ordningen for omvendt betalingspligt på leverancer af alle harddiskdrev (herunder SSD'er og HDD'er), der ikke er omfattet af momsdirektivets artikel 199a. Efter denne procedure bliver den afgiftspligtige person, der modtager leverancerne, betalingspligtig for momsen. Forudsat at den afgiftspligtige person har fuld fradragsret, vil denne opgive og samtidig fradrage momsen på den pågældende leverance, hvorved statskassen ikke modtager nogen indbetaling af moms. </w:t>
      </w:r>
    </w:p>
    <w:p>
      <w:pPr>
        <w:pBdr>
          <w:top w:val="nil"/>
          <w:left w:val="nil"/>
          <w:bottom w:val="nil"/>
          <w:right w:val="nil"/>
          <w:between w:val="nil"/>
          <w:bar w:val="nil"/>
        </w:pBdr>
        <w:spacing w:before="0" w:after="240"/>
        <w:rPr>
          <w:rFonts w:eastAsia="Arial Unicode MS"/>
          <w:noProof/>
        </w:rPr>
      </w:pPr>
      <w:r>
        <w:rPr>
          <w:noProof/>
        </w:rPr>
        <w:t xml:space="preserve">Polen anmoder om en fravigelse for at forebygge yderligere spredning af momssvig i sektoren for harddiskdrev. En række elektroniske produkter har i Polen på grundlag af momsdirektivets artikel 199a været omfattet af ordningen for omvendt betalingspligt (smartphones, laptops, spilkonsoller og lign. samt i den seneste tid processorer). Efter indførelsen af ordningen for omvendt betalingspligt for leverancer af disse produkter er harddiskdrev ifølge Polens oplysninger i stigende grad blevet et mål for momssvig inden for kategorien elektroniske produkter. På markedet for harddiskdrev er der sket en forøgelse i omfanget af momssvig gennem såkaldt MTIC-svig (svig i forbindelse med forsvundne forhandlere inden for Fællesskabet). Omfanget og rækkevidden af denne praksis har en direkte og meget negativ indvirkning på de distributører, der ikke deltager i svig, og fører til et fald i momsindtægterne. </w:t>
      </w:r>
    </w:p>
    <w:p>
      <w:pPr>
        <w:pBdr>
          <w:top w:val="nil"/>
          <w:left w:val="nil"/>
          <w:bottom w:val="nil"/>
          <w:right w:val="nil"/>
          <w:between w:val="nil"/>
          <w:bar w:val="nil"/>
        </w:pBdr>
        <w:spacing w:before="0" w:after="240"/>
        <w:rPr>
          <w:rFonts w:eastAsia="Arial Unicode MS"/>
          <w:noProof/>
        </w:rPr>
      </w:pPr>
      <w:r>
        <w:rPr>
          <w:noProof/>
        </w:rPr>
        <w:t xml:space="preserve">Ifølge Polens oplysninger består den svigagtige fremgangsmåde i, at de svigagtige erhvervsdrivende registrerer juridiske enheder på en bestemt adresse og i en periode indgiver selvangivelser. Disse juridiske enheder afventer så det rette tidspunkt til at gennemføre nogle få større salgstransaktioner på hjemmemarkedet, opkræver moms hos deres kunder og lukker derefter deres virksomhed ned uden at afregne den skyldige moms. I de fleste tilfælde er det umuligt at føre kontrol med disse juridiske enheder, da det som følge af brugen af virtuelle kontorer, hyppige ændringer af hjemstedet, manglende dokumentation for de gennemførte transaktioner osv. er vanskeligt at fastslå, hvor deres forretningssted og de i virksomhedsaktiviteterne involverede personer rent faktisk befinder sig. </w:t>
      </w:r>
    </w:p>
    <w:p>
      <w:pPr>
        <w:pBdr>
          <w:top w:val="nil"/>
          <w:left w:val="nil"/>
          <w:bottom w:val="nil"/>
          <w:right w:val="nil"/>
          <w:between w:val="nil"/>
          <w:bar w:val="nil"/>
        </w:pBdr>
        <w:spacing w:before="0" w:after="240"/>
        <w:rPr>
          <w:rFonts w:eastAsia="Arial Unicode MS"/>
          <w:noProof/>
        </w:rPr>
      </w:pPr>
      <w:r>
        <w:rPr>
          <w:noProof/>
        </w:rPr>
        <w:t xml:space="preserve">Polen har truffet en række foranstaltninger for at bekæmpe og forebygge disse former for svig (reform af skatteforvaltningen ved at koncentrere ressourcerne om bekæmpelse af svig, indførelse af en enkelt revisionsfil, obligatoriske månedlige momsangivelser, indførelse af administrative sanktioner osv.), og der gennemføres yderligere reformer (f.eks. en frivillig ordning med opdelt betaling). Så længe foranstaltningerne ikke har givet konkrete resultater, er Polen af den opfattelse, at yderligere støtte i form af en midlertidig foranstaltning som f.eks. indførelse af en indenlandsk ordning for omvendt betalingspligt, er nødvendig. </w:t>
      </w:r>
    </w:p>
    <w:p>
      <w:pPr>
        <w:rPr>
          <w:noProof/>
        </w:rPr>
      </w:pPr>
      <w:r>
        <w:rPr>
          <w:noProof/>
        </w:rPr>
        <w:t xml:space="preserve">Det foreslås at indrømme fravigelsen fra den 1. januar 2018 til den 31. december 2020. Da de af Polen trufne foranstaltninger bør give de forventede resultater indtil udløbet af fravigelsen, vil Polen efterfølgende ikke have behov for at fravige momsdirektivets artikel 193 for så vidt angår leverancer af harddiskdrev. En forlængelse af fravigelsen burde derfor ikke være nødvendig. </w:t>
      </w:r>
    </w:p>
    <w:p>
      <w:pPr>
        <w:pStyle w:val="ManualHeading1"/>
        <w:rPr>
          <w:noProof/>
        </w:rPr>
      </w:pPr>
      <w:r>
        <w:rPr>
          <w:noProof/>
        </w:rPr>
        <w:t>2.</w:t>
      </w:r>
      <w:r>
        <w:rPr>
          <w:noProof/>
        </w:rPr>
        <w:tab/>
        <w:t>RETSGRUNDLAG, NÆRHEDSPRINCIPPET OG PROPORTIONALITETSPRINCIPPET</w:t>
      </w:r>
    </w:p>
    <w:p>
      <w:pPr>
        <w:pStyle w:val="ManualHeading2"/>
        <w:rPr>
          <w:rFonts w:eastAsia="Arial Unicode MS"/>
          <w:noProof/>
          <w:u w:color="000000"/>
          <w:bdr w:val="nil"/>
        </w:rPr>
      </w:pPr>
      <w:r>
        <w:rPr>
          <w:noProof/>
        </w:rPr>
        <w:t>•</w:t>
      </w:r>
      <w:r>
        <w:rPr>
          <w:noProof/>
        </w:rPr>
        <w:tab/>
        <w:t>Retsgrundlag</w:t>
      </w:r>
    </w:p>
    <w:p>
      <w:pPr>
        <w:rPr>
          <w:noProof/>
        </w:rPr>
      </w:pPr>
      <w:r>
        <w:rPr>
          <w:noProof/>
        </w:rPr>
        <w:t>Momsdirektivets artikel 395.</w:t>
      </w:r>
    </w:p>
    <w:p>
      <w:pPr>
        <w:pStyle w:val="ManualHeading2"/>
        <w:rPr>
          <w:rFonts w:eastAsia="Arial Unicode MS"/>
          <w:noProof/>
          <w:u w:color="000000"/>
          <w:bdr w:val="nil"/>
        </w:rPr>
      </w:pPr>
      <w:r>
        <w:rPr>
          <w:noProof/>
        </w:rPr>
        <w:t>•</w:t>
      </w:r>
      <w:r>
        <w:rPr>
          <w:noProof/>
        </w:rPr>
        <w:tab/>
        <w:t xml:space="preserve">Nærhedsprincippet (for områder, der ikke er omfattet af enekompetence) </w:t>
      </w:r>
    </w:p>
    <w:p>
      <w:pPr>
        <w:rPr>
          <w:noProof/>
        </w:rPr>
      </w:pPr>
      <w:r>
        <w:rPr>
          <w:noProof/>
        </w:rPr>
        <w:t>I betragtning af den bestemmelse i momsdirektivet, som forslaget bygger på, henhører forslaget under EU's enekompetence. Nærhedsprincippet finder derfor ikke anvendelse.</w:t>
      </w:r>
    </w:p>
    <w:p>
      <w:pPr>
        <w:pStyle w:val="ManualHeading2"/>
        <w:rPr>
          <w:rFonts w:eastAsia="Arial Unicode MS"/>
          <w:noProof/>
          <w:u w:color="000000"/>
          <w:bdr w:val="nil"/>
        </w:rPr>
      </w:pPr>
      <w:r>
        <w:rPr>
          <w:noProof/>
        </w:rPr>
        <w:t>•</w:t>
      </w:r>
      <w:r>
        <w:rPr>
          <w:noProof/>
        </w:rPr>
        <w:tab/>
        <w:t>Proportionalitetsprincippet</w:t>
      </w:r>
    </w:p>
    <w:p>
      <w:pPr>
        <w:rPr>
          <w:noProof/>
        </w:rPr>
      </w:pPr>
      <w:r>
        <w:rPr>
          <w:noProof/>
        </w:rPr>
        <w:t>Afgørelsen vedrører en tilladelse, der indrømmes en medlemsstat på dennes egen anmodning og udgør ikke en forpligtelse.</w:t>
      </w:r>
    </w:p>
    <w:p>
      <w:pPr>
        <w:rPr>
          <w:noProof/>
        </w:rPr>
      </w:pPr>
      <w:r>
        <w:rPr>
          <w:noProof/>
        </w:rPr>
        <w:t xml:space="preserve">På grund af fravigelsens begrænsede anvendelsesområde står den særlige foranstaltning i rimeligt forhold til det tilstræbte mål, nemlig at forebygge visse former for momsunddragelse og momsundgåelse i en specifik sektor. </w:t>
      </w:r>
    </w:p>
    <w:p>
      <w:pPr>
        <w:pStyle w:val="ManualHeading2"/>
        <w:rPr>
          <w:rFonts w:eastAsia="Arial Unicode MS"/>
          <w:noProof/>
          <w:u w:color="000000"/>
          <w:bdr w:val="nil"/>
        </w:rPr>
      </w:pPr>
      <w:r>
        <w:rPr>
          <w:noProof/>
        </w:rPr>
        <w:t>•</w:t>
      </w:r>
      <w:r>
        <w:rPr>
          <w:noProof/>
        </w:rPr>
        <w:tab/>
        <w:t>Valg af retsakt</w:t>
      </w:r>
    </w:p>
    <w:p>
      <w:pPr>
        <w:rPr>
          <w:noProof/>
        </w:rPr>
      </w:pPr>
      <w:r>
        <w:rPr>
          <w:noProof/>
        </w:rPr>
        <w:t>I henhold til artikel 395 i momsdirektivet er en fravigelse af de fælles momsregler kun mulig, hvis Rådet med enstemmighed på forslag af Kommissionen giver tilladelse til det. Endvidere er en rådsafgørelse det mest egnede reguleringsmiddel, da den kan rettes til de enkelte medlemsstater.</w:t>
      </w:r>
    </w:p>
    <w:p>
      <w:pPr>
        <w:pStyle w:val="ManualHeading1"/>
        <w:rPr>
          <w:noProof/>
        </w:rPr>
      </w:pPr>
      <w:r>
        <w:rPr>
          <w:noProof/>
        </w:rPr>
        <w:t>3.</w:t>
      </w:r>
      <w:r>
        <w:rPr>
          <w:noProof/>
        </w:rPr>
        <w:tab/>
        <w:t>RESULTATER AF EFTERFØLGENDE EVALUERINGER, HØRINGER AF INTERESSEREDE PARTER OG KONSEKVENSANALYSER</w:t>
      </w:r>
    </w:p>
    <w:p>
      <w:pPr>
        <w:pStyle w:val="ManualHeading2"/>
        <w:rPr>
          <w:rFonts w:eastAsia="Arial Unicode MS"/>
          <w:noProof/>
          <w:u w:color="000000"/>
          <w:bdr w:val="nil"/>
        </w:rPr>
      </w:pPr>
      <w:r>
        <w:rPr>
          <w:noProof/>
        </w:rPr>
        <w:t>•</w:t>
      </w:r>
      <w:r>
        <w:rPr>
          <w:noProof/>
        </w:rPr>
        <w:tab/>
        <w:t>Høringer af interesserede parter</w:t>
      </w:r>
    </w:p>
    <w:p>
      <w:pPr>
        <w:rPr>
          <w:noProof/>
        </w:rPr>
      </w:pPr>
      <w:r>
        <w:rPr>
          <w:noProof/>
        </w:rPr>
        <w:t>Forslaget er baseret på en anmodning fra Polen og vedrører kun denne medlemsstat.</w:t>
      </w:r>
    </w:p>
    <w:p>
      <w:pPr>
        <w:pStyle w:val="ManualHeading2"/>
        <w:rPr>
          <w:rFonts w:eastAsia="Arial Unicode MS"/>
          <w:noProof/>
          <w:u w:color="000000"/>
          <w:bdr w:val="nil"/>
        </w:rPr>
      </w:pPr>
      <w:r>
        <w:rPr>
          <w:noProof/>
        </w:rPr>
        <w:t>•</w:t>
      </w:r>
      <w:r>
        <w:rPr>
          <w:noProof/>
        </w:rPr>
        <w:tab/>
        <w:t>Indhentning og brug af ekspertbistand</w:t>
      </w:r>
    </w:p>
    <w:p>
      <w:pPr>
        <w:rPr>
          <w:noProof/>
        </w:rPr>
      </w:pPr>
      <w:r>
        <w:rPr>
          <w:noProof/>
        </w:rPr>
        <w:t>Der har ikke været behov for ekstern ekspertbistand.</w:t>
      </w:r>
    </w:p>
    <w:p>
      <w:pPr>
        <w:pStyle w:val="ManualHeading2"/>
        <w:rPr>
          <w:rFonts w:eastAsia="Arial Unicode MS"/>
          <w:noProof/>
          <w:u w:color="000000"/>
          <w:bdr w:val="nil"/>
        </w:rPr>
      </w:pPr>
      <w:r>
        <w:rPr>
          <w:noProof/>
        </w:rPr>
        <w:t>•</w:t>
      </w:r>
      <w:r>
        <w:rPr>
          <w:noProof/>
        </w:rPr>
        <w:tab/>
        <w:t>Konsekvensanalyse</w:t>
      </w:r>
    </w:p>
    <w:p>
      <w:pPr>
        <w:rPr>
          <w:noProof/>
        </w:rPr>
      </w:pPr>
      <w:r>
        <w:rPr>
          <w:noProof/>
        </w:rPr>
        <w:t xml:space="preserve">Forslaget til gennemførelsesafgørelse har til formål at forebygge visse former for momsunddragelse og momsundgåelse i sektoren for harddiskdrev. Ordningen for omvendt betalingspligt bør hjælpe Polen med at hindre yderligere spredning af svig og forebygge momssvig i sektoren for harddiskdrev. Fravigelsesforanstaltningen vil derfor potentielt have en positiv indvirkning. </w:t>
      </w:r>
    </w:p>
    <w:p>
      <w:pPr>
        <w:rPr>
          <w:noProof/>
        </w:rPr>
      </w:pPr>
      <w:r>
        <w:rPr>
          <w:noProof/>
        </w:rPr>
        <w:t>På grund af fravigelsens snævre anvendelsesområde og den begrænsede tidsmæssige anvendelse vil virkningen under alle omstændigheder være begrænset.</w:t>
      </w:r>
    </w:p>
    <w:p>
      <w:pPr>
        <w:pStyle w:val="ManualHeading1"/>
        <w:rPr>
          <w:noProof/>
        </w:rPr>
      </w:pPr>
      <w:r>
        <w:rPr>
          <w:noProof/>
        </w:rPr>
        <w:t>4.</w:t>
      </w:r>
      <w:r>
        <w:rPr>
          <w:noProof/>
        </w:rPr>
        <w:tab/>
        <w:t>VIRKNINGER FOR BUDGETTET</w:t>
      </w:r>
    </w:p>
    <w:p>
      <w:pPr>
        <w:rPr>
          <w:noProof/>
        </w:rPr>
      </w:pPr>
      <w:r>
        <w:rPr>
          <w:noProof/>
        </w:rPr>
        <w:t xml:space="preserve">Forslaget har ingen virkninger for EU-budgettet. </w:t>
      </w:r>
    </w:p>
    <w:p>
      <w:pPr>
        <w:pStyle w:val="ManualHeading1"/>
        <w:rPr>
          <w:noProof/>
        </w:rPr>
      </w:pPr>
      <w:r>
        <w:rPr>
          <w:noProof/>
        </w:rPr>
        <w:t>5.</w:t>
      </w:r>
      <w:r>
        <w:rPr>
          <w:noProof/>
        </w:rPr>
        <w:tab/>
        <w:t>ANDRE FORHOLD</w:t>
      </w:r>
    </w:p>
    <w:p>
      <w:pPr>
        <w:rPr>
          <w:noProof/>
        </w:rPr>
      </w:pPr>
      <w:r>
        <w:rPr>
          <w:noProof/>
        </w:rPr>
        <w:t>Forslaget indeholder en udløbsklausul, der er fastsat til den 31. december 2020.</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t>2017/0205 (NLE)</w:t>
      </w:r>
    </w:p>
    <w:p>
      <w:pPr>
        <w:pStyle w:val="Statut"/>
        <w:rPr>
          <w:noProof/>
        </w:rPr>
      </w:pPr>
      <w:r>
        <w:rPr>
          <w:noProof/>
        </w:rPr>
        <w:t>Forslag til</w:t>
      </w:r>
    </w:p>
    <w:p>
      <w:pPr>
        <w:pStyle w:val="Typedudocument"/>
        <w:rPr>
          <w:noProof/>
        </w:rPr>
      </w:pPr>
      <w:r>
        <w:rPr>
          <w:noProof/>
        </w:rPr>
        <w:t>RÅDETS GENNEMFØRELSESAFGØRELSE</w:t>
      </w:r>
    </w:p>
    <w:p>
      <w:pPr>
        <w:pStyle w:val="Titreobjet"/>
        <w:rPr>
          <w:noProof/>
        </w:rPr>
      </w:pPr>
      <w:r>
        <w:rPr>
          <w:noProof/>
        </w:rPr>
        <w:t>om bemyndigelse af Republikken Polen til at indføre en særlig foranstaltning, der fraviger artikel 193 i direktiv 2006/112/EF om det fælles merværdiafgiftssystem</w:t>
      </w:r>
    </w:p>
    <w:p>
      <w:pPr>
        <w:pStyle w:val="Institutionquiagit"/>
        <w:rPr>
          <w:noProof/>
        </w:rPr>
      </w:pPr>
      <w:r>
        <w:rPr>
          <w:noProof/>
        </w:rPr>
        <w:t>RÅDET FOR DEN EUROPÆISKE UNION HAR —</w:t>
      </w:r>
    </w:p>
    <w:p>
      <w:pPr>
        <w:rPr>
          <w:noProof/>
        </w:rPr>
      </w:pPr>
      <w:r>
        <w:rPr>
          <w:noProof/>
        </w:rPr>
        <w:t xml:space="preserve">under henvisning til traktaten om Den Europæiske Unions funktionsmåde, </w:t>
      </w:r>
    </w:p>
    <w:p>
      <w:pPr>
        <w:rPr>
          <w:noProof/>
        </w:rPr>
      </w:pPr>
      <w:r>
        <w:rPr>
          <w:noProof/>
        </w:rPr>
        <w:t>under henvisning til Rådets direktiv 2006/112/EF af 28. november 2006 om det fælles merværdiafgiftssystem</w:t>
      </w:r>
      <w:r>
        <w:rPr>
          <w:rStyle w:val="FootnoteReference"/>
          <w:noProof/>
        </w:rPr>
        <w:footnoteReference w:id="1"/>
      </w:r>
      <w:r>
        <w:rPr>
          <w:noProof/>
        </w:rPr>
        <w:t>, særlig artikel 395,</w:t>
      </w:r>
    </w:p>
    <w:p>
      <w:pPr>
        <w:rPr>
          <w:noProof/>
        </w:rPr>
      </w:pPr>
      <w:r>
        <w:rPr>
          <w:noProof/>
        </w:rPr>
        <w:t>under henvisning til forslag fra Europa-Kommissionen, og</w:t>
      </w:r>
    </w:p>
    <w:p>
      <w:pPr>
        <w:rPr>
          <w:noProof/>
        </w:rPr>
      </w:pPr>
      <w:r>
        <w:rPr>
          <w:noProof/>
        </w:rPr>
        <w:t>ud fra følgende betragtninger:</w:t>
      </w:r>
    </w:p>
    <w:p>
      <w:pPr>
        <w:pStyle w:val="ManualConsidrant"/>
        <w:rPr>
          <w:noProof/>
        </w:rPr>
      </w:pPr>
      <w:r>
        <w:t>(1)</w:t>
      </w:r>
      <w:r>
        <w:tab/>
      </w:r>
      <w:r>
        <w:rPr>
          <w:noProof/>
        </w:rPr>
        <w:t>I artikel 193 i direktiv 2006/112/EF fastsættes det, at det generelt påhviler den afgiftspligtige person, som leverer varerne eller ydelserne, at betale merværdiafgiften (momsen) til afgiftsmyndighederne.</w:t>
      </w:r>
    </w:p>
    <w:p>
      <w:pPr>
        <w:pStyle w:val="ManualConsidrant"/>
        <w:rPr>
          <w:noProof/>
        </w:rPr>
      </w:pPr>
      <w:r>
        <w:t>(2)</w:t>
      </w:r>
      <w:r>
        <w:tab/>
      </w:r>
      <w:r>
        <w:rPr>
          <w:noProof/>
        </w:rPr>
        <w:t xml:space="preserve">Ved brev registreret i Kommissionen den 7. oktober 2016 anmodede Polen om en fravigelse fra artikel 193 i direktiv 2006/112/EF for at anvende ordningen for omvendt betalingspligt på leverancer af harddiskdrev såsom solid-state-drives og hard-disk-drives. </w:t>
      </w:r>
    </w:p>
    <w:p>
      <w:pPr>
        <w:pStyle w:val="ManualConsidrant"/>
        <w:rPr>
          <w:noProof/>
        </w:rPr>
      </w:pPr>
      <w:r>
        <w:t>(3)</w:t>
      </w:r>
      <w:r>
        <w:tab/>
      </w:r>
      <w:r>
        <w:rPr>
          <w:noProof/>
        </w:rPr>
        <w:t>I overensstemmelse med artikel 395, stk. 2, i direktiv 2006/112/EF underrettede Kommissionen ved breve af 12. og 13. juli 2017 de øvrige medlemsstater om Polens anmodning. Ved brev af 13. juli 2017 meddelte Kommissionen Polen, at den rådede over alle de oplysninger, den fandt nødvendige for at kunne vurdere anmodningen.</w:t>
      </w:r>
    </w:p>
    <w:p>
      <w:pPr>
        <w:pStyle w:val="ManualConsidrant"/>
        <w:rPr>
          <w:noProof/>
        </w:rPr>
      </w:pPr>
      <w:r>
        <w:t>(4)</w:t>
      </w:r>
      <w:r>
        <w:tab/>
      </w:r>
      <w:r>
        <w:rPr>
          <w:noProof/>
        </w:rPr>
        <w:t>Harddiskdrev, der ikke er omfattet af artikel 199a i direktiv 2006/112/EF, er i Polen i stigende grad blevet et mål for momssvig inden for kategorien elektroniske produkter. Ifølge Polens oplysninger er der på markedet for harddiskdrev sket en forøgelse i omfanget af momssvig gennem såkaldt MTIC-svig (svig i forbindelse med forsvundne forhandlere inden for Fællesskabet). Omfanget og rækkevidden af denne praksis har en direkte og meget negativ indvirkning på de distributører, der ikke deltager i svig, og fører til et fald i momsindtægterne.</w:t>
      </w:r>
    </w:p>
    <w:p>
      <w:pPr>
        <w:pStyle w:val="ManualConsidrant"/>
        <w:rPr>
          <w:noProof/>
        </w:rPr>
      </w:pPr>
      <w:r>
        <w:t>(5)</w:t>
      </w:r>
      <w:r>
        <w:tab/>
      </w:r>
      <w:r>
        <w:rPr>
          <w:noProof/>
        </w:rPr>
        <w:t>Polen har truffet en række foranstaltninger for at bekæmpe og forebygge momssvigen. Så længe foranstaltningerne ikke har givet konkrete resultater, er Polen af den opfattelse, at yderligere støtte i form af en midlertidig foranstaltning som f.eks. indførelse af en ordning for omvendt betalingspligt, er nødvendig.</w:t>
      </w:r>
    </w:p>
    <w:p>
      <w:pPr>
        <w:pStyle w:val="ManualConsidrant"/>
        <w:rPr>
          <w:noProof/>
        </w:rPr>
      </w:pPr>
      <w:r>
        <w:t>(6)</w:t>
      </w:r>
      <w:r>
        <w:tab/>
      </w:r>
      <w:r>
        <w:rPr>
          <w:noProof/>
        </w:rPr>
        <w:t xml:space="preserve">Polen bør derfor få tilladelse til at anvende ordningen for omvendt betalingspligt på leverancer af harddiskdrev såsom solid-state-drives og hard-disk-drives fra den 1. januar 2018. Fravigelsen bør ikke gælde længere end til den 31. december 2020. </w:t>
      </w:r>
    </w:p>
    <w:p>
      <w:pPr>
        <w:pStyle w:val="ManualConsidrant"/>
        <w:rPr>
          <w:noProof/>
        </w:rPr>
      </w:pPr>
      <w:r>
        <w:t>(7)</w:t>
      </w:r>
      <w:r>
        <w:tab/>
      </w:r>
      <w:r>
        <w:rPr>
          <w:noProof/>
        </w:rPr>
        <w:t xml:space="preserve">Indtil udløbet af fravigelsen burde de af Polen trufne foranstaltninger forebygge yderligere spredning af momssvig i sektoren for harddiskdrev, således at Polen ikke efterfølgende vil have behov for at fravige artikel 193 i direktiv 2006/112/EF for så vidt angår disse leverancer. Polen burde derfor ikke søge om forlængelse af fravigelsen. </w:t>
      </w:r>
    </w:p>
    <w:p>
      <w:pPr>
        <w:pStyle w:val="ManualConsidrant"/>
        <w:rPr>
          <w:noProof/>
        </w:rPr>
      </w:pPr>
      <w:r>
        <w:t>(8)</w:t>
      </w:r>
      <w:r>
        <w:tab/>
      </w:r>
      <w:r>
        <w:rPr>
          <w:noProof/>
        </w:rPr>
        <w:t>Fravigelsen får ingen indvirkning på Unionens egne indtægter fra merværdiafgift —</w:t>
      </w:r>
    </w:p>
    <w:p>
      <w:pPr>
        <w:pStyle w:val="Formuledadoption"/>
        <w:rPr>
          <w:noProof/>
        </w:rPr>
      </w:pPr>
      <w:r>
        <w:rPr>
          <w:noProof/>
        </w:rPr>
        <w:t xml:space="preserve">VEDTAGET DENNE AFGØRELSE: </w:t>
      </w:r>
    </w:p>
    <w:p>
      <w:pPr>
        <w:pStyle w:val="Titrearticle"/>
        <w:rPr>
          <w:noProof/>
        </w:rPr>
      </w:pPr>
      <w:r>
        <w:rPr>
          <w:noProof/>
        </w:rPr>
        <w:t>Artikel 1</w:t>
      </w:r>
    </w:p>
    <w:p>
      <w:pPr>
        <w:rPr>
          <w:noProof/>
        </w:rPr>
      </w:pPr>
      <w:r>
        <w:rPr>
          <w:noProof/>
        </w:rPr>
        <w:t xml:space="preserve">Polen får som fravigelse fra artikel 193 i direktiv 2006/112/EF tilladelse til at udpege modtageren af leverancer af harddiskdrev såsom solid-state-drives og hard-disk-drives som den person, der er betalingspligtig for momsen. </w:t>
      </w:r>
    </w:p>
    <w:p>
      <w:pPr>
        <w:pStyle w:val="Titrearticle"/>
        <w:rPr>
          <w:noProof/>
          <w:color w:val="000000" w:themeColor="text1"/>
        </w:rPr>
      </w:pPr>
      <w:r>
        <w:rPr>
          <w:noProof/>
        </w:rPr>
        <w:t>Artikel 2</w:t>
      </w:r>
    </w:p>
    <w:p>
      <w:pPr>
        <w:rPr>
          <w:noProof/>
        </w:rPr>
      </w:pPr>
      <w:r>
        <w:rPr>
          <w:noProof/>
        </w:rPr>
        <w:t>Denne afgørelse anvendes fra den 1. januar 2018 til den 31. december 2020.</w:t>
      </w:r>
    </w:p>
    <w:p>
      <w:pPr>
        <w:pStyle w:val="Titrearticle"/>
        <w:rPr>
          <w:noProof/>
        </w:rPr>
      </w:pPr>
      <w:r>
        <w:rPr>
          <w:noProof/>
        </w:rPr>
        <w:t>Artikel 3</w:t>
      </w:r>
    </w:p>
    <w:p>
      <w:pPr>
        <w:keepNext/>
        <w:keepLines/>
        <w:rPr>
          <w:noProof/>
        </w:rPr>
      </w:pPr>
      <w:r>
        <w:rPr>
          <w:noProof/>
        </w:rPr>
        <w:t>Denne afgørelse er rettet til Republikken Polen.</w:t>
      </w:r>
    </w:p>
    <w:p>
      <w:pPr>
        <w:pStyle w:val="Fait"/>
        <w:rPr>
          <w:noProof/>
        </w:rPr>
      </w:pPr>
      <w:r>
        <w:rPr>
          <w:noProof/>
        </w:rPr>
        <w:t>Udfærdiget i Bruxelles, den .</w:t>
      </w:r>
    </w:p>
    <w:p>
      <w:pPr>
        <w:pStyle w:val="Institutionquisigne"/>
        <w:rPr>
          <w:noProof/>
        </w:rPr>
      </w:pPr>
      <w:r>
        <w:rPr>
          <w:noProof/>
        </w:rPr>
        <w:tab/>
        <w:t>På Rådets vegne</w:t>
      </w:r>
    </w:p>
    <w:p>
      <w:pPr>
        <w:pStyle w:val="Personnequisigne"/>
        <w:rPr>
          <w:noProof/>
        </w:rPr>
      </w:pPr>
      <w:r>
        <w:rPr>
          <w:noProof/>
        </w:rPr>
        <w:tab/>
        <w:t>Formand</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DA</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EUT L 347 af 11.12.2006,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2F007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8CA6ABA"/>
    <w:lvl w:ilvl="0">
      <w:start w:val="1"/>
      <w:numFmt w:val="decimal"/>
      <w:pStyle w:val="ListNumber3"/>
      <w:lvlText w:val="%1."/>
      <w:lvlJc w:val="left"/>
      <w:pPr>
        <w:tabs>
          <w:tab w:val="num" w:pos="926"/>
        </w:tabs>
        <w:ind w:left="926" w:hanging="360"/>
      </w:pPr>
    </w:lvl>
  </w:abstractNum>
  <w:abstractNum w:abstractNumId="2">
    <w:nsid w:val="FFFFFF7F"/>
    <w:multiLevelType w:val="singleLevel"/>
    <w:tmpl w:val="C0785A10"/>
    <w:lvl w:ilvl="0">
      <w:start w:val="1"/>
      <w:numFmt w:val="decimal"/>
      <w:pStyle w:val="ListNumber2"/>
      <w:lvlText w:val="%1."/>
      <w:lvlJc w:val="left"/>
      <w:pPr>
        <w:tabs>
          <w:tab w:val="num" w:pos="643"/>
        </w:tabs>
        <w:ind w:left="643" w:hanging="360"/>
      </w:pPr>
    </w:lvl>
  </w:abstractNum>
  <w:abstractNum w:abstractNumId="3">
    <w:nsid w:val="FFFFFF81"/>
    <w:multiLevelType w:val="singleLevel"/>
    <w:tmpl w:val="D6B210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5502E3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F5A342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66E56DE"/>
    <w:lvl w:ilvl="0">
      <w:start w:val="1"/>
      <w:numFmt w:val="decimal"/>
      <w:pStyle w:val="ListNumber"/>
      <w:lvlText w:val="%1."/>
      <w:lvlJc w:val="left"/>
      <w:pPr>
        <w:tabs>
          <w:tab w:val="num" w:pos="360"/>
        </w:tabs>
        <w:ind w:left="360" w:hanging="360"/>
      </w:pPr>
    </w:lvl>
  </w:abstractNum>
  <w:abstractNum w:abstractNumId="7">
    <w:nsid w:val="FFFFFF89"/>
    <w:multiLevelType w:val="singleLevel"/>
    <w:tmpl w:val="627CA97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hideSpellingErrors/>
  <w:hideGrammaticalErrors/>
  <w:attachedTemplate r:id="rId1"/>
  <w:revisionView w:markup="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8-21 08:04:2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247163CBD22947F7ADD41C930B68D1F8"/>
    <w:docVar w:name="LW_CROSSREFERENCE" w:val="&lt;UNUSED&gt;"/>
    <w:docVar w:name="LW_DocType" w:val="COM"/>
    <w:docVar w:name="LW_EMISSION" w:val="23.8.2017"/>
    <w:docVar w:name="LW_EMISSION_ISODATE" w:val="2017-08-23"/>
    <w:docVar w:name="LW_EMISSION_LOCATION" w:val="BRX"/>
    <w:docVar w:name="LW_EMISSION_PREFIX" w:val="Bruxelles, den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DA"/>
    <w:docVar w:name="LW_MARKING" w:val="&lt;UNUSED&gt;"/>
    <w:docVar w:name="LW_NOM.INST" w:val="EUROPA-KOMMISSIONEN"/>
    <w:docVar w:name="LW_NOM.INST_JOINTDOC" w:val="&lt;EMPTY&gt;"/>
    <w:docVar w:name="LW_PART_NBR" w:val="1"/>
    <w:docVar w:name="LW_PART_NBR_TOTAL" w:val="1"/>
    <w:docVar w:name="LW_REF.II.NEW.CP" w:val="NLE"/>
    <w:docVar w:name="LW_REF.II.NEW.CP_NUMBER" w:val="0205"/>
    <w:docVar w:name="LW_REF.II.NEW.CP_YEAR" w:val="2017"/>
    <w:docVar w:name="LW_REF.INST.NEW" w:val="COM"/>
    <w:docVar w:name="LW_REF.INST.NEW_ADOPTED" w:val="final"/>
    <w:docVar w:name="LW_REF.INST.NEW_TEXT" w:val="(2017) 451"/>
    <w:docVar w:name="LW_REF.INTERNE" w:val="&lt;UNUSED&gt;"/>
    <w:docVar w:name="LW_SOUS.TITRE.OBJ.CP" w:val="&lt;UNUSED&gt;"/>
    <w:docVar w:name="LW_STATUT.CP" w:val="Forslag til"/>
    <w:docVar w:name="LW_SUPERTITRE" w:val="&lt;UNUSED&gt;"/>
    <w:docVar w:name="LW_TITRE.OBJ.CP" w:val="om bemyndigelse af Republikken Polen til at indføre en særlig foranstaltning, der fraviger artikel 193 i direktiv 2006/112/EF om det fælles merværdiafgiftssystem"/>
    <w:docVar w:name="LW_TYPE.DOC.CP" w:val="RÅDETS GENNEMFØRELSESAFGØRELS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6</Pages>
  <Words>1393</Words>
  <Characters>8613</Characters>
  <Application>Microsoft Office Word</Application>
  <DocSecurity>0</DocSecurity>
  <Lines>151</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2017-08-18T09:27:00Z</cp:lastPrinted>
  <dcterms:created xsi:type="dcterms:W3CDTF">2017-08-18T13:51:00Z</dcterms:created>
  <dcterms:modified xsi:type="dcterms:W3CDTF">2017-08-21T06:04:00Z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