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370" w:rsidRDefault="002C451F">
      <w:pPr>
        <w:pStyle w:val="Pagedecouverture"/>
        <w:rPr>
          <w:noProof/>
        </w:rPr>
      </w:pPr>
      <w:bookmarkStart w:id="0" w:name="LW_BM_COVERPAGE"/>
      <w:bookmarkStart w:id="1" w:name="_Toc427329148"/>
      <w:bookmarkStart w:id="2" w:name="_GoBack"/>
      <w:bookmarkEnd w:id="2"/>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4F406C46477A4759A36D806DBC8AEB3F" style="width:450.75pt;height:307.5pt">
            <v:imagedata r:id="rId9" o:title=""/>
          </v:shape>
        </w:pict>
      </w:r>
    </w:p>
    <w:bookmarkEnd w:id="0"/>
    <w:p w:rsidR="001D5370" w:rsidRDefault="001D5370">
      <w:pPr>
        <w:rPr>
          <w:noProof/>
        </w:rPr>
        <w:sectPr w:rsidR="001D5370">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rsidR="001D5370" w:rsidRDefault="002C451F">
      <w:pPr>
        <w:keepNext/>
        <w:numPr>
          <w:ilvl w:val="0"/>
          <w:numId w:val="1"/>
        </w:numPr>
        <w:spacing w:before="360" w:after="120" w:line="240" w:lineRule="auto"/>
        <w:jc w:val="both"/>
        <w:outlineLvl w:val="0"/>
        <w:rPr>
          <w:rFonts w:ascii="Times New Roman" w:eastAsia="Times New Roman" w:hAnsi="Times New Roman" w:cs="Times New Roman"/>
          <w:b/>
          <w:bCs/>
          <w:caps/>
          <w:smallCaps/>
          <w:noProof/>
          <w:sz w:val="24"/>
          <w:szCs w:val="24"/>
        </w:rPr>
      </w:pPr>
      <w:r>
        <w:rPr>
          <w:rFonts w:ascii="Times New Roman" w:hAnsi="Times New Roman"/>
          <w:b/>
          <w:caps/>
          <w:smallCaps/>
          <w:noProof/>
          <w:sz w:val="24"/>
        </w:rPr>
        <w:lastRenderedPageBreak/>
        <w:t>Indledning</w:t>
      </w:r>
      <w:bookmarkEnd w:id="1"/>
    </w:p>
    <w:p w:rsidR="001D5370" w:rsidRDefault="002C451F">
      <w:pPr>
        <w:autoSpaceDE w:val="0"/>
        <w:autoSpaceDN w:val="0"/>
        <w:adjustRightInd w:val="0"/>
        <w:spacing w:after="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EU er underlagt verdens strengeste system med hensyn til godkendelse og kontrol af </w:t>
      </w:r>
      <w:r>
        <w:rPr>
          <w:rFonts w:ascii="Times New Roman" w:hAnsi="Times New Roman"/>
          <w:noProof/>
          <w:color w:val="000000"/>
          <w:sz w:val="24"/>
        </w:rPr>
        <w:t>pesticider</w:t>
      </w:r>
      <w:r>
        <w:rPr>
          <w:rStyle w:val="FootnoteReference"/>
          <w:rFonts w:ascii="Times New Roman" w:hAnsi="Times New Roman"/>
          <w:noProof/>
          <w:color w:val="000000"/>
          <w:sz w:val="24"/>
        </w:rPr>
        <w:footnoteReference w:id="1"/>
      </w:r>
      <w:r>
        <w:rPr>
          <w:rFonts w:ascii="Times New Roman" w:hAnsi="Times New Roman"/>
          <w:noProof/>
          <w:color w:val="000000"/>
          <w:sz w:val="24"/>
        </w:rPr>
        <w:t>. Alligevel er der et stærkt ønske i samfundet om at bevæge sig i retning af bæredygtig fødevareproduktion og en reduktion af eller endog et forbud mod brug af pesticider. I denne forbindelse er bæredygtigt landbrug som led i moderne produktions</w:t>
      </w:r>
      <w:r>
        <w:rPr>
          <w:rFonts w:ascii="Times New Roman" w:hAnsi="Times New Roman"/>
          <w:noProof/>
          <w:color w:val="000000"/>
          <w:sz w:val="24"/>
        </w:rPr>
        <w:t>systemer et af FN's udviklingsmål, og fremme af bæredygtig anvendelse af pesticider er en af de vigtige aktioner i EU til støtte for gennemførelsen af FN's 2030-dagsorden for bæredygtig udvikling</w:t>
      </w:r>
      <w:r>
        <w:rPr>
          <w:rFonts w:ascii="Times New Roman" w:hAnsi="Times New Roman"/>
          <w:noProof/>
          <w:color w:val="000000"/>
          <w:sz w:val="24"/>
          <w:vertAlign w:val="superscript"/>
        </w:rPr>
        <w:footnoteReference w:id="2"/>
      </w:r>
      <w:r>
        <w:rPr>
          <w:rFonts w:ascii="Times New Roman" w:hAnsi="Times New Roman"/>
          <w:noProof/>
          <w:color w:val="000000"/>
          <w:sz w:val="24"/>
        </w:rPr>
        <w:t>.</w:t>
      </w:r>
    </w:p>
    <w:p w:rsidR="001D5370" w:rsidRDefault="001D5370">
      <w:pPr>
        <w:autoSpaceDE w:val="0"/>
        <w:autoSpaceDN w:val="0"/>
        <w:adjustRightInd w:val="0"/>
        <w:spacing w:after="0" w:line="240" w:lineRule="auto"/>
        <w:jc w:val="both"/>
        <w:rPr>
          <w:rFonts w:ascii="Times New Roman" w:eastAsia="Times New Roman" w:hAnsi="Times New Roman" w:cs="Times New Roman"/>
          <w:noProof/>
          <w:color w:val="000000"/>
          <w:sz w:val="24"/>
          <w:szCs w:val="24"/>
        </w:rPr>
      </w:pPr>
    </w:p>
    <w:p w:rsidR="001D5370" w:rsidRDefault="002C451F">
      <w:pPr>
        <w:autoSpaceDE w:val="0"/>
        <w:autoSpaceDN w:val="0"/>
        <w:adjustRightInd w:val="0"/>
        <w:spacing w:after="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2006-temastrategien for bæredygtig anvendelse af pesticid</w:t>
      </w:r>
      <w:r>
        <w:rPr>
          <w:rFonts w:ascii="Times New Roman" w:hAnsi="Times New Roman"/>
          <w:noProof/>
          <w:color w:val="000000"/>
          <w:sz w:val="24"/>
        </w:rPr>
        <w:t>er</w:t>
      </w:r>
      <w:r>
        <w:rPr>
          <w:rFonts w:ascii="Times New Roman" w:hAnsi="Times New Roman"/>
          <w:noProof/>
          <w:color w:val="000000"/>
          <w:sz w:val="24"/>
          <w:vertAlign w:val="superscript"/>
        </w:rPr>
        <w:footnoteReference w:id="3"/>
      </w:r>
      <w:r>
        <w:rPr>
          <w:rFonts w:ascii="Times New Roman" w:hAnsi="Times New Roman"/>
          <w:noProof/>
          <w:color w:val="000000"/>
          <w:sz w:val="24"/>
        </w:rPr>
        <w:t xml:space="preserve"> gav nye lovgivningsmæssige rammer for godkendelse og anvendelse af pesticider</w:t>
      </w:r>
      <w:r>
        <w:rPr>
          <w:rFonts w:ascii="Times New Roman" w:hAnsi="Times New Roman"/>
          <w:noProof/>
          <w:color w:val="000000"/>
          <w:sz w:val="24"/>
          <w:vertAlign w:val="superscript"/>
        </w:rPr>
        <w:footnoteReference w:id="4"/>
      </w:r>
      <w:r>
        <w:rPr>
          <w:rFonts w:ascii="Times New Roman" w:hAnsi="Times New Roman"/>
          <w:noProof/>
          <w:color w:val="000000"/>
          <w:sz w:val="24"/>
        </w:rPr>
        <w:t>. Dette indebærer en streng ramme for godkendelse af aktivstoffer fra Europa-Kommissionens side og godkendelse af plantebeskyttelsesmidler fra medlemsstaternes side, som, hvi</w:t>
      </w:r>
      <w:r>
        <w:rPr>
          <w:rFonts w:ascii="Times New Roman" w:hAnsi="Times New Roman"/>
          <w:noProof/>
          <w:color w:val="000000"/>
          <w:sz w:val="24"/>
        </w:rPr>
        <w:t>s de anvendes efter de godkendte anvendelsesbetingelser, ikke har identificerede skadelige virkninger for menneskers og dyrs sundhed og ingen uacceptable virkninger for miljøet</w:t>
      </w:r>
      <w:r>
        <w:rPr>
          <w:rFonts w:ascii="Times New Roman" w:hAnsi="Times New Roman"/>
          <w:noProof/>
          <w:color w:val="000000"/>
          <w:sz w:val="24"/>
          <w:vertAlign w:val="superscript"/>
        </w:rPr>
        <w:footnoteReference w:id="5"/>
      </w:r>
      <w:r>
        <w:rPr>
          <w:rFonts w:ascii="Times New Roman" w:hAnsi="Times New Roman"/>
          <w:noProof/>
          <w:color w:val="000000"/>
          <w:sz w:val="24"/>
        </w:rPr>
        <w:t>. Dette strenge system for markedsføring har medført en reduktion på ca. 50 % a</w:t>
      </w:r>
      <w:r>
        <w:rPr>
          <w:rFonts w:ascii="Times New Roman" w:hAnsi="Times New Roman"/>
          <w:noProof/>
          <w:color w:val="000000"/>
          <w:sz w:val="24"/>
        </w:rPr>
        <w:t>f antallet af godkendte aktivstoffer</w:t>
      </w:r>
      <w:r>
        <w:rPr>
          <w:rStyle w:val="FootnoteReference"/>
          <w:rFonts w:ascii="Times New Roman" w:hAnsi="Times New Roman"/>
          <w:noProof/>
          <w:color w:val="000000"/>
          <w:sz w:val="24"/>
        </w:rPr>
        <w:footnoteReference w:id="6"/>
      </w:r>
      <w:r>
        <w:rPr>
          <w:rFonts w:ascii="Times New Roman" w:hAnsi="Times New Roman"/>
          <w:noProof/>
          <w:color w:val="000000"/>
          <w:sz w:val="24"/>
        </w:rPr>
        <w:t>. Kontrol med markedsføring og anvendelse af pesticider har til formål at sikre, at godkendte pesticider markedsføres og anvendes i henhold til disse betingelser. Planter behandlet med godkendte pesticider i overensstem</w:t>
      </w:r>
      <w:r>
        <w:rPr>
          <w:rFonts w:ascii="Times New Roman" w:hAnsi="Times New Roman"/>
          <w:noProof/>
          <w:color w:val="000000"/>
          <w:sz w:val="24"/>
        </w:rPr>
        <w:t>melse med produktmærkningen kan markedsføres og forbruges som sikre fødevarer med pesticidrester inden for EU's maksimalgrænseværdier for pesticidrester</w:t>
      </w:r>
      <w:r>
        <w:rPr>
          <w:rStyle w:val="FootnoteReference"/>
          <w:rFonts w:ascii="Times New Roman" w:hAnsi="Times New Roman"/>
          <w:noProof/>
          <w:color w:val="000000"/>
          <w:sz w:val="24"/>
        </w:rPr>
        <w:footnoteReference w:id="7"/>
      </w:r>
      <w:r>
        <w:rPr>
          <w:rFonts w:ascii="Times New Roman" w:hAnsi="Times New Roman"/>
          <w:noProof/>
          <w:color w:val="000000"/>
          <w:sz w:val="24"/>
        </w:rPr>
        <w:t>.</w:t>
      </w:r>
    </w:p>
    <w:p w:rsidR="001D5370" w:rsidRDefault="001D5370">
      <w:pPr>
        <w:tabs>
          <w:tab w:val="left" w:pos="1665"/>
        </w:tabs>
        <w:autoSpaceDE w:val="0"/>
        <w:autoSpaceDN w:val="0"/>
        <w:adjustRightInd w:val="0"/>
        <w:spacing w:after="0" w:line="240" w:lineRule="auto"/>
        <w:jc w:val="both"/>
        <w:rPr>
          <w:rFonts w:ascii="Times New Roman" w:eastAsia="Times New Roman" w:hAnsi="Times New Roman" w:cs="Times New Roman"/>
          <w:noProof/>
          <w:color w:val="000000"/>
          <w:sz w:val="24"/>
          <w:szCs w:val="24"/>
        </w:rPr>
      </w:pPr>
    </w:p>
    <w:p w:rsidR="001D5370" w:rsidRDefault="002C451F">
      <w:pPr>
        <w:autoSpaceDE w:val="0"/>
        <w:autoSpaceDN w:val="0"/>
        <w:adjustRightInd w:val="0"/>
        <w:spacing w:after="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Europa-Parlamentets og Rådets direktiv 2009/128/EF om bæredygtig anvendelse af pesticider</w:t>
      </w:r>
      <w:r>
        <w:rPr>
          <w:rFonts w:ascii="Times New Roman" w:hAnsi="Times New Roman"/>
          <w:noProof/>
          <w:color w:val="000000"/>
          <w:sz w:val="24"/>
          <w:vertAlign w:val="superscript"/>
        </w:rPr>
        <w:footnoteReference w:id="8"/>
      </w:r>
      <w:r>
        <w:rPr>
          <w:rFonts w:ascii="Times New Roman" w:hAnsi="Times New Roman"/>
          <w:noProof/>
          <w:color w:val="000000"/>
          <w:sz w:val="24"/>
        </w:rPr>
        <w:t xml:space="preserve"> ("direktivet"), som blev vedtaget den 21. oktober 2009 som led i denne strategi, indeholder en række handlinger med henblik på at opnå bæredygtig anvendelse af pesticider i EU ved at nedbringe risici og virkninger for menneskers sundhed og miljøet i forbi</w:t>
      </w:r>
      <w:r>
        <w:rPr>
          <w:rFonts w:ascii="Times New Roman" w:hAnsi="Times New Roman"/>
          <w:noProof/>
          <w:color w:val="000000"/>
          <w:sz w:val="24"/>
        </w:rPr>
        <w:t>ndelse med anvendelse af pesticider og fremme brug af integreret bekæmpelse af skadegørere og af alternative metoder eller teknikker som f.eks. ikkekemiske alternativer til pesticider.</w:t>
      </w:r>
    </w:p>
    <w:p w:rsidR="001D5370" w:rsidRDefault="001D5370">
      <w:pPr>
        <w:autoSpaceDE w:val="0"/>
        <w:autoSpaceDN w:val="0"/>
        <w:adjustRightInd w:val="0"/>
        <w:spacing w:after="0" w:line="240" w:lineRule="auto"/>
        <w:jc w:val="both"/>
        <w:rPr>
          <w:rFonts w:ascii="Times New Roman" w:eastAsia="Times New Roman" w:hAnsi="Times New Roman" w:cs="Times New Roman"/>
          <w:noProof/>
          <w:color w:val="000000"/>
          <w:sz w:val="24"/>
          <w:szCs w:val="24"/>
        </w:rPr>
      </w:pPr>
    </w:p>
    <w:p w:rsidR="001D5370" w:rsidRDefault="002C451F">
      <w:pPr>
        <w:autoSpaceDE w:val="0"/>
        <w:autoSpaceDN w:val="0"/>
        <w:adjustRightInd w:val="0"/>
        <w:spacing w:after="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Medlemsstaterne blev forpligtet til at vedtage nationale handlingsplan</w:t>
      </w:r>
      <w:r>
        <w:rPr>
          <w:rFonts w:ascii="Times New Roman" w:hAnsi="Times New Roman"/>
          <w:noProof/>
          <w:color w:val="000000"/>
          <w:sz w:val="24"/>
        </w:rPr>
        <w:t xml:space="preserve">er med henblik på at gennemføre direktivet første gang inden november 2012. Disse planer bør indeholde kvantitative målsætninger, mål, målinger og tidsplaner for at nedbringe risici og virkninger af anvendelsen af pesticider. Forordningen om markedsføring </w:t>
      </w:r>
      <w:r>
        <w:rPr>
          <w:rFonts w:ascii="Times New Roman" w:hAnsi="Times New Roman"/>
          <w:noProof/>
          <w:color w:val="000000"/>
          <w:sz w:val="24"/>
        </w:rPr>
        <w:t xml:space="preserve">af plantebeskyttelsesmidler indeholder også en række bestemmelser i tilknytning til direktivet, herunder fremme af hurtig </w:t>
      </w:r>
      <w:r>
        <w:rPr>
          <w:rFonts w:ascii="Times New Roman" w:hAnsi="Times New Roman"/>
          <w:noProof/>
          <w:color w:val="000000"/>
          <w:sz w:val="24"/>
        </w:rPr>
        <w:lastRenderedPageBreak/>
        <w:t>godkendelse af stoffer med lav risiko og anvendelse af disse produkter efter IPM-principperne.</w:t>
      </w:r>
    </w:p>
    <w:p w:rsidR="001D5370" w:rsidRDefault="001D5370">
      <w:pPr>
        <w:autoSpaceDE w:val="0"/>
        <w:autoSpaceDN w:val="0"/>
        <w:adjustRightInd w:val="0"/>
        <w:spacing w:after="0" w:line="240" w:lineRule="auto"/>
        <w:jc w:val="both"/>
        <w:rPr>
          <w:rFonts w:ascii="Times New Roman" w:eastAsia="Times New Roman" w:hAnsi="Times New Roman" w:cs="Times New Roman"/>
          <w:noProof/>
          <w:color w:val="000000"/>
          <w:sz w:val="24"/>
          <w:szCs w:val="24"/>
        </w:rPr>
      </w:pPr>
    </w:p>
    <w:p w:rsidR="001D5370" w:rsidRDefault="002C451F">
      <w:pPr>
        <w:autoSpaceDE w:val="0"/>
        <w:autoSpaceDN w:val="0"/>
        <w:adjustRightInd w:val="0"/>
        <w:spacing w:after="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I direktivet identificeres bestemte fo</w:t>
      </w:r>
      <w:r>
        <w:rPr>
          <w:rFonts w:ascii="Times New Roman" w:hAnsi="Times New Roman"/>
          <w:noProof/>
          <w:color w:val="000000"/>
          <w:sz w:val="24"/>
        </w:rPr>
        <w:t>ranstaltninger, som medlemsstaterne er forpligtet til at medtage i deres planer for en korrekt gennemførelse. De vigtigste handlinger vedrører uddannelse af brugere, rådgivere og forhandlere, inspektion af pesticidudbringningsudstyr, forbud mod flysprøjtni</w:t>
      </w:r>
      <w:r>
        <w:rPr>
          <w:rFonts w:ascii="Times New Roman" w:hAnsi="Times New Roman"/>
          <w:noProof/>
          <w:color w:val="000000"/>
          <w:sz w:val="24"/>
        </w:rPr>
        <w:t>ng, begrænsning af pesticidanvendelsen i følsomme områder og oplysning og bevidstgørelse om pesticidrisici. En hjørnesten i direktivet er fremme af IPM, som der er fastlagt generelle principper om i bilag III til direktivet. Fristerne i direktivet for genn</w:t>
      </w:r>
      <w:r>
        <w:rPr>
          <w:rFonts w:ascii="Times New Roman" w:hAnsi="Times New Roman"/>
          <w:noProof/>
          <w:color w:val="000000"/>
          <w:sz w:val="24"/>
        </w:rPr>
        <w:t>emførelse af alle ovennævnte foranstaltninger blev udfaset i perioden november 2011 til november 2016. Siden november 2016 (da det blev obligatorisk at foretage inspektion af pesticidudbringningsudstyr) har medlemsstaterne skullet gennemføre alle de releva</w:t>
      </w:r>
      <w:r>
        <w:rPr>
          <w:rFonts w:ascii="Times New Roman" w:hAnsi="Times New Roman"/>
          <w:noProof/>
          <w:color w:val="000000"/>
          <w:sz w:val="24"/>
        </w:rPr>
        <w:t xml:space="preserve">nte foranstaltninger i direktivet. </w:t>
      </w:r>
    </w:p>
    <w:p w:rsidR="001D5370" w:rsidRDefault="001D5370">
      <w:pPr>
        <w:autoSpaceDE w:val="0"/>
        <w:autoSpaceDN w:val="0"/>
        <w:adjustRightInd w:val="0"/>
        <w:spacing w:after="0" w:line="240" w:lineRule="auto"/>
        <w:jc w:val="both"/>
        <w:rPr>
          <w:rFonts w:ascii="Times New Roman" w:eastAsia="Times New Roman" w:hAnsi="Times New Roman" w:cs="Times New Roman"/>
          <w:noProof/>
          <w:color w:val="000000"/>
          <w:sz w:val="24"/>
          <w:szCs w:val="24"/>
        </w:rPr>
      </w:pPr>
    </w:p>
    <w:p w:rsidR="001D5370" w:rsidRDefault="002C451F">
      <w:pPr>
        <w:autoSpaceDE w:val="0"/>
        <w:autoSpaceDN w:val="0"/>
        <w:adjustRightInd w:val="0"/>
        <w:spacing w:after="0" w:line="240" w:lineRule="auto"/>
        <w:jc w:val="both"/>
        <w:rPr>
          <w:noProof/>
        </w:rPr>
      </w:pPr>
      <w:r>
        <w:rPr>
          <w:rFonts w:ascii="Times New Roman" w:hAnsi="Times New Roman"/>
          <w:noProof/>
          <w:color w:val="000000"/>
          <w:sz w:val="24"/>
        </w:rPr>
        <w:t>Kommissionen har nedsat en arbejdsgruppe med medlemsstaterne, som jævnligt mødes for at drøfte gennemførelsen af direktivet og udveksle bedste praksis</w:t>
      </w:r>
      <w:r>
        <w:rPr>
          <w:noProof/>
        </w:rPr>
        <w:t xml:space="preserve">. </w:t>
      </w:r>
    </w:p>
    <w:p w:rsidR="001D5370" w:rsidRDefault="001D5370">
      <w:pPr>
        <w:autoSpaceDE w:val="0"/>
        <w:autoSpaceDN w:val="0"/>
        <w:adjustRightInd w:val="0"/>
        <w:spacing w:after="0" w:line="240" w:lineRule="auto"/>
        <w:jc w:val="both"/>
        <w:rPr>
          <w:rFonts w:ascii="Times New Roman" w:eastAsia="Times New Roman" w:hAnsi="Times New Roman" w:cs="Times New Roman"/>
          <w:noProof/>
          <w:color w:val="000000"/>
          <w:sz w:val="24"/>
          <w:szCs w:val="24"/>
        </w:rPr>
      </w:pPr>
    </w:p>
    <w:p w:rsidR="001D5370" w:rsidRDefault="002C451F">
      <w:pPr>
        <w:autoSpaceDE w:val="0"/>
        <w:autoSpaceDN w:val="0"/>
        <w:adjustRightInd w:val="0"/>
        <w:spacing w:after="0" w:line="240" w:lineRule="auto"/>
        <w:jc w:val="both"/>
        <w:rPr>
          <w:rFonts w:ascii="Times New Roman" w:eastAsia="Times New Roman" w:hAnsi="Times New Roman" w:cs="Times New Roman"/>
          <w:noProof/>
          <w:color w:val="FF0000"/>
          <w:sz w:val="24"/>
          <w:szCs w:val="24"/>
        </w:rPr>
      </w:pPr>
      <w:r>
        <w:rPr>
          <w:rFonts w:ascii="Times New Roman" w:hAnsi="Times New Roman"/>
          <w:noProof/>
          <w:color w:val="000000"/>
          <w:sz w:val="24"/>
        </w:rPr>
        <w:t xml:space="preserve">Denne rapport omhandler rapporteringskrav efter både direktivets </w:t>
      </w:r>
      <w:r>
        <w:rPr>
          <w:rFonts w:ascii="Times New Roman" w:hAnsi="Times New Roman"/>
          <w:noProof/>
          <w:color w:val="000000"/>
          <w:sz w:val="24"/>
        </w:rPr>
        <w:t>artikel 4, stk. 3, og artikel 16. I henhold til artikel 4, stk. 3, skal Kommissionen forelægge Europa-Parlamentet og Rådet en rapport om de nationale handlingsplaner, som medlemsstaterne har indberettet, og i henhold til artikel 16 skal den forelægge en ra</w:t>
      </w:r>
      <w:r>
        <w:rPr>
          <w:rFonts w:ascii="Times New Roman" w:hAnsi="Times New Roman"/>
          <w:noProof/>
          <w:color w:val="000000"/>
          <w:sz w:val="24"/>
        </w:rPr>
        <w:t>pport om gennemførelsen af direktivet</w:t>
      </w:r>
      <w:r>
        <w:rPr>
          <w:rFonts w:ascii="Times New Roman" w:hAnsi="Times New Roman"/>
          <w:noProof/>
          <w:sz w:val="24"/>
        </w:rPr>
        <w:t>.</w:t>
      </w:r>
    </w:p>
    <w:p w:rsidR="001D5370" w:rsidRDefault="001D5370">
      <w:pPr>
        <w:autoSpaceDE w:val="0"/>
        <w:autoSpaceDN w:val="0"/>
        <w:adjustRightInd w:val="0"/>
        <w:spacing w:after="0" w:line="240" w:lineRule="auto"/>
        <w:jc w:val="both"/>
        <w:rPr>
          <w:rFonts w:ascii="Times New Roman" w:eastAsia="Times New Roman" w:hAnsi="Times New Roman" w:cs="Times New Roman"/>
          <w:noProof/>
          <w:color w:val="000000"/>
          <w:sz w:val="24"/>
          <w:szCs w:val="24"/>
        </w:rPr>
      </w:pPr>
    </w:p>
    <w:p w:rsidR="001D5370" w:rsidRDefault="002C451F">
      <w:pPr>
        <w:autoSpaceDE w:val="0"/>
        <w:autoSpaceDN w:val="0"/>
        <w:adjustRightInd w:val="0"/>
        <w:spacing w:after="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Denne rapport er baseret på flere informationskilder:</w:t>
      </w:r>
    </w:p>
    <w:p w:rsidR="001D5370" w:rsidRDefault="002C451F">
      <w:pPr>
        <w:pStyle w:val="ListParagraph"/>
        <w:numPr>
          <w:ilvl w:val="0"/>
          <w:numId w:val="3"/>
        </w:numPr>
        <w:autoSpaceDE w:val="0"/>
        <w:autoSpaceDN w:val="0"/>
        <w:adjustRightInd w:val="0"/>
        <w:spacing w:after="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Kommissionens vurdering af de nationale handlingsplaner, som blev indgået i 2015.</w:t>
      </w:r>
    </w:p>
    <w:p w:rsidR="001D5370" w:rsidRDefault="002C451F">
      <w:pPr>
        <w:pStyle w:val="ListParagraph"/>
        <w:numPr>
          <w:ilvl w:val="0"/>
          <w:numId w:val="3"/>
        </w:numPr>
        <w:autoSpaceDE w:val="0"/>
        <w:autoSpaceDN w:val="0"/>
        <w:adjustRightInd w:val="0"/>
        <w:spacing w:after="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To auditrækker gennemført i perioden 2012-2014 og 2015-2016, den første om kontr</w:t>
      </w:r>
      <w:r>
        <w:rPr>
          <w:rFonts w:ascii="Times New Roman" w:hAnsi="Times New Roman"/>
          <w:noProof/>
          <w:color w:val="000000"/>
          <w:sz w:val="24"/>
        </w:rPr>
        <w:t>ol med plantebeskyttelsesmidler</w:t>
      </w:r>
      <w:r>
        <w:rPr>
          <w:noProof/>
          <w:vertAlign w:val="superscript"/>
        </w:rPr>
        <w:footnoteReference w:id="9"/>
      </w:r>
      <w:r>
        <w:rPr>
          <w:rFonts w:ascii="Times New Roman" w:hAnsi="Times New Roman"/>
          <w:noProof/>
          <w:color w:val="000000"/>
          <w:sz w:val="24"/>
        </w:rPr>
        <w:t xml:space="preserve"> og den anden om markedsføring og anvendelse af pesticider</w:t>
      </w:r>
      <w:r>
        <w:rPr>
          <w:noProof/>
          <w:vertAlign w:val="superscript"/>
        </w:rPr>
        <w:footnoteReference w:id="10"/>
      </w:r>
      <w:r>
        <w:rPr>
          <w:rFonts w:ascii="Times New Roman" w:hAnsi="Times New Roman"/>
          <w:noProof/>
          <w:color w:val="000000"/>
          <w:sz w:val="24"/>
        </w:rPr>
        <w:t>, herunder visse aspekter af gennemførelsen af ​​direktivet inden for deres område.</w:t>
      </w:r>
    </w:p>
    <w:p w:rsidR="001D5370" w:rsidRDefault="002C451F">
      <w:pPr>
        <w:pStyle w:val="ListParagraph"/>
        <w:numPr>
          <w:ilvl w:val="0"/>
          <w:numId w:val="3"/>
        </w:numPr>
        <w:autoSpaceDE w:val="0"/>
        <w:autoSpaceDN w:val="0"/>
        <w:adjustRightInd w:val="0"/>
        <w:spacing w:after="0" w:line="240" w:lineRule="auto"/>
        <w:jc w:val="both"/>
        <w:rPr>
          <w:noProof/>
        </w:rPr>
      </w:pPr>
      <w:r>
        <w:rPr>
          <w:rFonts w:ascii="Times New Roman" w:hAnsi="Times New Roman"/>
          <w:noProof/>
          <w:color w:val="000000"/>
          <w:sz w:val="24"/>
        </w:rPr>
        <w:t>En undersøgelse og et spørgeskema</w:t>
      </w:r>
      <w:r>
        <w:rPr>
          <w:rStyle w:val="FootnoteReference"/>
          <w:rFonts w:ascii="Times New Roman" w:hAnsi="Times New Roman"/>
          <w:noProof/>
          <w:color w:val="000000"/>
          <w:sz w:val="24"/>
        </w:rPr>
        <w:footnoteReference w:id="11"/>
      </w:r>
      <w:r>
        <w:rPr>
          <w:rFonts w:ascii="Times New Roman" w:hAnsi="Times New Roman"/>
          <w:noProof/>
          <w:color w:val="000000"/>
          <w:sz w:val="24"/>
        </w:rPr>
        <w:t xml:space="preserve"> sendt i 2016 til alle medlemsstater for at bli</w:t>
      </w:r>
      <w:r>
        <w:rPr>
          <w:rFonts w:ascii="Times New Roman" w:hAnsi="Times New Roman"/>
          <w:noProof/>
          <w:color w:val="000000"/>
          <w:sz w:val="24"/>
        </w:rPr>
        <w:t>ve ajourført om status for gennemførelsen af handlingsplanerne.</w:t>
      </w:r>
    </w:p>
    <w:p w:rsidR="001D5370" w:rsidRDefault="002C451F">
      <w:pPr>
        <w:pStyle w:val="ListParagraph"/>
        <w:numPr>
          <w:ilvl w:val="0"/>
          <w:numId w:val="3"/>
        </w:numPr>
        <w:autoSpaceDE w:val="0"/>
        <w:autoSpaceDN w:val="0"/>
        <w:adjustRightInd w:val="0"/>
        <w:spacing w:after="0" w:line="240" w:lineRule="auto"/>
        <w:jc w:val="both"/>
        <w:rPr>
          <w:noProof/>
        </w:rPr>
      </w:pPr>
      <w:r>
        <w:rPr>
          <w:rFonts w:ascii="Times New Roman" w:hAnsi="Times New Roman"/>
          <w:noProof/>
          <w:color w:val="000000"/>
          <w:sz w:val="24"/>
        </w:rPr>
        <w:t>Factfinding-besøg i seks medlemsstater i 2017</w:t>
      </w:r>
      <w:r>
        <w:rPr>
          <w:rStyle w:val="FootnoteReference"/>
          <w:rFonts w:ascii="Times New Roman" w:hAnsi="Times New Roman"/>
          <w:noProof/>
          <w:color w:val="000000"/>
          <w:sz w:val="24"/>
        </w:rPr>
        <w:footnoteReference w:id="12"/>
      </w:r>
      <w:r>
        <w:rPr>
          <w:rFonts w:ascii="Times New Roman" w:hAnsi="Times New Roman"/>
          <w:noProof/>
          <w:color w:val="000000"/>
          <w:sz w:val="24"/>
        </w:rPr>
        <w:t xml:space="preserve"> med det specifikke formål at undersøge de generelle fremskridt med gennemførelsen af direktivet. Disse medlemsstater blev valgt med det formål at</w:t>
      </w:r>
      <w:r>
        <w:rPr>
          <w:rFonts w:ascii="Times New Roman" w:hAnsi="Times New Roman"/>
          <w:noProof/>
          <w:color w:val="000000"/>
          <w:sz w:val="24"/>
        </w:rPr>
        <w:t xml:space="preserve"> give et tværsnit af de forskellige medlemsstater, der dækker forskellige geografiske regioner. Ud over de individuelle rapporter fra rejserne offentliggøres de vigtigste resultater fra disse seks rejser i en oversigtsrapport senere på året, som vil indeho</w:t>
      </w:r>
      <w:r>
        <w:rPr>
          <w:rFonts w:ascii="Times New Roman" w:hAnsi="Times New Roman"/>
          <w:noProof/>
          <w:color w:val="000000"/>
          <w:sz w:val="24"/>
        </w:rPr>
        <w:t xml:space="preserve">lde en mere detaljeret analyse af resultaterne af ovennævnte spørgeskema, herunder eksempler på god praksis i gennemførelsen, som medlemsstaterne har identificeret. </w:t>
      </w:r>
    </w:p>
    <w:p w:rsidR="001D5370" w:rsidRDefault="001D5370">
      <w:pPr>
        <w:autoSpaceDE w:val="0"/>
        <w:autoSpaceDN w:val="0"/>
        <w:adjustRightInd w:val="0"/>
        <w:spacing w:after="0" w:line="240" w:lineRule="auto"/>
        <w:jc w:val="both"/>
        <w:rPr>
          <w:rFonts w:ascii="Times New Roman" w:eastAsia="Times New Roman" w:hAnsi="Times New Roman" w:cs="Times New Roman"/>
          <w:noProof/>
          <w:color w:val="000000"/>
          <w:sz w:val="24"/>
          <w:szCs w:val="24"/>
        </w:rPr>
      </w:pPr>
    </w:p>
    <w:p w:rsidR="001D5370" w:rsidRDefault="002C451F">
      <w:pPr>
        <w:pStyle w:val="FootnoteText"/>
        <w:jc w:val="both"/>
        <w:rPr>
          <w:noProof/>
          <w:sz w:val="24"/>
          <w:szCs w:val="24"/>
        </w:rPr>
      </w:pPr>
      <w:r>
        <w:rPr>
          <w:rFonts w:ascii="Times New Roman" w:hAnsi="Times New Roman"/>
          <w:noProof/>
          <w:color w:val="000000"/>
          <w:sz w:val="24"/>
        </w:rPr>
        <w:t>De nationale handlingsplaner, Kommissionens rapporter, herunder auditrapporter samt overs</w:t>
      </w:r>
      <w:r>
        <w:rPr>
          <w:rFonts w:ascii="Times New Roman" w:hAnsi="Times New Roman"/>
          <w:noProof/>
          <w:color w:val="000000"/>
          <w:sz w:val="24"/>
        </w:rPr>
        <w:t xml:space="preserve">igtsrapporter, findes på Kommissionens websted for bæredygtig anvendelse af pesticider på </w:t>
      </w:r>
      <w:hyperlink r:id="rId16">
        <w:r>
          <w:rPr>
            <w:rStyle w:val="Hyperlink"/>
            <w:rFonts w:ascii="Times New Roman" w:hAnsi="Times New Roman"/>
            <w:noProof/>
            <w:sz w:val="24"/>
          </w:rPr>
          <w:t>https://ec.europa.eu/food/plant/pesticides/sustainable_use_pesticides_en</w:t>
        </w:r>
      </w:hyperlink>
      <w:r>
        <w:rPr>
          <w:noProof/>
        </w:rPr>
        <w:t>.</w:t>
      </w:r>
    </w:p>
    <w:p w:rsidR="001D5370" w:rsidRDefault="002C451F">
      <w:pPr>
        <w:keepNext/>
        <w:numPr>
          <w:ilvl w:val="0"/>
          <w:numId w:val="1"/>
        </w:numPr>
        <w:spacing w:before="360" w:after="120" w:line="240" w:lineRule="auto"/>
        <w:jc w:val="both"/>
        <w:outlineLvl w:val="0"/>
        <w:rPr>
          <w:rFonts w:ascii="Times New Roman" w:eastAsia="Times New Roman" w:hAnsi="Times New Roman" w:cs="Times New Roman"/>
          <w:b/>
          <w:bCs/>
          <w:caps/>
          <w:smallCaps/>
          <w:noProof/>
          <w:sz w:val="24"/>
          <w:szCs w:val="24"/>
        </w:rPr>
      </w:pPr>
      <w:bookmarkStart w:id="3" w:name="_Toc427329152"/>
      <w:r>
        <w:rPr>
          <w:rFonts w:ascii="Times New Roman" w:hAnsi="Times New Roman"/>
          <w:b/>
          <w:caps/>
          <w:smallCaps/>
          <w:noProof/>
          <w:sz w:val="24"/>
        </w:rPr>
        <w:lastRenderedPageBreak/>
        <w:t xml:space="preserve">Nationale handlingsplaner </w:t>
      </w:r>
    </w:p>
    <w:p w:rsidR="001D5370" w:rsidRDefault="002C451F">
      <w:pPr>
        <w:autoSpaceDE w:val="0"/>
        <w:autoSpaceDN w:val="0"/>
        <w:adjustRightInd w:val="0"/>
        <w:spacing w:after="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I henhold til artikel 4 i direktivet skal medlemsstaterne vedtage første runde af de nationale handlingsplaner og forelægge disse for Kommissionen og andre medlemsstater senest den 26. november 2012. Disse planer bør revideres mi</w:t>
      </w:r>
      <w:r>
        <w:rPr>
          <w:rFonts w:ascii="Times New Roman" w:hAnsi="Times New Roman"/>
          <w:noProof/>
          <w:color w:val="000000"/>
          <w:sz w:val="24"/>
        </w:rPr>
        <w:t>ndst hvert femte år. De bør indeholde kvantitative målsætninger, mål, målinger og tidsplaner med henblik på at nedbringe risikoen og virkningen af anvendelse af pesticider for menneskers sundhed og miljøet. Alle medlemsstaterne har vedtaget sådanne planer</w:t>
      </w:r>
      <w:r>
        <w:rPr>
          <w:rStyle w:val="FootnoteReference"/>
          <w:rFonts w:ascii="Times New Roman" w:hAnsi="Times New Roman"/>
          <w:noProof/>
          <w:color w:val="000000"/>
          <w:sz w:val="24"/>
        </w:rPr>
        <w:footnoteReference w:id="13"/>
      </w:r>
      <w:r>
        <w:rPr>
          <w:rFonts w:ascii="Times New Roman" w:hAnsi="Times New Roman"/>
          <w:noProof/>
          <w:color w:val="000000"/>
          <w:sz w:val="24"/>
        </w:rPr>
        <w:t>, i mange tilfælde med betydelige forsinkelser. Planerne blev meddelt Kommissionen og foreligger på engelsk på Kommissionens websted</w:t>
      </w:r>
      <w:r>
        <w:rPr>
          <w:rFonts w:ascii="Times New Roman" w:hAnsi="Times New Roman"/>
          <w:noProof/>
          <w:color w:val="000000"/>
          <w:sz w:val="24"/>
          <w:vertAlign w:val="superscript"/>
        </w:rPr>
        <w:footnoteReference w:id="14"/>
      </w:r>
      <w:r>
        <w:rPr>
          <w:rFonts w:ascii="Times New Roman" w:hAnsi="Times New Roman"/>
          <w:noProof/>
          <w:color w:val="000000"/>
          <w:sz w:val="24"/>
        </w:rPr>
        <w:t>.</w:t>
      </w:r>
    </w:p>
    <w:p w:rsidR="001D5370" w:rsidRDefault="001D5370">
      <w:pPr>
        <w:autoSpaceDE w:val="0"/>
        <w:autoSpaceDN w:val="0"/>
        <w:adjustRightInd w:val="0"/>
        <w:spacing w:after="0" w:line="240" w:lineRule="auto"/>
        <w:jc w:val="both"/>
        <w:rPr>
          <w:rFonts w:ascii="Times New Roman" w:eastAsia="Times New Roman" w:hAnsi="Times New Roman" w:cs="Times New Roman"/>
          <w:noProof/>
          <w:color w:val="000000"/>
          <w:sz w:val="24"/>
          <w:szCs w:val="24"/>
        </w:rPr>
      </w:pPr>
    </w:p>
    <w:tbl>
      <w:tblPr>
        <w:tblStyle w:val="TableGrid"/>
        <w:tblW w:w="0" w:type="auto"/>
        <w:tblInd w:w="108"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4A0" w:firstRow="1" w:lastRow="0" w:firstColumn="1" w:lastColumn="0" w:noHBand="0" w:noVBand="1"/>
      </w:tblPr>
      <w:tblGrid>
        <w:gridCol w:w="9072"/>
      </w:tblGrid>
      <w:tr w:rsidR="001D5370">
        <w:tc>
          <w:tcPr>
            <w:tcW w:w="9072" w:type="dxa"/>
            <w:shd w:val="clear" w:color="auto" w:fill="C7C7C7" w:themeFill="background1" w:themeFillShade="D9"/>
          </w:tcPr>
          <w:p w:rsidR="001D5370" w:rsidRDefault="002C451F">
            <w:pPr>
              <w:autoSpaceDE w:val="0"/>
              <w:autoSpaceDN w:val="0"/>
              <w:adjustRightInd w:val="0"/>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De nationale handlingsplaner danner grundlag for medlemsstaternes kontrol med direktivet, men der er meget stor forskel </w:t>
            </w:r>
            <w:r>
              <w:rPr>
                <w:rFonts w:ascii="Times New Roman" w:hAnsi="Times New Roman"/>
                <w:noProof/>
                <w:color w:val="000000"/>
                <w:sz w:val="24"/>
              </w:rPr>
              <w:t>på deres fuldstændighed og dækning. Medlemsstaterne bør forbedre deres planer væsentligt for at tage hånd om nedenstående mangler og fastsætte mere præcise og målbare mål.</w:t>
            </w:r>
          </w:p>
        </w:tc>
      </w:tr>
    </w:tbl>
    <w:p w:rsidR="001D5370" w:rsidRDefault="001D5370">
      <w:pPr>
        <w:autoSpaceDE w:val="0"/>
        <w:autoSpaceDN w:val="0"/>
        <w:adjustRightInd w:val="0"/>
        <w:spacing w:after="0" w:line="240" w:lineRule="auto"/>
        <w:jc w:val="both"/>
        <w:rPr>
          <w:rFonts w:ascii="Times New Roman" w:eastAsia="Times New Roman" w:hAnsi="Times New Roman" w:cs="Times New Roman"/>
          <w:noProof/>
          <w:color w:val="000000"/>
          <w:sz w:val="24"/>
          <w:szCs w:val="24"/>
        </w:rPr>
      </w:pPr>
    </w:p>
    <w:p w:rsidR="001D5370" w:rsidRDefault="002C451F">
      <w:pPr>
        <w:autoSpaceDE w:val="0"/>
        <w:autoSpaceDN w:val="0"/>
        <w:adjustRightInd w:val="0"/>
        <w:spacing w:after="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Medlemsstaterne har forskellige udgangspunkter for udviklingen af ​​de nationale </w:t>
      </w:r>
      <w:r>
        <w:rPr>
          <w:rFonts w:ascii="Times New Roman" w:hAnsi="Times New Roman"/>
          <w:noProof/>
          <w:color w:val="000000"/>
          <w:sz w:val="24"/>
        </w:rPr>
        <w:t>handlingsplaner. Syv har tidligere udarbejdet handlingsplaner, mens det for alle andre var deres første plan. Indtil videre er det kun Frankrig og Litauen, som har udarbejdet en revideret national handlingsplan. Gennemførelsen af handlingsplanerne vil være</w:t>
      </w:r>
      <w:r>
        <w:rPr>
          <w:rFonts w:ascii="Times New Roman" w:hAnsi="Times New Roman"/>
          <w:noProof/>
          <w:color w:val="000000"/>
          <w:sz w:val="24"/>
        </w:rPr>
        <w:t xml:space="preserve"> klarere, når alle medlemsstaterne har gennemført disse anmeldelser og meddelt dem til Kommissionen.</w:t>
      </w:r>
    </w:p>
    <w:p w:rsidR="001D5370" w:rsidRDefault="001D5370">
      <w:pPr>
        <w:autoSpaceDE w:val="0"/>
        <w:autoSpaceDN w:val="0"/>
        <w:adjustRightInd w:val="0"/>
        <w:spacing w:after="0" w:line="240" w:lineRule="auto"/>
        <w:jc w:val="both"/>
        <w:rPr>
          <w:rFonts w:ascii="Times New Roman" w:eastAsia="Times New Roman" w:hAnsi="Times New Roman" w:cs="Times New Roman"/>
          <w:noProof/>
          <w:color w:val="000000"/>
          <w:sz w:val="24"/>
          <w:szCs w:val="24"/>
        </w:rPr>
      </w:pPr>
    </w:p>
    <w:p w:rsidR="001D5370" w:rsidRDefault="002C451F">
      <w:pPr>
        <w:autoSpaceDE w:val="0"/>
        <w:autoSpaceDN w:val="0"/>
        <w:adjustRightInd w:val="0"/>
        <w:spacing w:after="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De nationale handlingsplaner afspejler positivt medlemsstaternes bestræbelser med at udarbejde dem. Der er dog meget stor forskel på, hvor detaljeret de p</w:t>
      </w:r>
      <w:r>
        <w:rPr>
          <w:rFonts w:ascii="Times New Roman" w:hAnsi="Times New Roman"/>
          <w:noProof/>
          <w:color w:val="000000"/>
          <w:sz w:val="24"/>
        </w:rPr>
        <w:t>lanlægger at gennemføre foranstaltninger efter artikel 5-15 i direktivet. I de fleste tilfælde er det ikke alle aspekter af disse artikler som blev dækket. Planerne behandler visse områder meget omfattende, f.eks. test af pesticidudbringningsudstyr og udda</w:t>
      </w:r>
      <w:r>
        <w:rPr>
          <w:rFonts w:ascii="Times New Roman" w:hAnsi="Times New Roman"/>
          <w:noProof/>
          <w:color w:val="000000"/>
          <w:sz w:val="24"/>
        </w:rPr>
        <w:t>nnelse af pesticidbrugere, men mange giver få oplysninger på andre områder, f.eks. i forbindelse med flysprøjtning, oplysninger til offentligheden og indsamling af oplysninger om forgiftninger.</w:t>
      </w:r>
    </w:p>
    <w:p w:rsidR="001D5370" w:rsidRDefault="001D5370">
      <w:pPr>
        <w:autoSpaceDE w:val="0"/>
        <w:autoSpaceDN w:val="0"/>
        <w:adjustRightInd w:val="0"/>
        <w:spacing w:after="0" w:line="240" w:lineRule="auto"/>
        <w:jc w:val="both"/>
        <w:rPr>
          <w:rFonts w:ascii="Times New Roman" w:eastAsia="Times New Roman" w:hAnsi="Times New Roman" w:cs="Times New Roman"/>
          <w:noProof/>
          <w:color w:val="000000"/>
          <w:sz w:val="24"/>
          <w:szCs w:val="24"/>
        </w:rPr>
      </w:pPr>
    </w:p>
    <w:p w:rsidR="001D5370" w:rsidRDefault="002C451F">
      <w:pPr>
        <w:autoSpaceDE w:val="0"/>
        <w:autoSpaceDN w:val="0"/>
        <w:adjustRightInd w:val="0"/>
        <w:spacing w:after="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De nationale handlingsplaner er desuden inkonsekvente med hen</w:t>
      </w:r>
      <w:r>
        <w:rPr>
          <w:rFonts w:ascii="Times New Roman" w:hAnsi="Times New Roman"/>
          <w:noProof/>
          <w:color w:val="000000"/>
          <w:sz w:val="24"/>
        </w:rPr>
        <w:t>syn til at fastlægge kvantitative målsætninger, mål, målinger og tidsplaner for de forskellige indsatsområder. På nogle områder, f.eks. test af pesticidudbringningsudstyr, er planerne fremragende, og næsten alle indeholder specifikke mål for at opnå fuld o</w:t>
      </w:r>
      <w:r>
        <w:rPr>
          <w:rFonts w:ascii="Times New Roman" w:hAnsi="Times New Roman"/>
          <w:noProof/>
          <w:color w:val="000000"/>
          <w:sz w:val="24"/>
        </w:rPr>
        <w:t>verensstemmelse. På den anden side har de fleste medlemsstater ikke fastlagt mål og tidsplaner for foranstaltninger med hensyn til at beskytte miljøet mod pesticider.</w:t>
      </w:r>
    </w:p>
    <w:p w:rsidR="001D5370" w:rsidRDefault="001D5370">
      <w:pPr>
        <w:autoSpaceDE w:val="0"/>
        <w:autoSpaceDN w:val="0"/>
        <w:adjustRightInd w:val="0"/>
        <w:spacing w:after="0" w:line="240" w:lineRule="auto"/>
        <w:jc w:val="both"/>
        <w:rPr>
          <w:rFonts w:ascii="Times New Roman" w:eastAsia="Times New Roman" w:hAnsi="Times New Roman" w:cs="Times New Roman"/>
          <w:noProof/>
          <w:color w:val="000000"/>
          <w:sz w:val="24"/>
          <w:szCs w:val="24"/>
        </w:rPr>
      </w:pPr>
    </w:p>
    <w:p w:rsidR="001D5370" w:rsidRDefault="002C451F">
      <w:pPr>
        <w:autoSpaceDE w:val="0"/>
        <w:autoSpaceDN w:val="0"/>
        <w:adjustRightInd w:val="0"/>
        <w:spacing w:after="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Derudover angives det i omkring 80 % af handlingsplanerne ikke, hvordan det måles, om må</w:t>
      </w:r>
      <w:r>
        <w:rPr>
          <w:rFonts w:ascii="Times New Roman" w:hAnsi="Times New Roman"/>
          <w:noProof/>
          <w:color w:val="000000"/>
          <w:sz w:val="24"/>
        </w:rPr>
        <w:t>lsætninger eller mål er opfyldt. Manglen på klare, målbare mål gør det vanskeligt at vurdere fremskridtene med gennemførelsen og identificere områder, hvor der er behov for yderligere handlinger.</w:t>
      </w:r>
    </w:p>
    <w:p w:rsidR="001D5370" w:rsidRDefault="001D5370">
      <w:pPr>
        <w:autoSpaceDE w:val="0"/>
        <w:autoSpaceDN w:val="0"/>
        <w:adjustRightInd w:val="0"/>
        <w:spacing w:after="0" w:line="240" w:lineRule="auto"/>
        <w:jc w:val="both"/>
        <w:rPr>
          <w:rFonts w:ascii="Times New Roman" w:eastAsia="Times New Roman" w:hAnsi="Times New Roman" w:cs="Times New Roman"/>
          <w:noProof/>
          <w:color w:val="000000"/>
          <w:sz w:val="24"/>
          <w:szCs w:val="24"/>
        </w:rPr>
      </w:pPr>
    </w:p>
    <w:p w:rsidR="001D5370" w:rsidRDefault="002C451F">
      <w:pPr>
        <w:autoSpaceDE w:val="0"/>
        <w:autoSpaceDN w:val="0"/>
        <w:adjustRightInd w:val="0"/>
        <w:spacing w:after="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21 medlemsstater</w:t>
      </w:r>
      <w:r>
        <w:rPr>
          <w:rStyle w:val="FootnoteReference"/>
          <w:rFonts w:ascii="Times New Roman" w:hAnsi="Times New Roman"/>
          <w:noProof/>
          <w:color w:val="000000"/>
          <w:sz w:val="24"/>
        </w:rPr>
        <w:footnoteReference w:id="15"/>
      </w:r>
      <w:r>
        <w:rPr>
          <w:rFonts w:ascii="Times New Roman" w:hAnsi="Times New Roman"/>
          <w:noProof/>
          <w:color w:val="000000"/>
          <w:sz w:val="24"/>
        </w:rPr>
        <w:t xml:space="preserve"> rapporterede om mål for nedbringelse af r</w:t>
      </w:r>
      <w:r>
        <w:rPr>
          <w:rFonts w:ascii="Times New Roman" w:hAnsi="Times New Roman"/>
          <w:noProof/>
          <w:color w:val="000000"/>
          <w:sz w:val="24"/>
        </w:rPr>
        <w:t>isici, og ni</w:t>
      </w:r>
      <w:r>
        <w:rPr>
          <w:rStyle w:val="FootnoteReference"/>
          <w:rFonts w:ascii="Times New Roman" w:hAnsi="Times New Roman"/>
          <w:noProof/>
          <w:color w:val="000000"/>
          <w:sz w:val="24"/>
        </w:rPr>
        <w:footnoteReference w:id="16"/>
      </w:r>
      <w:r>
        <w:rPr>
          <w:rFonts w:ascii="Times New Roman" w:hAnsi="Times New Roman"/>
          <w:noProof/>
          <w:color w:val="000000"/>
          <w:sz w:val="24"/>
        </w:rPr>
        <w:t xml:space="preserve"> anvender reduktionsmål. Kun fem medlemsstater fastsætter målbare mål, hvoraf de fire</w:t>
      </w:r>
      <w:r>
        <w:rPr>
          <w:rStyle w:val="FootnoteReference"/>
          <w:rFonts w:ascii="Times New Roman" w:hAnsi="Times New Roman"/>
          <w:noProof/>
          <w:color w:val="000000"/>
          <w:sz w:val="24"/>
        </w:rPr>
        <w:footnoteReference w:id="17"/>
      </w:r>
      <w:r>
        <w:rPr>
          <w:rFonts w:ascii="Times New Roman" w:hAnsi="Times New Roman"/>
          <w:noProof/>
          <w:color w:val="000000"/>
          <w:sz w:val="24"/>
        </w:rPr>
        <w:t xml:space="preserve"> er rettet mod nedbringelse af risici, og én </w:t>
      </w:r>
      <w:r>
        <w:rPr>
          <w:rStyle w:val="FootnoteReference"/>
          <w:rFonts w:ascii="Times New Roman" w:hAnsi="Times New Roman"/>
          <w:noProof/>
          <w:color w:val="000000"/>
          <w:sz w:val="24"/>
        </w:rPr>
        <w:footnoteReference w:id="18"/>
      </w:r>
      <w:r>
        <w:rPr>
          <w:rFonts w:ascii="Times New Roman" w:hAnsi="Times New Roman"/>
          <w:noProof/>
          <w:color w:val="000000"/>
          <w:sz w:val="24"/>
        </w:rPr>
        <w:t xml:space="preserve"> mod nedbringelse af anvendelse. Det vigtigste mål med den franske nationale handlingsplan er at reducere anven</w:t>
      </w:r>
      <w:r>
        <w:rPr>
          <w:rFonts w:ascii="Times New Roman" w:hAnsi="Times New Roman"/>
          <w:noProof/>
          <w:color w:val="000000"/>
          <w:sz w:val="24"/>
        </w:rPr>
        <w:t>delse af pesticider med 50 % i 2025, med en indledende milepæl på 25 % i 2020, og dermed nedbringe risici og virkninger for menneskers sundhed og miljøet</w:t>
      </w:r>
      <w:r>
        <w:rPr>
          <w:rFonts w:ascii="Times New Roman" w:hAnsi="Times New Roman"/>
          <w:noProof/>
          <w:sz w:val="24"/>
        </w:rPr>
        <w:t>. Gode eksempler på mål for nedbringelse af risici kan findes i Tyskland, Nederlandene</w:t>
      </w:r>
      <w:r>
        <w:rPr>
          <w:rStyle w:val="FootnoteReference"/>
          <w:rFonts w:ascii="Times New Roman" w:hAnsi="Times New Roman"/>
          <w:noProof/>
          <w:sz w:val="24"/>
        </w:rPr>
        <w:footnoteReference w:id="19"/>
      </w:r>
      <w:r>
        <w:rPr>
          <w:rFonts w:ascii="Times New Roman" w:hAnsi="Times New Roman"/>
          <w:noProof/>
          <w:sz w:val="24"/>
        </w:rPr>
        <w:t>, Finland og Dan</w:t>
      </w:r>
      <w:r>
        <w:rPr>
          <w:rFonts w:ascii="Times New Roman" w:hAnsi="Times New Roman"/>
          <w:noProof/>
          <w:sz w:val="24"/>
        </w:rPr>
        <w:t>mark, som har udviklet indikatorer for nedbringelse af risici baseret på fareklasser for pesticider, hvor pesticider med høj risiko har en højere vægtning.</w:t>
      </w:r>
    </w:p>
    <w:p w:rsidR="001D5370" w:rsidRDefault="001D5370">
      <w:pPr>
        <w:autoSpaceDE w:val="0"/>
        <w:autoSpaceDN w:val="0"/>
        <w:adjustRightInd w:val="0"/>
        <w:spacing w:after="0" w:line="240" w:lineRule="auto"/>
        <w:jc w:val="both"/>
        <w:rPr>
          <w:rFonts w:ascii="Times New Roman" w:eastAsia="Times New Roman" w:hAnsi="Times New Roman" w:cs="Times New Roman"/>
          <w:noProof/>
          <w:color w:val="000000"/>
          <w:sz w:val="24"/>
          <w:szCs w:val="24"/>
        </w:rPr>
      </w:pPr>
    </w:p>
    <w:p w:rsidR="001D5370" w:rsidRDefault="002C451F">
      <w:pPr>
        <w:autoSpaceDE w:val="0"/>
        <w:autoSpaceDN w:val="0"/>
        <w:adjustRightInd w:val="0"/>
        <w:spacing w:after="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Alle de nationale handlingsplaner indeholder visse foranstaltninger om fremme af IPM, navnlig for a</w:t>
      </w:r>
      <w:r>
        <w:rPr>
          <w:rFonts w:ascii="Times New Roman" w:hAnsi="Times New Roman"/>
          <w:noProof/>
          <w:color w:val="000000"/>
          <w:sz w:val="24"/>
        </w:rPr>
        <w:t>t fremme tilgængeligheden af IPM-retningslinjer og tilbud om uddannelse eller demonstrationsgårde. Ikke desto mindre indeholder planerne ingen oplysninger om, hvordan landbrugernes anvendelse af IPM kan måles, og heller inden mål eller indikationer for, hv</w:t>
      </w:r>
      <w:r>
        <w:rPr>
          <w:rFonts w:ascii="Times New Roman" w:hAnsi="Times New Roman"/>
          <w:noProof/>
          <w:color w:val="000000"/>
          <w:sz w:val="24"/>
        </w:rPr>
        <w:t>ordan gennemførelsen sikres. IPM er et af direktivets hjørnesten, og gennemførelsen af IPM skal nedbringe afhængigheden af anvendelsen af pesticider i bæredygtigt landbrug, og dermed er manglen på klare trin, som kan vurderes, måles og håndhæves, et betyde</w:t>
      </w:r>
      <w:r>
        <w:rPr>
          <w:rFonts w:ascii="Times New Roman" w:hAnsi="Times New Roman"/>
          <w:noProof/>
          <w:color w:val="000000"/>
          <w:sz w:val="24"/>
        </w:rPr>
        <w:t>ligt område for forbedringer i den igangværende revision af de nationale handlingsplaner i medlemsstaterne.</w:t>
      </w:r>
    </w:p>
    <w:p w:rsidR="001D5370" w:rsidRDefault="002C451F">
      <w:pPr>
        <w:keepNext/>
        <w:numPr>
          <w:ilvl w:val="0"/>
          <w:numId w:val="1"/>
        </w:numPr>
        <w:spacing w:before="360" w:after="120" w:line="240" w:lineRule="auto"/>
        <w:jc w:val="both"/>
        <w:outlineLvl w:val="0"/>
        <w:rPr>
          <w:rFonts w:ascii="Times New Roman" w:eastAsia="Times New Roman" w:hAnsi="Times New Roman" w:cs="Times New Roman"/>
          <w:b/>
          <w:bCs/>
          <w:caps/>
          <w:smallCaps/>
          <w:noProof/>
          <w:sz w:val="24"/>
          <w:szCs w:val="24"/>
        </w:rPr>
      </w:pPr>
      <w:r>
        <w:rPr>
          <w:rFonts w:ascii="Times New Roman" w:hAnsi="Times New Roman"/>
          <w:b/>
          <w:caps/>
          <w:smallCaps/>
          <w:noProof/>
          <w:sz w:val="24"/>
        </w:rPr>
        <w:t>Direktivets gennemførelse</w:t>
      </w:r>
    </w:p>
    <w:p w:rsidR="001D5370" w:rsidRDefault="002C451F">
      <w:pPr>
        <w:keepNext/>
        <w:numPr>
          <w:ilvl w:val="1"/>
          <w:numId w:val="1"/>
        </w:numPr>
        <w:spacing w:before="360" w:after="120" w:line="240" w:lineRule="auto"/>
        <w:jc w:val="both"/>
        <w:outlineLvl w:val="0"/>
        <w:rPr>
          <w:rFonts w:ascii="Times New Roman" w:eastAsia="Times New Roman" w:hAnsi="Times New Roman" w:cs="Times New Roman"/>
          <w:bCs/>
          <w:caps/>
          <w:smallCaps/>
          <w:noProof/>
          <w:sz w:val="24"/>
          <w:szCs w:val="24"/>
        </w:rPr>
      </w:pPr>
      <w:r>
        <w:rPr>
          <w:rFonts w:ascii="Times New Roman" w:hAnsi="Times New Roman"/>
          <w:caps/>
          <w:smallCaps/>
          <w:noProof/>
          <w:sz w:val="24"/>
        </w:rPr>
        <w:t>Uddannelse og certificering</w:t>
      </w:r>
    </w:p>
    <w:p w:rsidR="001D5370" w:rsidRDefault="002C451F">
      <w:pPr>
        <w:autoSpaceDE w:val="0"/>
        <w:autoSpaceDN w:val="0"/>
        <w:adjustRightInd w:val="0"/>
        <w:spacing w:after="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I henhold til direktivets artikel 5 skal medlemsstaterne sørge for, at alle professionelle </w:t>
      </w:r>
      <w:r>
        <w:rPr>
          <w:rFonts w:ascii="Times New Roman" w:hAnsi="Times New Roman"/>
          <w:noProof/>
          <w:color w:val="000000"/>
          <w:sz w:val="24"/>
        </w:rPr>
        <w:t>brugere, distributører og rådgivere af pesticider har adgang til passende uddannelse. I henhold til artikel 6 skal medlemsstaterne sikre, at distributører har tilstrækkeligt mange ansatte, der besidder et certifikat som omhandlet i artikel 5. Medlemsstater</w:t>
      </w:r>
      <w:r>
        <w:rPr>
          <w:rFonts w:ascii="Times New Roman" w:hAnsi="Times New Roman"/>
          <w:noProof/>
          <w:color w:val="000000"/>
          <w:sz w:val="24"/>
        </w:rPr>
        <w:t xml:space="preserve">ne træffer de nødvendige foranstaltninger, således at salg af pesticider, der er godkendt til professionel brug, begrænses til personer, der besidder et certifikat som omhandlet i artikel 5. Endelig anføres det i artikel 6, at medlemsstaterne stiller krav </w:t>
      </w:r>
      <w:r>
        <w:rPr>
          <w:rFonts w:ascii="Times New Roman" w:hAnsi="Times New Roman"/>
          <w:noProof/>
          <w:color w:val="000000"/>
          <w:sz w:val="24"/>
        </w:rPr>
        <w:t>om, at distributører, der sælger pesticider til ikkeprofessionelle brugere, stiller generelle oplysninger til rådighed om risici for menneskers sundhed og miljøet ved anvendelse af pesticider.</w:t>
      </w:r>
    </w:p>
    <w:p w:rsidR="001D5370" w:rsidRDefault="001D5370">
      <w:pPr>
        <w:autoSpaceDE w:val="0"/>
        <w:autoSpaceDN w:val="0"/>
        <w:adjustRightInd w:val="0"/>
        <w:spacing w:after="0" w:line="240" w:lineRule="auto"/>
        <w:jc w:val="both"/>
        <w:rPr>
          <w:rFonts w:ascii="Times New Roman" w:eastAsia="Times New Roman" w:hAnsi="Times New Roman" w:cs="Times New Roman"/>
          <w:noProof/>
          <w:color w:val="000000"/>
          <w:sz w:val="24"/>
          <w:szCs w:val="24"/>
        </w:rPr>
      </w:pPr>
    </w:p>
    <w:tbl>
      <w:tblPr>
        <w:tblStyle w:val="TableGrid"/>
        <w:tblW w:w="0" w:type="auto"/>
        <w:tblInd w:w="108" w:type="dxa"/>
        <w:tblBorders>
          <w:top w:val="thinThickSmallGap" w:sz="12" w:space="0" w:color="auto"/>
          <w:left w:val="thinThickSmallGap" w:sz="12" w:space="0" w:color="auto"/>
          <w:bottom w:val="thickThinSmallGap" w:sz="12" w:space="0" w:color="auto"/>
          <w:right w:val="thickThinSmallGap" w:sz="12" w:space="0" w:color="auto"/>
          <w:insideH w:val="none" w:sz="0" w:space="0" w:color="auto"/>
          <w:insideV w:val="none" w:sz="0" w:space="0" w:color="auto"/>
        </w:tblBorders>
        <w:tblLook w:val="04A0" w:firstRow="1" w:lastRow="0" w:firstColumn="1" w:lastColumn="0" w:noHBand="0" w:noVBand="1"/>
      </w:tblPr>
      <w:tblGrid>
        <w:gridCol w:w="9072"/>
      </w:tblGrid>
      <w:tr w:rsidR="001D5370">
        <w:tc>
          <w:tcPr>
            <w:tcW w:w="9072" w:type="dxa"/>
            <w:shd w:val="clear" w:color="auto" w:fill="C7C7C7" w:themeFill="background1" w:themeFillShade="D9"/>
          </w:tcPr>
          <w:p w:rsidR="001D5370" w:rsidRDefault="002C451F">
            <w:pPr>
              <w:autoSpaceDE w:val="0"/>
              <w:autoSpaceDN w:val="0"/>
              <w:adjustRightInd w:val="0"/>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Der er generelt en høj grad af overholdelse inden for </w:t>
            </w:r>
            <w:r>
              <w:rPr>
                <w:rFonts w:ascii="Times New Roman" w:hAnsi="Times New Roman"/>
                <w:noProof/>
                <w:color w:val="000000"/>
                <w:sz w:val="24"/>
              </w:rPr>
              <w:t>uddannelse og certificering af professionelle brugere, distributører og rådgivere. Der foreligger dog ingen præcise data om det samlede antal professionelle operatører på dette område, og der er derfor ingen sikkerhed for, at alle er uddannede.</w:t>
            </w:r>
          </w:p>
        </w:tc>
      </w:tr>
    </w:tbl>
    <w:p w:rsidR="001D5370" w:rsidRDefault="001D5370">
      <w:pPr>
        <w:autoSpaceDE w:val="0"/>
        <w:autoSpaceDN w:val="0"/>
        <w:adjustRightInd w:val="0"/>
        <w:spacing w:after="0" w:line="240" w:lineRule="auto"/>
        <w:jc w:val="both"/>
        <w:rPr>
          <w:rFonts w:ascii="Times New Roman" w:eastAsia="Times New Roman" w:hAnsi="Times New Roman" w:cs="Times New Roman"/>
          <w:noProof/>
          <w:color w:val="000000"/>
          <w:sz w:val="24"/>
          <w:szCs w:val="24"/>
        </w:rPr>
      </w:pPr>
    </w:p>
    <w:p w:rsidR="001D5370" w:rsidRDefault="002C451F">
      <w:pPr>
        <w:autoSpaceDE w:val="0"/>
        <w:autoSpaceDN w:val="0"/>
        <w:adjustRightInd w:val="0"/>
        <w:spacing w:after="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26</w:t>
      </w:r>
      <w:r>
        <w:rPr>
          <w:rStyle w:val="FootnoteReference"/>
          <w:rFonts w:ascii="Times New Roman" w:hAnsi="Times New Roman"/>
          <w:noProof/>
          <w:color w:val="000000"/>
          <w:sz w:val="24"/>
        </w:rPr>
        <w:footnoteReference w:id="20"/>
      </w:r>
      <w:r>
        <w:rPr>
          <w:rFonts w:ascii="Times New Roman" w:hAnsi="Times New Roman"/>
          <w:noProof/>
          <w:color w:val="000000"/>
          <w:sz w:val="24"/>
        </w:rPr>
        <w:t xml:space="preserve"> natio</w:t>
      </w:r>
      <w:r>
        <w:rPr>
          <w:rFonts w:ascii="Times New Roman" w:hAnsi="Times New Roman"/>
          <w:noProof/>
          <w:color w:val="000000"/>
          <w:sz w:val="24"/>
        </w:rPr>
        <w:t>nale handlingsplaner omhandler uddannelse, men 11 af disse indeholder ikke tilstrækkelige oplysninger</w:t>
      </w:r>
      <w:r>
        <w:rPr>
          <w:rStyle w:val="FootnoteReference"/>
          <w:rFonts w:ascii="Times New Roman" w:hAnsi="Times New Roman"/>
          <w:noProof/>
          <w:color w:val="000000"/>
          <w:sz w:val="24"/>
        </w:rPr>
        <w:footnoteReference w:id="21"/>
      </w:r>
      <w:r>
        <w:rPr>
          <w:noProof/>
        </w:rPr>
        <w:t>.</w:t>
      </w:r>
    </w:p>
    <w:p w:rsidR="001D5370" w:rsidRDefault="001D5370">
      <w:pPr>
        <w:autoSpaceDE w:val="0"/>
        <w:autoSpaceDN w:val="0"/>
        <w:adjustRightInd w:val="0"/>
        <w:spacing w:after="0" w:line="240" w:lineRule="auto"/>
        <w:jc w:val="both"/>
        <w:rPr>
          <w:rFonts w:ascii="Times New Roman" w:eastAsia="Times New Roman" w:hAnsi="Times New Roman" w:cs="Times New Roman"/>
          <w:noProof/>
          <w:color w:val="000000"/>
          <w:sz w:val="24"/>
          <w:szCs w:val="24"/>
        </w:rPr>
      </w:pPr>
    </w:p>
    <w:p w:rsidR="001D5370" w:rsidRDefault="002C451F">
      <w:pPr>
        <w:autoSpaceDE w:val="0"/>
        <w:autoSpaceDN w:val="0"/>
        <w:adjustRightInd w:val="0"/>
        <w:spacing w:after="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Gennemførelsen af uddannelseskravet blev vurderet i løbet af Kommissionens audit i 19 medlemsstater i perioden 2012-2014 og i factfinding-besøg i seks </w:t>
      </w:r>
      <w:r>
        <w:rPr>
          <w:rFonts w:ascii="Times New Roman" w:hAnsi="Times New Roman"/>
          <w:noProof/>
          <w:color w:val="000000"/>
          <w:sz w:val="24"/>
        </w:rPr>
        <w:t>medlemsstater i 2017 (fem blev besøgt i begge tilfælde). I tre af de 20 besøgte medlemsstater var der indført uddannelsessystemer for landbrugere, inden direktivet blev vedtaget, og efter ikrafttrædelsen blev uddannelsen udvidet til andre grupper som f.eks</w:t>
      </w:r>
      <w:r>
        <w:rPr>
          <w:rFonts w:ascii="Times New Roman" w:hAnsi="Times New Roman"/>
          <w:noProof/>
          <w:color w:val="000000"/>
          <w:sz w:val="24"/>
        </w:rPr>
        <w:t xml:space="preserve">. distributører. </w:t>
      </w:r>
    </w:p>
    <w:p w:rsidR="001D5370" w:rsidRDefault="001D5370">
      <w:pPr>
        <w:autoSpaceDE w:val="0"/>
        <w:autoSpaceDN w:val="0"/>
        <w:adjustRightInd w:val="0"/>
        <w:spacing w:after="0" w:line="240" w:lineRule="auto"/>
        <w:jc w:val="both"/>
        <w:rPr>
          <w:rFonts w:ascii="Times New Roman" w:eastAsia="Times New Roman" w:hAnsi="Times New Roman" w:cs="Times New Roman"/>
          <w:noProof/>
          <w:color w:val="000000"/>
          <w:sz w:val="24"/>
          <w:szCs w:val="24"/>
        </w:rPr>
      </w:pPr>
    </w:p>
    <w:p w:rsidR="001D5370" w:rsidRDefault="002C451F">
      <w:pPr>
        <w:autoSpaceDE w:val="0"/>
        <w:autoSpaceDN w:val="0"/>
        <w:adjustRightInd w:val="0"/>
        <w:spacing w:after="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Alle medlemsstaterne (undtagen Luxembourg) havde etableret et uddannelses- og certificeringssystem inden fristen den 26. november 2013, og medlemsstaterne rapporterede som svar på spørgeskemaet fra 2016, at der var uddannet næsten fire m</w:t>
      </w:r>
      <w:r>
        <w:rPr>
          <w:rFonts w:ascii="Times New Roman" w:hAnsi="Times New Roman"/>
          <w:noProof/>
          <w:color w:val="000000"/>
          <w:sz w:val="24"/>
        </w:rPr>
        <w:t>illioner professionelle operatører. Der var forsinkelser i uddannelsen og certificeringen af operatører i seks medlemsstater</w:t>
      </w:r>
      <w:r>
        <w:rPr>
          <w:rStyle w:val="FootnoteReference"/>
          <w:rFonts w:ascii="Times New Roman" w:hAnsi="Times New Roman"/>
          <w:noProof/>
          <w:color w:val="000000"/>
          <w:sz w:val="24"/>
        </w:rPr>
        <w:footnoteReference w:id="22"/>
      </w:r>
      <w:r>
        <w:rPr>
          <w:rFonts w:ascii="Times New Roman" w:hAnsi="Times New Roman"/>
          <w:noProof/>
          <w:color w:val="000000"/>
          <w:sz w:val="24"/>
        </w:rPr>
        <w:t>. Derudover gav tre medlemsstater ingen oplysninger</w:t>
      </w:r>
      <w:r>
        <w:rPr>
          <w:rStyle w:val="FootnoteReference"/>
          <w:rFonts w:ascii="Times New Roman" w:hAnsi="Times New Roman"/>
          <w:noProof/>
          <w:color w:val="000000"/>
          <w:sz w:val="24"/>
        </w:rPr>
        <w:footnoteReference w:id="23"/>
      </w:r>
      <w:r>
        <w:rPr>
          <w:rFonts w:ascii="Times New Roman" w:hAnsi="Times New Roman"/>
          <w:noProof/>
          <w:color w:val="000000"/>
          <w:sz w:val="24"/>
        </w:rPr>
        <w:t>. Ifølge en landbrugsundersøgelse</w:t>
      </w:r>
      <w:r>
        <w:rPr>
          <w:rStyle w:val="FootnoteReference"/>
          <w:rFonts w:ascii="Times New Roman" w:hAnsi="Times New Roman"/>
          <w:noProof/>
          <w:color w:val="000000"/>
          <w:sz w:val="24"/>
        </w:rPr>
        <w:footnoteReference w:id="24"/>
      </w:r>
      <w:r>
        <w:rPr>
          <w:rFonts w:ascii="Times New Roman" w:hAnsi="Times New Roman"/>
          <w:noProof/>
          <w:color w:val="000000"/>
          <w:sz w:val="24"/>
        </w:rPr>
        <w:t xml:space="preserve"> findes der næsten 10 mio. bedrifter i Europa</w:t>
      </w:r>
      <w:r>
        <w:rPr>
          <w:rFonts w:ascii="Times New Roman" w:hAnsi="Times New Roman"/>
          <w:noProof/>
          <w:color w:val="000000"/>
          <w:sz w:val="24"/>
        </w:rPr>
        <w:t>, hvoraf kun 0,3 mio. er store operatører med bedrifter på 50 % af det samlede nyttige landbrugsareal. Uddannelsesforløbet tager typisk 2-4 dage, afhængigt af typen af operatør og tidligere viden, og uddannede operatører modtager et certifikat, som er påkr</w:t>
      </w:r>
      <w:r>
        <w:rPr>
          <w:rFonts w:ascii="Times New Roman" w:hAnsi="Times New Roman"/>
          <w:noProof/>
          <w:color w:val="000000"/>
          <w:sz w:val="24"/>
        </w:rPr>
        <w:t xml:space="preserve">ævet for at købe pesticider til professionel brug. </w:t>
      </w:r>
    </w:p>
    <w:p w:rsidR="001D5370" w:rsidRDefault="001D5370">
      <w:pPr>
        <w:autoSpaceDE w:val="0"/>
        <w:autoSpaceDN w:val="0"/>
        <w:adjustRightInd w:val="0"/>
        <w:spacing w:after="0" w:line="240" w:lineRule="auto"/>
        <w:jc w:val="both"/>
        <w:rPr>
          <w:rFonts w:ascii="Times New Roman" w:eastAsia="Times New Roman" w:hAnsi="Times New Roman" w:cs="Times New Roman"/>
          <w:noProof/>
          <w:color w:val="000000"/>
          <w:sz w:val="24"/>
          <w:szCs w:val="24"/>
        </w:rPr>
      </w:pPr>
    </w:p>
    <w:p w:rsidR="001D5370" w:rsidRDefault="002C451F">
      <w:pPr>
        <w:autoSpaceDE w:val="0"/>
        <w:autoSpaceDN w:val="0"/>
        <w:adjustRightInd w:val="0"/>
        <w:spacing w:after="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For de seks medlemsstater, som Kommissionen besøgte i 2017, indgår dette krav i de officielle kontroller af landbrug, som de kompetente myndigheder foretager, og overholdelsen lå på over 95 % i fem af de</w:t>
      </w:r>
      <w:r>
        <w:rPr>
          <w:rFonts w:ascii="Times New Roman" w:hAnsi="Times New Roman"/>
          <w:noProof/>
          <w:color w:val="000000"/>
          <w:sz w:val="24"/>
        </w:rPr>
        <w:t xml:space="preserve"> seks medlemsstater</w:t>
      </w:r>
      <w:r>
        <w:rPr>
          <w:rStyle w:val="FootnoteReference"/>
          <w:rFonts w:ascii="Times New Roman" w:hAnsi="Times New Roman"/>
          <w:noProof/>
          <w:color w:val="000000"/>
          <w:sz w:val="24"/>
        </w:rPr>
        <w:footnoteReference w:id="25"/>
      </w:r>
      <w:r>
        <w:rPr>
          <w:rFonts w:ascii="Times New Roman" w:hAnsi="Times New Roman"/>
          <w:noProof/>
          <w:color w:val="000000"/>
          <w:sz w:val="24"/>
        </w:rPr>
        <w:t>. Ud fra svarene på spørgeskemaet var et af de identificerede spørgsmål imidlertid, at certificeringssystemerne ikke dækker rådgivere for skadedyrsbekæmpelse i fem medlemsstater</w:t>
      </w:r>
      <w:r>
        <w:rPr>
          <w:rStyle w:val="FootnoteReference"/>
          <w:rFonts w:ascii="Times New Roman" w:hAnsi="Times New Roman"/>
          <w:noProof/>
          <w:color w:val="000000"/>
          <w:sz w:val="24"/>
        </w:rPr>
        <w:footnoteReference w:id="26"/>
      </w:r>
      <w:r>
        <w:rPr>
          <w:rFonts w:ascii="Times New Roman" w:hAnsi="Times New Roman"/>
          <w:noProof/>
          <w:color w:val="000000"/>
          <w:sz w:val="24"/>
        </w:rPr>
        <w:t>. Desuden har Nederlandene ikke krav om, at rådgivere, der</w:t>
      </w:r>
      <w:r>
        <w:rPr>
          <w:rFonts w:ascii="Times New Roman" w:hAnsi="Times New Roman"/>
          <w:noProof/>
          <w:color w:val="000000"/>
          <w:sz w:val="24"/>
        </w:rPr>
        <w:t xml:space="preserve"> ikke er direkte involveret i salg af pesticider, skal certificeres, men de planlægger at revidere den nationale lovgivning for at bringe den i overensstemmelse med direktivet. </w:t>
      </w:r>
    </w:p>
    <w:p w:rsidR="001D5370" w:rsidRDefault="001D5370">
      <w:pPr>
        <w:autoSpaceDE w:val="0"/>
        <w:autoSpaceDN w:val="0"/>
        <w:adjustRightInd w:val="0"/>
        <w:spacing w:after="0" w:line="240" w:lineRule="auto"/>
        <w:jc w:val="both"/>
        <w:rPr>
          <w:rFonts w:ascii="Times New Roman" w:eastAsia="Times New Roman" w:hAnsi="Times New Roman" w:cs="Times New Roman"/>
          <w:noProof/>
          <w:color w:val="000000"/>
          <w:sz w:val="24"/>
          <w:szCs w:val="24"/>
        </w:rPr>
      </w:pPr>
    </w:p>
    <w:p w:rsidR="001D5370" w:rsidRDefault="002C451F">
      <w:pPr>
        <w:autoSpaceDE w:val="0"/>
        <w:autoSpaceDN w:val="0"/>
        <w:adjustRightInd w:val="0"/>
        <w:spacing w:after="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Alle medlemsstater har indført restriktioner for salg af pesticider til ikkep</w:t>
      </w:r>
      <w:r>
        <w:rPr>
          <w:rFonts w:ascii="Times New Roman" w:hAnsi="Times New Roman"/>
          <w:noProof/>
          <w:color w:val="000000"/>
          <w:sz w:val="24"/>
        </w:rPr>
        <w:t>rofessionelle brugere som f.eks. haveejere. I nogle medlemsstater kan man f.eks. ikke frit købe pesticider til ikkeprofessionelle brugere, og de skal gemmes bag disken i butikslokaler.</w:t>
      </w:r>
    </w:p>
    <w:p w:rsidR="001D5370" w:rsidRDefault="001D5370">
      <w:pPr>
        <w:autoSpaceDE w:val="0"/>
        <w:autoSpaceDN w:val="0"/>
        <w:adjustRightInd w:val="0"/>
        <w:spacing w:after="0" w:line="240" w:lineRule="auto"/>
        <w:jc w:val="both"/>
        <w:rPr>
          <w:rFonts w:ascii="Times New Roman" w:eastAsia="Times New Roman" w:hAnsi="Times New Roman" w:cs="Times New Roman"/>
          <w:noProof/>
          <w:color w:val="000000"/>
          <w:sz w:val="24"/>
          <w:szCs w:val="24"/>
        </w:rPr>
      </w:pPr>
    </w:p>
    <w:p w:rsidR="001D5370" w:rsidRDefault="002C451F">
      <w:pPr>
        <w:autoSpaceDE w:val="0"/>
        <w:autoSpaceDN w:val="0"/>
        <w:adjustRightInd w:val="0"/>
        <w:spacing w:after="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Kommissionen har arrangeret 12 kurser i sikre fødevarer (Better Traini</w:t>
      </w:r>
      <w:r>
        <w:rPr>
          <w:rFonts w:ascii="Times New Roman" w:hAnsi="Times New Roman"/>
          <w:noProof/>
          <w:color w:val="000000"/>
          <w:sz w:val="24"/>
        </w:rPr>
        <w:t>ng for Safer Food (BTSF))</w:t>
      </w:r>
      <w:r>
        <w:rPr>
          <w:rFonts w:ascii="Times New Roman" w:hAnsi="Times New Roman"/>
          <w:noProof/>
          <w:color w:val="000000"/>
          <w:sz w:val="24"/>
          <w:vertAlign w:val="superscript"/>
        </w:rPr>
        <w:footnoteReference w:id="27"/>
      </w:r>
      <w:r>
        <w:rPr>
          <w:rFonts w:ascii="Times New Roman" w:hAnsi="Times New Roman"/>
          <w:noProof/>
          <w:color w:val="000000"/>
          <w:sz w:val="24"/>
        </w:rPr>
        <w:t xml:space="preserve"> i 2015 og 2016 for medlemsstaternes eksperter, som omfattede flere elementer i direktivet, herunder uddannelse af operatører. Kurset sigtede mod at give en ensartet og et højt niveau af forståelse for, hvordan man opnår gennemfør</w:t>
      </w:r>
      <w:r>
        <w:rPr>
          <w:rFonts w:ascii="Times New Roman" w:hAnsi="Times New Roman"/>
          <w:noProof/>
          <w:color w:val="000000"/>
          <w:sz w:val="24"/>
        </w:rPr>
        <w:t>else, og det gav mulighed for at udveksle god praksis.  Alle 28 medlemsstater deltog med omkring 338 medarbejdere.</w:t>
      </w:r>
    </w:p>
    <w:p w:rsidR="001D5370" w:rsidRDefault="002C451F">
      <w:pPr>
        <w:keepNext/>
        <w:numPr>
          <w:ilvl w:val="1"/>
          <w:numId w:val="1"/>
        </w:numPr>
        <w:spacing w:before="360" w:after="120" w:line="240" w:lineRule="auto"/>
        <w:jc w:val="both"/>
        <w:outlineLvl w:val="0"/>
        <w:rPr>
          <w:rFonts w:ascii="Times New Roman" w:eastAsia="Times New Roman" w:hAnsi="Times New Roman" w:cs="Times New Roman"/>
          <w:bCs/>
          <w:caps/>
          <w:smallCaps/>
          <w:noProof/>
          <w:sz w:val="24"/>
          <w:szCs w:val="24"/>
        </w:rPr>
      </w:pPr>
      <w:r>
        <w:rPr>
          <w:rFonts w:ascii="Times New Roman" w:hAnsi="Times New Roman"/>
          <w:caps/>
          <w:smallCaps/>
          <w:noProof/>
          <w:sz w:val="24"/>
        </w:rPr>
        <w:t>Pesticidforgiftning</w:t>
      </w:r>
    </w:p>
    <w:p w:rsidR="001D5370" w:rsidRDefault="002C451F">
      <w:pPr>
        <w:tabs>
          <w:tab w:val="left" w:pos="871"/>
        </w:tabs>
        <w:autoSpaceDE w:val="0"/>
        <w:autoSpaceDN w:val="0"/>
        <w:adjustRightInd w:val="0"/>
        <w:spacing w:after="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I henhold til artikel 7, stk. 2, i direktivet skal medlemsstaterne indføre ordninger for indsamling af oplysninger om </w:t>
      </w:r>
      <w:r>
        <w:rPr>
          <w:rFonts w:ascii="Times New Roman" w:hAnsi="Times New Roman"/>
          <w:noProof/>
          <w:color w:val="000000"/>
          <w:sz w:val="24"/>
        </w:rPr>
        <w:t>tilfælde af akut pesticidforgiftning samt, hvis det muligt, om kronisk pesticidforgiftning hos grupper, der kan blive eksponeret for pesticider med regelmæssige mellemrum såsom sprøjteførere, beskæftigede i landbruget eller personer, der bor tæt på områder</w:t>
      </w:r>
      <w:r>
        <w:rPr>
          <w:rFonts w:ascii="Times New Roman" w:hAnsi="Times New Roman"/>
          <w:noProof/>
          <w:color w:val="000000"/>
          <w:sz w:val="24"/>
        </w:rPr>
        <w:t>, hvor der anvendes pesticider.</w:t>
      </w:r>
    </w:p>
    <w:p w:rsidR="001D5370" w:rsidRDefault="001D5370">
      <w:pPr>
        <w:tabs>
          <w:tab w:val="left" w:pos="871"/>
        </w:tabs>
        <w:autoSpaceDE w:val="0"/>
        <w:autoSpaceDN w:val="0"/>
        <w:adjustRightInd w:val="0"/>
        <w:spacing w:after="0" w:line="240" w:lineRule="auto"/>
        <w:jc w:val="both"/>
        <w:rPr>
          <w:rFonts w:ascii="Times New Roman" w:eastAsia="Times New Roman" w:hAnsi="Times New Roman" w:cs="Times New Roman"/>
          <w:noProof/>
          <w:color w:val="000000"/>
          <w:sz w:val="24"/>
          <w:szCs w:val="24"/>
        </w:rPr>
      </w:pPr>
    </w:p>
    <w:tbl>
      <w:tblPr>
        <w:tblStyle w:val="TableGrid"/>
        <w:tblW w:w="0" w:type="auto"/>
        <w:tblInd w:w="108"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4A0" w:firstRow="1" w:lastRow="0" w:firstColumn="1" w:lastColumn="0" w:noHBand="0" w:noVBand="1"/>
      </w:tblPr>
      <w:tblGrid>
        <w:gridCol w:w="9072"/>
      </w:tblGrid>
      <w:tr w:rsidR="001D5370">
        <w:tc>
          <w:tcPr>
            <w:tcW w:w="9072" w:type="dxa"/>
            <w:shd w:val="clear" w:color="auto" w:fill="C7C7C7" w:themeFill="background1" w:themeFillShade="D9"/>
          </w:tcPr>
          <w:p w:rsidR="001D5370" w:rsidRDefault="002C451F">
            <w:pPr>
              <w:tabs>
                <w:tab w:val="left" w:pos="871"/>
              </w:tabs>
              <w:autoSpaceDE w:val="0"/>
              <w:autoSpaceDN w:val="0"/>
              <w:adjustRightInd w:val="0"/>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Selv om medlemsstaterne generelt har systemer til indsamling af oplysninger om akut pesticidforgiftning, blev der sat spørgsmålstegn ved nøjagtigheden af disse data. Der er ikke generelt gennemført systemer til indsamling a</w:t>
            </w:r>
            <w:r>
              <w:rPr>
                <w:rFonts w:ascii="Times New Roman" w:hAnsi="Times New Roman"/>
                <w:noProof/>
                <w:color w:val="000000"/>
                <w:sz w:val="24"/>
              </w:rPr>
              <w:t>f sådanne oplysninger om kronisk forgiftning.</w:t>
            </w:r>
          </w:p>
        </w:tc>
      </w:tr>
    </w:tbl>
    <w:p w:rsidR="001D5370" w:rsidRDefault="001D5370">
      <w:pPr>
        <w:tabs>
          <w:tab w:val="left" w:pos="871"/>
        </w:tabs>
        <w:autoSpaceDE w:val="0"/>
        <w:autoSpaceDN w:val="0"/>
        <w:adjustRightInd w:val="0"/>
        <w:spacing w:after="0" w:line="240" w:lineRule="auto"/>
        <w:jc w:val="both"/>
        <w:rPr>
          <w:rFonts w:ascii="Times New Roman" w:eastAsia="Times New Roman" w:hAnsi="Times New Roman" w:cs="Times New Roman"/>
          <w:noProof/>
          <w:color w:val="000000"/>
          <w:sz w:val="24"/>
          <w:szCs w:val="24"/>
        </w:rPr>
      </w:pPr>
    </w:p>
    <w:p w:rsidR="001D5370" w:rsidRDefault="002C451F">
      <w:pPr>
        <w:tabs>
          <w:tab w:val="left" w:pos="871"/>
        </w:tabs>
        <w:autoSpaceDE w:val="0"/>
        <w:autoSpaceDN w:val="0"/>
        <w:adjustRightInd w:val="0"/>
        <w:spacing w:after="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18 nationale handlingsplaner beskriver systemer til indsamling af oplysninger om tilfælde af akut pesticidforgiftning i deres medlemsstat, men kun fire omhandler spørgsmålet om at indsamle data om kronisk for</w:t>
      </w:r>
      <w:r>
        <w:rPr>
          <w:rFonts w:ascii="Times New Roman" w:hAnsi="Times New Roman"/>
          <w:noProof/>
          <w:color w:val="000000"/>
          <w:sz w:val="24"/>
        </w:rPr>
        <w:t>giftning. De resterende planer indeholder ikke specifikke oplysninger på dette område.</w:t>
      </w:r>
    </w:p>
    <w:p w:rsidR="001D5370" w:rsidRDefault="001D5370">
      <w:pPr>
        <w:tabs>
          <w:tab w:val="left" w:pos="871"/>
        </w:tabs>
        <w:autoSpaceDE w:val="0"/>
        <w:autoSpaceDN w:val="0"/>
        <w:adjustRightInd w:val="0"/>
        <w:spacing w:after="0" w:line="240" w:lineRule="auto"/>
        <w:jc w:val="both"/>
        <w:rPr>
          <w:rFonts w:ascii="Times New Roman" w:eastAsia="Times New Roman" w:hAnsi="Times New Roman" w:cs="Times New Roman"/>
          <w:noProof/>
          <w:color w:val="000000"/>
          <w:sz w:val="24"/>
          <w:szCs w:val="24"/>
        </w:rPr>
      </w:pPr>
    </w:p>
    <w:p w:rsidR="001D5370" w:rsidRDefault="002C451F">
      <w:pPr>
        <w:tabs>
          <w:tab w:val="left" w:pos="871"/>
        </w:tabs>
        <w:autoSpaceDE w:val="0"/>
        <w:autoSpaceDN w:val="0"/>
        <w:adjustRightInd w:val="0"/>
        <w:spacing w:after="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Dette emne blev ikke behandlet i løbet af Kommissionens audit i de 19 medlemsstater i perioden 2012-2014, og de tilgængelige oplysninger kommer fra 2016-spørgeskemaet t</w:t>
      </w:r>
      <w:r>
        <w:rPr>
          <w:rFonts w:ascii="Times New Roman" w:hAnsi="Times New Roman"/>
          <w:noProof/>
          <w:color w:val="000000"/>
          <w:sz w:val="24"/>
        </w:rPr>
        <w:t>il medlemsstaterne og factfinding-besøgene i seks medlemsstater i 2017.</w:t>
      </w:r>
    </w:p>
    <w:p w:rsidR="001D5370" w:rsidRDefault="001D5370">
      <w:pPr>
        <w:tabs>
          <w:tab w:val="left" w:pos="871"/>
        </w:tabs>
        <w:autoSpaceDE w:val="0"/>
        <w:autoSpaceDN w:val="0"/>
        <w:adjustRightInd w:val="0"/>
        <w:spacing w:after="0" w:line="240" w:lineRule="auto"/>
        <w:jc w:val="both"/>
        <w:rPr>
          <w:rFonts w:ascii="Times New Roman" w:eastAsia="Times New Roman" w:hAnsi="Times New Roman" w:cs="Times New Roman"/>
          <w:noProof/>
          <w:color w:val="000000"/>
          <w:sz w:val="24"/>
          <w:szCs w:val="24"/>
        </w:rPr>
      </w:pPr>
    </w:p>
    <w:p w:rsidR="001D5370" w:rsidRDefault="002C451F">
      <w:pPr>
        <w:tabs>
          <w:tab w:val="left" w:pos="871"/>
        </w:tabs>
        <w:autoSpaceDE w:val="0"/>
        <w:autoSpaceDN w:val="0"/>
        <w:adjustRightInd w:val="0"/>
        <w:spacing w:after="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Baseret på besvarelserne af 2016-spørgeskemaet indsamler alle medlemsstater på nær fem specifikke oplysninger om tilfælde af akut pesticidforgiftning. Antallet af anmeldte tilfælde af</w:t>
      </w:r>
      <w:r>
        <w:rPr>
          <w:rFonts w:ascii="Times New Roman" w:hAnsi="Times New Roman"/>
          <w:noProof/>
          <w:color w:val="000000"/>
          <w:sz w:val="24"/>
        </w:rPr>
        <w:t xml:space="preserve"> akut forgiftning med pesticider varierer betydeligt mellem medlemsstaterne, og myndighederne rejste tvivl om nøjagtigheden af dataene. I Sverige henviser de registrerede data f.eks. til antallet af forespørgsler og ikke antallet af tilfælde af forgiftning</w:t>
      </w:r>
      <w:r>
        <w:rPr>
          <w:rFonts w:ascii="Times New Roman" w:hAnsi="Times New Roman"/>
          <w:noProof/>
          <w:color w:val="000000"/>
          <w:sz w:val="24"/>
        </w:rPr>
        <w:t>. 10 medlemsstater</w:t>
      </w:r>
      <w:r>
        <w:rPr>
          <w:rStyle w:val="FootnoteReference"/>
          <w:rFonts w:ascii="Times New Roman" w:hAnsi="Times New Roman"/>
          <w:noProof/>
          <w:color w:val="000000"/>
          <w:sz w:val="24"/>
        </w:rPr>
        <w:footnoteReference w:id="28"/>
      </w:r>
      <w:r>
        <w:rPr>
          <w:rFonts w:ascii="Times New Roman" w:hAnsi="Times New Roman"/>
          <w:noProof/>
          <w:color w:val="000000"/>
          <w:sz w:val="24"/>
        </w:rPr>
        <w:t xml:space="preserve"> har et system til indsamling af data om kronisk forgiftning. I de resterende 17 medlemsstater overvåges kronisk forgiftning ikke systematisk. Medlemsstaterne understregede, at det navnlig er en udfordring at indsamle oplysninger om udvi</w:t>
      </w:r>
      <w:r>
        <w:rPr>
          <w:rFonts w:ascii="Times New Roman" w:hAnsi="Times New Roman"/>
          <w:noProof/>
          <w:color w:val="000000"/>
          <w:sz w:val="24"/>
        </w:rPr>
        <w:t>klingen inden for kronisk forgiftning, da det er meget vanskeligt at knytte kliniske symptomer til eksponering for pesticider, som kan have fundet sted mange år tidligere.</w:t>
      </w:r>
    </w:p>
    <w:p w:rsidR="001D5370" w:rsidRDefault="001D5370">
      <w:pPr>
        <w:tabs>
          <w:tab w:val="left" w:pos="871"/>
        </w:tabs>
        <w:autoSpaceDE w:val="0"/>
        <w:autoSpaceDN w:val="0"/>
        <w:adjustRightInd w:val="0"/>
        <w:spacing w:after="0" w:line="240" w:lineRule="auto"/>
        <w:jc w:val="both"/>
        <w:rPr>
          <w:rFonts w:ascii="Times New Roman" w:eastAsia="Times New Roman" w:hAnsi="Times New Roman" w:cs="Times New Roman"/>
          <w:noProof/>
          <w:color w:val="000000"/>
          <w:sz w:val="24"/>
          <w:szCs w:val="24"/>
        </w:rPr>
      </w:pPr>
    </w:p>
    <w:p w:rsidR="001D5370" w:rsidRDefault="002C451F">
      <w:pPr>
        <w:tabs>
          <w:tab w:val="left" w:pos="871"/>
        </w:tabs>
        <w:autoSpaceDE w:val="0"/>
        <w:autoSpaceDN w:val="0"/>
        <w:adjustRightInd w:val="0"/>
        <w:spacing w:after="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For at gøre oplysningerne lettere sammenlignelige kræves det i direktivets artikel </w:t>
      </w:r>
      <w:r>
        <w:rPr>
          <w:rFonts w:ascii="Times New Roman" w:hAnsi="Times New Roman"/>
          <w:noProof/>
          <w:color w:val="000000"/>
          <w:sz w:val="24"/>
        </w:rPr>
        <w:t>7, stk. 3, at Kommissionen i samarbejde med medlemsstaterne udvikler et strategisk vejledningsdokument om overvågning af og tilsyn med pesticidanvendelsens virkninger på menneskers sundhed og miljøet. Kommissionen har planer om at færdiggøre denne vejledni</w:t>
      </w:r>
      <w:r>
        <w:rPr>
          <w:rFonts w:ascii="Times New Roman" w:hAnsi="Times New Roman"/>
          <w:noProof/>
          <w:color w:val="000000"/>
          <w:sz w:val="24"/>
        </w:rPr>
        <w:t>ng ved udgangen af 2017. Endvidere vil der blive taget hensyn til etablering af systemer til indsamling af oplysninger om mistanke om forgiftning fra pesticider efter artikel 24, stk. 4, litra b), i forordning (EU) nr. 2017/625.</w:t>
      </w:r>
    </w:p>
    <w:p w:rsidR="001D5370" w:rsidRDefault="002C451F">
      <w:pPr>
        <w:keepNext/>
        <w:numPr>
          <w:ilvl w:val="1"/>
          <w:numId w:val="1"/>
        </w:numPr>
        <w:spacing w:before="360" w:after="120" w:line="240" w:lineRule="auto"/>
        <w:jc w:val="both"/>
        <w:outlineLvl w:val="0"/>
        <w:rPr>
          <w:rFonts w:ascii="Times New Roman" w:eastAsia="Times New Roman" w:hAnsi="Times New Roman" w:cs="Times New Roman"/>
          <w:bCs/>
          <w:caps/>
          <w:smallCaps/>
          <w:noProof/>
          <w:sz w:val="24"/>
          <w:szCs w:val="24"/>
        </w:rPr>
      </w:pPr>
      <w:r>
        <w:rPr>
          <w:rFonts w:ascii="Times New Roman" w:hAnsi="Times New Roman"/>
          <w:caps/>
          <w:smallCaps/>
          <w:noProof/>
          <w:sz w:val="24"/>
        </w:rPr>
        <w:t>Pesticidudbringningsudstyr</w:t>
      </w:r>
    </w:p>
    <w:p w:rsidR="001D5370" w:rsidRDefault="002C451F">
      <w:pPr>
        <w:tabs>
          <w:tab w:val="left" w:pos="871"/>
        </w:tabs>
        <w:autoSpaceDE w:val="0"/>
        <w:autoSpaceDN w:val="0"/>
        <w:adjustRightInd w:val="0"/>
        <w:spacing w:after="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I henhold til artikel 8 skal medlemsstaterne sørge for, at pesticidudbringningsudstyr, dvs. mark- og frugtplantagesprøjter, inspiceres med jævne mellemrum, og at alt det udstyr, som er i brug, er blevet testet mindst én gang inden den 26. november 2016. De</w:t>
      </w:r>
      <w:r>
        <w:rPr>
          <w:rFonts w:ascii="Times New Roman" w:hAnsi="Times New Roman"/>
          <w:noProof/>
          <w:color w:val="000000"/>
          <w:sz w:val="24"/>
        </w:rPr>
        <w:t xml:space="preserve"> skal endvidere etablere et certifikatsystem, der gør det muligt at verificere inspektionerne.</w:t>
      </w:r>
    </w:p>
    <w:p w:rsidR="001D5370" w:rsidRDefault="001D5370">
      <w:pPr>
        <w:tabs>
          <w:tab w:val="left" w:pos="871"/>
        </w:tabs>
        <w:autoSpaceDE w:val="0"/>
        <w:autoSpaceDN w:val="0"/>
        <w:adjustRightInd w:val="0"/>
        <w:spacing w:after="0" w:line="240" w:lineRule="auto"/>
        <w:jc w:val="both"/>
        <w:rPr>
          <w:rFonts w:ascii="Times New Roman" w:eastAsia="Times New Roman" w:hAnsi="Times New Roman" w:cs="Times New Roman"/>
          <w:noProof/>
          <w:color w:val="000000"/>
          <w:sz w:val="24"/>
          <w:szCs w:val="24"/>
        </w:rPr>
      </w:pPr>
    </w:p>
    <w:tbl>
      <w:tblPr>
        <w:tblStyle w:val="TableGrid"/>
        <w:tblW w:w="0" w:type="auto"/>
        <w:tblInd w:w="108"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4A0" w:firstRow="1" w:lastRow="0" w:firstColumn="1" w:lastColumn="0" w:noHBand="0" w:noVBand="1"/>
      </w:tblPr>
      <w:tblGrid>
        <w:gridCol w:w="9072"/>
      </w:tblGrid>
      <w:tr w:rsidR="001D5370">
        <w:tc>
          <w:tcPr>
            <w:tcW w:w="9072" w:type="dxa"/>
            <w:shd w:val="clear" w:color="auto" w:fill="C7C7C7" w:themeFill="background1" w:themeFillShade="D9"/>
          </w:tcPr>
          <w:p w:rsidR="001D5370" w:rsidRDefault="002C451F">
            <w:pPr>
              <w:tabs>
                <w:tab w:val="left" w:pos="871"/>
              </w:tabs>
              <w:autoSpaceDE w:val="0"/>
              <w:autoSpaceDN w:val="0"/>
              <w:adjustRightInd w:val="0"/>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Medlemsstaterne havde generelt etableret systemer som krævet, men der tegner sig et ufuldstændigt billede med hensyn til den samlede overholdelse, som varierer </w:t>
            </w:r>
            <w:r>
              <w:rPr>
                <w:rFonts w:ascii="Times New Roman" w:hAnsi="Times New Roman"/>
                <w:noProof/>
                <w:color w:val="000000"/>
                <w:sz w:val="24"/>
              </w:rPr>
              <w:t>meget mellem medlemsstaterne. Kommissionen vurderer i øjeblikket udviklingen i situationen siden november 2016.</w:t>
            </w:r>
          </w:p>
        </w:tc>
      </w:tr>
    </w:tbl>
    <w:p w:rsidR="001D5370" w:rsidRDefault="001D5370">
      <w:pPr>
        <w:tabs>
          <w:tab w:val="left" w:pos="871"/>
        </w:tabs>
        <w:autoSpaceDE w:val="0"/>
        <w:autoSpaceDN w:val="0"/>
        <w:adjustRightInd w:val="0"/>
        <w:spacing w:after="0" w:line="240" w:lineRule="auto"/>
        <w:jc w:val="both"/>
        <w:rPr>
          <w:rFonts w:ascii="Times New Roman" w:eastAsia="Times New Roman" w:hAnsi="Times New Roman" w:cs="Times New Roman"/>
          <w:noProof/>
          <w:color w:val="000000"/>
          <w:sz w:val="24"/>
          <w:szCs w:val="24"/>
        </w:rPr>
      </w:pPr>
    </w:p>
    <w:p w:rsidR="001D5370" w:rsidRDefault="002C451F">
      <w:pPr>
        <w:tabs>
          <w:tab w:val="left" w:pos="871"/>
        </w:tabs>
        <w:autoSpaceDE w:val="0"/>
        <w:autoSpaceDN w:val="0"/>
        <w:adjustRightInd w:val="0"/>
        <w:spacing w:after="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26</w:t>
      </w:r>
      <w:r>
        <w:rPr>
          <w:rStyle w:val="FootnoteReference"/>
          <w:rFonts w:ascii="Times New Roman" w:hAnsi="Times New Roman"/>
          <w:noProof/>
          <w:color w:val="000000"/>
          <w:sz w:val="24"/>
        </w:rPr>
        <w:footnoteReference w:id="29"/>
      </w:r>
      <w:r>
        <w:rPr>
          <w:rFonts w:ascii="Times New Roman" w:hAnsi="Times New Roman"/>
          <w:noProof/>
          <w:color w:val="000000"/>
          <w:sz w:val="24"/>
        </w:rPr>
        <w:t xml:space="preserve"> nationale handlingsplaner havde et mål om at sikre, at pesticidudbringningsudstyr ville blive testet som krævet i direktivet. 15 planer ti</w:t>
      </w:r>
      <w:r>
        <w:rPr>
          <w:rFonts w:ascii="Times New Roman" w:hAnsi="Times New Roman"/>
          <w:noProof/>
          <w:color w:val="000000"/>
          <w:sz w:val="24"/>
        </w:rPr>
        <w:t>lkendegav, at der allerede inden vedtagelsen af direktivet var en sprøjtetestordning af en eller anden type i drift.</w:t>
      </w:r>
    </w:p>
    <w:p w:rsidR="001D5370" w:rsidRDefault="001D5370">
      <w:pPr>
        <w:tabs>
          <w:tab w:val="left" w:pos="871"/>
        </w:tabs>
        <w:autoSpaceDE w:val="0"/>
        <w:autoSpaceDN w:val="0"/>
        <w:adjustRightInd w:val="0"/>
        <w:spacing w:after="0" w:line="240" w:lineRule="auto"/>
        <w:jc w:val="both"/>
        <w:rPr>
          <w:rFonts w:ascii="Times New Roman" w:eastAsia="Times New Roman" w:hAnsi="Times New Roman" w:cs="Times New Roman"/>
          <w:noProof/>
          <w:color w:val="000000"/>
          <w:sz w:val="24"/>
          <w:szCs w:val="24"/>
        </w:rPr>
      </w:pPr>
    </w:p>
    <w:p w:rsidR="001D5370" w:rsidRDefault="002C451F">
      <w:pPr>
        <w:tabs>
          <w:tab w:val="left" w:pos="871"/>
        </w:tabs>
        <w:autoSpaceDE w:val="0"/>
        <w:autoSpaceDN w:val="0"/>
        <w:adjustRightInd w:val="0"/>
        <w:spacing w:after="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For at hjælpe medlemsstaterne på dette område som omhandlet i artikel 20 i direktivet blev der i 2015 offentliggjort en ny harmoniseret st</w:t>
      </w:r>
      <w:r>
        <w:rPr>
          <w:rFonts w:ascii="Times New Roman" w:hAnsi="Times New Roman"/>
          <w:noProof/>
          <w:color w:val="000000"/>
          <w:sz w:val="24"/>
        </w:rPr>
        <w:t>andard for pesticidudbringningsudstyr, EN ISO 16122</w:t>
      </w:r>
      <w:r>
        <w:rPr>
          <w:rFonts w:ascii="Times New Roman" w:hAnsi="Times New Roman"/>
          <w:noProof/>
          <w:color w:val="000000"/>
          <w:sz w:val="24"/>
          <w:vertAlign w:val="superscript"/>
        </w:rPr>
        <w:footnoteReference w:id="30"/>
      </w:r>
      <w:hyperlink r:id="rId17"/>
      <w:r>
        <w:rPr>
          <w:rFonts w:ascii="Times New Roman" w:hAnsi="Times New Roman"/>
          <w:noProof/>
          <w:color w:val="000000"/>
          <w:sz w:val="24"/>
        </w:rPr>
        <w:t>. Denne standard omfatter horisontale bomsprøjter, busk-/træsprøjter og faste og semimobile sprøjter. Den præciserer de vigtigste sundheds- og si</w:t>
      </w:r>
      <w:r>
        <w:rPr>
          <w:rFonts w:ascii="Times New Roman" w:hAnsi="Times New Roman"/>
          <w:noProof/>
          <w:color w:val="000000"/>
          <w:sz w:val="24"/>
        </w:rPr>
        <w:t xml:space="preserve">kkerhedsmæssige krav, som skal undersøges i inspektionen. Denne harmoniserede standard bør lette medlemsstaternes arbejde med at anerkende de certifikater, som tildeles i andre medlemsstater som krævet i direktivets artikel 8, stk. 6. </w:t>
      </w:r>
    </w:p>
    <w:p w:rsidR="001D5370" w:rsidRDefault="001D5370">
      <w:pPr>
        <w:tabs>
          <w:tab w:val="left" w:pos="871"/>
        </w:tabs>
        <w:autoSpaceDE w:val="0"/>
        <w:autoSpaceDN w:val="0"/>
        <w:adjustRightInd w:val="0"/>
        <w:spacing w:after="0" w:line="240" w:lineRule="auto"/>
        <w:jc w:val="both"/>
        <w:rPr>
          <w:rFonts w:ascii="Times New Roman" w:eastAsia="Times New Roman" w:hAnsi="Times New Roman" w:cs="Times New Roman"/>
          <w:noProof/>
          <w:color w:val="000000"/>
          <w:sz w:val="24"/>
          <w:szCs w:val="24"/>
        </w:rPr>
      </w:pPr>
    </w:p>
    <w:p w:rsidR="001D5370" w:rsidRDefault="002C451F">
      <w:pPr>
        <w:tabs>
          <w:tab w:val="left" w:pos="871"/>
        </w:tabs>
        <w:autoSpaceDE w:val="0"/>
        <w:autoSpaceDN w:val="0"/>
        <w:adjustRightInd w:val="0"/>
        <w:spacing w:after="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2016-spørgeskemaet </w:t>
      </w:r>
      <w:r>
        <w:rPr>
          <w:rFonts w:ascii="Times New Roman" w:hAnsi="Times New Roman"/>
          <w:noProof/>
          <w:color w:val="000000"/>
          <w:sz w:val="24"/>
        </w:rPr>
        <w:t xml:space="preserve">viser, at 26 medlemsstater havde etableret inspektionssystemer, og ca. 900 000 sprøjter var blevet inspiceret inden fristen den 26. november 2006. Kun Malta og Cypern havde endnu ikke påbegyndt disse inspektioner. Medlemsstaterne har ingen pålidelige data </w:t>
      </w:r>
      <w:r>
        <w:rPr>
          <w:rFonts w:ascii="Times New Roman" w:hAnsi="Times New Roman"/>
          <w:noProof/>
          <w:color w:val="000000"/>
          <w:sz w:val="24"/>
        </w:rPr>
        <w:t>om antallet af sprøjter, som er i brug, men baseret på deres egne skøn var op til 50 % af alle sprøjter i EU ikke blevet testet inden fristen, og over 95 % af det skønnede antal sprøjter var ikke testet inden fristen i Letland og Grækenland og 70 % i Itali</w:t>
      </w:r>
      <w:r>
        <w:rPr>
          <w:rFonts w:ascii="Times New Roman" w:hAnsi="Times New Roman"/>
          <w:noProof/>
          <w:color w:val="000000"/>
          <w:sz w:val="24"/>
        </w:rPr>
        <w:t>en.  Belgien, Nederlandene og Finland rapporterede om test af tæt på 100 %.</w:t>
      </w:r>
    </w:p>
    <w:p w:rsidR="001D5370" w:rsidRDefault="001D5370">
      <w:pPr>
        <w:tabs>
          <w:tab w:val="left" w:pos="871"/>
        </w:tabs>
        <w:autoSpaceDE w:val="0"/>
        <w:autoSpaceDN w:val="0"/>
        <w:adjustRightInd w:val="0"/>
        <w:spacing w:after="0" w:line="240" w:lineRule="auto"/>
        <w:jc w:val="both"/>
        <w:rPr>
          <w:rFonts w:ascii="Times New Roman" w:eastAsia="Times New Roman" w:hAnsi="Times New Roman" w:cs="Times New Roman"/>
          <w:noProof/>
          <w:color w:val="000000"/>
          <w:sz w:val="24"/>
          <w:szCs w:val="24"/>
        </w:rPr>
      </w:pPr>
    </w:p>
    <w:p w:rsidR="001D5370" w:rsidRDefault="002C451F">
      <w:pPr>
        <w:tabs>
          <w:tab w:val="left" w:pos="871"/>
        </w:tabs>
        <w:autoSpaceDE w:val="0"/>
        <w:autoSpaceDN w:val="0"/>
        <w:adjustRightInd w:val="0"/>
        <w:spacing w:after="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Kommissionen afholdt seks kurser om sikre fødevarer (Better Training for Safer Food (BTSF)) i 2015 og 2016 om pesticidudbringningsudstyr med 102 inspektører fra 25 medlemsstater, </w:t>
      </w:r>
      <w:r>
        <w:rPr>
          <w:rFonts w:ascii="Times New Roman" w:hAnsi="Times New Roman"/>
          <w:noProof/>
          <w:color w:val="000000"/>
          <w:sz w:val="24"/>
        </w:rPr>
        <w:t>og der vil blive afholdt yderligere seks kurser i 2017 og 2018. Dette vil hjælpe med at tage hånd om ovennævnte svagheder og dermed fremme mere ensartet testning i medlemsstaterne.</w:t>
      </w:r>
    </w:p>
    <w:p w:rsidR="001D5370" w:rsidRDefault="002C451F">
      <w:pPr>
        <w:keepNext/>
        <w:numPr>
          <w:ilvl w:val="1"/>
          <w:numId w:val="1"/>
        </w:numPr>
        <w:spacing w:before="360" w:after="120" w:line="240" w:lineRule="auto"/>
        <w:jc w:val="both"/>
        <w:outlineLvl w:val="0"/>
        <w:rPr>
          <w:rFonts w:ascii="Times New Roman" w:eastAsia="Times New Roman" w:hAnsi="Times New Roman" w:cs="Times New Roman"/>
          <w:bCs/>
          <w:caps/>
          <w:smallCaps/>
          <w:noProof/>
          <w:sz w:val="24"/>
          <w:szCs w:val="24"/>
        </w:rPr>
      </w:pPr>
      <w:r>
        <w:rPr>
          <w:rFonts w:ascii="Times New Roman" w:hAnsi="Times New Roman"/>
          <w:caps/>
          <w:smallCaps/>
          <w:noProof/>
          <w:sz w:val="24"/>
        </w:rPr>
        <w:t>Flysprøjtning</w:t>
      </w:r>
    </w:p>
    <w:p w:rsidR="001D5370" w:rsidRDefault="002C451F">
      <w:pPr>
        <w:tabs>
          <w:tab w:val="left" w:pos="871"/>
        </w:tabs>
        <w:autoSpaceDE w:val="0"/>
        <w:autoSpaceDN w:val="0"/>
        <w:adjustRightInd w:val="0"/>
        <w:spacing w:after="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Direktivets artikel 9 forbyder flysprøjtning af pesticider un</w:t>
      </w:r>
      <w:r>
        <w:rPr>
          <w:rFonts w:ascii="Times New Roman" w:hAnsi="Times New Roman"/>
          <w:noProof/>
          <w:color w:val="000000"/>
          <w:sz w:val="24"/>
        </w:rPr>
        <w:t>dtagen under undtagelsesbestemmelserne.</w:t>
      </w:r>
    </w:p>
    <w:p w:rsidR="001D5370" w:rsidRDefault="001D5370">
      <w:pPr>
        <w:tabs>
          <w:tab w:val="left" w:pos="871"/>
        </w:tabs>
        <w:autoSpaceDE w:val="0"/>
        <w:autoSpaceDN w:val="0"/>
        <w:adjustRightInd w:val="0"/>
        <w:spacing w:after="0" w:line="240" w:lineRule="auto"/>
        <w:jc w:val="both"/>
        <w:rPr>
          <w:rFonts w:ascii="Times New Roman" w:eastAsia="Times New Roman" w:hAnsi="Times New Roman" w:cs="Times New Roman"/>
          <w:noProof/>
          <w:color w:val="000000"/>
          <w:sz w:val="24"/>
          <w:szCs w:val="24"/>
        </w:rPr>
      </w:pPr>
    </w:p>
    <w:tbl>
      <w:tblPr>
        <w:tblStyle w:val="TableGrid"/>
        <w:tblW w:w="0" w:type="auto"/>
        <w:tblInd w:w="108"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4A0" w:firstRow="1" w:lastRow="0" w:firstColumn="1" w:lastColumn="0" w:noHBand="0" w:noVBand="1"/>
      </w:tblPr>
      <w:tblGrid>
        <w:gridCol w:w="9072"/>
      </w:tblGrid>
      <w:tr w:rsidR="001D5370">
        <w:tc>
          <w:tcPr>
            <w:tcW w:w="9072" w:type="dxa"/>
            <w:shd w:val="clear" w:color="auto" w:fill="C7C7C7" w:themeFill="background1" w:themeFillShade="D9"/>
          </w:tcPr>
          <w:p w:rsidR="001D5370" w:rsidRDefault="002C451F">
            <w:pPr>
              <w:tabs>
                <w:tab w:val="left" w:pos="871"/>
              </w:tabs>
              <w:autoSpaceDE w:val="0"/>
              <w:autoSpaceDN w:val="0"/>
              <w:adjustRightInd w:val="0"/>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Flysprøjtning er forbudt, og undtagelser indrømmes kun på strenge betingelser. Det sprøjtede område er begrænset, faldende og kontrolleres effektivt.</w:t>
            </w:r>
          </w:p>
        </w:tc>
      </w:tr>
    </w:tbl>
    <w:p w:rsidR="001D5370" w:rsidRDefault="002C451F">
      <w:pPr>
        <w:tabs>
          <w:tab w:val="left" w:pos="871"/>
        </w:tabs>
        <w:autoSpaceDE w:val="0"/>
        <w:autoSpaceDN w:val="0"/>
        <w:adjustRightInd w:val="0"/>
        <w:spacing w:after="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 </w:t>
      </w:r>
    </w:p>
    <w:p w:rsidR="001D5370" w:rsidRDefault="002C451F">
      <w:pPr>
        <w:tabs>
          <w:tab w:val="left" w:pos="871"/>
        </w:tabs>
        <w:autoSpaceDE w:val="0"/>
        <w:autoSpaceDN w:val="0"/>
        <w:adjustRightInd w:val="0"/>
        <w:spacing w:after="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Alle medlemsstaterne har forbudt flysprøjtning i den nationale</w:t>
      </w:r>
      <w:r>
        <w:rPr>
          <w:rFonts w:ascii="Times New Roman" w:hAnsi="Times New Roman"/>
          <w:noProof/>
          <w:color w:val="000000"/>
          <w:sz w:val="24"/>
        </w:rPr>
        <w:t xml:space="preserve"> lovgivning, også selv om det ikke udtrykkeligt fremgår af deres nationale handlingsplan. Selv om det er retligt muligt at indrømme undtagelser i 21 medlemsstater</w:t>
      </w:r>
      <w:r>
        <w:rPr>
          <w:rStyle w:val="FootnoteReference"/>
          <w:rFonts w:ascii="Times New Roman" w:hAnsi="Times New Roman"/>
          <w:noProof/>
          <w:color w:val="000000"/>
          <w:sz w:val="24"/>
        </w:rPr>
        <w:footnoteReference w:id="31"/>
      </w:r>
      <w:r>
        <w:rPr>
          <w:rFonts w:ascii="Times New Roman" w:hAnsi="Times New Roman"/>
          <w:noProof/>
          <w:color w:val="000000"/>
          <w:sz w:val="24"/>
        </w:rPr>
        <w:t>, var det i 2014 og 2015 kun 14 medlemsstater, som rent faktisk indrømmede sådanne undtagelse</w:t>
      </w:r>
      <w:r>
        <w:rPr>
          <w:rFonts w:ascii="Times New Roman" w:hAnsi="Times New Roman"/>
          <w:noProof/>
          <w:color w:val="000000"/>
          <w:sz w:val="24"/>
        </w:rPr>
        <w:t>r</w:t>
      </w:r>
      <w:r>
        <w:rPr>
          <w:rStyle w:val="FootnoteReference"/>
          <w:rFonts w:ascii="Times New Roman" w:hAnsi="Times New Roman"/>
          <w:noProof/>
          <w:color w:val="000000"/>
          <w:sz w:val="24"/>
        </w:rPr>
        <w:footnoteReference w:id="32"/>
      </w:r>
      <w:r>
        <w:rPr>
          <w:rFonts w:ascii="Times New Roman" w:hAnsi="Times New Roman"/>
          <w:noProof/>
          <w:color w:val="000000"/>
          <w:sz w:val="24"/>
        </w:rPr>
        <w:t>. Under disse undtagelser blev der anvendt pesticider på 1,1 mio. hektar, hvoraf 70 % var landbrugsjord og 30 % skov, som dækker ca. 0,2 % og 0,1 % af de samlede respektive områder.</w:t>
      </w:r>
    </w:p>
    <w:p w:rsidR="001D5370" w:rsidRDefault="001D5370">
      <w:pPr>
        <w:tabs>
          <w:tab w:val="left" w:pos="871"/>
        </w:tabs>
        <w:autoSpaceDE w:val="0"/>
        <w:autoSpaceDN w:val="0"/>
        <w:adjustRightInd w:val="0"/>
        <w:spacing w:after="0" w:line="240" w:lineRule="auto"/>
        <w:jc w:val="both"/>
        <w:rPr>
          <w:rFonts w:ascii="Times New Roman" w:eastAsia="Times New Roman" w:hAnsi="Times New Roman" w:cs="Times New Roman"/>
          <w:noProof/>
          <w:color w:val="000000"/>
          <w:sz w:val="24"/>
          <w:szCs w:val="24"/>
        </w:rPr>
      </w:pPr>
    </w:p>
    <w:p w:rsidR="001D5370" w:rsidRDefault="002C451F">
      <w:pPr>
        <w:tabs>
          <w:tab w:val="left" w:pos="871"/>
        </w:tabs>
        <w:autoSpaceDE w:val="0"/>
        <w:autoSpaceDN w:val="0"/>
        <w:adjustRightInd w:val="0"/>
        <w:spacing w:after="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I 2015 stod blot to lande for næsten 95 % af al flysprøjtning: Spanien </w:t>
      </w:r>
      <w:r>
        <w:rPr>
          <w:rFonts w:ascii="Times New Roman" w:hAnsi="Times New Roman"/>
          <w:noProof/>
          <w:color w:val="000000"/>
          <w:sz w:val="24"/>
        </w:rPr>
        <w:t>med 339 000 hektar og Ungarn med 88 000 hektar, svarende til henholdsvis 0,7 % og 0,9 % af disse to medlemsstaters overfladeareal.</w:t>
      </w:r>
    </w:p>
    <w:p w:rsidR="001D5370" w:rsidRDefault="001D5370">
      <w:pPr>
        <w:tabs>
          <w:tab w:val="left" w:pos="871"/>
        </w:tabs>
        <w:autoSpaceDE w:val="0"/>
        <w:autoSpaceDN w:val="0"/>
        <w:adjustRightInd w:val="0"/>
        <w:spacing w:after="0" w:line="240" w:lineRule="auto"/>
        <w:jc w:val="both"/>
        <w:rPr>
          <w:rFonts w:ascii="Times New Roman" w:eastAsia="Times New Roman" w:hAnsi="Times New Roman" w:cs="Times New Roman"/>
          <w:noProof/>
          <w:color w:val="000000"/>
          <w:sz w:val="24"/>
          <w:szCs w:val="24"/>
        </w:rPr>
      </w:pPr>
    </w:p>
    <w:p w:rsidR="001D5370" w:rsidRDefault="002C451F">
      <w:pPr>
        <w:tabs>
          <w:tab w:val="left" w:pos="871"/>
        </w:tabs>
        <w:autoSpaceDE w:val="0"/>
        <w:autoSpaceDN w:val="0"/>
        <w:adjustRightInd w:val="0"/>
        <w:spacing w:after="0" w:line="240" w:lineRule="auto"/>
        <w:jc w:val="center"/>
        <w:rPr>
          <w:rFonts w:ascii="Times New Roman" w:eastAsia="Times New Roman" w:hAnsi="Times New Roman" w:cs="Times New Roman"/>
          <w:noProof/>
          <w:color w:val="000000"/>
          <w:sz w:val="24"/>
          <w:szCs w:val="24"/>
        </w:rPr>
      </w:pPr>
      <w:r>
        <w:rPr>
          <w:noProof/>
          <w:lang w:val="en-GB" w:eastAsia="en-GB" w:bidi="ar-SA"/>
        </w:rPr>
        <w:drawing>
          <wp:inline distT="0" distB="0" distL="0" distR="0">
            <wp:extent cx="5760720" cy="177434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60720" cy="1774349"/>
                    </a:xfrm>
                    <a:prstGeom prst="rect">
                      <a:avLst/>
                    </a:prstGeom>
                    <a:noFill/>
                    <a:ln>
                      <a:noFill/>
                    </a:ln>
                  </pic:spPr>
                </pic:pic>
              </a:graphicData>
            </a:graphic>
          </wp:inline>
        </w:drawing>
      </w:r>
    </w:p>
    <w:p w:rsidR="001D5370" w:rsidRDefault="001D5370">
      <w:pPr>
        <w:tabs>
          <w:tab w:val="left" w:pos="871"/>
        </w:tabs>
        <w:autoSpaceDE w:val="0"/>
        <w:autoSpaceDN w:val="0"/>
        <w:adjustRightInd w:val="0"/>
        <w:spacing w:after="0" w:line="240" w:lineRule="auto"/>
        <w:jc w:val="both"/>
        <w:rPr>
          <w:rFonts w:ascii="Times New Roman" w:eastAsia="Times New Roman" w:hAnsi="Times New Roman" w:cs="Times New Roman"/>
          <w:noProof/>
          <w:color w:val="000000"/>
          <w:sz w:val="24"/>
          <w:szCs w:val="24"/>
        </w:rPr>
      </w:pPr>
    </w:p>
    <w:p w:rsidR="001D5370" w:rsidRDefault="002C451F">
      <w:pPr>
        <w:tabs>
          <w:tab w:val="left" w:pos="871"/>
        </w:tabs>
        <w:autoSpaceDE w:val="0"/>
        <w:autoSpaceDN w:val="0"/>
        <w:adjustRightInd w:val="0"/>
        <w:spacing w:after="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Figur 1: Reduktion af anvendelse af pesticider med flysprøjtning i to medlemsstater</w:t>
      </w:r>
    </w:p>
    <w:p w:rsidR="001D5370" w:rsidRDefault="001D5370">
      <w:pPr>
        <w:tabs>
          <w:tab w:val="left" w:pos="871"/>
        </w:tabs>
        <w:autoSpaceDE w:val="0"/>
        <w:autoSpaceDN w:val="0"/>
        <w:adjustRightInd w:val="0"/>
        <w:spacing w:after="0" w:line="240" w:lineRule="auto"/>
        <w:jc w:val="both"/>
        <w:rPr>
          <w:rFonts w:ascii="Times New Roman" w:eastAsia="Times New Roman" w:hAnsi="Times New Roman" w:cs="Times New Roman"/>
          <w:noProof/>
          <w:color w:val="000000"/>
          <w:sz w:val="24"/>
          <w:szCs w:val="24"/>
        </w:rPr>
      </w:pPr>
    </w:p>
    <w:p w:rsidR="001D5370" w:rsidRDefault="002C451F">
      <w:pPr>
        <w:tabs>
          <w:tab w:val="left" w:pos="871"/>
        </w:tabs>
        <w:autoSpaceDE w:val="0"/>
        <w:autoSpaceDN w:val="0"/>
        <w:adjustRightInd w:val="0"/>
        <w:spacing w:after="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Kommissionen har undersøgt dette emn</w:t>
      </w:r>
      <w:r>
        <w:rPr>
          <w:rFonts w:ascii="Times New Roman" w:hAnsi="Times New Roman"/>
          <w:noProof/>
          <w:color w:val="000000"/>
          <w:sz w:val="24"/>
        </w:rPr>
        <w:t>e i audit i 11 medlemsstater i 2015-2016 og i factfinding-besøg i seks medlemsstater i 2017. I alle de tilfælde, hvor der blev indrømmet undtagelser, blev flysprøjtning udført på strenge betingelser for undtagelser som angivet i direktivet. Endelig er de o</w:t>
      </w:r>
      <w:r>
        <w:rPr>
          <w:rFonts w:ascii="Times New Roman" w:hAnsi="Times New Roman"/>
          <w:noProof/>
          <w:color w:val="000000"/>
          <w:sz w:val="24"/>
        </w:rPr>
        <w:t>mråder, som er blevet behandlet under undtagelsesbestemmelserne, faldet betydeligt i de seneste år, som det fremgår af ovenstående grafer.</w:t>
      </w:r>
    </w:p>
    <w:p w:rsidR="001D5370" w:rsidRDefault="001D5370">
      <w:pPr>
        <w:tabs>
          <w:tab w:val="left" w:pos="871"/>
        </w:tabs>
        <w:autoSpaceDE w:val="0"/>
        <w:autoSpaceDN w:val="0"/>
        <w:adjustRightInd w:val="0"/>
        <w:spacing w:after="0" w:line="240" w:lineRule="auto"/>
        <w:jc w:val="both"/>
        <w:rPr>
          <w:rFonts w:ascii="Times New Roman" w:eastAsia="Times New Roman" w:hAnsi="Times New Roman" w:cs="Times New Roman"/>
          <w:noProof/>
          <w:color w:val="000000"/>
          <w:sz w:val="24"/>
          <w:szCs w:val="24"/>
        </w:rPr>
      </w:pPr>
    </w:p>
    <w:p w:rsidR="001D5370" w:rsidRDefault="002C451F">
      <w:pPr>
        <w:tabs>
          <w:tab w:val="left" w:pos="871"/>
        </w:tabs>
        <w:autoSpaceDE w:val="0"/>
        <w:autoSpaceDN w:val="0"/>
        <w:adjustRightInd w:val="0"/>
        <w:spacing w:after="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Kommissionen vil ikke desto mindre fortsætte med at vurdere, hvordan medlemsstaterne vurderer undtagelsesanmodninger</w:t>
      </w:r>
      <w:r>
        <w:rPr>
          <w:rFonts w:ascii="Times New Roman" w:hAnsi="Times New Roman"/>
          <w:noProof/>
          <w:color w:val="000000"/>
          <w:sz w:val="24"/>
        </w:rPr>
        <w:t>, herunder gennem audit, for at sikre, at de strenge betingelser for disse undtagelser overholdes og kontrolleres på korrekt vis.</w:t>
      </w:r>
    </w:p>
    <w:p w:rsidR="001D5370" w:rsidRDefault="002C451F">
      <w:pPr>
        <w:keepNext/>
        <w:numPr>
          <w:ilvl w:val="1"/>
          <w:numId w:val="1"/>
        </w:numPr>
        <w:spacing w:before="360" w:after="120" w:line="240" w:lineRule="auto"/>
        <w:jc w:val="both"/>
        <w:outlineLvl w:val="0"/>
        <w:rPr>
          <w:rFonts w:ascii="Times New Roman" w:eastAsia="Times New Roman" w:hAnsi="Times New Roman" w:cs="Times New Roman"/>
          <w:bCs/>
          <w:caps/>
          <w:smallCaps/>
          <w:noProof/>
          <w:sz w:val="24"/>
          <w:szCs w:val="24"/>
        </w:rPr>
      </w:pPr>
      <w:r>
        <w:rPr>
          <w:rFonts w:ascii="Times New Roman" w:hAnsi="Times New Roman"/>
          <w:caps/>
          <w:smallCaps/>
          <w:noProof/>
          <w:sz w:val="24"/>
        </w:rPr>
        <w:t>Oplysning og bevidstgørelse</w:t>
      </w:r>
    </w:p>
    <w:p w:rsidR="001D5370" w:rsidRDefault="002C451F">
      <w:pPr>
        <w:tabs>
          <w:tab w:val="left" w:pos="871"/>
        </w:tabs>
        <w:autoSpaceDE w:val="0"/>
        <w:autoSpaceDN w:val="0"/>
        <w:adjustRightInd w:val="0"/>
        <w:spacing w:after="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I henhold til direktivets artikel 7, stk. 1, skal medlemsstaterne træffe foranstaltninger til oply</w:t>
      </w:r>
      <w:r>
        <w:rPr>
          <w:rFonts w:ascii="Times New Roman" w:hAnsi="Times New Roman"/>
          <w:noProof/>
          <w:color w:val="000000"/>
          <w:sz w:val="24"/>
        </w:rPr>
        <w:t>sning af den brede offentlighed og fremme oplysnings- og bevidstgørelsesprogrammer samt lette offentlighedens adgang til nøjagtig information om pesticider. I henhold til artikel 10 kan medlemsstaterne i deres nationale handlingsplaner medtage bestemmelser</w:t>
      </w:r>
      <w:r>
        <w:rPr>
          <w:rFonts w:ascii="Times New Roman" w:hAnsi="Times New Roman"/>
          <w:noProof/>
          <w:color w:val="000000"/>
          <w:sz w:val="24"/>
        </w:rPr>
        <w:t xml:space="preserve"> om information til personer, der kan blive eksponeret for aerosolspredning.</w:t>
      </w:r>
    </w:p>
    <w:p w:rsidR="001D5370" w:rsidRDefault="001D5370">
      <w:pPr>
        <w:tabs>
          <w:tab w:val="left" w:pos="871"/>
        </w:tabs>
        <w:autoSpaceDE w:val="0"/>
        <w:autoSpaceDN w:val="0"/>
        <w:adjustRightInd w:val="0"/>
        <w:spacing w:after="0" w:line="240" w:lineRule="auto"/>
        <w:jc w:val="both"/>
        <w:rPr>
          <w:rFonts w:ascii="Times New Roman" w:eastAsia="Times New Roman" w:hAnsi="Times New Roman" w:cs="Times New Roman"/>
          <w:noProof/>
          <w:color w:val="000000"/>
          <w:sz w:val="24"/>
          <w:szCs w:val="24"/>
        </w:rPr>
      </w:pPr>
    </w:p>
    <w:tbl>
      <w:tblPr>
        <w:tblStyle w:val="TableGrid"/>
        <w:tblW w:w="0" w:type="auto"/>
        <w:tblInd w:w="108"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4A0" w:firstRow="1" w:lastRow="0" w:firstColumn="1" w:lastColumn="0" w:noHBand="0" w:noVBand="1"/>
      </w:tblPr>
      <w:tblGrid>
        <w:gridCol w:w="9072"/>
      </w:tblGrid>
      <w:tr w:rsidR="001D5370">
        <w:tc>
          <w:tcPr>
            <w:tcW w:w="9072" w:type="dxa"/>
            <w:shd w:val="clear" w:color="auto" w:fill="C7C7C7" w:themeFill="background1" w:themeFillShade="D9"/>
          </w:tcPr>
          <w:p w:rsidR="001D5370" w:rsidRDefault="002C451F">
            <w:pPr>
              <w:tabs>
                <w:tab w:val="left" w:pos="871"/>
              </w:tabs>
              <w:autoSpaceDE w:val="0"/>
              <w:autoSpaceDN w:val="0"/>
              <w:adjustRightInd w:val="0"/>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Denne bestemmelse bruges i omfattende grad i nogle medlemsstater og i nogle områder, men der er fortsat mulighed for at udbrede god praksis og sikre, at denne praksis anvendes me</w:t>
            </w:r>
            <w:r>
              <w:rPr>
                <w:rFonts w:ascii="Times New Roman" w:hAnsi="Times New Roman"/>
                <w:noProof/>
                <w:color w:val="000000"/>
                <w:sz w:val="24"/>
              </w:rPr>
              <w:t>re bredt til information af offentligheden og interessenter.</w:t>
            </w:r>
          </w:p>
        </w:tc>
      </w:tr>
    </w:tbl>
    <w:p w:rsidR="001D5370" w:rsidRDefault="001D5370">
      <w:pPr>
        <w:tabs>
          <w:tab w:val="left" w:pos="871"/>
        </w:tabs>
        <w:autoSpaceDE w:val="0"/>
        <w:autoSpaceDN w:val="0"/>
        <w:adjustRightInd w:val="0"/>
        <w:spacing w:after="0" w:line="240" w:lineRule="auto"/>
        <w:jc w:val="both"/>
        <w:rPr>
          <w:rFonts w:ascii="Times New Roman" w:eastAsia="Times New Roman" w:hAnsi="Times New Roman" w:cs="Times New Roman"/>
          <w:noProof/>
          <w:color w:val="000000"/>
          <w:sz w:val="24"/>
          <w:szCs w:val="24"/>
        </w:rPr>
      </w:pPr>
    </w:p>
    <w:p w:rsidR="001D5370" w:rsidRDefault="002C451F">
      <w:pPr>
        <w:tabs>
          <w:tab w:val="left" w:pos="871"/>
        </w:tabs>
        <w:autoSpaceDE w:val="0"/>
        <w:autoSpaceDN w:val="0"/>
        <w:adjustRightInd w:val="0"/>
        <w:spacing w:after="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Alle nationale handlingsplaner omfatter planlagte foranstaltninger til information af offentligheden. Kun Rumænien og Spanien har fastsat specifikke mål på dette område.</w:t>
      </w:r>
    </w:p>
    <w:p w:rsidR="001D5370" w:rsidRDefault="001D5370">
      <w:pPr>
        <w:tabs>
          <w:tab w:val="left" w:pos="871"/>
        </w:tabs>
        <w:autoSpaceDE w:val="0"/>
        <w:autoSpaceDN w:val="0"/>
        <w:adjustRightInd w:val="0"/>
        <w:spacing w:after="0" w:line="240" w:lineRule="auto"/>
        <w:jc w:val="both"/>
        <w:rPr>
          <w:rFonts w:ascii="Verdana" w:eastAsia="Times New Roman" w:hAnsi="Verdana" w:cs="EUAlbertina"/>
          <w:noProof/>
          <w:color w:val="000000"/>
          <w:sz w:val="19"/>
          <w:szCs w:val="19"/>
        </w:rPr>
      </w:pPr>
    </w:p>
    <w:p w:rsidR="001D5370" w:rsidRDefault="002C451F">
      <w:pPr>
        <w:tabs>
          <w:tab w:val="left" w:pos="871"/>
        </w:tabs>
        <w:autoSpaceDE w:val="0"/>
        <w:autoSpaceDN w:val="0"/>
        <w:adjustRightInd w:val="0"/>
        <w:spacing w:after="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Det vigtigste værktøj,</w:t>
      </w:r>
      <w:r>
        <w:rPr>
          <w:rFonts w:ascii="Times New Roman" w:hAnsi="Times New Roman"/>
          <w:noProof/>
          <w:color w:val="000000"/>
          <w:sz w:val="24"/>
        </w:rPr>
        <w:t xml:space="preserve"> som medlemsstaternes myndigheder anvender til at give offentligheden præcise og afbalancerede oplysninger om bæredygtig brug af pesticider, er deres websteder. Disse nationale websteder suppleres af Kommissionens websted, som i øjeblikket bliver opgradere</w:t>
      </w:r>
      <w:r>
        <w:rPr>
          <w:rFonts w:ascii="Times New Roman" w:hAnsi="Times New Roman"/>
          <w:noProof/>
          <w:color w:val="000000"/>
          <w:sz w:val="24"/>
        </w:rPr>
        <w:t>t til en webportal med links til alle medlemsstaternes websteder og andre informationskilder. Dette vil være et middel til at dele oplysninger i og mellem dem om en række emner, herunder vejledende materiale om IPM og beslutningsstøttesystemer.</w:t>
      </w:r>
    </w:p>
    <w:p w:rsidR="001D5370" w:rsidRDefault="001D5370">
      <w:pPr>
        <w:tabs>
          <w:tab w:val="left" w:pos="871"/>
        </w:tabs>
        <w:autoSpaceDE w:val="0"/>
        <w:autoSpaceDN w:val="0"/>
        <w:adjustRightInd w:val="0"/>
        <w:spacing w:after="0" w:line="240" w:lineRule="auto"/>
        <w:jc w:val="both"/>
        <w:rPr>
          <w:rFonts w:ascii="Times New Roman" w:eastAsia="Times New Roman" w:hAnsi="Times New Roman" w:cs="Times New Roman"/>
          <w:noProof/>
          <w:color w:val="000000"/>
          <w:sz w:val="24"/>
          <w:szCs w:val="24"/>
        </w:rPr>
      </w:pPr>
    </w:p>
    <w:p w:rsidR="001D5370" w:rsidRDefault="002C451F">
      <w:pPr>
        <w:tabs>
          <w:tab w:val="left" w:pos="871"/>
        </w:tabs>
        <w:autoSpaceDE w:val="0"/>
        <w:autoSpaceDN w:val="0"/>
        <w:adjustRightInd w:val="0"/>
        <w:spacing w:after="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I deres be</w:t>
      </w:r>
      <w:r>
        <w:rPr>
          <w:rFonts w:ascii="Times New Roman" w:hAnsi="Times New Roman"/>
          <w:noProof/>
          <w:color w:val="000000"/>
          <w:sz w:val="24"/>
        </w:rPr>
        <w:t xml:space="preserve">svarelser af 2016-spørgeskemaet underrettede seks medlemsstater </w:t>
      </w:r>
      <w:r>
        <w:rPr>
          <w:rStyle w:val="FootnoteReference"/>
          <w:rFonts w:ascii="Times New Roman" w:hAnsi="Times New Roman"/>
          <w:noProof/>
          <w:color w:val="000000"/>
          <w:sz w:val="24"/>
        </w:rPr>
        <w:footnoteReference w:id="33"/>
      </w:r>
      <w:r>
        <w:rPr>
          <w:rFonts w:ascii="Times New Roman" w:hAnsi="Times New Roman"/>
          <w:noProof/>
          <w:color w:val="000000"/>
          <w:sz w:val="24"/>
        </w:rPr>
        <w:t xml:space="preserve"> Kommissionen om de nationale bestemmelser, hvorefter landbrugere skal informere deres naboer og lokale beboere, inden de anvender pesticider, som minimum på anmodning. Som eksempel skal oper</w:t>
      </w:r>
      <w:r>
        <w:rPr>
          <w:rFonts w:ascii="Times New Roman" w:hAnsi="Times New Roman"/>
          <w:noProof/>
          <w:color w:val="000000"/>
          <w:sz w:val="24"/>
        </w:rPr>
        <w:t>atører i Sverige og Nederlandene, som planlægger at bruge pesticider i områder, som offentligheden har adgang til, sætte et skilt op med detaljerede oplysninger mindst en uge, inden de anvender dem. I løbet af Kommissionens factfinding-besøg i 2017 gav med</w:t>
      </w:r>
      <w:r>
        <w:rPr>
          <w:rFonts w:ascii="Times New Roman" w:hAnsi="Times New Roman"/>
          <w:noProof/>
          <w:color w:val="000000"/>
          <w:sz w:val="24"/>
        </w:rPr>
        <w:t xml:space="preserve">lemsstaterne eksempler på målrettede informationskampagner, herunder oplysningskampagner for at informere haveejere om pesticidrisici i Danmark, Polen og Sverige, og konkurrencer om pesticidrisici for skolebørn i Polen og Italien. </w:t>
      </w:r>
    </w:p>
    <w:p w:rsidR="001D5370" w:rsidRDefault="002C451F">
      <w:pPr>
        <w:keepNext/>
        <w:numPr>
          <w:ilvl w:val="1"/>
          <w:numId w:val="1"/>
        </w:numPr>
        <w:spacing w:before="360" w:after="120" w:line="240" w:lineRule="auto"/>
        <w:jc w:val="both"/>
        <w:outlineLvl w:val="0"/>
        <w:rPr>
          <w:rFonts w:ascii="Times New Roman" w:eastAsia="Times New Roman" w:hAnsi="Times New Roman" w:cs="Times New Roman"/>
          <w:bCs/>
          <w:caps/>
          <w:smallCaps/>
          <w:noProof/>
          <w:sz w:val="24"/>
          <w:szCs w:val="24"/>
        </w:rPr>
      </w:pPr>
      <w:r>
        <w:rPr>
          <w:rFonts w:ascii="Times New Roman" w:hAnsi="Times New Roman"/>
          <w:caps/>
          <w:smallCaps/>
          <w:noProof/>
          <w:sz w:val="24"/>
        </w:rPr>
        <w:t>VANDMILJØ OG DRIKKEVAND</w:t>
      </w:r>
    </w:p>
    <w:p w:rsidR="001D5370" w:rsidRDefault="002C451F">
      <w:pPr>
        <w:tabs>
          <w:tab w:val="left" w:pos="871"/>
        </w:tabs>
        <w:autoSpaceDE w:val="0"/>
        <w:autoSpaceDN w:val="0"/>
        <w:adjustRightInd w:val="0"/>
        <w:spacing w:after="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I henhold til direktivets artikel 11 skal medlemsstaterne sørge for, at der vedtages passende foranstaltninger til beskyttelse af vandmiljøet og drikkevandsforsyningerne mod pesticidernes virkninger.</w:t>
      </w:r>
    </w:p>
    <w:p w:rsidR="001D5370" w:rsidRDefault="001D5370">
      <w:pPr>
        <w:tabs>
          <w:tab w:val="left" w:pos="871"/>
        </w:tabs>
        <w:autoSpaceDE w:val="0"/>
        <w:autoSpaceDN w:val="0"/>
        <w:adjustRightInd w:val="0"/>
        <w:spacing w:after="0" w:line="240" w:lineRule="auto"/>
        <w:jc w:val="both"/>
        <w:rPr>
          <w:rFonts w:ascii="Times New Roman" w:eastAsia="Times New Roman" w:hAnsi="Times New Roman" w:cs="Times New Roman"/>
          <w:noProof/>
          <w:color w:val="000000"/>
          <w:sz w:val="24"/>
          <w:szCs w:val="24"/>
        </w:rPr>
      </w:pPr>
    </w:p>
    <w:tbl>
      <w:tblPr>
        <w:tblStyle w:val="TableGrid"/>
        <w:tblW w:w="0" w:type="auto"/>
        <w:tblInd w:w="108"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4A0" w:firstRow="1" w:lastRow="0" w:firstColumn="1" w:lastColumn="0" w:noHBand="0" w:noVBand="1"/>
      </w:tblPr>
      <w:tblGrid>
        <w:gridCol w:w="9072"/>
      </w:tblGrid>
      <w:tr w:rsidR="001D5370">
        <w:tc>
          <w:tcPr>
            <w:tcW w:w="9072" w:type="dxa"/>
            <w:shd w:val="clear" w:color="auto" w:fill="C7C7C7" w:themeFill="background1" w:themeFillShade="D9"/>
          </w:tcPr>
          <w:p w:rsidR="001D5370" w:rsidRDefault="002C451F">
            <w:pPr>
              <w:tabs>
                <w:tab w:val="left" w:pos="871"/>
              </w:tabs>
              <w:autoSpaceDE w:val="0"/>
              <w:autoSpaceDN w:val="0"/>
              <w:adjustRightInd w:val="0"/>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Medlemsstaterne har truffet en række foranstaltninger t</w:t>
            </w:r>
            <w:r>
              <w:rPr>
                <w:rFonts w:ascii="Times New Roman" w:hAnsi="Times New Roman"/>
                <w:noProof/>
                <w:color w:val="000000"/>
                <w:sz w:val="24"/>
              </w:rPr>
              <w:t>il beskyttelse af vandmiljøet mod anvendelse af pesticider, men i mangel af målbare mål i de fleste nationale handlingsplaner er det vanskeligt at vurdere de opnåede fremskridt.</w:t>
            </w:r>
            <w:r>
              <w:rPr>
                <w:noProof/>
              </w:rPr>
              <w:t xml:space="preserve"> </w:t>
            </w:r>
          </w:p>
        </w:tc>
      </w:tr>
    </w:tbl>
    <w:p w:rsidR="001D5370" w:rsidRDefault="001D5370">
      <w:pPr>
        <w:tabs>
          <w:tab w:val="left" w:pos="871"/>
        </w:tabs>
        <w:autoSpaceDE w:val="0"/>
        <w:autoSpaceDN w:val="0"/>
        <w:adjustRightInd w:val="0"/>
        <w:spacing w:after="0" w:line="240" w:lineRule="auto"/>
        <w:jc w:val="both"/>
        <w:rPr>
          <w:rFonts w:ascii="Times New Roman" w:eastAsia="Times New Roman" w:hAnsi="Times New Roman" w:cs="Times New Roman"/>
          <w:noProof/>
          <w:color w:val="000000"/>
          <w:sz w:val="24"/>
          <w:szCs w:val="24"/>
        </w:rPr>
      </w:pPr>
    </w:p>
    <w:p w:rsidR="001D5370" w:rsidRDefault="002C451F">
      <w:pPr>
        <w:tabs>
          <w:tab w:val="left" w:pos="871"/>
        </w:tabs>
        <w:autoSpaceDE w:val="0"/>
        <w:autoSpaceDN w:val="0"/>
        <w:adjustRightInd w:val="0"/>
        <w:spacing w:after="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27 nationale handlingsplaner indeholder en del detaljer på dette område, og</w:t>
      </w:r>
      <w:r>
        <w:rPr>
          <w:rFonts w:ascii="Times New Roman" w:hAnsi="Times New Roman"/>
          <w:noProof/>
          <w:color w:val="000000"/>
          <w:sz w:val="24"/>
        </w:rPr>
        <w:t xml:space="preserve"> kun Frankrig har undladt dette. Handlingerne omfatter flere områder. Hvad angår anvendelse af pesticider, omfatter foranstaltningerne brug af teknologi til reduktion af aerosolspredning og et forbud mod påfyldning af sprøjtemiddel fra vandløb. Der findes </w:t>
      </w:r>
      <w:r>
        <w:rPr>
          <w:rFonts w:ascii="Times New Roman" w:hAnsi="Times New Roman"/>
          <w:noProof/>
          <w:color w:val="000000"/>
          <w:sz w:val="24"/>
        </w:rPr>
        <w:t>økonomiske incitamenter, herunder til bufferzoner tæt på vandløb i miljøvenlige jordbrugsforanstaltninger, kapitaltilskud til køb af lavdriftsdyser og anlæggelse af biobede, som skal fange afstrømning fra sprøjtevask. Disse foranstaltninger dækker dog i de</w:t>
      </w:r>
      <w:r>
        <w:rPr>
          <w:rFonts w:ascii="Times New Roman" w:hAnsi="Times New Roman"/>
          <w:noProof/>
          <w:color w:val="000000"/>
          <w:sz w:val="24"/>
        </w:rPr>
        <w:t xml:space="preserve"> fleste medlemsstater en meget begrænset del af området. Andre foranstaltninger vedrører uddannelse og videnoverførsel. Selv om medlemsstaterne har indført en lang række foranstaltninger på dette område som skitseret ovenfor, henviser mål og tidslinjer ent</w:t>
      </w:r>
      <w:r>
        <w:rPr>
          <w:rFonts w:ascii="Times New Roman" w:hAnsi="Times New Roman"/>
          <w:noProof/>
          <w:color w:val="000000"/>
          <w:sz w:val="24"/>
        </w:rPr>
        <w:t>en til gennemførelse af handlinger, f.eks. områder med bufferzoner op til vandløb eller, i visse medlemsstater, opnåelse af eksisterende standarder for vandkvalitet efter anden lovgivning.</w:t>
      </w:r>
    </w:p>
    <w:p w:rsidR="001D5370" w:rsidRDefault="001D5370">
      <w:pPr>
        <w:tabs>
          <w:tab w:val="left" w:pos="871"/>
        </w:tabs>
        <w:autoSpaceDE w:val="0"/>
        <w:autoSpaceDN w:val="0"/>
        <w:adjustRightInd w:val="0"/>
        <w:spacing w:after="0" w:line="240" w:lineRule="auto"/>
        <w:jc w:val="both"/>
        <w:rPr>
          <w:rFonts w:ascii="Times New Roman" w:eastAsia="Times New Roman" w:hAnsi="Times New Roman" w:cs="Times New Roman"/>
          <w:noProof/>
          <w:color w:val="000000"/>
          <w:sz w:val="24"/>
          <w:szCs w:val="24"/>
        </w:rPr>
      </w:pPr>
    </w:p>
    <w:p w:rsidR="001D5370" w:rsidRDefault="002C451F">
      <w:pPr>
        <w:tabs>
          <w:tab w:val="left" w:pos="871"/>
        </w:tabs>
        <w:autoSpaceDE w:val="0"/>
        <w:autoSpaceDN w:val="0"/>
        <w:adjustRightInd w:val="0"/>
        <w:spacing w:after="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Som fremhævet i Kommissionens arbejdsdokument om landbrug og </w:t>
      </w:r>
      <w:r>
        <w:rPr>
          <w:rFonts w:ascii="Times New Roman" w:hAnsi="Times New Roman"/>
          <w:noProof/>
          <w:color w:val="000000"/>
          <w:sz w:val="24"/>
        </w:rPr>
        <w:t>bæredygtig vandforvaltning i Europa</w:t>
      </w:r>
      <w:r>
        <w:rPr>
          <w:rStyle w:val="FootnoteReference"/>
          <w:rFonts w:ascii="Times New Roman" w:hAnsi="Times New Roman"/>
          <w:noProof/>
          <w:color w:val="000000"/>
          <w:sz w:val="24"/>
        </w:rPr>
        <w:footnoteReference w:id="34"/>
      </w:r>
      <w:r>
        <w:rPr>
          <w:rFonts w:ascii="Times New Roman" w:hAnsi="Times New Roman"/>
          <w:noProof/>
          <w:color w:val="000000"/>
          <w:sz w:val="24"/>
        </w:rPr>
        <w:t xml:space="preserve"> er direktivet om bæredygtig anvendelse af pesticider et vigtigt instrument til at opfylde målsætningerne om god vandtilstand efter vandrammedirektivet (2000/60/EF)</w:t>
      </w:r>
      <w:r>
        <w:rPr>
          <w:rFonts w:ascii="Times New Roman" w:hAnsi="Times New Roman"/>
          <w:noProof/>
          <w:color w:val="000000"/>
          <w:sz w:val="24"/>
          <w:vertAlign w:val="superscript"/>
        </w:rPr>
        <w:footnoteReference w:id="35"/>
      </w:r>
      <w:r>
        <w:rPr>
          <w:rFonts w:ascii="Times New Roman" w:hAnsi="Times New Roman"/>
          <w:noProof/>
          <w:color w:val="000000"/>
          <w:sz w:val="24"/>
        </w:rPr>
        <w:t>. Ikke desto mindre er medlemsstaternes mål og tidsplan</w:t>
      </w:r>
      <w:r>
        <w:rPr>
          <w:rFonts w:ascii="Times New Roman" w:hAnsi="Times New Roman"/>
          <w:noProof/>
          <w:color w:val="000000"/>
          <w:sz w:val="24"/>
        </w:rPr>
        <w:t>er for beskyttelse af vandmiljøet ikke altid specifikt knyttet til miljømålene i direktiv 2000/60/EF. Medlemsstaterne gennemførte miljøovervågningsprogrammer under direktiv 2000/60/EF, direktiv 2006/118/EF</w:t>
      </w:r>
      <w:r>
        <w:rPr>
          <w:rFonts w:ascii="Times New Roman" w:hAnsi="Times New Roman"/>
          <w:noProof/>
          <w:color w:val="000000"/>
          <w:sz w:val="24"/>
          <w:vertAlign w:val="superscript"/>
        </w:rPr>
        <w:footnoteReference w:id="36"/>
      </w:r>
      <w:r>
        <w:rPr>
          <w:rFonts w:ascii="Times New Roman" w:hAnsi="Times New Roman"/>
          <w:noProof/>
          <w:color w:val="000000"/>
          <w:sz w:val="24"/>
        </w:rPr>
        <w:t xml:space="preserve"> om grundvand, direktiv 2008/105/EF</w:t>
      </w:r>
      <w:r>
        <w:rPr>
          <w:rFonts w:ascii="Times New Roman" w:hAnsi="Times New Roman"/>
          <w:noProof/>
          <w:color w:val="000000"/>
          <w:sz w:val="24"/>
          <w:vertAlign w:val="superscript"/>
        </w:rPr>
        <w:footnoteReference w:id="37"/>
      </w:r>
      <w:r>
        <w:rPr>
          <w:rFonts w:ascii="Times New Roman" w:hAnsi="Times New Roman"/>
          <w:noProof/>
          <w:color w:val="000000"/>
          <w:sz w:val="24"/>
        </w:rPr>
        <w:t xml:space="preserve"> om miljøkvali</w:t>
      </w:r>
      <w:r>
        <w:rPr>
          <w:rFonts w:ascii="Times New Roman" w:hAnsi="Times New Roman"/>
          <w:noProof/>
          <w:color w:val="000000"/>
          <w:sz w:val="24"/>
        </w:rPr>
        <w:t>tetskrav inden for vandpolitikken og direktiv 1998/83/EF om drikkevand</w:t>
      </w:r>
      <w:r>
        <w:rPr>
          <w:rStyle w:val="FootnoteReference"/>
          <w:rFonts w:ascii="Times New Roman" w:hAnsi="Times New Roman"/>
          <w:noProof/>
          <w:color w:val="000000"/>
          <w:sz w:val="24"/>
        </w:rPr>
        <w:footnoteReference w:id="38"/>
      </w:r>
      <w:r>
        <w:rPr>
          <w:rFonts w:ascii="Times New Roman" w:hAnsi="Times New Roman"/>
          <w:noProof/>
          <w:color w:val="000000"/>
          <w:sz w:val="24"/>
        </w:rPr>
        <w:t>. Overvågningsprogrammerne og de tilknyttede indikatorer og mål skal dække flere afdelinger, herunder biota og sedimenter, så de i tilstrækkelig høj grad dækker risikoen som følge af fo</w:t>
      </w:r>
      <w:r>
        <w:rPr>
          <w:rFonts w:ascii="Times New Roman" w:hAnsi="Times New Roman"/>
          <w:noProof/>
          <w:color w:val="000000"/>
          <w:sz w:val="24"/>
        </w:rPr>
        <w:t>rbindelser, som kan bioakkumuleres. Resultater af vandovervågning viser, at pesticider fra forskellige kilder bidrager til dårlig tilstand i vandområder i 16 medlemsstater og påvirker 20 % af grundvandet og 16 % af floder og overgangsvandområder klassifice</w:t>
      </w:r>
      <w:r>
        <w:rPr>
          <w:rFonts w:ascii="Times New Roman" w:hAnsi="Times New Roman"/>
          <w:noProof/>
          <w:color w:val="000000"/>
          <w:sz w:val="24"/>
        </w:rPr>
        <w:t>ret som værende i dårlig kemisk tilstand ifølge EØS-betænkning nr. 8/2012 om vurdering af status for og pres på europæiske farvande</w:t>
      </w:r>
      <w:r>
        <w:rPr>
          <w:rStyle w:val="FootnoteReference"/>
          <w:rFonts w:ascii="Times New Roman" w:hAnsi="Times New Roman"/>
          <w:noProof/>
          <w:color w:val="000000"/>
          <w:sz w:val="24"/>
        </w:rPr>
        <w:footnoteReference w:id="39"/>
      </w:r>
      <w:r>
        <w:rPr>
          <w:rFonts w:ascii="Times New Roman" w:hAnsi="Times New Roman"/>
          <w:noProof/>
          <w:color w:val="000000"/>
          <w:sz w:val="24"/>
          <w:vertAlign w:val="superscript"/>
        </w:rPr>
        <w:t>,</w:t>
      </w:r>
      <w:r>
        <w:rPr>
          <w:rStyle w:val="FootnoteReference"/>
          <w:rFonts w:ascii="Times New Roman" w:hAnsi="Times New Roman"/>
          <w:noProof/>
          <w:color w:val="000000"/>
          <w:sz w:val="24"/>
        </w:rPr>
        <w:footnoteReference w:id="40"/>
      </w:r>
      <w:r>
        <w:rPr>
          <w:rFonts w:ascii="Times New Roman" w:hAnsi="Times New Roman"/>
          <w:noProof/>
          <w:color w:val="000000"/>
          <w:sz w:val="24"/>
        </w:rPr>
        <w:t>.</w:t>
      </w:r>
    </w:p>
    <w:p w:rsidR="001D5370" w:rsidRDefault="001D5370">
      <w:pPr>
        <w:tabs>
          <w:tab w:val="left" w:pos="871"/>
        </w:tabs>
        <w:autoSpaceDE w:val="0"/>
        <w:autoSpaceDN w:val="0"/>
        <w:adjustRightInd w:val="0"/>
        <w:spacing w:after="0" w:line="240" w:lineRule="auto"/>
        <w:jc w:val="both"/>
        <w:rPr>
          <w:rFonts w:ascii="Times New Roman" w:eastAsia="Times New Roman" w:hAnsi="Times New Roman" w:cs="Times New Roman"/>
          <w:noProof/>
          <w:color w:val="000000"/>
          <w:sz w:val="24"/>
          <w:szCs w:val="24"/>
        </w:rPr>
      </w:pPr>
    </w:p>
    <w:p w:rsidR="001D5370" w:rsidRDefault="002C451F">
      <w:pPr>
        <w:tabs>
          <w:tab w:val="left" w:pos="871"/>
        </w:tabs>
        <w:autoSpaceDE w:val="0"/>
        <w:autoSpaceDN w:val="0"/>
        <w:adjustRightInd w:val="0"/>
        <w:spacing w:after="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Som svar på 2016-spørgeskemaet rapporterede medlemsstaterne til Kommissionen, at i alt over en million vandprøver var b</w:t>
      </w:r>
      <w:r>
        <w:rPr>
          <w:rFonts w:ascii="Times New Roman" w:hAnsi="Times New Roman"/>
          <w:noProof/>
          <w:color w:val="000000"/>
          <w:sz w:val="24"/>
        </w:rPr>
        <w:t xml:space="preserve">levet testet for pesticidrester i 2014 og 2015. Dette skal sammenlignes med de 84 000 officielle fødevareprøver, som blev analyseret for pesticidrester i 2015. Der blev taget vandprøver fra overflade-, grund- og drikkevand. De fleste prøver blev taget fra </w:t>
      </w:r>
      <w:r>
        <w:rPr>
          <w:rFonts w:ascii="Times New Roman" w:hAnsi="Times New Roman"/>
          <w:noProof/>
          <w:color w:val="000000"/>
          <w:sz w:val="24"/>
        </w:rPr>
        <w:t>drikkevand, hvor resultaterne viste en høj overholdelse (99 %) af EU's tærskel i direktiv 1998/83/EF.</w:t>
      </w:r>
      <w:r>
        <w:rPr>
          <w:noProof/>
        </w:rPr>
        <w:t xml:space="preserve"> </w:t>
      </w:r>
      <w:r>
        <w:rPr>
          <w:rFonts w:ascii="Times New Roman" w:hAnsi="Times New Roman"/>
          <w:noProof/>
          <w:color w:val="000000"/>
          <w:sz w:val="24"/>
        </w:rPr>
        <w:t>Ikke desto mindre tages der prøver efter alle nødvendige behandlinger af fjernelse af pesticider.</w:t>
      </w:r>
    </w:p>
    <w:p w:rsidR="001D5370" w:rsidRDefault="001D5370">
      <w:pPr>
        <w:tabs>
          <w:tab w:val="left" w:pos="871"/>
        </w:tabs>
        <w:autoSpaceDE w:val="0"/>
        <w:autoSpaceDN w:val="0"/>
        <w:adjustRightInd w:val="0"/>
        <w:spacing w:after="0" w:line="240" w:lineRule="auto"/>
        <w:jc w:val="both"/>
        <w:rPr>
          <w:rFonts w:ascii="Times New Roman" w:eastAsia="Times New Roman" w:hAnsi="Times New Roman" w:cs="Times New Roman"/>
          <w:noProof/>
          <w:color w:val="000000"/>
          <w:sz w:val="24"/>
          <w:szCs w:val="24"/>
        </w:rPr>
      </w:pPr>
    </w:p>
    <w:p w:rsidR="001D5370" w:rsidRDefault="002C451F">
      <w:pPr>
        <w:tabs>
          <w:tab w:val="left" w:pos="871"/>
        </w:tabs>
        <w:autoSpaceDE w:val="0"/>
        <w:autoSpaceDN w:val="0"/>
        <w:adjustRightInd w:val="0"/>
        <w:spacing w:after="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De forskellige pesticider, som blev analyseret i miljøovervågningsprogrammerne, varierede i og mellem de besøgte medlemsstater i 2017. Tyskland, Nederlandene og Danmark havde fastsat klare mål i forhold til overholdelse af disse bestemmelser, hvilket hjælp</w:t>
      </w:r>
      <w:r>
        <w:rPr>
          <w:rFonts w:ascii="Times New Roman" w:hAnsi="Times New Roman"/>
          <w:noProof/>
          <w:color w:val="000000"/>
          <w:sz w:val="24"/>
        </w:rPr>
        <w:t>er myndighederne med at vurdere og påvise eventuelle fremskridt. I mange regioner i Italien blev der også foretaget overvågning af andre stoffer end de prioriterede stoffer i vandrammedirektivet. I Polen omfattede listen over overvågede pesticider imidlert</w:t>
      </w:r>
      <w:r>
        <w:rPr>
          <w:rFonts w:ascii="Times New Roman" w:hAnsi="Times New Roman"/>
          <w:noProof/>
          <w:color w:val="000000"/>
          <w:sz w:val="24"/>
        </w:rPr>
        <w:t xml:space="preserve">id kun EU's prioriterede stoffer. I både Tyskland og Danmark var de pesticider, som blev fundet i grundvandet, primært persistente pesticider, som ikke længere godkendes, markedsføres eller anvendes i EU. </w:t>
      </w:r>
    </w:p>
    <w:p w:rsidR="001D5370" w:rsidRDefault="002C451F">
      <w:pPr>
        <w:keepNext/>
        <w:numPr>
          <w:ilvl w:val="1"/>
          <w:numId w:val="1"/>
        </w:numPr>
        <w:spacing w:before="360" w:after="120" w:line="240" w:lineRule="auto"/>
        <w:jc w:val="both"/>
        <w:outlineLvl w:val="0"/>
        <w:rPr>
          <w:rFonts w:ascii="Times New Roman" w:eastAsia="Times New Roman" w:hAnsi="Times New Roman" w:cs="Times New Roman"/>
          <w:bCs/>
          <w:caps/>
          <w:smallCaps/>
          <w:noProof/>
          <w:sz w:val="24"/>
          <w:szCs w:val="24"/>
        </w:rPr>
      </w:pPr>
      <w:r>
        <w:rPr>
          <w:rFonts w:ascii="Times New Roman" w:hAnsi="Times New Roman"/>
          <w:caps/>
          <w:smallCaps/>
          <w:noProof/>
          <w:sz w:val="24"/>
        </w:rPr>
        <w:t>BEGRÆNSNING AF PESTICIDANVENDELSEN I SPECIFIKKE OM</w:t>
      </w:r>
      <w:r>
        <w:rPr>
          <w:rFonts w:ascii="Times New Roman" w:hAnsi="Times New Roman"/>
          <w:caps/>
          <w:smallCaps/>
          <w:noProof/>
          <w:sz w:val="24"/>
        </w:rPr>
        <w:t>RÅDER</w:t>
      </w:r>
    </w:p>
    <w:p w:rsidR="001D5370" w:rsidRDefault="002C451F">
      <w:pPr>
        <w:tabs>
          <w:tab w:val="left" w:pos="871"/>
        </w:tabs>
        <w:autoSpaceDE w:val="0"/>
        <w:autoSpaceDN w:val="0"/>
        <w:adjustRightInd w:val="0"/>
        <w:spacing w:after="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I henhold til direktivets artikel 12 skal medlemsstaterne sikre, at brug af pesticider nedbringes til et minimum eller forbydes i visse specifikke områder. Dette omfatter områder, der bruges af offentligheden eller udsatte grupper, beskyttede områder</w:t>
      </w:r>
      <w:r>
        <w:rPr>
          <w:rFonts w:ascii="Times New Roman" w:hAnsi="Times New Roman"/>
          <w:noProof/>
          <w:color w:val="000000"/>
          <w:sz w:val="24"/>
        </w:rPr>
        <w:t xml:space="preserve"> og nyligt behandlede områder, der anvendes af beskæftigede i landbruget. Der træffes passende foranstaltninger for risikohåndtering, og der skal i første omgang overvejes anvendelse af lavrisikoplantebeskyttelsesmidler og foranstaltninger til biologisk be</w:t>
      </w:r>
      <w:r>
        <w:rPr>
          <w:rFonts w:ascii="Times New Roman" w:hAnsi="Times New Roman"/>
          <w:noProof/>
          <w:color w:val="000000"/>
          <w:sz w:val="24"/>
        </w:rPr>
        <w:t>kæmpelse.</w:t>
      </w:r>
    </w:p>
    <w:p w:rsidR="001D5370" w:rsidRDefault="001D5370">
      <w:pPr>
        <w:tabs>
          <w:tab w:val="left" w:pos="871"/>
        </w:tabs>
        <w:autoSpaceDE w:val="0"/>
        <w:autoSpaceDN w:val="0"/>
        <w:adjustRightInd w:val="0"/>
        <w:spacing w:after="0" w:line="240" w:lineRule="auto"/>
        <w:jc w:val="both"/>
        <w:rPr>
          <w:rFonts w:ascii="Times New Roman" w:eastAsia="Times New Roman" w:hAnsi="Times New Roman" w:cs="Times New Roman"/>
          <w:noProof/>
          <w:color w:val="000000"/>
          <w:sz w:val="24"/>
          <w:szCs w:val="24"/>
        </w:rPr>
      </w:pPr>
    </w:p>
    <w:tbl>
      <w:tblPr>
        <w:tblStyle w:val="TableGrid"/>
        <w:tblW w:w="0" w:type="auto"/>
        <w:tblInd w:w="108"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4A0" w:firstRow="1" w:lastRow="0" w:firstColumn="1" w:lastColumn="0" w:noHBand="0" w:noVBand="1"/>
      </w:tblPr>
      <w:tblGrid>
        <w:gridCol w:w="9072"/>
      </w:tblGrid>
      <w:tr w:rsidR="001D5370">
        <w:tc>
          <w:tcPr>
            <w:tcW w:w="9072" w:type="dxa"/>
            <w:shd w:val="clear" w:color="auto" w:fill="C7C7C7" w:themeFill="background1" w:themeFillShade="D9"/>
          </w:tcPr>
          <w:p w:rsidR="001D5370" w:rsidRDefault="002C451F">
            <w:pPr>
              <w:tabs>
                <w:tab w:val="left" w:pos="871"/>
              </w:tabs>
              <w:autoSpaceDE w:val="0"/>
              <w:autoSpaceDN w:val="0"/>
              <w:adjustRightInd w:val="0"/>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Kommissionen erkender de omfattende foranstaltninger, som medlemsstaterne har truffet til begrænsning af pesticidanvendelsen i specifikke områder, og den positive effekt, som dette har haft, men bemærker også manglen på målelige mål i størstedel</w:t>
            </w:r>
            <w:r>
              <w:rPr>
                <w:rFonts w:ascii="Times New Roman" w:hAnsi="Times New Roman"/>
                <w:noProof/>
                <w:color w:val="000000"/>
                <w:sz w:val="24"/>
              </w:rPr>
              <w:t>en af medlemsstaterne.</w:t>
            </w:r>
          </w:p>
        </w:tc>
      </w:tr>
    </w:tbl>
    <w:p w:rsidR="001D5370" w:rsidRDefault="001D5370">
      <w:pPr>
        <w:tabs>
          <w:tab w:val="left" w:pos="871"/>
        </w:tabs>
        <w:autoSpaceDE w:val="0"/>
        <w:autoSpaceDN w:val="0"/>
        <w:adjustRightInd w:val="0"/>
        <w:spacing w:after="0" w:line="240" w:lineRule="auto"/>
        <w:jc w:val="both"/>
        <w:rPr>
          <w:rFonts w:ascii="Times New Roman" w:eastAsia="Times New Roman" w:hAnsi="Times New Roman" w:cs="Times New Roman"/>
          <w:noProof/>
          <w:color w:val="000000"/>
          <w:sz w:val="24"/>
          <w:szCs w:val="24"/>
        </w:rPr>
      </w:pPr>
    </w:p>
    <w:p w:rsidR="001D5370" w:rsidRDefault="002C451F">
      <w:pPr>
        <w:tabs>
          <w:tab w:val="left" w:pos="871"/>
        </w:tabs>
        <w:autoSpaceDE w:val="0"/>
        <w:autoSpaceDN w:val="0"/>
        <w:adjustRightInd w:val="0"/>
        <w:spacing w:after="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26 medlemsstater</w:t>
      </w:r>
      <w:r>
        <w:rPr>
          <w:rStyle w:val="FootnoteReference"/>
          <w:rFonts w:ascii="Times New Roman" w:hAnsi="Times New Roman"/>
          <w:noProof/>
          <w:color w:val="000000"/>
          <w:sz w:val="24"/>
        </w:rPr>
        <w:footnoteReference w:id="41"/>
      </w:r>
      <w:r>
        <w:rPr>
          <w:rFonts w:ascii="Times New Roman" w:hAnsi="Times New Roman"/>
          <w:noProof/>
          <w:color w:val="000000"/>
          <w:sz w:val="24"/>
        </w:rPr>
        <w:t xml:space="preserve"> beskriver i deres nationale handlingsplaner foranstaltninger til at minimere pesticidanvendelse i offentlige områder, men de fleste af dem angiver ingen specifikke mål for begrænsning af anvendelsen for offentlige</w:t>
      </w:r>
      <w:r>
        <w:rPr>
          <w:rFonts w:ascii="Times New Roman" w:hAnsi="Times New Roman"/>
          <w:noProof/>
          <w:color w:val="000000"/>
          <w:sz w:val="24"/>
        </w:rPr>
        <w:t xml:space="preserve"> områder. Ikke desto mindre blev der bemærket en del god praksis, som f.eks. i Danmark, hvor der anvendes et generelt mål for begrænsning af anvendelsen, og derudover fastsættes pesticidkvoter for alle golfbaner. I andre offentlige områder er formålet at u</w:t>
      </w:r>
      <w:r>
        <w:rPr>
          <w:rFonts w:ascii="Times New Roman" w:hAnsi="Times New Roman"/>
          <w:noProof/>
          <w:color w:val="000000"/>
          <w:sz w:val="24"/>
        </w:rPr>
        <w:t>dfase anvendelsen af pesticider. Kun de nationale handlingsplaner fra Letland, Malta, Spanien og Italien indeholder specifikke foranstaltninger, der omhandler nyligt behandlede områder, med henblik på at beskytte beskæftigede i landbruget.</w:t>
      </w:r>
    </w:p>
    <w:p w:rsidR="001D5370" w:rsidRDefault="001D5370">
      <w:pPr>
        <w:tabs>
          <w:tab w:val="left" w:pos="871"/>
        </w:tabs>
        <w:autoSpaceDE w:val="0"/>
        <w:autoSpaceDN w:val="0"/>
        <w:adjustRightInd w:val="0"/>
        <w:spacing w:after="0" w:line="240" w:lineRule="auto"/>
        <w:jc w:val="both"/>
        <w:rPr>
          <w:rFonts w:ascii="Times New Roman" w:eastAsia="Times New Roman" w:hAnsi="Times New Roman" w:cs="Times New Roman"/>
          <w:noProof/>
          <w:color w:val="000000"/>
          <w:sz w:val="24"/>
          <w:szCs w:val="24"/>
        </w:rPr>
      </w:pPr>
    </w:p>
    <w:p w:rsidR="001D5370" w:rsidRDefault="002C451F">
      <w:pPr>
        <w:tabs>
          <w:tab w:val="left" w:pos="871"/>
        </w:tabs>
        <w:autoSpaceDE w:val="0"/>
        <w:autoSpaceDN w:val="0"/>
        <w:adjustRightInd w:val="0"/>
        <w:spacing w:after="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I besvarelsen a</w:t>
      </w:r>
      <w:r>
        <w:rPr>
          <w:rFonts w:ascii="Times New Roman" w:hAnsi="Times New Roman"/>
          <w:noProof/>
          <w:color w:val="000000"/>
          <w:sz w:val="24"/>
        </w:rPr>
        <w:t>f 2016-spørgeskemaet svarede 26 medlemsstater</w:t>
      </w:r>
      <w:r>
        <w:rPr>
          <w:rStyle w:val="FootnoteReference"/>
          <w:rFonts w:ascii="Times New Roman" w:hAnsi="Times New Roman"/>
          <w:noProof/>
          <w:color w:val="000000"/>
          <w:sz w:val="24"/>
        </w:rPr>
        <w:footnoteReference w:id="42"/>
      </w:r>
      <w:r>
        <w:rPr>
          <w:rFonts w:ascii="Times New Roman" w:hAnsi="Times New Roman"/>
          <w:noProof/>
          <w:color w:val="000000"/>
          <w:sz w:val="24"/>
        </w:rPr>
        <w:t>, at de forbød eller begrænsede bruges af pesticider i beskyttede områder (som defineret i direktiv 2000/60/EF) og bevaringsområder (som defineret i direktiv 79/409/EØF</w:t>
      </w:r>
      <w:r>
        <w:rPr>
          <w:rFonts w:ascii="Times New Roman" w:hAnsi="Times New Roman"/>
          <w:noProof/>
          <w:color w:val="000000"/>
          <w:sz w:val="24"/>
          <w:vertAlign w:val="superscript"/>
        </w:rPr>
        <w:footnoteReference w:id="43"/>
      </w:r>
      <w:r>
        <w:rPr>
          <w:rFonts w:ascii="Times New Roman" w:hAnsi="Times New Roman"/>
          <w:noProof/>
          <w:color w:val="000000"/>
          <w:sz w:val="24"/>
        </w:rPr>
        <w:t xml:space="preserve"> og 92/43/EØF</w:t>
      </w:r>
      <w:r>
        <w:rPr>
          <w:rFonts w:ascii="Times New Roman" w:hAnsi="Times New Roman"/>
          <w:noProof/>
          <w:color w:val="000000"/>
          <w:sz w:val="24"/>
          <w:vertAlign w:val="superscript"/>
        </w:rPr>
        <w:footnoteReference w:id="44"/>
      </w:r>
      <w:r>
        <w:rPr>
          <w:rFonts w:ascii="Times New Roman" w:hAnsi="Times New Roman"/>
          <w:noProof/>
          <w:color w:val="000000"/>
          <w:sz w:val="24"/>
        </w:rPr>
        <w:t>). I løbet af factfinding-b</w:t>
      </w:r>
      <w:r>
        <w:rPr>
          <w:rFonts w:ascii="Times New Roman" w:hAnsi="Times New Roman"/>
          <w:noProof/>
          <w:color w:val="000000"/>
          <w:sz w:val="24"/>
        </w:rPr>
        <w:t>esøgene i 2017 så Kommissionen eksempler på anvendte begrænsninger i medlemsstaterne: Polen forbyder brug af skadelige, giftige eller meget giftige pesticider i offentlige områder som legepladser, folkeskoler og børnehaver uden mulighed for undtagelser. An</w:t>
      </w:r>
      <w:r>
        <w:rPr>
          <w:rFonts w:ascii="Times New Roman" w:hAnsi="Times New Roman"/>
          <w:noProof/>
          <w:color w:val="000000"/>
          <w:sz w:val="24"/>
        </w:rPr>
        <w:t>dre medlemsstater forbød pesticider indeholdende glyphosat i ikkelandbrugsmæssige områder (f.eks. Italien) eller i nationalparker og naturreservater (f.eks. Tyskland). I Tyskland var der på to år kun indrømmet 17 undtagelser for pesticidanvendelse i offent</w:t>
      </w:r>
      <w:r>
        <w:rPr>
          <w:rFonts w:ascii="Times New Roman" w:hAnsi="Times New Roman"/>
          <w:noProof/>
          <w:color w:val="000000"/>
          <w:sz w:val="24"/>
        </w:rPr>
        <w:t>lige områder. Danmark rapporterede, at anvendelsen af pesticider var blevet reduceret med 90 % siden 1995.</w:t>
      </w:r>
    </w:p>
    <w:p w:rsidR="001D5370" w:rsidRDefault="002C451F">
      <w:pPr>
        <w:keepNext/>
        <w:numPr>
          <w:ilvl w:val="1"/>
          <w:numId w:val="1"/>
        </w:numPr>
        <w:spacing w:before="360" w:after="120" w:line="240" w:lineRule="auto"/>
        <w:jc w:val="both"/>
        <w:outlineLvl w:val="0"/>
        <w:rPr>
          <w:rFonts w:ascii="Times New Roman" w:eastAsia="Times New Roman" w:hAnsi="Times New Roman" w:cs="Times New Roman"/>
          <w:bCs/>
          <w:caps/>
          <w:smallCaps/>
          <w:noProof/>
          <w:sz w:val="24"/>
          <w:szCs w:val="24"/>
        </w:rPr>
      </w:pPr>
      <w:r>
        <w:rPr>
          <w:rFonts w:ascii="Times New Roman" w:hAnsi="Times New Roman"/>
          <w:caps/>
          <w:smallCaps/>
          <w:noProof/>
          <w:sz w:val="24"/>
        </w:rPr>
        <w:t>HÅNDTERING OG OPBEVARING AF PESTICIDER</w:t>
      </w:r>
    </w:p>
    <w:p w:rsidR="001D5370" w:rsidRDefault="002C451F">
      <w:pPr>
        <w:tabs>
          <w:tab w:val="left" w:pos="871"/>
        </w:tabs>
        <w:autoSpaceDE w:val="0"/>
        <w:autoSpaceDN w:val="0"/>
        <w:adjustRightInd w:val="0"/>
        <w:spacing w:after="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I henhold til direktivets artikel 13 skal medlemsstaterne sikre, at håndtering og opbevaring af pesticider og </w:t>
      </w:r>
      <w:r>
        <w:rPr>
          <w:rFonts w:ascii="Times New Roman" w:hAnsi="Times New Roman"/>
          <w:noProof/>
          <w:color w:val="000000"/>
          <w:sz w:val="24"/>
        </w:rPr>
        <w:t>emballager og rester ikke er til fare for menneskers sundhed eller miljøet.</w:t>
      </w:r>
    </w:p>
    <w:p w:rsidR="001D5370" w:rsidRDefault="001D5370">
      <w:pPr>
        <w:tabs>
          <w:tab w:val="left" w:pos="871"/>
        </w:tabs>
        <w:autoSpaceDE w:val="0"/>
        <w:autoSpaceDN w:val="0"/>
        <w:adjustRightInd w:val="0"/>
        <w:spacing w:after="0" w:line="240" w:lineRule="auto"/>
        <w:jc w:val="both"/>
        <w:rPr>
          <w:rFonts w:ascii="Times New Roman" w:eastAsia="Times New Roman" w:hAnsi="Times New Roman" w:cs="Times New Roman"/>
          <w:noProof/>
          <w:color w:val="000000"/>
          <w:sz w:val="24"/>
          <w:szCs w:val="24"/>
        </w:rPr>
      </w:pPr>
    </w:p>
    <w:tbl>
      <w:tblPr>
        <w:tblStyle w:val="TableGrid"/>
        <w:tblW w:w="0" w:type="auto"/>
        <w:tblInd w:w="108"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4A0" w:firstRow="1" w:lastRow="0" w:firstColumn="1" w:lastColumn="0" w:noHBand="0" w:noVBand="1"/>
      </w:tblPr>
      <w:tblGrid>
        <w:gridCol w:w="9072"/>
      </w:tblGrid>
      <w:tr w:rsidR="001D5370">
        <w:tc>
          <w:tcPr>
            <w:tcW w:w="9072" w:type="dxa"/>
            <w:shd w:val="clear" w:color="auto" w:fill="C7C7C7" w:themeFill="background1" w:themeFillShade="D9"/>
          </w:tcPr>
          <w:p w:rsidR="001D5370" w:rsidRDefault="002C451F">
            <w:pPr>
              <w:tabs>
                <w:tab w:val="left" w:pos="871"/>
              </w:tabs>
              <w:autoSpaceDE w:val="0"/>
              <w:autoSpaceDN w:val="0"/>
              <w:adjustRightInd w:val="0"/>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Selv om der er indført systemer til styring af håndtering og opbevaring af pesticider i næsten alle medlemsstater, kan det ikke altid vurderes, hvor effektive de er, fordi der man</w:t>
            </w:r>
            <w:r>
              <w:rPr>
                <w:rFonts w:ascii="Times New Roman" w:hAnsi="Times New Roman"/>
                <w:noProof/>
                <w:color w:val="000000"/>
                <w:sz w:val="24"/>
              </w:rPr>
              <w:t>gler målbare mål.</w:t>
            </w:r>
          </w:p>
        </w:tc>
      </w:tr>
    </w:tbl>
    <w:p w:rsidR="001D5370" w:rsidRDefault="001D5370">
      <w:pPr>
        <w:tabs>
          <w:tab w:val="left" w:pos="871"/>
        </w:tabs>
        <w:autoSpaceDE w:val="0"/>
        <w:autoSpaceDN w:val="0"/>
        <w:adjustRightInd w:val="0"/>
        <w:spacing w:after="0" w:line="240" w:lineRule="auto"/>
        <w:jc w:val="both"/>
        <w:rPr>
          <w:rFonts w:ascii="Times New Roman" w:eastAsia="Times New Roman" w:hAnsi="Times New Roman" w:cs="Times New Roman"/>
          <w:noProof/>
          <w:color w:val="000000"/>
          <w:sz w:val="24"/>
          <w:szCs w:val="24"/>
        </w:rPr>
      </w:pPr>
    </w:p>
    <w:p w:rsidR="001D5370" w:rsidRDefault="002C451F">
      <w:pPr>
        <w:tabs>
          <w:tab w:val="left" w:pos="871"/>
        </w:tabs>
        <w:autoSpaceDE w:val="0"/>
        <w:autoSpaceDN w:val="0"/>
        <w:adjustRightInd w:val="0"/>
        <w:spacing w:after="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De nationale handlingsplaner omhandler dette spørgsmål, men det er kun den italienske plan, der specifikt tager hånd om alle kravene i direktivet, dvs. opbevaring, håndtering, fortynding og opblanding af pesticider inden udbringning, hå</w:t>
      </w:r>
      <w:r>
        <w:rPr>
          <w:rFonts w:ascii="Times New Roman" w:hAnsi="Times New Roman"/>
          <w:noProof/>
          <w:color w:val="000000"/>
          <w:sz w:val="24"/>
        </w:rPr>
        <w:t>ndtering af emballager, bortskaffelse af restsprøjtevæske i tanke og rengøring af udstyr. Kun i 18 planer henvises der til initiativer vedrørende bortskaffelse af tomme pesticidbeholdere, hvilket gør det til den mest almindelige foreslåede handling på dett</w:t>
      </w:r>
      <w:r>
        <w:rPr>
          <w:rFonts w:ascii="Times New Roman" w:hAnsi="Times New Roman"/>
          <w:noProof/>
          <w:color w:val="000000"/>
          <w:sz w:val="24"/>
        </w:rPr>
        <w:t>e område. I ni planer henvises der til opbevaringsstandarder. Andre handlinger, som beskrives i planerne, omfatter reviderede opbevaringsstandarder, rengøring af udbringningsudstyr og sikker bortskaffelse af gamle ikkeregistrerede pesticider/rester.</w:t>
      </w:r>
    </w:p>
    <w:p w:rsidR="001D5370" w:rsidRDefault="001D5370">
      <w:pPr>
        <w:tabs>
          <w:tab w:val="left" w:pos="871"/>
        </w:tabs>
        <w:autoSpaceDE w:val="0"/>
        <w:autoSpaceDN w:val="0"/>
        <w:adjustRightInd w:val="0"/>
        <w:spacing w:after="0" w:line="240" w:lineRule="auto"/>
        <w:jc w:val="both"/>
        <w:rPr>
          <w:rFonts w:ascii="Times New Roman" w:eastAsia="Times New Roman" w:hAnsi="Times New Roman" w:cs="Times New Roman"/>
          <w:noProof/>
          <w:color w:val="000000"/>
          <w:sz w:val="24"/>
          <w:szCs w:val="24"/>
        </w:rPr>
      </w:pPr>
    </w:p>
    <w:p w:rsidR="001D5370" w:rsidRDefault="002C451F">
      <w:pPr>
        <w:tabs>
          <w:tab w:val="left" w:pos="871"/>
        </w:tabs>
        <w:autoSpaceDE w:val="0"/>
        <w:autoSpaceDN w:val="0"/>
        <w:adjustRightInd w:val="0"/>
        <w:spacing w:after="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Genne</w:t>
      </w:r>
      <w:r>
        <w:rPr>
          <w:rFonts w:ascii="Times New Roman" w:hAnsi="Times New Roman"/>
          <w:noProof/>
          <w:color w:val="000000"/>
          <w:sz w:val="24"/>
        </w:rPr>
        <w:t>mførelsen af disse krav blev vurderet af Kommissionen i audit i 19 medlemsstater i perioden 2012-2014. På tidspunktet for disse audit havde 15 medlemsstater vedtaget foranstaltninger vedrørende håndtering og opbevaring af pesticider, herunder nyttiggørelse</w:t>
      </w:r>
      <w:r>
        <w:rPr>
          <w:rFonts w:ascii="Times New Roman" w:hAnsi="Times New Roman"/>
          <w:noProof/>
          <w:color w:val="000000"/>
          <w:sz w:val="24"/>
        </w:rPr>
        <w:t xml:space="preserve"> og bortskaffelse af emballage og rester. Indsamling, transport og sikker bortskaffelse af både emballage og rester blev udført af godkendte virksomheder i fire medlemsstater i et samarbejde mellem myndigheder og pesticidindustrien. Medlemsstaterne suppler</w:t>
      </w:r>
      <w:r>
        <w:rPr>
          <w:rFonts w:ascii="Times New Roman" w:hAnsi="Times New Roman"/>
          <w:noProof/>
          <w:color w:val="000000"/>
          <w:sz w:val="24"/>
        </w:rPr>
        <w:t>ede gennemførelsen af den nationale lovgivning for sikker håndtering og opbevaring af pesticider ved at inspicere opbevaringsfaciliteterne.</w:t>
      </w:r>
    </w:p>
    <w:p w:rsidR="001D5370" w:rsidRDefault="001D5370">
      <w:pPr>
        <w:tabs>
          <w:tab w:val="left" w:pos="871"/>
        </w:tabs>
        <w:autoSpaceDE w:val="0"/>
        <w:autoSpaceDN w:val="0"/>
        <w:adjustRightInd w:val="0"/>
        <w:spacing w:after="0" w:line="240" w:lineRule="auto"/>
        <w:rPr>
          <w:rFonts w:ascii="Times New Roman" w:eastAsia="Times New Roman" w:hAnsi="Times New Roman" w:cs="Times New Roman"/>
          <w:noProof/>
          <w:color w:val="000000"/>
          <w:sz w:val="24"/>
          <w:szCs w:val="24"/>
        </w:rPr>
      </w:pPr>
    </w:p>
    <w:p w:rsidR="001D5370" w:rsidRDefault="002C451F">
      <w:pPr>
        <w:tabs>
          <w:tab w:val="left" w:pos="871"/>
        </w:tabs>
        <w:autoSpaceDE w:val="0"/>
        <w:autoSpaceDN w:val="0"/>
        <w:adjustRightInd w:val="0"/>
        <w:spacing w:after="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I deres besvarelse af 2016-spørgeskemaet svarede 25 medlemsstater</w:t>
      </w:r>
      <w:r>
        <w:rPr>
          <w:rStyle w:val="FootnoteReference"/>
          <w:rFonts w:ascii="Times New Roman" w:hAnsi="Times New Roman"/>
          <w:noProof/>
          <w:color w:val="000000"/>
          <w:sz w:val="24"/>
        </w:rPr>
        <w:footnoteReference w:id="45"/>
      </w:r>
      <w:r>
        <w:rPr>
          <w:rFonts w:ascii="Times New Roman" w:hAnsi="Times New Roman"/>
          <w:noProof/>
          <w:color w:val="000000"/>
          <w:sz w:val="24"/>
        </w:rPr>
        <w:t xml:space="preserve">, at de havde indført systemer til indsamling og </w:t>
      </w:r>
      <w:r>
        <w:rPr>
          <w:rFonts w:ascii="Times New Roman" w:hAnsi="Times New Roman"/>
          <w:noProof/>
          <w:color w:val="000000"/>
          <w:sz w:val="24"/>
        </w:rPr>
        <w:t>sikker opbevaring af tomme beholdere og emballering af plantebeskyttelsesmidler. I 21 medlemsstater omfatter disse systemer indsamling og sikker bortskaffelse af forældede og udløbne pesticider og pesticidrester. 15 medlemsstater har indført godkendelsessy</w:t>
      </w:r>
      <w:r>
        <w:rPr>
          <w:rFonts w:ascii="Times New Roman" w:hAnsi="Times New Roman"/>
          <w:noProof/>
          <w:color w:val="000000"/>
          <w:sz w:val="24"/>
        </w:rPr>
        <w:t>stemer til opbevaring af pesticider hos producenter og forhandlere.</w:t>
      </w:r>
    </w:p>
    <w:p w:rsidR="001D5370" w:rsidRDefault="002C451F">
      <w:pPr>
        <w:keepNext/>
        <w:numPr>
          <w:ilvl w:val="1"/>
          <w:numId w:val="1"/>
        </w:numPr>
        <w:spacing w:before="360" w:after="120" w:line="240" w:lineRule="auto"/>
        <w:jc w:val="both"/>
        <w:outlineLvl w:val="0"/>
        <w:rPr>
          <w:rFonts w:ascii="Times New Roman" w:eastAsia="Times New Roman" w:hAnsi="Times New Roman" w:cs="Times New Roman"/>
          <w:bCs/>
          <w:caps/>
          <w:smallCaps/>
          <w:noProof/>
          <w:sz w:val="24"/>
          <w:szCs w:val="24"/>
        </w:rPr>
      </w:pPr>
      <w:r>
        <w:rPr>
          <w:rFonts w:ascii="Times New Roman" w:hAnsi="Times New Roman"/>
          <w:caps/>
          <w:smallCaps/>
          <w:noProof/>
          <w:sz w:val="24"/>
        </w:rPr>
        <w:t>Integreret bekæmpelse af skadegørere</w:t>
      </w:r>
    </w:p>
    <w:p w:rsidR="001D5370" w:rsidRDefault="002C451F">
      <w:pPr>
        <w:tabs>
          <w:tab w:val="left" w:pos="871"/>
        </w:tabs>
        <w:autoSpaceDE w:val="0"/>
        <w:autoSpaceDN w:val="0"/>
        <w:adjustRightInd w:val="0"/>
        <w:spacing w:after="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Direktivets artikel 3 indeholder en definition af integreret bekæmpelse af skadegørere (IPM), og i artikel 14, stk. 4, stilles der krav om, at medlemss</w:t>
      </w:r>
      <w:r>
        <w:rPr>
          <w:rFonts w:ascii="Times New Roman" w:hAnsi="Times New Roman"/>
          <w:noProof/>
          <w:color w:val="000000"/>
          <w:sz w:val="24"/>
        </w:rPr>
        <w:t xml:space="preserve">taterne i deres nationale handlingsplaner skal gøre rede for, hvordan de vil sikre, at de generelle principper for integreret bekæmpelse af skadegørere bliver fulgt af alle professionelle brugere senest den 1. januar 2014. Desuden fastlægges det i artikel </w:t>
      </w:r>
      <w:r>
        <w:rPr>
          <w:rFonts w:ascii="Times New Roman" w:hAnsi="Times New Roman"/>
          <w:noProof/>
          <w:color w:val="000000"/>
          <w:sz w:val="24"/>
        </w:rPr>
        <w:t>55 i forordning 1107/2009, at korrekt anvendelse af pesticider skal ske i overensstemmelse med direktivets bestemmelser og navnlig de generelle principper om IPM.</w:t>
      </w:r>
    </w:p>
    <w:p w:rsidR="001D5370" w:rsidRDefault="001D5370">
      <w:pPr>
        <w:tabs>
          <w:tab w:val="left" w:pos="871"/>
        </w:tabs>
        <w:autoSpaceDE w:val="0"/>
        <w:autoSpaceDN w:val="0"/>
        <w:adjustRightInd w:val="0"/>
        <w:spacing w:after="0" w:line="240" w:lineRule="auto"/>
        <w:jc w:val="both"/>
        <w:rPr>
          <w:rFonts w:ascii="Times New Roman" w:eastAsia="Times New Roman" w:hAnsi="Times New Roman" w:cs="Times New Roman"/>
          <w:noProof/>
          <w:color w:val="000000"/>
          <w:sz w:val="24"/>
          <w:szCs w:val="24"/>
        </w:rPr>
      </w:pPr>
    </w:p>
    <w:p w:rsidR="001D5370" w:rsidRDefault="001D5370">
      <w:pPr>
        <w:tabs>
          <w:tab w:val="left" w:pos="871"/>
        </w:tabs>
        <w:autoSpaceDE w:val="0"/>
        <w:autoSpaceDN w:val="0"/>
        <w:adjustRightInd w:val="0"/>
        <w:spacing w:after="0" w:line="240" w:lineRule="auto"/>
        <w:jc w:val="both"/>
        <w:rPr>
          <w:rFonts w:ascii="Times New Roman" w:eastAsia="Times New Roman" w:hAnsi="Times New Roman" w:cs="Times New Roman"/>
          <w:noProof/>
          <w:color w:val="000000"/>
          <w:sz w:val="24"/>
          <w:szCs w:val="24"/>
        </w:rPr>
      </w:pPr>
    </w:p>
    <w:p w:rsidR="001D5370" w:rsidRDefault="001D5370">
      <w:pPr>
        <w:tabs>
          <w:tab w:val="left" w:pos="871"/>
        </w:tabs>
        <w:autoSpaceDE w:val="0"/>
        <w:autoSpaceDN w:val="0"/>
        <w:adjustRightInd w:val="0"/>
        <w:spacing w:after="0" w:line="240" w:lineRule="auto"/>
        <w:jc w:val="both"/>
        <w:rPr>
          <w:rFonts w:ascii="Times New Roman" w:eastAsia="Times New Roman" w:hAnsi="Times New Roman" w:cs="Times New Roman"/>
          <w:noProof/>
          <w:color w:val="000000"/>
          <w:sz w:val="24"/>
          <w:szCs w:val="24"/>
        </w:rPr>
      </w:pPr>
    </w:p>
    <w:p w:rsidR="001D5370" w:rsidRDefault="001D5370">
      <w:pPr>
        <w:tabs>
          <w:tab w:val="left" w:pos="871"/>
        </w:tabs>
        <w:autoSpaceDE w:val="0"/>
        <w:autoSpaceDN w:val="0"/>
        <w:adjustRightInd w:val="0"/>
        <w:spacing w:after="0" w:line="240" w:lineRule="auto"/>
        <w:jc w:val="both"/>
        <w:rPr>
          <w:rFonts w:ascii="Times New Roman" w:eastAsia="Times New Roman" w:hAnsi="Times New Roman" w:cs="Times New Roman"/>
          <w:noProof/>
          <w:color w:val="000000"/>
          <w:sz w:val="24"/>
          <w:szCs w:val="24"/>
        </w:rPr>
      </w:pPr>
    </w:p>
    <w:p w:rsidR="001D5370" w:rsidRDefault="002C451F">
      <w:pPr>
        <w:tabs>
          <w:tab w:val="left" w:pos="871"/>
        </w:tabs>
        <w:autoSpaceDE w:val="0"/>
        <w:autoSpaceDN w:val="0"/>
        <w:adjustRightInd w:val="0"/>
        <w:spacing w:after="0" w:line="240" w:lineRule="auto"/>
        <w:jc w:val="center"/>
        <w:rPr>
          <w:rFonts w:ascii="Times New Roman" w:eastAsia="Times New Roman" w:hAnsi="Times New Roman" w:cs="Times New Roman"/>
          <w:b/>
          <w:noProof/>
          <w:color w:val="000000"/>
          <w:sz w:val="24"/>
          <w:szCs w:val="24"/>
        </w:rPr>
      </w:pPr>
      <w:r>
        <w:rPr>
          <w:rFonts w:ascii="Times New Roman" w:hAnsi="Times New Roman"/>
          <w:b/>
          <w:noProof/>
          <w:color w:val="000000"/>
          <w:sz w:val="24"/>
        </w:rPr>
        <w:t>Hvad er IPM?</w:t>
      </w:r>
    </w:p>
    <w:p w:rsidR="001D5370" w:rsidRDefault="001D5370">
      <w:pPr>
        <w:tabs>
          <w:tab w:val="left" w:pos="871"/>
        </w:tabs>
        <w:autoSpaceDE w:val="0"/>
        <w:autoSpaceDN w:val="0"/>
        <w:adjustRightInd w:val="0"/>
        <w:spacing w:after="0" w:line="240" w:lineRule="auto"/>
        <w:jc w:val="both"/>
        <w:rPr>
          <w:rFonts w:ascii="Times New Roman" w:eastAsia="Times New Roman" w:hAnsi="Times New Roman" w:cs="Times New Roman"/>
          <w:noProof/>
          <w:color w:val="000000"/>
          <w:sz w:val="24"/>
          <w:szCs w:val="24"/>
        </w:rPr>
      </w:pPr>
    </w:p>
    <w:p w:rsidR="001D5370" w:rsidRDefault="002C451F">
      <w:pPr>
        <w:numPr>
          <w:ilvl w:val="0"/>
          <w:numId w:val="4"/>
        </w:numPr>
        <w:tabs>
          <w:tab w:val="left" w:pos="871"/>
        </w:tabs>
        <w:autoSpaceDE w:val="0"/>
        <w:autoSpaceDN w:val="0"/>
        <w:adjustRightInd w:val="0"/>
        <w:spacing w:after="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Sammen med fremme af økologisk landbrug er IPM et af værktøjerne til </w:t>
      </w:r>
      <w:r>
        <w:rPr>
          <w:rFonts w:ascii="Times New Roman" w:hAnsi="Times New Roman"/>
          <w:noProof/>
          <w:color w:val="000000"/>
          <w:sz w:val="24"/>
        </w:rPr>
        <w:t>bekæmpelse af skadegørere med lav anvendelse af pesticider.</w:t>
      </w:r>
    </w:p>
    <w:p w:rsidR="001D5370" w:rsidRDefault="002C451F">
      <w:pPr>
        <w:numPr>
          <w:ilvl w:val="0"/>
          <w:numId w:val="4"/>
        </w:numPr>
        <w:tabs>
          <w:tab w:val="left" w:pos="871"/>
        </w:tabs>
        <w:autoSpaceDE w:val="0"/>
        <w:autoSpaceDN w:val="0"/>
        <w:adjustRightInd w:val="0"/>
        <w:spacing w:after="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IPM omfatter en integreret tilgang til forebyggelse og/eller bekæmpelse af organismer, som er skadelige for planter, ved hjælp af alle tilgængelige oplysninger, værktøjer og plantebeskyttelsesmeto</w:t>
      </w:r>
      <w:r>
        <w:rPr>
          <w:rFonts w:ascii="Times New Roman" w:hAnsi="Times New Roman"/>
          <w:noProof/>
          <w:color w:val="000000"/>
          <w:sz w:val="24"/>
        </w:rPr>
        <w:t>der.</w:t>
      </w:r>
    </w:p>
    <w:p w:rsidR="001D5370" w:rsidRDefault="002C451F">
      <w:pPr>
        <w:numPr>
          <w:ilvl w:val="0"/>
          <w:numId w:val="4"/>
        </w:numPr>
        <w:tabs>
          <w:tab w:val="left" w:pos="871"/>
        </w:tabs>
        <w:autoSpaceDE w:val="0"/>
        <w:autoSpaceDN w:val="0"/>
        <w:adjustRightInd w:val="0"/>
        <w:spacing w:after="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Formålet med IPM er at holde anvendelsen af pesticider og andre former for intervention på et niveau, som er økonomisk og økologisk begrundet, og som reducerer eller minimerer risikoen for menneskers sundhed og miljøet.</w:t>
      </w:r>
    </w:p>
    <w:p w:rsidR="001D5370" w:rsidRDefault="002C451F">
      <w:pPr>
        <w:numPr>
          <w:ilvl w:val="0"/>
          <w:numId w:val="4"/>
        </w:numPr>
        <w:tabs>
          <w:tab w:val="left" w:pos="871"/>
        </w:tabs>
        <w:autoSpaceDE w:val="0"/>
        <w:autoSpaceDN w:val="0"/>
        <w:adjustRightInd w:val="0"/>
        <w:spacing w:after="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Bæredygtige biologiske, fysiske</w:t>
      </w:r>
      <w:r>
        <w:rPr>
          <w:rFonts w:ascii="Times New Roman" w:hAnsi="Times New Roman"/>
          <w:noProof/>
          <w:color w:val="000000"/>
          <w:sz w:val="24"/>
        </w:rPr>
        <w:t xml:space="preserve"> og andre ikkekemiske metoder skal foretrækkes frem for kemiske metoder, hvis de er tilstrækkeligt effektive til skadedyrsbekæmpelse.</w:t>
      </w:r>
    </w:p>
    <w:p w:rsidR="001D5370" w:rsidRDefault="001D5370">
      <w:pPr>
        <w:tabs>
          <w:tab w:val="left" w:pos="871"/>
        </w:tabs>
        <w:autoSpaceDE w:val="0"/>
        <w:autoSpaceDN w:val="0"/>
        <w:adjustRightInd w:val="0"/>
        <w:spacing w:after="0" w:line="240" w:lineRule="auto"/>
        <w:jc w:val="both"/>
        <w:rPr>
          <w:rFonts w:ascii="Times New Roman" w:eastAsia="Times New Roman" w:hAnsi="Times New Roman" w:cs="Times New Roman"/>
          <w:noProof/>
          <w:color w:val="000000"/>
          <w:sz w:val="24"/>
          <w:szCs w:val="24"/>
        </w:rPr>
      </w:pPr>
    </w:p>
    <w:tbl>
      <w:tblPr>
        <w:tblStyle w:val="TableGrid"/>
        <w:tblW w:w="0" w:type="auto"/>
        <w:tblInd w:w="108"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4A0" w:firstRow="1" w:lastRow="0" w:firstColumn="1" w:lastColumn="0" w:noHBand="0" w:noVBand="1"/>
      </w:tblPr>
      <w:tblGrid>
        <w:gridCol w:w="9072"/>
      </w:tblGrid>
      <w:tr w:rsidR="001D5370">
        <w:tc>
          <w:tcPr>
            <w:tcW w:w="9072" w:type="dxa"/>
            <w:shd w:val="clear" w:color="auto" w:fill="C7C7C7" w:themeFill="background1" w:themeFillShade="D9"/>
          </w:tcPr>
          <w:p w:rsidR="001D5370" w:rsidRDefault="002C451F">
            <w:pPr>
              <w:tabs>
                <w:tab w:val="left" w:pos="871"/>
              </w:tabs>
              <w:autoSpaceDE w:val="0"/>
              <w:autoSpaceDN w:val="0"/>
              <w:adjustRightInd w:val="0"/>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Medlemsstaterne skal udvikle klart definerede kriterier, så de kan foretage en systematisk vurdering af, om de otte princ</w:t>
            </w:r>
            <w:r>
              <w:rPr>
                <w:rFonts w:ascii="Times New Roman" w:hAnsi="Times New Roman"/>
                <w:noProof/>
                <w:color w:val="000000"/>
                <w:sz w:val="24"/>
              </w:rPr>
              <w:t>ipper for IPM er gennemført, og træffe passende håndhævelsesforanstaltninger, hvis dette ikke er tilfældet. Sådanne værktøjer kan bekræfte, at det tilsigtede resultat af IPM som angivet i direktivet, begrænsning af afhængigheden af pesticidanvendelse, er o</w:t>
            </w:r>
            <w:r>
              <w:rPr>
                <w:rFonts w:ascii="Times New Roman" w:hAnsi="Times New Roman"/>
                <w:noProof/>
                <w:color w:val="000000"/>
                <w:sz w:val="24"/>
              </w:rPr>
              <w:t>pnået.</w:t>
            </w:r>
          </w:p>
        </w:tc>
      </w:tr>
    </w:tbl>
    <w:p w:rsidR="001D5370" w:rsidRDefault="001D5370">
      <w:pPr>
        <w:tabs>
          <w:tab w:val="left" w:pos="871"/>
        </w:tabs>
        <w:autoSpaceDE w:val="0"/>
        <w:autoSpaceDN w:val="0"/>
        <w:adjustRightInd w:val="0"/>
        <w:spacing w:after="0" w:line="240" w:lineRule="auto"/>
        <w:jc w:val="both"/>
        <w:rPr>
          <w:rFonts w:ascii="Times New Roman" w:eastAsia="Times New Roman" w:hAnsi="Times New Roman" w:cs="Times New Roman"/>
          <w:noProof/>
          <w:color w:val="000000"/>
          <w:sz w:val="24"/>
          <w:szCs w:val="24"/>
        </w:rPr>
      </w:pPr>
    </w:p>
    <w:p w:rsidR="001D5370" w:rsidRDefault="002C451F">
      <w:pPr>
        <w:tabs>
          <w:tab w:val="left" w:pos="871"/>
        </w:tabs>
        <w:autoSpaceDE w:val="0"/>
        <w:autoSpaceDN w:val="0"/>
        <w:adjustRightInd w:val="0"/>
        <w:spacing w:after="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De otte generelle principper for integreret bekæmpelse af skadegørere er anført i bilag III til direktivet. Det er dog ikke udtrykkeligt defineret, hvordan disse principper skal anvendes i praksis. Delvist som følge af mangfoldigheden i EU's </w:t>
      </w:r>
      <w:r>
        <w:rPr>
          <w:rFonts w:ascii="Times New Roman" w:hAnsi="Times New Roman"/>
          <w:noProof/>
          <w:color w:val="000000"/>
          <w:sz w:val="24"/>
        </w:rPr>
        <w:t>landbrug med hensyn til klima, afgrøder og produktionsteknikker og nærhedsprincippet, gennemføres de otte IPM-principper på mange forskellige måder af professionelle brugere af pesticider i hele EU. Medlemsstaterne støtter fortsat økologisk landbrug som et</w:t>
      </w:r>
      <w:r>
        <w:rPr>
          <w:rFonts w:ascii="Times New Roman" w:hAnsi="Times New Roman"/>
          <w:noProof/>
          <w:color w:val="000000"/>
          <w:sz w:val="24"/>
        </w:rPr>
        <w:t xml:space="preserve"> system med lav anvendelse af pesticider, og antallet af økologiske bedrifter stiger fortsat. Det økologiske område i EU dækkede i 2015 6,2 % af det samlede landbrugsareal.</w:t>
      </w:r>
    </w:p>
    <w:p w:rsidR="001D5370" w:rsidRDefault="001D5370">
      <w:pPr>
        <w:tabs>
          <w:tab w:val="left" w:pos="871"/>
        </w:tabs>
        <w:autoSpaceDE w:val="0"/>
        <w:autoSpaceDN w:val="0"/>
        <w:adjustRightInd w:val="0"/>
        <w:spacing w:after="0" w:line="240" w:lineRule="auto"/>
        <w:rPr>
          <w:rFonts w:ascii="Times New Roman" w:eastAsia="Times New Roman" w:hAnsi="Times New Roman" w:cs="Times New Roman"/>
          <w:noProof/>
          <w:color w:val="000000"/>
          <w:sz w:val="24"/>
          <w:szCs w:val="24"/>
        </w:rPr>
      </w:pPr>
    </w:p>
    <w:p w:rsidR="001D5370" w:rsidRDefault="002C451F">
      <w:pPr>
        <w:tabs>
          <w:tab w:val="left" w:pos="871"/>
        </w:tabs>
        <w:autoSpaceDE w:val="0"/>
        <w:autoSpaceDN w:val="0"/>
        <w:adjustRightInd w:val="0"/>
        <w:spacing w:after="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I deres nationale handlingsplaner angiver alle medlemsstaterne, at de træffer en l</w:t>
      </w:r>
      <w:r>
        <w:rPr>
          <w:rFonts w:ascii="Times New Roman" w:hAnsi="Times New Roman"/>
          <w:noProof/>
          <w:color w:val="000000"/>
          <w:sz w:val="24"/>
        </w:rPr>
        <w:t>ang række omfattende foranstaltninger for at fremme gennemførelsen af IPM. I 24 medlemsstater</w:t>
      </w:r>
      <w:r>
        <w:rPr>
          <w:rStyle w:val="FootnoteReference"/>
          <w:rFonts w:ascii="Times New Roman" w:hAnsi="Times New Roman"/>
          <w:noProof/>
          <w:color w:val="000000"/>
          <w:sz w:val="24"/>
        </w:rPr>
        <w:footnoteReference w:id="46"/>
      </w:r>
      <w:r>
        <w:rPr>
          <w:rFonts w:ascii="Times New Roman" w:hAnsi="Times New Roman"/>
          <w:noProof/>
          <w:color w:val="000000"/>
          <w:sz w:val="24"/>
        </w:rPr>
        <w:t xml:space="preserve"> er der indført offentligt finansierede systemer til prognoser, advarsler og tidlig diagnose til kontrol med skadegørere og sygdomme, og der er fastsat økonomiske</w:t>
      </w:r>
      <w:r>
        <w:rPr>
          <w:rFonts w:ascii="Times New Roman" w:hAnsi="Times New Roman"/>
          <w:noProof/>
          <w:color w:val="000000"/>
          <w:sz w:val="24"/>
        </w:rPr>
        <w:t xml:space="preserve"> tærskler for vigtige skadegørere for at hjælpe landbrugere med beslutningsprocessen. Til dette formål findes der officielle websteder med it-værktøjer. 12 medlemsstater har etableret netværk af bedrifter til demonstration af IPM for at hjælpe med at udvik</w:t>
      </w:r>
      <w:r>
        <w:rPr>
          <w:rFonts w:ascii="Times New Roman" w:hAnsi="Times New Roman"/>
          <w:noProof/>
          <w:color w:val="000000"/>
          <w:sz w:val="24"/>
        </w:rPr>
        <w:t xml:space="preserve">le og udbrede IPM-teknikker for de lokale klimabetingelser og dyrkede afgrøder. Derudover har professionelle brugere adgang til en lang række IPM-retningslinjer, som er udarbejdet af officielle tjenester og organisationer, som repræsenterer professionelle </w:t>
      </w:r>
      <w:r>
        <w:rPr>
          <w:rFonts w:ascii="Times New Roman" w:hAnsi="Times New Roman"/>
          <w:noProof/>
          <w:color w:val="000000"/>
          <w:sz w:val="24"/>
        </w:rPr>
        <w:t>grupper. Medlemsstaterne skal indarbejde generelle IPM-principper i deres bedriftsrådgivningsordninger efter artikel 12, stk. 2, litra e), i forordning (EU) nr. 1306/2013</w:t>
      </w:r>
      <w:r>
        <w:rPr>
          <w:rFonts w:ascii="Times New Roman" w:hAnsi="Times New Roman"/>
          <w:noProof/>
          <w:color w:val="000000"/>
          <w:sz w:val="24"/>
          <w:vertAlign w:val="superscript"/>
        </w:rPr>
        <w:footnoteReference w:id="47"/>
      </w:r>
      <w:r>
        <w:rPr>
          <w:rFonts w:ascii="Times New Roman" w:hAnsi="Times New Roman"/>
          <w:noProof/>
          <w:color w:val="000000"/>
          <w:sz w:val="24"/>
        </w:rPr>
        <w:t>. Medlemsstaterne fremhævede, at officielle rådgivende tjenester, som er uafhængige a</w:t>
      </w:r>
      <w:r>
        <w:rPr>
          <w:rFonts w:ascii="Times New Roman" w:hAnsi="Times New Roman"/>
          <w:noProof/>
          <w:color w:val="000000"/>
          <w:sz w:val="24"/>
        </w:rPr>
        <w:t>f kommercielle interesser, er meget vigtige for gennemførelsen af IPM.</w:t>
      </w:r>
    </w:p>
    <w:p w:rsidR="001D5370" w:rsidRDefault="001D5370">
      <w:pPr>
        <w:tabs>
          <w:tab w:val="left" w:pos="871"/>
        </w:tabs>
        <w:autoSpaceDE w:val="0"/>
        <w:autoSpaceDN w:val="0"/>
        <w:adjustRightInd w:val="0"/>
        <w:spacing w:after="0" w:line="240" w:lineRule="auto"/>
        <w:jc w:val="both"/>
        <w:rPr>
          <w:rFonts w:ascii="Times New Roman" w:eastAsia="Times New Roman" w:hAnsi="Times New Roman" w:cs="Times New Roman"/>
          <w:noProof/>
          <w:color w:val="000000"/>
          <w:sz w:val="24"/>
          <w:szCs w:val="24"/>
        </w:rPr>
      </w:pPr>
    </w:p>
    <w:p w:rsidR="001D5370" w:rsidRDefault="002C451F">
      <w:pPr>
        <w:tabs>
          <w:tab w:val="left" w:pos="871"/>
        </w:tabs>
        <w:autoSpaceDE w:val="0"/>
        <w:autoSpaceDN w:val="0"/>
        <w:adjustRightInd w:val="0"/>
        <w:spacing w:after="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Kommissionen og medlemsstaterne har samfinansieret Endure-netværket</w:t>
      </w:r>
      <w:r>
        <w:rPr>
          <w:rFonts w:ascii="Times New Roman" w:hAnsi="Times New Roman"/>
          <w:noProof/>
          <w:color w:val="000000"/>
          <w:sz w:val="24"/>
          <w:vertAlign w:val="superscript"/>
        </w:rPr>
        <w:footnoteReference w:id="48"/>
      </w:r>
      <w:r>
        <w:rPr>
          <w:rFonts w:ascii="Times New Roman" w:hAnsi="Times New Roman"/>
          <w:noProof/>
          <w:color w:val="000000"/>
          <w:sz w:val="24"/>
        </w:rPr>
        <w:t>, som samler landbrugsforskning, undervisning og videnoverførsel med særlig interesse for IPM. Kommissionen har unde</w:t>
      </w:r>
      <w:r>
        <w:rPr>
          <w:rFonts w:ascii="Times New Roman" w:hAnsi="Times New Roman"/>
          <w:noProof/>
          <w:color w:val="000000"/>
          <w:sz w:val="24"/>
        </w:rPr>
        <w:t>r EU's syvende rammeprogram støttet projektet C-IPM</w:t>
      </w:r>
      <w:r>
        <w:rPr>
          <w:rFonts w:ascii="Times New Roman" w:hAnsi="Times New Roman"/>
          <w:noProof/>
          <w:color w:val="000000"/>
          <w:sz w:val="24"/>
          <w:vertAlign w:val="superscript"/>
        </w:rPr>
        <w:footnoteReference w:id="49"/>
      </w:r>
      <w:r>
        <w:rPr>
          <w:rFonts w:ascii="Times New Roman" w:hAnsi="Times New Roman"/>
          <w:noProof/>
          <w:color w:val="000000"/>
          <w:sz w:val="24"/>
        </w:rPr>
        <w:t xml:space="preserve"> for at skabe et forum for IPM-forskning og udvikling af prioriteter, forbinde eksisterende forskningsinitiativer og foreslå ny forskning. Kommissionen har finansieret en lang række yderligere forskningsp</w:t>
      </w:r>
      <w:r>
        <w:rPr>
          <w:rFonts w:ascii="Times New Roman" w:hAnsi="Times New Roman"/>
          <w:noProof/>
          <w:color w:val="000000"/>
          <w:sz w:val="24"/>
        </w:rPr>
        <w:t>rojekter</w:t>
      </w:r>
      <w:r>
        <w:rPr>
          <w:rStyle w:val="FootnoteReference"/>
          <w:rFonts w:ascii="Times New Roman" w:hAnsi="Times New Roman"/>
          <w:noProof/>
          <w:color w:val="000000"/>
          <w:sz w:val="24"/>
        </w:rPr>
        <w:footnoteReference w:id="50"/>
      </w:r>
      <w:r>
        <w:rPr>
          <w:rFonts w:ascii="Times New Roman" w:hAnsi="Times New Roman"/>
          <w:noProof/>
          <w:color w:val="000000"/>
          <w:sz w:val="24"/>
        </w:rPr>
        <w:t>. I 2014 og 2016 blev der tilrettelagt to IPM-workshopper i EU i samarbejde med de tyske myndigheder. Kommissionen vil gennem programmet om bedre uddannelse for sikrere fødevarer (''Better Training for Safer Food'') køre en række kurser fra 2018 o</w:t>
      </w:r>
      <w:r>
        <w:rPr>
          <w:rFonts w:ascii="Times New Roman" w:hAnsi="Times New Roman"/>
          <w:noProof/>
          <w:color w:val="000000"/>
          <w:sz w:val="24"/>
        </w:rPr>
        <w:t>g frem for eksperter fra medlemsstaterne om gennemførelsen af IPM.</w:t>
      </w:r>
    </w:p>
    <w:p w:rsidR="001D5370" w:rsidRDefault="001D5370">
      <w:pPr>
        <w:tabs>
          <w:tab w:val="left" w:pos="871"/>
        </w:tabs>
        <w:autoSpaceDE w:val="0"/>
        <w:autoSpaceDN w:val="0"/>
        <w:adjustRightInd w:val="0"/>
        <w:spacing w:after="0" w:line="240" w:lineRule="auto"/>
        <w:jc w:val="both"/>
        <w:rPr>
          <w:rFonts w:ascii="Times New Roman" w:eastAsia="Times New Roman" w:hAnsi="Times New Roman" w:cs="Times New Roman"/>
          <w:noProof/>
          <w:color w:val="000000"/>
          <w:sz w:val="24"/>
          <w:szCs w:val="24"/>
        </w:rPr>
      </w:pPr>
    </w:p>
    <w:p w:rsidR="001D5370" w:rsidRDefault="002C451F">
      <w:pPr>
        <w:tabs>
          <w:tab w:val="left" w:pos="871"/>
        </w:tabs>
        <w:autoSpaceDE w:val="0"/>
        <w:autoSpaceDN w:val="0"/>
        <w:adjustRightInd w:val="0"/>
        <w:spacing w:after="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Medlemsstaterne har ikke konverteret IPM-principperne til præskriptive og vurderbare kriterier. De ser primært IPM som et undervisningsværktøj for landbrugere og har ikke indført metoder t</w:t>
      </w:r>
      <w:r>
        <w:rPr>
          <w:rFonts w:ascii="Times New Roman" w:hAnsi="Times New Roman"/>
          <w:noProof/>
          <w:color w:val="000000"/>
          <w:sz w:val="24"/>
        </w:rPr>
        <w:t>il at vurdere overholdelsen af IPM-principper. Selv om medlemsstaterne træffer en række foranstaltninger til at fremme anvendelsen af IPM, sikrer dette ikke nødvendigvis, at de relevante IPM-teknikker rent faktisk gennemføres af brugerne. Landbrugere er øk</w:t>
      </w:r>
      <w:r>
        <w:rPr>
          <w:rFonts w:ascii="Times New Roman" w:hAnsi="Times New Roman"/>
          <w:noProof/>
          <w:color w:val="000000"/>
          <w:sz w:val="24"/>
        </w:rPr>
        <w:t>onomiske operatører, og selv om IPM-teknikker fra et langsigtet perspektiv er bæredygtige, kan IPM betyde en højere økonomisk risiko på kort sigt. Det kan f.eks. være at foretrække at dyrke majs eller hvede i monokultur af økonomiske grunde. Denne kortsigt</w:t>
      </w:r>
      <w:r>
        <w:rPr>
          <w:rFonts w:ascii="Times New Roman" w:hAnsi="Times New Roman"/>
          <w:noProof/>
          <w:color w:val="000000"/>
          <w:sz w:val="24"/>
        </w:rPr>
        <w:t>ede tilgang til arealforvaltning indebærer imidlertid en betydelig risiko for omkostninger på længere sigt, f.eks. som følge af øgede populationer af skadegørere eller ukrudt i monokulturer. I sidste ende kan monokulturer betyde tab af biodiversitet, jorde</w:t>
      </w:r>
      <w:r>
        <w:rPr>
          <w:rFonts w:ascii="Times New Roman" w:hAnsi="Times New Roman"/>
          <w:noProof/>
          <w:color w:val="000000"/>
          <w:sz w:val="24"/>
        </w:rPr>
        <w:t>rosion og endda ørkendannelse. Som eksempel på en kortsigtet tilgang indrømmede Rumænien godkendelse til brug af neonicotinoider til behandling af frø i et udefineret område med majs uden at undersøge, om det i stedet var muligt med sædskifte.</w:t>
      </w:r>
    </w:p>
    <w:p w:rsidR="001D5370" w:rsidRDefault="001D5370">
      <w:pPr>
        <w:tabs>
          <w:tab w:val="left" w:pos="871"/>
        </w:tabs>
        <w:autoSpaceDE w:val="0"/>
        <w:autoSpaceDN w:val="0"/>
        <w:adjustRightInd w:val="0"/>
        <w:spacing w:after="0" w:line="240" w:lineRule="auto"/>
        <w:jc w:val="both"/>
        <w:rPr>
          <w:rFonts w:ascii="Times New Roman" w:eastAsia="Times New Roman" w:hAnsi="Times New Roman" w:cs="Times New Roman"/>
          <w:noProof/>
          <w:color w:val="000000"/>
          <w:sz w:val="24"/>
          <w:szCs w:val="24"/>
        </w:rPr>
      </w:pPr>
    </w:p>
    <w:p w:rsidR="001D5370" w:rsidRDefault="002C451F">
      <w:pPr>
        <w:tabs>
          <w:tab w:val="left" w:pos="871"/>
        </w:tabs>
        <w:autoSpaceDE w:val="0"/>
        <w:autoSpaceDN w:val="0"/>
        <w:adjustRightInd w:val="0"/>
        <w:spacing w:after="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Under sine </w:t>
      </w:r>
      <w:r>
        <w:rPr>
          <w:rFonts w:ascii="Times New Roman" w:hAnsi="Times New Roman"/>
          <w:noProof/>
          <w:color w:val="000000"/>
          <w:sz w:val="24"/>
        </w:rPr>
        <w:t>factfinding-besøg i medlemsstaterne i 2017 fandt Kommissionen eksempler på, hvordan IPM-gennemførelsen blev vurderet. I mange tilfælde var den baseret på landbrugernes selvevaluering, som viste, af IPM-praksis var mere bredt gennemført i grøntsagsproduktio</w:t>
      </w:r>
      <w:r>
        <w:rPr>
          <w:rFonts w:ascii="Times New Roman" w:hAnsi="Times New Roman"/>
          <w:noProof/>
          <w:color w:val="000000"/>
          <w:sz w:val="24"/>
        </w:rPr>
        <w:t>n, drivhuse og planteskoler end i agerjord. Derudover verificeres IPM-gennemførelsen for frivillige ordninger og for privat certificering i forhold til standarder for god landbrugspraksis.</w:t>
      </w:r>
    </w:p>
    <w:p w:rsidR="001D5370" w:rsidRDefault="001D5370">
      <w:pPr>
        <w:tabs>
          <w:tab w:val="left" w:pos="871"/>
        </w:tabs>
        <w:autoSpaceDE w:val="0"/>
        <w:autoSpaceDN w:val="0"/>
        <w:adjustRightInd w:val="0"/>
        <w:spacing w:after="0" w:line="240" w:lineRule="auto"/>
        <w:jc w:val="both"/>
        <w:rPr>
          <w:rFonts w:ascii="Times New Roman" w:eastAsia="Times New Roman" w:hAnsi="Times New Roman" w:cs="Times New Roman"/>
          <w:noProof/>
          <w:color w:val="000000"/>
          <w:sz w:val="24"/>
          <w:szCs w:val="24"/>
        </w:rPr>
      </w:pPr>
    </w:p>
    <w:p w:rsidR="001D5370" w:rsidRDefault="002C451F">
      <w:pPr>
        <w:tabs>
          <w:tab w:val="left" w:pos="871"/>
        </w:tabs>
        <w:autoSpaceDE w:val="0"/>
        <w:autoSpaceDN w:val="0"/>
        <w:adjustRightInd w:val="0"/>
        <w:spacing w:after="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I alle de seks besøgte medlemsstater anførte myndighederne, at der</w:t>
      </w:r>
      <w:r>
        <w:rPr>
          <w:rFonts w:ascii="Times New Roman" w:hAnsi="Times New Roman"/>
          <w:noProof/>
          <w:color w:val="000000"/>
          <w:sz w:val="24"/>
        </w:rPr>
        <w:t xml:space="preserve"> efter deres mening kunne vedtages visse IPM-teknikker på et bredere grundlag som sædskifte, udvælgelse af frø og plantemateriale og brug af passende dyrkningsmetoder. En undersøgelse foretaget i Danmark støttede dette synspunkt ved at vise, at selv om lan</w:t>
      </w:r>
      <w:r>
        <w:rPr>
          <w:rFonts w:ascii="Times New Roman" w:hAnsi="Times New Roman"/>
          <w:noProof/>
          <w:color w:val="000000"/>
          <w:sz w:val="24"/>
        </w:rPr>
        <w:t>dbrugerne i stigende grad er opmærksomme på IPM-teknikker, var den faktiske gennemførelse af disse teknikker kun øget marginalt. En analyse gennemført af Nederlandene viste, at landbrugerne generelt gennemfører IPM-principper, men ingen af de generelle IPM</w:t>
      </w:r>
      <w:r>
        <w:rPr>
          <w:rFonts w:ascii="Times New Roman" w:hAnsi="Times New Roman"/>
          <w:noProof/>
          <w:color w:val="000000"/>
          <w:sz w:val="24"/>
        </w:rPr>
        <w:t>-principper udnyttes med deres fulde potentiale.</w:t>
      </w:r>
    </w:p>
    <w:p w:rsidR="001D5370" w:rsidRDefault="001D5370">
      <w:pPr>
        <w:tabs>
          <w:tab w:val="left" w:pos="871"/>
        </w:tabs>
        <w:autoSpaceDE w:val="0"/>
        <w:autoSpaceDN w:val="0"/>
        <w:adjustRightInd w:val="0"/>
        <w:spacing w:after="0" w:line="240" w:lineRule="auto"/>
        <w:jc w:val="both"/>
        <w:rPr>
          <w:rFonts w:ascii="Times New Roman" w:eastAsia="Times New Roman" w:hAnsi="Times New Roman" w:cs="Times New Roman"/>
          <w:noProof/>
          <w:color w:val="000000"/>
          <w:sz w:val="24"/>
          <w:szCs w:val="24"/>
        </w:rPr>
      </w:pPr>
    </w:p>
    <w:p w:rsidR="001D5370" w:rsidRDefault="002C451F">
      <w:pPr>
        <w:tabs>
          <w:tab w:val="left" w:pos="871"/>
        </w:tabs>
        <w:autoSpaceDE w:val="0"/>
        <w:autoSpaceDN w:val="0"/>
        <w:adjustRightInd w:val="0"/>
        <w:spacing w:after="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Medlemsstaterne fremhævede den manglende tilgængelighed af lavrisikopesticider og ikkekemiske pesticider som en hindring for yderligere IPM-udvikling. Incitamenter til registrering af lavrisikoprodukter og </w:t>
      </w:r>
      <w:r>
        <w:rPr>
          <w:rFonts w:ascii="Times New Roman" w:hAnsi="Times New Roman"/>
          <w:noProof/>
          <w:color w:val="000000"/>
          <w:sz w:val="24"/>
        </w:rPr>
        <w:t>ikkekemiske produkter nævnes imidlertid kun i nogle få nationale handlingsplaner. Godkendelse og fremme af lavrisikopesticider og ikkekemiske pesticider er derfor en anden vigtig foranstaltning, som støtter bekæmpelse af skadegørere med lav anvendelse af p</w:t>
      </w:r>
      <w:r>
        <w:rPr>
          <w:rFonts w:ascii="Times New Roman" w:hAnsi="Times New Roman"/>
          <w:noProof/>
          <w:color w:val="000000"/>
          <w:sz w:val="24"/>
        </w:rPr>
        <w:t>esticider. I tre medlemsstater</w:t>
      </w:r>
      <w:r>
        <w:rPr>
          <w:rStyle w:val="FootnoteReference"/>
          <w:rFonts w:ascii="Times New Roman" w:hAnsi="Times New Roman"/>
          <w:noProof/>
          <w:color w:val="000000"/>
          <w:sz w:val="24"/>
        </w:rPr>
        <w:footnoteReference w:id="51"/>
      </w:r>
      <w:r>
        <w:rPr>
          <w:rFonts w:ascii="Times New Roman" w:hAnsi="Times New Roman"/>
          <w:noProof/>
          <w:color w:val="000000"/>
          <w:sz w:val="24"/>
        </w:rPr>
        <w:t xml:space="preserve"> var andelen af ikkekemiske aktivstoffer i pesticider sammenlignet med alle aktivstoffer i godkendte pesticider høj og lå på over 10 % i 2015.</w:t>
      </w:r>
    </w:p>
    <w:p w:rsidR="001D5370" w:rsidRDefault="002C451F">
      <w:pPr>
        <w:keepNext/>
        <w:numPr>
          <w:ilvl w:val="1"/>
          <w:numId w:val="1"/>
        </w:numPr>
        <w:spacing w:before="360" w:after="120" w:line="240" w:lineRule="auto"/>
        <w:jc w:val="both"/>
        <w:outlineLvl w:val="0"/>
        <w:rPr>
          <w:rFonts w:ascii="Times New Roman" w:eastAsia="Times New Roman" w:hAnsi="Times New Roman" w:cs="Times New Roman"/>
          <w:bCs/>
          <w:caps/>
          <w:smallCaps/>
          <w:noProof/>
          <w:sz w:val="24"/>
          <w:szCs w:val="24"/>
        </w:rPr>
      </w:pPr>
      <w:r>
        <w:rPr>
          <w:rFonts w:ascii="Times New Roman" w:hAnsi="Times New Roman"/>
          <w:caps/>
          <w:smallCaps/>
          <w:noProof/>
          <w:sz w:val="24"/>
        </w:rPr>
        <w:t>Risikoindikatorer</w:t>
      </w:r>
    </w:p>
    <w:p w:rsidR="001D5370" w:rsidRDefault="002C451F">
      <w:pPr>
        <w:tabs>
          <w:tab w:val="left" w:pos="871"/>
        </w:tabs>
        <w:autoSpaceDE w:val="0"/>
        <w:autoSpaceDN w:val="0"/>
        <w:adjustRightInd w:val="0"/>
        <w:spacing w:after="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For at måle de fremskridt, der gøres for at mindske risikoen ved</w:t>
      </w:r>
      <w:r>
        <w:rPr>
          <w:rFonts w:ascii="Times New Roman" w:hAnsi="Times New Roman"/>
          <w:noProof/>
          <w:color w:val="000000"/>
          <w:sz w:val="24"/>
        </w:rPr>
        <w:t xml:space="preserve"> og de negative virkninger af pesticidanvendelse for menneskers sundhed og miljøet, stilles der i direktivets artikel 15 krav om, at der fastlægges harmoniserede risikoindikatorer. Det fastsættes endvidere, at medlemsstaterne skal fortsætte med at anvende </w:t>
      </w:r>
      <w:r>
        <w:rPr>
          <w:rFonts w:ascii="Times New Roman" w:hAnsi="Times New Roman"/>
          <w:noProof/>
          <w:color w:val="000000"/>
          <w:sz w:val="24"/>
        </w:rPr>
        <w:t>eksisterende nationale indikatorer eller vedtage yderligere, alt efter hvad der er relevant.</w:t>
      </w:r>
    </w:p>
    <w:p w:rsidR="001D5370" w:rsidRDefault="001D5370">
      <w:pPr>
        <w:tabs>
          <w:tab w:val="left" w:pos="871"/>
        </w:tabs>
        <w:autoSpaceDE w:val="0"/>
        <w:autoSpaceDN w:val="0"/>
        <w:adjustRightInd w:val="0"/>
        <w:spacing w:after="0" w:line="240" w:lineRule="auto"/>
        <w:jc w:val="both"/>
        <w:rPr>
          <w:rFonts w:ascii="Times New Roman" w:eastAsia="Times New Roman" w:hAnsi="Times New Roman" w:cs="Times New Roman"/>
          <w:noProof/>
          <w:color w:val="000000"/>
          <w:sz w:val="24"/>
          <w:szCs w:val="24"/>
        </w:rPr>
      </w:pPr>
    </w:p>
    <w:tbl>
      <w:tblPr>
        <w:tblStyle w:val="TableGrid"/>
        <w:tblW w:w="0" w:type="auto"/>
        <w:tblInd w:w="108"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4A0" w:firstRow="1" w:lastRow="0" w:firstColumn="1" w:lastColumn="0" w:noHBand="0" w:noVBand="1"/>
      </w:tblPr>
      <w:tblGrid>
        <w:gridCol w:w="9072"/>
      </w:tblGrid>
      <w:tr w:rsidR="001D5370">
        <w:tc>
          <w:tcPr>
            <w:tcW w:w="9072" w:type="dxa"/>
            <w:shd w:val="clear" w:color="auto" w:fill="C7C7C7" w:themeFill="background1" w:themeFillShade="D9"/>
          </w:tcPr>
          <w:p w:rsidR="001D5370" w:rsidRDefault="002C451F">
            <w:pPr>
              <w:tabs>
                <w:tab w:val="left" w:pos="871"/>
              </w:tabs>
              <w:autoSpaceDE w:val="0"/>
              <w:autoSpaceDN w:val="0"/>
              <w:adjustRightInd w:val="0"/>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Kommissionen har informeret medlemsstaterne om, at den vil indlede drøftelser for at se, om der kan indgås en konsensus om udviklingen af harmoniserede risikoindi</w:t>
            </w:r>
            <w:r>
              <w:rPr>
                <w:rFonts w:ascii="Times New Roman" w:hAnsi="Times New Roman"/>
                <w:noProof/>
                <w:color w:val="000000"/>
                <w:sz w:val="24"/>
              </w:rPr>
              <w:t>katorer uden at erstatte supplerende nationale indikatorer.</w:t>
            </w:r>
          </w:p>
        </w:tc>
      </w:tr>
    </w:tbl>
    <w:p w:rsidR="001D5370" w:rsidRDefault="001D5370">
      <w:pPr>
        <w:tabs>
          <w:tab w:val="left" w:pos="871"/>
        </w:tabs>
        <w:autoSpaceDE w:val="0"/>
        <w:autoSpaceDN w:val="0"/>
        <w:adjustRightInd w:val="0"/>
        <w:spacing w:after="0" w:line="240" w:lineRule="auto"/>
        <w:jc w:val="both"/>
        <w:rPr>
          <w:rFonts w:ascii="Times New Roman" w:eastAsia="Times New Roman" w:hAnsi="Times New Roman" w:cs="Times New Roman"/>
          <w:noProof/>
          <w:color w:val="000000"/>
          <w:sz w:val="24"/>
          <w:szCs w:val="24"/>
        </w:rPr>
      </w:pPr>
    </w:p>
    <w:p w:rsidR="001D5370" w:rsidRDefault="002C451F">
      <w:pPr>
        <w:tabs>
          <w:tab w:val="left" w:pos="871"/>
        </w:tabs>
        <w:autoSpaceDE w:val="0"/>
        <w:autoSpaceDN w:val="0"/>
        <w:adjustRightInd w:val="0"/>
        <w:spacing w:after="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Kommissionen har indtil videre ikke fastsat nogen harmoniserede risikoindikatorer for hele EU. Selv om Kommissionen for nylig har identificeret visse mangler vedrørende tilgængeligheden og </w:t>
      </w:r>
      <w:r>
        <w:rPr>
          <w:rFonts w:ascii="Times New Roman" w:hAnsi="Times New Roman"/>
          <w:noProof/>
          <w:color w:val="000000"/>
          <w:sz w:val="24"/>
        </w:rPr>
        <w:t>kvaliteten af statistik for pesticider</w:t>
      </w:r>
      <w:r>
        <w:rPr>
          <w:rStyle w:val="FootnoteReference"/>
          <w:rFonts w:ascii="Times New Roman" w:hAnsi="Times New Roman"/>
          <w:noProof/>
          <w:color w:val="000000"/>
          <w:sz w:val="24"/>
        </w:rPr>
        <w:footnoteReference w:id="52"/>
      </w:r>
      <w:r>
        <w:rPr>
          <w:rFonts w:ascii="Times New Roman" w:hAnsi="Times New Roman"/>
          <w:noProof/>
          <w:color w:val="000000"/>
          <w:sz w:val="24"/>
        </w:rPr>
        <w:t>, hvoraf mange af fortrolighedshensyn og begrænsninger i lovgivningen ikke kan anvendes, viser erfaringerne, at måling af risici er en kompleks størrelse, og i lyset af de data, som er tilgængelige i EU, kan dette ikk</w:t>
      </w:r>
      <w:r>
        <w:rPr>
          <w:rFonts w:ascii="Times New Roman" w:hAnsi="Times New Roman"/>
          <w:noProof/>
          <w:color w:val="000000"/>
          <w:sz w:val="24"/>
        </w:rPr>
        <w:t xml:space="preserve">e opnås blot ved at henvise til det overordnede salg af plantebeskyttelsesmidler. Dette skyldes, at den risiko, som pesticider udgør, varierer, alt efter en række faktorer, navnlig de konstituerende aktivstoffer, men også hvordan pesticider anvendes. </w:t>
      </w:r>
    </w:p>
    <w:p w:rsidR="001D5370" w:rsidRDefault="001D5370">
      <w:pPr>
        <w:tabs>
          <w:tab w:val="left" w:pos="871"/>
        </w:tabs>
        <w:autoSpaceDE w:val="0"/>
        <w:autoSpaceDN w:val="0"/>
        <w:adjustRightInd w:val="0"/>
        <w:spacing w:after="0" w:line="240" w:lineRule="auto"/>
        <w:jc w:val="both"/>
        <w:rPr>
          <w:rFonts w:ascii="Times New Roman" w:eastAsia="Times New Roman" w:hAnsi="Times New Roman" w:cs="Times New Roman"/>
          <w:noProof/>
          <w:color w:val="000000"/>
          <w:sz w:val="24"/>
          <w:szCs w:val="24"/>
        </w:rPr>
      </w:pPr>
    </w:p>
    <w:p w:rsidR="001D5370" w:rsidRDefault="002C451F">
      <w:pPr>
        <w:tabs>
          <w:tab w:val="left" w:pos="871"/>
        </w:tabs>
        <w:autoSpaceDE w:val="0"/>
        <w:autoSpaceDN w:val="0"/>
        <w:adjustRightInd w:val="0"/>
        <w:spacing w:after="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I m</w:t>
      </w:r>
      <w:r>
        <w:rPr>
          <w:rFonts w:ascii="Times New Roman" w:hAnsi="Times New Roman"/>
          <w:noProof/>
          <w:color w:val="000000"/>
          <w:sz w:val="24"/>
        </w:rPr>
        <w:t>angel af harmoniserede risikoindikatorer anvender medlemsstaterne fortsat deres eksisterende risikoindikatorer som beskrevet i nogle af de nationale handlingsplaner. Danmark har f.eks. udviklet en pesticidbelastningsindikator (PBI), som beregner den potent</w:t>
      </w:r>
      <w:r>
        <w:rPr>
          <w:rFonts w:ascii="Times New Roman" w:hAnsi="Times New Roman"/>
          <w:noProof/>
          <w:color w:val="000000"/>
          <w:sz w:val="24"/>
        </w:rPr>
        <w:t xml:space="preserve">ielle belastning for miljøet og menneskers sundhed af individuelle pesticider på markedet på grundlag af deres toksikologiske klassificering. </w:t>
      </w:r>
    </w:p>
    <w:p w:rsidR="001D5370" w:rsidRDefault="002C451F">
      <w:pPr>
        <w:keepNext/>
        <w:numPr>
          <w:ilvl w:val="1"/>
          <w:numId w:val="1"/>
        </w:numPr>
        <w:spacing w:before="360" w:after="120" w:line="240" w:lineRule="auto"/>
        <w:jc w:val="both"/>
        <w:outlineLvl w:val="0"/>
        <w:rPr>
          <w:rFonts w:ascii="Times New Roman" w:eastAsia="Times New Roman" w:hAnsi="Times New Roman" w:cs="Times New Roman"/>
          <w:bCs/>
          <w:caps/>
          <w:smallCaps/>
          <w:noProof/>
          <w:sz w:val="24"/>
          <w:szCs w:val="24"/>
        </w:rPr>
      </w:pPr>
      <w:r>
        <w:rPr>
          <w:rFonts w:ascii="Times New Roman" w:hAnsi="Times New Roman"/>
          <w:caps/>
          <w:smallCaps/>
          <w:noProof/>
          <w:sz w:val="24"/>
        </w:rPr>
        <w:t>Lavrisikoprodukter</w:t>
      </w:r>
    </w:p>
    <w:p w:rsidR="001D5370" w:rsidRDefault="002C451F">
      <w:pPr>
        <w:tabs>
          <w:tab w:val="left" w:pos="871"/>
        </w:tabs>
        <w:autoSpaceDE w:val="0"/>
        <w:autoSpaceDN w:val="0"/>
        <w:adjustRightInd w:val="0"/>
        <w:spacing w:after="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I henhold til direktivets artikel 14 skal medlemsstaterne træffe alle nødvendige </w:t>
      </w:r>
      <w:r>
        <w:rPr>
          <w:rFonts w:ascii="Times New Roman" w:hAnsi="Times New Roman"/>
          <w:noProof/>
          <w:color w:val="000000"/>
          <w:sz w:val="24"/>
        </w:rPr>
        <w:t>foranstaltninger til fremme af bekæmpelse af skadegørere med lavt pesticidforbrug, idet man, når det er muligt, prioriterer ikkekemiske metoder, således at professionelle brugere af pesticider blandt de former for praksis og produkter, der kan bruges til b</w:t>
      </w:r>
      <w:r>
        <w:rPr>
          <w:rFonts w:ascii="Times New Roman" w:hAnsi="Times New Roman"/>
          <w:noProof/>
          <w:color w:val="000000"/>
          <w:sz w:val="24"/>
        </w:rPr>
        <w:t>ehandling af den samme skadegører, skifter til dem, der belaster menneskers sundhed og miljøet mindst.</w:t>
      </w:r>
    </w:p>
    <w:p w:rsidR="001D5370" w:rsidRDefault="001D5370">
      <w:pPr>
        <w:tabs>
          <w:tab w:val="left" w:pos="871"/>
        </w:tabs>
        <w:autoSpaceDE w:val="0"/>
        <w:autoSpaceDN w:val="0"/>
        <w:adjustRightInd w:val="0"/>
        <w:spacing w:after="0" w:line="240" w:lineRule="auto"/>
        <w:jc w:val="both"/>
        <w:rPr>
          <w:rFonts w:ascii="Times New Roman" w:eastAsia="Times New Roman" w:hAnsi="Times New Roman" w:cs="Times New Roman"/>
          <w:noProof/>
          <w:color w:val="000000"/>
          <w:sz w:val="24"/>
          <w:szCs w:val="24"/>
        </w:rPr>
      </w:pPr>
    </w:p>
    <w:tbl>
      <w:tblPr>
        <w:tblStyle w:val="TableGrid1"/>
        <w:tblW w:w="0" w:type="auto"/>
        <w:tblInd w:w="108"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4A0" w:firstRow="1" w:lastRow="0" w:firstColumn="1" w:lastColumn="0" w:noHBand="0" w:noVBand="1"/>
      </w:tblPr>
      <w:tblGrid>
        <w:gridCol w:w="9072"/>
      </w:tblGrid>
      <w:tr w:rsidR="001D5370">
        <w:tc>
          <w:tcPr>
            <w:tcW w:w="9072" w:type="dxa"/>
            <w:tcBorders>
              <w:top w:val="thinThickSmallGap" w:sz="12" w:space="0" w:color="auto"/>
              <w:left w:val="thinThickSmallGap" w:sz="12" w:space="0" w:color="auto"/>
              <w:bottom w:val="thinThickSmallGap" w:sz="12" w:space="0" w:color="auto"/>
              <w:right w:val="thinThickSmallGap" w:sz="12" w:space="0" w:color="auto"/>
            </w:tcBorders>
            <w:shd w:val="clear" w:color="auto" w:fill="D9D9D9"/>
            <w:hideMark/>
          </w:tcPr>
          <w:p w:rsidR="001D5370" w:rsidRDefault="002C451F">
            <w:pPr>
              <w:tabs>
                <w:tab w:val="left" w:pos="871"/>
              </w:tabs>
              <w:autoSpaceDE w:val="0"/>
              <w:autoSpaceDN w:val="0"/>
              <w:adjustRightInd w:val="0"/>
              <w:jc w:val="both"/>
              <w:rPr>
                <w:rFonts w:ascii="Times New Roman" w:hAnsi="Times New Roman"/>
                <w:noProof/>
                <w:color w:val="000000"/>
                <w:sz w:val="24"/>
                <w:szCs w:val="24"/>
              </w:rPr>
            </w:pPr>
            <w:r>
              <w:rPr>
                <w:rFonts w:ascii="Times New Roman" w:hAnsi="Times New Roman"/>
                <w:noProof/>
                <w:color w:val="000000"/>
                <w:sz w:val="24"/>
              </w:rPr>
              <w:t>Kommissionen træffer foranstaltninger for at fremskynde tilgængeligheden af lavrisikopesticider.</w:t>
            </w:r>
          </w:p>
        </w:tc>
      </w:tr>
    </w:tbl>
    <w:p w:rsidR="001D5370" w:rsidRDefault="001D5370">
      <w:pPr>
        <w:tabs>
          <w:tab w:val="left" w:pos="871"/>
        </w:tabs>
        <w:autoSpaceDE w:val="0"/>
        <w:autoSpaceDN w:val="0"/>
        <w:adjustRightInd w:val="0"/>
        <w:spacing w:after="0" w:line="240" w:lineRule="auto"/>
        <w:jc w:val="both"/>
        <w:rPr>
          <w:rFonts w:ascii="Times New Roman" w:eastAsia="Times New Roman" w:hAnsi="Times New Roman" w:cs="Times New Roman"/>
          <w:noProof/>
          <w:color w:val="000000"/>
          <w:sz w:val="24"/>
          <w:szCs w:val="24"/>
        </w:rPr>
      </w:pPr>
    </w:p>
    <w:p w:rsidR="001D5370" w:rsidRDefault="002C451F">
      <w:pPr>
        <w:tabs>
          <w:tab w:val="left" w:pos="871"/>
        </w:tabs>
        <w:autoSpaceDE w:val="0"/>
        <w:autoSpaceDN w:val="0"/>
        <w:adjustRightInd w:val="0"/>
        <w:spacing w:after="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Når stoffer identificeres som lavrisikostoffer, kan </w:t>
      </w:r>
      <w:r>
        <w:rPr>
          <w:rFonts w:ascii="Times New Roman" w:hAnsi="Times New Roman"/>
          <w:noProof/>
          <w:color w:val="000000"/>
          <w:sz w:val="24"/>
        </w:rPr>
        <w:t>de relevante incitamenter i forordning (EF) nr. 1107/2009 anvendes. Disse omfatter en længere godkendelsesperiode på 15 år (i stedet for standardperioden på 10 år), en længere databeskyttelsesperiode og en fremskyndet godkendelsesprocedure for plantebeskyt</w:t>
      </w:r>
      <w:r>
        <w:rPr>
          <w:rFonts w:ascii="Times New Roman" w:hAnsi="Times New Roman"/>
          <w:noProof/>
          <w:color w:val="000000"/>
          <w:sz w:val="24"/>
        </w:rPr>
        <w:t>telsesmidler med lav risiko (120 dage i stedet for et år).</w:t>
      </w:r>
    </w:p>
    <w:p w:rsidR="001D5370" w:rsidRDefault="001D5370">
      <w:pPr>
        <w:tabs>
          <w:tab w:val="left" w:pos="871"/>
        </w:tabs>
        <w:autoSpaceDE w:val="0"/>
        <w:autoSpaceDN w:val="0"/>
        <w:adjustRightInd w:val="0"/>
        <w:spacing w:after="0" w:line="240" w:lineRule="auto"/>
        <w:jc w:val="both"/>
        <w:rPr>
          <w:rFonts w:ascii="Times New Roman" w:eastAsia="Times New Roman" w:hAnsi="Times New Roman" w:cs="Times New Roman"/>
          <w:noProof/>
          <w:color w:val="000000"/>
          <w:sz w:val="24"/>
          <w:szCs w:val="24"/>
        </w:rPr>
      </w:pPr>
    </w:p>
    <w:p w:rsidR="001D5370" w:rsidRDefault="002C451F">
      <w:pPr>
        <w:tabs>
          <w:tab w:val="left" w:pos="871"/>
        </w:tabs>
        <w:autoSpaceDE w:val="0"/>
        <w:autoSpaceDN w:val="0"/>
        <w:adjustRightInd w:val="0"/>
        <w:spacing w:after="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For at øge tilgængeligheden af lavrisikostoffer prioriterede Kommissionen vurderingen af potentielle aktivstoffer med lav risiko i det igangværende undersøgelsesprogram</w:t>
      </w:r>
      <w:r>
        <w:rPr>
          <w:rFonts w:ascii="Times New Roman" w:hAnsi="Times New Roman"/>
          <w:noProof/>
          <w:color w:val="000000"/>
          <w:sz w:val="24"/>
          <w:vertAlign w:val="superscript"/>
        </w:rPr>
        <w:footnoteReference w:id="53"/>
      </w:r>
      <w:r>
        <w:rPr>
          <w:rFonts w:ascii="Times New Roman" w:hAnsi="Times New Roman"/>
          <w:noProof/>
          <w:color w:val="000000"/>
          <w:sz w:val="24"/>
        </w:rPr>
        <w:t>. Med vedtagelsen af forord</w:t>
      </w:r>
      <w:r>
        <w:rPr>
          <w:rFonts w:ascii="Times New Roman" w:hAnsi="Times New Roman"/>
          <w:noProof/>
          <w:color w:val="000000"/>
          <w:sz w:val="24"/>
        </w:rPr>
        <w:t>ning (EU) 2017/1432 har Kommissionen præciseret eksisterende kriterier for identificering og godkendelse af lavrisikostoffer</w:t>
      </w:r>
      <w:r>
        <w:rPr>
          <w:rFonts w:ascii="Times New Roman" w:hAnsi="Times New Roman"/>
          <w:noProof/>
          <w:color w:val="000000"/>
          <w:sz w:val="24"/>
          <w:vertAlign w:val="superscript"/>
        </w:rPr>
        <w:footnoteReference w:id="54"/>
      </w:r>
      <w:r>
        <w:rPr>
          <w:rFonts w:ascii="Times New Roman" w:hAnsi="Times New Roman"/>
          <w:noProof/>
          <w:color w:val="000000"/>
          <w:sz w:val="24"/>
        </w:rPr>
        <w:t>. I øjeblikket er kun 10 stoffer ud af næsten 500 godkendt som lavrisikostoffer. Det vurderes dog, at der blandt de allerede godken</w:t>
      </w:r>
      <w:r>
        <w:rPr>
          <w:rFonts w:ascii="Times New Roman" w:hAnsi="Times New Roman"/>
          <w:noProof/>
          <w:color w:val="000000"/>
          <w:sz w:val="24"/>
        </w:rPr>
        <w:t>dte stoffer efter direktiv 91/414/EØF er mere end 70, som sandsynligvis vil overholde de nyligt vedtagne lavrisikokriterier. Inden for de næste tre år vil disse stoffer bliver revurderet med henblik på at forny deres godkendelse, og dette vil potentielt øg</w:t>
      </w:r>
      <w:r>
        <w:rPr>
          <w:rFonts w:ascii="Times New Roman" w:hAnsi="Times New Roman"/>
          <w:noProof/>
          <w:color w:val="000000"/>
          <w:sz w:val="24"/>
        </w:rPr>
        <w:t xml:space="preserve">e det samlede antal aktivstoffer med lav risiko. </w:t>
      </w:r>
    </w:p>
    <w:p w:rsidR="001D5370" w:rsidRDefault="001D5370">
      <w:pPr>
        <w:tabs>
          <w:tab w:val="left" w:pos="871"/>
        </w:tabs>
        <w:autoSpaceDE w:val="0"/>
        <w:autoSpaceDN w:val="0"/>
        <w:adjustRightInd w:val="0"/>
        <w:spacing w:after="0" w:line="240" w:lineRule="auto"/>
        <w:jc w:val="both"/>
        <w:rPr>
          <w:rFonts w:ascii="Times New Roman" w:eastAsia="Times New Roman" w:hAnsi="Times New Roman" w:cs="Times New Roman"/>
          <w:noProof/>
          <w:color w:val="000000"/>
          <w:sz w:val="24"/>
          <w:szCs w:val="24"/>
        </w:rPr>
      </w:pPr>
    </w:p>
    <w:p w:rsidR="001D5370" w:rsidRDefault="002C451F">
      <w:pPr>
        <w:tabs>
          <w:tab w:val="left" w:pos="871"/>
        </w:tabs>
        <w:autoSpaceDE w:val="0"/>
        <w:autoSpaceDN w:val="0"/>
        <w:adjustRightInd w:val="0"/>
        <w:spacing w:after="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Ud over lavrisikoprodukter indeholder forordning (EF) nr. 1107/2009 også særlige bestemmelser om basisstoffer. Dette er stoffer som f.eks. fødevareforbindelser, som typisk anvendes til andre formål end pla</w:t>
      </w:r>
      <w:r>
        <w:rPr>
          <w:rFonts w:ascii="Times New Roman" w:hAnsi="Times New Roman"/>
          <w:noProof/>
          <w:color w:val="000000"/>
          <w:sz w:val="24"/>
        </w:rPr>
        <w:t>ntebeskyttelse, som f.eks. eddike. Disse stoffer er primært af biologisk/naturlig oprindelse og anvendes ofte traditionelt inden for økologisk landbrug. Der findes i dag 15 godkendte basisstoffer, og Kommissionen og medlemsstaterne deltager aktivt i at udv</w:t>
      </w:r>
      <w:r>
        <w:rPr>
          <w:rFonts w:ascii="Times New Roman" w:hAnsi="Times New Roman"/>
          <w:noProof/>
          <w:color w:val="000000"/>
          <w:sz w:val="24"/>
        </w:rPr>
        <w:t>ide den godkendte vifte af disse stoffer. Andre såkaldte "biologiske bekæmpelsesmidler" som nytteinsekter eller nematoder kan anvendes som alternative teknikker til bekæmpelse af skadegørere og hører ikke ind under forordning (EF) nr. 1107/2009.</w:t>
      </w:r>
    </w:p>
    <w:p w:rsidR="001D5370" w:rsidRDefault="001D5370">
      <w:pPr>
        <w:tabs>
          <w:tab w:val="left" w:pos="871"/>
        </w:tabs>
        <w:autoSpaceDE w:val="0"/>
        <w:autoSpaceDN w:val="0"/>
        <w:adjustRightInd w:val="0"/>
        <w:spacing w:after="0" w:line="240" w:lineRule="auto"/>
        <w:jc w:val="both"/>
        <w:rPr>
          <w:rFonts w:ascii="Times New Roman" w:eastAsia="Times New Roman" w:hAnsi="Times New Roman" w:cs="Times New Roman"/>
          <w:noProof/>
          <w:color w:val="000000"/>
          <w:sz w:val="24"/>
          <w:szCs w:val="24"/>
        </w:rPr>
      </w:pPr>
    </w:p>
    <w:p w:rsidR="001D5370" w:rsidRDefault="002C451F">
      <w:pPr>
        <w:tabs>
          <w:tab w:val="left" w:pos="871"/>
        </w:tabs>
        <w:autoSpaceDE w:val="0"/>
        <w:autoSpaceDN w:val="0"/>
        <w:adjustRightInd w:val="0"/>
        <w:spacing w:after="0" w:line="240" w:lineRule="auto"/>
        <w:jc w:val="both"/>
        <w:rPr>
          <w:rFonts w:ascii="Times New Roman" w:eastAsia="Times New Roman" w:hAnsi="Times New Roman" w:cs="Times New Roman"/>
          <w:noProof/>
          <w:color w:val="000000"/>
          <w:sz w:val="24"/>
          <w:szCs w:val="24"/>
        </w:rPr>
      </w:pPr>
      <w:r>
        <w:rPr>
          <w:noProof/>
          <w:lang w:val="en-GB" w:eastAsia="en-GB" w:bidi="ar-SA"/>
        </w:rPr>
        <w:drawing>
          <wp:inline distT="0" distB="0" distL="0" distR="0">
            <wp:extent cx="5760720" cy="3200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60720" cy="3200400"/>
                    </a:xfrm>
                    <a:prstGeom prst="rect">
                      <a:avLst/>
                    </a:prstGeom>
                    <a:noFill/>
                    <a:ln>
                      <a:noFill/>
                    </a:ln>
                  </pic:spPr>
                </pic:pic>
              </a:graphicData>
            </a:graphic>
          </wp:inline>
        </w:drawing>
      </w:r>
    </w:p>
    <w:p w:rsidR="001D5370" w:rsidRDefault="002C451F">
      <w:pPr>
        <w:spacing w:before="120" w:after="120" w:line="240" w:lineRule="auto"/>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Figur 2</w:t>
      </w:r>
      <w:r>
        <w:rPr>
          <w:rFonts w:ascii="Times New Roman" w:hAnsi="Times New Roman"/>
          <w:noProof/>
          <w:color w:val="000000" w:themeColor="text1"/>
          <w:sz w:val="24"/>
        </w:rPr>
        <w:t>: Øget antal alternative stoffer godkendt af EU</w:t>
      </w:r>
    </w:p>
    <w:p w:rsidR="001D5370" w:rsidRDefault="002C451F">
      <w:pPr>
        <w:spacing w:before="120" w:after="12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themeColor="text1"/>
          <w:sz w:val="24"/>
        </w:rPr>
        <w:t>Endelig støtter Kommissionen gennem sine forsknings- og præsentationsprogrammer fortsat en bred vifte af forskning inden for plantebeskyttelse med henblik på at identificere nye lavrisikoprodukter og biologis</w:t>
      </w:r>
      <w:r>
        <w:rPr>
          <w:rFonts w:ascii="Times New Roman" w:hAnsi="Times New Roman"/>
          <w:noProof/>
          <w:color w:val="000000" w:themeColor="text1"/>
          <w:sz w:val="24"/>
        </w:rPr>
        <w:t>ke kontrolteknikker</w:t>
      </w:r>
      <w:r>
        <w:rPr>
          <w:rStyle w:val="FootnoteReference"/>
          <w:rFonts w:ascii="Times New Roman" w:hAnsi="Times New Roman"/>
          <w:noProof/>
          <w:color w:val="000000" w:themeColor="text1"/>
          <w:sz w:val="24"/>
        </w:rPr>
        <w:footnoteReference w:id="55"/>
      </w:r>
      <w:r>
        <w:rPr>
          <w:rFonts w:ascii="Times New Roman" w:hAnsi="Times New Roman"/>
          <w:noProof/>
          <w:color w:val="000000" w:themeColor="text1"/>
          <w:sz w:val="24"/>
        </w:rPr>
        <w:t>.</w:t>
      </w:r>
    </w:p>
    <w:p w:rsidR="001D5370" w:rsidRDefault="002C451F">
      <w:pPr>
        <w:keepNext/>
        <w:numPr>
          <w:ilvl w:val="0"/>
          <w:numId w:val="1"/>
        </w:numPr>
        <w:spacing w:before="360" w:after="120" w:line="240" w:lineRule="auto"/>
        <w:jc w:val="both"/>
        <w:outlineLvl w:val="0"/>
        <w:rPr>
          <w:rFonts w:ascii="Times New Roman" w:eastAsia="Times New Roman" w:hAnsi="Times New Roman" w:cs="Times New Roman"/>
          <w:b/>
          <w:bCs/>
          <w:caps/>
          <w:smallCaps/>
          <w:noProof/>
          <w:sz w:val="24"/>
          <w:szCs w:val="24"/>
        </w:rPr>
      </w:pPr>
      <w:r>
        <w:rPr>
          <w:rFonts w:ascii="Times New Roman" w:hAnsi="Times New Roman"/>
          <w:b/>
          <w:caps/>
          <w:smallCaps/>
          <w:noProof/>
          <w:sz w:val="24"/>
        </w:rPr>
        <w:t>Konklusion</w:t>
      </w:r>
    </w:p>
    <w:p w:rsidR="001D5370" w:rsidRDefault="002C451F">
      <w:pPr>
        <w:tabs>
          <w:tab w:val="left" w:pos="871"/>
        </w:tabs>
        <w:autoSpaceDE w:val="0"/>
        <w:autoSpaceDN w:val="0"/>
        <w:adjustRightInd w:val="0"/>
        <w:spacing w:after="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Der er i over 20 år indført omfattende lovgivning og støtteforanstaltninger i Den Europæiske Union, som har til formål at levere sikker, begrænset og mere præcis anvendelse af pesticider i landbruget. Direktivet giver </w:t>
      </w:r>
      <w:r>
        <w:rPr>
          <w:rFonts w:ascii="Times New Roman" w:hAnsi="Times New Roman"/>
          <w:noProof/>
          <w:color w:val="000000"/>
          <w:sz w:val="24"/>
        </w:rPr>
        <w:t>mulighed for at reducere de risici, som skyldes pesticidanvendelse. Men indtil det er mere strengt gennemført af medlemsstaterne, er disse forbedringer begrænsede og i høj grad utilstrækkelige med hensyn til at opnå de miljø- og sundhedsmæssige forbedringe</w:t>
      </w:r>
      <w:r>
        <w:rPr>
          <w:rFonts w:ascii="Times New Roman" w:hAnsi="Times New Roman"/>
          <w:noProof/>
          <w:color w:val="000000"/>
          <w:sz w:val="24"/>
        </w:rPr>
        <w:t>r, som direktivet lægger op til. Nationale handlingsplaner med klare målbare mål kan sætte medlemsstaterne i stand til at vise borgerne, at de gennemfører direktivet og endda går videre og foreslår innovative metoder til at reducere risici fra pesticider.</w:t>
      </w:r>
    </w:p>
    <w:p w:rsidR="001D5370" w:rsidRDefault="001D5370">
      <w:pPr>
        <w:tabs>
          <w:tab w:val="left" w:pos="871"/>
        </w:tabs>
        <w:autoSpaceDE w:val="0"/>
        <w:autoSpaceDN w:val="0"/>
        <w:adjustRightInd w:val="0"/>
        <w:spacing w:after="0" w:line="240" w:lineRule="auto"/>
        <w:jc w:val="both"/>
        <w:rPr>
          <w:rFonts w:ascii="Times New Roman" w:eastAsia="Times New Roman" w:hAnsi="Times New Roman" w:cs="Times New Roman"/>
          <w:noProof/>
          <w:color w:val="000000"/>
          <w:sz w:val="24"/>
          <w:szCs w:val="24"/>
        </w:rPr>
      </w:pPr>
    </w:p>
    <w:p w:rsidR="001D5370" w:rsidRDefault="002C451F">
      <w:pPr>
        <w:keepNext/>
        <w:spacing w:before="120" w:after="120" w:line="240" w:lineRule="auto"/>
        <w:ind w:left="850"/>
        <w:jc w:val="both"/>
        <w:outlineLvl w:val="2"/>
        <w:rPr>
          <w:rFonts w:ascii="Times New Roman" w:eastAsia="Times New Roman" w:hAnsi="Times New Roman" w:cs="Times New Roman"/>
          <w:bCs/>
          <w:i/>
          <w:noProof/>
          <w:sz w:val="24"/>
          <w:szCs w:val="26"/>
        </w:rPr>
      </w:pPr>
      <w:r>
        <w:rPr>
          <w:rFonts w:ascii="Times New Roman" w:hAnsi="Times New Roman"/>
          <w:i/>
          <w:noProof/>
          <w:sz w:val="24"/>
        </w:rPr>
        <w:t xml:space="preserve">4.1 Nationale handlingsplaner og gennemførelse af direktivet </w:t>
      </w:r>
    </w:p>
    <w:p w:rsidR="001D5370" w:rsidRDefault="001D5370">
      <w:pPr>
        <w:tabs>
          <w:tab w:val="left" w:pos="871"/>
        </w:tabs>
        <w:autoSpaceDE w:val="0"/>
        <w:autoSpaceDN w:val="0"/>
        <w:adjustRightInd w:val="0"/>
        <w:spacing w:after="0" w:line="240" w:lineRule="auto"/>
        <w:jc w:val="both"/>
        <w:rPr>
          <w:rFonts w:ascii="Times New Roman" w:eastAsia="Times New Roman" w:hAnsi="Times New Roman" w:cs="Times New Roman"/>
          <w:noProof/>
          <w:color w:val="000000"/>
          <w:sz w:val="24"/>
          <w:szCs w:val="24"/>
        </w:rPr>
      </w:pPr>
    </w:p>
    <w:p w:rsidR="001D5370" w:rsidRDefault="002C451F">
      <w:pPr>
        <w:tabs>
          <w:tab w:val="left" w:pos="871"/>
        </w:tabs>
        <w:autoSpaceDE w:val="0"/>
        <w:autoSpaceDN w:val="0"/>
        <w:adjustRightInd w:val="0"/>
        <w:spacing w:after="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Medlemsstaterne anvender de nationale handlingsplaner til at fastlægge de mål og handlinger, som skal bruges til at nå direktivets mål, og de kan ses som et stort skridt i retning af </w:t>
      </w:r>
      <w:r>
        <w:rPr>
          <w:rFonts w:ascii="Times New Roman" w:hAnsi="Times New Roman"/>
          <w:noProof/>
          <w:color w:val="000000"/>
          <w:sz w:val="24"/>
        </w:rPr>
        <w:t>bæredygtig anvendelse af pesticider. Medlemsstaterne arbejder i øjeblikket på at gennemgå deres første planer, og det fulde overblik over gennemførelsen kan først opnås, når planerne er blevet gennemgået.</w:t>
      </w:r>
    </w:p>
    <w:p w:rsidR="001D5370" w:rsidRDefault="001D5370">
      <w:pPr>
        <w:tabs>
          <w:tab w:val="left" w:pos="871"/>
        </w:tabs>
        <w:autoSpaceDE w:val="0"/>
        <w:autoSpaceDN w:val="0"/>
        <w:adjustRightInd w:val="0"/>
        <w:spacing w:after="0" w:line="240" w:lineRule="auto"/>
        <w:jc w:val="both"/>
        <w:rPr>
          <w:rFonts w:ascii="Times New Roman" w:eastAsia="Times New Roman" w:hAnsi="Times New Roman" w:cs="Times New Roman"/>
          <w:noProof/>
          <w:color w:val="000000"/>
          <w:sz w:val="24"/>
          <w:szCs w:val="24"/>
        </w:rPr>
      </w:pPr>
    </w:p>
    <w:p w:rsidR="001D5370" w:rsidRDefault="002C451F">
      <w:pPr>
        <w:tabs>
          <w:tab w:val="left" w:pos="871"/>
        </w:tabs>
        <w:autoSpaceDE w:val="0"/>
        <w:autoSpaceDN w:val="0"/>
        <w:adjustRightInd w:val="0"/>
        <w:spacing w:after="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Trods store fremskridt fremgår det af denne rappor</w:t>
      </w:r>
      <w:r>
        <w:rPr>
          <w:rFonts w:ascii="Times New Roman" w:hAnsi="Times New Roman"/>
          <w:noProof/>
          <w:color w:val="000000"/>
          <w:sz w:val="24"/>
        </w:rPr>
        <w:t>t, at der er store mangler i mange dele af planerne, f.eks. i forhold til flysprøjtning, information til offentligheden, indsamling af oplysninger om tilfælde af forgiftning og foranstaltninger til beskyttelse af vandmiljøet. Integreret bekæmpelse af skade</w:t>
      </w:r>
      <w:r>
        <w:rPr>
          <w:rFonts w:ascii="Times New Roman" w:hAnsi="Times New Roman"/>
          <w:noProof/>
          <w:color w:val="000000"/>
          <w:sz w:val="24"/>
        </w:rPr>
        <w:t>gørere er en af direktivets hjørnesten, og det vækker derfor særlig bekymring, at medlemsstaterne endnu ikke har sat klare mål og sørget for gennemførelsen deraf, herunder vedrørende mere udbredt anvendelse af arealforvaltningsteknikker som sædskifte. Medl</w:t>
      </w:r>
      <w:r>
        <w:rPr>
          <w:rFonts w:ascii="Times New Roman" w:hAnsi="Times New Roman"/>
          <w:noProof/>
          <w:color w:val="000000"/>
          <w:sz w:val="24"/>
        </w:rPr>
        <w:t xml:space="preserve">emsstaterne skal forbedre kvaliteten af deres planer, primært ved at sætte specifikke og målbare mål og indikatorer for en langsigtet strategi for reduktion af risici og virkninger fra pesticidanvendelse. Disse forbedringer bør indarbejdes i de reviderede </w:t>
      </w:r>
      <w:r>
        <w:rPr>
          <w:rFonts w:ascii="Times New Roman" w:hAnsi="Times New Roman"/>
          <w:noProof/>
          <w:color w:val="000000"/>
          <w:sz w:val="24"/>
        </w:rPr>
        <w:t xml:space="preserve">handlingsplaner, som vil give medlemsstaterne mulighed for løbende at overvåge gennemførelsen og tilpasse strategien efter behov. </w:t>
      </w:r>
    </w:p>
    <w:p w:rsidR="001D5370" w:rsidRDefault="001D5370">
      <w:pPr>
        <w:tabs>
          <w:tab w:val="left" w:pos="871"/>
        </w:tabs>
        <w:autoSpaceDE w:val="0"/>
        <w:autoSpaceDN w:val="0"/>
        <w:adjustRightInd w:val="0"/>
        <w:spacing w:after="0" w:line="240" w:lineRule="auto"/>
        <w:jc w:val="both"/>
        <w:rPr>
          <w:rFonts w:ascii="Times New Roman" w:eastAsia="Times New Roman" w:hAnsi="Times New Roman" w:cs="Times New Roman"/>
          <w:noProof/>
          <w:color w:val="000000"/>
          <w:sz w:val="24"/>
          <w:szCs w:val="24"/>
        </w:rPr>
      </w:pPr>
    </w:p>
    <w:p w:rsidR="001D5370" w:rsidRDefault="002C451F">
      <w:pPr>
        <w:tabs>
          <w:tab w:val="left" w:pos="871"/>
        </w:tabs>
        <w:autoSpaceDE w:val="0"/>
        <w:autoSpaceDN w:val="0"/>
        <w:adjustRightInd w:val="0"/>
        <w:spacing w:after="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Kommissionen har skrevet til de medlemsstater, hvor der er noteret udeladelser i planerne eller gennemførelsen deraf, for at</w:t>
      </w:r>
      <w:r>
        <w:rPr>
          <w:rFonts w:ascii="Times New Roman" w:hAnsi="Times New Roman"/>
          <w:noProof/>
          <w:color w:val="000000"/>
          <w:sz w:val="24"/>
        </w:rPr>
        <w:t xml:space="preserve"> minde dem om deres forpligtelse og betydningen af gennemførelsen af dette direktiv. Med udgangspunkt i de seks factfinding-besøg i  medlemsstaterne i 2017 vil Kommissionen fortsat evaluere de nationale handlingsplaner og overvåge medlemsstaternes gennemfø</w:t>
      </w:r>
      <w:r>
        <w:rPr>
          <w:rFonts w:ascii="Times New Roman" w:hAnsi="Times New Roman"/>
          <w:noProof/>
          <w:color w:val="000000"/>
          <w:sz w:val="24"/>
        </w:rPr>
        <w:t xml:space="preserve">relse af direktivet gennem audit, andre handlinger og opfølgningsaktiviteter for at sikre, at direktivets mål opfyldes. Om nødvendigt vil Kommissionen overveje en traktatbrudssag. </w:t>
      </w:r>
    </w:p>
    <w:p w:rsidR="001D5370" w:rsidRDefault="001D5370">
      <w:pPr>
        <w:tabs>
          <w:tab w:val="left" w:pos="871"/>
        </w:tabs>
        <w:autoSpaceDE w:val="0"/>
        <w:autoSpaceDN w:val="0"/>
        <w:adjustRightInd w:val="0"/>
        <w:spacing w:after="0" w:line="240" w:lineRule="auto"/>
        <w:jc w:val="both"/>
        <w:rPr>
          <w:rFonts w:ascii="Times New Roman" w:eastAsia="Times New Roman" w:hAnsi="Times New Roman" w:cs="Times New Roman"/>
          <w:noProof/>
          <w:color w:val="000000"/>
          <w:sz w:val="24"/>
          <w:szCs w:val="24"/>
        </w:rPr>
      </w:pPr>
    </w:p>
    <w:p w:rsidR="001D5370" w:rsidRDefault="002C451F">
      <w:pPr>
        <w:keepNext/>
        <w:spacing w:before="120" w:after="120" w:line="240" w:lineRule="auto"/>
        <w:ind w:left="850"/>
        <w:jc w:val="both"/>
        <w:outlineLvl w:val="2"/>
        <w:rPr>
          <w:rFonts w:ascii="Times New Roman" w:eastAsia="Times New Roman" w:hAnsi="Times New Roman" w:cs="Times New Roman"/>
          <w:bCs/>
          <w:i/>
          <w:noProof/>
          <w:sz w:val="24"/>
          <w:szCs w:val="26"/>
        </w:rPr>
      </w:pPr>
      <w:r>
        <w:rPr>
          <w:rFonts w:ascii="Times New Roman" w:hAnsi="Times New Roman"/>
          <w:i/>
          <w:noProof/>
          <w:sz w:val="24"/>
        </w:rPr>
        <w:t>4.2 Kommissionens aktiviteter, som støtter medlemsstaterne</w:t>
      </w:r>
    </w:p>
    <w:p w:rsidR="001D5370" w:rsidRDefault="002C451F">
      <w:pPr>
        <w:tabs>
          <w:tab w:val="left" w:pos="871"/>
        </w:tabs>
        <w:autoSpaceDE w:val="0"/>
        <w:autoSpaceDN w:val="0"/>
        <w:adjustRightInd w:val="0"/>
        <w:spacing w:after="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I sin rapport t</w:t>
      </w:r>
      <w:r>
        <w:rPr>
          <w:rFonts w:ascii="Times New Roman" w:hAnsi="Times New Roman"/>
          <w:noProof/>
          <w:color w:val="000000"/>
          <w:sz w:val="24"/>
        </w:rPr>
        <w:t>il Rådet fremlagde ekspertgruppen om bæredygtig plantebeskyttelse, som blev nedsat under det nederlandske formandskab, en implementeringsplan om øget tilgængelighed af plantebeskyttelsesmidler med lav risiko og fremskyndelse af integreret bekæmpelse af ska</w:t>
      </w:r>
      <w:r>
        <w:rPr>
          <w:rFonts w:ascii="Times New Roman" w:hAnsi="Times New Roman"/>
          <w:noProof/>
          <w:color w:val="000000"/>
          <w:sz w:val="24"/>
        </w:rPr>
        <w:t>degørere i medlemsstaterne</w:t>
      </w:r>
      <w:r>
        <w:rPr>
          <w:rFonts w:ascii="Times New Roman" w:hAnsi="Times New Roman"/>
          <w:noProof/>
          <w:color w:val="000000"/>
          <w:sz w:val="24"/>
          <w:vertAlign w:val="superscript"/>
        </w:rPr>
        <w:footnoteReference w:id="56"/>
      </w:r>
      <w:r>
        <w:rPr>
          <w:rFonts w:ascii="Times New Roman" w:hAnsi="Times New Roman"/>
          <w:noProof/>
          <w:color w:val="000000"/>
          <w:sz w:val="24"/>
        </w:rPr>
        <w:t>. Planen blev godkendt af Rådet i juni 2016. En af de supplerende foreslåede handlinger var, at Kommissionen skulle udvikle det eksisterende websted om direktivet i en webportal med forbindelse til de tilgængelige relevante oplys</w:t>
      </w:r>
      <w:r>
        <w:rPr>
          <w:rFonts w:ascii="Times New Roman" w:hAnsi="Times New Roman"/>
          <w:noProof/>
          <w:color w:val="000000"/>
          <w:sz w:val="24"/>
        </w:rPr>
        <w:t>ninger om IPM i EU og i medlemsstaterne. Arbejdet med denne udvikling skrider godt frem. Kommissionens kommende oversigtsrapport om de seks factfinding-besøg om gennemførelsen af direktivet vil også blive offentliggjort på dette websted.</w:t>
      </w:r>
    </w:p>
    <w:p w:rsidR="001D5370" w:rsidRDefault="001D5370">
      <w:pPr>
        <w:tabs>
          <w:tab w:val="left" w:pos="871"/>
        </w:tabs>
        <w:autoSpaceDE w:val="0"/>
        <w:autoSpaceDN w:val="0"/>
        <w:adjustRightInd w:val="0"/>
        <w:spacing w:after="0" w:line="240" w:lineRule="auto"/>
        <w:jc w:val="both"/>
        <w:rPr>
          <w:rFonts w:ascii="Times New Roman" w:eastAsia="Times New Roman" w:hAnsi="Times New Roman" w:cs="Times New Roman"/>
          <w:noProof/>
          <w:color w:val="000000"/>
          <w:sz w:val="24"/>
          <w:szCs w:val="24"/>
        </w:rPr>
      </w:pPr>
    </w:p>
    <w:p w:rsidR="001D5370" w:rsidRDefault="002C451F">
      <w:pPr>
        <w:autoSpaceDE w:val="0"/>
        <w:autoSpaceDN w:val="0"/>
        <w:adjustRightInd w:val="0"/>
        <w:spacing w:after="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Selv om medlemsst</w:t>
      </w:r>
      <w:r>
        <w:rPr>
          <w:rFonts w:ascii="Times New Roman" w:hAnsi="Times New Roman"/>
          <w:noProof/>
          <w:color w:val="000000"/>
          <w:sz w:val="24"/>
        </w:rPr>
        <w:t>aterne generelt har indført systemer til indsamling af oplysninger om tilfælde af akut pesticidforgiftning, skal de forbedre nøjagtigheden af de modtagne data. Der er ikke generelt udviklet systemer til indsamling af sådanne oplysninger om kronisk forgiftn</w:t>
      </w:r>
      <w:r>
        <w:rPr>
          <w:rFonts w:ascii="Times New Roman" w:hAnsi="Times New Roman"/>
          <w:noProof/>
          <w:color w:val="000000"/>
          <w:sz w:val="24"/>
        </w:rPr>
        <w:t>ing. Det er vigtigt, at medlemsstaterne udvikler og opretholder et velfungerende overvågningssystem om erhvervsmæssig pesticidforgiftning som grundlag for passende præventive interventioner. Kommissionen vil færdiggøre vejledningen om overvågning af og kon</w:t>
      </w:r>
      <w:r>
        <w:rPr>
          <w:rFonts w:ascii="Times New Roman" w:hAnsi="Times New Roman"/>
          <w:noProof/>
          <w:color w:val="000000"/>
          <w:sz w:val="24"/>
        </w:rPr>
        <w:t>trol med virkningerne af pesticidanvendelse for menneskers sundhed og miljøet inden udgangen af 2017 og vil sammen med medlemsstaterne undersøge, hvordan disse systemer kan udvikles yderligere. Kommissionen vil endvidere overveje at etablere systemer til i</w:t>
      </w:r>
      <w:r>
        <w:rPr>
          <w:rFonts w:ascii="Times New Roman" w:hAnsi="Times New Roman"/>
          <w:noProof/>
          <w:color w:val="000000"/>
          <w:sz w:val="24"/>
        </w:rPr>
        <w:t>ndsamling af oplysninger om mistanke om forgiftning fra pesticider efter artikel 24, stk. 4, litra b), i forordning (EU) 2017/625.</w:t>
      </w:r>
    </w:p>
    <w:p w:rsidR="001D5370" w:rsidRDefault="001D5370">
      <w:pPr>
        <w:autoSpaceDE w:val="0"/>
        <w:autoSpaceDN w:val="0"/>
        <w:adjustRightInd w:val="0"/>
        <w:spacing w:after="0" w:line="240" w:lineRule="auto"/>
        <w:jc w:val="both"/>
        <w:rPr>
          <w:rFonts w:ascii="Times New Roman" w:eastAsia="Times New Roman" w:hAnsi="Times New Roman" w:cs="Times New Roman"/>
          <w:noProof/>
          <w:color w:val="000000"/>
          <w:sz w:val="24"/>
          <w:szCs w:val="24"/>
        </w:rPr>
      </w:pPr>
    </w:p>
    <w:p w:rsidR="001D5370" w:rsidRDefault="002C451F">
      <w:pPr>
        <w:autoSpaceDE w:val="0"/>
        <w:autoSpaceDN w:val="0"/>
        <w:adjustRightInd w:val="0"/>
        <w:spacing w:after="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Når dette direktiv er gennemført i alle medlemsstater, og de direkte forpligtelser for alle landbrugere er identificeret, vi</w:t>
      </w:r>
      <w:r>
        <w:rPr>
          <w:rFonts w:ascii="Times New Roman" w:hAnsi="Times New Roman"/>
          <w:noProof/>
          <w:color w:val="000000"/>
          <w:sz w:val="24"/>
        </w:rPr>
        <w:t>l Kommissionen tage fat på den fælles udtalelse fra Europa-Parlamentet og Rådet i forordning (EU) nr. 1306/2013</w:t>
      </w:r>
      <w:r>
        <w:rPr>
          <w:rStyle w:val="FootnoteReference"/>
          <w:rFonts w:ascii="Times New Roman" w:hAnsi="Times New Roman"/>
          <w:noProof/>
          <w:color w:val="000000"/>
          <w:sz w:val="24"/>
        </w:rPr>
        <w:footnoteReference w:id="57"/>
      </w:r>
      <w:r>
        <w:rPr>
          <w:rFonts w:ascii="Times New Roman" w:hAnsi="Times New Roman"/>
          <w:noProof/>
          <w:color w:val="000000"/>
          <w:sz w:val="24"/>
        </w:rPr>
        <w:t>, hvori Kommissionen opfordres til at indarbejde de relevante dele af direktivet i systemet med krydsoverensstemmelse. Endvidere vil Kommissione</w:t>
      </w:r>
      <w:r>
        <w:rPr>
          <w:rFonts w:ascii="Times New Roman" w:hAnsi="Times New Roman"/>
          <w:noProof/>
          <w:color w:val="000000"/>
          <w:sz w:val="24"/>
        </w:rPr>
        <w:t>n i mellemtiden støtte medlemsstaterne i udviklingen af metoder til at vurdere overholdelsen af de otte IPM-principper under hensyntagen til mangfoldigheden i EU's landbrug og nærhedsprincippet.</w:t>
      </w:r>
    </w:p>
    <w:p w:rsidR="001D5370" w:rsidRDefault="001D5370">
      <w:pPr>
        <w:autoSpaceDE w:val="0"/>
        <w:autoSpaceDN w:val="0"/>
        <w:adjustRightInd w:val="0"/>
        <w:spacing w:after="0" w:line="240" w:lineRule="auto"/>
        <w:jc w:val="both"/>
        <w:rPr>
          <w:rFonts w:ascii="Times New Roman" w:eastAsia="Times New Roman" w:hAnsi="Times New Roman" w:cs="Times New Roman"/>
          <w:noProof/>
          <w:color w:val="000000"/>
          <w:sz w:val="24"/>
          <w:szCs w:val="24"/>
        </w:rPr>
      </w:pPr>
    </w:p>
    <w:p w:rsidR="001D5370" w:rsidRDefault="002C451F">
      <w:pPr>
        <w:autoSpaceDE w:val="0"/>
        <w:autoSpaceDN w:val="0"/>
        <w:adjustRightInd w:val="0"/>
        <w:spacing w:after="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For at måle fremskridt inden for begrænsning af risici og ne</w:t>
      </w:r>
      <w:r>
        <w:rPr>
          <w:rFonts w:ascii="Times New Roman" w:hAnsi="Times New Roman"/>
          <w:noProof/>
          <w:color w:val="000000"/>
          <w:sz w:val="24"/>
        </w:rPr>
        <w:t>gative påvirkninger af pesticidanvendelse for menneskers sundhed og miljøet vil Kommissionen i andet halvår af 2017 påbegynde arbejdet med medlemsstaterne med henblik på at nå til enighed om udviklingen af harmoniserede risikoindikatorer.</w:t>
      </w:r>
    </w:p>
    <w:p w:rsidR="001D5370" w:rsidRDefault="001D5370">
      <w:pPr>
        <w:autoSpaceDE w:val="0"/>
        <w:autoSpaceDN w:val="0"/>
        <w:adjustRightInd w:val="0"/>
        <w:spacing w:after="0" w:line="240" w:lineRule="auto"/>
        <w:jc w:val="both"/>
        <w:rPr>
          <w:rFonts w:ascii="Times New Roman" w:eastAsia="Times New Roman" w:hAnsi="Times New Roman" w:cs="Times New Roman"/>
          <w:noProof/>
          <w:color w:val="000000"/>
          <w:sz w:val="24"/>
          <w:szCs w:val="24"/>
        </w:rPr>
      </w:pPr>
    </w:p>
    <w:p w:rsidR="001D5370" w:rsidRDefault="002C451F">
      <w:pPr>
        <w:autoSpaceDE w:val="0"/>
        <w:autoSpaceDN w:val="0"/>
        <w:adjustRightInd w:val="0"/>
        <w:spacing w:after="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Kommissionen vil</w:t>
      </w:r>
      <w:r>
        <w:rPr>
          <w:rFonts w:ascii="Times New Roman" w:hAnsi="Times New Roman"/>
          <w:noProof/>
          <w:color w:val="000000"/>
          <w:sz w:val="24"/>
        </w:rPr>
        <w:t xml:space="preserve"> også fortsætte med at samarbejde med medlemsstaterne om at udbrede eksempler på god praksis i gennemførelsen gennem arbejdsgrupper og uddannelse med prioritering af programmet om bedre uddannelse for sikrere fødevarer med henblik på at styrke medlemsstate</w:t>
      </w:r>
      <w:r>
        <w:rPr>
          <w:rFonts w:ascii="Times New Roman" w:hAnsi="Times New Roman"/>
          <w:noProof/>
          <w:color w:val="000000"/>
          <w:sz w:val="24"/>
        </w:rPr>
        <w:t>rnes kapacitet i deres forståelse og gennemførelse af principper for bæredygtig brug.</w:t>
      </w:r>
    </w:p>
    <w:p w:rsidR="001D5370" w:rsidRDefault="001D5370">
      <w:pPr>
        <w:autoSpaceDE w:val="0"/>
        <w:autoSpaceDN w:val="0"/>
        <w:adjustRightInd w:val="0"/>
        <w:spacing w:after="0" w:line="240" w:lineRule="auto"/>
        <w:jc w:val="both"/>
        <w:rPr>
          <w:rFonts w:ascii="Times New Roman" w:eastAsia="Times New Roman" w:hAnsi="Times New Roman" w:cs="Times New Roman"/>
          <w:noProof/>
          <w:color w:val="000000"/>
          <w:sz w:val="24"/>
          <w:szCs w:val="24"/>
        </w:rPr>
      </w:pPr>
    </w:p>
    <w:p w:rsidR="001D5370" w:rsidRDefault="002C451F">
      <w:pPr>
        <w:autoSpaceDE w:val="0"/>
        <w:autoSpaceDN w:val="0"/>
        <w:adjustRightInd w:val="0"/>
        <w:spacing w:after="0" w:line="240" w:lineRule="auto"/>
        <w:jc w:val="both"/>
        <w:rPr>
          <w:rFonts w:ascii="Times New Roman" w:eastAsia="Times New Roman" w:hAnsi="Times New Roman" w:cs="Times New Roman"/>
          <w:noProof/>
          <w:color w:val="000000"/>
          <w:sz w:val="24"/>
          <w:szCs w:val="24"/>
        </w:rPr>
      </w:pPr>
      <w:r>
        <w:rPr>
          <w:rFonts w:ascii="Times New Roman" w:hAnsi="Times New Roman"/>
          <w:noProof/>
          <w:color w:val="000000"/>
          <w:sz w:val="24"/>
        </w:rPr>
        <w:t xml:space="preserve">Efter vedtagelsen af de reviderede nationale handlingsplaner og med adgang til de ajourførte oplysninger vil Kommissionen udarbejde endnu en rapport, som skal gøre det </w:t>
      </w:r>
      <w:r>
        <w:rPr>
          <w:rFonts w:ascii="Times New Roman" w:hAnsi="Times New Roman"/>
          <w:noProof/>
          <w:color w:val="000000"/>
          <w:sz w:val="24"/>
        </w:rPr>
        <w:t>muligt at foretage en mere omfattende vurdering af gennemførelsen af direktivet.</w:t>
      </w:r>
    </w:p>
    <w:bookmarkEnd w:id="3"/>
    <w:p w:rsidR="001D5370" w:rsidRDefault="001D5370">
      <w:pPr>
        <w:rPr>
          <w:noProof/>
        </w:rPr>
      </w:pPr>
    </w:p>
    <w:sectPr w:rsidR="001D5370">
      <w:headerReference w:type="even" r:id="rId20"/>
      <w:headerReference w:type="default" r:id="rId21"/>
      <w:footerReference w:type="even" r:id="rId22"/>
      <w:footerReference w:type="default" r:id="rId23"/>
      <w:headerReference w:type="first" r:id="rId24"/>
      <w:footerReference w:type="first" r:id="rId25"/>
      <w:pgSz w:w="11906" w:h="16838"/>
      <w:pgMar w:top="1417" w:right="1417" w:bottom="1417" w:left="1417" w:header="708" w:footer="708" w:gutter="0"/>
      <w:pgNumType w:start="2"/>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56E9FF9" w15:done="0"/>
  <w15:commentEx w15:paraId="5FFBF9BC" w15:done="0"/>
  <w15:commentEx w15:paraId="60A878D0" w15:done="0"/>
  <w15:commentEx w15:paraId="3A2FA365" w15:done="0"/>
  <w15:commentEx w15:paraId="509C3FBE" w15:done="0"/>
  <w15:commentEx w15:paraId="15464500" w15:done="0"/>
  <w15:commentEx w15:paraId="642B8E4E" w15:done="0"/>
  <w15:commentEx w15:paraId="75FF39DF" w15:done="0"/>
  <w15:commentEx w15:paraId="5B5C23A9" w15:done="0"/>
  <w15:commentEx w15:paraId="78D0E9C6" w15:done="0"/>
  <w15:commentEx w15:paraId="01A559E7" w15:done="0"/>
  <w15:commentEx w15:paraId="3F76A7E5" w15:done="0"/>
  <w15:commentEx w15:paraId="7EB11473" w15:done="0"/>
  <w15:commentEx w15:paraId="6A6A73D7" w15:done="0"/>
  <w15:commentEx w15:paraId="10EAE6E2" w15:done="0"/>
  <w15:commentEx w15:paraId="1EA8358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6E9FF9" w16cid:durableId="1D0788BB"/>
  <w16cid:commentId w16cid:paraId="5FFBF9BC" w16cid:durableId="1D0788BC"/>
  <w16cid:commentId w16cid:paraId="60A878D0" w16cid:durableId="1D0788BD"/>
  <w16cid:commentId w16cid:paraId="3A2FA365" w16cid:durableId="1D0788BE"/>
  <w16cid:commentId w16cid:paraId="509C3FBE" w16cid:durableId="1D0788BF"/>
  <w16cid:commentId w16cid:paraId="15464500" w16cid:durableId="1D0788C0"/>
  <w16cid:commentId w16cid:paraId="642B8E4E" w16cid:durableId="1D0788C1"/>
  <w16cid:commentId w16cid:paraId="75FF39DF" w16cid:durableId="1D0788C2"/>
  <w16cid:commentId w16cid:paraId="5B5C23A9" w16cid:durableId="1D0788C3"/>
  <w16cid:commentId w16cid:paraId="78D0E9C6" w16cid:durableId="1D0788C4"/>
  <w16cid:commentId w16cid:paraId="01A559E7" w16cid:durableId="1D0788C5"/>
  <w16cid:commentId w16cid:paraId="3F76A7E5" w16cid:durableId="1D0788C6"/>
  <w16cid:commentId w16cid:paraId="7EB11473" w16cid:durableId="1D0788C7"/>
  <w16cid:commentId w16cid:paraId="6A6A73D7" w16cid:durableId="1D0788C8"/>
  <w16cid:commentId w16cid:paraId="10EAE6E2" w16cid:durableId="1D0788C9"/>
  <w16cid:commentId w16cid:paraId="1EA83589" w16cid:durableId="1D0788C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370" w:rsidRDefault="002C451F">
      <w:pPr>
        <w:spacing w:after="0" w:line="240" w:lineRule="auto"/>
      </w:pPr>
      <w:r>
        <w:separator/>
      </w:r>
    </w:p>
  </w:endnote>
  <w:endnote w:type="continuationSeparator" w:id="0">
    <w:p w:rsidR="001D5370" w:rsidRDefault="002C4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EU Albertina"/>
    <w:charset w:val="00"/>
    <w:family w:val="roman"/>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51F" w:rsidRDefault="002C45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370" w:rsidRDefault="002C451F">
    <w:pPr>
      <w:pStyle w:val="FooterCoverPage"/>
      <w:rPr>
        <w:rFonts w:ascii="Arial" w:hAnsi="Arial" w:cs="Arial"/>
        <w:b/>
        <w:sz w:val="48"/>
      </w:rPr>
    </w:pPr>
    <w:r>
      <w:rPr>
        <w:rFonts w:ascii="Arial" w:hAnsi="Arial" w:cs="Arial"/>
        <w:b/>
        <w:sz w:val="48"/>
      </w:rPr>
      <w:t>DA</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DA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51F" w:rsidRDefault="002C451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370" w:rsidRDefault="001D537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370" w:rsidRDefault="002C451F">
    <w:pPr>
      <w:pStyle w:val="Footer"/>
      <w:jc w:val="center"/>
    </w:pPr>
    <w:r>
      <w:fldChar w:fldCharType="begin"/>
    </w:r>
    <w:r>
      <w:instrText xml:space="preserve"> PAGE   \* MERGEFORMAT </w:instrText>
    </w:r>
    <w:r>
      <w:fldChar w:fldCharType="separate"/>
    </w:r>
    <w:r>
      <w:rPr>
        <w:noProof/>
      </w:rPr>
      <w:t>19</w:t>
    </w:r>
    <w:r>
      <w:rPr>
        <w:noProof/>
      </w:rPr>
      <w:fldChar w:fldCharType="end"/>
    </w:r>
  </w:p>
  <w:p w:rsidR="001D5370" w:rsidRDefault="001D5370">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370" w:rsidRDefault="001D53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370" w:rsidRDefault="002C451F">
      <w:pPr>
        <w:spacing w:after="0" w:line="240" w:lineRule="auto"/>
      </w:pPr>
      <w:r>
        <w:separator/>
      </w:r>
    </w:p>
  </w:footnote>
  <w:footnote w:type="continuationSeparator" w:id="0">
    <w:p w:rsidR="001D5370" w:rsidRDefault="002C451F">
      <w:pPr>
        <w:spacing w:after="0" w:line="240" w:lineRule="auto"/>
      </w:pPr>
      <w:r>
        <w:continuationSeparator/>
      </w:r>
    </w:p>
  </w:footnote>
  <w:footnote w:id="1">
    <w:p w:rsidR="001D5370" w:rsidRDefault="002C451F">
      <w:pPr>
        <w:pStyle w:val="FootnoteText"/>
        <w:rPr>
          <w:rFonts w:ascii="Times New Roman" w:hAnsi="Times New Roman" w:cs="Times New Roman"/>
        </w:rPr>
      </w:pPr>
      <w:r>
        <w:rPr>
          <w:rStyle w:val="FootnoteReference"/>
        </w:rPr>
        <w:footnoteRef/>
      </w:r>
      <w:r>
        <w:t xml:space="preserve"> </w:t>
      </w:r>
      <w:r>
        <w:rPr>
          <w:rFonts w:ascii="Times New Roman" w:hAnsi="Times New Roman"/>
        </w:rPr>
        <w:t xml:space="preserve">I denne rapport henviser "pesticider" til plantebeskyttelsesmidler, herunder herbicider, fungicider og insekticider til </w:t>
      </w:r>
      <w:r>
        <w:rPr>
          <w:rFonts w:ascii="Times New Roman" w:hAnsi="Times New Roman"/>
        </w:rPr>
        <w:t>plantebeskyttelse.</w:t>
      </w:r>
    </w:p>
  </w:footnote>
  <w:footnote w:id="2">
    <w:p w:rsidR="001D5370" w:rsidRDefault="002C451F">
      <w:pPr>
        <w:spacing w:after="0"/>
        <w:rPr>
          <w:rFonts w:ascii="Times New Roman" w:hAnsi="Times New Roman" w:cs="Times New Roman"/>
          <w:sz w:val="20"/>
          <w:szCs w:val="20"/>
        </w:rPr>
      </w:pPr>
      <w:r>
        <w:rPr>
          <w:rStyle w:val="FootnoteReference"/>
          <w:rFonts w:ascii="Times New Roman" w:hAnsi="Times New Roman"/>
          <w:sz w:val="20"/>
        </w:rPr>
        <w:footnoteRef/>
      </w:r>
      <w:hyperlink r:id="rId1">
        <w:r>
          <w:rPr>
            <w:rStyle w:val="Hyperlink"/>
            <w:rFonts w:ascii="Times New Roman" w:hAnsi="Times New Roman"/>
            <w:sz w:val="20"/>
          </w:rPr>
          <w:t>http://ec.europa.eu/europeaid/file/50450/download_en?token=KLkUmH5y</w:t>
        </w:r>
      </w:hyperlink>
      <w:r>
        <w:rPr>
          <w:rFonts w:ascii="Times New Roman" w:hAnsi="Times New Roman"/>
          <w:sz w:val="20"/>
        </w:rPr>
        <w:t xml:space="preserve"> </w:t>
      </w:r>
    </w:p>
  </w:footnote>
  <w:footnote w:id="3">
    <w:p w:rsidR="001D5370" w:rsidRDefault="002C451F">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COM/2006/0372 </w:t>
      </w:r>
      <w:r>
        <w:rPr>
          <w:rStyle w:val="Strong"/>
          <w:rFonts w:ascii="Times New Roman" w:hAnsi="Times New Roman"/>
          <w:b w:val="0"/>
        </w:rPr>
        <w:t>Meddelelse fra Kommissionen til Rådet, Europa-Parlamentet, det E</w:t>
      </w:r>
      <w:r>
        <w:rPr>
          <w:rStyle w:val="Strong"/>
          <w:rFonts w:ascii="Times New Roman" w:hAnsi="Times New Roman"/>
          <w:b w:val="0"/>
        </w:rPr>
        <w:t>uropæiske Økonomiske og Sociale Udvalg og Regionsudvalget – Temastrategi for bæredygtig anvendelse af pesticider.</w:t>
      </w:r>
      <w:r>
        <w:rPr>
          <w:rStyle w:val="Strong"/>
          <w:rFonts w:ascii="Times New Roman" w:hAnsi="Times New Roman"/>
        </w:rPr>
        <w:t xml:space="preserve"> </w:t>
      </w:r>
    </w:p>
  </w:footnote>
  <w:footnote w:id="4">
    <w:p w:rsidR="001D5370" w:rsidRDefault="002C451F">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Pesticider defineres i direktiv 2009/128/EF (artikel 3) som indeholdende enten et plantebeskyttelsesmiddel eller et biocidholdigt produkt. </w:t>
      </w:r>
      <w:r>
        <w:rPr>
          <w:rFonts w:ascii="Times New Roman" w:hAnsi="Times New Roman"/>
        </w:rPr>
        <w:t>I dag finder direktivet kun anvendelse på plantebeskyttelsesprodukter (artikel 2). Termen pesticider anvendes bredt i denne rapport, da den anvendes mere almindeligt, men rapporten omhandler ikke biocidholdige produkter.</w:t>
      </w:r>
    </w:p>
  </w:footnote>
  <w:footnote w:id="5">
    <w:p w:rsidR="001D5370" w:rsidRDefault="002C451F">
      <w:pPr>
        <w:pStyle w:val="FootnoteText"/>
        <w:jc w:val="both"/>
        <w:rPr>
          <w:rFonts w:ascii="Times New Roman" w:hAnsi="Times New Roman" w:cs="Times New Roman"/>
          <w:b/>
          <w:bCs/>
        </w:rPr>
      </w:pPr>
      <w:r>
        <w:rPr>
          <w:rStyle w:val="FootnoteReference"/>
          <w:rFonts w:ascii="Times New Roman" w:hAnsi="Times New Roman"/>
        </w:rPr>
        <w:footnoteRef/>
      </w:r>
      <w:r>
        <w:rPr>
          <w:rStyle w:val="FootnoteReference"/>
          <w:rFonts w:ascii="Times New Roman" w:hAnsi="Times New Roman"/>
        </w:rPr>
        <w:t xml:space="preserve"> </w:t>
      </w:r>
      <w:r>
        <w:rPr>
          <w:rStyle w:val="Strong"/>
          <w:rFonts w:ascii="Times New Roman" w:hAnsi="Times New Roman"/>
          <w:b w:val="0"/>
        </w:rPr>
        <w:t xml:space="preserve">Europa-Parlamentets og Rådets </w:t>
      </w:r>
      <w:r>
        <w:rPr>
          <w:rStyle w:val="Strong"/>
          <w:rFonts w:ascii="Times New Roman" w:hAnsi="Times New Roman"/>
          <w:b w:val="0"/>
        </w:rPr>
        <w:t>forordning (EF) nr. 1107/2009 af 21. oktober 2009 om markedsføring af plantebeskyttelsesmidler og om ophævelse af Rådets direktiv 79/117/EØF og 91/414/EØF (EUT L 309 af 24.11. 2009, s. 1-50).</w:t>
      </w:r>
    </w:p>
  </w:footnote>
  <w:footnote w:id="6">
    <w:p w:rsidR="001D5370" w:rsidRDefault="002C451F">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hyperlink r:id="rId2">
        <w:r>
          <w:rPr>
            <w:rStyle w:val="Hyperlink"/>
            <w:rFonts w:ascii="Times New Roman" w:hAnsi="Times New Roman"/>
          </w:rPr>
          <w:t>http://ec.europa.eu/food/plant/pesticides/eu-pesticides-database/public/?event=homepage&amp;language=DA</w:t>
        </w:r>
      </w:hyperlink>
    </w:p>
  </w:footnote>
  <w:footnote w:id="7">
    <w:p w:rsidR="001D5370" w:rsidRDefault="002C451F">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Europa-Parlamentets og Rådets forordning (EF) nr. 396/2005 af 23. februar 2005 om maksimalgrænsev</w:t>
      </w:r>
      <w:r>
        <w:rPr>
          <w:rFonts w:ascii="Times New Roman" w:hAnsi="Times New Roman"/>
        </w:rPr>
        <w:t>ærdier for pesticidrester i eller på vegetabilske og animalske fødevarer og foderstoffer og om ændring af Rådets direktiv 91/414/EØF (EUT L 70 af 16.3.2005, s. 1-16).</w:t>
      </w:r>
    </w:p>
  </w:footnote>
  <w:footnote w:id="8">
    <w:p w:rsidR="001D5370" w:rsidRDefault="002C451F">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Europa-Parlamentets og Rådets direktiv 2009/128/EF af 21. oktober 2009 om en ramme for </w:t>
      </w:r>
      <w:r>
        <w:rPr>
          <w:rFonts w:ascii="Times New Roman" w:hAnsi="Times New Roman"/>
        </w:rPr>
        <w:t>Fællesskabets indsats for en bæredygtig anvendelse af pesticider (EUT L 309 af 24.11.2009, s. 71-86).</w:t>
      </w:r>
    </w:p>
  </w:footnote>
  <w:footnote w:id="9">
    <w:p w:rsidR="001D5370" w:rsidRDefault="002C451F">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hyperlink r:id="rId3">
        <w:r>
          <w:rPr>
            <w:rStyle w:val="Hyperlink"/>
            <w:rFonts w:ascii="Times New Roman" w:hAnsi="Times New Roman"/>
          </w:rPr>
          <w:t>http://ec.europa.eu/food/audits-analysis/overview_rep</w:t>
        </w:r>
        <w:r>
          <w:rPr>
            <w:rStyle w:val="Hyperlink"/>
            <w:rFonts w:ascii="Times New Roman" w:hAnsi="Times New Roman"/>
          </w:rPr>
          <w:t>orts/details.cfm?rep_id=79</w:t>
        </w:r>
      </w:hyperlink>
    </w:p>
  </w:footnote>
  <w:footnote w:id="10">
    <w:p w:rsidR="001D5370" w:rsidRDefault="002C451F">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http://ec.europa.eu/food/audits-analysis/overview_reports/details.cfm?rep_id=109</w:t>
      </w:r>
    </w:p>
  </w:footnote>
  <w:footnote w:id="11">
    <w:p w:rsidR="001D5370" w:rsidRDefault="002C451F">
      <w:pPr>
        <w:pStyle w:val="FootnoteText"/>
        <w:ind w:left="227" w:hanging="227"/>
        <w:jc w:val="both"/>
        <w:rPr>
          <w:rFonts w:ascii="Times New Roman" w:hAnsi="Times New Roman" w:cs="Times New Roman"/>
        </w:rPr>
      </w:pPr>
      <w:r>
        <w:rPr>
          <w:rStyle w:val="FootnoteReference"/>
        </w:rPr>
        <w:footnoteRef/>
      </w:r>
      <w:r>
        <w:t xml:space="preserve"> </w:t>
      </w:r>
      <w:r>
        <w:rPr>
          <w:rFonts w:ascii="Times New Roman" w:hAnsi="Times New Roman"/>
        </w:rPr>
        <w:t>Oplysninger og data som svar på denne undersøgelse var ufuldstændige, og resultaterne skal undersøges yderligere hos medlemsstaterne. Det Forene</w:t>
      </w:r>
      <w:r>
        <w:rPr>
          <w:rFonts w:ascii="Times New Roman" w:hAnsi="Times New Roman"/>
        </w:rPr>
        <w:t xml:space="preserve">de Kongerige besvarede ikke spørgeskemaet, men fremlagde oplysninger om nogle af emnerne på et senere tidspunkt. Der var mangler i oplysningerne i de svar, der blev afgivet af Bulgarien, Rumænien, Grækenland og Frankrig. </w:t>
      </w:r>
    </w:p>
  </w:footnote>
  <w:footnote w:id="12">
    <w:p w:rsidR="001D5370" w:rsidRDefault="002C451F">
      <w:pPr>
        <w:pStyle w:val="FootnoteText"/>
        <w:rPr>
          <w:rFonts w:ascii="Times New Roman" w:hAnsi="Times New Roman" w:cs="Times New Roman"/>
        </w:rPr>
      </w:pPr>
      <w:r>
        <w:rPr>
          <w:rStyle w:val="FootnoteReference"/>
        </w:rPr>
        <w:footnoteRef/>
      </w:r>
      <w:r>
        <w:t xml:space="preserve"> </w:t>
      </w:r>
      <w:r>
        <w:rPr>
          <w:rFonts w:ascii="Times New Roman" w:hAnsi="Times New Roman"/>
        </w:rPr>
        <w:t>Tyskland, Holland, Italien, Danm</w:t>
      </w:r>
      <w:r>
        <w:rPr>
          <w:rFonts w:ascii="Times New Roman" w:hAnsi="Times New Roman"/>
        </w:rPr>
        <w:t>ark, Polen, Sverige.</w:t>
      </w:r>
    </w:p>
  </w:footnote>
  <w:footnote w:id="13">
    <w:p w:rsidR="001D5370" w:rsidRDefault="002C451F">
      <w:pPr>
        <w:pStyle w:val="FootnoteText"/>
        <w:jc w:val="both"/>
      </w:pPr>
      <w:r>
        <w:rPr>
          <w:rStyle w:val="FootnoteReference"/>
        </w:rPr>
        <w:footnoteRef/>
      </w:r>
      <w:r>
        <w:t xml:space="preserve"> </w:t>
      </w:r>
      <w:r>
        <w:rPr>
          <w:rFonts w:ascii="Times New Roman" w:hAnsi="Times New Roman"/>
        </w:rPr>
        <w:t>Der foreskrives i direktivet ikke et format for nationale handlingsplaner, og derfor er de planer, som forelægges Kommissionen, ikke fuldt sammenlignelige. I nogle tilfælde indeholder de ikke alle de nationale foranstaltninger, som t</w:t>
      </w:r>
      <w:r>
        <w:rPr>
          <w:rFonts w:ascii="Times New Roman" w:hAnsi="Times New Roman"/>
        </w:rPr>
        <w:t>ræffes for at gennemføre direktivet. Omfanget af Kommissionens vurdering af planerne var begrænset til selve planerne, og de foranstaltninger, som ikke indgår i disse planer, kunne ikke tages i betragtning.</w:t>
      </w:r>
    </w:p>
  </w:footnote>
  <w:footnote w:id="14">
    <w:p w:rsidR="001D5370" w:rsidRDefault="002C451F">
      <w:pPr>
        <w:pStyle w:val="FootnoteText"/>
      </w:pPr>
      <w:r>
        <w:rPr>
          <w:rStyle w:val="FootnoteReference"/>
          <w:rFonts w:ascii="Times New Roman" w:hAnsi="Times New Roman"/>
        </w:rPr>
        <w:footnoteRef/>
      </w:r>
      <w:r>
        <w:rPr>
          <w:rFonts w:ascii="Times New Roman" w:hAnsi="Times New Roman"/>
        </w:rPr>
        <w:t xml:space="preserve"> </w:t>
      </w:r>
      <w:hyperlink r:id="rId4">
        <w:r>
          <w:rPr>
            <w:rStyle w:val="Hyperlink"/>
            <w:rFonts w:ascii="Times New Roman" w:hAnsi="Times New Roman"/>
          </w:rPr>
          <w:t>https://ec.europa.eu/food/plant/pesticides/sustainable_use_pesticides_en</w:t>
        </w:r>
      </w:hyperlink>
    </w:p>
  </w:footnote>
  <w:footnote w:id="15">
    <w:p w:rsidR="001D5370" w:rsidRDefault="002C451F">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Spanien, Tjekkiet, Cypern, Estland, Belgien, Sverige, Finland, Tyskland, Ungarn, Polen, Letland, Italien, Portugal, Kroatien, Østrig, Da</w:t>
      </w:r>
      <w:r>
        <w:rPr>
          <w:rFonts w:ascii="Times New Roman" w:hAnsi="Times New Roman"/>
        </w:rPr>
        <w:t>nmark, Litauen, Rumænien, Slovakiet, Irland og Frankrig.</w:t>
      </w:r>
    </w:p>
  </w:footnote>
  <w:footnote w:id="16">
    <w:p w:rsidR="001D5370" w:rsidRDefault="002C451F">
      <w:pPr>
        <w:pStyle w:val="FootnoteText"/>
        <w:rPr>
          <w:rFonts w:ascii="Times New Roman" w:hAnsi="Times New Roman" w:cs="Times New Roman"/>
          <w:lang w:val="sv-SE"/>
        </w:rPr>
      </w:pPr>
      <w:r>
        <w:rPr>
          <w:rStyle w:val="FootnoteReference"/>
          <w:rFonts w:ascii="Times New Roman" w:hAnsi="Times New Roman"/>
        </w:rPr>
        <w:footnoteRef/>
      </w:r>
      <w:r>
        <w:rPr>
          <w:rFonts w:ascii="Times New Roman" w:hAnsi="Times New Roman"/>
          <w:lang w:val="sv-SE"/>
        </w:rPr>
        <w:t xml:space="preserve"> Luxembourg, Slovenien, Cypern, Belgien, Finland, Ungarn, Polen, Tyskland og Frankrig.</w:t>
      </w:r>
    </w:p>
  </w:footnote>
  <w:footnote w:id="17">
    <w:p w:rsidR="001D5370" w:rsidRDefault="002C451F">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Belgien, Danmark, Grækenland og Tyskland.</w:t>
      </w:r>
    </w:p>
  </w:footnote>
  <w:footnote w:id="18">
    <w:p w:rsidR="001D5370" w:rsidRDefault="002C451F">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Frankrig.</w:t>
      </w:r>
    </w:p>
  </w:footnote>
  <w:footnote w:id="19">
    <w:p w:rsidR="001D5370" w:rsidRDefault="002C451F">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I Nederlandene indgik disse ikke i de nationale handlingsplaner.</w:t>
      </w:r>
    </w:p>
  </w:footnote>
  <w:footnote w:id="20">
    <w:p w:rsidR="001D5370" w:rsidRDefault="002C451F">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Belgiens og Danmarks planer har ingen reference eller mål for uddannelse og certificering af operatører.</w:t>
      </w:r>
    </w:p>
  </w:footnote>
  <w:footnote w:id="21">
    <w:p w:rsidR="001D5370" w:rsidRDefault="002C451F">
      <w:pPr>
        <w:pStyle w:val="FootnoteText"/>
        <w:ind w:left="227" w:hanging="227"/>
      </w:pPr>
      <w:r>
        <w:rPr>
          <w:rStyle w:val="FootnoteReference"/>
        </w:rPr>
        <w:footnoteRef/>
      </w:r>
      <w:r>
        <w:t xml:space="preserve"> </w:t>
      </w:r>
      <w:r>
        <w:rPr>
          <w:rFonts w:ascii="Times New Roman" w:hAnsi="Times New Roman"/>
        </w:rPr>
        <w:t>Østrig, Tjekkiet, Frankrig, Tyskland, Grækenland, Letland, Litauen, Nederlandene,</w:t>
      </w:r>
      <w:r>
        <w:rPr>
          <w:rFonts w:ascii="Times New Roman" w:hAnsi="Times New Roman"/>
        </w:rPr>
        <w:t xml:space="preserve"> Rumænien, Slovakiet og Slovenien.</w:t>
      </w:r>
    </w:p>
  </w:footnote>
  <w:footnote w:id="22">
    <w:p w:rsidR="001D5370" w:rsidRDefault="002C451F">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Italien, Tjekkiet, Estland, Litauen, Slovakiet og Malta. </w:t>
      </w:r>
    </w:p>
  </w:footnote>
  <w:footnote w:id="23">
    <w:p w:rsidR="001D5370" w:rsidRDefault="002C451F">
      <w:pPr>
        <w:pStyle w:val="FootnoteText"/>
      </w:pPr>
      <w:r>
        <w:rPr>
          <w:rStyle w:val="FootnoteReference"/>
        </w:rPr>
        <w:footnoteRef/>
      </w:r>
      <w:r>
        <w:t xml:space="preserve"> </w:t>
      </w:r>
      <w:r>
        <w:rPr>
          <w:rFonts w:ascii="Times New Roman" w:hAnsi="Times New Roman"/>
        </w:rPr>
        <w:t>Bulgarien, Ungarn og Rumænien.</w:t>
      </w:r>
    </w:p>
  </w:footnote>
  <w:footnote w:id="24">
    <w:p w:rsidR="001D5370" w:rsidRDefault="002C451F">
      <w:pPr>
        <w:pStyle w:val="FootnoteText"/>
        <w:ind w:left="227" w:hanging="227"/>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hyperlink r:id="rId5" w:anchor="Agricultural_holdings">
        <w:r>
          <w:rPr>
            <w:rStyle w:val="Hyperlink"/>
            <w:rFonts w:ascii="Times New Roman" w:hAnsi="Times New Roman"/>
          </w:rPr>
          <w:t>http://ec.europa.eu/eurostat/statistics-explained/index.php/Farm_structure_survey_2013_-_main_results#Agricult</w:t>
        </w:r>
        <w:r>
          <w:rPr>
            <w:rStyle w:val="Hyperlink"/>
            <w:rFonts w:ascii="Times New Roman" w:hAnsi="Times New Roman"/>
          </w:rPr>
          <w:t>ural_holdings</w:t>
        </w:r>
      </w:hyperlink>
      <w:r>
        <w:rPr>
          <w:rFonts w:ascii="Times New Roman" w:hAnsi="Times New Roman"/>
        </w:rPr>
        <w:t xml:space="preserve"> </w:t>
      </w:r>
    </w:p>
  </w:footnote>
  <w:footnote w:id="25">
    <w:p w:rsidR="001D5370" w:rsidRDefault="002C451F">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Danmark, Tyskland, Nederlandene, Polen og Sverige.</w:t>
      </w:r>
    </w:p>
  </w:footnote>
  <w:footnote w:id="26">
    <w:p w:rsidR="001D5370" w:rsidRDefault="002C451F">
      <w:pPr>
        <w:pStyle w:val="FootnoteText"/>
      </w:pPr>
      <w:r>
        <w:rPr>
          <w:rStyle w:val="FootnoteReference"/>
        </w:rPr>
        <w:footnoteRef/>
      </w:r>
      <w:r>
        <w:t xml:space="preserve"> </w:t>
      </w:r>
      <w:r>
        <w:rPr>
          <w:rFonts w:ascii="Times New Roman" w:hAnsi="Times New Roman"/>
        </w:rPr>
        <w:t>Danmark, Finland, Ungarn, Sverige og Det Forenede Kongerige.</w:t>
      </w:r>
    </w:p>
  </w:footnote>
  <w:footnote w:id="27">
    <w:p w:rsidR="001D5370" w:rsidRDefault="002C451F">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hyperlink r:id="rId6">
        <w:r>
          <w:rPr>
            <w:rStyle w:val="Hyperlink"/>
            <w:rFonts w:ascii="Times New Roman" w:hAnsi="Times New Roman"/>
          </w:rPr>
          <w:t>https://ec.europa.eu/food/safety/btsf_en</w:t>
        </w:r>
      </w:hyperlink>
      <w:r>
        <w:rPr>
          <w:rFonts w:ascii="Times New Roman" w:hAnsi="Times New Roman"/>
        </w:rPr>
        <w:t xml:space="preserve"> </w:t>
      </w:r>
    </w:p>
    <w:p w:rsidR="001D5370" w:rsidRDefault="001D5370">
      <w:pPr>
        <w:pStyle w:val="FootnoteText"/>
      </w:pPr>
    </w:p>
  </w:footnote>
  <w:footnote w:id="28">
    <w:p w:rsidR="001D5370" w:rsidRDefault="002C451F">
      <w:pPr>
        <w:pStyle w:val="FootnoteText"/>
        <w:ind w:left="227" w:hanging="227"/>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Tjekkiet, Estland,</w:t>
      </w:r>
      <w:r>
        <w:rPr>
          <w:rFonts w:ascii="Times New Roman" w:hAnsi="Times New Roman"/>
        </w:rPr>
        <w:t xml:space="preserve"> Litauen, Nederlandene, Slovakiet, Ungarn, Polen, Tyskland, Frankrig og Bulgarien.</w:t>
      </w:r>
    </w:p>
  </w:footnote>
  <w:footnote w:id="29">
    <w:p w:rsidR="001D5370" w:rsidRDefault="002C451F">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Planerne fra Danmark og Sverige indeholdt ikke dette mål.</w:t>
      </w:r>
    </w:p>
  </w:footnote>
  <w:footnote w:id="30">
    <w:p w:rsidR="001D5370" w:rsidRDefault="002C451F">
      <w:pPr>
        <w:pStyle w:val="FootnoteText"/>
        <w:ind w:left="227" w:hanging="227"/>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Kommissionens meddelelse inden for rammerne af gennemførelsen af Europa-Parlamentets og Rådets direktiv 2009/12</w:t>
      </w:r>
      <w:r>
        <w:rPr>
          <w:rFonts w:ascii="Times New Roman" w:hAnsi="Times New Roman"/>
        </w:rPr>
        <w:t>8/EF af 21. oktober 2009 om en ramme for Fællesskabets indsats for en bæredygtig anvendelse af pesticider (EUT C 196 af 12.6.2015, s. 4-5).</w:t>
      </w:r>
    </w:p>
  </w:footnote>
  <w:footnote w:id="31">
    <w:p w:rsidR="001D5370" w:rsidRDefault="002C451F">
      <w:pPr>
        <w:pStyle w:val="FootnoteText"/>
        <w:ind w:left="227" w:hanging="227"/>
        <w:rPr>
          <w:rFonts w:ascii="Times New Roman" w:hAnsi="Times New Roman" w:cs="Times New Roman"/>
        </w:rPr>
      </w:pPr>
      <w:r>
        <w:rPr>
          <w:rStyle w:val="FootnoteReference"/>
        </w:rPr>
        <w:footnoteRef/>
      </w:r>
      <w:r>
        <w:t xml:space="preserve"> </w:t>
      </w:r>
      <w:r>
        <w:rPr>
          <w:rFonts w:ascii="Times New Roman" w:hAnsi="Times New Roman"/>
        </w:rPr>
        <w:t>Belgien, Bulgarien, Kroatien, Cypern, Tjekkiet, Danmark, Frankrig, Tyskland, Ungarn, Italien, Letland, Litauen, Ne</w:t>
      </w:r>
      <w:r>
        <w:rPr>
          <w:rFonts w:ascii="Times New Roman" w:hAnsi="Times New Roman"/>
        </w:rPr>
        <w:t>derlandene, Luxembourg, Polen, Portugal, Rumænien, Slovakiet, Spanien, Sverige og Det Forenede Kongerige.</w:t>
      </w:r>
    </w:p>
  </w:footnote>
  <w:footnote w:id="32">
    <w:p w:rsidR="001D5370" w:rsidRDefault="002C451F">
      <w:pPr>
        <w:pStyle w:val="FootnoteText"/>
        <w:ind w:left="227" w:hanging="227"/>
      </w:pPr>
      <w:r>
        <w:rPr>
          <w:rStyle w:val="FootnoteReference"/>
          <w:rFonts w:ascii="Times New Roman" w:hAnsi="Times New Roman"/>
        </w:rPr>
        <w:footnoteRef/>
      </w:r>
      <w:r>
        <w:rPr>
          <w:rFonts w:ascii="Times New Roman" w:hAnsi="Times New Roman"/>
        </w:rPr>
        <w:t xml:space="preserve"> Bulgarien, Tjekkiet, Kroatien, Cypern, Frankrig, Tyskland, Ungarn, Italien, Luxembourg, Polen, Portugal, Slovakiet, Spanien og Det Forenede Kongerig</w:t>
      </w:r>
      <w:r>
        <w:rPr>
          <w:rFonts w:ascii="Times New Roman" w:hAnsi="Times New Roman"/>
        </w:rPr>
        <w:t>e. Grækenland fremlagde ikke oplysninger om sprøjtning fra luften, og Bulgarien, Tjekkiet og Frankrig gav ikke nogen oplysninger om, hvilke arealer der behandles.</w:t>
      </w:r>
    </w:p>
  </w:footnote>
  <w:footnote w:id="33">
    <w:p w:rsidR="001D5370" w:rsidRDefault="002C451F">
      <w:pPr>
        <w:pStyle w:val="FootnoteText"/>
        <w:rPr>
          <w:rFonts w:ascii="Times New Roman" w:hAnsi="Times New Roman" w:cs="Times New Roman"/>
          <w:lang w:val="sv-SE"/>
        </w:rPr>
      </w:pPr>
      <w:r>
        <w:rPr>
          <w:rStyle w:val="FootnoteReference"/>
          <w:rFonts w:ascii="Times New Roman" w:hAnsi="Times New Roman"/>
        </w:rPr>
        <w:footnoteRef/>
      </w:r>
      <w:r>
        <w:rPr>
          <w:rFonts w:ascii="Times New Roman" w:hAnsi="Times New Roman"/>
          <w:lang w:val="sv-SE"/>
        </w:rPr>
        <w:t xml:space="preserve"> Spanien, Kroatien, Sverige, Holland, Ungarn og Malta.</w:t>
      </w:r>
    </w:p>
  </w:footnote>
  <w:footnote w:id="34">
    <w:p w:rsidR="001D5370" w:rsidRDefault="002C451F">
      <w:pPr>
        <w:pStyle w:val="FootnoteText"/>
        <w:ind w:left="227" w:hanging="227"/>
        <w:rPr>
          <w:rFonts w:ascii="Times New Roman" w:hAnsi="Times New Roman" w:cs="Times New Roman"/>
          <w:lang w:val="en-GB"/>
        </w:rPr>
      </w:pPr>
      <w:r>
        <w:rPr>
          <w:rStyle w:val="FootnoteReference"/>
          <w:rFonts w:ascii="Times New Roman" w:hAnsi="Times New Roman"/>
        </w:rPr>
        <w:footnoteRef/>
      </w:r>
      <w:r>
        <w:rPr>
          <w:rFonts w:ascii="Times New Roman" w:hAnsi="Times New Roman"/>
          <w:lang w:val="en-GB"/>
        </w:rPr>
        <w:t xml:space="preserve"> </w:t>
      </w:r>
      <w:r>
        <w:rPr>
          <w:rFonts w:ascii="Times New Roman" w:hAnsi="Times New Roman"/>
          <w:color w:val="000000"/>
          <w:lang w:val="en-GB"/>
        </w:rPr>
        <w:t>SWD(2017) 153 final:,</w:t>
      </w:r>
      <w:r>
        <w:rPr>
          <w:rFonts w:ascii="Times New Roman" w:hAnsi="Times New Roman"/>
          <w:lang w:val="en-GB"/>
        </w:rPr>
        <w:t xml:space="preserve"> </w:t>
      </w:r>
      <w:r>
        <w:rPr>
          <w:rFonts w:ascii="Times New Roman" w:hAnsi="Times New Roman"/>
          <w:color w:val="000000"/>
          <w:lang w:val="en-GB"/>
        </w:rPr>
        <w:t>https://circa</w:t>
      </w:r>
      <w:r>
        <w:rPr>
          <w:rFonts w:ascii="Times New Roman" w:hAnsi="Times New Roman"/>
          <w:color w:val="000000"/>
          <w:lang w:val="en-GB"/>
        </w:rPr>
        <w:t xml:space="preserve">bc.europa.eu/sd/a/abff972e-203a-4b4e-b42e-a0f291d3fdf9/SWD_2017_EN_V4_P1_885057.pdf. </w:t>
      </w:r>
    </w:p>
  </w:footnote>
  <w:footnote w:id="35">
    <w:p w:rsidR="001D5370" w:rsidRDefault="002C451F">
      <w:pPr>
        <w:pStyle w:val="FootnoteText"/>
        <w:ind w:left="170" w:hanging="170"/>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Europa-Parlamentets og Rådets direktiv 2000/60/EF af 23. oktober 2000 om fastlæggelse af en ramme for Fællesskabets vandpolitiske foranstaltninger (EFT L 327 af 22.12.2</w:t>
      </w:r>
      <w:r>
        <w:rPr>
          <w:rFonts w:ascii="Times New Roman" w:hAnsi="Times New Roman"/>
        </w:rPr>
        <w:t>000, s. 1-73).</w:t>
      </w:r>
    </w:p>
  </w:footnote>
  <w:footnote w:id="36">
    <w:p w:rsidR="001D5370" w:rsidRDefault="002C451F">
      <w:pPr>
        <w:pStyle w:val="FootnoteText"/>
        <w:ind w:left="159" w:hanging="170"/>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Europa-Parlamentets og Rådets direktiv 2006/118/EF af 12. december 2006 om beskyttelse af grundvandet mod forurening og forringelse (EUT L 372 af 27.12.2006, s. 19-31).</w:t>
      </w:r>
    </w:p>
  </w:footnote>
  <w:footnote w:id="37">
    <w:p w:rsidR="001D5370" w:rsidRDefault="002C451F">
      <w:pPr>
        <w:spacing w:after="0"/>
        <w:ind w:left="170" w:hanging="170"/>
        <w:jc w:val="both"/>
      </w:pPr>
      <w:r>
        <w:rPr>
          <w:rStyle w:val="FootnoteReference"/>
          <w:rFonts w:ascii="Times New Roman" w:hAnsi="Times New Roman"/>
        </w:rPr>
        <w:footnoteRef/>
      </w:r>
      <w:r>
        <w:rPr>
          <w:rFonts w:ascii="Times New Roman" w:hAnsi="Times New Roman"/>
        </w:rPr>
        <w:t xml:space="preserve"> </w:t>
      </w:r>
      <w:r>
        <w:rPr>
          <w:rFonts w:ascii="Times New Roman" w:hAnsi="Times New Roman"/>
          <w:sz w:val="20"/>
        </w:rPr>
        <w:t>Europa-Parlamentets og Rådets direktiv 2008/105/EF af 16. december 2</w:t>
      </w:r>
      <w:r>
        <w:rPr>
          <w:rFonts w:ascii="Times New Roman" w:hAnsi="Times New Roman"/>
          <w:sz w:val="20"/>
        </w:rPr>
        <w:t xml:space="preserve">008 om miljøkvalitetskrav inden for vandpolitikken, om ændring og senere ophævelse af Rådets direktiv 82/176/EØF, 83/513/EØF, 84/156/EØF, 84/491/EØF og 86/280/EØF og om ændring af Europa-Parlamentets og Rådets direktiv 2000/60/EF (EUT L 348 af 24.12.2008, </w:t>
      </w:r>
      <w:r>
        <w:rPr>
          <w:rFonts w:ascii="Times New Roman" w:hAnsi="Times New Roman"/>
          <w:sz w:val="20"/>
        </w:rPr>
        <w:t>s. 84-97).</w:t>
      </w:r>
    </w:p>
  </w:footnote>
  <w:footnote w:id="38">
    <w:p w:rsidR="001D5370" w:rsidRDefault="002C451F">
      <w:pPr>
        <w:pStyle w:val="FootnoteText"/>
        <w:ind w:left="284" w:hanging="284"/>
        <w:rPr>
          <w:rFonts w:ascii="Times New Roman" w:hAnsi="Times New Roman" w:cs="Times New Roman"/>
        </w:rPr>
      </w:pPr>
      <w:r>
        <w:rPr>
          <w:rStyle w:val="FootnoteReference"/>
        </w:rPr>
        <w:footnoteRef/>
      </w:r>
      <w:r>
        <w:t xml:space="preserve"> </w:t>
      </w:r>
      <w:r>
        <w:rPr>
          <w:rFonts w:ascii="Times New Roman" w:hAnsi="Times New Roman"/>
        </w:rPr>
        <w:t>Rådets direktiv 98/83/EF af 3. november 1998 om kvaliteten af drikkevand (EFT L 330 af 5.12.1998, s. 32-54).</w:t>
      </w:r>
    </w:p>
  </w:footnote>
  <w:footnote w:id="39">
    <w:p w:rsidR="001D5370" w:rsidRDefault="002C451F">
      <w:pPr>
        <w:pStyle w:val="FootnoteText"/>
      </w:pPr>
      <w:r>
        <w:rPr>
          <w:rStyle w:val="FootnoteReference"/>
        </w:rPr>
        <w:footnoteRef/>
      </w:r>
      <w:r>
        <w:t xml:space="preserve"> </w:t>
      </w:r>
      <w:hyperlink r:id="rId7">
        <w:r>
          <w:rPr>
            <w:rStyle w:val="Hyperlink"/>
            <w:rFonts w:ascii="Times New Roman" w:hAnsi="Times New Roman"/>
          </w:rPr>
          <w:t>https://www.eea.europa.eu/publications/european-waters-assessment-2012</w:t>
        </w:r>
      </w:hyperlink>
    </w:p>
  </w:footnote>
  <w:footnote w:id="40">
    <w:p w:rsidR="001D5370" w:rsidRDefault="002C451F">
      <w:pPr>
        <w:pStyle w:val="FootnoteText"/>
        <w:ind w:left="227" w:hanging="227"/>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Disse tal viser sandsynligvis ikke den andel af floder og overgangsvandområder, som er i fare på grund af pesticider. Som følge af den måde, hvorpå de første vandområdeplaner blev indberettet, var det ikke muligt på det pågældende tidspunkt at fastslå, pr</w:t>
      </w:r>
      <w:r>
        <w:rPr>
          <w:rFonts w:ascii="Times New Roman" w:hAnsi="Times New Roman"/>
        </w:rPr>
        <w:t>æcis hvilken del af overfladevandområderne, hvor der blev fundet pesticider som specifikke forurenende stoffer, der udgjorde en risiko. Kommissionens vurdering af den anden runde af vandområdeplaner (2016-2021) er i gang, og der vil blive stillet opdatered</w:t>
      </w:r>
      <w:r>
        <w:rPr>
          <w:rFonts w:ascii="Times New Roman" w:hAnsi="Times New Roman"/>
        </w:rPr>
        <w:t>e tal til rådighed i løbet af 2018.</w:t>
      </w:r>
    </w:p>
  </w:footnote>
  <w:footnote w:id="41">
    <w:p w:rsidR="001D5370" w:rsidRDefault="002C451F">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Der henvises i Rumæniens og Portugals planer ikke til sådanne foranstaltninger.</w:t>
      </w:r>
    </w:p>
  </w:footnote>
  <w:footnote w:id="42">
    <w:p w:rsidR="001D5370" w:rsidRDefault="002C451F">
      <w:pPr>
        <w:pStyle w:val="FootnoteText"/>
      </w:pPr>
      <w:r>
        <w:rPr>
          <w:rStyle w:val="FootnoteReference"/>
        </w:rPr>
        <w:footnoteRef/>
      </w:r>
      <w:r>
        <w:t xml:space="preserve"> </w:t>
      </w:r>
      <w:r>
        <w:rPr>
          <w:rFonts w:ascii="Times New Roman" w:hAnsi="Times New Roman"/>
        </w:rPr>
        <w:t>Irland og Det Forenede Kongerige svarede ikke.</w:t>
      </w:r>
    </w:p>
  </w:footnote>
  <w:footnote w:id="43">
    <w:p w:rsidR="001D5370" w:rsidRDefault="002C451F">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Rådets direktiv 79/409/EØF af 2. april 1979 om beskyttelse af vilde fugle (EFT L 103 af</w:t>
      </w:r>
      <w:r>
        <w:rPr>
          <w:rFonts w:ascii="Times New Roman" w:hAnsi="Times New Roman"/>
        </w:rPr>
        <w:t xml:space="preserve"> 25.4.1979, s. 1-18).</w:t>
      </w:r>
    </w:p>
  </w:footnote>
  <w:footnote w:id="44">
    <w:p w:rsidR="001D5370" w:rsidRDefault="002C451F">
      <w:pPr>
        <w:ind w:left="170" w:hanging="170"/>
        <w:rPr>
          <w:rFonts w:ascii="Times New Roman" w:hAnsi="Times New Roman" w:cs="Times New Roman"/>
          <w:sz w:val="20"/>
          <w:szCs w:val="20"/>
        </w:rPr>
      </w:pPr>
      <w:r>
        <w:rPr>
          <w:rStyle w:val="FootnoteReference"/>
          <w:rFonts w:ascii="Times New Roman" w:hAnsi="Times New Roman"/>
        </w:rPr>
        <w:footnoteRef/>
      </w:r>
      <w:r>
        <w:rPr>
          <w:rFonts w:ascii="Times New Roman" w:hAnsi="Times New Roman"/>
        </w:rPr>
        <w:t xml:space="preserve"> </w:t>
      </w:r>
      <w:r>
        <w:rPr>
          <w:rFonts w:ascii="Times New Roman" w:hAnsi="Times New Roman"/>
          <w:sz w:val="20"/>
        </w:rPr>
        <w:t>Rådets direktiv 92/43/EØF af 21. maj 1992 om bevaring af naturtyper samt vilde dyr og planter, EFT L 206 af 22.7.1992, s. 7-50.</w:t>
      </w:r>
    </w:p>
    <w:p w:rsidR="001D5370" w:rsidRDefault="002C451F">
      <w:pPr>
        <w:pStyle w:val="FootnoteText"/>
        <w:tabs>
          <w:tab w:val="left" w:pos="2480"/>
        </w:tabs>
        <w:rPr>
          <w:rFonts w:ascii="Times New Roman" w:hAnsi="Times New Roman" w:cs="Times New Roman"/>
        </w:rPr>
      </w:pPr>
      <w:r>
        <w:tab/>
      </w:r>
      <w:r>
        <w:tab/>
      </w:r>
    </w:p>
  </w:footnote>
  <w:footnote w:id="45">
    <w:p w:rsidR="001D5370" w:rsidRDefault="002C451F">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I Grækenland findes der ikke noget system for indsamling af tom emballage og tomme beholdere, og Bu</w:t>
      </w:r>
      <w:r>
        <w:rPr>
          <w:rFonts w:ascii="Times New Roman" w:hAnsi="Times New Roman"/>
        </w:rPr>
        <w:t xml:space="preserve">lgarien </w:t>
      </w:r>
    </w:p>
    <w:p w:rsidR="001D5370" w:rsidRDefault="002C451F">
      <w:pPr>
        <w:pStyle w:val="FootnoteText"/>
        <w:rPr>
          <w:rFonts w:ascii="Times New Roman" w:hAnsi="Times New Roman" w:cs="Times New Roman"/>
        </w:rPr>
      </w:pPr>
      <w:r>
        <w:rPr>
          <w:rFonts w:ascii="Times New Roman" w:hAnsi="Times New Roman"/>
        </w:rPr>
        <w:t xml:space="preserve">   og Det Forenede Kongerige svarede ikke.</w:t>
      </w:r>
    </w:p>
  </w:footnote>
  <w:footnote w:id="46">
    <w:p w:rsidR="001D5370" w:rsidRDefault="002C451F">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Det Forenede Kongerige svarede ikke, og der var ikke indført offentligt finansierede ordninger i Nederlandene, </w:t>
      </w:r>
    </w:p>
    <w:p w:rsidR="001D5370" w:rsidRDefault="002C451F">
      <w:pPr>
        <w:pStyle w:val="FootnoteText"/>
        <w:rPr>
          <w:rFonts w:ascii="Times New Roman" w:hAnsi="Times New Roman" w:cs="Times New Roman"/>
        </w:rPr>
      </w:pPr>
      <w:r>
        <w:rPr>
          <w:rFonts w:ascii="Times New Roman" w:hAnsi="Times New Roman"/>
        </w:rPr>
        <w:t xml:space="preserve">    Cypern og Malta.</w:t>
      </w:r>
    </w:p>
  </w:footnote>
  <w:footnote w:id="47">
    <w:p w:rsidR="001D5370" w:rsidRDefault="002C451F">
      <w:pPr>
        <w:pStyle w:val="FootnoteText"/>
        <w:ind w:left="170" w:hanging="170"/>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Europa-Parlamentets og Rådets forordning (EU) nr. 1306/2013 af 17. </w:t>
      </w:r>
      <w:r>
        <w:rPr>
          <w:rFonts w:ascii="Times New Roman" w:hAnsi="Times New Roman"/>
        </w:rPr>
        <w:t>december 2013 om finansiering, forvaltning og overvågning af den fælles landbrugspolitik og om ophævelse af Rådets forordning (EØF) nr. 352/78, (EF) nr. 165/94, (EF) nr. 2799/98, (EF) nr. 814/2000, (EF) nr. 1290/2005 og (EF) nr. 485/2008 (EUT L 347 af 20.1</w:t>
      </w:r>
      <w:r>
        <w:rPr>
          <w:rFonts w:ascii="Times New Roman" w:hAnsi="Times New Roman"/>
        </w:rPr>
        <w:t>2.2013, s. 549-607).</w:t>
      </w:r>
    </w:p>
  </w:footnote>
  <w:footnote w:id="48">
    <w:p w:rsidR="001D5370" w:rsidRDefault="002C451F">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hyperlink r:id="rId8">
        <w:r>
          <w:rPr>
            <w:rStyle w:val="Hyperlink"/>
            <w:rFonts w:ascii="Times New Roman" w:hAnsi="Times New Roman"/>
          </w:rPr>
          <w:t>http://www.endure-network.eu/endure</w:t>
        </w:r>
      </w:hyperlink>
      <w:r>
        <w:rPr>
          <w:rFonts w:ascii="Times New Roman" w:hAnsi="Times New Roman"/>
        </w:rPr>
        <w:t xml:space="preserve"> </w:t>
      </w:r>
    </w:p>
  </w:footnote>
  <w:footnote w:id="49">
    <w:p w:rsidR="001D5370" w:rsidRDefault="002C451F">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hyperlink r:id="rId9">
        <w:r>
          <w:rPr>
            <w:rStyle w:val="Hyperlink"/>
            <w:rFonts w:ascii="Times New Roman" w:hAnsi="Times New Roman"/>
          </w:rPr>
          <w:t>http://c-ipm.org/</w:t>
        </w:r>
      </w:hyperlink>
      <w:r>
        <w:rPr>
          <w:rFonts w:ascii="Times New Roman" w:hAnsi="Times New Roman"/>
        </w:rPr>
        <w:t xml:space="preserve"> </w:t>
      </w:r>
    </w:p>
  </w:footnote>
  <w:footnote w:id="50">
    <w:p w:rsidR="001D5370" w:rsidRDefault="002C451F">
      <w:pPr>
        <w:pStyle w:val="FootnoteText"/>
        <w:ind w:left="227" w:hanging="227"/>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Det syvende rammeprogram: CO-FREE, TEAMPEST, BIOCOMES, SharCo, DROPSA, Fruit Bree</w:t>
      </w:r>
      <w:r>
        <w:rPr>
          <w:rFonts w:ascii="Times New Roman" w:hAnsi="Times New Roman"/>
        </w:rPr>
        <w:t>domics, EU-Berry, INNOVINE, MARS EUPHOROS, VALORAM, PRATIQUE, ISEFOR, QBOL, Q-Detect, TESTA Horisont 2020: EUCLID, EMPHASIS, BLOSTER: http://cordis.europa.eu/projects/home_en.html</w:t>
      </w:r>
    </w:p>
  </w:footnote>
  <w:footnote w:id="51">
    <w:p w:rsidR="001D5370" w:rsidRDefault="002C451F">
      <w:pPr>
        <w:pStyle w:val="FootnoteText"/>
        <w:tabs>
          <w:tab w:val="left" w:pos="5780"/>
        </w:tabs>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Østrig, Italien og Sverige.</w:t>
      </w:r>
      <w:r>
        <w:tab/>
      </w:r>
    </w:p>
  </w:footnote>
  <w:footnote w:id="52">
    <w:p w:rsidR="001D5370" w:rsidRDefault="002C451F">
      <w:pPr>
        <w:pStyle w:val="FootnoteText"/>
        <w:ind w:left="227" w:hanging="227"/>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Rapport fra Kommissionen til Europa-Parlame</w:t>
      </w:r>
      <w:r>
        <w:rPr>
          <w:rFonts w:ascii="Times New Roman" w:hAnsi="Times New Roman"/>
        </w:rPr>
        <w:t>ntet og Rådet om gennemførelse af Europa-Parlamentets og Rådets forordning (EF) nr. 1185/2009 af 25. november 2009 om statistik over pesticider, COM(2017)109 final.</w:t>
      </w:r>
    </w:p>
  </w:footnote>
  <w:footnote w:id="53">
    <w:p w:rsidR="001D5370" w:rsidRDefault="002C451F">
      <w:pPr>
        <w:tabs>
          <w:tab w:val="left" w:pos="871"/>
        </w:tabs>
        <w:autoSpaceDE w:val="0"/>
        <w:autoSpaceDN w:val="0"/>
        <w:adjustRightInd w:val="0"/>
        <w:spacing w:after="0" w:line="240" w:lineRule="auto"/>
        <w:jc w:val="both"/>
        <w:rPr>
          <w:rFonts w:ascii="Calibri" w:hAnsi="Calibri"/>
          <w:sz w:val="20"/>
          <w:szCs w:val="20"/>
        </w:rPr>
      </w:pPr>
      <w:r>
        <w:rPr>
          <w:rStyle w:val="FootnoteReference"/>
        </w:rPr>
        <w:footnoteRef/>
      </w:r>
      <w:r>
        <w:t xml:space="preserve"> </w:t>
      </w:r>
      <w:r>
        <w:rPr>
          <w:rFonts w:ascii="Times New Roman" w:hAnsi="Times New Roman"/>
          <w:color w:val="000000"/>
          <w:sz w:val="20"/>
        </w:rPr>
        <w:t xml:space="preserve">Kommissionens gennemførelsesafgørelse af 28. september 2016 om udarbejdelsen af et </w:t>
      </w:r>
      <w:r>
        <w:rPr>
          <w:rFonts w:ascii="Times New Roman" w:hAnsi="Times New Roman"/>
          <w:color w:val="000000"/>
          <w:sz w:val="20"/>
        </w:rPr>
        <w:t>arbejdsprogram for behandling af ansøgninger om fornyelse af godkendelser af aktivstoffer, der udløber i 2019, 2020 og 2021, i overensstemmelse med Europa-Parlamentets og Rådets forordning (EF) nr. 1107/2009 (EUT C 357 af 29.9.2016, s. 9-11).</w:t>
      </w:r>
    </w:p>
  </w:footnote>
  <w:footnote w:id="54">
    <w:p w:rsidR="001D5370" w:rsidRDefault="002C451F">
      <w:pPr>
        <w:pStyle w:val="FootnoteText"/>
        <w:jc w:val="both"/>
      </w:pPr>
      <w:r>
        <w:rPr>
          <w:rStyle w:val="FootnoteReference"/>
        </w:rPr>
        <w:footnoteRef/>
      </w:r>
      <w:r>
        <w:t xml:space="preserve"> </w:t>
      </w:r>
      <w:r>
        <w:rPr>
          <w:rFonts w:ascii="Times New Roman" w:hAnsi="Times New Roman"/>
          <w:color w:val="000000"/>
        </w:rPr>
        <w:t>Kommissione</w:t>
      </w:r>
      <w:r>
        <w:rPr>
          <w:rFonts w:ascii="Times New Roman" w:hAnsi="Times New Roman"/>
          <w:color w:val="000000"/>
        </w:rPr>
        <w:t>ns forordning (EU) 2017/1432 af 7. august 2017 om ændring af Europa-Parlamentets og Rådets forordning (EF) nr. 1107/2009 om markedsføring af plantebeskyttelsesmidler for så vidt angår kriterierne for godkendelse af lavrisikoaktivstoffer (EUT L 205 af 8.8.2</w:t>
      </w:r>
      <w:r>
        <w:rPr>
          <w:rFonts w:ascii="Times New Roman" w:hAnsi="Times New Roman"/>
          <w:color w:val="000000"/>
        </w:rPr>
        <w:t>017, s. 59).</w:t>
      </w:r>
    </w:p>
  </w:footnote>
  <w:footnote w:id="55">
    <w:p w:rsidR="001D5370" w:rsidRDefault="002C451F">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F.eks. følgende projekter under det syvende rammeprogram:</w:t>
      </w:r>
    </w:p>
    <w:p w:rsidR="001D5370" w:rsidRDefault="002C451F">
      <w:pPr>
        <w:pStyle w:val="FootnoteText"/>
        <w:rPr>
          <w:rFonts w:ascii="Times New Roman" w:hAnsi="Times New Roman" w:cs="Times New Roman"/>
        </w:rPr>
      </w:pPr>
      <w:hyperlink r:id="rId10">
        <w:r>
          <w:rPr>
            <w:rStyle w:val="Hyperlink"/>
            <w:rFonts w:ascii="Times New Roman" w:hAnsi="Times New Roman"/>
          </w:rPr>
          <w:t>AGROCOS</w:t>
        </w:r>
      </w:hyperlink>
      <w:r>
        <w:rPr>
          <w:rFonts w:ascii="Times New Roman" w:hAnsi="Times New Roman"/>
          <w:u w:val="single"/>
        </w:rPr>
        <w:t xml:space="preserve"> (http://cordis.europa.eu/project/rcn/94701_en.html)</w:t>
      </w:r>
      <w:r>
        <w:rPr>
          <w:rFonts w:ascii="Times New Roman" w:hAnsi="Times New Roman"/>
        </w:rPr>
        <w:t xml:space="preserve">, </w:t>
      </w:r>
    </w:p>
    <w:p w:rsidR="001D5370" w:rsidRDefault="002C451F">
      <w:pPr>
        <w:pStyle w:val="FootnoteText"/>
        <w:rPr>
          <w:rFonts w:ascii="Times New Roman" w:hAnsi="Times New Roman" w:cs="Times New Roman"/>
        </w:rPr>
      </w:pPr>
      <w:hyperlink r:id="rId11">
        <w:r>
          <w:rPr>
            <w:rStyle w:val="Hyperlink"/>
            <w:rFonts w:ascii="Times New Roman" w:hAnsi="Times New Roman"/>
          </w:rPr>
          <w:t>PURE</w:t>
        </w:r>
      </w:hyperlink>
      <w:r>
        <w:rPr>
          <w:rFonts w:ascii="Times New Roman" w:hAnsi="Times New Roman"/>
          <w:u w:val="single"/>
        </w:rPr>
        <w:t xml:space="preserve"> (</w:t>
      </w:r>
      <w:hyperlink r:id="rId12">
        <w:r>
          <w:rPr>
            <w:rStyle w:val="Hyperlink"/>
            <w:rFonts w:ascii="Times New Roman" w:hAnsi="Times New Roman"/>
          </w:rPr>
          <w:t>http://cordis.europa.eu/project/rcn/98869_en.html</w:t>
        </w:r>
      </w:hyperlink>
      <w:r>
        <w:rPr>
          <w:rFonts w:ascii="Times New Roman" w:hAnsi="Times New Roman"/>
          <w:u w:val="single"/>
        </w:rPr>
        <w:t>)</w:t>
      </w:r>
      <w:r>
        <w:rPr>
          <w:rFonts w:ascii="Times New Roman" w:hAnsi="Times New Roman"/>
        </w:rPr>
        <w:t xml:space="preserve">, </w:t>
      </w:r>
    </w:p>
    <w:p w:rsidR="001D5370" w:rsidRDefault="002C451F">
      <w:pPr>
        <w:pStyle w:val="FootnoteText"/>
        <w:rPr>
          <w:rFonts w:ascii="Times New Roman" w:hAnsi="Times New Roman" w:cs="Times New Roman"/>
          <w:lang w:val="en-GB"/>
        </w:rPr>
      </w:pPr>
      <w:hyperlink r:id="rId13">
        <w:r>
          <w:rPr>
            <w:rStyle w:val="Hyperlink"/>
            <w:rFonts w:ascii="Times New Roman" w:hAnsi="Times New Roman"/>
            <w:lang w:val="en-GB"/>
          </w:rPr>
          <w:t>CO-FREE</w:t>
        </w:r>
      </w:hyperlink>
      <w:r>
        <w:rPr>
          <w:rFonts w:ascii="Times New Roman" w:hAnsi="Times New Roman"/>
          <w:u w:val="single"/>
          <w:lang w:val="en-GB"/>
        </w:rPr>
        <w:t xml:space="preserve"> (</w:t>
      </w:r>
      <w:hyperlink r:id="rId14">
        <w:r>
          <w:rPr>
            <w:rStyle w:val="Hyperlink"/>
            <w:rFonts w:ascii="Times New Roman" w:hAnsi="Times New Roman"/>
            <w:lang w:val="en-GB"/>
          </w:rPr>
          <w:t>http://cordis.europa.eu/project/rcn/101750_en.html</w:t>
        </w:r>
      </w:hyperlink>
      <w:r>
        <w:rPr>
          <w:rFonts w:ascii="Times New Roman" w:hAnsi="Times New Roman"/>
          <w:u w:val="single"/>
          <w:lang w:val="en-GB"/>
        </w:rPr>
        <w:t>)</w:t>
      </w:r>
      <w:r>
        <w:rPr>
          <w:rFonts w:ascii="Times New Roman" w:hAnsi="Times New Roman"/>
          <w:lang w:val="en-GB"/>
        </w:rPr>
        <w:t xml:space="preserve">, </w:t>
      </w:r>
    </w:p>
    <w:p w:rsidR="001D5370" w:rsidRDefault="002C451F">
      <w:pPr>
        <w:pStyle w:val="FootnoteText"/>
        <w:rPr>
          <w:rFonts w:ascii="Times New Roman" w:hAnsi="Times New Roman" w:cs="Times New Roman"/>
          <w:lang w:val="en-GB"/>
        </w:rPr>
      </w:pPr>
      <w:r>
        <w:rPr>
          <w:rFonts w:ascii="Times New Roman" w:hAnsi="Times New Roman"/>
          <w:lang w:val="en-GB"/>
        </w:rPr>
        <w:t>BIOCOMES</w:t>
      </w:r>
      <w:r>
        <w:rPr>
          <w:rFonts w:ascii="Times New Roman" w:hAnsi="Times New Roman"/>
          <w:u w:val="single"/>
          <w:lang w:val="en-GB"/>
        </w:rPr>
        <w:t xml:space="preserve"> (</w:t>
      </w:r>
      <w:hyperlink r:id="rId15">
        <w:r>
          <w:rPr>
            <w:rStyle w:val="Hyperlink"/>
            <w:rFonts w:ascii="Times New Roman" w:hAnsi="Times New Roman"/>
            <w:lang w:val="en-GB"/>
          </w:rPr>
          <w:t>http://cordis.europa.eu/project/</w:t>
        </w:r>
        <w:r>
          <w:rPr>
            <w:rStyle w:val="Hyperlink"/>
            <w:rFonts w:ascii="Times New Roman" w:hAnsi="Times New Roman"/>
            <w:lang w:val="en-GB"/>
          </w:rPr>
          <w:t>rcn/111189_en.html</w:t>
        </w:r>
      </w:hyperlink>
      <w:r>
        <w:rPr>
          <w:rFonts w:ascii="Times New Roman" w:hAnsi="Times New Roman"/>
          <w:u w:val="single"/>
          <w:lang w:val="en-GB"/>
        </w:rPr>
        <w:t>)</w:t>
      </w:r>
      <w:r>
        <w:rPr>
          <w:rFonts w:ascii="Times New Roman" w:hAnsi="Times New Roman"/>
          <w:lang w:val="en-GB"/>
        </w:rPr>
        <w:t xml:space="preserve">, </w:t>
      </w:r>
    </w:p>
    <w:p w:rsidR="001D5370" w:rsidRDefault="002C451F">
      <w:pPr>
        <w:pStyle w:val="FootnoteText"/>
        <w:rPr>
          <w:lang w:val="en-GB"/>
        </w:rPr>
      </w:pPr>
      <w:hyperlink r:id="rId16">
        <w:r>
          <w:rPr>
            <w:rStyle w:val="Hyperlink"/>
            <w:rFonts w:ascii="Times New Roman" w:hAnsi="Times New Roman"/>
            <w:lang w:val="en-GB"/>
          </w:rPr>
          <w:t>Prolarix</w:t>
        </w:r>
      </w:hyperlink>
      <w:r>
        <w:rPr>
          <w:rFonts w:ascii="Times New Roman" w:hAnsi="Times New Roman"/>
          <w:lang w:val="en-GB"/>
        </w:rPr>
        <w:t xml:space="preserve"> (http://cordis.europa.eu/project/rcn/110948_en.html).</w:t>
      </w:r>
    </w:p>
  </w:footnote>
  <w:footnote w:id="56">
    <w:p w:rsidR="001D5370" w:rsidRDefault="002C451F">
      <w:pPr>
        <w:pStyle w:val="FootnoteText"/>
        <w:rPr>
          <w:lang w:val="en-GB"/>
        </w:rPr>
      </w:pPr>
      <w:r>
        <w:rPr>
          <w:rStyle w:val="FootnoteReference"/>
          <w:rFonts w:ascii="Times New Roman" w:hAnsi="Times New Roman"/>
        </w:rPr>
        <w:footnoteRef/>
      </w:r>
      <w:r>
        <w:rPr>
          <w:rFonts w:ascii="Times New Roman" w:hAnsi="Times New Roman"/>
          <w:lang w:val="en-GB"/>
        </w:rPr>
        <w:t xml:space="preserve"> </w:t>
      </w:r>
      <w:hyperlink r:id="rId17">
        <w:r>
          <w:rPr>
            <w:rStyle w:val="Hyperlink"/>
            <w:rFonts w:ascii="Times New Roman" w:hAnsi="Times New Roman"/>
            <w:sz w:val="18"/>
            <w:lang w:val="en-GB"/>
          </w:rPr>
          <w:t>http://www.consilium.europa.eu/register/en/content/out/?&amp;typ=ENTRY&amp;i=ADV&amp;DOC_ID=ST-10041-2016-ADD-1</w:t>
        </w:r>
      </w:hyperlink>
    </w:p>
  </w:footnote>
  <w:footnote w:id="57">
    <w:p w:rsidR="001D5370" w:rsidRDefault="002C451F">
      <w:pPr>
        <w:pStyle w:val="CM1"/>
        <w:spacing w:before="200" w:after="200"/>
        <w:rPr>
          <w:rFonts w:ascii="Times New Roman" w:hAnsi="Times New Roman"/>
          <w:sz w:val="20"/>
          <w:szCs w:val="20"/>
          <w:lang w:eastAsia="en-US"/>
        </w:rPr>
      </w:pPr>
      <w:r>
        <w:rPr>
          <w:rStyle w:val="FootnoteReference"/>
        </w:rPr>
        <w:footnoteRef/>
      </w:r>
      <w:r>
        <w:t xml:space="preserve"> </w:t>
      </w:r>
      <w:r>
        <w:rPr>
          <w:rFonts w:ascii="Times New Roman" w:hAnsi="Times New Roman"/>
          <w:sz w:val="20"/>
        </w:rPr>
        <w:t>Europa-Parlamentets og Rådets forordn</w:t>
      </w:r>
      <w:r>
        <w:rPr>
          <w:rFonts w:ascii="Times New Roman" w:hAnsi="Times New Roman"/>
          <w:sz w:val="20"/>
        </w:rPr>
        <w:t>ing (EU) nr. 1306/2013 af 17. december 2013 om finansiering, forvaltning og overvågning af den fælles landbrugspolitik og om ophævelse af Rådets forordning (EØF) nr. 352/78, (EF) nr. 165/94, (EF) nr. 2799/98, (EF) nr. 814/2000, (EF) nr. 1290/2005 og (EF) n</w:t>
      </w:r>
      <w:r>
        <w:rPr>
          <w:rFonts w:ascii="Times New Roman" w:hAnsi="Times New Roman"/>
          <w:sz w:val="20"/>
        </w:rPr>
        <w:t>r. 485/2008 (EUT L 347 af 20.12.2010, s. 59).</w:t>
      </w:r>
    </w:p>
    <w:p w:rsidR="001D5370" w:rsidRDefault="001D5370">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51F" w:rsidRDefault="002C45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370" w:rsidRDefault="001D5370" w:rsidP="002C451F">
    <w:pPr>
      <w:pStyle w:val="HeaderCoverPage"/>
      <w:numPr>
        <w:ilvl w:val="0"/>
        <w:numId w:val="0"/>
      </w:numPr>
      <w:ind w:lef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51F" w:rsidRDefault="002C451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370" w:rsidRDefault="001D537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370" w:rsidRDefault="001D5370">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370" w:rsidRDefault="001D53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284F71"/>
    <w:multiLevelType w:val="multilevel"/>
    <w:tmpl w:val="C22CA53C"/>
    <w:lvl w:ilvl="0">
      <w:start w:val="1"/>
      <w:numFmt w:val="decimal"/>
      <w:pStyle w:val="HeaderCoverPage"/>
      <w:lvlText w:val="%1."/>
      <w:lvlJc w:val="left"/>
      <w:pPr>
        <w:ind w:left="360" w:hanging="360"/>
      </w:pPr>
      <w:rPr>
        <w:rFonts w:hint="default"/>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66D1288E"/>
    <w:multiLevelType w:val="hybridMultilevel"/>
    <w:tmpl w:val="EDEAD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0F1253B"/>
    <w:multiLevelType w:val="hybridMultilevel"/>
    <w:tmpl w:val="E3B8A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E4B68B3"/>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4F406C46477A4759A36D806DBC8AEB3F"/>
    <w:docVar w:name="LW_CROSSREFERENCE" w:val="&lt;UNUSED&gt;"/>
    <w:docVar w:name="LW_DocType" w:val="NORMAL"/>
    <w:docVar w:name="LW_EMISSION" w:val="10.10.2017"/>
    <w:docVar w:name="LW_EMISSION_ISODATE" w:val="2017-10-10"/>
    <w:docVar w:name="LW_EMISSION_LOCATION" w:val="BRX"/>
    <w:docVar w:name="LW_EMISSION_PREFIX" w:val="Bruxelles, den "/>
    <w:docVar w:name="LW_EMISSION_SUFFIX" w:val=" "/>
    <w:docVar w:name="LW_ID_DOCTYPE_NONLW" w:val="CP-006"/>
    <w:docVar w:name="LW_LANGUE" w:val="DA"/>
    <w:docVar w:name="LW_MARKING" w:val="&lt;UNUSED&gt;"/>
    <w:docVar w:name="LW_NOM.INST" w:val="EUROPA-KOMMISSIONEN"/>
    <w:docVar w:name="LW_NOM.INST_JOINTDOC" w:val="&lt;EMPTY&gt;"/>
    <w:docVar w:name="LW_PART_NBR" w:val="1"/>
    <w:docVar w:name="LW_PART_NBR_TOTAL" w:val="1"/>
    <w:docVar w:name="LW_REF.INST.NEW" w:val="COM"/>
    <w:docVar w:name="LW_REF.INST.NEW_ADOPTED" w:val="final"/>
    <w:docVar w:name="LW_REF.INST.NEW_TEXT" w:val="(2017) 587"/>
    <w:docVar w:name="LW_REF.INTERNE" w:val="&lt;UNUSED&gt;"/>
    <w:docVar w:name="LW_SOUS.TITRE.OBJ.CP" w:val="&lt;UNUSED&gt;"/>
    <w:docVar w:name="LW_SUPERTITRE" w:val="&lt;UNUSED&gt;"/>
    <w:docVar w:name="LW_TITRE.OBJ.CP" w:val="om medlemsstaternes nationale handlingsplaner og om status for gennemførelsen af direktiv 2009/128/EF om bæredygtig brug af pesticider"/>
    <w:docVar w:name="LW_TYPE.DOC.CP" w:val="RAPPORT FRA KOMMISSIONEN TIL EUROPA-PARLAMENTET OG RÅDET"/>
  </w:docVars>
  <w:rsids>
    <w:rsidRoot w:val="001D5370"/>
    <w:rsid w:val="001D5370"/>
    <w:rsid w:val="002C45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da-DK" w:bidi="da-D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character" w:styleId="FootnoteReference">
    <w:name w:val="footnote reference"/>
    <w:uiPriority w:val="99"/>
    <w:rPr>
      <w:shd w:val="clear" w:color="auto" w:fill="auto"/>
      <w:vertAlign w:val="superscript"/>
    </w:rPr>
  </w:style>
  <w:style w:type="character" w:styleId="Hyperlink">
    <w:name w:val="Hyperlink"/>
    <w:uiPriority w:val="99"/>
    <w:rPr>
      <w:rFonts w:cs="Times New Roman"/>
      <w:color w:val="0000FF"/>
      <w:u w:val="single"/>
      <w:shd w:val="clear" w:color="auto" w:fill="auto"/>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eastAsia="Times New Roman" w:hAnsi="Times New Roman" w:cs="Times New Roman"/>
      <w:sz w:val="24"/>
      <w:szCs w:val="24"/>
    </w:rPr>
  </w:style>
  <w:style w:type="character" w:customStyle="1" w:styleId="FooterCoverPageChar">
    <w:name w:val="Footer Cover Page Char"/>
    <w:link w:val="FooterCoverPage"/>
    <w:rPr>
      <w:rFonts w:ascii="Times New Roman" w:eastAsia="Times New Roman" w:hAnsi="Times New Roman" w:cs="Times New Roman"/>
      <w:sz w:val="24"/>
      <w:szCs w:val="24"/>
    </w:rPr>
  </w:style>
  <w:style w:type="character" w:styleId="Strong">
    <w:name w:val="Strong"/>
    <w:uiPriority w:val="22"/>
    <w:qFormat/>
    <w:rPr>
      <w:b/>
      <w:bCs/>
      <w:shd w:val="clear" w:color="auto" w:fill="auto"/>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unhideWhenUs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customStyle="1" w:styleId="CM1">
    <w:name w:val="CM1"/>
    <w:basedOn w:val="Normal"/>
    <w:uiPriority w:val="99"/>
    <w:pPr>
      <w:autoSpaceDE w:val="0"/>
      <w:autoSpaceDN w:val="0"/>
      <w:spacing w:after="0" w:line="240" w:lineRule="auto"/>
    </w:pPr>
    <w:rPr>
      <w:rFonts w:ascii="EUAlbertina" w:hAnsi="EUAlbertina" w:cs="Times New Roman"/>
      <w:sz w:val="24"/>
      <w:szCs w:val="24"/>
    </w:rPr>
  </w:style>
  <w:style w:type="table" w:customStyle="1" w:styleId="TableGrid1">
    <w:name w:val="Table Grid1"/>
    <w:basedOn w:val="TableNormal"/>
    <w:next w:val="TableGrid"/>
    <w:uiPriority w:val="5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HeaderCoverPage">
    <w:name w:val="Header Cover Page"/>
    <w:basedOn w:val="Normal"/>
    <w:link w:val="HeaderCoverPageChar"/>
    <w:pPr>
      <w:keepNext/>
      <w:numPr>
        <w:numId w:val="1"/>
      </w:numPr>
      <w:tabs>
        <w:tab w:val="center" w:pos="4535"/>
        <w:tab w:val="right" w:pos="9071"/>
      </w:tabs>
      <w:spacing w:after="120" w:line="240" w:lineRule="auto"/>
      <w:ind w:left="0"/>
      <w:jc w:val="both"/>
      <w:outlineLvl w:val="0"/>
    </w:pPr>
    <w:rPr>
      <w:rFonts w:ascii="Times New Roman" w:eastAsia="Times New Roman" w:hAnsi="Times New Roman" w:cs="Times New Roman"/>
      <w:bCs/>
      <w:caps/>
      <w:smallCaps/>
      <w:sz w:val="24"/>
      <w:szCs w:val="24"/>
    </w:rPr>
  </w:style>
  <w:style w:type="character" w:customStyle="1" w:styleId="HeaderCoverPageChar">
    <w:name w:val="Header Cover Page Char"/>
    <w:basedOn w:val="DefaultParagraphFont"/>
    <w:link w:val="HeaderCoverPage"/>
    <w:rPr>
      <w:rFonts w:ascii="Times New Roman" w:eastAsia="Times New Roman" w:hAnsi="Times New Roman" w:cs="Times New Roman"/>
      <w:bCs/>
      <w:caps/>
      <w:smallCap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da-DK" w:bidi="da-D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character" w:styleId="FootnoteReference">
    <w:name w:val="footnote reference"/>
    <w:uiPriority w:val="99"/>
    <w:rPr>
      <w:shd w:val="clear" w:color="auto" w:fill="auto"/>
      <w:vertAlign w:val="superscript"/>
    </w:rPr>
  </w:style>
  <w:style w:type="character" w:styleId="Hyperlink">
    <w:name w:val="Hyperlink"/>
    <w:uiPriority w:val="99"/>
    <w:rPr>
      <w:rFonts w:cs="Times New Roman"/>
      <w:color w:val="0000FF"/>
      <w:u w:val="single"/>
      <w:shd w:val="clear" w:color="auto" w:fill="auto"/>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eastAsia="Times New Roman" w:hAnsi="Times New Roman" w:cs="Times New Roman"/>
      <w:sz w:val="24"/>
      <w:szCs w:val="24"/>
    </w:rPr>
  </w:style>
  <w:style w:type="character" w:customStyle="1" w:styleId="FooterCoverPageChar">
    <w:name w:val="Footer Cover Page Char"/>
    <w:link w:val="FooterCoverPage"/>
    <w:rPr>
      <w:rFonts w:ascii="Times New Roman" w:eastAsia="Times New Roman" w:hAnsi="Times New Roman" w:cs="Times New Roman"/>
      <w:sz w:val="24"/>
      <w:szCs w:val="24"/>
    </w:rPr>
  </w:style>
  <w:style w:type="character" w:styleId="Strong">
    <w:name w:val="Strong"/>
    <w:uiPriority w:val="22"/>
    <w:qFormat/>
    <w:rPr>
      <w:b/>
      <w:bCs/>
      <w:shd w:val="clear" w:color="auto" w:fill="auto"/>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unhideWhenUs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customStyle="1" w:styleId="CM1">
    <w:name w:val="CM1"/>
    <w:basedOn w:val="Normal"/>
    <w:uiPriority w:val="99"/>
    <w:pPr>
      <w:autoSpaceDE w:val="0"/>
      <w:autoSpaceDN w:val="0"/>
      <w:spacing w:after="0" w:line="240" w:lineRule="auto"/>
    </w:pPr>
    <w:rPr>
      <w:rFonts w:ascii="EUAlbertina" w:hAnsi="EUAlbertina" w:cs="Times New Roman"/>
      <w:sz w:val="24"/>
      <w:szCs w:val="24"/>
    </w:rPr>
  </w:style>
  <w:style w:type="table" w:customStyle="1" w:styleId="TableGrid1">
    <w:name w:val="Table Grid1"/>
    <w:basedOn w:val="TableNormal"/>
    <w:next w:val="TableGrid"/>
    <w:uiPriority w:val="5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HeaderCoverPage">
    <w:name w:val="Header Cover Page"/>
    <w:basedOn w:val="Normal"/>
    <w:link w:val="HeaderCoverPageChar"/>
    <w:pPr>
      <w:keepNext/>
      <w:numPr>
        <w:numId w:val="1"/>
      </w:numPr>
      <w:tabs>
        <w:tab w:val="center" w:pos="4535"/>
        <w:tab w:val="right" w:pos="9071"/>
      </w:tabs>
      <w:spacing w:after="120" w:line="240" w:lineRule="auto"/>
      <w:ind w:left="0"/>
      <w:jc w:val="both"/>
      <w:outlineLvl w:val="0"/>
    </w:pPr>
    <w:rPr>
      <w:rFonts w:ascii="Times New Roman" w:eastAsia="Times New Roman" w:hAnsi="Times New Roman" w:cs="Times New Roman"/>
      <w:bCs/>
      <w:caps/>
      <w:smallCaps/>
      <w:sz w:val="24"/>
      <w:szCs w:val="24"/>
    </w:rPr>
  </w:style>
  <w:style w:type="character" w:customStyle="1" w:styleId="HeaderCoverPageChar">
    <w:name w:val="Header Cover Page Char"/>
    <w:basedOn w:val="DefaultParagraphFont"/>
    <w:link w:val="HeaderCoverPage"/>
    <w:rPr>
      <w:rFonts w:ascii="Times New Roman" w:eastAsia="Times New Roman" w:hAnsi="Times New Roman" w:cs="Times New Roman"/>
      <w:bCs/>
      <w:caps/>
      <w:small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939542">
      <w:bodyDiv w:val="1"/>
      <w:marLeft w:val="0"/>
      <w:marRight w:val="0"/>
      <w:marTop w:val="0"/>
      <w:marBottom w:val="0"/>
      <w:divBdr>
        <w:top w:val="none" w:sz="0" w:space="0" w:color="auto"/>
        <w:left w:val="none" w:sz="0" w:space="0" w:color="auto"/>
        <w:bottom w:val="none" w:sz="0" w:space="0" w:color="auto"/>
        <w:right w:val="none" w:sz="0" w:space="0" w:color="auto"/>
      </w:divBdr>
    </w:div>
    <w:div w:id="427435600">
      <w:bodyDiv w:val="1"/>
      <w:marLeft w:val="0"/>
      <w:marRight w:val="0"/>
      <w:marTop w:val="0"/>
      <w:marBottom w:val="0"/>
      <w:divBdr>
        <w:top w:val="none" w:sz="0" w:space="0" w:color="auto"/>
        <w:left w:val="none" w:sz="0" w:space="0" w:color="auto"/>
        <w:bottom w:val="none" w:sz="0" w:space="0" w:color="auto"/>
        <w:right w:val="none" w:sz="0" w:space="0" w:color="auto"/>
      </w:divBdr>
    </w:div>
    <w:div w:id="722482501">
      <w:bodyDiv w:val="1"/>
      <w:marLeft w:val="0"/>
      <w:marRight w:val="0"/>
      <w:marTop w:val="0"/>
      <w:marBottom w:val="0"/>
      <w:divBdr>
        <w:top w:val="none" w:sz="0" w:space="0" w:color="auto"/>
        <w:left w:val="none" w:sz="0" w:space="0" w:color="auto"/>
        <w:bottom w:val="none" w:sz="0" w:space="0" w:color="auto"/>
        <w:right w:val="none" w:sz="0" w:space="0" w:color="auto"/>
      </w:divBdr>
    </w:div>
    <w:div w:id="1568568150">
      <w:bodyDiv w:val="1"/>
      <w:marLeft w:val="0"/>
      <w:marRight w:val="0"/>
      <w:marTop w:val="0"/>
      <w:marBottom w:val="0"/>
      <w:divBdr>
        <w:top w:val="none" w:sz="0" w:space="0" w:color="auto"/>
        <w:left w:val="none" w:sz="0" w:space="0" w:color="auto"/>
        <w:bottom w:val="none" w:sz="0" w:space="0" w:color="auto"/>
        <w:right w:val="none" w:sz="0" w:space="0" w:color="auto"/>
      </w:divBdr>
    </w:div>
    <w:div w:id="1699548723">
      <w:bodyDiv w:val="1"/>
      <w:marLeft w:val="0"/>
      <w:marRight w:val="0"/>
      <w:marTop w:val="0"/>
      <w:marBottom w:val="0"/>
      <w:divBdr>
        <w:top w:val="none" w:sz="0" w:space="0" w:color="auto"/>
        <w:left w:val="none" w:sz="0" w:space="0" w:color="auto"/>
        <w:bottom w:val="none" w:sz="0" w:space="0" w:color="auto"/>
        <w:right w:val="none" w:sz="0" w:space="0" w:color="auto"/>
      </w:divBdr>
    </w:div>
    <w:div w:id="186791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2.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www.iso.org/standard/56721.html" TargetMode="Externa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s://ec.europa.eu/food/plant/pesticides/sustainable_use_pesticides_en"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6.xml"/><Relationship Id="rId32"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5.xml"/><Relationship Id="rId10" Type="http://schemas.openxmlformats.org/officeDocument/2006/relationships/header" Target="header1.xml"/><Relationship Id="rId19" Type="http://schemas.openxmlformats.org/officeDocument/2006/relationships/image" Target="media/image3.emf"/><Relationship Id="rId31"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endure-network.eu/endure" TargetMode="External"/><Relationship Id="rId13" Type="http://schemas.openxmlformats.org/officeDocument/2006/relationships/hyperlink" Target="http://cordis.europa.eu/project/rcn/101750_en.html" TargetMode="External"/><Relationship Id="rId3" Type="http://schemas.openxmlformats.org/officeDocument/2006/relationships/hyperlink" Target="http://ec.europa.eu/food/audits-analysis/overview_reports/details.cfm?rep_id=79" TargetMode="External"/><Relationship Id="rId7" Type="http://schemas.openxmlformats.org/officeDocument/2006/relationships/hyperlink" Target="https://www.eea.europa.eu/publications/european-waters-assessment-2012" TargetMode="External"/><Relationship Id="rId12" Type="http://schemas.openxmlformats.org/officeDocument/2006/relationships/hyperlink" Target="http://cordis.europa.eu/project/rcn/98869_en.html." TargetMode="External"/><Relationship Id="rId17" Type="http://schemas.openxmlformats.org/officeDocument/2006/relationships/hyperlink" Target="http://www.consilium.europa.eu/register/en/content/out/?&amp;typ=ENTRY&amp;i=ADV&amp;DOC_ID=ST-10041-2016-ADD-1" TargetMode="External"/><Relationship Id="rId2" Type="http://schemas.openxmlformats.org/officeDocument/2006/relationships/hyperlink" Target="http://ec.europa.eu/food/plant/pesticides/eu-pesticides-database/public/?event=homepage&amp;language=DA" TargetMode="External"/><Relationship Id="rId16" Type="http://schemas.openxmlformats.org/officeDocument/2006/relationships/hyperlink" Target="http://cordis.europa.eu/project/rcn/110948_en.html" TargetMode="External"/><Relationship Id="rId1" Type="http://schemas.openxmlformats.org/officeDocument/2006/relationships/hyperlink" Target="http://ec.europa.eu/europeaid/file/50450/download_en?token=KLkUmH5y" TargetMode="External"/><Relationship Id="rId6" Type="http://schemas.openxmlformats.org/officeDocument/2006/relationships/hyperlink" Target="https://ec.europa.eu/food/safety/btsf_en" TargetMode="External"/><Relationship Id="rId11" Type="http://schemas.openxmlformats.org/officeDocument/2006/relationships/hyperlink" Target="http://cordis.europa.eu/project/rcn/98869_en.html." TargetMode="External"/><Relationship Id="rId5" Type="http://schemas.openxmlformats.org/officeDocument/2006/relationships/hyperlink" Target="http://ec.europa.eu/eurostat/statistics-explained/index.php/Farm_structure_survey_2013_-_main_results" TargetMode="External"/><Relationship Id="rId15" Type="http://schemas.openxmlformats.org/officeDocument/2006/relationships/hyperlink" Target="http://cordis.europa.eu/project/rcn/111189_en.html" TargetMode="External"/><Relationship Id="rId10" Type="http://schemas.openxmlformats.org/officeDocument/2006/relationships/hyperlink" Target="http://cordis.europa.eu/project/rcn/94701_en.html." TargetMode="External"/><Relationship Id="rId4" Type="http://schemas.openxmlformats.org/officeDocument/2006/relationships/hyperlink" Target="https://ec.europa.eu/food/plant/pesticides/sustainable_use_pesticides_en" TargetMode="External"/><Relationship Id="rId9" Type="http://schemas.openxmlformats.org/officeDocument/2006/relationships/hyperlink" Target="http://c-ipm.org/" TargetMode="External"/><Relationship Id="rId14" Type="http://schemas.openxmlformats.org/officeDocument/2006/relationships/hyperlink" Target="http://cordis.europa.eu/project/rcn/101750_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EBEBEB"/>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E3850-5132-4FB0-8697-7C41039D6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19</Pages>
  <Words>7305</Words>
  <Characters>41640</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SANTE/11319/2017-EN CIS</vt:lpstr>
    </vt:vector>
  </TitlesOfParts>
  <Manager/>
  <Company/>
  <LinksUpToDate>false</LinksUpToDate>
  <CharactersWithSpaces>48848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SANTE/11319/2017-EN CIS</dc:title>
  <dc:subject>Report</dc:subject>
  <dc:creator/>
  <cp:keywords>11319</cp:keywords>
  <dc:description>OUTLOOK - 28.7.2017    
no layout, no time - just general check</dc:description>
  <cp:lastModifiedBy/>
  <cp:revision>18</cp:revision>
  <cp:lastPrinted>2017-09-21T11:18:00Z</cp:lastPrinted>
  <dcterms:created xsi:type="dcterms:W3CDTF">2017-09-27T14:38:00Z</dcterms:created>
  <dcterms:modified xsi:type="dcterms:W3CDTF">2017-10-09T06:14:00Z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lassification">
    <vt:lpwstr> </vt:lpwstr>
  </property>
  <property name="OP_sanitized" fmtid="{D5CDD505-2E9C-101B-9397-08002B2CF9AE}" pid="6">
    <vt:lpwstr>True</vt:lpwstr>
  </property>
</Properties>
</file>