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167E7BC2547462CA764FE25DAB315C6" style="width:450.5pt;height:29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0" w:line="240" w:lineRule="auto"/>
        <w:jc w:val="center"/>
        <w:rPr>
          <w:rFonts w:ascii="Times New Roman" w:hAnsi="Times New Roman"/>
          <w:b/>
          <w:noProof/>
          <w:sz w:val="24"/>
        </w:rPr>
      </w:pPr>
      <w:bookmarkStart w:id="1" w:name="_GoBack"/>
      <w:bookmarkEnd w:id="1"/>
      <w:r>
        <w:rPr>
          <w:rFonts w:ascii="Times New Roman" w:hAnsi="Times New Roman"/>
          <w:b/>
          <w:noProof/>
          <w:sz w:val="24"/>
        </w:rPr>
        <w:lastRenderedPageBreak/>
        <w:t>RAPPORT FRA KOMMISSIONEN TIL EUROPA-PARLAMENTET OG RÅDET</w:t>
      </w:r>
    </w:p>
    <w:p>
      <w:pPr>
        <w:spacing w:after="0" w:line="240" w:lineRule="auto"/>
        <w:jc w:val="center"/>
        <w:rPr>
          <w:rFonts w:ascii="Times New Roman" w:hAnsi="Times New Roman"/>
          <w:b/>
          <w:noProof/>
          <w:sz w:val="24"/>
        </w:rPr>
      </w:pPr>
    </w:p>
    <w:p>
      <w:pPr>
        <w:spacing w:after="0" w:line="240" w:lineRule="auto"/>
        <w:jc w:val="center"/>
        <w:rPr>
          <w:rFonts w:ascii="Times New Roman" w:hAnsi="Times New Roman"/>
          <w:b/>
          <w:noProof/>
          <w:sz w:val="24"/>
        </w:rPr>
      </w:pPr>
      <w:r>
        <w:rPr>
          <w:rFonts w:ascii="Times New Roman" w:hAnsi="Times New Roman"/>
          <w:b/>
          <w:noProof/>
          <w:sz w:val="24"/>
        </w:rPr>
        <w:t>om kvaliteten af de budgetdata, medlemsstaterne indberettede i 2016</w:t>
      </w:r>
    </w:p>
    <w:p>
      <w:pPr>
        <w:spacing w:before="120" w:after="240" w:line="240" w:lineRule="auto"/>
        <w:jc w:val="center"/>
        <w:rPr>
          <w:rFonts w:ascii="Times New Roman" w:eastAsia="Times New Roman" w:hAnsi="Times New Roman"/>
          <w:b/>
          <w:noProof/>
          <w:sz w:val="28"/>
        </w:rPr>
      </w:pPr>
      <w:r>
        <w:rPr>
          <w:rFonts w:ascii="Times New Roman" w:hAnsi="Times New Roman"/>
          <w:b/>
          <w:noProof/>
          <w:sz w:val="28"/>
        </w:rPr>
        <w:t>INDHOLDSFORTEGNELSE</w:t>
      </w:r>
    </w:p>
    <w:bookmarkStart w:id="2" w:name="_Toc342558477"/>
    <w:p>
      <w:pPr>
        <w:pStyle w:val="TOC1"/>
        <w:tabs>
          <w:tab w:val="left" w:pos="440"/>
          <w:tab w:val="right" w:leader="dot" w:pos="9016"/>
        </w:tabs>
        <w:rPr>
          <w:rFonts w:ascii="Times New Roman" w:eastAsiaTheme="minorEastAsia" w:hAnsi="Times New Roman" w:cstheme="minorBidi"/>
          <w:noProof/>
          <w:lang w:val="en-GB" w:eastAsia="en-GB" w:bidi="ar-SA"/>
        </w:rPr>
      </w:pPr>
      <w:r>
        <w:rPr>
          <w:rFonts w:ascii="Times New Roman" w:eastAsia="Times New Roman" w:hAnsi="Times New Roman"/>
          <w:noProof/>
          <w:sz w:val="23"/>
          <w:szCs w:val="23"/>
        </w:rPr>
        <w:fldChar w:fldCharType="begin"/>
      </w:r>
      <w:r>
        <w:rPr>
          <w:rFonts w:ascii="Times New Roman" w:eastAsia="Times New Roman" w:hAnsi="Times New Roman"/>
          <w:noProof/>
          <w:sz w:val="23"/>
          <w:szCs w:val="23"/>
        </w:rPr>
        <w:instrText xml:space="preserve"> TOC \o "1-3" \h \z \u </w:instrText>
      </w:r>
      <w:r>
        <w:rPr>
          <w:rFonts w:ascii="Times New Roman" w:eastAsia="Times New Roman" w:hAnsi="Times New Roman"/>
          <w:noProof/>
          <w:sz w:val="23"/>
          <w:szCs w:val="23"/>
        </w:rPr>
        <w:fldChar w:fldCharType="separate"/>
      </w:r>
      <w:hyperlink w:anchor="_Toc474939211" w:history="1">
        <w:r>
          <w:rPr>
            <w:rStyle w:val="Hyperlink"/>
            <w:rFonts w:ascii="Times New Roman" w:eastAsia="Times New Roman" w:hAnsi="Times New Roman"/>
            <w:b/>
            <w:bCs/>
            <w:smallCaps/>
            <w:noProof/>
          </w:rPr>
          <w:t>1.</w:t>
        </w:r>
        <w:r>
          <w:rPr>
            <w:rFonts w:ascii="Times New Roman" w:eastAsiaTheme="minorEastAsia" w:hAnsi="Times New Roman" w:cstheme="minorBidi"/>
            <w:noProof/>
            <w:lang w:val="en-GB" w:eastAsia="en-GB" w:bidi="ar-SA"/>
          </w:rPr>
          <w:tab/>
        </w:r>
        <w:r>
          <w:rPr>
            <w:rStyle w:val="Hyperlink"/>
            <w:rFonts w:ascii="Times New Roman" w:hAnsi="Times New Roman"/>
            <w:b/>
            <w:smallCaps/>
            <w:noProof/>
          </w:rPr>
          <w:t>Baggrund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_Toc474939211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w:t>
        </w:r>
        <w:r>
          <w:rPr>
            <w:rFonts w:ascii="Times New Roman" w:hAnsi="Times New Roman"/>
            <w:noProof/>
            <w:webHidden/>
          </w:rPr>
          <w:fldChar w:fldCharType="end"/>
        </w:r>
      </w:hyperlink>
    </w:p>
    <w:p>
      <w:pPr>
        <w:pStyle w:val="TOC1"/>
        <w:tabs>
          <w:tab w:val="left" w:pos="440"/>
          <w:tab w:val="right" w:leader="dot" w:pos="9016"/>
        </w:tabs>
        <w:rPr>
          <w:rFonts w:ascii="Times New Roman" w:eastAsiaTheme="minorEastAsia" w:hAnsi="Times New Roman" w:cstheme="minorBidi"/>
          <w:noProof/>
          <w:lang w:val="en-GB" w:eastAsia="en-GB" w:bidi="ar-SA"/>
        </w:rPr>
      </w:pPr>
      <w:hyperlink w:anchor="_Toc474939212" w:history="1">
        <w:r>
          <w:rPr>
            <w:rStyle w:val="Hyperlink"/>
            <w:rFonts w:ascii="Times New Roman" w:eastAsia="Times New Roman" w:hAnsi="Times New Roman"/>
            <w:b/>
            <w:bCs/>
            <w:smallCaps/>
            <w:noProof/>
          </w:rPr>
          <w:t>2.</w:t>
        </w:r>
        <w:r>
          <w:rPr>
            <w:rFonts w:ascii="Times New Roman" w:eastAsiaTheme="minorEastAsia" w:hAnsi="Times New Roman" w:cstheme="minorBidi"/>
            <w:noProof/>
            <w:lang w:val="en-GB" w:eastAsia="en-GB" w:bidi="ar-SA"/>
          </w:rPr>
          <w:tab/>
        </w:r>
        <w:r>
          <w:rPr>
            <w:rStyle w:val="Hyperlink"/>
            <w:rFonts w:ascii="Times New Roman" w:hAnsi="Times New Roman"/>
            <w:b/>
            <w:smallCaps/>
            <w:noProof/>
          </w:rPr>
          <w:t>Vigtigste konstateringer vedrørende indberetningen for 2016 af det offentlige underskud og den offentlige gæld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_Toc474939212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w:t>
        </w:r>
        <w:r>
          <w:rPr>
            <w:rFonts w:ascii="Times New Roman" w:hAnsi="Times New Roman"/>
            <w:noProof/>
            <w:webHidden/>
          </w:rPr>
          <w:fldChar w:fldCharType="end"/>
        </w:r>
      </w:hyperlink>
    </w:p>
    <w:p>
      <w:pPr>
        <w:pStyle w:val="TOC2"/>
        <w:tabs>
          <w:tab w:val="left" w:pos="880"/>
          <w:tab w:val="right" w:leader="dot" w:pos="9016"/>
        </w:tabs>
        <w:rPr>
          <w:rFonts w:ascii="Times New Roman" w:eastAsiaTheme="minorEastAsia" w:hAnsi="Times New Roman" w:cstheme="minorBidi"/>
          <w:noProof/>
          <w:lang w:val="en-GB" w:eastAsia="en-GB" w:bidi="ar-SA"/>
        </w:rPr>
      </w:pPr>
      <w:hyperlink w:anchor="_Toc474939213" w:history="1">
        <w:r>
          <w:rPr>
            <w:rStyle w:val="Hyperlink"/>
            <w:rFonts w:ascii="Times New Roman" w:hAnsi="Times New Roman"/>
            <w:noProof/>
          </w:rPr>
          <w:t>2.1.</w:t>
        </w:r>
        <w:r>
          <w:rPr>
            <w:rFonts w:ascii="Times New Roman" w:eastAsiaTheme="minorEastAsia" w:hAnsi="Times New Roman" w:cstheme="minorBidi"/>
            <w:noProof/>
            <w:lang w:val="en-GB" w:eastAsia="en-GB" w:bidi="ar-SA"/>
          </w:rPr>
          <w:tab/>
        </w:r>
        <w:r>
          <w:rPr>
            <w:rStyle w:val="Hyperlink"/>
            <w:rFonts w:ascii="Times New Roman" w:hAnsi="Times New Roman"/>
            <w:noProof/>
          </w:rPr>
          <w:t>Aktualitet, pålidelighed og fuldstændighed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_Toc474939213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14" w:history="1">
        <w:r>
          <w:rPr>
            <w:rStyle w:val="Hyperlink"/>
            <w:rFonts w:ascii="Times New Roman" w:hAnsi="Times New Roman"/>
            <w:noProof/>
          </w:rPr>
          <w:t>2.1.1.</w:t>
        </w:r>
        <w:r>
          <w:rPr>
            <w:rFonts w:ascii="Times New Roman" w:eastAsiaTheme="minorEastAsia" w:hAnsi="Times New Roman" w:cstheme="minorBidi"/>
            <w:noProof/>
            <w:lang w:val="en-GB" w:eastAsia="en-GB" w:bidi="ar-SA"/>
          </w:rPr>
          <w:tab/>
        </w:r>
        <w:r>
          <w:rPr>
            <w:rStyle w:val="Hyperlink"/>
            <w:rFonts w:ascii="Times New Roman" w:hAnsi="Times New Roman"/>
            <w:noProof/>
          </w:rPr>
          <w:t>Aktualitet</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_Toc474939214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15" w:history="1">
        <w:r>
          <w:rPr>
            <w:rStyle w:val="Hyperlink"/>
            <w:rFonts w:ascii="Times New Roman" w:hAnsi="Times New Roman"/>
            <w:noProof/>
          </w:rPr>
          <w:t>2.1.2.</w:t>
        </w:r>
        <w:r>
          <w:rPr>
            <w:rFonts w:ascii="Times New Roman" w:eastAsiaTheme="minorEastAsia" w:hAnsi="Times New Roman" w:cstheme="minorBidi"/>
            <w:noProof/>
            <w:lang w:val="en-GB" w:eastAsia="en-GB" w:bidi="ar-SA"/>
          </w:rPr>
          <w:tab/>
        </w:r>
        <w:r>
          <w:rPr>
            <w:rStyle w:val="Hyperlink"/>
            <w:rFonts w:ascii="Times New Roman" w:hAnsi="Times New Roman"/>
            <w:noProof/>
          </w:rPr>
          <w:t>Pålidelighed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_Toc474939215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4</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16" w:history="1">
        <w:r>
          <w:rPr>
            <w:rStyle w:val="Hyperlink"/>
            <w:rFonts w:ascii="Times New Roman" w:hAnsi="Times New Roman"/>
            <w:noProof/>
          </w:rPr>
          <w:t>2.1.3.</w:t>
        </w:r>
        <w:r>
          <w:rPr>
            <w:rFonts w:ascii="Times New Roman" w:eastAsiaTheme="minorEastAsia" w:hAnsi="Times New Roman" w:cstheme="minorBidi"/>
            <w:noProof/>
            <w:lang w:val="en-GB" w:eastAsia="en-GB" w:bidi="ar-SA"/>
          </w:rPr>
          <w:tab/>
        </w:r>
        <w:r>
          <w:rPr>
            <w:rStyle w:val="Hyperlink"/>
            <w:rFonts w:ascii="Times New Roman" w:hAnsi="Times New Roman"/>
            <w:noProof/>
          </w:rPr>
          <w:t>Skemaernes fuldstændighed og supplerende oplysninger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_Toc474939216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4</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17" w:history="1">
        <w:r>
          <w:rPr>
            <w:rStyle w:val="Hyperlink"/>
            <w:rFonts w:ascii="Times New Roman" w:hAnsi="Times New Roman"/>
            <w:noProof/>
          </w:rPr>
          <w:t>2.1.4.</w:t>
        </w:r>
        <w:r>
          <w:rPr>
            <w:rFonts w:ascii="Times New Roman" w:eastAsiaTheme="minorEastAsia" w:hAnsi="Times New Roman" w:cstheme="minorBidi"/>
            <w:noProof/>
            <w:lang w:val="en-GB" w:eastAsia="en-GB" w:bidi="ar-SA"/>
          </w:rPr>
          <w:tab/>
        </w:r>
        <w:r>
          <w:rPr>
            <w:rStyle w:val="Hyperlink"/>
            <w:rFonts w:ascii="Times New Roman" w:hAnsi="Times New Roman"/>
            <w:noProof/>
          </w:rPr>
          <w:t>Supplerende tabel for indberetning af det offentliges indgreb til støtte for finansielle institutioner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_Toc474939217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18" w:history="1">
        <w:r>
          <w:rPr>
            <w:rStyle w:val="Hyperlink"/>
            <w:rFonts w:ascii="Times New Roman" w:hAnsi="Times New Roman"/>
            <w:noProof/>
          </w:rPr>
          <w:t>2.1.5.</w:t>
        </w:r>
        <w:r>
          <w:rPr>
            <w:rFonts w:ascii="Times New Roman" w:eastAsiaTheme="minorEastAsia" w:hAnsi="Times New Roman" w:cstheme="minorBidi"/>
            <w:noProof/>
            <w:lang w:val="en-GB" w:eastAsia="en-GB" w:bidi="ar-SA"/>
          </w:rPr>
          <w:tab/>
        </w:r>
        <w:r>
          <w:rPr>
            <w:rStyle w:val="Hyperlink"/>
            <w:rFonts w:ascii="Times New Roman" w:hAnsi="Times New Roman"/>
            <w:noProof/>
          </w:rPr>
          <w:t>Spørgeskema om mellemstatslig långivning</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_Toc474939218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pPr>
        <w:pStyle w:val="TOC2"/>
        <w:tabs>
          <w:tab w:val="left" w:pos="880"/>
          <w:tab w:val="right" w:leader="dot" w:pos="9016"/>
        </w:tabs>
        <w:rPr>
          <w:rFonts w:ascii="Times New Roman" w:eastAsiaTheme="minorEastAsia" w:hAnsi="Times New Roman" w:cstheme="minorBidi"/>
          <w:noProof/>
          <w:lang w:val="en-GB" w:eastAsia="en-GB" w:bidi="ar-SA"/>
        </w:rPr>
      </w:pPr>
      <w:hyperlink w:anchor="_Toc474939219" w:history="1">
        <w:r>
          <w:rPr>
            <w:rStyle w:val="Hyperlink"/>
            <w:rFonts w:ascii="Times New Roman" w:hAnsi="Times New Roman"/>
            <w:noProof/>
          </w:rPr>
          <w:t>2.2.</w:t>
        </w:r>
        <w:r>
          <w:rPr>
            <w:rFonts w:ascii="Times New Roman" w:eastAsiaTheme="minorEastAsia" w:hAnsi="Times New Roman" w:cstheme="minorBidi"/>
            <w:noProof/>
            <w:lang w:val="en-GB" w:eastAsia="en-GB" w:bidi="ar-SA"/>
          </w:rPr>
          <w:tab/>
        </w:r>
        <w:r>
          <w:rPr>
            <w:rStyle w:val="Hyperlink"/>
            <w:rFonts w:ascii="Times New Roman" w:hAnsi="Times New Roman"/>
            <w:noProof/>
          </w:rPr>
          <w:t>Overholdelse af regnskabsregler og de statistiske datas konsistens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_Toc474939219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0" w:history="1">
        <w:r>
          <w:rPr>
            <w:rStyle w:val="Hyperlink"/>
            <w:rFonts w:ascii="Times New Roman" w:hAnsi="Times New Roman"/>
            <w:noProof/>
          </w:rPr>
          <w:t>2.2.1.</w:t>
        </w:r>
        <w:r>
          <w:rPr>
            <w:rFonts w:ascii="Times New Roman" w:eastAsiaTheme="minorEastAsia" w:hAnsi="Times New Roman" w:cstheme="minorBidi"/>
            <w:noProof/>
            <w:lang w:val="en-GB" w:eastAsia="en-GB" w:bidi="ar-SA"/>
          </w:rPr>
          <w:tab/>
        </w:r>
        <w:r>
          <w:rPr>
            <w:rStyle w:val="Hyperlink"/>
            <w:rFonts w:ascii="Times New Roman" w:hAnsi="Times New Roman"/>
            <w:noProof/>
          </w:rPr>
          <w:t>Udveksling af oplysninger og præciseringer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_Toc474939220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1" w:history="1">
        <w:r>
          <w:rPr>
            <w:rStyle w:val="Hyperlink"/>
            <w:rFonts w:ascii="Times New Roman" w:hAnsi="Times New Roman"/>
            <w:noProof/>
          </w:rPr>
          <w:t>2.2.2.</w:t>
        </w:r>
        <w:r>
          <w:rPr>
            <w:rFonts w:ascii="Times New Roman" w:eastAsiaTheme="minorEastAsia" w:hAnsi="Times New Roman" w:cstheme="minorBidi"/>
            <w:noProof/>
            <w:lang w:val="en-GB" w:eastAsia="en-GB" w:bidi="ar-SA"/>
          </w:rPr>
          <w:tab/>
        </w:r>
        <w:r>
          <w:rPr>
            <w:rStyle w:val="Hyperlink"/>
            <w:rFonts w:ascii="Times New Roman" w:hAnsi="Times New Roman"/>
            <w:noProof/>
          </w:rPr>
          <w:t>Dialogbesøg og metodologiske besøg</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_Toc474939221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7</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2" w:history="1">
        <w:r>
          <w:rPr>
            <w:rStyle w:val="Hyperlink"/>
            <w:rFonts w:ascii="Times New Roman" w:hAnsi="Times New Roman"/>
            <w:noProof/>
          </w:rPr>
          <w:t>2.2.3.</w:t>
        </w:r>
        <w:r>
          <w:rPr>
            <w:rFonts w:ascii="Times New Roman" w:eastAsiaTheme="minorEastAsia" w:hAnsi="Times New Roman" w:cstheme="minorBidi"/>
            <w:noProof/>
            <w:lang w:val="en-GB" w:eastAsia="en-GB" w:bidi="ar-SA"/>
          </w:rPr>
          <w:tab/>
        </w:r>
        <w:r>
          <w:rPr>
            <w:rStyle w:val="Hyperlink"/>
            <w:rFonts w:ascii="Times New Roman" w:hAnsi="Times New Roman"/>
            <w:noProof/>
          </w:rPr>
          <w:t>Særlig rådgivning ydet af Eurostat</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_Toc474939222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7</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3" w:history="1">
        <w:r>
          <w:rPr>
            <w:rStyle w:val="Hyperlink"/>
            <w:rFonts w:ascii="Times New Roman" w:hAnsi="Times New Roman"/>
            <w:noProof/>
          </w:rPr>
          <w:t>2.2.4.</w:t>
        </w:r>
        <w:r>
          <w:rPr>
            <w:rFonts w:ascii="Times New Roman" w:eastAsiaTheme="minorEastAsia" w:hAnsi="Times New Roman" w:cstheme="minorBidi"/>
            <w:noProof/>
            <w:lang w:val="en-GB" w:eastAsia="en-GB" w:bidi="ar-SA"/>
          </w:rPr>
          <w:tab/>
        </w:r>
        <w:r>
          <w:rPr>
            <w:rStyle w:val="Hyperlink"/>
            <w:rFonts w:ascii="Times New Roman" w:hAnsi="Times New Roman"/>
            <w:noProof/>
          </w:rPr>
          <w:t>Nyere metodologiske spørgsmål</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_Toc474939223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4" w:history="1">
        <w:r>
          <w:rPr>
            <w:rStyle w:val="Hyperlink"/>
            <w:rFonts w:ascii="Times New Roman" w:hAnsi="Times New Roman"/>
            <w:noProof/>
          </w:rPr>
          <w:t>2.2.5.</w:t>
        </w:r>
        <w:r>
          <w:rPr>
            <w:rFonts w:ascii="Times New Roman" w:eastAsiaTheme="minorEastAsia" w:hAnsi="Times New Roman" w:cstheme="minorBidi"/>
            <w:noProof/>
            <w:lang w:val="en-GB" w:eastAsia="en-GB" w:bidi="ar-SA"/>
          </w:rPr>
          <w:tab/>
        </w:r>
        <w:r>
          <w:rPr>
            <w:rStyle w:val="Hyperlink"/>
            <w:rFonts w:ascii="Times New Roman" w:hAnsi="Times New Roman"/>
            <w:noProof/>
          </w:rPr>
          <w:t>Overensstemmelse med de tilgrundliggende offentlige regnskaber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_Toc474939224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pPr>
        <w:pStyle w:val="TOC2"/>
        <w:tabs>
          <w:tab w:val="left" w:pos="880"/>
          <w:tab w:val="right" w:leader="dot" w:pos="9016"/>
        </w:tabs>
        <w:rPr>
          <w:rFonts w:ascii="Times New Roman" w:eastAsiaTheme="minorEastAsia" w:hAnsi="Times New Roman" w:cstheme="minorBidi"/>
          <w:noProof/>
          <w:lang w:val="en-GB" w:eastAsia="en-GB" w:bidi="ar-SA"/>
        </w:rPr>
      </w:pPr>
      <w:hyperlink w:anchor="_Toc474939225" w:history="1">
        <w:r>
          <w:rPr>
            <w:rStyle w:val="Hyperlink"/>
            <w:rFonts w:ascii="Times New Roman" w:hAnsi="Times New Roman"/>
            <w:noProof/>
          </w:rPr>
          <w:t>2.3.</w:t>
        </w:r>
        <w:r>
          <w:rPr>
            <w:rFonts w:ascii="Times New Roman" w:eastAsiaTheme="minorEastAsia" w:hAnsi="Times New Roman" w:cstheme="minorBidi"/>
            <w:noProof/>
            <w:lang w:val="en-GB" w:eastAsia="en-GB" w:bidi="ar-SA"/>
          </w:rPr>
          <w:tab/>
        </w:r>
        <w:r>
          <w:rPr>
            <w:rStyle w:val="Hyperlink"/>
            <w:rFonts w:ascii="Times New Roman" w:hAnsi="Times New Roman"/>
            <w:noProof/>
          </w:rPr>
          <w:t>Offentliggørelse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_Toc474939225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9</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6" w:history="1">
        <w:r>
          <w:rPr>
            <w:rStyle w:val="Hyperlink"/>
            <w:rFonts w:ascii="Times New Roman" w:hAnsi="Times New Roman"/>
            <w:noProof/>
          </w:rPr>
          <w:t>2.3.1.</w:t>
        </w:r>
        <w:r>
          <w:rPr>
            <w:rFonts w:ascii="Times New Roman" w:eastAsiaTheme="minorEastAsia" w:hAnsi="Times New Roman" w:cstheme="minorBidi"/>
            <w:noProof/>
            <w:lang w:val="en-GB" w:eastAsia="en-GB" w:bidi="ar-SA"/>
          </w:rPr>
          <w:tab/>
        </w:r>
        <w:r>
          <w:rPr>
            <w:rStyle w:val="Hyperlink"/>
            <w:rFonts w:ascii="Times New Roman" w:hAnsi="Times New Roman"/>
            <w:noProof/>
          </w:rPr>
          <w:t>Offentliggørelse af overordnede tal og detaljerede indberetningsskemaer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_Toc474939226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9</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7" w:history="1">
        <w:r>
          <w:rPr>
            <w:rStyle w:val="Hyperlink"/>
            <w:rFonts w:ascii="Times New Roman" w:hAnsi="Times New Roman"/>
            <w:noProof/>
          </w:rPr>
          <w:t>2.3.2.</w:t>
        </w:r>
        <w:r>
          <w:rPr>
            <w:rFonts w:ascii="Times New Roman" w:eastAsiaTheme="minorEastAsia" w:hAnsi="Times New Roman" w:cstheme="minorBidi"/>
            <w:noProof/>
            <w:lang w:val="en-GB" w:eastAsia="en-GB" w:bidi="ar-SA"/>
          </w:rPr>
          <w:tab/>
        </w:r>
        <w:r>
          <w:rPr>
            <w:rStyle w:val="Hyperlink"/>
            <w:rFonts w:ascii="Times New Roman" w:hAnsi="Times New Roman"/>
            <w:noProof/>
          </w:rPr>
          <w:t>Forbehold vedrørende dataenes kvalitet</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_Toc474939227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8" w:history="1">
        <w:r>
          <w:rPr>
            <w:rStyle w:val="Hyperlink"/>
            <w:rFonts w:ascii="Times New Roman" w:hAnsi="Times New Roman"/>
            <w:noProof/>
          </w:rPr>
          <w:t>2.3.3.</w:t>
        </w:r>
        <w:r>
          <w:rPr>
            <w:rFonts w:ascii="Times New Roman" w:eastAsiaTheme="minorEastAsia" w:hAnsi="Times New Roman" w:cstheme="minorBidi"/>
            <w:noProof/>
            <w:lang w:val="en-GB" w:eastAsia="en-GB" w:bidi="ar-SA"/>
          </w:rPr>
          <w:tab/>
        </w:r>
        <w:r>
          <w:rPr>
            <w:rStyle w:val="Hyperlink"/>
            <w:rFonts w:ascii="Times New Roman" w:hAnsi="Times New Roman"/>
            <w:noProof/>
          </w:rPr>
          <w:t>Ændring af de indberettede data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_Toc474939228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pPr>
        <w:pStyle w:val="TOC3"/>
        <w:rPr>
          <w:rFonts w:ascii="Times New Roman" w:eastAsiaTheme="minorEastAsia" w:hAnsi="Times New Roman" w:cstheme="minorBidi"/>
          <w:noProof/>
          <w:lang w:val="en-GB" w:eastAsia="en-GB" w:bidi="ar-SA"/>
        </w:rPr>
      </w:pPr>
      <w:hyperlink w:anchor="_Toc474939229" w:history="1">
        <w:r>
          <w:rPr>
            <w:rStyle w:val="Hyperlink"/>
            <w:rFonts w:ascii="Times New Roman" w:hAnsi="Times New Roman"/>
            <w:noProof/>
          </w:rPr>
          <w:t>2.3.4.</w:t>
        </w:r>
        <w:r>
          <w:rPr>
            <w:rFonts w:ascii="Times New Roman" w:eastAsiaTheme="minorEastAsia" w:hAnsi="Times New Roman" w:cstheme="minorBidi"/>
            <w:noProof/>
            <w:lang w:val="en-GB" w:eastAsia="en-GB" w:bidi="ar-SA"/>
          </w:rPr>
          <w:tab/>
        </w:r>
        <w:r>
          <w:rPr>
            <w:rStyle w:val="Hyperlink"/>
            <w:rFonts w:ascii="Times New Roman" w:hAnsi="Times New Roman"/>
            <w:noProof/>
          </w:rPr>
          <w:t>Offentliggørelse af metadata (oversigter)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_Toc474939229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pPr>
        <w:pStyle w:val="TOC1"/>
        <w:tabs>
          <w:tab w:val="left" w:pos="440"/>
          <w:tab w:val="right" w:leader="dot" w:pos="9016"/>
        </w:tabs>
        <w:rPr>
          <w:rFonts w:ascii="Times New Roman" w:eastAsiaTheme="minorEastAsia" w:hAnsi="Times New Roman" w:cstheme="minorBidi"/>
          <w:noProof/>
          <w:lang w:val="en-GB" w:eastAsia="en-GB" w:bidi="ar-SA"/>
        </w:rPr>
      </w:pPr>
      <w:hyperlink w:anchor="_Toc474939230" w:history="1">
        <w:r>
          <w:rPr>
            <w:rStyle w:val="Hyperlink"/>
            <w:rFonts w:ascii="Times New Roman" w:eastAsia="Times New Roman" w:hAnsi="Times New Roman"/>
            <w:b/>
            <w:bCs/>
            <w:smallCaps/>
            <w:noProof/>
          </w:rPr>
          <w:t>3.</w:t>
        </w:r>
        <w:r>
          <w:rPr>
            <w:rFonts w:ascii="Times New Roman" w:eastAsiaTheme="minorEastAsia" w:hAnsi="Times New Roman" w:cstheme="minorBidi"/>
            <w:noProof/>
            <w:lang w:val="en-GB" w:eastAsia="en-GB" w:bidi="ar-SA"/>
          </w:rPr>
          <w:tab/>
        </w:r>
        <w:r>
          <w:rPr>
            <w:rStyle w:val="Hyperlink"/>
            <w:rFonts w:ascii="Times New Roman" w:hAnsi="Times New Roman"/>
            <w:b/>
            <w:smallCaps/>
            <w:noProof/>
          </w:rPr>
          <w:t>Konklusioner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_Toc474939230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11</w:t>
        </w:r>
        <w:r>
          <w:rPr>
            <w:rFonts w:ascii="Times New Roman" w:hAnsi="Times New Roman"/>
            <w:noProof/>
            <w:webHidden/>
          </w:rPr>
          <w:fldChar w:fldCharType="end"/>
        </w:r>
      </w:hyperlink>
    </w:p>
    <w:p>
      <w:pPr>
        <w:pStyle w:val="TOC1"/>
        <w:tabs>
          <w:tab w:val="left" w:pos="440"/>
          <w:tab w:val="right" w:leader="dot" w:pos="9016"/>
        </w:tabs>
        <w:rPr>
          <w:rFonts w:ascii="Times New Roman" w:eastAsiaTheme="minorEastAsia" w:hAnsi="Times New Roman"/>
          <w:noProof/>
        </w:rPr>
      </w:pPr>
      <w:r>
        <w:rPr>
          <w:rFonts w:ascii="Times New Roman" w:eastAsia="Times New Roman" w:hAnsi="Times New Roman"/>
          <w:b/>
          <w:bCs/>
          <w:noProof/>
          <w:sz w:val="23"/>
          <w:szCs w:val="23"/>
        </w:rPr>
        <w:fldChar w:fldCharType="end"/>
      </w:r>
      <w:r>
        <w:rPr>
          <w:noProof/>
        </w:rPr>
        <w:br w:type="page"/>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bookmarkStart w:id="3" w:name="_Toc442173625"/>
      <w:bookmarkStart w:id="4" w:name="_Toc474487287"/>
      <w:bookmarkStart w:id="5" w:name="_Toc474939211"/>
      <w:r>
        <w:rPr>
          <w:rFonts w:ascii="Times New Roman" w:hAnsi="Times New Roman"/>
          <w:b/>
          <w:smallCaps/>
          <w:noProof/>
          <w:sz w:val="24"/>
        </w:rPr>
        <w:lastRenderedPageBreak/>
        <w:t>Baggrund</w:t>
      </w:r>
      <w:bookmarkEnd w:id="2"/>
      <w:bookmarkEnd w:id="3"/>
      <w:bookmarkEnd w:id="4"/>
      <w:bookmarkEnd w:id="5"/>
    </w:p>
    <w:p>
      <w:pPr>
        <w:spacing w:before="120" w:after="120" w:line="240" w:lineRule="auto"/>
        <w:ind w:left="850"/>
        <w:jc w:val="both"/>
        <w:rPr>
          <w:rFonts w:ascii="Times New Roman" w:hAnsi="Times New Roman"/>
          <w:noProof/>
          <w:sz w:val="24"/>
        </w:rPr>
      </w:pPr>
      <w:r>
        <w:rPr>
          <w:rFonts w:ascii="Times New Roman" w:hAnsi="Times New Roman"/>
          <w:noProof/>
          <w:sz w:val="24"/>
        </w:rPr>
        <w:t>Ifølge artikel 8, stk. 3, i Rådets forordning (EF) nr. 479/2009 om gennemførelse af den protokol om proceduren i forbindelse med uforholdsmæssigt store underskud (EDP), der er knyttet som bilag til traktaten om oprettelse af Det Europæiske Fællesskab</w:t>
      </w:r>
      <w:r>
        <w:rPr>
          <w:rStyle w:val="FootnoteReference"/>
          <w:noProof/>
        </w:rPr>
        <w:footnoteReference w:id="1"/>
      </w:r>
      <w:r>
        <w:rPr>
          <w:rFonts w:ascii="Times New Roman" w:hAnsi="Times New Roman"/>
          <w:noProof/>
          <w:sz w:val="24"/>
        </w:rPr>
        <w:t>, skal Kommissionen (Eurostat) regelmæssigt aflægge rapport til Europa-Parlamentet og Rådet om kvaliteten af de faktiske data, der indberettes af medlemsstaterne. I denne årlige rapport gives der en generel vurdering af dataenes aktualitet, pålidelighed, fuldstændighed, konsistens og overensstemmelse med regnskabsreglerne. Kommissionen vedtog den foregående rapport (om dataene fra 2015) den 23. marts 2016</w:t>
      </w:r>
      <w:r>
        <w:rPr>
          <w:rStyle w:val="FootnoteReference"/>
          <w:noProof/>
        </w:rPr>
        <w:footnoteReference w:id="2"/>
      </w:r>
      <w:r>
        <w:rPr>
          <w:rFonts w:ascii="Times New Roman" w:hAnsi="Times New Roman"/>
          <w:noProof/>
          <w:sz w:val="24"/>
        </w:rPr>
        <w:t>.</w:t>
      </w:r>
    </w:p>
    <w:p>
      <w:pPr>
        <w:spacing w:before="120" w:after="120" w:line="240" w:lineRule="auto"/>
        <w:ind w:left="850"/>
        <w:jc w:val="both"/>
        <w:rPr>
          <w:rFonts w:ascii="Times New Roman" w:hAnsi="Times New Roman"/>
          <w:noProof/>
          <w:sz w:val="24"/>
        </w:rPr>
      </w:pPr>
      <w:r>
        <w:rPr>
          <w:rFonts w:ascii="Times New Roman" w:hAnsi="Times New Roman"/>
          <w:noProof/>
          <w:sz w:val="24"/>
        </w:rPr>
        <w:t>Eurostat vurderer regelmæssigt kvaliteten af de faktiske data, som medlemsstaterne indberetter, og af de tilgrundliggende regnskaber for sektoren offentlig forvaltning og service. I oktober 2014 var det første gang, at disse regnskaber blev udarbejdet i overensstemmelse med Europa-Parlamentets og Rådets forordning (EU) nr. 549/2013 af 21. maj 2013 om det europæiske national- og regionalregnskabssystem i Den Europæiske Union (ENS 2010)</w:t>
      </w:r>
      <w:r>
        <w:rPr>
          <w:rStyle w:val="FootnoteReference"/>
          <w:noProof/>
        </w:rPr>
        <w:footnoteReference w:id="3"/>
      </w:r>
      <w:r>
        <w:rPr>
          <w:rFonts w:ascii="Times New Roman" w:hAnsi="Times New Roman"/>
          <w:noProof/>
          <w:sz w:val="24"/>
        </w:rPr>
        <w:t>. Den vurdering fokuserer på de faktorer, der forklarer det offentlige underskud/overskud og variationer i den offentlige gæld. Medlemsstaterne indsender disse oplysninger til Eurostat to gange om året i "EDP-indberetningsskemaerne", "spørgeskemaet vedrørende EDP-indberetningsskemaerne", "det supplerende skema vedrørende offentlige indgreb til støtte for finansielle institutioner" og via bilaterale redegørelser. Eurostat aflægger også regelmæssige EDP-dialogbesøg for at holde kontakt med medlemsstaterne.</w:t>
      </w:r>
    </w:p>
    <w:p>
      <w:pPr>
        <w:spacing w:before="120" w:after="120" w:line="240" w:lineRule="auto"/>
        <w:ind w:left="850"/>
        <w:jc w:val="both"/>
        <w:rPr>
          <w:rFonts w:ascii="Times New Roman" w:hAnsi="Times New Roman"/>
          <w:noProof/>
          <w:sz w:val="24"/>
        </w:rPr>
      </w:pPr>
      <w:r>
        <w:rPr>
          <w:rFonts w:ascii="Times New Roman" w:hAnsi="Times New Roman"/>
          <w:noProof/>
          <w:sz w:val="24"/>
        </w:rPr>
        <w:t>Denne rapport tager udgangspunkt i de vigtigste resultater og konstateringer vedrørende medlemsstaternes EDP-indberetninger i 2016. Den lægger særlig vægt på de seneste indberetninger i oktober 2016. Når det er hensigtsmæssigt, drages der sammenligninger med de data, der blev indsendt i april 2016 og i 2015.</w:t>
      </w:r>
    </w:p>
    <w:p>
      <w:pPr>
        <w:keepNext/>
        <w:numPr>
          <w:ilvl w:val="0"/>
          <w:numId w:val="1"/>
        </w:numPr>
        <w:spacing w:before="240" w:after="120" w:line="240" w:lineRule="auto"/>
        <w:ind w:left="851" w:hanging="851"/>
        <w:jc w:val="both"/>
        <w:outlineLvl w:val="0"/>
        <w:rPr>
          <w:rFonts w:ascii="Times New Roman" w:eastAsia="Times New Roman" w:hAnsi="Times New Roman"/>
          <w:b/>
          <w:bCs/>
          <w:smallCaps/>
          <w:noProof/>
          <w:sz w:val="24"/>
          <w:szCs w:val="28"/>
        </w:rPr>
      </w:pPr>
      <w:bookmarkStart w:id="6" w:name="_Toc342558478"/>
      <w:bookmarkStart w:id="7" w:name="_Toc442173626"/>
      <w:bookmarkStart w:id="8" w:name="_Toc474487288"/>
      <w:bookmarkStart w:id="9" w:name="_Toc474939212"/>
      <w:r>
        <w:rPr>
          <w:rFonts w:ascii="Times New Roman" w:hAnsi="Times New Roman"/>
          <w:b/>
          <w:smallCaps/>
          <w:noProof/>
          <w:sz w:val="24"/>
        </w:rPr>
        <w:t>Vigtigste konstateringer vedrørende indberetningen for 2016 af det offentlige underskud og den offentlige gæld</w:t>
      </w:r>
      <w:bookmarkEnd w:id="6"/>
      <w:bookmarkEnd w:id="7"/>
      <w:bookmarkEnd w:id="8"/>
      <w:bookmarkEnd w:id="9"/>
    </w:p>
    <w:p>
      <w:pPr>
        <w:pStyle w:val="Heading2"/>
        <w:rPr>
          <w:noProof/>
        </w:rPr>
      </w:pPr>
      <w:bookmarkStart w:id="10" w:name="_Ref149561652"/>
      <w:bookmarkStart w:id="11" w:name="_Toc342558479"/>
      <w:bookmarkStart w:id="12" w:name="_Toc442173627"/>
      <w:bookmarkStart w:id="13" w:name="_Toc474487289"/>
      <w:bookmarkStart w:id="14" w:name="_Toc474939213"/>
      <w:r>
        <w:rPr>
          <w:noProof/>
        </w:rPr>
        <w:t>Aktualitet</w:t>
      </w:r>
      <w:bookmarkEnd w:id="10"/>
      <w:r>
        <w:rPr>
          <w:noProof/>
        </w:rPr>
        <w:t>, pålidelighed og fuldstændighed</w:t>
      </w:r>
      <w:bookmarkEnd w:id="11"/>
      <w:bookmarkEnd w:id="12"/>
      <w:bookmarkEnd w:id="13"/>
      <w:bookmarkEnd w:id="14"/>
    </w:p>
    <w:p>
      <w:pPr>
        <w:pStyle w:val="Heading3"/>
        <w:rPr>
          <w:noProof/>
        </w:rPr>
      </w:pPr>
      <w:bookmarkStart w:id="15" w:name="_Toc342558480"/>
      <w:bookmarkStart w:id="16" w:name="_Toc442173628"/>
      <w:bookmarkStart w:id="17" w:name="_Toc474487290"/>
      <w:bookmarkStart w:id="18" w:name="_Toc474939214"/>
      <w:r>
        <w:rPr>
          <w:noProof/>
        </w:rPr>
        <w:t>Aktualitet</w:t>
      </w:r>
      <w:bookmarkEnd w:id="15"/>
      <w:bookmarkEnd w:id="16"/>
      <w:bookmarkEnd w:id="17"/>
      <w:bookmarkEnd w:id="18"/>
    </w:p>
    <w:p>
      <w:pPr>
        <w:spacing w:before="120" w:after="120" w:line="240" w:lineRule="auto"/>
        <w:ind w:left="850"/>
        <w:jc w:val="both"/>
        <w:rPr>
          <w:rFonts w:ascii="Times New Roman" w:hAnsi="Times New Roman"/>
          <w:noProof/>
          <w:sz w:val="24"/>
        </w:rPr>
      </w:pPr>
      <w:r>
        <w:rPr>
          <w:rFonts w:ascii="Times New Roman" w:hAnsi="Times New Roman"/>
          <w:noProof/>
          <w:sz w:val="24"/>
        </w:rPr>
        <w:t>Medlemsstaterne skal underrette Eurostat om deres faktiske og forventede EDP-data to gange om året, inden den 1. april og inden den 1. oktober</w:t>
      </w:r>
      <w:r>
        <w:rPr>
          <w:rStyle w:val="FootnoteReference"/>
          <w:noProof/>
        </w:rPr>
        <w:footnoteReference w:id="4"/>
      </w:r>
      <w:r>
        <w:rPr>
          <w:rFonts w:ascii="Times New Roman" w:hAnsi="Times New Roman"/>
          <w:noProof/>
          <w:sz w:val="24"/>
        </w:rPr>
        <w:t>. EDP-indberetningerne fra 2016 dækkede perioden 2012 til 2016. Tallene for 2016 er de af de nationale myndigheder forventede tal, mens tallene for 2012-2015 er de faktiske data</w:t>
      </w:r>
      <w:r>
        <w:rPr>
          <w:rStyle w:val="FootnoteReference"/>
          <w:rFonts w:ascii="Times New Roman" w:hAnsi="Times New Roman"/>
          <w:noProof/>
        </w:rPr>
        <w:footnoteReference w:id="5"/>
      </w:r>
      <w:r>
        <w:rPr>
          <w:rFonts w:ascii="Times New Roman" w:hAnsi="Times New Roman"/>
          <w:noProof/>
          <w:sz w:val="24"/>
        </w:rPr>
        <w:t>. I overensstemmelse med artikel 8, stk. 1, i forordning (EF) nr. 479/2009 vurderer Eurostat de faktiske data, som medlemsstaterne indberetter, men ikke de forventede data.</w:t>
      </w:r>
    </w:p>
    <w:p>
      <w:pPr>
        <w:spacing w:before="120" w:after="120" w:line="240" w:lineRule="auto"/>
        <w:ind w:left="850"/>
        <w:jc w:val="both"/>
        <w:rPr>
          <w:rFonts w:ascii="Times New Roman" w:hAnsi="Times New Roman"/>
          <w:noProof/>
          <w:sz w:val="24"/>
        </w:rPr>
      </w:pPr>
      <w:r>
        <w:rPr>
          <w:rFonts w:ascii="Times New Roman" w:hAnsi="Times New Roman"/>
          <w:noProof/>
          <w:sz w:val="24"/>
        </w:rPr>
        <w:t>Overholdelsen af indberetningsfristerne har været særdeles god. I 2016 indberettede alle medlemsstater deres faktiske data inden den fastsatte frist for begge EDP-indberetningerne.</w:t>
      </w:r>
    </w:p>
    <w:p>
      <w:pPr>
        <w:pStyle w:val="Heading3"/>
        <w:rPr>
          <w:noProof/>
        </w:rPr>
      </w:pPr>
      <w:bookmarkStart w:id="19" w:name="_Toc342558481"/>
      <w:bookmarkStart w:id="20" w:name="_Toc442173629"/>
      <w:bookmarkStart w:id="21" w:name="_Toc474487291"/>
      <w:bookmarkStart w:id="22" w:name="_Toc474939215"/>
      <w:r>
        <w:rPr>
          <w:noProof/>
        </w:rPr>
        <w:lastRenderedPageBreak/>
        <w:t>Pålidelighed</w:t>
      </w:r>
      <w:bookmarkEnd w:id="19"/>
      <w:bookmarkEnd w:id="20"/>
      <w:bookmarkEnd w:id="21"/>
      <w:bookmarkEnd w:id="22"/>
    </w:p>
    <w:p>
      <w:pPr>
        <w:spacing w:before="120" w:after="120" w:line="240" w:lineRule="auto"/>
        <w:ind w:left="850"/>
        <w:jc w:val="both"/>
        <w:rPr>
          <w:rFonts w:ascii="Times New Roman" w:hAnsi="Times New Roman"/>
          <w:noProof/>
          <w:sz w:val="24"/>
          <w:highlight w:val="yellow"/>
        </w:rPr>
      </w:pPr>
      <w:r>
        <w:rPr>
          <w:rFonts w:ascii="Times New Roman" w:hAnsi="Times New Roman"/>
          <w:noProof/>
          <w:sz w:val="24"/>
        </w:rPr>
        <w:t>De ændringer, der blev foretaget mellem EDP-indberetningerne i april 2016 og oktober 2016, skyldtes hovedsagelig opdateringer af kildedata, primært for de offentlige budgetters saldi ("working balances") og skattedata, og metodologiske ændringer såsom omklassificeringer.</w:t>
      </w:r>
    </w:p>
    <w:p>
      <w:pPr>
        <w:spacing w:before="120" w:after="120" w:line="240" w:lineRule="auto"/>
        <w:ind w:left="850"/>
        <w:jc w:val="both"/>
        <w:rPr>
          <w:rFonts w:ascii="Times New Roman" w:hAnsi="Times New Roman"/>
          <w:noProof/>
          <w:sz w:val="24"/>
        </w:rPr>
      </w:pPr>
      <w:r>
        <w:rPr>
          <w:rFonts w:ascii="Times New Roman" w:hAnsi="Times New Roman"/>
          <w:noProof/>
          <w:sz w:val="24"/>
        </w:rPr>
        <w:t>I 2015 fandt de største positive ændringer, der viste et fald i underskuddet som en procentdel af BNP, sted i Ungarn (+0,4 procentpoint), Bulgarien, Danmark, Luxembourg og Slovenien (+0,3 procentpoint) og Slovakiet og Sverige (+0,2 procentpoint). De største negative ændringer fandt sted i Estland (-0,3 procentpoint, reduceret overskud), Grækenland (-0,3 procentpoint, stigende underskud) og Den Tjekkiske Republik (-0,2 procentpoint, stigende underskud). De største opjusteringer af gældsniveauet for 2015 fandt sted i Finland (+1,1 procentpoint), Sverige (+0,8 procentpoint) og Luxembourg (+0,3 procentpoint), mens gældsniveaet i Rumænien blev nedjusteret (-0,5 procentpoint).</w:t>
      </w:r>
    </w:p>
    <w:p>
      <w:pPr>
        <w:spacing w:before="120" w:after="120" w:line="240" w:lineRule="auto"/>
        <w:ind w:left="850"/>
        <w:jc w:val="both"/>
        <w:rPr>
          <w:rFonts w:ascii="Times New Roman" w:hAnsi="Times New Roman"/>
          <w:noProof/>
          <w:sz w:val="24"/>
        </w:rPr>
      </w:pPr>
      <w:r>
        <w:rPr>
          <w:rFonts w:ascii="Times New Roman" w:hAnsi="Times New Roman"/>
          <w:noProof/>
          <w:sz w:val="24"/>
        </w:rPr>
        <w:t>Ændringer af BNP har en større nævnereffekt for den offentlige gældskvotient end for den offentlige underskudskvotient. Ændringen af BNP havde en virkning på gældskvotienten i flere medlemsstater. Der blev navnlig observeret stigninger i gældskvotienten for Spanien (+0,5 procentpoint), Frankrig og Luxembourg (+0,4 procentpoint) og Grækenland (+0,3 procentpoint) og fald i gældskvotienten for Cypern (-1,3 procentpoint), Bulgarien, Tjekkiet og Østrig (-0,7 procentpoint), Ungarn og Finland (-0,6 procentpoint) og endelig et væsentligt fald i gældskvotienten for Irland (-15,1 procentpoint)</w:t>
      </w:r>
      <w:r>
        <w:rPr>
          <w:rStyle w:val="FootnoteReference"/>
          <w:rFonts w:ascii="Times New Roman" w:hAnsi="Times New Roman"/>
          <w:noProof/>
          <w:sz w:val="24"/>
        </w:rPr>
        <w:footnoteReference w:id="6"/>
      </w:r>
      <w:r>
        <w:rPr>
          <w:rFonts w:ascii="Times New Roman" w:hAnsi="Times New Roman"/>
          <w:noProof/>
          <w:sz w:val="24"/>
        </w:rPr>
        <w:t>. Ændringen af BNP havde en begrænset virkning på underskudskvotienten i alle medlemsstater undtagen Irland (+0,4 procentpoint) og Bulgarien (+0,1 procentpoint).</w:t>
      </w:r>
    </w:p>
    <w:p>
      <w:pPr>
        <w:pStyle w:val="Heading3"/>
        <w:rPr>
          <w:noProof/>
        </w:rPr>
      </w:pPr>
      <w:bookmarkStart w:id="23" w:name="_Toc342558482"/>
      <w:bookmarkStart w:id="24" w:name="_Toc442173630"/>
      <w:bookmarkStart w:id="25" w:name="_Toc474487292"/>
      <w:bookmarkStart w:id="26" w:name="_Toc474939216"/>
      <w:r>
        <w:rPr>
          <w:noProof/>
        </w:rPr>
        <w:t>Skemaernes fuldstændighed og supplerende oplysninger</w:t>
      </w:r>
      <w:bookmarkEnd w:id="23"/>
      <w:bookmarkEnd w:id="24"/>
      <w:bookmarkEnd w:id="25"/>
      <w:bookmarkEnd w:id="26"/>
    </w:p>
    <w:p>
      <w:pPr>
        <w:spacing w:before="120" w:after="120" w:line="240" w:lineRule="auto"/>
        <w:ind w:left="850"/>
        <w:jc w:val="both"/>
        <w:rPr>
          <w:rFonts w:ascii="Times New Roman" w:hAnsi="Times New Roman"/>
          <w:i/>
          <w:noProof/>
          <w:sz w:val="24"/>
        </w:rPr>
      </w:pPr>
      <w:r>
        <w:rPr>
          <w:rFonts w:ascii="Times New Roman" w:hAnsi="Times New Roman"/>
          <w:noProof/>
          <w:sz w:val="24"/>
        </w:rPr>
        <w:t>Det er lovpligtigt at udfylde indberetningsskemaerne, og det er nødvendigt, hvis Eurostat skal vurdere datakvaliteten på en passende måde. I henhold til artikel 8, stk. 2, i forordning (EF) nr. 479/2009 skal medlemsstaterne til Eurostat indsende relevante statistiske oplysninger, der "</w:t>
      </w:r>
      <w:r>
        <w:rPr>
          <w:rFonts w:ascii="Times New Roman" w:hAnsi="Times New Roman"/>
          <w:i/>
          <w:noProof/>
          <w:sz w:val="24"/>
        </w:rPr>
        <w:t>(...) (især) omfatter (...):</w:t>
      </w:r>
    </w:p>
    <w:p>
      <w:pPr>
        <w:tabs>
          <w:tab w:val="left" w:pos="1276"/>
        </w:tabs>
        <w:spacing w:before="120" w:after="120" w:line="240" w:lineRule="auto"/>
        <w:ind w:left="850"/>
        <w:jc w:val="both"/>
        <w:rPr>
          <w:rFonts w:ascii="Times New Roman" w:hAnsi="Times New Roman"/>
          <w:i/>
          <w:noProof/>
          <w:sz w:val="24"/>
        </w:rPr>
      </w:pPr>
      <w:r>
        <w:rPr>
          <w:rFonts w:ascii="Times New Roman" w:hAnsi="Times New Roman"/>
          <w:i/>
          <w:noProof/>
          <w:sz w:val="24"/>
        </w:rPr>
        <w:t>a)</w:t>
      </w:r>
      <w:r>
        <w:rPr>
          <w:noProof/>
        </w:rPr>
        <w:tab/>
      </w:r>
      <w:r>
        <w:rPr>
          <w:rFonts w:ascii="Times New Roman" w:hAnsi="Times New Roman"/>
          <w:i/>
          <w:noProof/>
          <w:sz w:val="24"/>
        </w:rPr>
        <w:t>data fra nationalregnskaber</w:t>
      </w:r>
    </w:p>
    <w:p>
      <w:pPr>
        <w:tabs>
          <w:tab w:val="left" w:pos="1276"/>
        </w:tabs>
        <w:spacing w:before="120" w:after="120" w:line="240" w:lineRule="auto"/>
        <w:ind w:left="850"/>
        <w:jc w:val="both"/>
        <w:rPr>
          <w:rFonts w:ascii="Times New Roman" w:hAnsi="Times New Roman"/>
          <w:i/>
          <w:noProof/>
          <w:sz w:val="24"/>
        </w:rPr>
      </w:pPr>
      <w:r>
        <w:rPr>
          <w:rFonts w:ascii="Times New Roman" w:hAnsi="Times New Roman"/>
          <w:i/>
          <w:noProof/>
          <w:sz w:val="24"/>
        </w:rPr>
        <w:t>b)</w:t>
      </w:r>
      <w:r>
        <w:rPr>
          <w:noProof/>
        </w:rPr>
        <w:tab/>
      </w:r>
      <w:r>
        <w:rPr>
          <w:rFonts w:ascii="Times New Roman" w:hAnsi="Times New Roman"/>
          <w:i/>
          <w:noProof/>
          <w:sz w:val="24"/>
        </w:rPr>
        <w:t>oversigter</w:t>
      </w:r>
    </w:p>
    <w:p>
      <w:pPr>
        <w:tabs>
          <w:tab w:val="left" w:pos="1276"/>
        </w:tabs>
        <w:spacing w:before="120" w:after="120" w:line="240" w:lineRule="auto"/>
        <w:ind w:left="850"/>
        <w:jc w:val="both"/>
        <w:rPr>
          <w:rFonts w:ascii="Times New Roman" w:hAnsi="Times New Roman"/>
          <w:i/>
          <w:noProof/>
          <w:sz w:val="24"/>
        </w:rPr>
      </w:pPr>
      <w:r>
        <w:rPr>
          <w:rFonts w:ascii="Times New Roman" w:hAnsi="Times New Roman"/>
          <w:i/>
          <w:noProof/>
          <w:sz w:val="24"/>
        </w:rPr>
        <w:t>c)</w:t>
      </w:r>
      <w:r>
        <w:rPr>
          <w:noProof/>
        </w:rPr>
        <w:tab/>
      </w:r>
      <w:r>
        <w:rPr>
          <w:rFonts w:ascii="Times New Roman" w:hAnsi="Times New Roman"/>
          <w:i/>
          <w:noProof/>
          <w:sz w:val="24"/>
        </w:rPr>
        <w:t xml:space="preserve"> skemaer til indberetning af data vedrørende proceduren i forbindelse med uforholdsmæssigt store underskud</w:t>
      </w:r>
    </w:p>
    <w:p>
      <w:pPr>
        <w:tabs>
          <w:tab w:val="left" w:pos="1276"/>
        </w:tabs>
        <w:spacing w:before="120" w:after="120" w:line="240" w:lineRule="auto"/>
        <w:ind w:left="850"/>
        <w:jc w:val="both"/>
        <w:rPr>
          <w:rFonts w:ascii="Times New Roman" w:hAnsi="Times New Roman"/>
          <w:i/>
          <w:noProof/>
          <w:sz w:val="24"/>
        </w:rPr>
      </w:pPr>
      <w:r>
        <w:rPr>
          <w:rFonts w:ascii="Times New Roman" w:hAnsi="Times New Roman"/>
          <w:i/>
          <w:noProof/>
          <w:sz w:val="24"/>
        </w:rPr>
        <w:t>d)</w:t>
      </w:r>
      <w:r>
        <w:rPr>
          <w:noProof/>
        </w:rPr>
        <w:tab/>
      </w:r>
      <w:r>
        <w:rPr>
          <w:rFonts w:ascii="Times New Roman" w:hAnsi="Times New Roman"/>
          <w:i/>
          <w:noProof/>
          <w:sz w:val="24"/>
        </w:rPr>
        <w:t xml:space="preserve"> yderligere spørgeskemaer og præciseringer i forbindelse med indberetningerne."</w:t>
      </w:r>
    </w:p>
    <w:p>
      <w:pPr>
        <w:spacing w:before="120" w:after="120" w:line="240" w:lineRule="auto"/>
        <w:ind w:left="850"/>
        <w:jc w:val="both"/>
        <w:rPr>
          <w:rFonts w:ascii="Times New Roman" w:hAnsi="Times New Roman"/>
          <w:noProof/>
          <w:sz w:val="24"/>
        </w:rPr>
      </w:pPr>
      <w:r>
        <w:rPr>
          <w:rFonts w:ascii="Times New Roman" w:hAnsi="Times New Roman"/>
          <w:noProof/>
          <w:sz w:val="24"/>
        </w:rPr>
        <w:t>Der er fire centrale EDP-indberetningsskemaer. Skema 1 dækker indberetning af det offentlige overskud/underskud i alt og pr. offentlig delsektor, det samlede gældsniveau</w:t>
      </w:r>
      <w:r>
        <w:rPr>
          <w:rStyle w:val="FootnoteReference"/>
          <w:rFonts w:ascii="Times New Roman" w:hAnsi="Times New Roman"/>
          <w:noProof/>
          <w:sz w:val="24"/>
        </w:rPr>
        <w:footnoteReference w:id="7"/>
      </w:r>
      <w:r>
        <w:rPr>
          <w:rFonts w:ascii="Times New Roman" w:hAnsi="Times New Roman"/>
          <w:noProof/>
          <w:sz w:val="24"/>
        </w:rPr>
        <w:t xml:space="preserve"> og pr. kategori af finansielle instrumenter. Det dækker ligeledes BNP i markedspriser og de offentlige udgifter til faste bruttoinvesteringer og renter. Skema </w:t>
      </w:r>
      <w:r>
        <w:rPr>
          <w:rFonts w:ascii="Times New Roman" w:hAnsi="Times New Roman"/>
          <w:noProof/>
          <w:sz w:val="24"/>
        </w:rPr>
        <w:lastRenderedPageBreak/>
        <w:t>2A-2D indeholder data, der forklarer sammenhængen mellem de nationale definitioner af den offentlige saldo (benævnt "de offentlige budgetters saldo" ("working balance") i nationalregnskabsmetodologien) og overskuddet/ underskuddet for hver offentlig delsektor (benævnt "nettolångivning/nettolåntagning" i nationalregnskabsmetodologien)</w:t>
      </w:r>
      <w:r>
        <w:rPr>
          <w:rStyle w:val="FootnoteReference"/>
          <w:rFonts w:ascii="Times New Roman" w:hAnsi="Times New Roman"/>
          <w:noProof/>
          <w:sz w:val="24"/>
        </w:rPr>
        <w:footnoteReference w:id="8"/>
      </w:r>
      <w:r>
        <w:rPr>
          <w:rFonts w:ascii="Times New Roman" w:hAnsi="Times New Roman"/>
          <w:noProof/>
          <w:sz w:val="24"/>
        </w:rPr>
        <w:t>. Skema 3A-3D indeholder data, der forklarer bidragene fra det offentlige overskud/underskud og andre relevante faktorer til variationen i den offentlige gæld og konsolideringen af gælden. Skema 4 indeholder hovedsagelig data om handelskreditter og forudbetalinger</w:t>
      </w:r>
      <w:r>
        <w:rPr>
          <w:rStyle w:val="FootnoteReference"/>
          <w:noProof/>
        </w:rPr>
        <w:footnoteReference w:id="9"/>
      </w:r>
      <w:r>
        <w:rPr>
          <w:rFonts w:ascii="Times New Roman" w:hAnsi="Times New Roman"/>
          <w:noProof/>
          <w:sz w:val="24"/>
        </w:rPr>
        <w:t>. EDP-skema 1 og 2 dækker perioden 2012-2016</w:t>
      </w:r>
      <w:r>
        <w:rPr>
          <w:rStyle w:val="FootnoteReference"/>
          <w:noProof/>
        </w:rPr>
        <w:footnoteReference w:id="10"/>
      </w:r>
      <w:r>
        <w:rPr>
          <w:rFonts w:ascii="Times New Roman" w:hAnsi="Times New Roman"/>
          <w:noProof/>
          <w:sz w:val="24"/>
        </w:rPr>
        <w:t>, mens de øvrige skemaer dækker perioden 2012-2015.</w:t>
      </w:r>
    </w:p>
    <w:p>
      <w:pPr>
        <w:spacing w:before="120" w:after="120" w:line="240" w:lineRule="auto"/>
        <w:ind w:left="850"/>
        <w:jc w:val="both"/>
        <w:rPr>
          <w:rFonts w:ascii="Times New Roman" w:hAnsi="Times New Roman"/>
          <w:noProof/>
          <w:sz w:val="24"/>
        </w:rPr>
      </w:pPr>
      <w:r>
        <w:rPr>
          <w:rFonts w:ascii="Times New Roman" w:hAnsi="Times New Roman"/>
          <w:noProof/>
          <w:sz w:val="24"/>
        </w:rPr>
        <w:t>Alle medlemsstater fremsendte alle EDP-indberetningsskemaer</w:t>
      </w:r>
      <w:r>
        <w:rPr>
          <w:rStyle w:val="FootnoteReference"/>
          <w:noProof/>
        </w:rPr>
        <w:footnoteReference w:id="11"/>
      </w:r>
      <w:r>
        <w:rPr>
          <w:rFonts w:ascii="Times New Roman" w:hAnsi="Times New Roman"/>
          <w:noProof/>
          <w:sz w:val="24"/>
        </w:rPr>
        <w:t xml:space="preserve"> til Eurostat i forbindelse med EDP-indberetningerne i både april og oktober 2016. I forbindelse med indberetningen i oktober udfyldte alle medlemsstater EDP-skema 1 fuldt ud og gav oplysninger i EDP-skema 2 om sammenhængen mellem de offentlige budgetters saldo og det offentlige overskud/underskud for alle delsektorer. I Det Forenede Kongerige er de offentlige budgetters saldo opgjort efter periodiseringsprincippet, og der blev kun indberettet meget få justeringer med henblik på at ændre de offentlige budgetters saldo til overskud/underskud i overensstemmelse med ENS 2010. Nogle lande indberettede ikke alle korrektionsposterne som krævet i skemaet (Tyskland og Østrig), og en række andre lande medtog en række yderligere korrektionsposter (Italien, Nederlandene, Finland og Sverige).</w:t>
      </w:r>
    </w:p>
    <w:p>
      <w:pPr>
        <w:spacing w:before="120" w:after="120" w:line="240" w:lineRule="auto"/>
        <w:ind w:left="850"/>
        <w:jc w:val="both"/>
        <w:rPr>
          <w:rFonts w:ascii="Times New Roman" w:hAnsi="Times New Roman"/>
          <w:noProof/>
          <w:sz w:val="24"/>
        </w:rPr>
      </w:pPr>
      <w:r>
        <w:rPr>
          <w:rFonts w:ascii="Times New Roman" w:hAnsi="Times New Roman"/>
          <w:noProof/>
          <w:sz w:val="24"/>
        </w:rPr>
        <w:t>Ikke alle medlemsstater indberettede alle de krævede oplysninger i de forskellige dele af EDP-skema 3. Navnlig Østrig indberettede ikke de krævede oplysninger om aktier og andre kapitalandele, og Tyskland indberettede ikke oplysninger om finansielle derivater. Hverken Tyskland eller Østrig udfyldte justeringslinjerne vedrørende værdiansættelsen af gæld.</w:t>
      </w:r>
    </w:p>
    <w:p>
      <w:pPr>
        <w:spacing w:before="120" w:after="120" w:line="240" w:lineRule="auto"/>
        <w:ind w:left="850"/>
        <w:jc w:val="both"/>
        <w:rPr>
          <w:rFonts w:ascii="Times New Roman" w:hAnsi="Times New Roman"/>
          <w:noProof/>
          <w:sz w:val="24"/>
          <w:highlight w:val="cyan"/>
        </w:rPr>
      </w:pPr>
      <w:r>
        <w:rPr>
          <w:rFonts w:ascii="Times New Roman" w:hAnsi="Times New Roman"/>
          <w:noProof/>
          <w:sz w:val="24"/>
        </w:rPr>
        <w:t>Den offentlige beholdning af handelskreditter og forudbetalinger bør indberettes i EDP-skema 4. Der blev dog opnået fuldstændig dækning af alle offentlige delsektorer samt inden for delsektorerne i ca. halvdelen af medlemsstaterne. Belgien, Bulgarien, Tyskland, Irland, Grækenland, Frankrig, Italien, Cypern, Luxembourg, Malta, Nederlandene, Polen og Det Forenede Kongerige mærkede de data, de indberettede, som midlertidige, dvs. at de kan blive ændret i fremtidige indberetninger.</w:t>
      </w:r>
    </w:p>
    <w:p>
      <w:pPr>
        <w:spacing w:before="120" w:after="120" w:line="240" w:lineRule="auto"/>
        <w:ind w:left="850"/>
        <w:jc w:val="both"/>
        <w:rPr>
          <w:rFonts w:ascii="Times New Roman" w:hAnsi="Times New Roman"/>
          <w:noProof/>
          <w:sz w:val="24"/>
        </w:rPr>
      </w:pPr>
      <w:r>
        <w:rPr>
          <w:rFonts w:ascii="Times New Roman" w:hAnsi="Times New Roman"/>
          <w:noProof/>
          <w:sz w:val="24"/>
        </w:rPr>
        <w:t>EDP-skemaernes fuldstændighed kan stadig forbedres. De resterende problemer forventes dog at have ringe indvirkning på datakvaliteten.</w:t>
      </w:r>
    </w:p>
    <w:p>
      <w:pPr>
        <w:spacing w:before="120" w:after="120" w:line="240" w:lineRule="auto"/>
        <w:ind w:left="850"/>
        <w:jc w:val="both"/>
        <w:rPr>
          <w:rFonts w:ascii="Times New Roman" w:hAnsi="Times New Roman"/>
          <w:noProof/>
          <w:sz w:val="24"/>
        </w:rPr>
      </w:pPr>
      <w:r>
        <w:rPr>
          <w:rFonts w:ascii="Times New Roman" w:hAnsi="Times New Roman"/>
          <w:noProof/>
          <w:sz w:val="24"/>
        </w:rPr>
        <w:t>Alle medlemsstaterne besvarede "spørgeskemaet vedrørende EDP-indberetningsskemaerne"</w:t>
      </w:r>
      <w:r>
        <w:rPr>
          <w:rStyle w:val="FootnoteReference"/>
          <w:noProof/>
        </w:rPr>
        <w:footnoteReference w:id="12"/>
      </w:r>
      <w:r>
        <w:rPr>
          <w:rFonts w:ascii="Times New Roman" w:hAnsi="Times New Roman"/>
          <w:noProof/>
          <w:sz w:val="24"/>
        </w:rPr>
        <w:t xml:space="preserve">. Selv om besvarelsernes dækning og kvalitet løbende er </w:t>
      </w:r>
      <w:r>
        <w:rPr>
          <w:rFonts w:ascii="Times New Roman" w:hAnsi="Times New Roman"/>
          <w:noProof/>
          <w:sz w:val="24"/>
        </w:rPr>
        <w:lastRenderedPageBreak/>
        <w:t>blevet forbedret i forhold til tidligere år, skal der stadig gøres fremskridt, da nogle lande ikke indberettede alle de oplysninger, som krævedes i spørgeskemaet. Dette gælder især for data om den offentlige sektors fordringer og gældseftergivelser, underopdelingerne af andre forfaldne ikke-betalte mellemværender, registreringen af statsgarantier (hovedsagelig dækningen af delsektoren offentlig forvaltning) og data om kapitaltilførsler.</w:t>
      </w:r>
    </w:p>
    <w:p>
      <w:pPr>
        <w:pStyle w:val="Heading3"/>
        <w:rPr>
          <w:noProof/>
        </w:rPr>
      </w:pPr>
      <w:bookmarkStart w:id="27" w:name="_Toc342558483"/>
      <w:bookmarkStart w:id="28" w:name="_Toc442173631"/>
      <w:bookmarkStart w:id="29" w:name="_Toc474487293"/>
      <w:bookmarkStart w:id="30" w:name="_Toc474939217"/>
      <w:r>
        <w:rPr>
          <w:noProof/>
        </w:rPr>
        <w:t xml:space="preserve">Supplerende tabel for indberetning af det offentliges indgreb til støtte for </w:t>
      </w:r>
      <w:bookmarkEnd w:id="27"/>
      <w:bookmarkEnd w:id="28"/>
      <w:r>
        <w:rPr>
          <w:noProof/>
        </w:rPr>
        <w:t>finansielle institutioner</w:t>
      </w:r>
      <w:bookmarkEnd w:id="29"/>
      <w:bookmarkEnd w:id="30"/>
    </w:p>
    <w:p>
      <w:pPr>
        <w:spacing w:before="120" w:after="120" w:line="240" w:lineRule="auto"/>
        <w:ind w:left="850"/>
        <w:jc w:val="both"/>
        <w:rPr>
          <w:rFonts w:ascii="Times New Roman" w:hAnsi="Times New Roman"/>
          <w:noProof/>
          <w:sz w:val="24"/>
          <w:vertAlign w:val="superscript"/>
        </w:rPr>
      </w:pPr>
      <w:r>
        <w:rPr>
          <w:rFonts w:ascii="Times New Roman" w:hAnsi="Times New Roman"/>
          <w:noProof/>
          <w:sz w:val="24"/>
        </w:rPr>
        <w:t>Eurostat har siden den 15. juli 2009 indsamlet et sæt supplerende data om offentlige indgreb til støtte for finansielle institutioner. De data, der blev indsamlet i 2016, vedrørte perioden 2007-2015. Alle medlemsstater undtagen fem (Estland, Malta, Polen, Rumænien og Slovakiet) indberettede statslige indgreb i denne periode. I Finland (2008) og Tjekkiet (2013-2015) vedrørte de eneste indgreb, der blev indberettet, eventualforpligtelser. I 2015 var virkningerne af støtten til finansielle institutioner for underskuddet særlig stor i Grækenland (4,1 % af BNP), Portugal (1,6 % af BNP) og Slovenien (1,4 % af BNP). Eurostat offentliggjorde sideløbende med sin EDP-pressemeddelelse et baggrundsnotat, der gav flere oplysninger om indholdet af det supplerende skema og konklusioner vedrørende data</w:t>
      </w:r>
      <w:r>
        <w:rPr>
          <w:rFonts w:ascii="Times New Roman" w:hAnsi="Times New Roman"/>
          <w:noProof/>
          <w:sz w:val="24"/>
          <w:vertAlign w:val="superscript"/>
        </w:rPr>
        <w:footnoteReference w:id="13"/>
      </w:r>
      <w:r>
        <w:rPr>
          <w:rFonts w:ascii="Times New Roman" w:hAnsi="Times New Roman"/>
          <w:noProof/>
          <w:sz w:val="24"/>
        </w:rPr>
        <w:t>.</w:t>
      </w:r>
      <w:r>
        <w:rPr>
          <w:rFonts w:ascii="Times New Roman" w:hAnsi="Times New Roman"/>
          <w:noProof/>
          <w:sz w:val="24"/>
          <w:vertAlign w:val="superscript"/>
        </w:rPr>
        <w:t xml:space="preserve"> </w:t>
      </w:r>
    </w:p>
    <w:p>
      <w:pPr>
        <w:pStyle w:val="Heading3"/>
        <w:rPr>
          <w:noProof/>
        </w:rPr>
      </w:pPr>
      <w:bookmarkStart w:id="31" w:name="_Toc342558484"/>
      <w:bookmarkStart w:id="32" w:name="_Toc442173632"/>
      <w:bookmarkStart w:id="33" w:name="_Toc474487294"/>
      <w:bookmarkStart w:id="34" w:name="_Toc474939218"/>
      <w:r>
        <w:rPr>
          <w:noProof/>
        </w:rPr>
        <w:t>Spørgeskema om mellemstatslig långivning</w:t>
      </w:r>
      <w:bookmarkEnd w:id="31"/>
      <w:bookmarkEnd w:id="32"/>
      <w:bookmarkEnd w:id="33"/>
      <w:bookmarkEnd w:id="34"/>
    </w:p>
    <w:p>
      <w:pPr>
        <w:spacing w:before="120" w:after="120" w:line="240" w:lineRule="auto"/>
        <w:ind w:left="850"/>
        <w:jc w:val="both"/>
        <w:rPr>
          <w:rFonts w:ascii="Times New Roman" w:hAnsi="Times New Roman"/>
          <w:noProof/>
          <w:sz w:val="24"/>
        </w:rPr>
      </w:pPr>
      <w:r>
        <w:rPr>
          <w:rFonts w:ascii="Times New Roman" w:hAnsi="Times New Roman"/>
          <w:noProof/>
          <w:sz w:val="24"/>
        </w:rPr>
        <w:t>Medlemsstaterne leverer også data om mellemstatslig långivning, sædvanligvis i forbindelse med finansielle støtteprogrammer. Disse data og yderligere oplysninger om den europæiske finansielle stabilitetsfacilitet er en del af EDP-pressemeddelelsen. For årene 2012-2015 vedrører tallene for mellemstatslig långivning primært långivning til Grækenland, Irland og Portugal.</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Mellemstatslig långivning trækkes fra ved beregningen af EU-28- og euroområdeaggregaterne efter Maastrichtkriterierne, da begge vises på konsolideret basis. </w:t>
      </w:r>
    </w:p>
    <w:p>
      <w:pPr>
        <w:pStyle w:val="Heading2"/>
        <w:spacing w:before="240"/>
        <w:ind w:left="851" w:hanging="851"/>
        <w:rPr>
          <w:noProof/>
        </w:rPr>
      </w:pPr>
      <w:bookmarkStart w:id="35" w:name="_Toc342558485"/>
      <w:bookmarkStart w:id="36" w:name="_Toc442173633"/>
      <w:bookmarkStart w:id="37" w:name="_Toc474487295"/>
      <w:bookmarkStart w:id="38" w:name="_Toc474939219"/>
      <w:r>
        <w:rPr>
          <w:noProof/>
        </w:rPr>
        <w:t>Overholdelse af regnskabsregler og de statistiske datas konsistens</w:t>
      </w:r>
      <w:bookmarkEnd w:id="35"/>
      <w:bookmarkEnd w:id="36"/>
      <w:bookmarkEnd w:id="37"/>
      <w:bookmarkEnd w:id="38"/>
    </w:p>
    <w:p>
      <w:pPr>
        <w:pStyle w:val="Heading3"/>
        <w:rPr>
          <w:noProof/>
        </w:rPr>
      </w:pPr>
      <w:bookmarkStart w:id="39" w:name="_Toc342558486"/>
      <w:bookmarkStart w:id="40" w:name="_Toc442173634"/>
      <w:bookmarkStart w:id="41" w:name="_Toc474487296"/>
      <w:bookmarkStart w:id="42" w:name="_Toc474939220"/>
      <w:r>
        <w:rPr>
          <w:noProof/>
        </w:rPr>
        <w:t xml:space="preserve">Udveksling af oplysninger og </w:t>
      </w:r>
      <w:bookmarkEnd w:id="39"/>
      <w:bookmarkEnd w:id="40"/>
      <w:bookmarkEnd w:id="41"/>
      <w:r>
        <w:rPr>
          <w:noProof/>
        </w:rPr>
        <w:t>præciseringer</w:t>
      </w:r>
      <w:bookmarkEnd w:id="42"/>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I indberetningsperioden (mellem efterårsindberetningsfristen den 1. oktober og offentliggørelsesdatoen den 21. oktober 2016) tog Eurostat kontakt til de nationale statistikmyndigheder i alle medlemsstaterne for at anmode om yderligere oplysninger og for at præcisere, hvordan regnskabsreglerne skal anvendes i forbindelse med bestemte transaktioner. Denne proces indebar flere runder korrespondance mellem Eurostat og de nationale statistikmyndigheder. Den første runde anmodninger om præcisering blev sendt til alle medlemsstater inden den 6. oktober.  Den næste runde anmodninger blev sendt til 25 medlemsstater, den tredje runde til 13 medlemsstater og den fjerde runde til én medlemsstat. Eurostat anmodede visse medlemsstater om at fremlægge reviderede "EDP-indberetningsskemaer", reviderede skemaer for de tilgrundliggende offentlige regnskaber (dvs. det årlige forvaltningsregnskab og finansielle og ikke-finansielle kvartalsregnskaber) og et revideret "spørgeskema vedrørende EDP-indberetningsskemaerne". I de fleste tilfælde var ændringerne i de indberettede data </w:t>
      </w:r>
      <w:r>
        <w:rPr>
          <w:rFonts w:ascii="Times New Roman" w:hAnsi="Times New Roman"/>
          <w:noProof/>
          <w:sz w:val="24"/>
        </w:rPr>
        <w:lastRenderedPageBreak/>
        <w:t>fra oktober 2016-indberetningsperioden rettelser af tekniske fejl, interne uoverensstemmelser, tilpasninger i indberetningsskemaerne eller i det tilhørende spørgeskema eller uhensigtsmæssig registrering i skemaerne. Et par ændringer vedrørte en specifik metodologisk vejledning fra Eurostat eller en opdatering af kildedata.</w:t>
      </w:r>
    </w:p>
    <w:p>
      <w:pPr>
        <w:pStyle w:val="Heading3"/>
        <w:rPr>
          <w:noProof/>
        </w:rPr>
      </w:pPr>
      <w:bookmarkStart w:id="43" w:name="_Toc342558487"/>
      <w:bookmarkStart w:id="44" w:name="_Toc442173635"/>
      <w:bookmarkStart w:id="45" w:name="_Toc474487297"/>
      <w:bookmarkStart w:id="46" w:name="_Toc474939221"/>
      <w:r>
        <w:rPr>
          <w:noProof/>
        </w:rPr>
        <w:t>Dialogbesøg og metodologiske besøg</w:t>
      </w:r>
      <w:bookmarkEnd w:id="43"/>
      <w:bookmarkEnd w:id="44"/>
      <w:bookmarkEnd w:id="45"/>
      <w:bookmarkEnd w:id="46"/>
    </w:p>
    <w:p>
      <w:pPr>
        <w:spacing w:before="120" w:after="120" w:line="240" w:lineRule="auto"/>
        <w:ind w:left="850"/>
        <w:jc w:val="both"/>
        <w:rPr>
          <w:rFonts w:ascii="Times New Roman" w:hAnsi="Times New Roman"/>
          <w:noProof/>
          <w:sz w:val="24"/>
        </w:rPr>
      </w:pPr>
      <w:r>
        <w:rPr>
          <w:rFonts w:ascii="Times New Roman" w:hAnsi="Times New Roman"/>
          <w:noProof/>
          <w:sz w:val="24"/>
        </w:rPr>
        <w:t>Der er i forordning (EF) nr. 479/2009 fastsat bestemmelser om dialogbesøg og metodologiske besøg. Repræsentanter for GD for Økonomiske og Finansielle Anliggender og Den Europæiske Centralbank deltager regelmæssigt i disse besøg som observatører. Dialogbesøg i medlemsstaterne finder sted regelmæssigt (mindst hvert andet år) med henblik på at gennemgå de indberettede data, undersøge metodologiske spørgsmål, drøfte de statistiske procedurer og kilder, der er beskrevet i oversigterne, og vurdere overholdelsen af de relevante regnskabsregler (f.eks. afgrænsning af den offentlige sektor, registreringstidspunktet og klassifikationen af offentlige transaktioner og forpligtelser).</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Hyppigheden af de regelmæssige EDP-dialogbesøg i medlemsstaterne er blevet øget i de senere år. Hvis Eurostat tager et særligt vigtigt spørgsmål op med en medlemsstat, som kun kan løses ved et møde med de berørte myndigheder, kan der tilrettelægges et ad hoc-besøg eller et teknisk besøg i medlemsstaten. </w:t>
      </w:r>
    </w:p>
    <w:p>
      <w:pPr>
        <w:spacing w:before="120" w:after="120" w:line="240" w:lineRule="auto"/>
        <w:ind w:left="850"/>
        <w:jc w:val="both"/>
        <w:rPr>
          <w:rFonts w:ascii="Times New Roman" w:hAnsi="Times New Roman"/>
          <w:noProof/>
          <w:sz w:val="24"/>
        </w:rPr>
      </w:pPr>
      <w:r>
        <w:rPr>
          <w:rFonts w:ascii="Times New Roman" w:hAnsi="Times New Roman"/>
          <w:noProof/>
          <w:sz w:val="24"/>
        </w:rPr>
        <w:t>I 2016 aflagde Eurostat EDP-dialogbesøg i Belgien (den 21.-22. januar), Ungarn (den 15.-16. februar), Grækenland (den 17.-19. februar og den 22.-24. marts), Tyskland (den 25.-26. februar), Bulgarien (den 29. februar-1. marts), Luxembourg (den 15.-16. marts), Litauen (den 19.-20. maj), Malta (den 8.-10. juni), Danmark (den 19.-20. september), Portugal (den 9.-11. november) og Tjekkiet (den 22.-23. november). Der blev også aflagt tre ad hoc-besøg i Grækenland (den 27.-28. juni), Ungarn (den 22. september) og Polen (den 17.-18. november). Eurostat aflagde også et teknisk besøg (den 25.-27. januar) og et specifikt besøg (den 26.-28. september) i Østrig i forbindelse med den igangværende undersøgelse af mulig fejlindberetning af data</w:t>
      </w:r>
      <w:r>
        <w:rPr>
          <w:rStyle w:val="FootnoteReference"/>
          <w:rFonts w:ascii="Times New Roman" w:hAnsi="Times New Roman"/>
          <w:noProof/>
          <w:sz w:val="24"/>
        </w:rPr>
        <w:footnoteReference w:id="14"/>
      </w:r>
      <w:r>
        <w:rPr>
          <w:rFonts w:ascii="Times New Roman" w:hAnsi="Times New Roman"/>
          <w:noProof/>
          <w:sz w:val="24"/>
        </w:rPr>
        <w:t xml:space="preserve">. </w:t>
      </w:r>
    </w:p>
    <w:p>
      <w:pPr>
        <w:spacing w:before="120" w:after="120" w:line="240" w:lineRule="auto"/>
        <w:ind w:left="850"/>
        <w:jc w:val="both"/>
        <w:rPr>
          <w:rFonts w:ascii="Times New Roman" w:hAnsi="Times New Roman"/>
          <w:noProof/>
          <w:sz w:val="24"/>
        </w:rPr>
      </w:pPr>
      <w:r>
        <w:rPr>
          <w:rFonts w:ascii="Times New Roman" w:hAnsi="Times New Roman"/>
          <w:noProof/>
          <w:sz w:val="24"/>
        </w:rPr>
        <w:t>De endelige resultater af hvert dialogbesøg, herunder de aftalte aktionspunkter og status for de spørgsmål, som blev rejst, sendes til Det Økonomiske og Finansielle Udvalg og offentliggøres på Eurostats websted</w:t>
      </w:r>
      <w:r>
        <w:rPr>
          <w:rStyle w:val="FootnoteReference"/>
          <w:noProof/>
        </w:rPr>
        <w:footnoteReference w:id="15"/>
      </w:r>
      <w:r>
        <w:rPr>
          <w:rFonts w:ascii="Times New Roman" w:hAnsi="Times New Roman"/>
          <w:noProof/>
          <w:sz w:val="24"/>
        </w:rPr>
        <w:t>. Gennemførelsen af disse aktionspunkter har gradvist forbedret datakvaliteten betydeligt.</w:t>
      </w:r>
    </w:p>
    <w:p>
      <w:pPr>
        <w:spacing w:before="120" w:after="120" w:line="240" w:lineRule="auto"/>
        <w:ind w:left="850"/>
        <w:jc w:val="both"/>
        <w:rPr>
          <w:rFonts w:ascii="Times New Roman" w:hAnsi="Times New Roman"/>
          <w:noProof/>
          <w:sz w:val="24"/>
        </w:rPr>
      </w:pPr>
      <w:r>
        <w:rPr>
          <w:rFonts w:ascii="Times New Roman" w:hAnsi="Times New Roman"/>
          <w:noProof/>
          <w:sz w:val="24"/>
        </w:rPr>
        <w:t>Eurostat foretog ingen metodologiske besøg i 2016.</w:t>
      </w:r>
    </w:p>
    <w:p>
      <w:pPr>
        <w:pStyle w:val="Heading3"/>
        <w:rPr>
          <w:noProof/>
        </w:rPr>
      </w:pPr>
      <w:bookmarkStart w:id="47" w:name="_Toc342558488"/>
      <w:bookmarkStart w:id="48" w:name="_Toc442173636"/>
      <w:bookmarkStart w:id="49" w:name="_Toc474487298"/>
      <w:bookmarkStart w:id="50" w:name="_Toc474939222"/>
      <w:r>
        <w:rPr>
          <w:noProof/>
        </w:rPr>
        <w:t>Særlig rådgivning ydet af Eurostat</w:t>
      </w:r>
      <w:bookmarkEnd w:id="47"/>
      <w:bookmarkEnd w:id="48"/>
      <w:bookmarkEnd w:id="49"/>
      <w:bookmarkEnd w:id="50"/>
    </w:p>
    <w:p>
      <w:pPr>
        <w:spacing w:before="120" w:after="120" w:line="240" w:lineRule="auto"/>
        <w:ind w:left="850"/>
        <w:jc w:val="both"/>
        <w:rPr>
          <w:rFonts w:ascii="Times New Roman" w:hAnsi="Times New Roman"/>
          <w:noProof/>
          <w:sz w:val="24"/>
        </w:rPr>
      </w:pPr>
      <w:r>
        <w:rPr>
          <w:rFonts w:ascii="Times New Roman" w:hAnsi="Times New Roman"/>
          <w:noProof/>
          <w:sz w:val="24"/>
        </w:rPr>
        <w:t>Medlemsstaterne spørger regelmæssigt Eurostat til råds om forskellige nationalregnskabstekniske spørgsmål vedrørende fremtidige eller allerede gennemførte transaktioner. Eurostat yder rådgivning i overensstemmelse med de eksisterende offentliggjorte retningslinjer</w:t>
      </w:r>
      <w:r>
        <w:rPr>
          <w:rStyle w:val="FootnoteReference"/>
          <w:rFonts w:ascii="Times New Roman" w:hAnsi="Times New Roman"/>
          <w:noProof/>
          <w:sz w:val="24"/>
        </w:rPr>
        <w:footnoteReference w:id="16"/>
      </w:r>
      <w:r>
        <w:rPr>
          <w:rFonts w:ascii="Times New Roman" w:hAnsi="Times New Roman"/>
          <w:noProof/>
          <w:sz w:val="24"/>
        </w:rPr>
        <w:t xml:space="preserve">. Af hensyn til gennemsigtigheden har </w:t>
      </w:r>
      <w:r>
        <w:rPr>
          <w:rFonts w:ascii="Times New Roman" w:hAnsi="Times New Roman"/>
          <w:noProof/>
          <w:sz w:val="24"/>
        </w:rPr>
        <w:lastRenderedPageBreak/>
        <w:t>Eurostat siden juli offentliggjort alle sine rådgivningsskrivelser</w:t>
      </w:r>
      <w:r>
        <w:rPr>
          <w:rFonts w:ascii="Times New Roman" w:hAnsi="Times New Roman"/>
          <w:noProof/>
          <w:sz w:val="24"/>
          <w:vertAlign w:val="superscript"/>
        </w:rPr>
        <w:footnoteReference w:id="17"/>
      </w:r>
      <w:r>
        <w:rPr>
          <w:rFonts w:ascii="Times New Roman" w:hAnsi="Times New Roman"/>
          <w:noProof/>
          <w:sz w:val="24"/>
        </w:rPr>
        <w:t xml:space="preserve"> uden at indhente samtykke fra den berørte medlemsstat først, sådan som det var praksis indtil da. Der blev i alt offentliggjort 19 rådgivningsskrivelser i 2016.</w:t>
      </w:r>
    </w:p>
    <w:p>
      <w:pPr>
        <w:pStyle w:val="Heading3"/>
        <w:rPr>
          <w:noProof/>
        </w:rPr>
      </w:pPr>
      <w:bookmarkStart w:id="51" w:name="_Toc342558489"/>
      <w:bookmarkStart w:id="52" w:name="_Toc442173638"/>
      <w:bookmarkStart w:id="53" w:name="_Toc474487299"/>
      <w:bookmarkStart w:id="54" w:name="_Toc474939223"/>
      <w:r>
        <w:rPr>
          <w:noProof/>
        </w:rPr>
        <w:t>Nyere metodologiske spørgsmål</w:t>
      </w:r>
      <w:bookmarkEnd w:id="51"/>
      <w:bookmarkEnd w:id="52"/>
      <w:bookmarkEnd w:id="53"/>
      <w:bookmarkEnd w:id="54"/>
    </w:p>
    <w:p>
      <w:pPr>
        <w:spacing w:before="120" w:after="120" w:line="240" w:lineRule="auto"/>
        <w:ind w:left="850"/>
        <w:jc w:val="both"/>
        <w:rPr>
          <w:rFonts w:ascii="Times New Roman" w:hAnsi="Times New Roman"/>
          <w:noProof/>
          <w:sz w:val="24"/>
        </w:rPr>
      </w:pPr>
      <w:r>
        <w:rPr>
          <w:rFonts w:ascii="Times New Roman" w:hAnsi="Times New Roman"/>
          <w:noProof/>
          <w:sz w:val="24"/>
        </w:rPr>
        <w:t>2016-udgaven af "Manual on Government Deficit and Debt (MGDD)" blev offentliggjort den 4. marts, og den indeholder kapitler, der er bragt i overensstemmelse med ENS 2010, hvilket afspejler resultaterne fra taskforcen om metodologiske spørgsmål i 2015.</w:t>
      </w:r>
    </w:p>
    <w:p>
      <w:pPr>
        <w:spacing w:before="120" w:after="120" w:line="240" w:lineRule="auto"/>
        <w:ind w:left="850"/>
        <w:jc w:val="both"/>
        <w:rPr>
          <w:rFonts w:ascii="Times New Roman" w:hAnsi="Times New Roman" w:cs="Times New Roman"/>
          <w:noProof/>
          <w:sz w:val="24"/>
        </w:rPr>
      </w:pPr>
      <w:r>
        <w:rPr>
          <w:rFonts w:ascii="Times New Roman" w:hAnsi="Times New Roman"/>
          <w:noProof/>
          <w:sz w:val="24"/>
        </w:rPr>
        <w:t>Eurostat vurderede den korrekte anvendelse af reglerne i ENS 2010 og kontrollerede anvendelsen af dens metodologiske afgørelser ved at analysere de data, som medlemsstaterne har indberettet via "spørgeskemaet vedrørende EDP-indberetningsskemaerne", samt gennem drøftelser med de nationale statistikmyndigheder under EDP-dialogbesøgene.</w:t>
      </w:r>
    </w:p>
    <w:p>
      <w:pPr>
        <w:spacing w:before="120" w:after="120" w:line="240" w:lineRule="auto"/>
        <w:ind w:left="850"/>
        <w:jc w:val="both"/>
        <w:rPr>
          <w:rFonts w:ascii="Times New Roman" w:hAnsi="Times New Roman"/>
          <w:noProof/>
          <w:sz w:val="24"/>
        </w:rPr>
      </w:pPr>
      <w:bookmarkStart w:id="55" w:name="_Toc474487300"/>
      <w:bookmarkStart w:id="56" w:name="_Toc342558490"/>
      <w:bookmarkStart w:id="57" w:name="_Toc442173639"/>
      <w:bookmarkStart w:id="58" w:name="_Ref66503600"/>
      <w:bookmarkStart w:id="59" w:name="_Ref66503620"/>
      <w:r>
        <w:rPr>
          <w:rFonts w:ascii="Times New Roman" w:hAnsi="Times New Roman"/>
          <w:noProof/>
          <w:sz w:val="24"/>
        </w:rPr>
        <w:t>Eurostat stiller yderligere metodologisk vejledningsmateriale om regnskabsreglerne for EDP- og GFS-statistikker, der supplerer de generelle bestemmelser i ENS 2010, til rådighed. Der udsendes vejledninger under Eurostats ansvar efter høring af medlemsstaternes statistikmyndigheder. Der udsendes præciseringer under Eurostats ansvar, hvori der redegøres for regnskabsreglerne for en række meget specifikke spørgsmål.</w:t>
      </w:r>
      <w:bookmarkEnd w:id="55"/>
    </w:p>
    <w:p>
      <w:pPr>
        <w:spacing w:before="120" w:after="120" w:line="240" w:lineRule="auto"/>
        <w:ind w:left="850"/>
        <w:jc w:val="both"/>
        <w:rPr>
          <w:rFonts w:ascii="Times New Roman" w:hAnsi="Times New Roman"/>
          <w:noProof/>
          <w:sz w:val="24"/>
        </w:rPr>
      </w:pPr>
      <w:bookmarkStart w:id="60" w:name="_Toc474487301"/>
      <w:r>
        <w:rPr>
          <w:rFonts w:ascii="Times New Roman" w:hAnsi="Times New Roman"/>
          <w:noProof/>
          <w:sz w:val="24"/>
        </w:rPr>
        <w:t>Eurostat offentliggjorde tre præciseringer i 2016: "Den statistiske behandling af OPP-kontrakter" (4. marts), "statistiske konsekvenser af ny lovgivning om afvikling" (31. marts) og "statistisk registrering af bidragene til de nationale afviklingsfonde i 2015" (den 26. september).</w:t>
      </w:r>
      <w:bookmarkEnd w:id="60"/>
    </w:p>
    <w:p>
      <w:pPr>
        <w:spacing w:before="120" w:after="120" w:line="240" w:lineRule="auto"/>
        <w:ind w:left="850"/>
        <w:jc w:val="both"/>
        <w:rPr>
          <w:rFonts w:ascii="Times New Roman" w:hAnsi="Times New Roman" w:cs="Times New Roman"/>
          <w:noProof/>
          <w:sz w:val="24"/>
        </w:rPr>
      </w:pPr>
      <w:r>
        <w:rPr>
          <w:rFonts w:ascii="Times New Roman" w:hAnsi="Times New Roman"/>
          <w:noProof/>
          <w:sz w:val="24"/>
        </w:rPr>
        <w:t>Den statistiske registrering af offentlig-private partnerskaber blev også drøftet indgående, navnlig i forbindelse med Juncker-investeringsplanen for Europa. Fra Eurostats side er der gjort en stor indsats for at præcisere reglerne om OPP'er for dem, der udarbejder statistikker. Ud over det notat, der blev offentliggjort i marts, og det ajourførte kapitel om OPP'er i MGDD udsendte Eurostat i samarbejde med Den Europæiske Investeringsbank en omfattende OPP-vejledning ("A Guide to the Statistical Treatment of PPPs"</w:t>
      </w:r>
      <w:r>
        <w:rPr>
          <w:rStyle w:val="FootnoteReference"/>
          <w:rFonts w:ascii="Times New Roman" w:hAnsi="Times New Roman"/>
          <w:noProof/>
          <w:sz w:val="24"/>
        </w:rPr>
        <w:footnoteReference w:id="18"/>
      </w:r>
      <w:r>
        <w:rPr>
          <w:rFonts w:ascii="Times New Roman" w:hAnsi="Times New Roman"/>
          <w:noProof/>
          <w:sz w:val="24"/>
        </w:rPr>
        <w:t>) den 29. september.</w:t>
      </w:r>
    </w:p>
    <w:p>
      <w:pPr>
        <w:spacing w:before="120" w:after="120" w:line="240" w:lineRule="auto"/>
        <w:ind w:left="850"/>
        <w:jc w:val="both"/>
        <w:rPr>
          <w:rFonts w:ascii="Times New Roman" w:hAnsi="Times New Roman"/>
          <w:noProof/>
          <w:sz w:val="24"/>
        </w:rPr>
      </w:pPr>
      <w:bookmarkStart w:id="61" w:name="_Toc474487302"/>
      <w:r>
        <w:rPr>
          <w:rFonts w:ascii="Times New Roman" w:hAnsi="Times New Roman"/>
          <w:noProof/>
          <w:sz w:val="24"/>
        </w:rPr>
        <w:t>Der blev nedsat to arbejdsgrupper i 2016, én om revisionspolitik (den 3. marts og 24.-25. maj) og en anden om MGDD (den 13.-14. september). Sidstnævnte fokuserede på metodologiske spørgsmål, der kræver yderligere præcisering, og/eller for hvilke der kunne overvejes retningslinjer eller ajourførte MGDD-kapitler fremadrettet. Der blev endvidere afholdt tre ekspertmøder om afviklingsbidrag og indskudsgarantiordningen (den 4. juli), afviklingsselskaber (den 14. november) og giftig gæld (den 15. november).</w:t>
      </w:r>
      <w:bookmarkEnd w:id="61"/>
    </w:p>
    <w:p>
      <w:pPr>
        <w:pStyle w:val="Heading3"/>
        <w:rPr>
          <w:noProof/>
        </w:rPr>
      </w:pPr>
      <w:bookmarkStart w:id="62" w:name="_Toc474487303"/>
      <w:bookmarkStart w:id="63" w:name="_Toc474939224"/>
      <w:r>
        <w:rPr>
          <w:noProof/>
        </w:rPr>
        <w:t>Overensstemmelse med de tilgrundliggende offentlige regnskaber</w:t>
      </w:r>
      <w:bookmarkEnd w:id="56"/>
      <w:bookmarkEnd w:id="57"/>
      <w:bookmarkEnd w:id="62"/>
      <w:bookmarkEnd w:id="63"/>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Indberetningsfristerne i henhold til forordning (EF) nr. 479/2009, nemlig den 1. april og den 1. oktober, blev indført for at sikre overensstemmelse med de tilgrundliggende årlige og kvartårlige regnskaber for den offentlige sektor som </w:t>
      </w:r>
      <w:r>
        <w:rPr>
          <w:rFonts w:ascii="Times New Roman" w:hAnsi="Times New Roman"/>
          <w:noProof/>
          <w:sz w:val="24"/>
        </w:rPr>
        <w:lastRenderedPageBreak/>
        <w:t>meddelt i forskellige ENS-indberetninger til Eurostat. Eurostat kontrollerer systematisk, at EDP-indberetningerne stemmer overens med de tilgrundliggende regnskaber for den offentlige sektor. Eksempelvis bør de samlede udgifts- og indtægtsbeløb være i overensstemmelse med de indberettede underskud.</w:t>
      </w:r>
    </w:p>
    <w:p>
      <w:pPr>
        <w:spacing w:before="120" w:after="120" w:line="240" w:lineRule="auto"/>
        <w:ind w:left="850"/>
        <w:jc w:val="both"/>
        <w:rPr>
          <w:rFonts w:ascii="Times New Roman" w:hAnsi="Times New Roman"/>
          <w:noProof/>
          <w:sz w:val="24"/>
        </w:rPr>
      </w:pPr>
      <w:r>
        <w:rPr>
          <w:rFonts w:ascii="Times New Roman" w:hAnsi="Times New Roman"/>
          <w:noProof/>
          <w:sz w:val="24"/>
        </w:rPr>
        <w:t>EDP-dataene stemte som regel overens med de indberettede ENS 2010-regnskaber for den offentlige sektor, selv om både statuskontiene for finansielle aktiver og passiver (beholdninger) og de offentlige finansielle kvartalsregnskaber (ENS-skema 27) gav anledning til bekymring. Der er betydelige uoverensstemmelser for Bulgarien, Cypern, Danmark, Tyskland, Grækenland, Irland, Luxembourg, Portugal og Spanien samt mindre forskelle for Frankrig og Ungarn.</w:t>
      </w:r>
    </w:p>
    <w:p>
      <w:pPr>
        <w:spacing w:before="120" w:after="120" w:line="240" w:lineRule="auto"/>
        <w:ind w:left="850"/>
        <w:jc w:val="both"/>
        <w:rPr>
          <w:rFonts w:ascii="Times New Roman" w:hAnsi="Times New Roman"/>
          <w:noProof/>
          <w:sz w:val="24"/>
        </w:rPr>
      </w:pPr>
      <w:r>
        <w:rPr>
          <w:rFonts w:ascii="Times New Roman" w:hAnsi="Times New Roman"/>
          <w:noProof/>
          <w:sz w:val="24"/>
        </w:rPr>
        <w:t>Med hensyn til finansielle nettotransaktioner var der fortsat betydelige forskelle for Grækenland for en række år i indberetningen i oktober 2016, sådan som det var tilfældet i de tidligere meddelelser. I den forbindelse har Eurostat derfor igen trukket offentliggørelsen af ENS-skema 27 tilbage og ændret de tal for Grækenland, der anvendes for euroområde- og EU-28-aggregaterne. Det samarbejder med den græske nationalbank og ECB om at løse problemet.</w:t>
      </w:r>
    </w:p>
    <w:p>
      <w:pPr>
        <w:spacing w:before="120" w:after="120" w:line="240" w:lineRule="auto"/>
        <w:ind w:left="850"/>
        <w:jc w:val="both"/>
        <w:rPr>
          <w:rFonts w:ascii="Times New Roman" w:hAnsi="Times New Roman"/>
          <w:noProof/>
          <w:sz w:val="24"/>
        </w:rPr>
      </w:pPr>
      <w:r>
        <w:rPr>
          <w:rFonts w:ascii="Times New Roman" w:hAnsi="Times New Roman"/>
          <w:noProof/>
          <w:sz w:val="24"/>
        </w:rPr>
        <w:t>De EDP-data om overskud/underskud, faste bruttoinvesteringer og renteudgifter, som medlemsstaterne har indberettet, var i fuld overensstemmelse med de årlige og kvartalsvise data om de offentlige udgifter og indtægter (ENS-skema 2 og 25). Dataene om årlig gæld og kvartårlig offentlig gæld (ENS-skema 28) er også i fuldkommen overensstemmelse for alle medlemsstater.</w:t>
      </w:r>
    </w:p>
    <w:p>
      <w:pPr>
        <w:pStyle w:val="Heading2"/>
        <w:spacing w:before="240"/>
        <w:ind w:left="851" w:hanging="851"/>
        <w:rPr>
          <w:noProof/>
        </w:rPr>
      </w:pPr>
      <w:bookmarkStart w:id="64" w:name="_Toc342558491"/>
      <w:bookmarkStart w:id="65" w:name="_Toc442173640"/>
      <w:bookmarkStart w:id="66" w:name="_Toc474487304"/>
      <w:bookmarkStart w:id="67" w:name="_Toc474939225"/>
      <w:bookmarkEnd w:id="58"/>
      <w:bookmarkEnd w:id="59"/>
      <w:r>
        <w:rPr>
          <w:noProof/>
        </w:rPr>
        <w:t>Offentliggørelse</w:t>
      </w:r>
      <w:bookmarkEnd w:id="64"/>
      <w:bookmarkEnd w:id="65"/>
      <w:bookmarkEnd w:id="66"/>
      <w:bookmarkEnd w:id="67"/>
    </w:p>
    <w:p>
      <w:pPr>
        <w:pStyle w:val="Heading3"/>
        <w:rPr>
          <w:noProof/>
        </w:rPr>
      </w:pPr>
      <w:bookmarkStart w:id="68" w:name="_Toc342558492"/>
      <w:bookmarkStart w:id="69" w:name="_Toc442173641"/>
      <w:bookmarkStart w:id="70" w:name="_Toc474487305"/>
      <w:bookmarkStart w:id="71" w:name="_Toc474939226"/>
      <w:r>
        <w:rPr>
          <w:noProof/>
        </w:rPr>
        <w:t>Offentliggørelse af overordnede tal og detaljerede indberetningsskemaer</w:t>
      </w:r>
      <w:bookmarkEnd w:id="68"/>
      <w:bookmarkEnd w:id="69"/>
      <w:bookmarkEnd w:id="70"/>
      <w:bookmarkEnd w:id="71"/>
    </w:p>
    <w:p>
      <w:pPr>
        <w:spacing w:before="120" w:after="120" w:line="240" w:lineRule="auto"/>
        <w:ind w:left="850"/>
        <w:jc w:val="both"/>
        <w:rPr>
          <w:rFonts w:ascii="Times New Roman" w:hAnsi="Times New Roman"/>
          <w:noProof/>
          <w:sz w:val="24"/>
        </w:rPr>
      </w:pPr>
      <w:r>
        <w:rPr>
          <w:rFonts w:ascii="Times New Roman" w:hAnsi="Times New Roman"/>
          <w:noProof/>
          <w:sz w:val="24"/>
        </w:rPr>
        <w:t>I artikel 14, stk. 1, i forordning (EF) nr. 479/2009 hedder det som følger: "Kommissionen (Eurostat) fremlægger dataene om det faktiske offentlige underskud og den faktiske offentlige gæld med henblik på anvendelsen af protokollen om proceduren i forbindelse med uforholdsmæssigt store underskud senest tre uger efter udløbet af de indberetningsfrister [...]. Fremlæggelsen af dataene sker ved offentliggørelse."</w:t>
      </w:r>
    </w:p>
    <w:p>
      <w:pPr>
        <w:spacing w:before="120" w:after="120" w:line="240" w:lineRule="auto"/>
        <w:ind w:left="850"/>
        <w:jc w:val="both"/>
        <w:rPr>
          <w:rFonts w:ascii="Times New Roman" w:hAnsi="Times New Roman"/>
          <w:noProof/>
          <w:sz w:val="24"/>
        </w:rPr>
      </w:pPr>
      <w:r>
        <w:rPr>
          <w:rFonts w:ascii="Times New Roman" w:hAnsi="Times New Roman"/>
          <w:noProof/>
          <w:sz w:val="24"/>
        </w:rPr>
        <w:t>Eurostat offentliggjorde data for det offentlige underskud og den offentlige gæld på sit websted den 21. april</w:t>
      </w:r>
      <w:r>
        <w:rPr>
          <w:rFonts w:ascii="Times New Roman" w:hAnsi="Times New Roman"/>
          <w:noProof/>
          <w:sz w:val="24"/>
          <w:vertAlign w:val="superscript"/>
        </w:rPr>
        <w:footnoteReference w:id="19"/>
      </w:r>
      <w:r>
        <w:rPr>
          <w:rFonts w:ascii="Times New Roman" w:hAnsi="Times New Roman"/>
          <w:noProof/>
          <w:sz w:val="24"/>
        </w:rPr>
        <w:t xml:space="preserve"> og den 21. oktober</w:t>
      </w:r>
      <w:r>
        <w:rPr>
          <w:rFonts w:ascii="Times New Roman" w:hAnsi="Times New Roman"/>
          <w:noProof/>
          <w:sz w:val="24"/>
          <w:vertAlign w:val="superscript"/>
        </w:rPr>
        <w:footnoteReference w:id="20"/>
      </w:r>
      <w:r>
        <w:rPr>
          <w:rFonts w:ascii="Times New Roman" w:hAnsi="Times New Roman"/>
          <w:noProof/>
          <w:sz w:val="24"/>
        </w:rPr>
        <w:t xml:space="preserve"> sammen med alle de indberetningsskemaer</w:t>
      </w:r>
      <w:r>
        <w:rPr>
          <w:rStyle w:val="FootnoteReference"/>
          <w:noProof/>
        </w:rPr>
        <w:footnoteReference w:id="21"/>
      </w:r>
      <w:r>
        <w:rPr>
          <w:rFonts w:ascii="Times New Roman" w:hAnsi="Times New Roman"/>
          <w:noProof/>
          <w:sz w:val="24"/>
        </w:rPr>
        <w:t>, som medlemsstaterne havde fremsendt, tillige med oplysninger om stock-flow-tilpasning, et notat om offentlige indgreb til støtte for finansielle institutioner og et notat om beholdningen af passiver i forbindelse med handelskreditter og forudbetalinger. Kommissionen offentliggjorde ligeledes en pressemeddelelse om gælden efter Maastrichtkriterierne på kvartalsbasis, ca. t+115</w:t>
      </w:r>
      <w:r>
        <w:rPr>
          <w:rStyle w:val="FootnoteReference"/>
          <w:rFonts w:ascii="Times New Roman" w:hAnsi="Times New Roman"/>
          <w:noProof/>
          <w:sz w:val="24"/>
        </w:rPr>
        <w:footnoteReference w:id="22"/>
      </w:r>
      <w:r>
        <w:rPr>
          <w:rFonts w:ascii="Times New Roman" w:hAnsi="Times New Roman"/>
          <w:noProof/>
          <w:sz w:val="24"/>
        </w:rPr>
        <w:t xml:space="preserve"> dage, samt en pressemeddelelse om det kvartårlige offentlige underskud.</w:t>
      </w:r>
    </w:p>
    <w:p>
      <w:pPr>
        <w:spacing w:before="120" w:after="120" w:line="240" w:lineRule="auto"/>
        <w:ind w:left="850"/>
        <w:jc w:val="both"/>
        <w:rPr>
          <w:rFonts w:ascii="Times New Roman" w:hAnsi="Times New Roman"/>
          <w:noProof/>
          <w:sz w:val="24"/>
        </w:rPr>
      </w:pPr>
      <w:r>
        <w:rPr>
          <w:rFonts w:ascii="Times New Roman" w:hAnsi="Times New Roman"/>
          <w:noProof/>
          <w:sz w:val="24"/>
        </w:rPr>
        <w:lastRenderedPageBreak/>
        <w:t>I henhold til forordning (EF) nr. 479/2009 skal medlemsstaterne offentliggøre deres faktiske data om underskud og gæld. Alle medlemsstater offentliggør data om underskud og gæld på nationalt plan. De fleste medlemsstater har meddelt Eurostat, at de offentliggør alle deres EDP-skemaer. Fem medlemsstater, Bulgarien, Italien, Luxembourg, Polen og Slovakiet, offentliggør kun nogle af indberetningsskemaerne. En medlemsstat, Frankrig, offentliggør ikke nogen af EDP-skemaerne på nationalt plan.</w:t>
      </w:r>
    </w:p>
    <w:p>
      <w:pPr>
        <w:pStyle w:val="Heading3"/>
        <w:rPr>
          <w:noProof/>
        </w:rPr>
      </w:pPr>
      <w:bookmarkStart w:id="72" w:name="_Toc342558493"/>
      <w:bookmarkStart w:id="73" w:name="_Toc442173642"/>
      <w:bookmarkStart w:id="74" w:name="_Toc474487306"/>
      <w:bookmarkStart w:id="75" w:name="_Toc474939227"/>
      <w:r>
        <w:rPr>
          <w:noProof/>
        </w:rPr>
        <w:t>Forbehold vedrørende dataenes kvalitet</w:t>
      </w:r>
      <w:bookmarkEnd w:id="72"/>
      <w:bookmarkEnd w:id="73"/>
      <w:bookmarkEnd w:id="74"/>
      <w:bookmarkEnd w:id="75"/>
    </w:p>
    <w:p>
      <w:pPr>
        <w:spacing w:before="120" w:after="120" w:line="240" w:lineRule="auto"/>
        <w:ind w:left="850"/>
        <w:jc w:val="both"/>
        <w:rPr>
          <w:rFonts w:ascii="Times New Roman" w:hAnsi="Times New Roman"/>
          <w:noProof/>
          <w:sz w:val="24"/>
        </w:rPr>
      </w:pPr>
      <w:r>
        <w:rPr>
          <w:rFonts w:ascii="Times New Roman" w:hAnsi="Times New Roman"/>
          <w:noProof/>
          <w:sz w:val="24"/>
        </w:rPr>
        <w:t>Oktober 2016</w:t>
      </w:r>
    </w:p>
    <w:p>
      <w:pPr>
        <w:spacing w:before="120" w:after="120" w:line="240" w:lineRule="auto"/>
        <w:ind w:left="850"/>
        <w:jc w:val="both"/>
        <w:rPr>
          <w:rFonts w:ascii="Times New Roman" w:hAnsi="Times New Roman"/>
          <w:noProof/>
          <w:sz w:val="24"/>
        </w:rPr>
      </w:pPr>
      <w:r>
        <w:rPr>
          <w:rFonts w:ascii="Times New Roman" w:hAnsi="Times New Roman"/>
          <w:noProof/>
          <w:sz w:val="24"/>
        </w:rPr>
        <w:t>Cypern: Eurostat tog forbehold med hensyn til kvaliteten af de indberettede data fra Cypern om en række tekniske spørgsmål såsom registreringen af EU-strømme, grundlaget for de offentlige budgetters saldo, den ufuldstændige anvendelse af kildedata til periodiseret rapportering og den manglende indberetning af statistiske afvigelser i EDP-skemaer.</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Eurostat trak sine forbehold med hensyn til Frankrig tilbage og opretholdt de forbehold, som det havde givet udtryk for i EDP-pressemeddelelsen fra april 2016 med hensyn til Belgien og Ungarn (forbeholdet vedrørende Ungarn blev ændret i oktober 2016, så det kom til at omfatte en eventuel omkanalisering af de transaktioner, som den ungarske centralbank havde udført).  </w:t>
      </w:r>
    </w:p>
    <w:p>
      <w:pPr>
        <w:spacing w:before="120" w:after="120" w:line="240" w:lineRule="auto"/>
        <w:ind w:left="850"/>
        <w:jc w:val="both"/>
        <w:rPr>
          <w:rFonts w:ascii="Times New Roman" w:hAnsi="Times New Roman"/>
          <w:noProof/>
          <w:sz w:val="24"/>
        </w:rPr>
      </w:pPr>
      <w:r>
        <w:rPr>
          <w:rFonts w:ascii="Times New Roman" w:hAnsi="Times New Roman"/>
          <w:noProof/>
          <w:sz w:val="24"/>
        </w:rPr>
        <w:t>April 2016</w:t>
      </w:r>
    </w:p>
    <w:p>
      <w:pPr>
        <w:spacing w:before="120" w:after="120" w:line="240" w:lineRule="auto"/>
        <w:ind w:left="850"/>
        <w:jc w:val="both"/>
        <w:rPr>
          <w:rFonts w:ascii="Times New Roman" w:hAnsi="Times New Roman"/>
          <w:noProof/>
          <w:sz w:val="24"/>
        </w:rPr>
      </w:pPr>
      <w:r>
        <w:rPr>
          <w:rFonts w:ascii="Times New Roman" w:hAnsi="Times New Roman"/>
          <w:noProof/>
          <w:sz w:val="24"/>
        </w:rPr>
        <w:t>Belgien: Eurostat tog forbehold med hensyn til kvaliteten af de data, der var blevet indberettet af Belgien vedrørende sektorklassificeringen af hospitaler.</w:t>
      </w:r>
    </w:p>
    <w:p>
      <w:pPr>
        <w:spacing w:before="120" w:after="120" w:line="240" w:lineRule="auto"/>
        <w:ind w:left="850"/>
        <w:jc w:val="both"/>
        <w:rPr>
          <w:rFonts w:ascii="Times New Roman" w:hAnsi="Times New Roman"/>
          <w:noProof/>
          <w:sz w:val="24"/>
        </w:rPr>
      </w:pPr>
      <w:r>
        <w:rPr>
          <w:rFonts w:ascii="Times New Roman" w:hAnsi="Times New Roman"/>
          <w:noProof/>
          <w:sz w:val="24"/>
        </w:rPr>
        <w:t>Frankrig: Eurostat tog forbehold med hensyn til kvaliteten af de data, der var blevet indberettet af Frankrig vedrørende sektorklassificeringen af de franske indskudsgaranti- og afviklingsfonde i 2015, og registreringen af afviklingsomkostningerne i forbindelse med omstruktureringen af komplekse gældsinstrumenter, som de lokale myndigheder har påtaget sig.</w:t>
      </w:r>
    </w:p>
    <w:p>
      <w:pPr>
        <w:spacing w:before="120" w:after="120" w:line="240" w:lineRule="auto"/>
        <w:ind w:left="850"/>
        <w:jc w:val="both"/>
        <w:rPr>
          <w:rFonts w:ascii="Times New Roman" w:hAnsi="Times New Roman"/>
          <w:noProof/>
          <w:sz w:val="24"/>
        </w:rPr>
      </w:pPr>
      <w:r>
        <w:rPr>
          <w:rFonts w:ascii="Times New Roman" w:hAnsi="Times New Roman"/>
          <w:noProof/>
          <w:sz w:val="24"/>
        </w:rPr>
        <w:t>Ungarn: Eurostat tog forbehold med hensyn til kvaliteten af de data, der var blevet indberettet af Ungarn vedrørende sektorklassificeringen af Eximbank.</w:t>
      </w:r>
    </w:p>
    <w:p>
      <w:pPr>
        <w:spacing w:before="120" w:after="120" w:line="240" w:lineRule="auto"/>
        <w:ind w:left="850"/>
        <w:jc w:val="both"/>
        <w:rPr>
          <w:rFonts w:ascii="Times New Roman" w:hAnsi="Times New Roman"/>
          <w:noProof/>
          <w:sz w:val="24"/>
        </w:rPr>
      </w:pPr>
      <w:r>
        <w:rPr>
          <w:rFonts w:ascii="Times New Roman" w:hAnsi="Times New Roman"/>
          <w:noProof/>
          <w:sz w:val="24"/>
        </w:rPr>
        <w:t>Eurostat trak de forbehold med hensyn til Østrig, som det havde givet udtryk for i sin pressemeddelelse af 21. oktober 2015, tilbage.</w:t>
      </w:r>
    </w:p>
    <w:p>
      <w:pPr>
        <w:pStyle w:val="Heading3"/>
        <w:rPr>
          <w:noProof/>
        </w:rPr>
      </w:pPr>
      <w:bookmarkStart w:id="76" w:name="_Toc342558494"/>
      <w:bookmarkStart w:id="77" w:name="_Toc442173643"/>
      <w:bookmarkStart w:id="78" w:name="_Toc474487307"/>
      <w:bookmarkStart w:id="79" w:name="_Toc474939228"/>
      <w:r>
        <w:rPr>
          <w:noProof/>
        </w:rPr>
        <w:t>Ændring af de indberettede data</w:t>
      </w:r>
      <w:bookmarkEnd w:id="76"/>
      <w:bookmarkEnd w:id="77"/>
      <w:bookmarkEnd w:id="78"/>
      <w:bookmarkEnd w:id="79"/>
    </w:p>
    <w:p>
      <w:pPr>
        <w:spacing w:before="120" w:after="120" w:line="240" w:lineRule="auto"/>
        <w:ind w:left="850"/>
        <w:jc w:val="both"/>
        <w:rPr>
          <w:rFonts w:ascii="Times New Roman" w:hAnsi="Times New Roman"/>
          <w:noProof/>
          <w:sz w:val="24"/>
        </w:rPr>
      </w:pPr>
      <w:r>
        <w:rPr>
          <w:rFonts w:ascii="Times New Roman" w:hAnsi="Times New Roman"/>
          <w:noProof/>
          <w:sz w:val="24"/>
        </w:rPr>
        <w:t>Eurostat har ikke ændret de data, som medlemsstaterne indberettede i EDP-indberetningerne i april eller oktober 2016.</w:t>
      </w:r>
    </w:p>
    <w:p>
      <w:pPr>
        <w:pStyle w:val="Heading3"/>
        <w:rPr>
          <w:noProof/>
        </w:rPr>
      </w:pPr>
      <w:bookmarkStart w:id="80" w:name="_Toc442173644"/>
      <w:bookmarkStart w:id="81" w:name="_Toc342558495"/>
      <w:bookmarkStart w:id="82" w:name="_Toc474487308"/>
      <w:bookmarkStart w:id="83" w:name="_Toc474939229"/>
      <w:r>
        <w:rPr>
          <w:noProof/>
        </w:rPr>
        <w:t>Offentliggørelse af metadata (oversigter</w:t>
      </w:r>
      <w:r>
        <w:rPr>
          <w:noProof/>
          <w:vertAlign w:val="superscript"/>
        </w:rPr>
        <w:footnoteReference w:id="23"/>
      </w:r>
      <w:bookmarkEnd w:id="80"/>
      <w:r>
        <w:rPr>
          <w:noProof/>
        </w:rPr>
        <w:t>)</w:t>
      </w:r>
      <w:bookmarkEnd w:id="81"/>
      <w:bookmarkEnd w:id="82"/>
      <w:bookmarkEnd w:id="83"/>
    </w:p>
    <w:p>
      <w:pPr>
        <w:spacing w:before="120" w:after="120" w:line="240" w:lineRule="auto"/>
        <w:ind w:left="850"/>
        <w:jc w:val="both"/>
        <w:rPr>
          <w:rFonts w:ascii="Times New Roman" w:hAnsi="Times New Roman"/>
          <w:noProof/>
          <w:sz w:val="24"/>
        </w:rPr>
      </w:pPr>
      <w:r>
        <w:rPr>
          <w:rFonts w:ascii="Times New Roman" w:hAnsi="Times New Roman"/>
          <w:noProof/>
          <w:sz w:val="24"/>
        </w:rPr>
        <w:t>Det fremgår af forordning (EF) nr. 479/2009, at EDP-oversigterne er en del af de statistiske oplysninger, som medlemsstaterne skal levere. I henhold til forordningen skal EDP-oversigterne også offentliggøres nationalt.</w:t>
      </w:r>
    </w:p>
    <w:p>
      <w:pPr>
        <w:spacing w:before="120" w:after="120" w:line="240" w:lineRule="auto"/>
        <w:ind w:left="850"/>
        <w:jc w:val="both"/>
        <w:rPr>
          <w:rFonts w:ascii="Times New Roman" w:eastAsia="Times New Roman" w:hAnsi="Times New Roman"/>
          <w:b/>
          <w:bCs/>
          <w:smallCaps/>
          <w:noProof/>
          <w:sz w:val="24"/>
          <w:szCs w:val="28"/>
        </w:rPr>
      </w:pPr>
      <w:r>
        <w:rPr>
          <w:rFonts w:ascii="Times New Roman" w:hAnsi="Times New Roman"/>
          <w:noProof/>
          <w:sz w:val="24"/>
        </w:rPr>
        <w:t xml:space="preserve">Eurostat har ændret formatet for EDP-oversigter og foretaget strukturelle ændringer og indført krav om mere detaljerede oplysninger. Den nye skabelon for oversigter, der er tilpasset ENS 2010, er blevet godkendt, og ved udgangen af 2016 havde </w:t>
      </w:r>
      <w:r>
        <w:rPr>
          <w:rFonts w:ascii="Times New Roman" w:hAnsi="Times New Roman"/>
          <w:noProof/>
          <w:sz w:val="24"/>
        </w:rPr>
        <w:lastRenderedPageBreak/>
        <w:t xml:space="preserve">Eurostat offentliggjort reviderede oversigter for mere end to tredjedele af medlemsstaterne. </w:t>
      </w:r>
      <w:bookmarkStart w:id="84" w:name="_Toc342558496"/>
      <w:bookmarkStart w:id="85" w:name="_Toc442173645"/>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bookmarkStart w:id="86" w:name="_Toc474487309"/>
      <w:bookmarkStart w:id="87" w:name="_Toc474939230"/>
      <w:r>
        <w:rPr>
          <w:rFonts w:ascii="Times New Roman" w:hAnsi="Times New Roman"/>
          <w:b/>
          <w:smallCaps/>
          <w:noProof/>
          <w:sz w:val="24"/>
        </w:rPr>
        <w:t>Konklusioner</w:t>
      </w:r>
      <w:bookmarkEnd w:id="84"/>
      <w:bookmarkEnd w:id="85"/>
      <w:bookmarkEnd w:id="86"/>
      <w:bookmarkEnd w:id="87"/>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Eurostat anerkender de fortsatte generelle forbedringer i de indberettede datas konsistens og fuldstændighed. Budgetdataenes kvalitet skal dog forbedres yderligere. I 2016 har Eurostat intensiveret de bilaterale redegørelser i forbindelse med vurderingen af EDP-indberetningerne. Det styrkede også kontakterne og samrådet med medlemsstaterne mellem indberetningerne. Hyppigheden af dialogbesøgene er steget. Offentliggørelsen af alle Eurostats metodologiske skrivelser med rådgivning har forbedret vidensdelingen og gennemsigtigheden. </w:t>
      </w:r>
    </w:p>
    <w:p>
      <w:pPr>
        <w:spacing w:before="120" w:after="120" w:line="240" w:lineRule="auto"/>
        <w:ind w:left="850"/>
        <w:jc w:val="both"/>
        <w:rPr>
          <w:rFonts w:ascii="Times New Roman" w:hAnsi="Times New Roman"/>
          <w:noProof/>
          <w:sz w:val="24"/>
        </w:rPr>
      </w:pPr>
      <w:r>
        <w:rPr>
          <w:rFonts w:ascii="Times New Roman" w:hAnsi="Times New Roman"/>
          <w:noProof/>
          <w:sz w:val="24"/>
        </w:rPr>
        <w:t>Der er fortsat visse konsistensproblemer med de finansielle kvartalsregnskaber i nogle medlemsstater, navnlig i Grækenland.</w:t>
      </w:r>
    </w:p>
    <w:p>
      <w:pPr>
        <w:spacing w:before="120" w:after="120" w:line="240" w:lineRule="auto"/>
        <w:ind w:left="850"/>
        <w:jc w:val="both"/>
        <w:rPr>
          <w:rFonts w:ascii="Times New Roman" w:hAnsi="Times New Roman"/>
          <w:noProof/>
          <w:sz w:val="24"/>
        </w:rPr>
      </w:pPr>
      <w:r>
        <w:rPr>
          <w:rFonts w:ascii="Times New Roman" w:hAnsi="Times New Roman"/>
          <w:noProof/>
          <w:sz w:val="24"/>
        </w:rPr>
        <w:t>I 2016 tog Eurostat fire forbehold vedrørende kvaliteten af de data, der blev indberettet af medlemsstaterne. De vedrørte Belgien, Frankrig og Ungarn i EDP-indberetningen i april og Cypern i EDP-indberetningen i oktober.  Eurostat trak sine forbehold vedrørende Østrig (april 2016) og Frankrig (oktober 2016) tilbage og opretholdt forbeholdene vedrørende Belgien og Ungarn (oktober 2016).</w:t>
      </w:r>
    </w:p>
    <w:p>
      <w:pPr>
        <w:spacing w:before="120" w:after="120" w:line="240" w:lineRule="auto"/>
        <w:ind w:left="850"/>
        <w:jc w:val="both"/>
        <w:rPr>
          <w:rFonts w:ascii="Times New Roman" w:hAnsi="Times New Roman"/>
          <w:noProof/>
          <w:sz w:val="24"/>
        </w:rPr>
      </w:pPr>
      <w:r>
        <w:rPr>
          <w:rFonts w:ascii="Times New Roman" w:hAnsi="Times New Roman"/>
          <w:noProof/>
          <w:sz w:val="24"/>
        </w:rPr>
        <w:t>Ændringen af tidligere data om underskud og gæld skyldtes hovedsagelig opdateringer af kildedata og omklassificering af enheder samt metodologiske anmodninger om rådgivning.</w:t>
      </w:r>
    </w:p>
    <w:p>
      <w:pPr>
        <w:spacing w:before="120" w:after="120" w:line="240" w:lineRule="auto"/>
        <w:ind w:left="850"/>
        <w:jc w:val="both"/>
        <w:rPr>
          <w:rFonts w:ascii="Times New Roman" w:hAnsi="Times New Roman"/>
          <w:noProof/>
          <w:sz w:val="24"/>
        </w:rPr>
      </w:pPr>
      <w:r>
        <w:rPr>
          <w:rFonts w:ascii="Times New Roman" w:hAnsi="Times New Roman"/>
          <w:noProof/>
          <w:sz w:val="24"/>
        </w:rPr>
        <w:t>Alt i alt konkluderer Eurostat, at kvaliteten af indberetningen af budgetdata igen blev forbedret i 2016. Generelt har medlemsstaterne leveret oplysninger, som er af højere kvalitet og mere fuldstændige, både i EDP-indberetningsskemaerne og i andre statistiske indberetninger.</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76819"/>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rPr>
          <w:rFonts w:ascii="Times New Roman" w:hAnsi="Times New Roman"/>
          <w:lang w:val="pt-PT"/>
        </w:rPr>
      </w:pPr>
      <w:r>
        <w:rPr>
          <w:rStyle w:val="FootnoteReference"/>
          <w:rFonts w:ascii="Times New Roman" w:hAnsi="Times New Roman"/>
        </w:rPr>
        <w:footnoteRef/>
      </w:r>
      <w:r>
        <w:rPr>
          <w:lang w:val="pt-PT"/>
        </w:rPr>
        <w:tab/>
      </w:r>
      <w:r>
        <w:rPr>
          <w:rFonts w:ascii="Times New Roman" w:hAnsi="Times New Roman"/>
          <w:lang w:val="pt-PT"/>
        </w:rPr>
        <w:t>EUT L 145 af 10.6.2009, s. 1.</w:t>
      </w:r>
    </w:p>
  </w:footnote>
  <w:footnote w:id="2">
    <w:p>
      <w:pPr>
        <w:pStyle w:val="FootnoteText"/>
        <w:spacing w:after="0" w:line="240" w:lineRule="auto"/>
        <w:rPr>
          <w:rFonts w:ascii="Times New Roman" w:hAnsi="Times New Roman"/>
          <w:lang w:val="pt-PT"/>
        </w:rPr>
      </w:pPr>
      <w:r>
        <w:rPr>
          <w:rStyle w:val="FootnoteReference"/>
          <w:rFonts w:ascii="Times New Roman" w:hAnsi="Times New Roman"/>
        </w:rPr>
        <w:footnoteRef/>
      </w:r>
      <w:r>
        <w:rPr>
          <w:lang w:val="pt-PT"/>
        </w:rPr>
        <w:tab/>
      </w:r>
      <w:r>
        <w:rPr>
          <w:rFonts w:ascii="Times New Roman" w:hAnsi="Times New Roman"/>
          <w:lang w:val="pt-PT"/>
        </w:rPr>
        <w:t>COM(2016) 164 final.</w:t>
      </w:r>
    </w:p>
  </w:footnote>
  <w:footnote w:id="3">
    <w:p>
      <w:pPr>
        <w:pStyle w:val="FootnoteText"/>
        <w:spacing w:after="0" w:line="240" w:lineRule="auto"/>
        <w:rPr>
          <w:rFonts w:ascii="Times New Roman" w:hAnsi="Times New Roman"/>
        </w:rPr>
      </w:pPr>
      <w:r>
        <w:rPr>
          <w:rFonts w:ascii="Times New Roman" w:hAnsi="Times New Roman"/>
          <w:vertAlign w:val="superscript"/>
        </w:rPr>
        <w:footnoteRef/>
      </w:r>
      <w:r>
        <w:tab/>
      </w:r>
      <w:r>
        <w:rPr>
          <w:rFonts w:ascii="Times New Roman" w:hAnsi="Times New Roman"/>
        </w:rPr>
        <w:t>EUT L 174 af 26.6.2013, s. 1.</w:t>
      </w:r>
    </w:p>
  </w:footnote>
  <w:footnote w:id="4">
    <w:p>
      <w:pPr>
        <w:pStyle w:val="FootnoteText"/>
        <w:spacing w:after="0" w:line="240" w:lineRule="auto"/>
        <w:rPr>
          <w:rFonts w:ascii="Times New Roman" w:hAnsi="Times New Roman"/>
        </w:rPr>
      </w:pPr>
      <w:r>
        <w:rPr>
          <w:rFonts w:ascii="Times New Roman" w:hAnsi="Times New Roman"/>
          <w:vertAlign w:val="superscript"/>
        </w:rPr>
        <w:footnoteRef/>
      </w:r>
      <w:r>
        <w:tab/>
      </w:r>
      <w:r>
        <w:rPr>
          <w:rFonts w:ascii="Times New Roman" w:hAnsi="Times New Roman"/>
        </w:rPr>
        <w:t>Artikel 3, stk. 1 og 3, i forordning (EF) nr. 479/2009.</w:t>
      </w:r>
    </w:p>
  </w:footnote>
  <w:footnote w:id="5">
    <w:p>
      <w:pPr>
        <w:pStyle w:val="FootnoteText"/>
        <w:spacing w:after="0" w:line="240" w:lineRule="auto"/>
        <w:rPr>
          <w:rFonts w:ascii="Times New Roman" w:hAnsi="Times New Roman"/>
        </w:rPr>
      </w:pPr>
      <w:r>
        <w:rPr>
          <w:rFonts w:ascii="Times New Roman" w:hAnsi="Times New Roman"/>
          <w:vertAlign w:val="superscript"/>
        </w:rPr>
        <w:footnoteRef/>
      </w:r>
      <w:r>
        <w:tab/>
      </w:r>
      <w:r>
        <w:rPr>
          <w:rFonts w:ascii="Times New Roman" w:hAnsi="Times New Roman"/>
        </w:rPr>
        <w:t>Faktiske data kan være endelige, næsten endelige eller estimerede tal.</w:t>
      </w:r>
    </w:p>
  </w:footnote>
  <w:footnote w:id="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http://ec.europa.eu/eurostat/documents/24987/6390465/Irish_GDP_communication.pdf</w:t>
        </w:r>
      </w:hyperlink>
      <w:r>
        <w:rPr>
          <w:rFonts w:ascii="Times New Roman" w:hAnsi="Times New Roman"/>
        </w:rPr>
        <w:t xml:space="preserve"> </w:t>
      </w:r>
    </w:p>
  </w:footnote>
  <w:footnote w:id="7">
    <w:p>
      <w:pPr>
        <w:pStyle w:val="FootnoteText"/>
        <w:tabs>
          <w:tab w:val="left" w:pos="851"/>
        </w:tabs>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I henhold til protokollen om proceduren i forbindelse med uforholdsmæssigt store underskud, der er knyttet som bilag til traktaten om Den Europæiske Unions funktionsmåde, er den offentlige gæld hele den offentlige sektors konsoliderede bruttogæld, der er udstående ved årets afslutning (til pålydende værdi). I henhold til forordning (EF) nr. 479/2009 indbefatter den offentlige gæld sedler og mønt samt indskud (AF.2), gældsværdipapirer (AF.3) og lån (AF.4) som defineret i ENS 2010. </w:t>
      </w:r>
    </w:p>
  </w:footnote>
  <w:footnote w:id="8">
    <w:p>
      <w:pPr>
        <w:pStyle w:val="FootnoteText"/>
        <w:tabs>
          <w:tab w:val="left" w:pos="851"/>
        </w:tabs>
        <w:spacing w:after="0" w:line="240" w:lineRule="auto"/>
        <w:jc w:val="both"/>
        <w:rPr>
          <w:rFonts w:ascii="Times New Roman" w:hAnsi="Times New Roman"/>
          <w:lang w:val="nn-NO"/>
        </w:rPr>
      </w:pPr>
      <w:r>
        <w:rPr>
          <w:rStyle w:val="FootnoteReference"/>
          <w:rFonts w:ascii="Times New Roman" w:hAnsi="Times New Roman"/>
        </w:rPr>
        <w:footnoteRef/>
      </w:r>
      <w:r>
        <w:rPr>
          <w:rFonts w:ascii="Times New Roman" w:hAnsi="Times New Roman"/>
          <w:lang w:val="nn-NO"/>
        </w:rPr>
        <w:t xml:space="preserve">               Artikel 3, stk. 2, i forordning (EF) nr. 479/2009.</w:t>
      </w:r>
    </w:p>
  </w:footnote>
  <w:footnote w:id="9">
    <w:p>
      <w:pPr>
        <w:pStyle w:val="FootnoteText"/>
        <w:spacing w:after="0" w:line="240" w:lineRule="auto"/>
        <w:rPr>
          <w:rFonts w:ascii="Times New Roman" w:hAnsi="Times New Roman"/>
        </w:rPr>
      </w:pPr>
      <w:r>
        <w:rPr>
          <w:rStyle w:val="FootnoteReference"/>
          <w:rFonts w:ascii="Times New Roman" w:hAnsi="Times New Roman"/>
        </w:rPr>
        <w:footnoteRef/>
      </w:r>
      <w:r>
        <w:tab/>
      </w:r>
      <w:r>
        <w:rPr>
          <w:rFonts w:ascii="Times New Roman" w:hAnsi="Times New Roman"/>
        </w:rPr>
        <w:t xml:space="preserve">  Se erklæringerne til Rådets mødeprotokol af 22. november 1993:  </w:t>
      </w:r>
      <w:hyperlink r:id="rId2">
        <w:r>
          <w:rPr>
            <w:rStyle w:val="Hyperlink"/>
            <w:rFonts w:ascii="Times New Roman" w:hAnsi="Times New Roman"/>
          </w:rPr>
          <w:t>https://webgate.ec.europa.eu/fpfis/mwikis/gfs/images/e/e7/Statements_9817.en93.pdf</w:t>
        </w:r>
      </w:hyperlink>
    </w:p>
  </w:footnote>
  <w:footnote w:id="10">
    <w:p>
      <w:pPr>
        <w:pStyle w:val="FootnoteText"/>
        <w:spacing w:after="0" w:line="240" w:lineRule="auto"/>
        <w:jc w:val="both"/>
        <w:rPr>
          <w:rFonts w:ascii="Times New Roman" w:hAnsi="Times New Roman"/>
        </w:rPr>
      </w:pPr>
      <w:r>
        <w:rPr>
          <w:rStyle w:val="FootnoteReference"/>
          <w:rFonts w:ascii="Times New Roman" w:hAnsi="Times New Roman"/>
        </w:rPr>
        <w:footnoteRef/>
      </w:r>
      <w:r>
        <w:tab/>
      </w:r>
      <w:r>
        <w:rPr>
          <w:rFonts w:ascii="Times New Roman" w:hAnsi="Times New Roman"/>
        </w:rPr>
        <w:t xml:space="preserve">  I henhold til Rådets forordning (EF) nr. 479/2009 kræves det kun eksplicit, at medlemsstaterne fremlægger forventede data i EDP-skema 1 og 2A.</w:t>
      </w:r>
    </w:p>
  </w:footnote>
  <w:footnote w:id="11">
    <w:p>
      <w:pPr>
        <w:pStyle w:val="FootnoteText"/>
        <w:tabs>
          <w:tab w:val="left" w:pos="851"/>
        </w:tabs>
        <w:spacing w:after="0" w:line="240" w:lineRule="auto"/>
        <w:jc w:val="both"/>
        <w:rPr>
          <w:rFonts w:ascii="Times New Roman" w:hAnsi="Times New Roman"/>
        </w:rPr>
      </w:pPr>
      <w:r>
        <w:rPr>
          <w:rStyle w:val="FootnoteReference"/>
        </w:rPr>
        <w:footnoteRef/>
      </w:r>
      <w:r>
        <w:tab/>
      </w:r>
      <w:r>
        <w:rPr>
          <w:rFonts w:ascii="Times New Roman" w:hAnsi="Times New Roman"/>
        </w:rPr>
        <w:t xml:space="preserve">Medlemsstaternes EDP-indberetningsskemaer findes på Eurostats websted: </w:t>
      </w:r>
      <w:hyperlink r:id="rId3">
        <w:r>
          <w:rPr>
            <w:rStyle w:val="Hyperlink"/>
            <w:rFonts w:ascii="Times New Roman" w:hAnsi="Times New Roman"/>
          </w:rPr>
          <w:t>http://ec.europa.eu/eurostat/web/government-finance-statistics/excessive-deficit-procedure/edp-notification-tables</w:t>
        </w:r>
      </w:hyperlink>
    </w:p>
  </w:footnote>
  <w:footnote w:id="12">
    <w:p>
      <w:pPr>
        <w:pStyle w:val="FootnoteText"/>
        <w:spacing w:after="0" w:line="240" w:lineRule="auto"/>
        <w:jc w:val="both"/>
        <w:rPr>
          <w:rFonts w:ascii="Times New Roman" w:hAnsi="Times New Roman"/>
        </w:rPr>
      </w:pPr>
      <w:r>
        <w:rPr>
          <w:rStyle w:val="FootnoteReference"/>
        </w:rPr>
        <w:footnoteRef/>
      </w:r>
      <w:r>
        <w:tab/>
      </w:r>
      <w:r>
        <w:rPr>
          <w:rFonts w:ascii="Times New Roman" w:hAnsi="Times New Roman"/>
        </w:rPr>
        <w:t xml:space="preserve">  Spørgeskemaet omfatter 13 dele, hvor der anmodes om kvantitative og undertiden kvalitative oplysninger inden for flere områder, bl.a. transaktioner i forbindelse med skatter og bidrag til sociale ordninger og med EU, afholdelse af militærudgifter, statsgarantier, gældseftergivelser, offentlige kapitaltilførsler til offentlige selskaber, offentlig-private partnerskaber, omkanalisering af transaktioner osv.</w:t>
      </w:r>
    </w:p>
  </w:footnote>
  <w:footnote w:id="13">
    <w:p>
      <w:pPr>
        <w:pStyle w:val="FootnoteText"/>
        <w:spacing w:after="0" w:line="240" w:lineRule="auto"/>
        <w:rPr>
          <w:rFonts w:ascii="Times New Roman" w:hAnsi="Times New Roman"/>
        </w:rPr>
      </w:pPr>
      <w:r>
        <w:rPr>
          <w:rStyle w:val="FootnoteReference"/>
        </w:rPr>
        <w:footnoteRef/>
      </w:r>
      <w:r>
        <w:tab/>
      </w:r>
      <w:r>
        <w:rPr>
          <w:rFonts w:ascii="Times New Roman" w:hAnsi="Times New Roman"/>
        </w:rPr>
        <w:t xml:space="preserve">  Se: </w:t>
      </w:r>
      <w:hyperlink r:id="rId4">
        <w:r>
          <w:rPr>
            <w:rStyle w:val="Hyperlink"/>
            <w:rFonts w:ascii="Times New Roman" w:hAnsi="Times New Roman"/>
          </w:rPr>
          <w:t>http://ec.europa.eu/eurostat/documents/1015035/2022710/Background-note-on-gov-interventions-OCT-2016-final.pdf</w:t>
        </w:r>
      </w:hyperlink>
      <w:r>
        <w:rPr>
          <w:rFonts w:ascii="Times New Roman" w:hAnsi="Times New Roman"/>
        </w:rPr>
        <w:t xml:space="preserve"> </w:t>
      </w:r>
    </w:p>
  </w:footnote>
  <w:footnote w:id="1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Kommissionens afgørelse C(2016) 2633 final af 3. maj 2016 om iværksættelse af en undersøgelse i forbindelse med manipulation af statistikker i Østrig som omhandlet i Europa-Parlamentets og Rådets forordning (EU) nr. 1173/2011 om en effektiv håndhævelse af budgetovervågningen i euroområdet.</w:t>
      </w:r>
    </w:p>
  </w:footnote>
  <w:footnote w:id="15">
    <w:p>
      <w:pPr>
        <w:pStyle w:val="FootnoteText"/>
        <w:spacing w:after="0" w:line="240" w:lineRule="auto"/>
        <w:rPr>
          <w:rFonts w:ascii="Times New Roman" w:hAnsi="Times New Roman"/>
        </w:rPr>
      </w:pPr>
      <w:r>
        <w:rPr>
          <w:rFonts w:ascii="Times New Roman" w:hAnsi="Times New Roman"/>
          <w:vertAlign w:val="superscript"/>
        </w:rPr>
        <w:footnoteRef/>
      </w:r>
      <w:r>
        <w:rPr>
          <w:rFonts w:ascii="Times New Roman" w:hAnsi="Times New Roman"/>
        </w:rPr>
        <w:t xml:space="preserve">              Se: </w:t>
      </w:r>
      <w:hyperlink r:id="rId5">
        <w:r>
          <w:rPr>
            <w:rStyle w:val="Hyperlink"/>
            <w:rFonts w:ascii="Times New Roman" w:hAnsi="Times New Roman"/>
          </w:rPr>
          <w:t>http://ec.europa.eu/eurostat/web/government-finance-statistics/excessive-deficit-procedure/eurostat-edp-visits-to-member-states</w:t>
        </w:r>
      </w:hyperlink>
      <w:r>
        <w:rPr>
          <w:rFonts w:ascii="Times New Roman" w:hAnsi="Times New Roman"/>
        </w:rPr>
        <w:t xml:space="preserve">  </w:t>
      </w:r>
    </w:p>
  </w:footnote>
  <w:footnote w:id="16">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Se: </w:t>
      </w:r>
      <w:hyperlink r:id="rId6">
        <w:r>
          <w:rPr>
            <w:rStyle w:val="Hyperlink"/>
            <w:rFonts w:ascii="Times New Roman" w:hAnsi="Times New Roman"/>
          </w:rPr>
          <w:t>http://ec.europa.eu/eurostat/web/government-finance-statistics/methodology/guidance-on-accounting-rules</w:t>
        </w:r>
      </w:hyperlink>
    </w:p>
  </w:footnote>
  <w:footnote w:id="17">
    <w:p>
      <w:pPr>
        <w:pStyle w:val="FootnoteText"/>
        <w:spacing w:after="0" w:line="240" w:lineRule="auto"/>
        <w:rPr>
          <w:rStyle w:val="Hyperlink"/>
          <w:rFonts w:ascii="Times New Roman" w:hAnsi="Times New Roman"/>
        </w:rPr>
      </w:pPr>
      <w:r>
        <w:rPr>
          <w:rStyle w:val="FootnoteReference"/>
        </w:rPr>
        <w:footnoteRef/>
      </w:r>
      <w:r>
        <w:rPr>
          <w:rFonts w:ascii="Times New Roman" w:hAnsi="Times New Roman"/>
        </w:rPr>
        <w:t xml:space="preserve">              Se: </w:t>
      </w:r>
      <w:hyperlink r:id="rId7">
        <w:r>
          <w:rPr>
            <w:rStyle w:val="Hyperlink"/>
            <w:rFonts w:ascii="Times New Roman" w:hAnsi="Times New Roman"/>
          </w:rPr>
          <w:t>http://ec.europa.eu/eurostat/web/government-finance-statistics/methodology/advice-to-member-states</w:t>
        </w:r>
      </w:hyperlink>
    </w:p>
  </w:footnote>
  <w:footnote w:id="18">
    <w:p>
      <w:pPr>
        <w:pStyle w:val="FootnoteText"/>
        <w:tabs>
          <w:tab w:val="left" w:pos="851"/>
        </w:tabs>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http://ec.europa.eu/eurostat/documents/1015035/7204121/epec-eurostat-statistical-guide-en.pdf</w:t>
        </w:r>
      </w:hyperlink>
      <w:r>
        <w:rPr>
          <w:rFonts w:ascii="Times New Roman" w:hAnsi="Times New Roman"/>
        </w:rPr>
        <w:t xml:space="preserve">  </w:t>
      </w:r>
    </w:p>
  </w:footnote>
  <w:footnote w:id="19">
    <w:p>
      <w:pPr>
        <w:pStyle w:val="FootnoteText"/>
        <w:spacing w:after="0" w:line="240" w:lineRule="auto"/>
        <w:rPr>
          <w:rFonts w:ascii="Times New Roman" w:hAnsi="Times New Roman"/>
        </w:rPr>
      </w:pPr>
      <w:r>
        <w:rPr>
          <w:rStyle w:val="FootnoteReference"/>
        </w:rPr>
        <w:footnoteRef/>
      </w:r>
      <w:r>
        <w:tab/>
      </w:r>
      <w:r>
        <w:rPr>
          <w:rFonts w:ascii="Times New Roman" w:hAnsi="Times New Roman"/>
        </w:rPr>
        <w:t xml:space="preserve">  Se: </w:t>
      </w:r>
      <w:hyperlink r:id="rId9">
        <w:r>
          <w:rPr>
            <w:rStyle w:val="Hyperlink"/>
            <w:rFonts w:ascii="Times New Roman" w:hAnsi="Times New Roman"/>
          </w:rPr>
          <w:t>http://ec.europa.eu/eurostat/documents/2995521/7235991/2-21042016-AP-EN.pdf</w:t>
        </w:r>
      </w:hyperlink>
      <w:r>
        <w:rPr>
          <w:rFonts w:ascii="Times New Roman" w:hAnsi="Times New Roman"/>
        </w:rPr>
        <w:t xml:space="preserve">  </w:t>
      </w:r>
    </w:p>
  </w:footnote>
  <w:footnote w:id="20">
    <w:p>
      <w:pPr>
        <w:pStyle w:val="FootnoteText"/>
        <w:spacing w:after="0" w:line="240" w:lineRule="auto"/>
        <w:rPr>
          <w:rFonts w:ascii="Times New Roman" w:hAnsi="Times New Roman"/>
        </w:rPr>
      </w:pPr>
      <w:r>
        <w:rPr>
          <w:rStyle w:val="FootnoteReference"/>
          <w:rFonts w:ascii="Times New Roman" w:hAnsi="Times New Roman"/>
        </w:rPr>
        <w:footnoteRef/>
      </w:r>
      <w:r>
        <w:tab/>
      </w:r>
      <w:r>
        <w:rPr>
          <w:rFonts w:ascii="Times New Roman" w:hAnsi="Times New Roman"/>
        </w:rPr>
        <w:t xml:space="preserve">  Se: </w:t>
      </w:r>
      <w:hyperlink r:id="rId10">
        <w:r>
          <w:rPr>
            <w:rStyle w:val="Hyperlink"/>
            <w:rFonts w:ascii="Times New Roman" w:hAnsi="Times New Roman"/>
          </w:rPr>
          <w:t>http://ec.europa.eu/eurostat/documents/2995521/7704449/2-21102016-AP-EN.pdf</w:t>
        </w:r>
      </w:hyperlink>
      <w:r>
        <w:rPr>
          <w:rFonts w:ascii="Times New Roman" w:hAnsi="Times New Roman"/>
        </w:rPr>
        <w:t xml:space="preserve"> </w:t>
      </w:r>
    </w:p>
  </w:footnote>
  <w:footnote w:id="2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  Se: </w:t>
      </w:r>
      <w:hyperlink r:id="rId11">
        <w:r>
          <w:rPr>
            <w:rStyle w:val="Hyperlink"/>
            <w:rFonts w:ascii="Times New Roman" w:hAnsi="Times New Roman"/>
          </w:rPr>
          <w:t>http://ec.europa.eu/eurostat/web/government-finance-statistics/excessive-deficit-procedure/edp-notification-tables</w:t>
        </w:r>
      </w:hyperlink>
    </w:p>
  </w:footnote>
  <w:footnote w:id="22">
    <w:p>
      <w:pPr>
        <w:pStyle w:val="FootnoteText"/>
      </w:pPr>
      <w:r>
        <w:rPr>
          <w:rStyle w:val="FootnoteReference"/>
        </w:rPr>
        <w:footnoteRef/>
      </w:r>
      <w:r>
        <w:t xml:space="preserve">               </w:t>
      </w:r>
      <w:r>
        <w:rPr>
          <w:rFonts w:ascii="Times New Roman" w:hAnsi="Times New Roman"/>
        </w:rPr>
        <w:t>"t" er det sidst indberettede kvartal.</w:t>
      </w:r>
    </w:p>
  </w:footnote>
  <w:footnote w:id="23">
    <w:p>
      <w:pPr>
        <w:pStyle w:val="FootnoteText"/>
        <w:spacing w:after="0" w:line="240" w:lineRule="auto"/>
        <w:jc w:val="both"/>
        <w:rPr>
          <w:rFonts w:ascii="Times New Roman" w:hAnsi="Times New Roman"/>
        </w:rPr>
      </w:pPr>
      <w:r>
        <w:rPr>
          <w:rStyle w:val="FootnoteReference"/>
        </w:rPr>
        <w:footnoteRef/>
      </w:r>
      <w:r>
        <w:tab/>
      </w:r>
      <w:r>
        <w:rPr>
          <w:rFonts w:ascii="Times New Roman" w:hAnsi="Times New Roman"/>
        </w:rPr>
        <w:t xml:space="preserve">  Oversigter over metoder, procedurer og kilder, der er anvendt til at indsamle data om det faktiske underskud og den faktiske gæld og de tilgrundliggende offentlige regnskaber.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167E7BC2547462CA764FE25DAB315C6"/>
    <w:docVar w:name="LW_CROSSREFERENCE" w:val="&lt;UNUSED&gt;"/>
    <w:docVar w:name="LW_DocType" w:val="NORMAL"/>
    <w:docVar w:name="LW_EMISSION" w:val="9.3.2017"/>
    <w:docVar w:name="LW_EMISSION_ISODATE" w:val="2017-03-09"/>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7) 123"/>
    <w:docVar w:name="LW_REF.INTERNE" w:val="&lt;UNUSED&gt;"/>
    <w:docVar w:name="LW_SOUS.TITRE.OBJ.CP" w:val="&lt;UNUSED&gt;"/>
    <w:docVar w:name="LW_SUPERTITRE" w:val="&lt;UNUSED&gt;"/>
    <w:docVar w:name="LW_TITRE.OBJ.CP" w:val="om kvaliteten af de budgetdata, medlemsstaterne indberettede i 2016"/>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da-DK"/>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da-DK"/>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da-DK"/>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da-DK"/>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Hyperlink">
    <w:name w:val="Hyperlink"/>
    <w:uiPriority w:val="99"/>
    <w:rPr>
      <w:rFonts w:cs="Times New Roman"/>
      <w:color w:val="0000FF"/>
      <w:u w:val="single"/>
      <w:shd w:val="clear" w:color="auto" w:fill="auto"/>
    </w:rPr>
  </w:style>
  <w:style w:type="character" w:styleId="FootnoteReference">
    <w:name w:val="footnote reference"/>
    <w:uiPriority w:val="99"/>
    <w:unhideWhenUsed/>
    <w:rPr>
      <w:shd w:val="clear" w:color="auto" w:fill="auto"/>
      <w:vertAlign w:val="superscript"/>
    </w:rPr>
  </w:style>
  <w:style w:type="paragraph" w:styleId="TOC1">
    <w:name w:val="toc 1"/>
    <w:basedOn w:val="Normal"/>
    <w:next w:val="Normal"/>
    <w:autoRedefine/>
    <w:uiPriority w:val="39"/>
    <w:unhideWhenUsed/>
    <w:rPr>
      <w:rFonts w:ascii="Calibri" w:eastAsia="Calibri" w:hAnsi="Calibri" w:cs="Times New Roman"/>
    </w:rPr>
  </w:style>
  <w:style w:type="paragraph" w:styleId="TOC2">
    <w:name w:val="toc 2"/>
    <w:basedOn w:val="Normal"/>
    <w:next w:val="Normal"/>
    <w:autoRedefine/>
    <w:uiPriority w:val="39"/>
    <w:unhideWhenUsed/>
    <w:pPr>
      <w:ind w:left="220"/>
    </w:pPr>
    <w:rPr>
      <w:rFonts w:ascii="Calibri" w:eastAsia="Calibri" w:hAnsi="Calibri" w:cs="Times New Roman"/>
    </w:rPr>
  </w:style>
  <w:style w:type="paragraph" w:styleId="TOC3">
    <w:name w:val="toc 3"/>
    <w:basedOn w:val="Normal"/>
    <w:next w:val="Normal"/>
    <w:autoRedefine/>
    <w:uiPriority w:val="39"/>
    <w:unhideWhenUsed/>
    <w:pPr>
      <w:tabs>
        <w:tab w:val="left" w:pos="1320"/>
        <w:tab w:val="right" w:leader="dot" w:pos="9016"/>
      </w:tabs>
      <w:ind w:left="440"/>
      <w:jc w:val="both"/>
    </w:pPr>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da-DK"/>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da-DK"/>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da-DK"/>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da-DK"/>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Hyperlink">
    <w:name w:val="Hyperlink"/>
    <w:uiPriority w:val="99"/>
    <w:rPr>
      <w:rFonts w:cs="Times New Roman"/>
      <w:color w:val="0000FF"/>
      <w:u w:val="single"/>
      <w:shd w:val="clear" w:color="auto" w:fill="auto"/>
    </w:rPr>
  </w:style>
  <w:style w:type="character" w:styleId="FootnoteReference">
    <w:name w:val="footnote reference"/>
    <w:uiPriority w:val="99"/>
    <w:unhideWhenUsed/>
    <w:rPr>
      <w:shd w:val="clear" w:color="auto" w:fill="auto"/>
      <w:vertAlign w:val="superscript"/>
    </w:rPr>
  </w:style>
  <w:style w:type="paragraph" w:styleId="TOC1">
    <w:name w:val="toc 1"/>
    <w:basedOn w:val="Normal"/>
    <w:next w:val="Normal"/>
    <w:autoRedefine/>
    <w:uiPriority w:val="39"/>
    <w:unhideWhenUsed/>
    <w:rPr>
      <w:rFonts w:ascii="Calibri" w:eastAsia="Calibri" w:hAnsi="Calibri" w:cs="Times New Roman"/>
    </w:rPr>
  </w:style>
  <w:style w:type="paragraph" w:styleId="TOC2">
    <w:name w:val="toc 2"/>
    <w:basedOn w:val="Normal"/>
    <w:next w:val="Normal"/>
    <w:autoRedefine/>
    <w:uiPriority w:val="39"/>
    <w:unhideWhenUsed/>
    <w:pPr>
      <w:ind w:left="220"/>
    </w:pPr>
    <w:rPr>
      <w:rFonts w:ascii="Calibri" w:eastAsia="Calibri" w:hAnsi="Calibri" w:cs="Times New Roman"/>
    </w:rPr>
  </w:style>
  <w:style w:type="paragraph" w:styleId="TOC3">
    <w:name w:val="toc 3"/>
    <w:basedOn w:val="Normal"/>
    <w:next w:val="Normal"/>
    <w:autoRedefine/>
    <w:uiPriority w:val="39"/>
    <w:unhideWhenUsed/>
    <w:pPr>
      <w:tabs>
        <w:tab w:val="left" w:pos="1320"/>
        <w:tab w:val="right" w:leader="dot" w:pos="9016"/>
      </w:tabs>
      <w:ind w:left="440"/>
      <w:jc w:val="both"/>
    </w:pPr>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documents/1015035/7204121/epec-eurostat-statistical-guide-en.pdf" TargetMode="External"/><Relationship Id="rId3" Type="http://schemas.openxmlformats.org/officeDocument/2006/relationships/hyperlink" Target="http://ec.europa.eu/eurostat/web/government-finance-statistics/excessive-deficit-procedure/edp-notification-tables" TargetMode="External"/><Relationship Id="rId7" Type="http://schemas.openxmlformats.org/officeDocument/2006/relationships/hyperlink" Target="http://ec.europa.eu/eurostat/web/government-finance-statistics/methodology/advice-to-member-states" TargetMode="External"/><Relationship Id="rId2" Type="http://schemas.openxmlformats.org/officeDocument/2006/relationships/hyperlink" Target="https://webgate.ec.europa.eu/fpfis/mwikis/gfs/images/e/e7/Statements_9817.en93.pdf" TargetMode="External"/><Relationship Id="rId1" Type="http://schemas.openxmlformats.org/officeDocument/2006/relationships/hyperlink" Target="http://ec.europa.eu/eurostat/documents/24987/6390465/Irish_GDP_communication.pdf" TargetMode="External"/><Relationship Id="rId6" Type="http://schemas.openxmlformats.org/officeDocument/2006/relationships/hyperlink" Target="http://ec.europa.eu/eurostat/web/government-finance-statistics/methodology/guidance-on-accounting-rules" TargetMode="External"/><Relationship Id="rId11" Type="http://schemas.openxmlformats.org/officeDocument/2006/relationships/hyperlink" Target="http://ec.europa.eu/eurostat/web/government-finance-statistics/excessive-deficit-procedure/edp-notification-tables" TargetMode="External"/><Relationship Id="rId5" Type="http://schemas.openxmlformats.org/officeDocument/2006/relationships/hyperlink" Target="http://ec.europa.eu/eurostat/web/government-finance-statistics/excessive-deficit-procedure/eurostat-edp-visits-to-member-states" TargetMode="External"/><Relationship Id="rId10" Type="http://schemas.openxmlformats.org/officeDocument/2006/relationships/hyperlink" Target="http://ec.europa.eu/eurostat/documents/2995521/7704449/2-21102016-AP-EN.pdf" TargetMode="External"/><Relationship Id="rId4" Type="http://schemas.openxmlformats.org/officeDocument/2006/relationships/hyperlink" Target="http://ec.europa.eu/eurostat/documents/1015035/2022710/Background-note-on-gov-interventions-OCT-2016-final.pdf" TargetMode="External"/><Relationship Id="rId9" Type="http://schemas.openxmlformats.org/officeDocument/2006/relationships/hyperlink" Target="http://ec.europa.eu/eurostat/documents/2995521/7235991/2-21042016-AP-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41DF-1DA0-429F-AEAA-CB2A0104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3447</Words>
  <Characters>22929</Characters>
  <Application>Microsoft Office Word</Application>
  <DocSecurity>0</DocSecurity>
  <Lines>388</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32</cp:revision>
  <cp:lastPrinted>2017-02-15T14:57:00Z</cp:lastPrinted>
  <dcterms:created xsi:type="dcterms:W3CDTF">2017-02-10T09:51:00Z</dcterms:created>
  <dcterms:modified xsi:type="dcterms:W3CDTF">2017-03-02T14:42:00Z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