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2FAF10DEDD274799A11808BADAF95CF2" style="width:450.8pt;height:365.9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BEGRUNDELSE</w:t>
      </w:r>
    </w:p>
    <w:p>
      <w:pPr>
        <w:rPr>
          <w:noProof/>
        </w:rPr>
      </w:pPr>
      <w:r>
        <w:rPr>
          <w:noProof/>
        </w:rPr>
        <w:t>I henhold til artikel 395, stk. 1, i direktiv 2006/112/EF af 28. november 2006 om det fælles merværdiafgiftssystem</w:t>
      </w:r>
      <w:r>
        <w:rPr>
          <w:rStyle w:val="FootnoteReference0"/>
          <w:noProof/>
        </w:rPr>
        <w:footnoteReference w:id="1"/>
      </w:r>
      <w:r>
        <w:rPr>
          <w:noProof/>
        </w:rPr>
        <w:t xml:space="preserve"> (herefter "momsdirektivet") kan Rådet med enstemmighed på forslag af Kommissionen give en medlemsstat tilladelse til at indføre særlige foranstaltninger, der fraviger bestemmelserne i nævnte direktiv, for at forenkle momsopkrævningen eller for at undgå visse former for momsunddragelse eller momsundgåelse.</w:t>
      </w:r>
    </w:p>
    <w:p>
      <w:pPr>
        <w:rPr>
          <w:noProof/>
        </w:rPr>
      </w:pPr>
      <w:r>
        <w:rPr>
          <w:noProof/>
        </w:rPr>
        <w:t>Ved brev registreret i Kommissionen den 26. september 2016 anmodede Luxembourg om tilladelse til fortsat at momsfritage momspligtige personer med en årlig omsætning under en vis tærskel samt at hæve denne tærskel fra 25 000 EUR til 30 000 EUR. I overensstemmelse med momsdirektivets artikel 395, stk. 2, underrettede Kommissionen ved brev af 4. oktober 2016 de øvrige medlemsstater om Luxembourgs anmodning. Ved brev af 5. oktober 2016 underrettede Kommissionen Luxembourg om, at den rådede over alle nødvendige oplysninger for at kunne vurdere anmodningen.</w:t>
      </w:r>
    </w:p>
    <w:p>
      <w:pPr>
        <w:pStyle w:val="ManualHeading1"/>
        <w:rPr>
          <w:noProof/>
        </w:rPr>
      </w:pPr>
      <w:r>
        <w:rPr>
          <w:noProof/>
        </w:rPr>
        <w:t>1.</w:t>
      </w:r>
      <w:r>
        <w:rPr>
          <w:noProof/>
        </w:rPr>
        <w:tab/>
        <w:t>BAGGRUND FOR FORSLAGET</w:t>
      </w:r>
    </w:p>
    <w:p>
      <w:pPr>
        <w:pStyle w:val="ManualHeading2"/>
        <w:rPr>
          <w:rFonts w:eastAsia="Arial Unicode MS"/>
          <w:noProof/>
        </w:rPr>
      </w:pPr>
      <w:r>
        <w:rPr>
          <w:noProof/>
          <w:color w:val="000000"/>
          <w:u w:color="000000"/>
          <w:bdr w:val="nil"/>
        </w:rPr>
        <w:t>•</w:t>
      </w:r>
      <w:r>
        <w:rPr>
          <w:noProof/>
        </w:rPr>
        <w:tab/>
        <w:t>Forslagets begrundelse og formål</w:t>
      </w:r>
    </w:p>
    <w:p>
      <w:pPr>
        <w:rPr>
          <w:noProof/>
        </w:rPr>
      </w:pPr>
      <w:r>
        <w:rPr>
          <w:noProof/>
        </w:rPr>
        <w:t>Det følger af kapitel 1 i afsnit XII i momsdirektivet, at medlemsstaterne har mulighed for at anvende særordninger for små virksomheder, herunder mulighed for at indrømme momsfritagelse til momspligtige personer med en årlig omsætning under et vist beløb. Momsfritagelsen indebærer, at en momspligtig person ikke skal opkræve moms af leveringer og følgelig heller ikke kan fradrage indgående moms.</w:t>
      </w:r>
    </w:p>
    <w:p>
      <w:pPr>
        <w:rPr>
          <w:noProof/>
        </w:rPr>
      </w:pPr>
      <w:r>
        <w:rPr>
          <w:noProof/>
        </w:rPr>
        <w:t>Denne foranstaltning blev første gang indført i medfør af bestemmelserne i artikel 14 i Rådets direktiv 67/228/EØF</w:t>
      </w:r>
      <w:r>
        <w:rPr>
          <w:rStyle w:val="FootnoteReference0"/>
          <w:noProof/>
        </w:rPr>
        <w:footnoteReference w:id="2"/>
      </w:r>
      <w:r>
        <w:rPr>
          <w:noProof/>
        </w:rPr>
        <w:t>. De medlemsstater, som ikke udnyttede den i denne bestemmelse anførte mulighed, kunne efterfølgende, i henhold til artikel 24, stk. 2, litra b), i direktiv 77/388/EØF, som nu er indarbejdet som momsdirektivets artikel 285, stk. 1, kun momsfritage momspligtige personer, hvis årlige omsætning ikke overstiger 5 000 EUR eller det tilsvarende beløb i den nationale valuta. Ifølge momsdirektivets artikel 285, stk. 2, kan disse medlemsstater også indrømme en gradvis momsnedsættelse til momspligtige personer, hvis årlige omsætning overstiger det loft, de har fastsat med henblik på anvendelsen af momsfritagelse.</w:t>
      </w:r>
    </w:p>
    <w:p>
      <w:pPr>
        <w:rPr>
          <w:noProof/>
        </w:rPr>
      </w:pPr>
      <w:r>
        <w:rPr>
          <w:noProof/>
        </w:rPr>
        <w:t>Indtil udgangen af 2012 indrømmede Luxembourg momsfritagelse til momspligtige personer med en årlig omsætning på højst 10 000 EUR. Luxembourg har desuden oplyst Kommissionen, at landet gjorde brug af muligheden i artikel 285, stk. 2, i direktiv 2006/112/EF for at indrømme en gradvis momsnedsættelse til momspligtige personer med en årlig omsætning på mellem 10 000 EUR og 25 000 EUR.</w:t>
      </w:r>
    </w:p>
    <w:p>
      <w:pPr>
        <w:rPr>
          <w:noProof/>
        </w:rPr>
      </w:pPr>
      <w:r>
        <w:rPr>
          <w:noProof/>
        </w:rPr>
        <w:t xml:space="preserve">Den højere tærskel for fritagelse var hensigtsmæssig, da den forenkler momssystemet for små virksomheder ved i betydelig grad at reducere byrderne for de virksomheder, der kan omfattes af ordningen, idet de fritages for mange af de momsforpligtelser, der findes under de almindelige momsordninger. Luxembourg anmodede derfor om og fik tilladelse til at anvende en omsætningstærskel på 25 000 EUR i forbindelse med ordningen for små virksomheder og samtidig ophæve den gradvise momsnedsættelse. </w:t>
      </w:r>
    </w:p>
    <w:p>
      <w:pPr>
        <w:rPr>
          <w:noProof/>
        </w:rPr>
      </w:pPr>
      <w:r>
        <w:rPr>
          <w:noProof/>
        </w:rPr>
        <w:t>Denne tilladelse blev givet af Rådet frem til den 31. december 2016 ved gennemførelsesafgørelse 2013/677/EU</w:t>
      </w:r>
      <w:r>
        <w:rPr>
          <w:rStyle w:val="FootnoteReference0"/>
          <w:noProof/>
        </w:rPr>
        <w:footnoteReference w:id="3"/>
      </w:r>
      <w:r>
        <w:rPr>
          <w:noProof/>
        </w:rPr>
        <w:t xml:space="preserve"> .</w:t>
      </w:r>
    </w:p>
    <w:p>
      <w:pPr>
        <w:rPr>
          <w:noProof/>
        </w:rPr>
      </w:pPr>
      <w:r>
        <w:rPr>
          <w:noProof/>
        </w:rPr>
        <w:t>For at fastholde den reelle værdi og dermed sikre forenklingseffekten ønsker Luxembourg også tilladelse til at opjustere den gældende tærskel efter et indekseringssystem.</w:t>
      </w:r>
    </w:p>
    <w:p>
      <w:pPr>
        <w:rPr>
          <w:noProof/>
        </w:rPr>
      </w:pPr>
      <w:r>
        <w:rPr>
          <w:noProof/>
        </w:rPr>
        <w:t xml:space="preserve">Luxembourg anmoder derfor nu om tilladelse til at forlænge foranstaltningen fra og med den 1. januar 2017 og hæve loftet for den tilladte fritagelse til en omsætning på op til 30 000 EUR. </w:t>
      </w:r>
    </w:p>
    <w:p>
      <w:pPr>
        <w:rPr>
          <w:noProof/>
        </w:rPr>
      </w:pPr>
      <w:r>
        <w:rPr>
          <w:noProof/>
        </w:rPr>
        <w:t xml:space="preserve">Ifølge de luxembourgske myndigheder vil den særlige foranstaltning i overensstemmelse med momsdirektivets artikel 395, stk. 1, kun i ubetydelig grad påvirke de samlede indtægter fra moms, der opkræves ved det endelige forbrug (højst 0,12 %). Med denne anmodning ønsker Luxembourg at lette byrden for erhvervslivet samt at stimulere udviklingen af små virksomheder. Luxembourg har samtidig til hensigt at lette den byrde, der hviler på skattemyndighederne, ved at mindske behovet for at kontrollere små momspligtige personer, idet denne kontrol er relativt omkostningskrævende set i forhold til det momsbeløb, der kan opkræves, samt at intensivere sin kontrol med større momspligtige personer. Dette er i overensstemmelse med momsdirektivets artikel 395, stk. 1, første afsnit, ifølge hvilken medlemsstaterne kan indføre særlige foranstaltninger, der fraviger bestemmelserne i momsdirektivet, for at forenkle momsopkrævningen. </w:t>
      </w:r>
    </w:p>
    <w:p>
      <w:pPr>
        <w:rPr>
          <w:noProof/>
        </w:rPr>
      </w:pPr>
      <w:r>
        <w:rPr>
          <w:noProof/>
        </w:rPr>
        <w:t>Det bemærkes i denne forbindelse, at foranstaltningen er og fortsat vil være helt frivillig for momspligtige personer.</w:t>
      </w:r>
    </w:p>
    <w:p>
      <w:pPr>
        <w:rPr>
          <w:noProof/>
        </w:rPr>
      </w:pPr>
      <w:r>
        <w:rPr>
          <w:noProof/>
        </w:rPr>
        <w:t>Luxembourg har ikke oplyst en udløbsfrist for denne fravigelse. Fravigelser af momsdirektivets bestemmelser bør dog altid være begrænset i tid, således at virkningerne heraf kan bedømmes. Bestemmelserne i momsdirektivets artikel 281 til 294 om særordningen for små virksomheder er desuden taget op til revision. Som bebudet i momshandlingsplanen</w:t>
      </w:r>
      <w:r>
        <w:rPr>
          <w:rStyle w:val="FootnoteReference0"/>
          <w:noProof/>
        </w:rPr>
        <w:footnoteReference w:id="4"/>
      </w:r>
      <w:r>
        <w:rPr>
          <w:noProof/>
        </w:rPr>
        <w:t xml:space="preserve"> forventes Kommissionens forslag i form af en omfattende forenklingspakke, herunder et direktiv om ændring af momsdirektivets bestemmelser om særordningen for små virksomheder, fremlagt inden udgangen af 2017.</w:t>
      </w:r>
    </w:p>
    <w:p>
      <w:pPr>
        <w:rPr>
          <w:noProof/>
        </w:rPr>
      </w:pPr>
      <w:r>
        <w:rPr>
          <w:noProof/>
        </w:rPr>
        <w:t>Det foreslås derfor at forlænge fravigelsen i endnu en periode indtil den 31. december 2019 eller indtil datoen for ikrafttrædelsen af et direktiv om ændring af bestemmelserne i momsdirektivet om særordningen for små virksomheder, alt efter hvilken dato der kommer først. De luxembourgske myndigheder kan efter eget skøn beslutte, hvorvidt og i hvilket omfang der skal anvendes et indekseringssystem i forbindelse med den gældende fravigelse op til 30 000 EUR.</w:t>
      </w:r>
    </w:p>
    <w:p>
      <w:pPr>
        <w:pStyle w:val="ManualHeading2"/>
        <w:rPr>
          <w:rFonts w:eastAsia="Arial Unicode MS"/>
          <w:noProof/>
        </w:rPr>
      </w:pPr>
      <w:r>
        <w:rPr>
          <w:noProof/>
          <w:color w:val="000000"/>
          <w:u w:color="000000"/>
          <w:bdr w:val="nil"/>
        </w:rPr>
        <w:t>•</w:t>
      </w:r>
      <w:r>
        <w:rPr>
          <w:noProof/>
        </w:rPr>
        <w:tab/>
        <w:t>Sammenhæng med de gældende bestemmelser på samme område:</w:t>
      </w:r>
    </w:p>
    <w:p>
      <w:pPr>
        <w:rPr>
          <w:noProof/>
        </w:rPr>
      </w:pPr>
      <w:r>
        <w:rPr>
          <w:noProof/>
        </w:rPr>
        <w:t>Andre medlemsstater har fået tilladelse til lignende fravigelser.</w:t>
      </w:r>
      <w:r>
        <w:rPr>
          <w:noProof/>
          <w:color w:val="000000"/>
        </w:rPr>
        <w:t xml:space="preserve"> Belgien</w:t>
      </w:r>
      <w:r>
        <w:rPr>
          <w:rStyle w:val="FootnoteReference0"/>
          <w:noProof/>
          <w:color w:val="000000"/>
        </w:rPr>
        <w:footnoteReference w:id="5"/>
      </w:r>
      <w:r>
        <w:rPr>
          <w:noProof/>
          <w:color w:val="000000"/>
        </w:rPr>
        <w:t xml:space="preserve"> har fået godkendt en tærskel på 25 000 EUR, Polen</w:t>
      </w:r>
      <w:r>
        <w:rPr>
          <w:rStyle w:val="FootnoteReference0"/>
          <w:noProof/>
          <w:color w:val="000000"/>
        </w:rPr>
        <w:footnoteReference w:id="6"/>
      </w:r>
      <w:r>
        <w:rPr>
          <w:noProof/>
          <w:color w:val="000000"/>
        </w:rPr>
        <w:t xml:space="preserve"> en tærskel på 30 000 EUR, Litauen</w:t>
      </w:r>
      <w:r>
        <w:rPr>
          <w:rStyle w:val="FootnoteReference0"/>
          <w:noProof/>
          <w:color w:val="000000"/>
        </w:rPr>
        <w:footnoteReference w:id="7"/>
      </w:r>
      <w:r>
        <w:rPr>
          <w:rStyle w:val="footnotereference"/>
          <w:noProof/>
          <w:color w:val="000000"/>
        </w:rPr>
        <w:t xml:space="preserve"> </w:t>
      </w:r>
      <w:r>
        <w:rPr>
          <w:noProof/>
          <w:color w:val="000000"/>
        </w:rPr>
        <w:t>en tærskel på 45 000 EUR, Letland</w:t>
      </w:r>
      <w:r>
        <w:rPr>
          <w:rStyle w:val="FootnoteReference0"/>
          <w:noProof/>
          <w:color w:val="000000"/>
        </w:rPr>
        <w:footnoteReference w:id="8"/>
      </w:r>
      <w:r>
        <w:rPr>
          <w:rStyle w:val="footnotereference"/>
          <w:noProof/>
          <w:color w:val="000000"/>
        </w:rPr>
        <w:t xml:space="preserve"> </w:t>
      </w:r>
      <w:r>
        <w:rPr>
          <w:noProof/>
          <w:color w:val="000000"/>
        </w:rPr>
        <w:t>og Slovenien</w:t>
      </w:r>
      <w:r>
        <w:rPr>
          <w:rStyle w:val="FootnoteReference0"/>
          <w:noProof/>
          <w:color w:val="000000"/>
        </w:rPr>
        <w:footnoteReference w:id="9"/>
      </w:r>
      <w:r>
        <w:rPr>
          <w:rStyle w:val="footnotereference"/>
          <w:noProof/>
          <w:color w:val="000000"/>
        </w:rPr>
        <w:t xml:space="preserve"> </w:t>
      </w:r>
      <w:r>
        <w:rPr>
          <w:noProof/>
          <w:color w:val="000000"/>
        </w:rPr>
        <w:t>en tærskel på 50 000 EUR og Italien</w:t>
      </w:r>
      <w:r>
        <w:rPr>
          <w:rStyle w:val="FootnoteReference0"/>
          <w:noProof/>
          <w:color w:val="000000"/>
        </w:rPr>
        <w:footnoteReference w:id="10"/>
      </w:r>
      <w:r>
        <w:rPr>
          <w:noProof/>
          <w:color w:val="000000"/>
        </w:rPr>
        <w:t xml:space="preserve"> og Rumænien</w:t>
      </w:r>
      <w:r>
        <w:rPr>
          <w:rStyle w:val="FootnoteReference0"/>
          <w:noProof/>
          <w:color w:val="000000"/>
        </w:rPr>
        <w:footnoteReference w:id="11"/>
      </w:r>
      <w:r>
        <w:rPr>
          <w:rStyle w:val="footnotereference"/>
          <w:noProof/>
          <w:color w:val="000000"/>
        </w:rPr>
        <w:t xml:space="preserve"> </w:t>
      </w:r>
      <w:r>
        <w:rPr>
          <w:noProof/>
          <w:color w:val="000000"/>
        </w:rPr>
        <w:t>en tærskel på 65 000 EUR.</w:t>
      </w:r>
    </w:p>
    <w:p>
      <w:pPr>
        <w:pStyle w:val="ManualHeading2"/>
        <w:rPr>
          <w:rFonts w:eastAsia="Arial Unicode MS"/>
          <w:noProof/>
        </w:rPr>
      </w:pPr>
      <w:r>
        <w:rPr>
          <w:noProof/>
          <w:color w:val="000000"/>
          <w:u w:color="000000"/>
          <w:bdr w:val="nil"/>
        </w:rPr>
        <w:t>•</w:t>
      </w:r>
      <w:r>
        <w:rPr>
          <w:noProof/>
        </w:rPr>
        <w:tab/>
        <w:t>Sammenhæng med Unionens politik på andre områder</w:t>
      </w:r>
    </w:p>
    <w:p>
      <w:pPr>
        <w:rPr>
          <w:noProof/>
        </w:rPr>
      </w:pPr>
      <w:r>
        <w:rPr>
          <w:noProof/>
        </w:rPr>
        <w:t>Foranstaltningen er i overensstemmelser med Unionens målsætninger for små virksomheder som fastsat i Kommissionens meddelelse "Tænk småt først" – En "Small Business Act" for Europa</w:t>
      </w:r>
      <w:r>
        <w:rPr>
          <w:rStyle w:val="FootnoteReference0"/>
          <w:noProof/>
        </w:rPr>
        <w:footnoteReference w:id="12"/>
      </w:r>
      <w:r>
        <w:rPr>
          <w:noProof/>
        </w:rPr>
        <w:t>, hvori medlemsstaterne opfordres til at tage hensyn til SMV'ernes særlige karakteristika ved udformning af lovgivningen og derfor til at forenkle de gældende regler.</w:t>
      </w:r>
    </w:p>
    <w:p>
      <w:pPr>
        <w:pStyle w:val="ManualHeading1"/>
        <w:rPr>
          <w:noProof/>
        </w:rPr>
      </w:pPr>
      <w:r>
        <w:rPr>
          <w:noProof/>
        </w:rPr>
        <w:t>2.</w:t>
      </w:r>
      <w:r>
        <w:rPr>
          <w:noProof/>
        </w:rPr>
        <w:tab/>
        <w:t>RETSGRUNDLAG, NÆRHEDSPRINCIPPET OG PROPORTIONALITETSPRINCIPPET</w:t>
      </w:r>
    </w:p>
    <w:p>
      <w:pPr>
        <w:pStyle w:val="ManualHeading2"/>
        <w:rPr>
          <w:rFonts w:eastAsia="Arial Unicode MS"/>
          <w:noProof/>
          <w:u w:color="000000"/>
          <w:bdr w:val="nil"/>
        </w:rPr>
      </w:pPr>
      <w:r>
        <w:rPr>
          <w:noProof/>
        </w:rPr>
        <w:t>•</w:t>
      </w:r>
      <w:r>
        <w:rPr>
          <w:noProof/>
        </w:rPr>
        <w:tab/>
        <w:t>Retsgrundlag</w:t>
      </w:r>
    </w:p>
    <w:p>
      <w:pPr>
        <w:rPr>
          <w:noProof/>
        </w:rPr>
      </w:pPr>
      <w:r>
        <w:rPr>
          <w:noProof/>
        </w:rPr>
        <w:t>Momsdirektivets artikel 395.</w:t>
      </w:r>
    </w:p>
    <w:p>
      <w:pPr>
        <w:pStyle w:val="ManualHeading2"/>
        <w:rPr>
          <w:rFonts w:eastAsia="Arial Unicode MS"/>
          <w:noProof/>
          <w:u w:color="000000"/>
          <w:bdr w:val="nil"/>
        </w:rPr>
      </w:pPr>
      <w:r>
        <w:rPr>
          <w:noProof/>
        </w:rPr>
        <w:t>•</w:t>
      </w:r>
      <w:r>
        <w:rPr>
          <w:noProof/>
        </w:rPr>
        <w:tab/>
        <w:t xml:space="preserve">Nærhedsprincippet (for områder, der ikke er omfattet af enekompetence) </w:t>
      </w:r>
    </w:p>
    <w:p>
      <w:pPr>
        <w:pBdr>
          <w:top w:val="nil"/>
          <w:left w:val="nil"/>
          <w:bottom w:val="nil"/>
          <w:right w:val="nil"/>
          <w:between w:val="nil"/>
          <w:bar w:val="nil"/>
        </w:pBdr>
        <w:spacing w:before="0" w:after="240"/>
        <w:rPr>
          <w:rFonts w:eastAsia="Arial Unicode MS"/>
          <w:noProof/>
        </w:rPr>
      </w:pPr>
      <w:r>
        <w:rPr>
          <w:noProof/>
        </w:rPr>
        <w:t>I betragtning af den bestemmelse i momsdirektivet, som forslaget bygger på, finder nærhedsprincippet ikke anvendelse.</w:t>
      </w:r>
    </w:p>
    <w:p>
      <w:pPr>
        <w:pStyle w:val="ManualHeading2"/>
        <w:rPr>
          <w:rFonts w:eastAsia="Arial Unicode MS"/>
          <w:noProof/>
          <w:u w:color="000000"/>
          <w:bdr w:val="nil"/>
        </w:rPr>
      </w:pPr>
      <w:r>
        <w:rPr>
          <w:noProof/>
        </w:rPr>
        <w:t>•</w:t>
      </w:r>
      <w:r>
        <w:rPr>
          <w:noProof/>
        </w:rPr>
        <w:tab/>
        <w:t>Proportionalitetsprincippet</w:t>
      </w:r>
    </w:p>
    <w:p>
      <w:pPr>
        <w:pBdr>
          <w:top w:val="nil"/>
          <w:left w:val="nil"/>
          <w:bottom w:val="nil"/>
          <w:right w:val="nil"/>
          <w:between w:val="nil"/>
          <w:bar w:val="nil"/>
        </w:pBdr>
        <w:spacing w:before="0" w:after="240"/>
        <w:rPr>
          <w:noProof/>
        </w:rPr>
      </w:pPr>
      <w:r>
        <w:rPr>
          <w:noProof/>
        </w:rPr>
        <w:t>Afgørelsen vedrører en tilladelse, der gives en medlemsstat på dennes egen anmodning, og udgør ikke en forpligtelse.</w:t>
      </w:r>
    </w:p>
    <w:p>
      <w:pPr>
        <w:rPr>
          <w:noProof/>
        </w:rPr>
      </w:pPr>
      <w:r>
        <w:rPr>
          <w:noProof/>
        </w:rPr>
        <w:t>Henset til fravigelsens begrænsede anvendelsesområde står den særlige foranstaltning i rimeligt forhold til det tilstræbte mål, nemlig at forenkle momsopkrævningen for et større antal små momspligtige personer og for skatteforvaltningen.</w:t>
      </w:r>
    </w:p>
    <w:p>
      <w:pPr>
        <w:pStyle w:val="ManualHeading2"/>
        <w:rPr>
          <w:rFonts w:eastAsia="Arial Unicode MS"/>
          <w:noProof/>
          <w:u w:color="000000"/>
          <w:bdr w:val="nil"/>
        </w:rPr>
      </w:pPr>
      <w:r>
        <w:rPr>
          <w:noProof/>
        </w:rPr>
        <w:t>•</w:t>
      </w:r>
      <w:r>
        <w:rPr>
          <w:noProof/>
        </w:rPr>
        <w:tab/>
        <w:t>Valg af retsakt</w:t>
      </w:r>
    </w:p>
    <w:p>
      <w:pPr>
        <w:spacing w:before="0" w:after="240"/>
        <w:rPr>
          <w:rFonts w:eastAsia="Arial Unicode MS"/>
          <w:noProof/>
        </w:rPr>
      </w:pPr>
      <w:r>
        <w:rPr>
          <w:noProof/>
        </w:rPr>
        <w:t>Foreslået retsakt: Rådets gennemførelsesafgørelse.</w:t>
      </w:r>
    </w:p>
    <w:p>
      <w:pPr>
        <w:spacing w:before="0" w:after="240"/>
        <w:rPr>
          <w:rFonts w:eastAsia="Arial Unicode MS"/>
          <w:noProof/>
        </w:rPr>
      </w:pPr>
      <w:r>
        <w:rPr>
          <w:noProof/>
        </w:rPr>
        <w:t>I henhold til artikel 395 i Rådets direktiv 2006/112/EF er en fravigelse af de fælles momsregler kun mulig, hvis Rådet med enstemmighed på forslag af Kommissionen giver tilladelse til det. En gennemførelsesafgørelse vedtaget af Rådet er den bedst egnede retsakt, da den kan rettes til individuelle medlemsstater.</w:t>
      </w:r>
    </w:p>
    <w:p>
      <w:pPr>
        <w:pStyle w:val="ManualHeading1"/>
        <w:rPr>
          <w:noProof/>
        </w:rPr>
      </w:pPr>
      <w:r>
        <w:rPr>
          <w:noProof/>
        </w:rPr>
        <w:t>3.</w:t>
      </w:r>
      <w:r>
        <w:rPr>
          <w:noProof/>
        </w:rPr>
        <w:tab/>
        <w:t>RESULTATER AF EFTERFØLGENDE EVALUERINGER, HØRINGER AF INTERESSEREDE PARTER OG KONSEKVENSANALYSER</w:t>
      </w:r>
    </w:p>
    <w:p>
      <w:pPr>
        <w:pStyle w:val="ManualHeading2"/>
        <w:rPr>
          <w:rFonts w:eastAsia="Arial Unicode MS"/>
          <w:noProof/>
          <w:u w:color="000000"/>
          <w:bdr w:val="nil"/>
        </w:rPr>
      </w:pPr>
      <w:r>
        <w:rPr>
          <w:noProof/>
        </w:rPr>
        <w:t>•</w:t>
      </w:r>
      <w:r>
        <w:rPr>
          <w:noProof/>
        </w:rPr>
        <w:tab/>
        <w:t>Høringer af interesserede parter</w:t>
      </w:r>
    </w:p>
    <w:p>
      <w:pPr>
        <w:spacing w:before="0" w:after="240"/>
        <w:rPr>
          <w:rFonts w:eastAsia="Arial Unicode MS"/>
          <w:noProof/>
        </w:rPr>
      </w:pPr>
      <w:r>
        <w:rPr>
          <w:noProof/>
        </w:rPr>
        <w:t>Forslaget er baseret på en anmodning fra Luxembourg og vedrører kun denne medlemsstat.</w:t>
      </w:r>
    </w:p>
    <w:p>
      <w:pPr>
        <w:pStyle w:val="ManualHeading2"/>
        <w:rPr>
          <w:rFonts w:eastAsia="Arial Unicode MS"/>
          <w:noProof/>
          <w:u w:color="000000"/>
          <w:bdr w:val="nil"/>
        </w:rPr>
      </w:pPr>
      <w:r>
        <w:rPr>
          <w:noProof/>
        </w:rPr>
        <w:t>•</w:t>
      </w:r>
      <w:r>
        <w:rPr>
          <w:noProof/>
        </w:rPr>
        <w:tab/>
        <w:t>Indhentning og brug af ekspertbistand</w:t>
      </w:r>
    </w:p>
    <w:p>
      <w:pPr>
        <w:spacing w:before="0" w:after="240"/>
        <w:rPr>
          <w:rFonts w:eastAsia="Arial Unicode MS"/>
          <w:noProof/>
        </w:rPr>
      </w:pPr>
      <w:r>
        <w:rPr>
          <w:noProof/>
        </w:rPr>
        <w:t>Der har ikke været behov for ekstern ekspertbistand.</w:t>
      </w:r>
    </w:p>
    <w:p>
      <w:pPr>
        <w:pStyle w:val="ManualHeading2"/>
        <w:rPr>
          <w:rFonts w:eastAsia="Arial Unicode MS"/>
          <w:noProof/>
          <w:u w:color="000000"/>
          <w:bdr w:val="nil"/>
        </w:rPr>
      </w:pPr>
      <w:r>
        <w:rPr>
          <w:noProof/>
        </w:rPr>
        <w:t>•</w:t>
      </w:r>
      <w:r>
        <w:rPr>
          <w:noProof/>
        </w:rPr>
        <w:tab/>
        <w:t>Konsekvensanalyse</w:t>
      </w:r>
    </w:p>
    <w:p>
      <w:pPr>
        <w:rPr>
          <w:noProof/>
        </w:rPr>
      </w:pPr>
      <w:r>
        <w:rPr>
          <w:noProof/>
        </w:rPr>
        <w:t>Formålet med forslaget til Rådets gennemførelsesafgørelse er at forlænge en forenklingsforanstaltning, som fjerner mange af momsforpligtelserne for virksomheder med en omsætning på højst 30 000 EUR. Det vil potentielt have en positiv virkning for nedbringelsen af den administrative byrde for yderligere 970 momspligtige personer, svarende til 1,2 % af de nuværende momsregistrerede, og følgelig for skatteforvaltningen. De budgetmæssige virkninger i form af reducerede momsindtægter for Luxembourg anslås at udgøre højst 0,12 % af den opkrævede moms.</w:t>
      </w:r>
    </w:p>
    <w:p>
      <w:pPr>
        <w:pStyle w:val="ManualHeading1"/>
        <w:rPr>
          <w:noProof/>
        </w:rPr>
      </w:pPr>
      <w:r>
        <w:rPr>
          <w:noProof/>
        </w:rPr>
        <w:t>4.</w:t>
      </w:r>
      <w:r>
        <w:rPr>
          <w:noProof/>
        </w:rPr>
        <w:tab/>
        <w:t>VIRKNINGER FOR BUDGETTET</w:t>
      </w:r>
    </w:p>
    <w:p>
      <w:pPr>
        <w:rPr>
          <w:noProof/>
        </w:rPr>
      </w:pPr>
      <w:r>
        <w:rPr>
          <w:noProof/>
        </w:rPr>
        <w:t>Forslaget har ingen virkninger for EU-budgettet, eftersom Luxembourg vil beregne en kompensation i overensstemmelse med artikel 6 i Rådets forordning (EØF, EURATOM) nr. 1553/89</w:t>
      </w:r>
      <w:r>
        <w:rPr>
          <w:rStyle w:val="FootnoteReference0"/>
          <w:noProof/>
        </w:rPr>
        <w:footnoteReference w:id="13"/>
      </w:r>
      <w:r>
        <w:rPr>
          <w:noProof/>
        </w:rPr>
        <w:t>.</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t>2016/0417 (NLE)</w:t>
      </w:r>
    </w:p>
    <w:p>
      <w:pPr>
        <w:pStyle w:val="Statut"/>
        <w:rPr>
          <w:noProof/>
        </w:rPr>
      </w:pPr>
      <w:r>
        <w:rPr>
          <w:noProof/>
        </w:rPr>
        <w:t>Forslag til</w:t>
      </w:r>
    </w:p>
    <w:p>
      <w:pPr>
        <w:pStyle w:val="Typedudocument"/>
        <w:rPr>
          <w:noProof/>
        </w:rPr>
      </w:pPr>
      <w:r>
        <w:rPr>
          <w:noProof/>
        </w:rPr>
        <w:t>RÅDETS GENNEMFØRELSESAFGØRELSE</w:t>
      </w:r>
    </w:p>
    <w:p>
      <w:pPr>
        <w:pStyle w:val="Titreobjet"/>
        <w:rPr>
          <w:noProof/>
        </w:rPr>
      </w:pPr>
      <w:r>
        <w:rPr>
          <w:noProof/>
        </w:rPr>
        <w:t>om ændring af gennemførelsesafgørelse 2013/677/EF om bemyndigelse af Luxembourg til at indføre en særlig foranstaltning, der fraviger artikel 285 i direktiv 2006/112/EF om det fælles merværdiafgiftssystem</w:t>
      </w:r>
    </w:p>
    <w:p>
      <w:pPr>
        <w:pStyle w:val="Institutionquiagit"/>
        <w:rPr>
          <w:noProof/>
        </w:rPr>
      </w:pPr>
      <w:r>
        <w:rPr>
          <w:noProof/>
        </w:rPr>
        <w:t>RÅDET FOR DEN EUROPÆISKE UNION HAR —</w:t>
      </w:r>
    </w:p>
    <w:p>
      <w:pPr>
        <w:rPr>
          <w:noProof/>
        </w:rPr>
      </w:pPr>
      <w:r>
        <w:rPr>
          <w:noProof/>
        </w:rPr>
        <w:t xml:space="preserve">under henvisning til traktaten om Den Europæiske Unions funktionsmåde, </w:t>
      </w:r>
    </w:p>
    <w:p>
      <w:pPr>
        <w:rPr>
          <w:noProof/>
        </w:rPr>
      </w:pPr>
      <w:r>
        <w:rPr>
          <w:noProof/>
        </w:rPr>
        <w:t>under henvisning til Rådets direktiv 2006/112/EF af 28. november 2006 om det fælles merværdiafgiftssystem</w:t>
      </w:r>
      <w:r>
        <w:rPr>
          <w:rStyle w:val="FootnoteReference0"/>
          <w:noProof/>
        </w:rPr>
        <w:footnoteReference w:id="14"/>
      </w:r>
      <w:r>
        <w:rPr>
          <w:noProof/>
        </w:rPr>
        <w:t>, særlig artikel 395,</w:t>
      </w:r>
    </w:p>
    <w:p>
      <w:pPr>
        <w:rPr>
          <w:noProof/>
        </w:rPr>
      </w:pPr>
      <w:r>
        <w:rPr>
          <w:noProof/>
        </w:rPr>
        <w:t>under henvisning til forslag fra Europa-Kommissionen, og</w:t>
      </w:r>
    </w:p>
    <w:p>
      <w:pPr>
        <w:rPr>
          <w:noProof/>
        </w:rPr>
      </w:pPr>
      <w:r>
        <w:rPr>
          <w:noProof/>
        </w:rPr>
        <w:t>ud fra følgende betragtninger:</w:t>
      </w:r>
    </w:p>
    <w:p>
      <w:pPr>
        <w:pStyle w:val="ManualConsidrant"/>
        <w:rPr>
          <w:noProof/>
        </w:rPr>
      </w:pPr>
      <w:r>
        <w:t>(1)</w:t>
      </w:r>
      <w:r>
        <w:tab/>
      </w:r>
      <w:r>
        <w:rPr>
          <w:noProof/>
        </w:rPr>
        <w:t>I henhold til artikel 285 i direktiv 2006/112/EF kan de medlemsstater, som ikke har gjort brug af muligheden i artikel 14 i Rådets andet direktiv 67/228/EØF af 11. april 1967 om harmonisering af medlemsstaternes lovgivning om omsætningsafgifter – Det fælles merværdiafgiftssystems struktur og de nærmere regler for dets anvendelse</w:t>
      </w:r>
      <w:r>
        <w:rPr>
          <w:rStyle w:val="FootnoteReference0"/>
          <w:noProof/>
        </w:rPr>
        <w:footnoteReference w:id="15"/>
      </w:r>
      <w:r>
        <w:rPr>
          <w:noProof/>
        </w:rPr>
        <w:t>, indrømme momsfritagelse til momspligtige personer, hvis årlige omsætning ikke overstiger 5 000 EUR eller det tilsvarende beløb i den nationale valuta. De kan også indrømme en gradvis momsnedsættelse til momspligtige personer, hvis årlige omsætning overstiger det loft, der er fastsat med henblik på anvendelsen af momsfritagelsen.</w:t>
      </w:r>
    </w:p>
    <w:p>
      <w:pPr>
        <w:pStyle w:val="ManualConsidrant"/>
        <w:rPr>
          <w:noProof/>
        </w:rPr>
      </w:pPr>
      <w:r>
        <w:t>(2)</w:t>
      </w:r>
      <w:r>
        <w:tab/>
      </w:r>
      <w:r>
        <w:rPr>
          <w:noProof/>
        </w:rPr>
        <w:t>Ved Rådets gennemførelsesafgørelse 2013/677/EU</w:t>
      </w:r>
      <w:r>
        <w:rPr>
          <w:rStyle w:val="FootnoteReference0"/>
          <w:noProof/>
        </w:rPr>
        <w:footnoteReference w:id="16"/>
      </w:r>
      <w:r>
        <w:rPr>
          <w:noProof/>
        </w:rPr>
        <w:t xml:space="preserve"> fik Luxembourg tilladelse til som en fravigelsesforanstaltning indtil den 31. december 2016 at indrømme momsfritagelse til momspligtige personer, hvis årsomsætning ikke overstiger 25 000 EUR.</w:t>
      </w:r>
    </w:p>
    <w:p>
      <w:pPr>
        <w:pStyle w:val="ManualConsidrant"/>
        <w:rPr>
          <w:noProof/>
        </w:rPr>
      </w:pPr>
      <w:r>
        <w:t>(3)</w:t>
      </w:r>
      <w:r>
        <w:tab/>
      </w:r>
      <w:r>
        <w:rPr>
          <w:noProof/>
        </w:rPr>
        <w:t xml:space="preserve">Ved brev registreret i Kommissionen den 26. september 2016 anmodede Luxembourg om tilladelse til at anvende en foranstaltning, der fraviger artikel 285 i direktiv 2006/112/EF, med henblik på at forlænge denne fravigelse fra og med den 1. januar 2017, og samtidig at hæve tærsklen fra 25 000 EUR til 30 000 EUR. </w:t>
      </w:r>
    </w:p>
    <w:p>
      <w:pPr>
        <w:pStyle w:val="ManualConsidrant"/>
        <w:rPr>
          <w:noProof/>
        </w:rPr>
      </w:pPr>
      <w:r>
        <w:t>(4)</w:t>
      </w:r>
      <w:r>
        <w:tab/>
      </w:r>
      <w:r>
        <w:rPr>
          <w:noProof/>
        </w:rPr>
        <w:t>Kommissionen underrettede ved brev af 4. oktober 2016 de øvrige medlemsstater om Luxembourgs anmodning. Ved brev af 5. oktober 2016 underrettede Kommissionen Luxembourg om, at den rådede over alle nødvendige oplysninger for at kunne vurdere anmodningen.</w:t>
      </w:r>
    </w:p>
    <w:p>
      <w:pPr>
        <w:pStyle w:val="ManualConsidrant"/>
        <w:rPr>
          <w:noProof/>
        </w:rPr>
      </w:pPr>
      <w:r>
        <w:t>(5)</w:t>
      </w:r>
      <w:r>
        <w:tab/>
      </w:r>
      <w:r>
        <w:rPr>
          <w:noProof/>
        </w:rPr>
        <w:t xml:space="preserve">Ifølge de oplysninger, som Luxembourg har fremlagt, vil yderligere 970 momspligtige personer potentielt kunne gøre brug af denne foranstaltning med henblik på at reducere deres momsforpligtelser som omhandlet i kapitel 2 til 6 i afsnit XI i direktiv 2006/112/EF. Den byrde, der hviler på skatteforvaltningen i forbindelse med momsopkrævning og kontrol af små virksomheder, vil således også blive mindre. </w:t>
      </w:r>
    </w:p>
    <w:p>
      <w:pPr>
        <w:pStyle w:val="ManualConsidrant"/>
        <w:rPr>
          <w:noProof/>
        </w:rPr>
      </w:pPr>
      <w:r>
        <w:t>(6)</w:t>
      </w:r>
      <w:r>
        <w:tab/>
      </w:r>
      <w:r>
        <w:rPr>
          <w:noProof/>
        </w:rPr>
        <w:t xml:space="preserve">Da den fravigelse, der indrømmes Luxembourg, vil medføre færre momsforpligtelser for små virksomheder, samtidig med at disse stadig kan vælge at benytte den almindelige momsordning i artikel 290 i direktiv 2006/112/EF, bør Luxembourg have tilladelse til at anvende den højere tærskel frem til den 31. december 2019. </w:t>
      </w:r>
    </w:p>
    <w:p>
      <w:pPr>
        <w:pStyle w:val="ManualConsidrant"/>
        <w:rPr>
          <w:noProof/>
        </w:rPr>
      </w:pPr>
      <w:r>
        <w:t>(7)</w:t>
      </w:r>
      <w:r>
        <w:tab/>
      </w:r>
      <w:r>
        <w:rPr>
          <w:noProof/>
        </w:rPr>
        <w:t>Fravigelser indrømmes normalt for en begrænset periode, så det kan vurderes, om den særlige foranstaltning er hensigtsmæssig og effektiv. Fravigelsen bør derfor være tidsbegrænset og ledsages af en udløbsklausul. Bestemmelserne i artikel 281 til 294 i direktiv 2006/112/EF om særordningen for små virksomheder er desuden under revision, og et direktiv om ændring af disse bestemmelser i momsdirektivet kan derfor træde i kraft inden den 31. december 2019.</w:t>
      </w:r>
    </w:p>
    <w:p>
      <w:pPr>
        <w:pStyle w:val="ManualConsidrant"/>
        <w:rPr>
          <w:noProof/>
        </w:rPr>
      </w:pPr>
      <w:r>
        <w:t>(8)</w:t>
      </w:r>
      <w:r>
        <w:tab/>
      </w:r>
      <w:r>
        <w:rPr>
          <w:noProof/>
        </w:rPr>
        <w:t xml:space="preserve">Ifølge oplysningerne indgivet af Luxembourg vil den hævede tærskel have en ubetydelig indvirkning på de samlede momsindtægter, der opkræves ved det endelige forbrug. </w:t>
      </w:r>
    </w:p>
    <w:p>
      <w:pPr>
        <w:pStyle w:val="ManualConsidrant"/>
        <w:rPr>
          <w:noProof/>
        </w:rPr>
      </w:pPr>
      <w:r>
        <w:t>(9)</w:t>
      </w:r>
      <w:r>
        <w:tab/>
      </w:r>
      <w:r>
        <w:rPr>
          <w:noProof/>
        </w:rPr>
        <w:t>Fravigelsen er i overensstemmelse med målsætningerne i Kommissionens meddelelse "Tænk småt først" – En "Small Business Act" for Europa" af 25. juni 2008</w:t>
      </w:r>
      <w:r>
        <w:rPr>
          <w:rStyle w:val="FootnoteReference0"/>
          <w:noProof/>
        </w:rPr>
        <w:footnoteReference w:id="17"/>
      </w:r>
      <w:r>
        <w:rPr>
          <w:noProof/>
        </w:rPr>
        <w:t>.</w:t>
      </w:r>
    </w:p>
    <w:p>
      <w:pPr>
        <w:pStyle w:val="ManualConsidrant"/>
        <w:rPr>
          <w:noProof/>
        </w:rPr>
      </w:pPr>
      <w:r>
        <w:t>(10)</w:t>
      </w:r>
      <w:r>
        <w:tab/>
      </w:r>
      <w:r>
        <w:rPr>
          <w:noProof/>
        </w:rPr>
        <w:t>Fravigelsen vil ikke få negativ indvirkning på Unionens egne indtægter hidrørende fra moms, idet Luxembourg vil foretage en kompensationsberegning som omhandlet i artikel 6 i Rådets forordning (EØF, Euratom) nr. 1553/89</w:t>
      </w:r>
      <w:r>
        <w:rPr>
          <w:rStyle w:val="FootnoteReference0"/>
          <w:noProof/>
        </w:rPr>
        <w:footnoteReference w:id="18"/>
      </w:r>
      <w:r>
        <w:rPr>
          <w:noProof/>
        </w:rPr>
        <w:t>.</w:t>
      </w:r>
    </w:p>
    <w:p>
      <w:pPr>
        <w:pStyle w:val="ManualConsidrant"/>
        <w:rPr>
          <w:noProof/>
        </w:rPr>
      </w:pPr>
      <w:r>
        <w:t>(11)</w:t>
      </w:r>
      <w:r>
        <w:tab/>
      </w:r>
      <w:r>
        <w:rPr>
          <w:noProof/>
        </w:rPr>
        <w:t>Gennemførelsesafgørelse 2013/677/EU bør derfor ændres —</w:t>
      </w:r>
    </w:p>
    <w:p>
      <w:pPr>
        <w:pStyle w:val="Formuledadoption"/>
        <w:rPr>
          <w:noProof/>
        </w:rPr>
      </w:pPr>
      <w:r>
        <w:rPr>
          <w:noProof/>
        </w:rPr>
        <w:t xml:space="preserve">VEDTAGET DENNE AFGØRELSE: </w:t>
      </w:r>
    </w:p>
    <w:p>
      <w:pPr>
        <w:pStyle w:val="Titrearticle"/>
        <w:rPr>
          <w:noProof/>
        </w:rPr>
      </w:pPr>
      <w:r>
        <w:rPr>
          <w:noProof/>
        </w:rPr>
        <w:t>Artikel 1</w:t>
      </w:r>
    </w:p>
    <w:p>
      <w:pPr>
        <w:rPr>
          <w:noProof/>
        </w:rPr>
      </w:pPr>
      <w:r>
        <w:rPr>
          <w:noProof/>
        </w:rPr>
        <w:t>Artikel 1 og 2 i Kommissionens gennemførelsesafgørelse 2013/677/EU affattes således:</w:t>
      </w:r>
    </w:p>
    <w:p>
      <w:pPr>
        <w:pStyle w:val="Titrearticle"/>
        <w:rPr>
          <w:noProof/>
        </w:rPr>
      </w:pPr>
      <w:r>
        <w:rPr>
          <w:noProof/>
        </w:rPr>
        <w:t>"Artikel 1</w:t>
      </w:r>
    </w:p>
    <w:p>
      <w:pPr>
        <w:rPr>
          <w:noProof/>
        </w:rPr>
      </w:pPr>
      <w:r>
        <w:rPr>
          <w:noProof/>
          <w:color w:val="000000"/>
        </w:rPr>
        <w:t>Som en fravigelse af artikel 285 i direktiv 2006/112/EF bemyndiges Luxembourg til at momsfritage momspligtige personer med en årlig omsætning på højst 30 000 EUR.</w:t>
      </w:r>
    </w:p>
    <w:p>
      <w:pPr>
        <w:pStyle w:val="Titrearticle"/>
        <w:rPr>
          <w:noProof/>
        </w:rPr>
      </w:pPr>
      <w:r>
        <w:rPr>
          <w:noProof/>
        </w:rPr>
        <w:t>Artikel 2</w:t>
      </w:r>
    </w:p>
    <w:p>
      <w:pPr>
        <w:rPr>
          <w:noProof/>
        </w:rPr>
      </w:pPr>
      <w:r>
        <w:rPr>
          <w:noProof/>
        </w:rPr>
        <w:t>Denne afgørelse får virkning på dagen for meddelelsen.</w:t>
      </w:r>
    </w:p>
    <w:p>
      <w:pPr>
        <w:rPr>
          <w:noProof/>
        </w:rPr>
      </w:pPr>
      <w:r>
        <w:rPr>
          <w:noProof/>
        </w:rPr>
        <w:t>Denne afgørelse anvendes indtil den 31. december 2019 eller indtil datoen for ikrafttrædelsen af et direktiv om ændring af bestemmelserne i artikel 281 til 294 i direktiv 2006/112/EF om særordningen for små virksomheder, alt efter hvilken dato der kommer først."</w:t>
      </w:r>
    </w:p>
    <w:p>
      <w:pPr>
        <w:pStyle w:val="Titrearticle"/>
        <w:rPr>
          <w:noProof/>
        </w:rPr>
      </w:pPr>
      <w:r>
        <w:rPr>
          <w:noProof/>
        </w:rPr>
        <w:t>Artikel 2</w:t>
      </w:r>
    </w:p>
    <w:p>
      <w:pPr>
        <w:rPr>
          <w:noProof/>
        </w:rPr>
      </w:pPr>
      <w:r>
        <w:rPr>
          <w:noProof/>
        </w:rPr>
        <w:t>Denne afgørelse er rettet til Storhertugdømmet Luxembourg.</w:t>
      </w:r>
    </w:p>
    <w:p>
      <w:pPr>
        <w:pStyle w:val="Fait"/>
        <w:rPr>
          <w:noProof/>
        </w:rPr>
      </w:pPr>
      <w:r>
        <w:rPr>
          <w:noProof/>
        </w:rPr>
        <w:t>Udfærdiget i Bruxelles, den .</w:t>
      </w:r>
    </w:p>
    <w:p>
      <w:pPr>
        <w:pStyle w:val="Institutionquisigne"/>
        <w:rPr>
          <w:noProof/>
        </w:rPr>
      </w:pPr>
      <w:r>
        <w:rPr>
          <w:noProof/>
        </w:rPr>
        <w:tab/>
        <w:t>På Rådets vegne</w:t>
      </w:r>
    </w:p>
    <w:p>
      <w:pPr>
        <w:pStyle w:val="Personnequisigne"/>
        <w:rPr>
          <w:noProof/>
        </w:rPr>
      </w:pPr>
      <w:r>
        <w:rPr>
          <w:noProof/>
        </w:rPr>
        <w:tab/>
        <w:t>Formand</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DA</w:t>
    </w:r>
    <w:r>
      <w:rPr>
        <w:rFonts w:ascii="Arial" w:hAnsi="Arial" w:cs="Arial"/>
        <w:b/>
        <w:sz w:val="48"/>
      </w:rPr>
      <w:tab/>
    </w:r>
    <w:r>
      <w:fldChar w:fldCharType="begin"/>
    </w:r>
    <w:r>
      <w:instrText xml:space="preserve"> PAGE  \* MERGEFORMAT </w:instrText>
    </w:r>
    <w:r>
      <w:fldChar w:fldCharType="separate"/>
    </w:r>
    <w:r>
      <w:rPr>
        <w:noProof/>
      </w:rPr>
      <w:t>8</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0"/>
        </w:rPr>
        <w:footnoteRef/>
      </w:r>
      <w:r>
        <w:tab/>
        <w:t>EUT L 347 af 11.12.2006, s. 1.</w:t>
      </w:r>
    </w:p>
  </w:footnote>
  <w:footnote w:id="2">
    <w:p>
      <w:pPr>
        <w:pStyle w:val="FootnoteText"/>
      </w:pPr>
      <w:r>
        <w:rPr>
          <w:rStyle w:val="FootnoteReference0"/>
        </w:rPr>
        <w:footnoteRef/>
      </w:r>
      <w:r>
        <w:tab/>
        <w:t>Rådets andet direktiv 67/228/EØF af 11. april 1967 om harmonisering af medlemsstaternes lovgivning om omsætningsafgifter - Det fælles merværdiafgiftssystems struktur og de nærmere regler for dets anvendelse (EFT 71 af 14.4.1967, s. 1303).</w:t>
      </w:r>
    </w:p>
  </w:footnote>
  <w:footnote w:id="3">
    <w:p>
      <w:pPr>
        <w:pStyle w:val="FootnoteText"/>
      </w:pPr>
      <w:r>
        <w:rPr>
          <w:rStyle w:val="FootnoteReference0"/>
        </w:rPr>
        <w:footnoteRef/>
      </w:r>
      <w:r>
        <w:tab/>
        <w:t>Rådets gennemførelsesafgørelse 2013/677/EU af 15. november 2013 om tilladelse til Rumænien til at indføre en særlig foranstaltning, der fraviger artikel 285 i direktiv 2006/112/EF om det fælles merværdiafgiftssystem (EUT L 316 af 27.11.2013, s. 33).</w:t>
      </w:r>
    </w:p>
  </w:footnote>
  <w:footnote w:id="4">
    <w:p>
      <w:pPr>
        <w:pStyle w:val="FootnoteText"/>
      </w:pPr>
      <w:r>
        <w:rPr>
          <w:rStyle w:val="FootnoteReference0"/>
        </w:rPr>
        <w:footnoteRef/>
      </w:r>
      <w:r>
        <w:tab/>
        <w:t>Meddelelse fra Kommissionen til Europa-Parlamentet, Rådet og Det Europæiske Økonomiske og Sociale Udvalg om en handlingsplan for moms – Mod et fælles europæisk momsområde – De svære valg, Bruxelles, den 7.4.2016 (COM(2016) 148 final).</w:t>
      </w:r>
    </w:p>
  </w:footnote>
  <w:footnote w:id="5">
    <w:p>
      <w:pPr>
        <w:pStyle w:val="FootnoteText"/>
      </w:pPr>
      <w:r>
        <w:rPr>
          <w:rStyle w:val="FootnoteReference0"/>
        </w:rPr>
        <w:footnoteRef/>
      </w:r>
      <w:r>
        <w:tab/>
        <w:t>Rådets gennemførelsesafgørelse (EU) 2015/2348 af 10. december 2015 om ændring af gennemførelsesafgørelse 2013/53/EU om bemyndigelse af Kongeriget Belgien til at indføre en særlig foranstaltning, der fraviger artikel 285 i direktiv 2006/112/EF om det fælles merværdiafgiftssystem (EUT L 330 af 16.12.2015, s. 51).</w:t>
      </w:r>
    </w:p>
  </w:footnote>
  <w:footnote w:id="6">
    <w:p>
      <w:pPr>
        <w:pStyle w:val="FootnoteText"/>
      </w:pPr>
      <w:r>
        <w:rPr>
          <w:rStyle w:val="FootnoteReference0"/>
        </w:rPr>
        <w:footnoteRef/>
      </w:r>
      <w:r>
        <w:tab/>
        <w:t>Rådets gennemførelsesafgørelse 2015/1173/EU af 14. juli 2015 om ændring af beslutning 2009/790/EF om bemyndigelse af Republikken Polen til at anvende en foranstaltning, der fraviger artikel 287 i direktiv 2006/112/EF om det fælles merværdiafgiftssystem (EUT L 189 af 17.7.2015, s. 36).</w:t>
      </w:r>
    </w:p>
  </w:footnote>
  <w:footnote w:id="7">
    <w:p>
      <w:pPr>
        <w:pStyle w:val="FootnoteText"/>
      </w:pPr>
      <w:r>
        <w:rPr>
          <w:rStyle w:val="FootnoteReference0"/>
        </w:rPr>
        <w:footnoteRef/>
      </w:r>
      <w:r>
        <w:tab/>
      </w:r>
      <w:r>
        <w:rPr>
          <w:color w:val="000000"/>
        </w:rPr>
        <w:t>Rådets gennemførelsesafgørelse 2014/795/EU af 7. november 2014 om forlængelse af anvendelsen af gennemførelsesafgørelse 2011/335/EU om bemyndigelse af Republikken Litauen til at anvende en foranstaltning, der fraviger artikel 287 i direktiv 2006/112/EF om det fælles merværdiafgiftssystem (EUT L 330 af 15.11.2014, s. 44).</w:t>
      </w:r>
    </w:p>
  </w:footnote>
  <w:footnote w:id="8">
    <w:p>
      <w:pPr>
        <w:pStyle w:val="FootnoteText"/>
      </w:pPr>
      <w:r>
        <w:rPr>
          <w:rStyle w:val="FootnoteReference0"/>
        </w:rPr>
        <w:footnoteRef/>
      </w:r>
      <w:r>
        <w:tab/>
      </w:r>
      <w:r>
        <w:rPr>
          <w:color w:val="000000"/>
        </w:rPr>
        <w:t>Rådets gennemførelsesafgørelse 2014/796/EU af 7. november 2014 om bemyndigelse af Republikken Letland til at anvende en foranstaltning, der fraviger artikel 287 i direktiv 2006/112/EF om det fælles merværdiafgiftssystem (EUT L 330 af 15.11.2014, s. 46).</w:t>
      </w:r>
    </w:p>
  </w:footnote>
  <w:footnote w:id="9">
    <w:p>
      <w:pPr>
        <w:pStyle w:val="FootnoteText"/>
      </w:pPr>
      <w:r>
        <w:rPr>
          <w:rStyle w:val="FootnoteReference0"/>
        </w:rPr>
        <w:footnoteRef/>
      </w:r>
      <w:r>
        <w:tab/>
      </w:r>
      <w:r>
        <w:rPr>
          <w:color w:val="000000"/>
        </w:rPr>
        <w:t>Rådets gennemførelsesafgørelse 2013/54/EU af 22. januar 2013 om bemyndigelse af Republikken Slovenien til at anvende en særlig foranstaltning, der fraviger artikel 287 i direktiv 2006/112/EF om det fælles merværdiafgiftssystem (EUT L 22 af 25.1.2013, s. 15).</w:t>
      </w:r>
    </w:p>
  </w:footnote>
  <w:footnote w:id="10">
    <w:p>
      <w:pPr>
        <w:pStyle w:val="FootnoteText"/>
      </w:pPr>
      <w:r>
        <w:rPr>
          <w:rStyle w:val="FootnoteReference0"/>
        </w:rPr>
        <w:footnoteRef/>
      </w:r>
      <w:r>
        <w:tab/>
        <w:t>Rådets gennemførelsesafgørelse 2016/1988/EU af 8. november 2016 om tilladelse til Den Italienske Republik til fortsat at anvende en særlig foranstaltning, der fraviger artikel 285 i direktiv 2006/112/EF om det fælles merværdiafgiftssystem (EUT L 306 af 15.11.2016, s. 1).</w:t>
      </w:r>
    </w:p>
  </w:footnote>
  <w:footnote w:id="11">
    <w:p>
      <w:pPr>
        <w:pStyle w:val="FootnoteText"/>
      </w:pPr>
      <w:r>
        <w:rPr>
          <w:rStyle w:val="FootnoteReference0"/>
        </w:rPr>
        <w:footnoteRef/>
      </w:r>
      <w:r>
        <w:tab/>
      </w:r>
      <w:r>
        <w:rPr>
          <w:color w:val="000000"/>
        </w:rPr>
        <w:t>Rådets gennemførelsesafgørelse 2014/931/EU af 16. december 2014 om forlængelse af anvendelsen af gennemførelsesafgørelse 2012/181/EU om tilladelse til Rumænien til at indføre en særlig foranstaltning, der fraviger artikel 287 i direktiv 2006/112/EF om det fælles merværdiafgiftssystem (EUT L 365 af 19.12.2014, s. 145).</w:t>
      </w:r>
    </w:p>
  </w:footnote>
  <w:footnote w:id="12">
    <w:p>
      <w:pPr>
        <w:pStyle w:val="FootnoteText"/>
      </w:pPr>
      <w:r>
        <w:rPr>
          <w:rStyle w:val="FootnoteReference0"/>
        </w:rPr>
        <w:footnoteRef/>
      </w:r>
      <w:r>
        <w:tab/>
        <w:t>KOM(2008) 394 af 25. juni 2008.</w:t>
      </w:r>
    </w:p>
  </w:footnote>
  <w:footnote w:id="13">
    <w:p>
      <w:pPr>
        <w:pStyle w:val="FootnoteText"/>
      </w:pPr>
      <w:r>
        <w:rPr>
          <w:rStyle w:val="FootnoteReference0"/>
        </w:rPr>
        <w:footnoteRef/>
      </w:r>
      <w:r>
        <w:tab/>
        <w:t>EFT L 155 af 7.6.1989, s. 9.</w:t>
      </w:r>
    </w:p>
  </w:footnote>
  <w:footnote w:id="14">
    <w:p>
      <w:pPr>
        <w:pStyle w:val="FootnoteText"/>
      </w:pPr>
      <w:r>
        <w:rPr>
          <w:rStyle w:val="FootnoteReference0"/>
        </w:rPr>
        <w:footnoteRef/>
      </w:r>
      <w:r>
        <w:tab/>
        <w:t>EUT L 347 af 11.12.2006, s. 1.</w:t>
      </w:r>
    </w:p>
  </w:footnote>
  <w:footnote w:id="15">
    <w:p>
      <w:pPr>
        <w:pStyle w:val="FootnoteText"/>
      </w:pPr>
      <w:r>
        <w:rPr>
          <w:rStyle w:val="FootnoteReference0"/>
        </w:rPr>
        <w:footnoteRef/>
      </w:r>
      <w:r>
        <w:tab/>
        <w:t>EFT 71 af 14.4.1967, s. 1303/67.</w:t>
      </w:r>
    </w:p>
  </w:footnote>
  <w:footnote w:id="16">
    <w:p>
      <w:pPr>
        <w:pStyle w:val="FootnoteText"/>
      </w:pPr>
      <w:r>
        <w:rPr>
          <w:rStyle w:val="FootnoteReference0"/>
        </w:rPr>
        <w:footnoteRef/>
      </w:r>
      <w:r>
        <w:tab/>
        <w:t>Rådets gennemførelsesafgørelse 2013/677/EU af 15. november 2013 om tilladelse til Rumænien til at indføre en særlig foranstaltning, der fraviger artikel 285 i direktiv 2006/112/EF om det fælles merværdiafgiftssystem (EUT L 316 af 27.11.2013, s. 33).</w:t>
      </w:r>
    </w:p>
  </w:footnote>
  <w:footnote w:id="17">
    <w:p>
      <w:pPr>
        <w:pStyle w:val="FootnoteText"/>
      </w:pPr>
      <w:r>
        <w:rPr>
          <w:rStyle w:val="FootnoteReference0"/>
        </w:rPr>
        <w:footnoteRef/>
      </w:r>
      <w:r>
        <w:tab/>
        <w:t>Meddelelse fra Kommissionen til Rådet, Europa-Parlamentet, Det Europæiske Økonomiske og Sociale Udvalg og Regionsudvalget – "Tænk småt først" – En "Small Business Act" for Europa, Bruxelles, den 25.6.2008 (KOM(2008) 394 endelig).</w:t>
      </w:r>
      <w:r>
        <w:rPr>
          <w:rStyle w:val="Strong"/>
          <w:rFonts w:ascii="Lucida Sans Unicode" w:hAnsi="Lucida Sans Unicode"/>
          <w:color w:val="444444"/>
          <w:sz w:val="19"/>
        </w:rPr>
        <w:t xml:space="preserve"> </w:t>
      </w:r>
    </w:p>
  </w:footnote>
  <w:footnote w:id="18">
    <w:p>
      <w:pPr>
        <w:pStyle w:val="FootnoteText"/>
      </w:pPr>
      <w:r>
        <w:rPr>
          <w:rStyle w:val="FootnoteReference0"/>
        </w:rPr>
        <w:footnoteRef/>
      </w:r>
      <w:r>
        <w:tab/>
        <w:t>Rådets forordning (EØF, Euratom) nr. 1553/89 af 29. maj 1989 om den endelige ordning for ensartet opkrævning af egne indtægter hidrørende fra merværdiafgiften (EFT L 155 af 7.6.1989, s. 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0D269F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B34B628"/>
    <w:lvl w:ilvl="0">
      <w:start w:val="1"/>
      <w:numFmt w:val="decimal"/>
      <w:pStyle w:val="ListNumber3"/>
      <w:lvlText w:val="%1."/>
      <w:lvlJc w:val="left"/>
      <w:pPr>
        <w:tabs>
          <w:tab w:val="num" w:pos="926"/>
        </w:tabs>
        <w:ind w:left="926" w:hanging="360"/>
      </w:pPr>
    </w:lvl>
  </w:abstractNum>
  <w:abstractNum w:abstractNumId="2">
    <w:nsid w:val="FFFFFF7F"/>
    <w:multiLevelType w:val="singleLevel"/>
    <w:tmpl w:val="08782F08"/>
    <w:lvl w:ilvl="0">
      <w:start w:val="1"/>
      <w:numFmt w:val="decimal"/>
      <w:pStyle w:val="ListNumber2"/>
      <w:lvlText w:val="%1."/>
      <w:lvlJc w:val="left"/>
      <w:pPr>
        <w:tabs>
          <w:tab w:val="num" w:pos="643"/>
        </w:tabs>
        <w:ind w:left="643" w:hanging="360"/>
      </w:pPr>
    </w:lvl>
  </w:abstractNum>
  <w:abstractNum w:abstractNumId="3">
    <w:nsid w:val="FFFFFF81"/>
    <w:multiLevelType w:val="singleLevel"/>
    <w:tmpl w:val="FE3E3DA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54583A4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293E896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AD2ADAF6"/>
    <w:lvl w:ilvl="0">
      <w:start w:val="1"/>
      <w:numFmt w:val="decimal"/>
      <w:pStyle w:val="ListNumber"/>
      <w:lvlText w:val="%1."/>
      <w:lvlJc w:val="left"/>
      <w:pPr>
        <w:tabs>
          <w:tab w:val="num" w:pos="360"/>
        </w:tabs>
        <w:ind w:left="360" w:hanging="360"/>
      </w:pPr>
    </w:lvl>
  </w:abstractNum>
  <w:abstractNum w:abstractNumId="7">
    <w:nsid w:val="FFFFFF89"/>
    <w:multiLevelType w:val="singleLevel"/>
    <w:tmpl w:val="D7D828D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55"/>
  <w:hideSpellingErrors/>
  <w:hideGrammaticalErrors/>
  <w:attachedTemplate r:id="rId1"/>
  <w:revisionView w:markup="0"/>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1-05 11:30:28"/>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2FAF10DEDD274799A11808BADAF95CF2"/>
    <w:docVar w:name="LW_CROSSREFERENCE" w:val="&lt;UNUSED&gt;"/>
    <w:docVar w:name="LW_DocType" w:val="COM"/>
    <w:docVar w:name="LW_EMISSION" w:val="6.1.2017"/>
    <w:docVar w:name="LW_EMISSION_ISODATE" w:val="2017-01-06"/>
    <w:docVar w:name="LW_EMISSION_LOCATION" w:val="BRX"/>
    <w:docVar w:name="LW_EMISSION_PREFIX" w:val="Bruxelles, den "/>
    <w:docVar w:name="LW_EMISSION_SUFFIX" w:val=" "/>
    <w:docVar w:name="LW_ID_DOCMODEL" w:val="SJ-020"/>
    <w:docVar w:name="LW_ID_DOCSIGNATURE" w:val="SJ-020"/>
    <w:docVar w:name="LW_ID_DOCSTRUCTURE" w:val="COM/PL/ORG"/>
    <w:docVar w:name="LW_ID_DOCTYPE" w:val="SJ-020"/>
    <w:docVar w:name="LW_ID_STATUT" w:val="SJ-020"/>
    <w:docVar w:name="LW_INTERETEEE.CP" w:val="&lt;UNUSED&gt;"/>
    <w:docVar w:name="LW_LANGUE" w:val="DA"/>
    <w:docVar w:name="LW_MARKING" w:val="&lt;UNUSED&gt;"/>
    <w:docVar w:name="LW_NOM.INST" w:val="EUROPA-KOMMISSIONEN"/>
    <w:docVar w:name="LW_NOM.INST_JOINTDOC" w:val="&lt;EMPTY&gt;"/>
    <w:docVar w:name="LW_PART_NBR" w:val="1"/>
    <w:docVar w:name="LW_PART_NBR_TOTAL" w:val="1"/>
    <w:docVar w:name="LW_REF.II.NEW.CP" w:val="NLE"/>
    <w:docVar w:name="LW_REF.II.NEW.CP_NUMBER" w:val="0417"/>
    <w:docVar w:name="LW_REF.II.NEW.CP_YEAR" w:val="2016"/>
    <w:docVar w:name="LW_REF.INST.NEW" w:val="COM"/>
    <w:docVar w:name="LW_REF.INST.NEW_ADOPTED" w:val="final"/>
    <w:docVar w:name="LW_REF.INST.NEW_TEXT" w:val="(2016) 833"/>
    <w:docVar w:name="LW_REF.INTERNE" w:val="&lt;UNUSED&gt;"/>
    <w:docVar w:name="LW_SOUS.TITRE.OBJ.CP" w:val="&lt;UNUSED&gt;"/>
    <w:docVar w:name="LW_STATUT.CP" w:val="Forslag til"/>
    <w:docVar w:name="LW_SUPERTITRE" w:val="&lt;UNUSED&gt;"/>
    <w:docVar w:name="LW_TITRE.OBJ.CP" w:val="om ændring af gennemførelsesafgørelse 2013/677/EF om bemyndigelse af Luxembourg til at indføre en særlig foranstaltning, der fraviger artikel 285 i direktiv 2006/112/EF om det fælles merværdiafgiftssystem"/>
    <w:docVar w:name="LW_TYPE.DOC.CP" w:val="RÅDETS GENNEMFØRELSESAFGØRELSE"/>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da-DK" w:eastAsia="da-DK" w:bidi="da-D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da-DK"/>
    </w:rPr>
  </w:style>
  <w:style w:type="character" w:styleId="Hyperlink">
    <w:name w:val="Hyperlink"/>
    <w:uiPriority w:val="99"/>
    <w:unhideWhenUsed/>
    <w:rPr>
      <w:color w:val="0000FF"/>
      <w:u w:val="single"/>
    </w:rPr>
  </w:style>
  <w:style w:type="character" w:customStyle="1" w:styleId="footnotereference">
    <w:name w:val="footnotereference"/>
    <w:basedOn w:val="DefaultParagraphFont"/>
  </w:style>
  <w:style w:type="character" w:styleId="FootnoteReference0">
    <w:name w:val="footnote reference"/>
    <w:basedOn w:val="DefaultParagraphFont"/>
    <w:uiPriority w:val="99"/>
    <w:semiHidden/>
    <w:unhideWhenUsed/>
    <w:rPr>
      <w:shd w:val="clear" w:color="auto" w:fill="auto"/>
      <w:vertAlign w:val="superscript"/>
    </w:rPr>
  </w:style>
  <w:style w:type="paragraph" w:styleId="Caption">
    <w:name w:val="caption"/>
    <w:basedOn w:val="Normal"/>
    <w:next w:val="Normal"/>
    <w:uiPriority w:val="35"/>
    <w:semiHidden/>
    <w:unhideWhenUsed/>
    <w:qFormat/>
    <w:pPr>
      <w:spacing w:before="0" w:after="200"/>
    </w:pPr>
    <w:rPr>
      <w:b/>
      <w:bCs/>
      <w:color w:val="4F81BD"/>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hAnsi="Times New Roman" w:cs="Times New Roman"/>
      <w:sz w:val="20"/>
      <w:szCs w:val="20"/>
      <w:lang w:val="da-D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cs="Times New Roman"/>
      <w:b/>
      <w:bCs/>
      <w:sz w:val="20"/>
      <w:szCs w:val="20"/>
      <w:lang w:val="da-DK"/>
    </w:rPr>
  </w:style>
  <w:style w:type="paragraph" w:styleId="Revision">
    <w:name w:val="Revision"/>
    <w:hidden/>
    <w:uiPriority w:val="99"/>
    <w:semiHidden/>
    <w:rPr>
      <w:rFonts w:ascii="Times New Roman" w:hAnsi="Times New Roman"/>
      <w:sz w:val="24"/>
    </w:rPr>
  </w:style>
  <w:style w:type="character" w:styleId="Strong">
    <w:name w:val="Strong"/>
    <w:uiPriority w:val="22"/>
    <w:qFormat/>
    <w:rPr>
      <w:b/>
      <w:bCs/>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bidi="ar-SA"/>
    </w:rPr>
  </w:style>
  <w:style w:type="character" w:customStyle="1" w:styleId="HeaderChar">
    <w:name w:val="Header Char"/>
    <w:basedOn w:val="DefaultParagraphFont"/>
    <w:link w:val="Header"/>
    <w:uiPriority w:val="99"/>
    <w:rPr>
      <w:rFonts w:ascii="Times New Roman" w:eastAsiaTheme="minorHAnsi" w:hAnsi="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da-DK" w:eastAsia="da-DK" w:bidi="da-D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da-DK"/>
    </w:rPr>
  </w:style>
  <w:style w:type="character" w:styleId="Hyperlink">
    <w:name w:val="Hyperlink"/>
    <w:uiPriority w:val="99"/>
    <w:unhideWhenUsed/>
    <w:rPr>
      <w:color w:val="0000FF"/>
      <w:u w:val="single"/>
    </w:rPr>
  </w:style>
  <w:style w:type="character" w:customStyle="1" w:styleId="footnotereference">
    <w:name w:val="footnotereference"/>
    <w:basedOn w:val="DefaultParagraphFont"/>
  </w:style>
  <w:style w:type="character" w:styleId="FootnoteReference0">
    <w:name w:val="footnote reference"/>
    <w:basedOn w:val="DefaultParagraphFont"/>
    <w:uiPriority w:val="99"/>
    <w:semiHidden/>
    <w:unhideWhenUsed/>
    <w:rPr>
      <w:shd w:val="clear" w:color="auto" w:fill="auto"/>
      <w:vertAlign w:val="superscript"/>
    </w:rPr>
  </w:style>
  <w:style w:type="paragraph" w:styleId="Caption">
    <w:name w:val="caption"/>
    <w:basedOn w:val="Normal"/>
    <w:next w:val="Normal"/>
    <w:uiPriority w:val="35"/>
    <w:semiHidden/>
    <w:unhideWhenUsed/>
    <w:qFormat/>
    <w:pPr>
      <w:spacing w:before="0" w:after="200"/>
    </w:pPr>
    <w:rPr>
      <w:b/>
      <w:bCs/>
      <w:color w:val="4F81BD"/>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hAnsi="Times New Roman" w:cs="Times New Roman"/>
      <w:sz w:val="20"/>
      <w:szCs w:val="20"/>
      <w:lang w:val="da-D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cs="Times New Roman"/>
      <w:b/>
      <w:bCs/>
      <w:sz w:val="20"/>
      <w:szCs w:val="20"/>
      <w:lang w:val="da-DK"/>
    </w:rPr>
  </w:style>
  <w:style w:type="paragraph" w:styleId="Revision">
    <w:name w:val="Revision"/>
    <w:hidden/>
    <w:uiPriority w:val="99"/>
    <w:semiHidden/>
    <w:rPr>
      <w:rFonts w:ascii="Times New Roman" w:hAnsi="Times New Roman"/>
      <w:sz w:val="24"/>
    </w:rPr>
  </w:style>
  <w:style w:type="character" w:styleId="Strong">
    <w:name w:val="Strong"/>
    <w:uiPriority w:val="22"/>
    <w:qFormat/>
    <w:rPr>
      <w:b/>
      <w:bCs/>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bidi="ar-SA"/>
    </w:rPr>
  </w:style>
  <w:style w:type="character" w:customStyle="1" w:styleId="HeaderChar">
    <w:name w:val="Header Char"/>
    <w:basedOn w:val="DefaultParagraphFont"/>
    <w:link w:val="Header"/>
    <w:uiPriority w:val="99"/>
    <w:rPr>
      <w:rFonts w:ascii="Times New Roman" w:eastAsiaTheme="minorHAnsi" w:hAnsi="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238889">
      <w:bodyDiv w:val="1"/>
      <w:marLeft w:val="0"/>
      <w:marRight w:val="0"/>
      <w:marTop w:val="0"/>
      <w:marBottom w:val="0"/>
      <w:divBdr>
        <w:top w:val="none" w:sz="0" w:space="0" w:color="auto"/>
        <w:left w:val="none" w:sz="0" w:space="0" w:color="auto"/>
        <w:bottom w:val="none" w:sz="0" w:space="0" w:color="auto"/>
        <w:right w:val="none" w:sz="0" w:space="0" w:color="auto"/>
      </w:divBdr>
    </w:div>
    <w:div w:id="1373270166">
      <w:bodyDiv w:val="1"/>
      <w:marLeft w:val="0"/>
      <w:marRight w:val="0"/>
      <w:marTop w:val="0"/>
      <w:marBottom w:val="0"/>
      <w:divBdr>
        <w:top w:val="none" w:sz="0" w:space="0" w:color="auto"/>
        <w:left w:val="none" w:sz="0" w:space="0" w:color="auto"/>
        <w:bottom w:val="none" w:sz="0" w:space="0" w:color="auto"/>
        <w:right w:val="none" w:sz="0" w:space="0" w:color="auto"/>
      </w:divBdr>
    </w:div>
    <w:div w:id="188594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54A39-EAE9-46BD-B0B6-5F0D2287A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8</Pages>
  <Words>1871</Words>
  <Characters>11264</Characters>
  <Application>Microsoft Office Word</Application>
  <DocSecurity>0</DocSecurity>
  <Lines>197</Lines>
  <Paragraphs>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cp:lastPrinted>2016-12-16T14:15:00Z</cp:lastPrinted>
  <dcterms:created xsi:type="dcterms:W3CDTF">2016-12-20T08:13:00Z</dcterms:created>
  <dcterms:modified xsi:type="dcterms:W3CDTF">2017-01-05T10:30:00Z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SJ-020</vt:lpwstr>
  </property>
  <property fmtid="{D5CDD505-2E9C-101B-9397-08002B2CF9AE}" pid="10" name="DQCStatus">
    <vt:lpwstr>Green (DQC version 03)</vt:lpwstr>
  </property>
  <property name="OP_sanitized" fmtid="{D5CDD505-2E9C-101B-9397-08002B2CF9AE}" pid="11">
    <vt:lpwstr>True</vt:lpwstr>
  </property>
</Properties>
</file>