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742146FE5A11422E80B222A90765D723" style="width:450.35pt;height:338.95pt">
            <v:imagedata r:id="rId12" o:title=""/>
          </v:shape>
        </w:pict>
      </w:r>
    </w:p>
    <w:p>
      <w:pPr>
        <w:rPr>
          <w:noProof/>
          <w:color w:val="000000" w:themeColor="text1"/>
        </w:rPr>
        <w:sectPr>
          <w:footerReference w:type="default" r:id="rId13"/>
          <w:pgSz w:w="11907" w:h="16839"/>
          <w:pgMar w:top="1134" w:right="1417" w:bottom="1134" w:left="1417" w:header="709" w:footer="709" w:gutter="0"/>
          <w:pgNumType w:start="1"/>
          <w:cols w:space="720"/>
          <w:docGrid w:linePitch="360"/>
        </w:sectPr>
      </w:pPr>
    </w:p>
    <w:p>
      <w:pPr>
        <w:pStyle w:val="Exposdesmotifstitre"/>
        <w:rPr>
          <w:noProof/>
          <w:color w:val="000000" w:themeColor="text1"/>
        </w:rPr>
      </w:pPr>
      <w:bookmarkStart w:id="0" w:name="_GoBack"/>
      <w:bookmarkEnd w:id="0"/>
      <w:r>
        <w:rPr>
          <w:noProof/>
          <w:color w:val="000000" w:themeColor="text1"/>
        </w:rPr>
        <w:t>BEGRUNDELSE</w:t>
      </w:r>
    </w:p>
    <w:p>
      <w:pPr>
        <w:pStyle w:val="ManualHeading1"/>
        <w:rPr>
          <w:noProof/>
          <w:color w:val="000000" w:themeColor="text1"/>
        </w:rPr>
      </w:pPr>
      <w:r>
        <w:rPr>
          <w:noProof/>
          <w:color w:val="000000" w:themeColor="text1"/>
        </w:rPr>
        <w:t>1.</w:t>
      </w:r>
      <w:r>
        <w:rPr>
          <w:noProof/>
          <w:color w:val="000000" w:themeColor="text1"/>
        </w:rPr>
        <w:tab/>
        <w:t>BAGGRUND FOR FORSLAGET</w:t>
      </w:r>
    </w:p>
    <w:p>
      <w:pPr>
        <w:pStyle w:val="ManualHeading2"/>
        <w:rPr>
          <w:rFonts w:eastAsia="Arial Unicode MS"/>
          <w:noProof/>
          <w:color w:val="000000" w:themeColor="text1"/>
        </w:rPr>
      </w:pPr>
      <w:r>
        <w:rPr>
          <w:noProof/>
          <w:color w:val="000000" w:themeColor="text1"/>
          <w:u w:color="000000"/>
          <w:bdr w:val="nil"/>
        </w:rPr>
        <w:t>•</w:t>
      </w:r>
      <w:r>
        <w:rPr>
          <w:noProof/>
          <w:color w:val="000000" w:themeColor="text1"/>
          <w:u w:color="000000"/>
          <w:bdr w:val="nil"/>
        </w:rPr>
        <w:tab/>
      </w:r>
      <w:r>
        <w:rPr>
          <w:noProof/>
          <w:color w:val="000000" w:themeColor="text1"/>
        </w:rPr>
        <w:t>Forslagets begrundelse og formål</w:t>
      </w:r>
    </w:p>
    <w:p>
      <w:pPr>
        <w:rPr>
          <w:noProof/>
        </w:rPr>
      </w:pPr>
      <w:r>
        <w:rPr>
          <w:noProof/>
        </w:rPr>
        <w:t>De idealer, principper og værdier, der er rodfæstet i den europæiske kulturarv, udgør en fælles kilde til erindring, forståelse, identitet, dialog, sammenhæng og kreativitet for Europa. Siden vedtagelsen af den europæiske kulturdagsorden</w:t>
      </w:r>
      <w:r>
        <w:rPr>
          <w:rStyle w:val="FootnoteReference"/>
          <w:rFonts w:eastAsiaTheme="majorEastAsia"/>
          <w:noProof/>
        </w:rPr>
        <w:footnoteReference w:id="1"/>
      </w:r>
      <w:r>
        <w:rPr>
          <w:noProof/>
        </w:rPr>
        <w:t xml:space="preserve"> i 2007 har kulturarv været en prioritet i Rådets arbejdsplaner på kulturområdet, herunder den aktuelle plan for 2015-2018</w:t>
      </w:r>
      <w:r>
        <w:rPr>
          <w:rStyle w:val="FootnoteReference"/>
          <w:noProof/>
        </w:rPr>
        <w:footnoteReference w:id="2"/>
      </w:r>
      <w:r>
        <w:rPr>
          <w:noProof/>
        </w:rPr>
        <w:t>. Samarbejdet på europæisk plan har hovedsagelig foregået ved den åbne koordinationsmetode. I 2014 blev kulturarvspolitikkernes betydning for skabelse af sociale og økonomiske fordele fremhævet i Rådets konklusioner om kulturarv som en strategisk ressource i et bæredygtigt Europa</w:t>
      </w:r>
      <w:r>
        <w:rPr>
          <w:rStyle w:val="FootnoteReference"/>
          <w:rFonts w:eastAsiaTheme="majorEastAsia"/>
          <w:noProof/>
        </w:rPr>
        <w:footnoteReference w:id="3"/>
      </w:r>
      <w:r>
        <w:rPr>
          <w:noProof/>
        </w:rPr>
        <w:t xml:space="preserve"> (af 21. maj 2014) og i Kommissionens meddelelse </w:t>
      </w:r>
      <w:r>
        <w:rPr>
          <w:i/>
          <w:noProof/>
        </w:rPr>
        <w:t>På vej mod en integreret tilgang til kulturarv i Europa</w:t>
      </w:r>
      <w:r>
        <w:rPr>
          <w:rStyle w:val="FootnoteReference"/>
          <w:rFonts w:eastAsiaTheme="majorEastAsia"/>
          <w:noProof/>
        </w:rPr>
        <w:footnoteReference w:id="4"/>
      </w:r>
      <w:r>
        <w:rPr>
          <w:noProof/>
        </w:rPr>
        <w:t>. Meddelelsen blev taget vel imod af Regionsudvalget i dets udtalelse af 16. april 2015</w:t>
      </w:r>
      <w:r>
        <w:rPr>
          <w:rStyle w:val="FootnoteReference"/>
          <w:rFonts w:eastAsiaTheme="majorEastAsia"/>
          <w:noProof/>
        </w:rPr>
        <w:footnoteReference w:id="5"/>
      </w:r>
      <w:r>
        <w:rPr>
          <w:noProof/>
        </w:rPr>
        <w:t xml:space="preserve"> og af Europa-Parlamentet, som vedtog en beslutning den 8. september 2015</w:t>
      </w:r>
      <w:r>
        <w:rPr>
          <w:rStyle w:val="FootnoteReference"/>
          <w:rFonts w:eastAsiaTheme="majorEastAsia"/>
          <w:noProof/>
        </w:rPr>
        <w:footnoteReference w:id="6"/>
      </w:r>
      <w:r>
        <w:rPr>
          <w:noProof/>
        </w:rPr>
        <w:t>.</w:t>
      </w:r>
    </w:p>
    <w:p>
      <w:pPr>
        <w:rPr>
          <w:noProof/>
        </w:rPr>
      </w:pPr>
      <w:r>
        <w:rPr>
          <w:noProof/>
        </w:rPr>
        <w:t>Navnlig blev Kommissionen i Rådets konklusioner om deltagerorienteret forvaltning af kulturarven, der blev vedtaget den 25. november 2014</w:t>
      </w:r>
      <w:r>
        <w:rPr>
          <w:rStyle w:val="FootnoteReference"/>
          <w:noProof/>
        </w:rPr>
        <w:footnoteReference w:id="7"/>
      </w:r>
      <w:r>
        <w:rPr>
          <w:noProof/>
        </w:rPr>
        <w:t>, opfordret til at foreslå et "europæisk år for kulturarv". Europa-Parlamentet fremsatte en lignende opfordring i sin beslutning, hvor det opfordrede Kommissionen til "helst allerede i 2018 at oprette et europæisk år for kulturarv". Regionsudvalget opfordrede til det samme i sin udtalelse og understregede, at et europæisk år for kulturarv ville bidrage til at nå de fælles mål i paneuropæisk sammenhæng.</w:t>
      </w:r>
    </w:p>
    <w:p>
      <w:pPr>
        <w:rPr>
          <w:noProof/>
        </w:rPr>
      </w:pPr>
      <w:r>
        <w:rPr>
          <w:noProof/>
        </w:rPr>
        <w:t>Som det fremhæves i Kommissionens meddelelse, er kulturarvens bidrag til økonomisk vækst og social samhørighed i Europa ikke tilstrækkeligt belyst og ofte undervurderet. Samtidig står kulturarvssektoren over for mange udfordringer. Det drejer sig bl.a. om faldende offentlige budgetter, vigende deltagelse i traditionelle kulturaktiviteter, stigende miljømæssigt og fysisk pres på kulturarvssteder, ændrede værdikæder og forventninger som følge af den digitale overgang og ulovlig handel med kulturgoder.</w:t>
      </w:r>
    </w:p>
    <w:p>
      <w:pPr>
        <w:rPr>
          <w:noProof/>
        </w:rPr>
      </w:pPr>
      <w:r>
        <w:rPr>
          <w:noProof/>
        </w:rPr>
        <w:t>Som det gælder for alle europæiske år, er hovedformålet at gøre opmærksom på udfordringerne og mulighederne og fremhæve EU's betydning for, at fælles løsninger fremmes. I overensstemmelse med målene i den europæiske kulturdagsorden bør det europæiske år for kulturarv have følgende overordnede mål:</w:t>
      </w:r>
    </w:p>
    <w:p>
      <w:pPr>
        <w:pStyle w:val="Tiret0"/>
        <w:numPr>
          <w:ilvl w:val="0"/>
          <w:numId w:val="12"/>
        </w:numPr>
        <w:ind w:left="426" w:hanging="284"/>
        <w:rPr>
          <w:noProof/>
          <w:color w:val="000000" w:themeColor="text1"/>
        </w:rPr>
      </w:pPr>
      <w:r>
        <w:rPr>
          <w:noProof/>
          <w:color w:val="000000" w:themeColor="text1"/>
        </w:rPr>
        <w:t>Det skal bidrage til at fremme den europæiske kulturarvs rolle som et afgørende element i kulturel mangfoldighed og tværkulturel dialog. Det bør sætte fokus på de bedste metoder til at sikre, at den bevares og beskyttes, og til, at et større og mere forskelligartet publikum får glæde af den. Det skal bl.a. ske gennem foranstaltninger til publikumsudvikling og uddannelse i kulturarv, med fuld respekt for medlemsstaternes kompetencer, hvorved social inklusion og integration fremmes.</w:t>
      </w:r>
    </w:p>
    <w:p>
      <w:pPr>
        <w:pStyle w:val="Tiret0"/>
        <w:numPr>
          <w:ilvl w:val="0"/>
          <w:numId w:val="12"/>
        </w:numPr>
        <w:ind w:left="426" w:hanging="284"/>
        <w:rPr>
          <w:noProof/>
          <w:color w:val="000000" w:themeColor="text1"/>
        </w:rPr>
      </w:pPr>
      <w:r>
        <w:rPr>
          <w:noProof/>
          <w:color w:val="000000" w:themeColor="text1"/>
        </w:rPr>
        <w:t>Det bør forbedre den europæiske kulturarvs bidrag til økonomien og samfundet gennem dens direkte og indirekte økonomiske potentiale. Det skal bl.a. ske ved at understøtte de kulturelle og kreative industrier og inspirere til kreativitet og innovation, fremme bæredygtig turisme og skabe varig lokal beskæftigelse.</w:t>
      </w:r>
    </w:p>
    <w:p>
      <w:pPr>
        <w:pStyle w:val="Tiret0"/>
        <w:numPr>
          <w:ilvl w:val="0"/>
          <w:numId w:val="12"/>
        </w:numPr>
        <w:ind w:left="426" w:hanging="284"/>
        <w:rPr>
          <w:noProof/>
          <w:color w:val="000000" w:themeColor="text1"/>
        </w:rPr>
      </w:pPr>
      <w:r>
        <w:rPr>
          <w:noProof/>
          <w:color w:val="000000" w:themeColor="text1"/>
        </w:rPr>
        <w:t>Det bør bidrage til at fremme kulturarv som et afgørende element i EU's eksterne forbindelser ved at bygge på interessen i partnerlandene for Europas kulturarv og ekspertise. Kulturarv spiller en vigtig rolle i flere programmer på området eksterne forbindelser, hovedsagelig – men ikke udelukkende – i Mellemøsten. Fremme af kulturarvens værdi er også en reaktion på den bevidste ødelæggelse af kulturskatte i konfliktområder</w:t>
      </w:r>
      <w:r>
        <w:rPr>
          <w:rStyle w:val="FootnoteReference"/>
          <w:rFonts w:eastAsiaTheme="majorEastAsia"/>
          <w:noProof/>
          <w:color w:val="000000" w:themeColor="text1"/>
        </w:rPr>
        <w:footnoteReference w:id="8"/>
      </w:r>
      <w:r>
        <w:rPr>
          <w:noProof/>
          <w:color w:val="000000" w:themeColor="text1"/>
        </w:rPr>
        <w:t>.</w:t>
      </w:r>
    </w:p>
    <w:p>
      <w:pPr>
        <w:rPr>
          <w:noProof/>
        </w:rPr>
      </w:pPr>
      <w:r>
        <w:rPr>
          <w:noProof/>
        </w:rPr>
        <w:t>Det europæiske år for kulturarv vil give de europæiske borgere mulighed for at forstå nutiden bedre gennem en rigere og fælles fortolkning af fortiden. Det vil anspore til en bedre bedømmelse af kulturarvens sociale og økonomiske fordele og af dens bidrag til økonomisk vækst og social samhørighed. Dette kan f.eks. vurderes ud fra kriterier om fremme af bæredygtig turisme og byfornyelse. Det vil fremhæve udfordringerne og mulighederne forbundet med digitalisering. Det vil også bidrage til løsning af de kortlagte udfordringer gennem formidling af bedste praksis vedrørende beskyttelse, ledelse, forbedring, forvaltning og forsknings- og innovationsaktiviteter. De seneste gennembrud inden for teknologisk og social innovation på kulturarvsområdet vil, sammen med EU's initiativer på disse områder, blive fremhævet.</w:t>
      </w:r>
    </w:p>
    <w:p>
      <w:pPr>
        <w:pBdr>
          <w:top w:val="nil"/>
          <w:left w:val="nil"/>
          <w:bottom w:val="nil"/>
          <w:right w:val="nil"/>
          <w:between w:val="nil"/>
          <w:bar w:val="nil"/>
        </w:pBdr>
        <w:spacing w:before="0" w:after="240"/>
        <w:rPr>
          <w:rFonts w:eastAsia="Arial Unicode MS"/>
          <w:noProof/>
          <w:color w:val="000000" w:themeColor="text1"/>
        </w:rPr>
      </w:pPr>
    </w:p>
    <w:p>
      <w:pPr>
        <w:pStyle w:val="ManualHeading2"/>
        <w:rPr>
          <w:rFonts w:eastAsia="Arial Unicode MS"/>
          <w:noProof/>
          <w:color w:val="000000" w:themeColor="text1"/>
          <w:u w:color="000000"/>
          <w:bdr w:val="nil"/>
        </w:rPr>
      </w:pPr>
      <w:r>
        <w:rPr>
          <w:noProof/>
          <w:color w:val="000000" w:themeColor="text1"/>
          <w:u w:color="000000"/>
          <w:bdr w:val="nil"/>
        </w:rPr>
        <w:t>•</w:t>
      </w:r>
      <w:r>
        <w:rPr>
          <w:noProof/>
          <w:color w:val="000000" w:themeColor="text1"/>
          <w:u w:color="000000"/>
          <w:bdr w:val="nil"/>
        </w:rPr>
        <w:tab/>
      </w:r>
      <w:r>
        <w:rPr>
          <w:noProof/>
          <w:color w:val="000000" w:themeColor="text1"/>
        </w:rPr>
        <w:t>Sammenhæng med de gældende regler på samme område</w:t>
      </w:r>
    </w:p>
    <w:p>
      <w:pPr>
        <w:rPr>
          <w:noProof/>
        </w:rPr>
      </w:pPr>
      <w:r>
        <w:rPr>
          <w:noProof/>
        </w:rPr>
        <w:t>Det europæiske år for kulturarv vil blive gennemført ved anvendelse af EU-programmer, der allerede findes. Kulturarv kan i øjeblikket modtage betydelige EU-midler under flere EU-programmer med henblik på bevarelse, digitalisering, infrastruktur, forskning og innovation, forbedring og færdigheder. Blandt disse programmer er Et Kreativt Europa, de europæiske struktur- og investeringsfonde, Horisont 2020, Erasmus+ og Europa for Borgerne. Tre EU-aktioner, som er specifikt rettet mod kulturarv, finansieres under Et Kreativt Europa, nemlig de europæiske kulturarvsdage, EU's kulturarvspris og det europæiske kulturarvsmærke.</w:t>
      </w:r>
    </w:p>
    <w:p>
      <w:pPr>
        <w:rPr>
          <w:noProof/>
        </w:rPr>
      </w:pPr>
      <w:r>
        <w:rPr>
          <w:noProof/>
        </w:rPr>
        <w:t>Det europæiske år bliver en lejlighed til at tilskynde medlemsstaterne og interessenterne til at samarbejde om at udvikle en stærkere og mere integreret tilgang til kulturarv. Denne tilgang vil tage sigte på at fremme og beskytte Europas kulturarv og maksimere dens egenværdi og dens sociale værdi og dens bidrag til vækst og beskæftigelse. Det vil ske med fuld respekt for nærhedsprincippet.</w:t>
      </w:r>
    </w:p>
    <w:p>
      <w:pPr>
        <w:rPr>
          <w:noProof/>
        </w:rPr>
      </w:pPr>
      <w:r>
        <w:rPr>
          <w:noProof/>
        </w:rPr>
        <w:t>I lighed med andre europæiske år vil foranstaltningerne omfatte oplysnings- og reklamekampagner, arrangementer og initiativer på europæisk, nationalt, regionalt og lokalt plan. De vil tjene til at formidle hovedbudskaber og information om god praksis.</w:t>
      </w:r>
    </w:p>
    <w:p>
      <w:pPr>
        <w:rPr>
          <w:noProof/>
          <w:color w:val="000000" w:themeColor="text1"/>
        </w:rPr>
      </w:pPr>
      <w:r>
        <w:rPr>
          <w:noProof/>
        </w:rPr>
        <w:t>Der vil blive gjort alt for at sikre, at de aktiviteter, der iværksættes i løbet af det europæiske år, er skræddersyet til behov og omstændigheder i de enkelte medlemsstater. Medlemsstaterne opfordres derfor til hver især at udpege en national koordinator, som er ansvarlig for at tilrettelægge deres deltagelse i det europæiske år for kulturarv.</w:t>
      </w:r>
      <w:r>
        <w:rPr>
          <w:noProof/>
          <w:color w:val="000000" w:themeColor="text1"/>
        </w:rPr>
        <w:t xml:space="preserve"> Det nedsættes en europæisk styringsgruppe med repræsentanter for de nationale koordinatorer. Kommissionen indkalder de nationale koordinatorer til møder for at koordinere afviklingen af det europæiske år og udveksle oplysninger om dets gennemførelse på nationalt og europæisk plan.</w:t>
      </w:r>
    </w:p>
    <w:p>
      <w:pPr>
        <w:pBdr>
          <w:top w:val="nil"/>
          <w:left w:val="nil"/>
          <w:bottom w:val="nil"/>
          <w:right w:val="nil"/>
          <w:between w:val="nil"/>
          <w:bar w:val="nil"/>
        </w:pBdr>
        <w:spacing w:before="0" w:after="240"/>
        <w:rPr>
          <w:rFonts w:eastAsia="Arial Unicode MS"/>
          <w:noProof/>
          <w:color w:val="000000" w:themeColor="text1"/>
        </w:rPr>
      </w:pPr>
    </w:p>
    <w:p>
      <w:pPr>
        <w:pStyle w:val="ManualHeading1"/>
        <w:rPr>
          <w:noProof/>
          <w:color w:val="000000" w:themeColor="text1"/>
        </w:rPr>
      </w:pPr>
      <w:r>
        <w:rPr>
          <w:noProof/>
          <w:color w:val="000000" w:themeColor="text1"/>
        </w:rPr>
        <w:t>2.</w:t>
      </w:r>
      <w:r>
        <w:rPr>
          <w:noProof/>
          <w:color w:val="000000" w:themeColor="text1"/>
        </w:rPr>
        <w:tab/>
        <w:t>RETSGRUNDLAG, NÆRHEDSPRINCIPPET OG PROPORTIONALITETSPRINCIPPET</w:t>
      </w:r>
    </w:p>
    <w:p>
      <w:pPr>
        <w:pStyle w:val="ManualHeading2"/>
        <w:rPr>
          <w:rFonts w:eastAsia="Arial Unicode MS"/>
          <w:noProof/>
          <w:color w:val="000000" w:themeColor="text1"/>
          <w:u w:color="000000"/>
          <w:bdr w:val="nil"/>
        </w:rPr>
      </w:pPr>
      <w:r>
        <w:rPr>
          <w:noProof/>
          <w:color w:val="000000" w:themeColor="text1"/>
          <w:u w:color="000000"/>
          <w:bdr w:val="nil"/>
        </w:rPr>
        <w:t>•</w:t>
      </w:r>
      <w:r>
        <w:rPr>
          <w:noProof/>
          <w:color w:val="000000" w:themeColor="text1"/>
          <w:u w:color="000000"/>
          <w:bdr w:val="nil"/>
        </w:rPr>
        <w:tab/>
        <w:t>Retsgrundlag</w:t>
      </w:r>
    </w:p>
    <w:p>
      <w:pPr>
        <w:rPr>
          <w:noProof/>
        </w:rPr>
      </w:pPr>
      <w:r>
        <w:rPr>
          <w:noProof/>
        </w:rPr>
        <w:t>Retsgrundlaget for forslaget er artikel 167 i traktaten om Den Europæiske Unions funktionsmåde (TEUF). Deri fastsættes det, at Unionen "bidrager til, at medlemsstaternes kulturer kan udfolde sig, idet den respekterer den nationale og regionale mangfoldighed og samtidig fremhæver den fælles kulturarv". Unionen skal ligeledes fremme "samarbejdet mellem medlemsstaterne" inden for kulturområdet og "om nødvendigt støtte og udbygge medlemsstaternes indsats".</w:t>
      </w:r>
    </w:p>
    <w:p>
      <w:pPr>
        <w:rPr>
          <w:noProof/>
        </w:rPr>
      </w:pPr>
    </w:p>
    <w:p>
      <w:pPr>
        <w:pStyle w:val="ManualHeading2"/>
        <w:rPr>
          <w:rFonts w:eastAsia="Arial Unicode MS"/>
          <w:noProof/>
          <w:color w:val="000000" w:themeColor="text1"/>
          <w:u w:color="000000"/>
          <w:bdr w:val="nil"/>
        </w:rPr>
      </w:pPr>
      <w:r>
        <w:rPr>
          <w:noProof/>
          <w:color w:val="000000" w:themeColor="text1"/>
          <w:u w:color="000000"/>
          <w:bdr w:val="nil"/>
        </w:rPr>
        <w:t>•</w:t>
      </w:r>
      <w:r>
        <w:rPr>
          <w:noProof/>
          <w:color w:val="000000" w:themeColor="text1"/>
          <w:u w:color="000000"/>
          <w:bdr w:val="nil"/>
        </w:rPr>
        <w:tab/>
        <w:t>Nærhedsprincippet</w:t>
      </w:r>
    </w:p>
    <w:p>
      <w:pPr>
        <w:rPr>
          <w:noProof/>
        </w:rPr>
      </w:pPr>
      <w:r>
        <w:rPr>
          <w:noProof/>
        </w:rPr>
        <w:t>Målene med forslaget kan ikke i tilstrækkelig grad opfyldes af medlemsstaterne alene. Det skyldes, at foranstaltninger udelukkende på nationalt plan ikke ville nyde godt af den europæiske dimension af udveksling af erfaring og god praksis medlemsstaterne imellem. Artikel 3 i traktaten om Den Europæiske Union fastslår, at Unionen respekterer medlemsstaternes rige kulturelle og sproglige mangfoldighed og sikrer, at den europæiske kulturarv beskyttes og udvikles. Unionen forfølger sine mål med passende midler inden for de beføjelser, der er tildelt den i traktaterne. Desuden ville den bevidsthed og synlighed, der er skabt i og uden for EU, gavne medlemsstaternes indsats.</w:t>
      </w:r>
    </w:p>
    <w:p>
      <w:pPr>
        <w:rPr>
          <w:noProof/>
        </w:rPr>
      </w:pPr>
    </w:p>
    <w:p>
      <w:pPr>
        <w:pStyle w:val="ManualHeading2"/>
        <w:rPr>
          <w:rFonts w:eastAsia="Arial Unicode MS"/>
          <w:noProof/>
          <w:color w:val="000000" w:themeColor="text1"/>
          <w:u w:color="000000"/>
          <w:bdr w:val="nil"/>
        </w:rPr>
      </w:pPr>
      <w:r>
        <w:rPr>
          <w:noProof/>
          <w:color w:val="000000" w:themeColor="text1"/>
          <w:u w:color="000000"/>
          <w:bdr w:val="nil"/>
        </w:rPr>
        <w:t>•</w:t>
      </w:r>
      <w:r>
        <w:rPr>
          <w:noProof/>
          <w:color w:val="000000" w:themeColor="text1"/>
          <w:u w:color="000000"/>
          <w:bdr w:val="nil"/>
        </w:rPr>
        <w:tab/>
        <w:t>Proportionalitetsprincippet</w:t>
      </w:r>
    </w:p>
    <w:p>
      <w:pPr>
        <w:rPr>
          <w:noProof/>
        </w:rPr>
      </w:pPr>
      <w:r>
        <w:rPr>
          <w:noProof/>
        </w:rPr>
        <w:t>Den foreslåede fremgangsmåde er enkel. Den bygger på de eksisterende programmer og på en nyfokusering af kommunikationsaktiviteter på det europæiske års temaer. Der pålægges ikke de myndigheder, som gennemfører forslaget, nogen uforholdsmæssig stor administrativ byrde.</w:t>
      </w:r>
    </w:p>
    <w:p>
      <w:pPr>
        <w:rPr>
          <w:noProof/>
        </w:rPr>
      </w:pPr>
      <w:r>
        <w:rPr>
          <w:noProof/>
        </w:rPr>
        <w:t>EU's indsats vil støtte og supplere medlemsstaternes bestræbelser. For det første vil den forbedre effektiviteten af EU's egne instrumenter. For det andet vil den skabe muligheder ved at tilskynde til synergier og samarbejde blandt medlemsstaterne, kulturelle organisationer og fonde og private og offentlige virksomheder.</w:t>
      </w:r>
    </w:p>
    <w:p>
      <w:pPr>
        <w:rPr>
          <w:noProof/>
        </w:rPr>
      </w:pPr>
      <w:r>
        <w:rPr>
          <w:noProof/>
        </w:rPr>
        <w:t>EU's indsats vil ikke gå videre, end hvad der er nødvendigt for at løse de indkredsede problemer.</w:t>
      </w:r>
    </w:p>
    <w:p>
      <w:pPr>
        <w:pBdr>
          <w:top w:val="nil"/>
          <w:left w:val="nil"/>
          <w:bottom w:val="nil"/>
          <w:right w:val="nil"/>
          <w:between w:val="nil"/>
          <w:bar w:val="nil"/>
        </w:pBdr>
        <w:spacing w:before="0" w:after="240"/>
        <w:rPr>
          <w:rFonts w:eastAsia="Arial Unicode MS"/>
          <w:noProof/>
          <w:color w:val="000000" w:themeColor="text1"/>
        </w:rPr>
      </w:pPr>
    </w:p>
    <w:p>
      <w:pPr>
        <w:pStyle w:val="ManualHeading2"/>
        <w:rPr>
          <w:rFonts w:eastAsia="Arial Unicode MS"/>
          <w:noProof/>
          <w:color w:val="000000" w:themeColor="text1"/>
          <w:u w:color="000000"/>
          <w:bdr w:val="nil"/>
        </w:rPr>
      </w:pPr>
      <w:r>
        <w:rPr>
          <w:noProof/>
          <w:color w:val="000000" w:themeColor="text1"/>
          <w:u w:color="000000"/>
          <w:bdr w:val="nil"/>
        </w:rPr>
        <w:t>•</w:t>
      </w:r>
      <w:r>
        <w:rPr>
          <w:noProof/>
          <w:color w:val="000000" w:themeColor="text1"/>
          <w:u w:color="000000"/>
          <w:bdr w:val="nil"/>
        </w:rPr>
        <w:tab/>
        <w:t>Valg af retsakt</w:t>
      </w:r>
    </w:p>
    <w:p>
      <w:pPr>
        <w:pStyle w:val="Corpo"/>
        <w:spacing w:before="0" w:after="240"/>
        <w:rPr>
          <w:noProof/>
          <w:color w:val="000000" w:themeColor="text1"/>
        </w:rPr>
      </w:pPr>
      <w:r>
        <w:rPr>
          <w:noProof/>
          <w:color w:val="000000" w:themeColor="text1"/>
        </w:rPr>
        <w:t>En afgørelse vedtaget af Europa-Parlamentet og Rådet er den retsakt, der er bedst egnet til at sikre fuldt engagement fra den lovgivende myndigheds side i forbindelse med udpegning af 2018 som det europæiske år for kulturarv.</w:t>
      </w:r>
    </w:p>
    <w:p>
      <w:pPr>
        <w:pBdr>
          <w:top w:val="nil"/>
          <w:left w:val="nil"/>
          <w:bottom w:val="nil"/>
          <w:right w:val="nil"/>
          <w:between w:val="nil"/>
          <w:bar w:val="nil"/>
        </w:pBdr>
        <w:spacing w:before="0" w:after="240"/>
        <w:rPr>
          <w:rFonts w:eastAsia="Arial Unicode MS"/>
          <w:noProof/>
          <w:color w:val="000000" w:themeColor="text1"/>
        </w:rPr>
      </w:pPr>
    </w:p>
    <w:p>
      <w:pPr>
        <w:pStyle w:val="ManualHeading1"/>
        <w:rPr>
          <w:noProof/>
          <w:color w:val="000000" w:themeColor="text1"/>
        </w:rPr>
      </w:pPr>
      <w:r>
        <w:rPr>
          <w:noProof/>
          <w:color w:val="000000" w:themeColor="text1"/>
        </w:rPr>
        <w:t>3.</w:t>
      </w:r>
      <w:r>
        <w:rPr>
          <w:noProof/>
          <w:color w:val="000000" w:themeColor="text1"/>
        </w:rPr>
        <w:tab/>
        <w:t>RESULTATER AF EFTERFØLGENDE EVALUERINGER, HØRINGER AF INTERESSEREDE PARTER OG KONSEKVENSANALYSER</w:t>
      </w:r>
    </w:p>
    <w:p>
      <w:pPr>
        <w:pStyle w:val="ManualHeading2"/>
        <w:rPr>
          <w:rFonts w:eastAsia="Arial Unicode MS"/>
          <w:noProof/>
          <w:color w:val="000000" w:themeColor="text1"/>
          <w:u w:color="000000"/>
          <w:bdr w:val="nil"/>
        </w:rPr>
      </w:pPr>
      <w:r>
        <w:rPr>
          <w:noProof/>
          <w:color w:val="000000" w:themeColor="text1"/>
          <w:u w:color="000000"/>
          <w:bdr w:val="nil"/>
        </w:rPr>
        <w:t>•</w:t>
      </w:r>
      <w:r>
        <w:rPr>
          <w:noProof/>
          <w:color w:val="000000" w:themeColor="text1"/>
          <w:u w:color="000000"/>
          <w:bdr w:val="nil"/>
        </w:rPr>
        <w:tab/>
        <w:t>Høringer af interesserede parter</w:t>
      </w:r>
    </w:p>
    <w:p>
      <w:pPr>
        <w:rPr>
          <w:noProof/>
        </w:rPr>
      </w:pPr>
      <w:r>
        <w:rPr>
          <w:noProof/>
        </w:rPr>
        <w:t>Ved udarbejdelsen af forslaget foretog Kommissionen en række målrettede høringer med deltagelse af en lang række interessenter, der afspejlede kulturarvssektorens karakter og dens høje grad af organisering og specialisering, medlemsstaternes kompetencer samt faglige og internationale organisationers rolle. Desuden tog Kommissionen særligt hensyn til ovennævnte rådskonklusioner, Europa-Parlamentets beslutning og Regionsudvalgets udtalelse.</w:t>
      </w:r>
    </w:p>
    <w:p>
      <w:pPr>
        <w:rPr>
          <w:noProof/>
        </w:rPr>
      </w:pPr>
      <w:r>
        <w:rPr>
          <w:noProof/>
        </w:rPr>
        <w:t>På EU-plan har den politiske udvikling på kulturarvsområdet for nylig været genstand for en bred debat. Den er blevet fremmet af organer, der samler myndigheder med ansvar for kulturarvspolitikker i medlemsstaterne. Det drejer sig bl.a. om refleksionsgruppen om EU og kulturarven og European Heritage Heads Forum. Andre mellemstatslige og ikkestatslige organisationer er ICOM (Det Internationale Museumsråd), ICOMOS (International Council on Monuments and Sites), ICCROM (International Centre for the Study of the Preservation and Restoration of Cultural Property) og Europarådet. Andre større netværk, der er aktive på området, omfatter Europa Nostra, European Heritage Alliance 3.3</w:t>
      </w:r>
      <w:r>
        <w:rPr>
          <w:rStyle w:val="FootnoteReference"/>
          <w:noProof/>
        </w:rPr>
        <w:footnoteReference w:id="9"/>
      </w:r>
      <w:r>
        <w:rPr>
          <w:noProof/>
        </w:rPr>
        <w:t xml:space="preserve"> og Netværket af Europæiske Museumsorganisationer (NEMO).</w:t>
      </w:r>
    </w:p>
    <w:p>
      <w:pPr>
        <w:rPr>
          <w:noProof/>
          <w:color w:val="000000" w:themeColor="text1"/>
        </w:rPr>
      </w:pPr>
      <w:r>
        <w:rPr>
          <w:noProof/>
          <w:color w:val="000000" w:themeColor="text1"/>
        </w:rPr>
        <w:t xml:space="preserve">Der har været flere andre eksempler på udvikling. </w:t>
      </w:r>
      <w:r>
        <w:rPr>
          <w:noProof/>
          <w:color w:val="000000" w:themeColor="text1"/>
          <w:lang w:val="nn-NO"/>
        </w:rPr>
        <w:t xml:space="preserve">I april 2015 vedtog Europarådets kulturministre Namurerklæringen. </w:t>
      </w:r>
      <w:r>
        <w:rPr>
          <w:noProof/>
          <w:color w:val="000000" w:themeColor="text1"/>
        </w:rPr>
        <w:t>I erklæringen hilste de det velkommen, at Rådet for Den Europæiske Union havde planer om at tilrettelægge et europæisk år for kulturarv. De anmodede om, at Europarådet og alle deltagerstater i den europæiske kulturkonvention opfordres til at deltage.</w:t>
      </w:r>
    </w:p>
    <w:p>
      <w:pPr>
        <w:rPr>
          <w:noProof/>
          <w:color w:val="000000" w:themeColor="text1"/>
        </w:rPr>
      </w:pPr>
      <w:r>
        <w:rPr>
          <w:noProof/>
          <w:color w:val="000000" w:themeColor="text1"/>
        </w:rPr>
        <w:t>Den 29. juni 2015, kort før 40-årsdagen for det europæiske år vedrørende den arkitektoniske kulturarv, som blev afholdt i 1975 under Europarådets auspicier, var den tyske kulturarvskomité (</w:t>
      </w:r>
      <w:r>
        <w:rPr>
          <w:i/>
          <w:noProof/>
          <w:color w:val="000000" w:themeColor="text1"/>
        </w:rPr>
        <w:t>Deutsches Nationalkomitee für Denkmalschutz</w:t>
      </w:r>
      <w:r>
        <w:rPr>
          <w:noProof/>
          <w:color w:val="000000" w:themeColor="text1"/>
        </w:rPr>
        <w:t>)  vært for en offentlig debat i Bonn om forslaget til et europæisk år, som fandt sted i forbindelse med samlingen i Verdensarvskomitéen.</w:t>
      </w:r>
    </w:p>
    <w:p>
      <w:pPr>
        <w:rPr>
          <w:noProof/>
        </w:rPr>
      </w:pPr>
      <w:r>
        <w:rPr>
          <w:noProof/>
        </w:rPr>
        <w:t>I april 2015 var der en anden relevant debat tilrettelagt af Europa Nostras kontor i Bruxelles med deltagelse af en udvalgt gruppe af administrerende direktører for medlemsorganisationer. På generalforsamlingen i juni 2015 drøftede medlemmerne af Europa Nostra formålet med et europæisk år for kulturarv og de vigtigste aktioner, der kunne udvikles. Det skete i Oslo, og Kommissionen var til stede.</w:t>
      </w:r>
    </w:p>
    <w:p>
      <w:pPr>
        <w:rPr>
          <w:noProof/>
        </w:rPr>
      </w:pPr>
      <w:r>
        <w:rPr>
          <w:noProof/>
        </w:rPr>
        <w:t>Interessenterne blev også hørt inden for rammerne af den åbne arbejdsgruppe "EYCH 2018", som den tyske kulturarvskomité og forbundsregeringens ansvarlige for kultur og medier stod for. Det mundede ud i et oplæg (</w:t>
      </w:r>
      <w:r>
        <w:rPr>
          <w:i/>
          <w:noProof/>
        </w:rPr>
        <w:t>Sharing Heritage</w:t>
      </w:r>
      <w:r>
        <w:rPr>
          <w:rStyle w:val="FootnoteReference"/>
          <w:i/>
          <w:noProof/>
        </w:rPr>
        <w:footnoteReference w:id="10"/>
      </w:r>
      <w:r>
        <w:rPr>
          <w:noProof/>
        </w:rPr>
        <w:t>), som blev taget i betragtning ved udarbejdelsen af dette forslag. Drøftelserne foregik med deltagelse af medlemmer af refleksionsgruppen om EU og kulturarven, herunder eksperter fra de nationale myndigheder i Belgien, Bulgarien, Tyskland, Frankrig, Grækenland, Italien, Luxembourg, Letland, Litauen, Nederlandene, Norge, Polen, Spanien, Sverige, Schweiz og Det Forenede Kongerige. Andre eksperter kom fra Estland, Østrig, Portugal og Slovakiet og fra forskellige organisationer med observatørstatus, herunder ENCATC (European network on cultural management and policy), Europa Nostra, Netværket af Europæiske Museumsorganisationer og andre.</w:t>
      </w:r>
    </w:p>
    <w:p>
      <w:pPr>
        <w:rPr>
          <w:noProof/>
        </w:rPr>
      </w:pPr>
      <w:r>
        <w:rPr>
          <w:noProof/>
        </w:rPr>
        <w:t>Italiens og Spaniens faste repræsentationer ved EU afholdt den 28. oktober 2015 i Bruxelles seminaret "A European Year for Cultural Heritage: sharing heritage, a common challenge". Interessentorganisationer såsom Europa Nostra, nationale myndigheder og eksperter deltog også.</w:t>
      </w:r>
    </w:p>
    <w:p>
      <w:pPr>
        <w:rPr>
          <w:noProof/>
        </w:rPr>
      </w:pPr>
      <w:r>
        <w:rPr>
          <w:noProof/>
        </w:rPr>
        <w:t>Forslaget blev også drøftet på møder i ovennævnte refleksionsgruppe i Luxembourg den 23.-24. september 2015, i Rom den 30. november og 1. december 2015 og i Haag den 9. maj 2016 samt på mødet i European Heritage Heads Forum i Bern den 19.-20. maj 2016. Endelig fandt endnu en drøftelse sted inden for rammerne af det europæiske kulturforum 2016 den 19. april 2016.</w:t>
      </w:r>
    </w:p>
    <w:p>
      <w:pPr>
        <w:pBdr>
          <w:top w:val="nil"/>
          <w:left w:val="nil"/>
          <w:bottom w:val="nil"/>
          <w:right w:val="nil"/>
          <w:between w:val="nil"/>
          <w:bar w:val="nil"/>
        </w:pBdr>
        <w:spacing w:before="0" w:after="240"/>
        <w:rPr>
          <w:rFonts w:eastAsia="Arial Unicode MS"/>
          <w:noProof/>
          <w:color w:val="000000" w:themeColor="text1"/>
        </w:rPr>
      </w:pPr>
    </w:p>
    <w:p>
      <w:pPr>
        <w:pStyle w:val="ManualHeading2"/>
        <w:rPr>
          <w:rFonts w:eastAsia="Arial Unicode MS"/>
          <w:noProof/>
          <w:color w:val="000000" w:themeColor="text1"/>
          <w:u w:color="000000"/>
          <w:bdr w:val="nil"/>
        </w:rPr>
      </w:pPr>
      <w:r>
        <w:rPr>
          <w:noProof/>
          <w:color w:val="000000" w:themeColor="text1"/>
          <w:u w:color="000000"/>
          <w:bdr w:val="nil"/>
        </w:rPr>
        <w:t>•</w:t>
      </w:r>
      <w:r>
        <w:rPr>
          <w:noProof/>
          <w:color w:val="000000" w:themeColor="text1"/>
          <w:u w:color="000000"/>
          <w:bdr w:val="nil"/>
        </w:rPr>
        <w:tab/>
        <w:t>Indhentning og brug af ekspertbistand</w:t>
      </w:r>
    </w:p>
    <w:p>
      <w:pPr>
        <w:rPr>
          <w:noProof/>
        </w:rPr>
      </w:pPr>
      <w:r>
        <w:rPr>
          <w:noProof/>
        </w:rPr>
        <w:t xml:space="preserve">Initiativet vil bygge på uafhængige analyser og undersøgelser, navnlig rapporten </w:t>
      </w:r>
      <w:r>
        <w:rPr>
          <w:i/>
          <w:noProof/>
        </w:rPr>
        <w:t>Cultural Heritage Counts for Europe</w:t>
      </w:r>
      <w:r>
        <w:rPr>
          <w:rStyle w:val="FootnoteReference"/>
          <w:rFonts w:eastAsiaTheme="majorEastAsia"/>
          <w:noProof/>
        </w:rPr>
        <w:footnoteReference w:id="11"/>
      </w:r>
      <w:r>
        <w:rPr>
          <w:noProof/>
        </w:rPr>
        <w:t>. Den er resultatet af et toårigt omfattende projekt, som blev finansieret af EU's kulturprogram og havde til formål at indsamle beviser for værdien af kulturarven og for dens indvirkning på Europas økonomi, kultur og samfund samt miljøet.</w:t>
      </w:r>
    </w:p>
    <w:p>
      <w:pPr>
        <w:rPr>
          <w:noProof/>
        </w:rPr>
      </w:pPr>
      <w:r>
        <w:rPr>
          <w:noProof/>
        </w:rPr>
        <w:t xml:space="preserve">Det vil også bygge på rapporten fra Horisont 2020-ekspertgruppen om kulturarv med titlen </w:t>
      </w:r>
      <w:r>
        <w:rPr>
          <w:i/>
          <w:noProof/>
        </w:rPr>
        <w:t>Getting cultural heritage to work for Europe</w:t>
      </w:r>
      <w:r>
        <w:rPr>
          <w:rStyle w:val="FootnoteReference"/>
          <w:rFonts w:eastAsiaTheme="majorEastAsia"/>
          <w:i/>
          <w:noProof/>
        </w:rPr>
        <w:footnoteReference w:id="12"/>
      </w:r>
      <w:r>
        <w:rPr>
          <w:noProof/>
        </w:rPr>
        <w:t xml:space="preserve"> og på </w:t>
      </w:r>
      <w:r>
        <w:rPr>
          <w:i/>
          <w:noProof/>
        </w:rPr>
        <w:t>Strategic Research Agenda</w:t>
      </w:r>
      <w:r>
        <w:rPr>
          <w:noProof/>
        </w:rPr>
        <w:t xml:space="preserve"> udarbejdet af det fælles programlægningsinitiativ om kulturarv og global forandring</w:t>
      </w:r>
      <w:r>
        <w:rPr>
          <w:rStyle w:val="FootnoteReference"/>
          <w:rFonts w:eastAsiaTheme="majorEastAsia"/>
          <w:noProof/>
        </w:rPr>
        <w:footnoteReference w:id="13"/>
      </w:r>
      <w:r>
        <w:rPr>
          <w:noProof/>
        </w:rPr>
        <w:t>. Initiativet vil på længere sigt trække på Horisont 2020's sociale platform om kulturarv og europæiske identiteter (CulturalBase), der er et flerårigt initiativ til høring af interessenter</w:t>
      </w:r>
      <w:r>
        <w:rPr>
          <w:rStyle w:val="FootnoteReference"/>
          <w:rFonts w:eastAsiaTheme="majorEastAsia"/>
          <w:noProof/>
        </w:rPr>
        <w:footnoteReference w:id="14"/>
      </w:r>
      <w:r>
        <w:rPr>
          <w:noProof/>
        </w:rPr>
        <w:t>, og på etableringen af nye europæiske forskningsinfrastrukturer såsom DARIAH-ERIC (Digital Research Infrastructure for the Arts and Humanities) og E-RIHS (European Research Infrastructure for Heritage Science)</w:t>
      </w:r>
      <w:r>
        <w:rPr>
          <w:rStyle w:val="FootnoteReference"/>
          <w:rFonts w:eastAsiaTheme="majorEastAsia"/>
          <w:noProof/>
        </w:rPr>
        <w:footnoteReference w:id="15"/>
      </w:r>
      <w:r>
        <w:rPr>
          <w:noProof/>
        </w:rPr>
        <w:t>.</w:t>
      </w:r>
    </w:p>
    <w:p>
      <w:pPr>
        <w:rPr>
          <w:noProof/>
        </w:rPr>
      </w:pPr>
      <w:r>
        <w:rPr>
          <w:noProof/>
        </w:rPr>
        <w:t>I arbejdspakke 9 om kultur og turisme i den efterfølgende evaluering af programmerne under samhørighedspolitikken 2007-2013 med fokus på Den Europæiske Fond for Regionaludvikling (EFRU) og Samhørighedsfonden blev det fastslået, at investeringer i kultur og turisme kan sætte skub i en regions økonomi og forbedre den sociale inklusion.</w:t>
      </w:r>
    </w:p>
    <w:p>
      <w:pPr>
        <w:rPr>
          <w:noProof/>
        </w:rPr>
      </w:pPr>
      <w:r>
        <w:rPr>
          <w:noProof/>
        </w:rPr>
        <w:t>I den efterfølgende evaluering af EU's syvende rammeprogram 2007-2013 (RP7), som er EU's program for finansiering af forskning mellem 2007 og 2013, blev det konkluderet, at programmet var effektivt med hensyn til at fremme videnskabelig topkvalitet og styrke den europæiske industris konkurrenceevne. Programmet bidrog således til vækst og beskæftigelse i Europa på områder, der typisk ligger staterne på sinde. RP7 støttede med mere end 180 mio. EUR forskning inden for forskellige aspekter af europæisk kulturarv (håndgribelig, uhåndgribelig og digital) inden for temaerne miljø, samfundsvidenskab og humanistiske videnskaber, digital kulturarv, industriteknologi, internationalt samarbejde og (e</w:t>
      </w:r>
      <w:r>
        <w:rPr>
          <w:noProof/>
        </w:rPr>
        <w:noBreakHyphen/>
        <w:t>)infrastruktur. Den eksisterende videnspulje bør udnyttes yderligere.</w:t>
      </w:r>
    </w:p>
    <w:p>
      <w:pPr>
        <w:pBdr>
          <w:top w:val="nil"/>
          <w:left w:val="nil"/>
          <w:bottom w:val="nil"/>
          <w:right w:val="nil"/>
          <w:between w:val="nil"/>
          <w:bar w:val="nil"/>
        </w:pBdr>
        <w:spacing w:before="0" w:after="240"/>
        <w:rPr>
          <w:rFonts w:eastAsia="Arial Unicode MS"/>
          <w:noProof/>
          <w:color w:val="000000" w:themeColor="text1"/>
        </w:rPr>
      </w:pPr>
    </w:p>
    <w:p>
      <w:pPr>
        <w:pStyle w:val="ManualHeading2"/>
        <w:rPr>
          <w:rFonts w:eastAsia="Arial Unicode MS"/>
          <w:noProof/>
          <w:color w:val="000000" w:themeColor="text1"/>
          <w:u w:color="000000"/>
          <w:bdr w:val="nil"/>
        </w:rPr>
      </w:pPr>
      <w:r>
        <w:rPr>
          <w:noProof/>
          <w:color w:val="000000" w:themeColor="text1"/>
          <w:u w:color="000000"/>
          <w:bdr w:val="nil"/>
        </w:rPr>
        <w:t>•</w:t>
      </w:r>
      <w:r>
        <w:rPr>
          <w:noProof/>
          <w:color w:val="000000" w:themeColor="text1"/>
          <w:u w:color="000000"/>
          <w:bdr w:val="nil"/>
        </w:rPr>
        <w:tab/>
        <w:t>Konsekvensanalyse</w:t>
      </w:r>
    </w:p>
    <w:p>
      <w:pPr>
        <w:rPr>
          <w:noProof/>
        </w:rPr>
      </w:pPr>
      <w:r>
        <w:rPr>
          <w:noProof/>
        </w:rPr>
        <w:t>Der er ikke behov for en konsekvensanalyse, da målsætningerne i det foreslåede initiativ falder ind under målsætningerne i Unionens eksisterende programmer. Det europæiske år for kulturarv kan gennemføres inden for de eksisterende budgetrammer ved anvendelse af de programmer, der giver mulighed for at opstille finansieringsprioriteter for et eller flere år. Det foreslåede initiativ ville ikke forpligte Kommissionen til nogen særlige lovgivningsmæssige foranstaltninger. Det ville heller ikke have nogen særlige sociale, økonomiske eller miljømæssige konsekvenser, der rækker ud over de eksisterende instrumenters.</w:t>
      </w:r>
    </w:p>
    <w:p>
      <w:pPr>
        <w:rPr>
          <w:rFonts w:eastAsia="Arial Unicode MS"/>
          <w:noProof/>
        </w:rPr>
      </w:pPr>
    </w:p>
    <w:p>
      <w:pPr>
        <w:pStyle w:val="ManualHeading1"/>
        <w:rPr>
          <w:noProof/>
          <w:color w:val="000000" w:themeColor="text1"/>
        </w:rPr>
      </w:pPr>
      <w:r>
        <w:rPr>
          <w:noProof/>
          <w:color w:val="000000" w:themeColor="text1"/>
        </w:rPr>
        <w:t>4.</w:t>
      </w:r>
      <w:r>
        <w:rPr>
          <w:noProof/>
          <w:color w:val="000000" w:themeColor="text1"/>
        </w:rPr>
        <w:tab/>
        <w:t>VIRKNINGER FOR BUDGETTET</w:t>
      </w:r>
    </w:p>
    <w:p>
      <w:pPr>
        <w:pBdr>
          <w:top w:val="nil"/>
          <w:left w:val="nil"/>
          <w:bottom w:val="nil"/>
          <w:right w:val="nil"/>
          <w:between w:val="nil"/>
          <w:bar w:val="nil"/>
        </w:pBdr>
        <w:spacing w:before="0" w:after="240"/>
        <w:rPr>
          <w:rFonts w:eastAsia="Arial Unicode MS"/>
          <w:noProof/>
          <w:color w:val="000000" w:themeColor="text1"/>
        </w:rPr>
      </w:pPr>
      <w:r>
        <w:rPr>
          <w:noProof/>
          <w:color w:val="000000" w:themeColor="text1"/>
        </w:rPr>
        <w:t>Der søges ikke om supplerende midler til det europæiske år. Dette initiativ kræver ikke yderligere midler fra EU's budget. Den fleksibilitet, man har til at opstille prioriteter for et eller flere år i de relevante programmer, er tilstrækkelig til at planlægge en oplysningskampagne på samme niveau som tidligere europæiske år.</w:t>
      </w:r>
    </w:p>
    <w:p>
      <w:pPr>
        <w:spacing w:before="0" w:after="200" w:line="276" w:lineRule="auto"/>
        <w:jc w:val="left"/>
        <w:rPr>
          <w:noProof/>
        </w:rPr>
      </w:pPr>
      <w:r>
        <w:rPr>
          <w:noProof/>
        </w:rPr>
        <w:br w:type="page"/>
      </w:r>
    </w:p>
    <w:p>
      <w:pPr>
        <w:pStyle w:val="Rfrenceinterinstitutionnelle"/>
        <w:rPr>
          <w:noProof/>
        </w:rPr>
      </w:pPr>
      <w:r>
        <w:rPr>
          <w:noProof/>
        </w:rPr>
        <w:t>2016/0259 (COD)</w:t>
      </w:r>
    </w:p>
    <w:p>
      <w:pPr>
        <w:pStyle w:val="Statut"/>
        <w:rPr>
          <w:noProof/>
        </w:rPr>
      </w:pPr>
      <w:r>
        <w:rPr>
          <w:noProof/>
        </w:rPr>
        <w:t>Forslag til</w:t>
      </w:r>
    </w:p>
    <w:p>
      <w:pPr>
        <w:pStyle w:val="Typedudocument"/>
        <w:rPr>
          <w:noProof/>
        </w:rPr>
      </w:pPr>
      <w:r>
        <w:rPr>
          <w:noProof/>
        </w:rPr>
        <w:t>EUROPA-PARLAMENTETS OG RÅDETS AFGØRELSE</w:t>
      </w:r>
    </w:p>
    <w:p>
      <w:pPr>
        <w:pStyle w:val="Titreobjet"/>
        <w:rPr>
          <w:noProof/>
        </w:rPr>
      </w:pPr>
      <w:r>
        <w:rPr>
          <w:noProof/>
        </w:rPr>
        <w:t>om et europæisk år for kulturarv</w:t>
      </w:r>
    </w:p>
    <w:p>
      <w:pPr>
        <w:pStyle w:val="Institutionquiagit"/>
        <w:rPr>
          <w:noProof/>
          <w:color w:val="000000" w:themeColor="text1"/>
        </w:rPr>
      </w:pPr>
      <w:r>
        <w:rPr>
          <w:noProof/>
          <w:color w:val="000000" w:themeColor="text1"/>
        </w:rPr>
        <w:t>EUROPA-PARLAMENTET OG RÅDET FOR DEN EUROPÆISKE UNION HAR –</w:t>
      </w:r>
    </w:p>
    <w:p>
      <w:pPr>
        <w:rPr>
          <w:noProof/>
          <w:color w:val="000000" w:themeColor="text1"/>
        </w:rPr>
      </w:pPr>
      <w:r>
        <w:rPr>
          <w:noProof/>
          <w:color w:val="000000" w:themeColor="text1"/>
        </w:rPr>
        <w:t>under henvisning til traktaten om Den Europæiske Unions funktionsmåde (TEUF), særlig artikel 167,</w:t>
      </w:r>
    </w:p>
    <w:p>
      <w:pPr>
        <w:rPr>
          <w:noProof/>
          <w:color w:val="000000" w:themeColor="text1"/>
        </w:rPr>
      </w:pPr>
      <w:r>
        <w:rPr>
          <w:noProof/>
          <w:color w:val="000000" w:themeColor="text1"/>
        </w:rPr>
        <w:t>under henvisning til forslag fra Europa-Kommissionen,</w:t>
      </w:r>
    </w:p>
    <w:p>
      <w:pPr>
        <w:rPr>
          <w:noProof/>
          <w:color w:val="000000" w:themeColor="text1"/>
        </w:rPr>
      </w:pPr>
      <w:r>
        <w:rPr>
          <w:noProof/>
          <w:color w:val="000000" w:themeColor="text1"/>
        </w:rPr>
        <w:t>efter fremsendelse af udkast til lovgivningsmæssig retsakt til de nationale parlamenter,</w:t>
      </w:r>
    </w:p>
    <w:p>
      <w:pPr>
        <w:rPr>
          <w:noProof/>
          <w:color w:val="000000" w:themeColor="text1"/>
        </w:rPr>
      </w:pPr>
      <w:r>
        <w:rPr>
          <w:noProof/>
          <w:color w:val="000000" w:themeColor="text1"/>
        </w:rPr>
        <w:t>under henvisning til udtalelse fra Regionsudvalget</w:t>
      </w:r>
      <w:r>
        <w:rPr>
          <w:rStyle w:val="FootnoteReference"/>
          <w:noProof/>
          <w:color w:val="000000" w:themeColor="text1"/>
        </w:rPr>
        <w:footnoteReference w:id="16"/>
      </w:r>
      <w:r>
        <w:rPr>
          <w:noProof/>
          <w:color w:val="000000" w:themeColor="text1"/>
        </w:rPr>
        <w:t>,</w:t>
      </w:r>
    </w:p>
    <w:p>
      <w:pPr>
        <w:rPr>
          <w:noProof/>
          <w:color w:val="000000" w:themeColor="text1"/>
        </w:rPr>
      </w:pPr>
      <w:r>
        <w:rPr>
          <w:noProof/>
          <w:color w:val="000000" w:themeColor="text1"/>
        </w:rPr>
        <w:t>efter den almindelige lovgivningsprocedure, og</w:t>
      </w:r>
    </w:p>
    <w:p>
      <w:pPr>
        <w:rPr>
          <w:noProof/>
          <w:color w:val="000000" w:themeColor="text1"/>
        </w:rPr>
      </w:pPr>
      <w:r>
        <w:rPr>
          <w:noProof/>
          <w:color w:val="000000" w:themeColor="text1"/>
        </w:rPr>
        <w:t>ud fra følgende betragtninger:</w:t>
      </w:r>
    </w:p>
    <w:p>
      <w:pPr>
        <w:pStyle w:val="ManualConsidrant"/>
        <w:rPr>
          <w:noProof/>
        </w:rPr>
      </w:pPr>
      <w:r>
        <w:t>(1)</w:t>
      </w:r>
      <w:r>
        <w:tab/>
      </w:r>
      <w:r>
        <w:rPr>
          <w:noProof/>
        </w:rPr>
        <w:t>De idealer, principper og værdier, der er rodfæstet i den europæiske kulturarv, udgør en fælles kilde til erindring, forståelse, identitet, dialog, samhørighed og kreativitet for Europa. Kulturarv spiller en rolle i Den Europæiske Union som anført i præamblen til traktaten om Den Europæiske Union (TEU), der anfører, at signatarerne har ladet sig "inspirere af Europas kulturelle, religiøse og humanistiske arv".</w:t>
      </w:r>
    </w:p>
    <w:p>
      <w:pPr>
        <w:pStyle w:val="ManualConsidrant"/>
        <w:rPr>
          <w:noProof/>
        </w:rPr>
      </w:pPr>
      <w:r>
        <w:t>(2)</w:t>
      </w:r>
      <w:r>
        <w:tab/>
      </w:r>
      <w:r>
        <w:rPr>
          <w:noProof/>
        </w:rPr>
        <w:t>I henhold til artikel 3, stk. 3, i TEU respekterer Den Europæiske Union sin rige kulturelle og sproglige mangfoldighed og sikrer, at den europæiske kulturarv beskyttes og udvikles.</w:t>
      </w:r>
    </w:p>
    <w:p>
      <w:pPr>
        <w:pStyle w:val="ManualConsidrant"/>
        <w:rPr>
          <w:noProof/>
        </w:rPr>
      </w:pPr>
      <w:r>
        <w:t>(3)</w:t>
      </w:r>
      <w:r>
        <w:tab/>
      </w:r>
      <w:r>
        <w:rPr>
          <w:noProof/>
        </w:rPr>
        <w:t>Artikel 167, stk. 1, i TEUF giver Den Europæiske Union til opgave at bidrage "til, at medlemsstaternes kulturer kan udfolde sig, idet den respekterer den nationale og regionale mangfoldighed og samtidig fremhæver den fælles kulturarv". Unionen skal ved sin indsats fremme samarbejdet mellem medlemsstaterne og om nødvendigt støtte og udbygge medlemsstaternes indsats, blandt andet vedrørende forbedring af kendskabet til og formidlingen af de europæiske folkeslags kultur og historie og vedrørende bevarelse og beskyttelse af den kulturarv, der er af europæisk betydning (artikel 167, stk. 2, i TEUF).</w:t>
      </w:r>
    </w:p>
    <w:p>
      <w:pPr>
        <w:pStyle w:val="ManualConsidrant"/>
        <w:rPr>
          <w:noProof/>
        </w:rPr>
      </w:pPr>
      <w:r>
        <w:t>(4)</w:t>
      </w:r>
      <w:r>
        <w:tab/>
      </w:r>
      <w:r>
        <w:rPr>
          <w:noProof/>
        </w:rPr>
        <w:t>Som Europa-Kommissionen fremhævede i sin meddelelse "På vej mod en integreret tilgang til kulturarv i Europa"</w:t>
      </w:r>
      <w:r>
        <w:rPr>
          <w:rStyle w:val="FootnoteReference"/>
          <w:rFonts w:eastAsia="Times New Roman"/>
          <w:noProof/>
          <w:color w:val="000000" w:themeColor="text1"/>
        </w:rPr>
        <w:footnoteReference w:id="17"/>
      </w:r>
      <w:r>
        <w:rPr>
          <w:noProof/>
        </w:rPr>
        <w:t>, skal kulturarven betragtes som en fælles ressource og et fælles gode, der forvaltes for kommende generationer, og som alle interessenter har et fælles ansvar for at beskytte.</w:t>
      </w:r>
    </w:p>
    <w:p>
      <w:pPr>
        <w:pStyle w:val="ManualConsidrant"/>
        <w:rPr>
          <w:noProof/>
        </w:rPr>
      </w:pPr>
      <w:r>
        <w:t>(5)</w:t>
      </w:r>
      <w:r>
        <w:tab/>
      </w:r>
      <w:r>
        <w:rPr>
          <w:noProof/>
        </w:rPr>
        <w:t>Kulturarven er af stor værdi for det europæiske samfund ud fra et kulturelt, miljømæssigt, socialt og økonomisk synspunkt. Dermed er en bæredygtig forvaltning heraf et strategisk valg for det 21. århundrede, som Rådet understregede i sine konklusioner af 21. maj 2014 om "kulturarv som en strategisk ressource i et bæredygtigt Europa"</w:t>
      </w:r>
      <w:r>
        <w:rPr>
          <w:rStyle w:val="FootnoteReference"/>
          <w:rFonts w:eastAsia="Times New Roman"/>
          <w:noProof/>
          <w:color w:val="000000" w:themeColor="text1"/>
        </w:rPr>
        <w:footnoteReference w:id="18"/>
      </w:r>
      <w:r>
        <w:rPr>
          <w:noProof/>
        </w:rPr>
        <w:t>. Dens bidrag til værdiskabelse, kvalifikationer og beskæftigelse samt livskvalitet er undervurderet.</w:t>
      </w:r>
    </w:p>
    <w:p>
      <w:pPr>
        <w:pStyle w:val="ManualConsidrant"/>
        <w:rPr>
          <w:noProof/>
        </w:rPr>
      </w:pPr>
      <w:r>
        <w:t>(6)</w:t>
      </w:r>
      <w:r>
        <w:tab/>
      </w:r>
      <w:r>
        <w:rPr>
          <w:noProof/>
        </w:rPr>
        <w:t>Kulturarven er afgørende for den europæiske kulturdagsorden</w:t>
      </w:r>
      <w:r>
        <w:rPr>
          <w:rStyle w:val="FootnoteReference"/>
          <w:rFonts w:eastAsia="Times New Roman"/>
          <w:noProof/>
          <w:color w:val="000000" w:themeColor="text1"/>
        </w:rPr>
        <w:footnoteReference w:id="19"/>
      </w:r>
      <w:r>
        <w:rPr>
          <w:noProof/>
        </w:rPr>
        <w:t>. Den er en af de fire prioriteter for det europæiske samarbejde om kultur i perioden 2015-2018, jf. den aktuelle arbejdsplan på kulturområdet, som Rådet vedtog den 25. november 2014</w:t>
      </w:r>
      <w:r>
        <w:rPr>
          <w:rStyle w:val="FootnoteReference"/>
          <w:rFonts w:eastAsia="Times New Roman"/>
          <w:noProof/>
          <w:color w:val="000000" w:themeColor="text1"/>
        </w:rPr>
        <w:footnoteReference w:id="20"/>
      </w:r>
      <w:r>
        <w:rPr>
          <w:noProof/>
        </w:rPr>
        <w:t>.</w:t>
      </w:r>
    </w:p>
    <w:p>
      <w:pPr>
        <w:pStyle w:val="ManualConsidrant"/>
        <w:rPr>
          <w:noProof/>
        </w:rPr>
      </w:pPr>
      <w:r>
        <w:t>(7)</w:t>
      </w:r>
      <w:r>
        <w:tab/>
      </w:r>
      <w:r>
        <w:rPr>
          <w:noProof/>
        </w:rPr>
        <w:t>Kulturarven består af et bredt spektrum af "nedarvede ressourcer i alle former og aspekter, både håndgribelige, uhåndgribelige og digitale (digitale fra starten eller digitaliseret senere), herunder monumenter, lokaliteter, landskaber, kvalifikationer, praksis, viden og udtryk for menneskelig kreativitet samt samlinger, der bevares og forvaltes af offentlige og private organer som museer, biblioteker og arkiver", som det hedder i førnævnte konklusioner af 21. maj 2014.</w:t>
      </w:r>
    </w:p>
    <w:p>
      <w:pPr>
        <w:pStyle w:val="ManualConsidrant"/>
        <w:rPr>
          <w:noProof/>
        </w:rPr>
      </w:pPr>
      <w:r>
        <w:t>(8)</w:t>
      </w:r>
      <w:r>
        <w:tab/>
      </w:r>
      <w:r>
        <w:rPr>
          <w:noProof/>
        </w:rPr>
        <w:t>Kulturarven er blevet til over lang tid gennem en syntese og kombination af kulturelle udtryksformer fra de forskellige civilisationer, der har befolket Europa. Et europæisk år vil bidrage til at tilskynde til og fremme forståelsen for vigtigheden af at beskytte og fremme de kulturelle udtryksformers mangfoldighed. En måde at opnå dette på er gennem uddannelsesprogrammer og programmer til styrkelse af den offentlige bevidsthed i overensstemmelse med forpligtelserne i UNESCO's konvention om beskyttelse og fremme af de kulturelle udtryksformers mangfoldighed</w:t>
      </w:r>
      <w:r>
        <w:rPr>
          <w:rStyle w:val="FootnoteReference"/>
          <w:noProof/>
          <w:color w:val="000000" w:themeColor="text1"/>
        </w:rPr>
        <w:footnoteReference w:id="21"/>
      </w:r>
      <w:r>
        <w:rPr>
          <w:noProof/>
        </w:rPr>
        <w:t>, som UNESCO vedtog den 20. november 2005, og som EU er part i.</w:t>
      </w:r>
    </w:p>
    <w:p>
      <w:pPr>
        <w:pStyle w:val="ManualConsidrant"/>
        <w:rPr>
          <w:noProof/>
        </w:rPr>
      </w:pPr>
      <w:r>
        <w:t>(9)</w:t>
      </w:r>
      <w:r>
        <w:tab/>
      </w:r>
      <w:r>
        <w:rPr>
          <w:noProof/>
        </w:rPr>
        <w:t>FN's konvention om rettigheder for personer med handicap, som EU og de fleste medlemsstater er part i, fastsætter i artikel 30 om deltagelse i kulturlivet, rekreative tilbud, fritidsaktiviteter og idræt, at deltagerstaterne anerkender retten for personer med handicap til at tage del i kulturlivet på lige fod med andre og skal træffe alle passende foranstaltninger til at sikre, at personer med handicap blandt andet har adgang til steder for kulturelle forestillinger eller tilbud, såsom teatre, museer, biografer, biblioteker og turisttilbud, og så vidt muligt har adgang til monumenter og steder af national kulturel betydning.</w:t>
      </w:r>
    </w:p>
    <w:p>
      <w:pPr>
        <w:pStyle w:val="ManualConsidrant"/>
        <w:rPr>
          <w:noProof/>
          <w:u w:color="000000"/>
        </w:rPr>
      </w:pPr>
      <w:r>
        <w:t>(10)</w:t>
      </w:r>
      <w:r>
        <w:tab/>
      </w:r>
      <w:r>
        <w:rPr>
          <w:noProof/>
        </w:rPr>
        <w:t>Den europæiske tilgængelighedspris "Access City Award" har demonstreret muligheden for og god praksis i forbindelse med at gøre byernes kulturarv tilgængelig for personer med handicap, ældre og personer med nedsat mobilitet eller andre former for midlertidige funktionsnedsættelse på måder, der respekterer deres natur og værdier.</w:t>
      </w:r>
    </w:p>
    <w:p>
      <w:pPr>
        <w:pStyle w:val="ManualConsidrant"/>
        <w:rPr>
          <w:noProof/>
        </w:rPr>
      </w:pPr>
      <w:r>
        <w:t>(11)</w:t>
      </w:r>
      <w:r>
        <w:tab/>
      </w:r>
      <w:r>
        <w:rPr>
          <w:noProof/>
        </w:rPr>
        <w:t>Kulturarv kan spille en vigtig rolle for fællesskabssamhørigheden i en tid med voksende kulturel mangfoldighed i de europæiske samfund. Nye deltagerorienterede og interkulturelle tilgange til kulturarvspolitikker og uddannelsesinitiativer, som tillægger al kulturarv ligeværdighed, har potentialet til at øge tilliden, den gensidige anerkendelse og den sociale samhørighed.</w:t>
      </w:r>
    </w:p>
    <w:p>
      <w:pPr>
        <w:pStyle w:val="ManualConsidrant"/>
        <w:rPr>
          <w:noProof/>
        </w:rPr>
      </w:pPr>
      <w:r>
        <w:t>(12)</w:t>
      </w:r>
      <w:r>
        <w:tab/>
      </w:r>
      <w:r>
        <w:rPr>
          <w:noProof/>
          <w:u w:color="000000"/>
        </w:rPr>
        <w:t>Dette anerkendes også i 2030-dagsordenen for bæredygtig udvikling</w:t>
      </w:r>
      <w:r>
        <w:rPr>
          <w:rStyle w:val="FootnoteReference"/>
          <w:noProof/>
          <w:color w:val="000000" w:themeColor="text1"/>
          <w:u w:color="000000"/>
          <w:lang w:eastAsia="en-GB"/>
        </w:rPr>
        <w:footnoteReference w:id="22"/>
      </w:r>
      <w:r>
        <w:rPr>
          <w:noProof/>
          <w:u w:color="000000"/>
        </w:rPr>
        <w:t>, som anerkender globalt medborgerskab, kulturel mangfoldighed og interkulturel dialog som overordnede principper for bæredygtig udvikling. Den anerkender, at alle kulturer og civilisationer kan bidrage til, og er afgørende katalysatorer for bæredygtig udvikling. Kultur er udtrykkeligt nævnt i flere af de bæredygtige udviklingsmål i 2030-dagsordenen: f.eks. mål 4 (uddannelse), mål 5 (køn), mål 8 og mål 12 i forbindelse med turisme (bæredygtig vækst/forbrugsmønstre) og navnlig mål 11 (byer-kulturarv).</w:t>
      </w:r>
    </w:p>
    <w:p>
      <w:pPr>
        <w:pStyle w:val="ManualConsidrant"/>
        <w:rPr>
          <w:noProof/>
        </w:rPr>
      </w:pPr>
      <w:r>
        <w:t>(13)</w:t>
      </w:r>
      <w:r>
        <w:tab/>
      </w:r>
      <w:r>
        <w:rPr>
          <w:noProof/>
        </w:rPr>
        <w:t>Den stigende internationale anerkendelse af behovet for at gøre mennesker og menneskelige værdier til det centrale element i et udvidet og tværfagligt begreb for kulturarv understreger nødvendigheden af at fremme bredere adgang til kulturarv. Dette kan opnås ved at nå ud til forskellige publikumsgrupper og ved at forbedre tilgængeligheden af steder, bygninger, produkter og tilbud, idet der tages hensyn til særlige behov og betydningen af demografiske ændringer.</w:t>
      </w:r>
    </w:p>
    <w:p>
      <w:pPr>
        <w:pStyle w:val="ManualConsidrant"/>
        <w:rPr>
          <w:noProof/>
        </w:rPr>
      </w:pPr>
      <w:r>
        <w:t>(14)</w:t>
      </w:r>
      <w:r>
        <w:tab/>
      </w:r>
      <w:r>
        <w:rPr>
          <w:noProof/>
        </w:rPr>
        <w:t>Politikker for vedligeholdelse, restaurering, bevarelse, genbrug, adgang til og fremme af kulturarv og kulturarvsrelaterede tilbud er primært de nationale, regionale eller lokale myndigheders ansvar. Ikke desto mindre har kulturarv en klar europæisk dimension og behandles i flere EU-politikker ud over kulturpolitikkerne. Det er blandt andet følgende politikker: uddannelse, landbrug og udvikling af landdistrikterne, regional udvikling, social samhørighed, maritime anliggender, miljø, turisme, den digitale dagsorden, forskning og innovation samt kommunikation.</w:t>
      </w:r>
    </w:p>
    <w:p>
      <w:pPr>
        <w:pStyle w:val="ManualConsidrant"/>
        <w:rPr>
          <w:noProof/>
        </w:rPr>
      </w:pPr>
      <w:r>
        <w:t>(15)</w:t>
      </w:r>
      <w:r>
        <w:tab/>
      </w:r>
      <w:r>
        <w:rPr>
          <w:noProof/>
        </w:rPr>
        <w:t>Der er behov for effektiv forvaltning på flere niveauer og bedre tværsektorielt samarbejde for at sikre, øge og forvalte kulturarvsressourcer, som går på tværs af en række offentlige politikker, med henblik på at udnytte deres fulde potentiale for de europæiske økonomier og samfund. Det berører alle interessenter, herunder offentlige myndigheder, privatpersoner, civilsamfundsorganisationer, NGO'er og den frivillige sektor.</w:t>
      </w:r>
    </w:p>
    <w:p>
      <w:pPr>
        <w:pStyle w:val="ManualConsidrant"/>
        <w:rPr>
          <w:noProof/>
        </w:rPr>
      </w:pPr>
      <w:r>
        <w:t>(16)</w:t>
      </w:r>
      <w:r>
        <w:tab/>
      </w:r>
      <w:r>
        <w:rPr>
          <w:noProof/>
        </w:rPr>
        <w:t>Rådet opfordrede i sine konklusioner af 25. november 2014</w:t>
      </w:r>
      <w:r>
        <w:rPr>
          <w:rStyle w:val="FootnoteReference"/>
          <w:noProof/>
          <w:color w:val="000000" w:themeColor="text1"/>
        </w:rPr>
        <w:footnoteReference w:id="23"/>
      </w:r>
      <w:r>
        <w:rPr>
          <w:noProof/>
        </w:rPr>
        <w:t xml:space="preserve"> Kommissionen til at overveje at forelægge et forslag til et "europæisk år for kulturarv".</w:t>
      </w:r>
    </w:p>
    <w:p>
      <w:pPr>
        <w:pStyle w:val="ManualConsidrant"/>
        <w:rPr>
          <w:noProof/>
        </w:rPr>
      </w:pPr>
      <w:r>
        <w:t>(17)</w:t>
      </w:r>
      <w:r>
        <w:tab/>
      </w:r>
      <w:r>
        <w:rPr>
          <w:noProof/>
        </w:rPr>
        <w:t>Europa-Parlamentet anbefalede i sin beslutning af 8. september 2015 at udpege et europæisk år for kulturarv, helst allerede 2018</w:t>
      </w:r>
      <w:r>
        <w:rPr>
          <w:rStyle w:val="FootnoteReference"/>
          <w:rFonts w:eastAsia="Times New Roman"/>
          <w:noProof/>
          <w:color w:val="000000" w:themeColor="text1"/>
        </w:rPr>
        <w:footnoteReference w:id="24"/>
      </w:r>
      <w:r>
        <w:rPr>
          <w:noProof/>
        </w:rPr>
        <w:t>.</w:t>
      </w:r>
    </w:p>
    <w:p>
      <w:pPr>
        <w:pStyle w:val="ManualConsidrant"/>
        <w:rPr>
          <w:noProof/>
        </w:rPr>
      </w:pPr>
      <w:r>
        <w:t>(18)</w:t>
      </w:r>
      <w:r>
        <w:tab/>
      </w:r>
      <w:r>
        <w:rPr>
          <w:noProof/>
        </w:rPr>
        <w:t>Det Europæiske Regionsudvalg tog i sin udtalelse af 16. april 2014</w:t>
      </w:r>
      <w:r>
        <w:rPr>
          <w:rStyle w:val="FootnoteReference"/>
          <w:noProof/>
          <w:color w:val="000000" w:themeColor="text1"/>
        </w:rPr>
        <w:footnoteReference w:id="25"/>
      </w:r>
      <w:r>
        <w:rPr>
          <w:noProof/>
        </w:rPr>
        <w:t xml:space="preserve"> vel imod Rådets forslag til et "europæisk år for kulturarv" og fremhævede dets bidrag til at nå de fælles mål i paneuropæisk sammenhæng.</w:t>
      </w:r>
    </w:p>
    <w:p>
      <w:pPr>
        <w:pStyle w:val="ManualConsidrant"/>
        <w:rPr>
          <w:noProof/>
        </w:rPr>
      </w:pPr>
      <w:r>
        <w:t>(19)</w:t>
      </w:r>
      <w:r>
        <w:tab/>
      </w:r>
      <w:r>
        <w:rPr>
          <w:noProof/>
        </w:rPr>
        <w:t>At udpege et europæisk år for kulturarv er en effektiv metode til at øge den offentlige bevidsthed, formidle oplysning om god praksis og fremme forskning og innovation samt politisk debat. Ved at skabe et miljø, hvor man fremmer disse mål samtidigt på EU-plan, nationalt, regionalt og lokalt plan, kan der opnås større synenergieffekt og en bedre ressourceudnyttelse.</w:t>
      </w:r>
    </w:p>
    <w:p>
      <w:pPr>
        <w:pStyle w:val="ManualConsidrant"/>
        <w:rPr>
          <w:noProof/>
        </w:rPr>
      </w:pPr>
      <w:r>
        <w:t>(20)</w:t>
      </w:r>
      <w:r>
        <w:tab/>
      </w:r>
      <w:r>
        <w:rPr>
          <w:noProof/>
        </w:rPr>
        <w:t>Kulturarv er også et indsatsområde i flere programmer på området eksterne forbindelser – hovedsagelig, men ikke udelukkende i Mellemøsten. Fremme af kulturarvens værdi er også en reaktion på den bevidste ødelæggelse af kulturskatte i konfliktområder</w:t>
      </w:r>
      <w:r>
        <w:rPr>
          <w:rStyle w:val="FootnoteReference"/>
          <w:noProof/>
          <w:color w:val="000000" w:themeColor="text1"/>
        </w:rPr>
        <w:footnoteReference w:id="26"/>
      </w:r>
      <w:r>
        <w:rPr>
          <w:noProof/>
        </w:rPr>
        <w:t>. Det er vigtigt at sikre komplementaritet mellem det europæiske år for kulturarv og alle de initiativer på området eksterne forbindelser, der udvikles inden for de relevante rammer. Tiltag, der skal beskytte og fremme kulturarv som led i relevante instrumenter vedrørende eksterne forbindelser, bør bl.a. afspejle den fælles interesse, der er forbundet med udveksling af erfaringer og værdier med tredjelande. Det vil fremme gensidig viden om, respekt og forståelse for de respektive kulturer.</w:t>
      </w:r>
    </w:p>
    <w:p>
      <w:pPr>
        <w:pStyle w:val="ManualConsidrant"/>
        <w:rPr>
          <w:noProof/>
        </w:rPr>
      </w:pPr>
      <w:r>
        <w:t>(21)</w:t>
      </w:r>
      <w:r>
        <w:tab/>
      </w:r>
      <w:r>
        <w:rPr>
          <w:noProof/>
        </w:rPr>
        <w:t>Selv om denne afgørelse er rettet til medlemsstaterne, bør udvidelseslandene ikke desto mindre knyttes tæt til tiltag i forbindelse med det europæiske år for kulturarv. Lande, der er omfattet af den europæiske naboskabspolitik, og andre partnerlande bør også søges inddraget, hvor det er relevant. Det kan ske inden for de relevante rammer for samarbejde og dialog, navnlig i forbindelse med civilsamfundsdialogen mellem EU og disse lande.</w:t>
      </w:r>
    </w:p>
    <w:p>
      <w:pPr>
        <w:pStyle w:val="ManualConsidrant"/>
        <w:rPr>
          <w:noProof/>
        </w:rPr>
      </w:pPr>
      <w:r>
        <w:t>(22)</w:t>
      </w:r>
      <w:r>
        <w:tab/>
      </w:r>
      <w:r>
        <w:rPr>
          <w:noProof/>
        </w:rPr>
        <w:t>Sikring, bevarelse og udvidelse af den europæiske kulturarv hører under målene for eksisterende EU-programmer. Dermed kan et europæisk år gennemføres ved at anvende disse programmer i henhold til deres eksisterende bestemmelser og fastsætte prioriteter for finansiering på årsbasis eller flerårig basis. Programmer og politikker på områder som kultur, uddannelse, landbrug og udvikling af landdistrikterne, regional udvikling, social samhørighed, maritime anliggender, miljø, turisme, strategien for det digitale indre marked, forskning og innovation samt kommunikation bidrager direkte og indirekte til beskyttelse, udvidelse, innovativ genbrug og fremme af den europæiske kulturarv og kan støtte initiativet i overensstemmelse med de respektive retlige rammer.</w:t>
      </w:r>
    </w:p>
    <w:p>
      <w:pPr>
        <w:pStyle w:val="ManualConsidrant"/>
        <w:rPr>
          <w:noProof/>
        </w:rPr>
      </w:pPr>
      <w:r>
        <w:t>(23)</w:t>
      </w:r>
      <w:r>
        <w:tab/>
      </w:r>
      <w:r>
        <w:rPr>
          <w:noProof/>
        </w:rPr>
        <w:t>Målet med denne afgørelse er at støtte medlemsstaternes indsats for at beskytte, sikre, udvide, genbruge og fremme den europæiske kulturarv. Da dette ikke i tilstrækkelig grad kan opfyldes af medlemsstaterne alene i betragtning af behovet for tværnational udveksling af oplysninger og formidling af god praksis i hele EU, men bedre kan nås på EU-plan, kan Den Europæiske Union vedtage foranstaltninger i overensstemmelse med nærhedsprincippet, jf. artikel 5 i traktaten om Den Europæiske Union. I overensstemmelse med proportionalitetsprincippet, jf. nævnte artikel, går denne afgørelse ikke videre, end hvad der er nødvendigt for at nå dette mål ––</w:t>
      </w:r>
    </w:p>
    <w:p>
      <w:pPr>
        <w:pStyle w:val="Formuledadoption"/>
        <w:rPr>
          <w:noProof/>
          <w:color w:val="000000" w:themeColor="text1"/>
        </w:rPr>
      </w:pPr>
      <w:r>
        <w:rPr>
          <w:noProof/>
          <w:color w:val="000000" w:themeColor="text1"/>
        </w:rPr>
        <w:t>VEDTAGET DENNE AFGØRELSE:</w:t>
      </w:r>
    </w:p>
    <w:p>
      <w:pPr>
        <w:pStyle w:val="Titrearticle"/>
        <w:rPr>
          <w:noProof/>
          <w:color w:val="000000" w:themeColor="text1"/>
        </w:rPr>
      </w:pPr>
      <w:r>
        <w:rPr>
          <w:noProof/>
          <w:color w:val="000000" w:themeColor="text1"/>
        </w:rPr>
        <w:t>Artikel 1</w:t>
      </w:r>
    </w:p>
    <w:p>
      <w:pPr>
        <w:pStyle w:val="Corpo"/>
        <w:jc w:val="center"/>
        <w:rPr>
          <w:noProof/>
          <w:color w:val="000000" w:themeColor="text1"/>
        </w:rPr>
      </w:pPr>
      <w:r>
        <w:rPr>
          <w:b/>
          <w:bCs/>
          <w:noProof/>
          <w:color w:val="000000" w:themeColor="text1"/>
        </w:rPr>
        <w:t>Genstand</w:t>
      </w:r>
    </w:p>
    <w:p>
      <w:pPr>
        <w:pStyle w:val="Corpo"/>
        <w:rPr>
          <w:rFonts w:eastAsia="Arial Unicode MS" w:cs="Arial Unicode MS"/>
          <w:noProof/>
          <w:color w:val="000000" w:themeColor="text1"/>
        </w:rPr>
      </w:pPr>
      <w:r>
        <w:rPr>
          <w:noProof/>
          <w:color w:val="000000" w:themeColor="text1"/>
        </w:rPr>
        <w:t>År 2018 udpeges hermed til "det europæiske år for kulturarv" (i det følgende benævnt "det europæiske år").</w:t>
      </w:r>
    </w:p>
    <w:p>
      <w:pPr>
        <w:pStyle w:val="Titrearticle"/>
        <w:rPr>
          <w:i w:val="0"/>
          <w:iCs/>
          <w:noProof/>
          <w:color w:val="000000" w:themeColor="text1"/>
        </w:rPr>
      </w:pPr>
      <w:r>
        <w:rPr>
          <w:noProof/>
          <w:color w:val="000000" w:themeColor="text1"/>
        </w:rPr>
        <w:t>Artikel 2</w:t>
      </w:r>
    </w:p>
    <w:p>
      <w:pPr>
        <w:pStyle w:val="Corpo"/>
        <w:jc w:val="center"/>
        <w:rPr>
          <w:noProof/>
          <w:color w:val="000000" w:themeColor="text1"/>
        </w:rPr>
      </w:pPr>
      <w:r>
        <w:rPr>
          <w:b/>
          <w:bCs/>
          <w:noProof/>
          <w:color w:val="000000" w:themeColor="text1"/>
        </w:rPr>
        <w:t>Mål</w:t>
      </w:r>
    </w:p>
    <w:p>
      <w:pPr>
        <w:pStyle w:val="Corpo"/>
        <w:rPr>
          <w:noProof/>
          <w:color w:val="000000" w:themeColor="text1"/>
        </w:rPr>
      </w:pPr>
      <w:r>
        <w:rPr>
          <w:noProof/>
          <w:color w:val="000000" w:themeColor="text1"/>
        </w:rPr>
        <w:t>1. I overensstemmelse med målene for den europæiske kulturdagsorden er de overordnede målsætninger med det europæiske år at fremme og støtte – navnlig gennem udveksling af erfaringer og god praksis – Unionens, medlemsstaternes, regionale og lokale myndigheders indsats for at beskytte, sikre, genbruge, udvide, værdsætte og fremme den europæiske kulturarv i Den Europæiske Union (EU). Navnlig:</w:t>
      </w:r>
    </w:p>
    <w:p>
      <w:pPr>
        <w:pStyle w:val="Point0"/>
        <w:rPr>
          <w:noProof/>
          <w:color w:val="000000" w:themeColor="text1"/>
        </w:rPr>
      </w:pPr>
      <w:r>
        <w:rPr>
          <w:noProof/>
          <w:color w:val="000000" w:themeColor="text1"/>
        </w:rPr>
        <w:t>a)</w:t>
      </w:r>
      <w:r>
        <w:rPr>
          <w:noProof/>
          <w:color w:val="000000" w:themeColor="text1"/>
        </w:rPr>
        <w:tab/>
        <w:t>Det skal bidrage til at fremme den europæiske kulturarvs rolle som et afgørende element i kulturel mangfoldighed og tværkulturel dialog. Det bør sætte fokus på de bedste metoder til at sikre, at den bevares og beskyttes, og til, at et større og mere forskelligartet publikum får glæde af den. Det skal bl.a. ske gennem foranstaltninger til publikumsudvikling og uddannelse i kulturarv, med fuld respekt for medlemsstaternes kompetencer, hvorved social inklusion og integration fremmes.</w:t>
      </w:r>
    </w:p>
    <w:p>
      <w:pPr>
        <w:pStyle w:val="Point0"/>
        <w:rPr>
          <w:noProof/>
          <w:color w:val="000000" w:themeColor="text1"/>
        </w:rPr>
      </w:pPr>
      <w:r>
        <w:rPr>
          <w:noProof/>
          <w:color w:val="000000" w:themeColor="text1"/>
        </w:rPr>
        <w:t>b)</w:t>
      </w:r>
      <w:r>
        <w:rPr>
          <w:noProof/>
          <w:color w:val="000000" w:themeColor="text1"/>
        </w:rPr>
        <w:tab/>
        <w:t>Det forbedrer den europæiske kulturarvs bidrag til økonomien og samfundet gennem dens direkte og indirekte økonomiske potentiale. Det omfatter muligheden for at understøtte de kulturelle og kreative industrier og inspirere til kreativitet og innovation, fremme bæredygtig turisme, øge den sociale samhørighed og skabe langsigtet beskæftigelse.</w:t>
      </w:r>
    </w:p>
    <w:p>
      <w:pPr>
        <w:pStyle w:val="Point0"/>
        <w:rPr>
          <w:noProof/>
          <w:color w:val="000000" w:themeColor="text1"/>
          <w:u w:color="0000FF"/>
        </w:rPr>
      </w:pPr>
      <w:r>
        <w:rPr>
          <w:noProof/>
          <w:color w:val="000000" w:themeColor="text1"/>
        </w:rPr>
        <w:t>c)</w:t>
      </w:r>
      <w:r>
        <w:rPr>
          <w:noProof/>
          <w:color w:val="000000" w:themeColor="text1"/>
        </w:rPr>
        <w:tab/>
        <w:t>Det bidrager til at fremme kulturarv som et vigtigt element i Unionens eksterne forbindelser ved at bygge på interessen i partnerlandene for Europas kulturarv og ekspertise.</w:t>
      </w:r>
    </w:p>
    <w:p>
      <w:pPr>
        <w:pStyle w:val="Corpo"/>
        <w:rPr>
          <w:noProof/>
          <w:color w:val="000000" w:themeColor="text1"/>
        </w:rPr>
      </w:pPr>
      <w:r>
        <w:rPr>
          <w:noProof/>
          <w:color w:val="000000" w:themeColor="text1"/>
        </w:rPr>
        <w:t>2. De specifikke mål for det europæiske år for kulturarv er at:</w:t>
      </w:r>
    </w:p>
    <w:p>
      <w:pPr>
        <w:pStyle w:val="Point0"/>
        <w:rPr>
          <w:noProof/>
          <w:color w:val="000000" w:themeColor="text1"/>
        </w:rPr>
      </w:pPr>
      <w:r>
        <w:rPr>
          <w:noProof/>
          <w:color w:val="000000" w:themeColor="text1"/>
        </w:rPr>
        <w:t>a)</w:t>
      </w:r>
      <w:r>
        <w:rPr>
          <w:noProof/>
          <w:color w:val="000000" w:themeColor="text1"/>
        </w:rPr>
        <w:tab/>
        <w:t>tilskynde til tilgange, der sætter mennesket i centrum, er inklusive, fremadrettede, mere integrerede og tværsektorielle for at gøre kulturarven tilgængelig for alle og med henblik på beskyttelse, bevarelse, innovativ genbrug og udvidelse af kulturarven</w:t>
      </w:r>
    </w:p>
    <w:p>
      <w:pPr>
        <w:pStyle w:val="Point0"/>
        <w:rPr>
          <w:noProof/>
          <w:color w:val="000000" w:themeColor="text1"/>
        </w:rPr>
      </w:pPr>
      <w:r>
        <w:rPr>
          <w:noProof/>
          <w:color w:val="000000" w:themeColor="text1"/>
        </w:rPr>
        <w:t>b)</w:t>
      </w:r>
      <w:r>
        <w:rPr>
          <w:noProof/>
          <w:color w:val="000000" w:themeColor="text1"/>
        </w:rPr>
        <w:tab/>
        <w:t>fremme innovative modeller for styring og forvaltning af kulturarv på flere niveauer, som inddrager alle relevante interessenter, herunder offentlige myndigheder, privatpersoner, civilsamfundsorganisationer, NGO'er og den frivillige sektor</w:t>
      </w:r>
    </w:p>
    <w:p>
      <w:pPr>
        <w:pStyle w:val="Point0"/>
        <w:rPr>
          <w:noProof/>
          <w:color w:val="000000" w:themeColor="text1"/>
        </w:rPr>
      </w:pPr>
      <w:r>
        <w:rPr>
          <w:noProof/>
          <w:color w:val="000000" w:themeColor="text1"/>
        </w:rPr>
        <w:t>c)</w:t>
      </w:r>
      <w:r>
        <w:rPr>
          <w:noProof/>
          <w:color w:val="000000" w:themeColor="text1"/>
        </w:rPr>
        <w:tab/>
        <w:t>fremme debat, forsknings- og innovationsaktiviteter og udveksling af god praksis vedrørende kvaliteten af bevarelse og beskyttelse af kulturarv og nutidige indgreb i det historiske miljø samt fremme af løsninger, som er tilgængelige for alle, herunder personer med handicap</w:t>
      </w:r>
    </w:p>
    <w:p>
      <w:pPr>
        <w:pStyle w:val="Point0"/>
        <w:rPr>
          <w:noProof/>
          <w:color w:val="000000" w:themeColor="text1"/>
        </w:rPr>
      </w:pPr>
      <w:r>
        <w:rPr>
          <w:noProof/>
          <w:color w:val="000000" w:themeColor="text1"/>
        </w:rPr>
        <w:t>d)</w:t>
      </w:r>
      <w:r>
        <w:rPr>
          <w:noProof/>
          <w:color w:val="000000" w:themeColor="text1"/>
        </w:rPr>
        <w:tab/>
        <w:t>fremhæve og stimulere kulturarvens positive bidrag til samfundet og økonomien gennem forskning og innovation, herunder et evidensgrundlag på EU-plan, og gennem udvikling af indikatorer og benchmarks</w:t>
      </w:r>
    </w:p>
    <w:p>
      <w:pPr>
        <w:pStyle w:val="Point0"/>
        <w:rPr>
          <w:noProof/>
          <w:color w:val="000000" w:themeColor="text1"/>
        </w:rPr>
      </w:pPr>
      <w:r>
        <w:rPr>
          <w:noProof/>
          <w:color w:val="000000" w:themeColor="text1"/>
        </w:rPr>
        <w:t>e)</w:t>
      </w:r>
      <w:r>
        <w:rPr>
          <w:noProof/>
          <w:color w:val="000000" w:themeColor="text1"/>
        </w:rPr>
        <w:tab/>
        <w:t>tilskynde til lokale udviklingsstrategier, som udnytter kulturarvens potentiale, bl.a. ved at fremme bæredygtig kulturturisme</w:t>
      </w:r>
    </w:p>
    <w:p>
      <w:pPr>
        <w:pStyle w:val="Point0"/>
        <w:rPr>
          <w:noProof/>
          <w:color w:val="000000" w:themeColor="text1"/>
        </w:rPr>
      </w:pPr>
      <w:r>
        <w:rPr>
          <w:noProof/>
          <w:color w:val="000000" w:themeColor="text1"/>
        </w:rPr>
        <w:t>f)</w:t>
      </w:r>
      <w:r>
        <w:rPr>
          <w:noProof/>
          <w:color w:val="000000" w:themeColor="text1"/>
        </w:rPr>
        <w:tab/>
        <w:t>støtte udviklingen af specialiserede færdigheder og forbedre vidensstyringen og vidensoverførslen på kulturarvsområdet under hensyntagen til følgerne af den digitale overgang</w:t>
      </w:r>
    </w:p>
    <w:p>
      <w:pPr>
        <w:pStyle w:val="Point0"/>
        <w:rPr>
          <w:noProof/>
          <w:color w:val="000000" w:themeColor="text1"/>
        </w:rPr>
      </w:pPr>
      <w:r>
        <w:rPr>
          <w:noProof/>
          <w:color w:val="000000" w:themeColor="text1"/>
        </w:rPr>
        <w:t>g)</w:t>
      </w:r>
      <w:r>
        <w:rPr>
          <w:noProof/>
          <w:color w:val="000000" w:themeColor="text1"/>
        </w:rPr>
        <w:tab/>
        <w:t>fremme kulturarv som inspirationskilde for nutidig kreativitet og innovation og fremhæve potentialet for gensidig inspiration og et stærkere samspil mellem de kulturelle og kreative sektorer og samfund og kulturarvssektoren</w:t>
      </w:r>
    </w:p>
    <w:p>
      <w:pPr>
        <w:pStyle w:val="Point0"/>
        <w:rPr>
          <w:noProof/>
          <w:color w:val="000000" w:themeColor="text1"/>
        </w:rPr>
      </w:pPr>
      <w:r>
        <w:rPr>
          <w:noProof/>
          <w:color w:val="000000" w:themeColor="text1"/>
        </w:rPr>
        <w:t>h)</w:t>
      </w:r>
      <w:r>
        <w:rPr>
          <w:noProof/>
          <w:color w:val="000000" w:themeColor="text1"/>
        </w:rPr>
        <w:tab/>
        <w:t>øge opmærksomheden på den europæiske kulturarvs betydning gennem uddannelse og livslang læring, navnlig ved at fokusere på de unge og lokalsamfundene</w:t>
      </w:r>
    </w:p>
    <w:p>
      <w:pPr>
        <w:pStyle w:val="Point0"/>
        <w:rPr>
          <w:noProof/>
          <w:color w:val="000000" w:themeColor="text1"/>
        </w:rPr>
      </w:pPr>
      <w:r>
        <w:rPr>
          <w:noProof/>
          <w:color w:val="000000" w:themeColor="text1"/>
        </w:rPr>
        <w:t>i)</w:t>
      </w:r>
      <w:r>
        <w:rPr>
          <w:noProof/>
          <w:color w:val="000000" w:themeColor="text1"/>
        </w:rPr>
        <w:tab/>
        <w:t>fremhæve potentialet i internationalt samarbejde om spørgsmål vedrørende kulturarv til at udvikle stærkere forbindelser til lande uden for EU og tilskynde til interkulturel dialog, postkonfliktgenopbygning og konfliktforebyggelse</w:t>
      </w:r>
    </w:p>
    <w:p>
      <w:pPr>
        <w:pStyle w:val="Point0"/>
        <w:rPr>
          <w:noProof/>
          <w:color w:val="000000" w:themeColor="text1"/>
        </w:rPr>
      </w:pPr>
      <w:r>
        <w:rPr>
          <w:noProof/>
          <w:color w:val="000000" w:themeColor="text1"/>
        </w:rPr>
        <w:t>j)</w:t>
      </w:r>
      <w:r>
        <w:rPr>
          <w:noProof/>
          <w:color w:val="000000" w:themeColor="text1"/>
        </w:rPr>
        <w:tab/>
        <w:t>styrke forskning og innovation vedrørende kulturarv, fremme anvendelse og udnyttelse af forskningsresultater hos alle interessenter, navnlig offentlige myndigheder og den private sektor, og gøre det lettere at formidle forskningsresultater til et bredere publikum og</w:t>
      </w:r>
    </w:p>
    <w:p>
      <w:pPr>
        <w:pStyle w:val="Point0"/>
        <w:rPr>
          <w:noProof/>
          <w:color w:val="000000" w:themeColor="text1"/>
        </w:rPr>
      </w:pPr>
      <w:r>
        <w:rPr>
          <w:noProof/>
          <w:color w:val="000000" w:themeColor="text1"/>
        </w:rPr>
        <w:t>k)</w:t>
      </w:r>
      <w:r>
        <w:rPr>
          <w:noProof/>
          <w:color w:val="000000" w:themeColor="text1"/>
        </w:rPr>
        <w:tab/>
        <w:t>tilskynde til synergier mellem Unionen og medlemsstaterne, herunder styrkelse af initiativer til forebyggelse af ulovlig handel med kulturgoder.</w:t>
      </w:r>
    </w:p>
    <w:p>
      <w:pPr>
        <w:pStyle w:val="Titrearticle"/>
        <w:rPr>
          <w:i w:val="0"/>
          <w:iCs/>
          <w:noProof/>
          <w:color w:val="000000" w:themeColor="text1"/>
        </w:rPr>
      </w:pPr>
      <w:r>
        <w:rPr>
          <w:noProof/>
          <w:color w:val="000000" w:themeColor="text1"/>
        </w:rPr>
        <w:t>Artikel 3</w:t>
      </w:r>
    </w:p>
    <w:p>
      <w:pPr>
        <w:pStyle w:val="Corpo"/>
        <w:jc w:val="center"/>
        <w:rPr>
          <w:noProof/>
          <w:color w:val="000000" w:themeColor="text1"/>
        </w:rPr>
      </w:pPr>
      <w:r>
        <w:rPr>
          <w:b/>
          <w:bCs/>
          <w:noProof/>
          <w:color w:val="000000" w:themeColor="text1"/>
        </w:rPr>
        <w:t>Foranstaltningernes indhold</w:t>
      </w:r>
    </w:p>
    <w:p>
      <w:pPr>
        <w:pStyle w:val="Corpo"/>
        <w:rPr>
          <w:noProof/>
          <w:color w:val="000000" w:themeColor="text1"/>
        </w:rPr>
      </w:pPr>
      <w:r>
        <w:rPr>
          <w:noProof/>
          <w:color w:val="000000" w:themeColor="text1"/>
        </w:rPr>
        <w:t>1. De foranstaltninger, der iværksættes for at nå de i artikel 2 opstillede mål, skal på europæisk plan, nationalt, regionalt og lokalt omfatte følgende aktiviteter, som er forbundet med målene med det europæiske år:</w:t>
      </w:r>
    </w:p>
    <w:p>
      <w:pPr>
        <w:pStyle w:val="Point0"/>
        <w:rPr>
          <w:noProof/>
        </w:rPr>
      </w:pPr>
      <w:r>
        <w:rPr>
          <w:noProof/>
        </w:rPr>
        <w:t>a)</w:t>
      </w:r>
      <w:r>
        <w:rPr>
          <w:noProof/>
        </w:rPr>
        <w:tab/>
        <w:t>konferencer, arrangementer og initiativer med henblik på at fremme debat og gøre opmærksom på betydningen og værdien af kulturarv og lette inddragelse af borgere og interessenter</w:t>
      </w:r>
    </w:p>
    <w:p>
      <w:pPr>
        <w:pStyle w:val="Point0"/>
        <w:rPr>
          <w:noProof/>
        </w:rPr>
      </w:pPr>
      <w:r>
        <w:rPr>
          <w:noProof/>
        </w:rPr>
        <w:t>b)</w:t>
      </w:r>
      <w:r>
        <w:rPr>
          <w:noProof/>
        </w:rPr>
        <w:tab/>
        <w:t>oplysnings- og uddannelseskampagner for at formidle værdier som mangfoldighed og interkulturel dialog med dokumentation fra Europas rige kulturarv og stimulere den almene offentligheds bidrag til beskyttelse og forvaltning af kulturarv og mere generelt til at nå målene for det europæiske år</w:t>
      </w:r>
    </w:p>
    <w:p>
      <w:pPr>
        <w:pStyle w:val="Point0"/>
        <w:rPr>
          <w:noProof/>
        </w:rPr>
      </w:pPr>
      <w:r>
        <w:rPr>
          <w:noProof/>
        </w:rPr>
        <w:t>c)</w:t>
      </w:r>
      <w:r>
        <w:rPr>
          <w:noProof/>
        </w:rPr>
        <w:tab/>
        <w:t>udveksling af erfaringer og god praksis i nationale, regionale og lokale forvaltninger og andre organisationer med henblik på at formidle information om kulturarv og</w:t>
      </w:r>
    </w:p>
    <w:p>
      <w:pPr>
        <w:pStyle w:val="Point0"/>
        <w:rPr>
          <w:noProof/>
        </w:rPr>
      </w:pPr>
      <w:r>
        <w:rPr>
          <w:noProof/>
        </w:rPr>
        <w:t>d)</w:t>
      </w:r>
      <w:r>
        <w:rPr>
          <w:noProof/>
        </w:rPr>
        <w:tab/>
        <w:t>gennemførelse af undersøgelser, forsknings- og innovationsaktiviteter og formidling af resultaterne af dem på europæisk eller nationalt plan.</w:t>
      </w:r>
    </w:p>
    <w:p>
      <w:pPr>
        <w:pStyle w:val="Corpo"/>
        <w:rPr>
          <w:noProof/>
          <w:color w:val="000000" w:themeColor="text1"/>
        </w:rPr>
      </w:pPr>
      <w:r>
        <w:rPr>
          <w:noProof/>
          <w:color w:val="000000" w:themeColor="text1"/>
        </w:rPr>
        <w:t>2. Kommissionen og medlemsstaterne kan udpege andre aktiviteter, som kunne bidrage til de i artikel 2 fastsatte mål for det europæiske år, og tillade, at det europæiske års navn anvendes til fremme af disse aktiviteter, forudsat at de bidrager til at nå disse mål.</w:t>
      </w:r>
    </w:p>
    <w:p>
      <w:pPr>
        <w:pStyle w:val="Titrearticle"/>
        <w:rPr>
          <w:i w:val="0"/>
          <w:iCs/>
          <w:noProof/>
          <w:color w:val="000000" w:themeColor="text1"/>
        </w:rPr>
      </w:pPr>
      <w:r>
        <w:rPr>
          <w:noProof/>
          <w:color w:val="000000" w:themeColor="text1"/>
        </w:rPr>
        <w:t>Artikel 4</w:t>
      </w:r>
    </w:p>
    <w:p>
      <w:pPr>
        <w:pStyle w:val="Corpo"/>
        <w:jc w:val="center"/>
        <w:rPr>
          <w:noProof/>
          <w:color w:val="000000" w:themeColor="text1"/>
        </w:rPr>
      </w:pPr>
      <w:r>
        <w:rPr>
          <w:b/>
          <w:bCs/>
          <w:noProof/>
          <w:color w:val="000000" w:themeColor="text1"/>
        </w:rPr>
        <w:t>Koordinering på nationalt plan</w:t>
      </w:r>
    </w:p>
    <w:p>
      <w:pPr>
        <w:pStyle w:val="Corpo"/>
        <w:rPr>
          <w:noProof/>
          <w:color w:val="000000" w:themeColor="text1"/>
        </w:rPr>
      </w:pPr>
      <w:r>
        <w:rPr>
          <w:noProof/>
          <w:color w:val="000000" w:themeColor="text1"/>
        </w:rPr>
        <w:t>Hver medlemsstat udpeger en national koordinator, som er ansvarlig for at arrangere dens deltagelse i det europæiske år. Koordinatoren sikrer koordineringen af relevante aktiviteter på nationalt plan.</w:t>
      </w:r>
    </w:p>
    <w:p>
      <w:pPr>
        <w:pStyle w:val="Titrearticle"/>
        <w:rPr>
          <w:i w:val="0"/>
          <w:iCs/>
          <w:noProof/>
          <w:color w:val="000000" w:themeColor="text1"/>
        </w:rPr>
      </w:pPr>
      <w:r>
        <w:rPr>
          <w:noProof/>
          <w:color w:val="000000" w:themeColor="text1"/>
        </w:rPr>
        <w:t>Artikel 5</w:t>
      </w:r>
    </w:p>
    <w:p>
      <w:pPr>
        <w:pStyle w:val="Corpo"/>
        <w:jc w:val="center"/>
        <w:rPr>
          <w:noProof/>
          <w:color w:val="000000" w:themeColor="text1"/>
        </w:rPr>
      </w:pPr>
      <w:r>
        <w:rPr>
          <w:b/>
          <w:bCs/>
          <w:noProof/>
          <w:color w:val="000000" w:themeColor="text1"/>
        </w:rPr>
        <w:t>Koordinering på europæisk plan</w:t>
      </w:r>
    </w:p>
    <w:p>
      <w:pPr>
        <w:pStyle w:val="Corpo"/>
        <w:rPr>
          <w:noProof/>
          <w:color w:val="000000" w:themeColor="text1"/>
        </w:rPr>
      </w:pPr>
      <w:r>
        <w:rPr>
          <w:noProof/>
          <w:color w:val="000000" w:themeColor="text1"/>
        </w:rPr>
        <w:t>Kommissionen indkalder de nationale koordinatorer til møder for at koordinere afviklingen af det europæiske år og udveksle oplysninger om dets gennemførelse på nationalt plan og europæisk plan.</w:t>
      </w:r>
    </w:p>
    <w:p>
      <w:pPr>
        <w:pStyle w:val="Titrearticle"/>
        <w:rPr>
          <w:i w:val="0"/>
          <w:iCs/>
          <w:noProof/>
          <w:color w:val="000000" w:themeColor="text1"/>
        </w:rPr>
      </w:pPr>
      <w:r>
        <w:rPr>
          <w:noProof/>
          <w:color w:val="000000" w:themeColor="text1"/>
        </w:rPr>
        <w:t>Artikel 6</w:t>
      </w:r>
    </w:p>
    <w:p>
      <w:pPr>
        <w:pStyle w:val="Corpo"/>
        <w:jc w:val="center"/>
        <w:rPr>
          <w:noProof/>
          <w:color w:val="000000" w:themeColor="text1"/>
        </w:rPr>
      </w:pPr>
      <w:r>
        <w:rPr>
          <w:b/>
          <w:bCs/>
          <w:noProof/>
          <w:color w:val="000000" w:themeColor="text1"/>
        </w:rPr>
        <w:t>Internationalt samarbejde</w:t>
      </w:r>
    </w:p>
    <w:p>
      <w:pPr>
        <w:pStyle w:val="Corpo"/>
        <w:rPr>
          <w:noProof/>
          <w:color w:val="000000" w:themeColor="text1"/>
        </w:rPr>
      </w:pPr>
      <w:r>
        <w:rPr>
          <w:noProof/>
          <w:color w:val="000000" w:themeColor="text1"/>
        </w:rPr>
        <w:t>Kommissionen samarbejder i forbindelse med det europæiske år med kompetente internationale organisationer, navnlig UNESCO og Europarådet, idet synligheden af EU's deltagelse sikres.</w:t>
      </w:r>
    </w:p>
    <w:p>
      <w:pPr>
        <w:pStyle w:val="Titrearticle"/>
        <w:rPr>
          <w:i w:val="0"/>
          <w:iCs/>
          <w:noProof/>
          <w:color w:val="000000" w:themeColor="text1"/>
        </w:rPr>
      </w:pPr>
      <w:r>
        <w:rPr>
          <w:noProof/>
          <w:color w:val="000000" w:themeColor="text1"/>
        </w:rPr>
        <w:t>Artikel 7</w:t>
      </w:r>
    </w:p>
    <w:p>
      <w:pPr>
        <w:pStyle w:val="Corpo"/>
        <w:jc w:val="center"/>
        <w:rPr>
          <w:noProof/>
          <w:color w:val="000000" w:themeColor="text1"/>
        </w:rPr>
      </w:pPr>
      <w:r>
        <w:rPr>
          <w:b/>
          <w:bCs/>
          <w:noProof/>
          <w:color w:val="000000" w:themeColor="text1"/>
        </w:rPr>
        <w:t>Finansiering</w:t>
      </w:r>
    </w:p>
    <w:p>
      <w:pPr>
        <w:pStyle w:val="Corpo"/>
        <w:rPr>
          <w:rFonts w:eastAsia="Arial Unicode MS" w:cs="Arial Unicode MS"/>
          <w:noProof/>
          <w:color w:val="000000" w:themeColor="text1"/>
        </w:rPr>
      </w:pPr>
      <w:r>
        <w:rPr>
          <w:noProof/>
          <w:color w:val="000000" w:themeColor="text1"/>
        </w:rPr>
        <w:t>Samfinansiering på europæisk plan af aktiviteter til støtte for det europæiske år skal være i overensstemmelse med de gældende regler for eksisterende programmer og ligge inden for de eksisterende muligheder for at fastlægge prioriteter på årlig eller flerårig basis, navnlig programmet Et Kreativt Europa. Hvor det er hensigtsmæssigt, kan andre programmer og politikker også støtte det europæiske år inden for rammerne af deres eksisterende retlige og finansielle bestemmelser.</w:t>
      </w:r>
    </w:p>
    <w:p>
      <w:pPr>
        <w:pStyle w:val="Titrearticle"/>
        <w:rPr>
          <w:noProof/>
          <w:color w:val="000000" w:themeColor="text1"/>
        </w:rPr>
      </w:pPr>
      <w:r>
        <w:rPr>
          <w:noProof/>
          <w:color w:val="000000" w:themeColor="text1"/>
        </w:rPr>
        <w:t>Artikel 8</w:t>
      </w:r>
    </w:p>
    <w:p>
      <w:pPr>
        <w:pStyle w:val="Corpo"/>
        <w:jc w:val="center"/>
        <w:rPr>
          <w:b/>
          <w:bCs/>
          <w:noProof/>
          <w:color w:val="000000" w:themeColor="text1"/>
        </w:rPr>
      </w:pPr>
      <w:r>
        <w:rPr>
          <w:b/>
          <w:bCs/>
          <w:noProof/>
          <w:color w:val="000000" w:themeColor="text1"/>
        </w:rPr>
        <w:t>Overvågning og evaluering</w:t>
      </w:r>
    </w:p>
    <w:p>
      <w:pPr>
        <w:pStyle w:val="Corpo"/>
        <w:rPr>
          <w:rFonts w:eastAsia="Arial Unicode MS" w:cs="Arial Unicode MS"/>
          <w:noProof/>
          <w:color w:val="000000" w:themeColor="text1"/>
        </w:rPr>
      </w:pPr>
      <w:r>
        <w:rPr>
          <w:noProof/>
          <w:color w:val="000000" w:themeColor="text1"/>
        </w:rPr>
        <w:t>Kommissionen forelægger senest den 31. december 2019 Europa-Parlamentet, Rådet, Det Europæiske Økonomiske og Sociale Udvalg og Regionsudvalget en rapport om gennemførelsen, resultaterne og den samlede evaluering af de initiativer, der er omhandlet i denne afgørelse.</w:t>
      </w:r>
    </w:p>
    <w:p>
      <w:pPr>
        <w:pStyle w:val="Titrearticle"/>
        <w:rPr>
          <w:noProof/>
          <w:color w:val="000000" w:themeColor="text1"/>
        </w:rPr>
      </w:pPr>
      <w:r>
        <w:rPr>
          <w:noProof/>
          <w:color w:val="000000" w:themeColor="text1"/>
        </w:rPr>
        <w:t>Artikel 9</w:t>
      </w:r>
    </w:p>
    <w:p>
      <w:pPr>
        <w:rPr>
          <w:noProof/>
          <w:color w:val="000000" w:themeColor="text1"/>
        </w:rPr>
      </w:pPr>
      <w:r>
        <w:rPr>
          <w:noProof/>
          <w:color w:val="000000" w:themeColor="text1"/>
        </w:rPr>
        <w:t xml:space="preserve">Denne afgørelse træder i kraft på tyvendedagen efter offentliggørelsen i </w:t>
      </w:r>
      <w:r>
        <w:rPr>
          <w:i/>
          <w:noProof/>
          <w:color w:val="000000" w:themeColor="text1"/>
        </w:rPr>
        <w:t>Den Europæiske Unions Tidende</w:t>
      </w:r>
      <w:r>
        <w:rPr>
          <w:noProof/>
          <w:color w:val="000000" w:themeColor="text1"/>
        </w:rPr>
        <w:t>.</w:t>
      </w:r>
    </w:p>
    <w:p>
      <w:pPr>
        <w:pStyle w:val="Titrearticle"/>
        <w:rPr>
          <w:noProof/>
          <w:color w:val="000000" w:themeColor="text1"/>
        </w:rPr>
      </w:pPr>
      <w:r>
        <w:rPr>
          <w:noProof/>
          <w:color w:val="000000" w:themeColor="text1"/>
        </w:rPr>
        <w:t>Artikel 10</w:t>
      </w:r>
    </w:p>
    <w:p>
      <w:pPr>
        <w:rPr>
          <w:noProof/>
          <w:color w:val="000000" w:themeColor="text1"/>
        </w:rPr>
      </w:pPr>
      <w:r>
        <w:rPr>
          <w:noProof/>
          <w:color w:val="000000" w:themeColor="text1"/>
        </w:rPr>
        <w:t>Denne afgørelse er rettet til medlemsstaterne.</w:t>
      </w:r>
    </w:p>
    <w:p>
      <w:pPr>
        <w:pStyle w:val="Fait"/>
        <w:rPr>
          <w:noProof/>
        </w:rPr>
      </w:pPr>
      <w:r>
        <w:rPr>
          <w:noProof/>
        </w:rPr>
        <w:t>Udfærdiget i Bruxelles, den .</w:t>
      </w:r>
    </w:p>
    <w:p>
      <w:pPr>
        <w:pStyle w:val="Institutionquisigne"/>
        <w:rPr>
          <w:noProof/>
          <w:color w:val="000000" w:themeColor="text1"/>
        </w:rPr>
      </w:pPr>
      <w:r>
        <w:rPr>
          <w:noProof/>
          <w:color w:val="000000" w:themeColor="text1"/>
        </w:rPr>
        <w:t>På Europa-Parlamentets vegne</w:t>
      </w:r>
      <w:r>
        <w:rPr>
          <w:noProof/>
          <w:color w:val="000000" w:themeColor="text1"/>
        </w:rPr>
        <w:tab/>
        <w:t>På Rådets vegne</w:t>
      </w:r>
    </w:p>
    <w:p>
      <w:pPr>
        <w:pStyle w:val="Personnequisigne"/>
        <w:rPr>
          <w:noProof/>
          <w:color w:val="000000" w:themeColor="text1"/>
        </w:rPr>
      </w:pPr>
      <w:r>
        <w:rPr>
          <w:noProof/>
          <w:color w:val="000000" w:themeColor="text1"/>
        </w:rPr>
        <w:br/>
        <w:t>Formand</w:t>
      </w:r>
      <w:r>
        <w:rPr>
          <w:noProof/>
          <w:color w:val="000000" w:themeColor="text1"/>
        </w:rPr>
        <w:tab/>
        <w:t>Formand</w:t>
      </w:r>
    </w:p>
    <w:p>
      <w:pPr>
        <w:rPr>
          <w:noProof/>
        </w:rPr>
        <w:sectPr>
          <w:footerReference w:type="default" r:id="rId14"/>
          <w:footerReference w:type="first" r:id="rId15"/>
          <w:pgSz w:w="11907" w:h="16839"/>
          <w:pgMar w:top="1134" w:right="1417" w:bottom="1134" w:left="1417" w:header="709" w:footer="709" w:gutter="0"/>
          <w:cols w:space="720"/>
          <w:docGrid w:linePitch="360"/>
        </w:sectPr>
      </w:pPr>
    </w:p>
    <w:p>
      <w:pPr>
        <w:pStyle w:val="Fichefinanciretitre"/>
        <w:rPr>
          <w:noProof/>
          <w:color w:val="000000" w:themeColor="text1"/>
        </w:rPr>
      </w:pPr>
      <w:r>
        <w:rPr>
          <w:noProof/>
          <w:color w:val="000000" w:themeColor="text1"/>
        </w:rPr>
        <w:t>FINANSIERINGSOVERSIGT TIL FORSLAGET</w:t>
      </w:r>
    </w:p>
    <w:p>
      <w:pPr>
        <w:pStyle w:val="ManualHeading1"/>
        <w:rPr>
          <w:noProof/>
          <w:color w:val="000000" w:themeColor="text1"/>
        </w:rPr>
      </w:pPr>
      <w:r>
        <w:rPr>
          <w:noProof/>
          <w:color w:val="000000" w:themeColor="text1"/>
        </w:rPr>
        <w:t>1.</w:t>
      </w:r>
      <w:r>
        <w:rPr>
          <w:noProof/>
          <w:color w:val="000000" w:themeColor="text1"/>
        </w:rPr>
        <w:tab/>
        <w:t>FORSLAGETS/INITIATIVETS RAMME</w:t>
      </w:r>
    </w:p>
    <w:p>
      <w:pPr>
        <w:pStyle w:val="ManualHeading2"/>
        <w:rPr>
          <w:b w:val="0"/>
          <w:noProof/>
          <w:color w:val="000000" w:themeColor="text1"/>
        </w:rPr>
      </w:pPr>
      <w:r>
        <w:rPr>
          <w:noProof/>
          <w:color w:val="000000" w:themeColor="text1"/>
        </w:rPr>
        <w:tab/>
      </w:r>
      <w:r>
        <w:rPr>
          <w:b w:val="0"/>
          <w:noProof/>
          <w:color w:val="000000" w:themeColor="text1"/>
        </w:rPr>
        <w:t>1.1.</w:t>
      </w:r>
      <w:r>
        <w:rPr>
          <w:b w:val="0"/>
          <w:noProof/>
          <w:color w:val="000000" w:themeColor="text1"/>
        </w:rPr>
        <w:tab/>
        <w:t>Forslagets/initiativets betegnelse</w:t>
      </w:r>
    </w:p>
    <w:p>
      <w:pPr>
        <w:pStyle w:val="ManualHeading2"/>
        <w:rPr>
          <w:b w:val="0"/>
          <w:noProof/>
          <w:color w:val="000000" w:themeColor="text1"/>
        </w:rPr>
      </w:pPr>
      <w:r>
        <w:rPr>
          <w:b w:val="0"/>
          <w:noProof/>
          <w:color w:val="000000" w:themeColor="text1"/>
        </w:rPr>
        <w:tab/>
        <w:t>1.2.</w:t>
      </w:r>
      <w:r>
        <w:rPr>
          <w:b w:val="0"/>
          <w:noProof/>
          <w:color w:val="000000" w:themeColor="text1"/>
        </w:rPr>
        <w:tab/>
        <w:t>Berørt(e) politikområde(r) inden for ABM/ABB-strukturen</w:t>
      </w:r>
    </w:p>
    <w:p>
      <w:pPr>
        <w:pStyle w:val="ManualHeading2"/>
        <w:rPr>
          <w:b w:val="0"/>
          <w:noProof/>
          <w:color w:val="000000" w:themeColor="text1"/>
        </w:rPr>
      </w:pPr>
      <w:r>
        <w:rPr>
          <w:b w:val="0"/>
          <w:noProof/>
          <w:color w:val="000000" w:themeColor="text1"/>
        </w:rPr>
        <w:tab/>
        <w:t>1.3.</w:t>
      </w:r>
      <w:r>
        <w:rPr>
          <w:b w:val="0"/>
          <w:noProof/>
          <w:color w:val="000000" w:themeColor="text1"/>
        </w:rPr>
        <w:tab/>
        <w:t>Forslagets/initiativets art</w:t>
      </w:r>
    </w:p>
    <w:p>
      <w:pPr>
        <w:pStyle w:val="ManualHeading2"/>
        <w:rPr>
          <w:b w:val="0"/>
          <w:noProof/>
          <w:color w:val="000000" w:themeColor="text1"/>
        </w:rPr>
      </w:pPr>
      <w:r>
        <w:rPr>
          <w:b w:val="0"/>
          <w:noProof/>
          <w:color w:val="000000" w:themeColor="text1"/>
        </w:rPr>
        <w:tab/>
        <w:t>1.4.</w:t>
      </w:r>
      <w:r>
        <w:rPr>
          <w:b w:val="0"/>
          <w:noProof/>
          <w:color w:val="000000" w:themeColor="text1"/>
        </w:rPr>
        <w:tab/>
        <w:t>Mål</w:t>
      </w:r>
    </w:p>
    <w:p>
      <w:pPr>
        <w:pStyle w:val="ManualHeading2"/>
        <w:rPr>
          <w:b w:val="0"/>
          <w:noProof/>
          <w:color w:val="000000" w:themeColor="text1"/>
        </w:rPr>
      </w:pPr>
      <w:r>
        <w:rPr>
          <w:b w:val="0"/>
          <w:noProof/>
          <w:color w:val="000000" w:themeColor="text1"/>
        </w:rPr>
        <w:tab/>
        <w:t>1.5.</w:t>
      </w:r>
      <w:r>
        <w:rPr>
          <w:b w:val="0"/>
          <w:noProof/>
          <w:color w:val="000000" w:themeColor="text1"/>
        </w:rPr>
        <w:tab/>
        <w:t>Forslagets/initiativets begrundelse</w:t>
      </w:r>
    </w:p>
    <w:p>
      <w:pPr>
        <w:pStyle w:val="ManualHeading2"/>
        <w:rPr>
          <w:b w:val="0"/>
          <w:noProof/>
          <w:color w:val="000000" w:themeColor="text1"/>
        </w:rPr>
      </w:pPr>
      <w:r>
        <w:rPr>
          <w:b w:val="0"/>
          <w:noProof/>
          <w:color w:val="000000" w:themeColor="text1"/>
        </w:rPr>
        <w:tab/>
        <w:t>1.6.</w:t>
      </w:r>
      <w:r>
        <w:rPr>
          <w:b w:val="0"/>
          <w:noProof/>
          <w:color w:val="000000" w:themeColor="text1"/>
        </w:rPr>
        <w:tab/>
        <w:t>Varighed og finansielle virkninger</w:t>
      </w:r>
    </w:p>
    <w:p>
      <w:pPr>
        <w:pStyle w:val="ManualHeading2"/>
        <w:rPr>
          <w:b w:val="0"/>
          <w:noProof/>
          <w:color w:val="000000" w:themeColor="text1"/>
        </w:rPr>
      </w:pPr>
      <w:r>
        <w:rPr>
          <w:b w:val="0"/>
          <w:noProof/>
          <w:color w:val="000000" w:themeColor="text1"/>
        </w:rPr>
        <w:tab/>
        <w:t>1.7.</w:t>
      </w:r>
      <w:r>
        <w:rPr>
          <w:b w:val="0"/>
          <w:noProof/>
          <w:color w:val="000000" w:themeColor="text1"/>
        </w:rPr>
        <w:tab/>
        <w:t>Påtænkt(e) forvaltningsmetode(r)</w:t>
      </w:r>
    </w:p>
    <w:p>
      <w:pPr>
        <w:pStyle w:val="ManualHeading1"/>
        <w:rPr>
          <w:noProof/>
          <w:color w:val="000000" w:themeColor="text1"/>
        </w:rPr>
      </w:pPr>
      <w:r>
        <w:rPr>
          <w:noProof/>
          <w:color w:val="000000" w:themeColor="text1"/>
        </w:rPr>
        <w:t>2.</w:t>
      </w:r>
      <w:r>
        <w:rPr>
          <w:noProof/>
          <w:color w:val="000000" w:themeColor="text1"/>
        </w:rPr>
        <w:tab/>
        <w:t>FORVALTNINGSFORANSTALTNINGER</w:t>
      </w:r>
    </w:p>
    <w:p>
      <w:pPr>
        <w:pStyle w:val="ManualHeading2"/>
        <w:rPr>
          <w:b w:val="0"/>
          <w:noProof/>
          <w:color w:val="000000" w:themeColor="text1"/>
        </w:rPr>
      </w:pPr>
      <w:r>
        <w:rPr>
          <w:b w:val="0"/>
          <w:noProof/>
          <w:color w:val="000000" w:themeColor="text1"/>
        </w:rPr>
        <w:tab/>
        <w:t>2.1.</w:t>
      </w:r>
      <w:r>
        <w:rPr>
          <w:b w:val="0"/>
          <w:noProof/>
          <w:color w:val="000000" w:themeColor="text1"/>
        </w:rPr>
        <w:tab/>
        <w:t>Bestemmelser om rapportering og opfølgning</w:t>
      </w:r>
    </w:p>
    <w:p>
      <w:pPr>
        <w:pStyle w:val="ManualHeading2"/>
        <w:rPr>
          <w:b w:val="0"/>
          <w:noProof/>
          <w:color w:val="000000" w:themeColor="text1"/>
        </w:rPr>
      </w:pPr>
      <w:r>
        <w:rPr>
          <w:b w:val="0"/>
          <w:noProof/>
          <w:color w:val="000000" w:themeColor="text1"/>
        </w:rPr>
        <w:tab/>
        <w:t>2.2.</w:t>
      </w:r>
      <w:r>
        <w:rPr>
          <w:b w:val="0"/>
          <w:noProof/>
          <w:color w:val="000000" w:themeColor="text1"/>
        </w:rPr>
        <w:tab/>
        <w:t>Forvaltnings- og kontrolordning</w:t>
      </w:r>
    </w:p>
    <w:p>
      <w:pPr>
        <w:pStyle w:val="ManualHeading2"/>
        <w:rPr>
          <w:b w:val="0"/>
          <w:noProof/>
          <w:color w:val="000000" w:themeColor="text1"/>
        </w:rPr>
      </w:pPr>
      <w:r>
        <w:rPr>
          <w:b w:val="0"/>
          <w:noProof/>
          <w:color w:val="000000" w:themeColor="text1"/>
        </w:rPr>
        <w:tab/>
        <w:t>2.3.</w:t>
      </w:r>
      <w:r>
        <w:rPr>
          <w:b w:val="0"/>
          <w:noProof/>
          <w:color w:val="000000" w:themeColor="text1"/>
        </w:rPr>
        <w:tab/>
        <w:t>Foranstaltninger til forebyggelse af svig og uregelmæssigheder</w:t>
      </w:r>
    </w:p>
    <w:p>
      <w:pPr>
        <w:pStyle w:val="ManualHeading1"/>
        <w:rPr>
          <w:noProof/>
          <w:color w:val="000000" w:themeColor="text1"/>
        </w:rPr>
      </w:pPr>
      <w:r>
        <w:rPr>
          <w:noProof/>
          <w:color w:val="000000" w:themeColor="text1"/>
        </w:rPr>
        <w:t>3.</w:t>
      </w:r>
      <w:r>
        <w:rPr>
          <w:noProof/>
          <w:color w:val="000000" w:themeColor="text1"/>
        </w:rPr>
        <w:tab/>
        <w:t>FORSLAGETS/INITIATIVETS ANSLÅEDE FINANSIELLE VIRKNING</w:t>
      </w:r>
    </w:p>
    <w:p>
      <w:pPr>
        <w:pStyle w:val="ManualHeading2"/>
        <w:rPr>
          <w:b w:val="0"/>
          <w:noProof/>
          <w:color w:val="000000" w:themeColor="text1"/>
        </w:rPr>
      </w:pPr>
      <w:r>
        <w:rPr>
          <w:b w:val="0"/>
          <w:noProof/>
          <w:color w:val="000000" w:themeColor="text1"/>
        </w:rPr>
        <w:tab/>
        <w:t>3.1.</w:t>
      </w:r>
      <w:r>
        <w:rPr>
          <w:b w:val="0"/>
          <w:noProof/>
          <w:color w:val="000000" w:themeColor="text1"/>
        </w:rPr>
        <w:tab/>
        <w:t>Berørt(e) udgiftspost(er) på budgettet og udgiftsområde(r) i den flerårige finansielle ramme</w:t>
      </w:r>
    </w:p>
    <w:p>
      <w:pPr>
        <w:pStyle w:val="ManualHeading2"/>
        <w:rPr>
          <w:noProof/>
          <w:color w:val="000000" w:themeColor="text1"/>
        </w:rPr>
      </w:pPr>
      <w:r>
        <w:rPr>
          <w:b w:val="0"/>
          <w:noProof/>
          <w:color w:val="000000" w:themeColor="text1"/>
        </w:rPr>
        <w:tab/>
        <w:t>3.2.</w:t>
      </w:r>
      <w:r>
        <w:rPr>
          <w:b w:val="0"/>
          <w:noProof/>
          <w:color w:val="000000" w:themeColor="text1"/>
        </w:rPr>
        <w:tab/>
        <w:t>Anslåede virkninger for udgifterne</w:t>
      </w:r>
    </w:p>
    <w:p>
      <w:pPr>
        <w:pStyle w:val="ManualHeading3"/>
        <w:rPr>
          <w:noProof/>
          <w:color w:val="000000" w:themeColor="text1"/>
        </w:rPr>
      </w:pPr>
      <w:r>
        <w:rPr>
          <w:noProof/>
          <w:color w:val="000000" w:themeColor="text1"/>
        </w:rPr>
        <w:tab/>
        <w:t>3.2.1.</w:t>
      </w:r>
      <w:r>
        <w:rPr>
          <w:noProof/>
          <w:color w:val="000000" w:themeColor="text1"/>
        </w:rPr>
        <w:tab/>
        <w:t>Sammenfatning af de anslåede virkninger for udgifterne</w:t>
      </w:r>
    </w:p>
    <w:p>
      <w:pPr>
        <w:pStyle w:val="ManualHeading3"/>
        <w:rPr>
          <w:noProof/>
          <w:color w:val="000000" w:themeColor="text1"/>
        </w:rPr>
      </w:pPr>
      <w:r>
        <w:rPr>
          <w:noProof/>
          <w:color w:val="000000" w:themeColor="text1"/>
        </w:rPr>
        <w:tab/>
        <w:t>3.2.2.</w:t>
      </w:r>
      <w:r>
        <w:rPr>
          <w:noProof/>
          <w:color w:val="000000" w:themeColor="text1"/>
        </w:rPr>
        <w:tab/>
        <w:t>Anslåede virkninger for aktionsbevillingerne</w:t>
      </w:r>
    </w:p>
    <w:p>
      <w:pPr>
        <w:pStyle w:val="ManualHeading3"/>
        <w:rPr>
          <w:noProof/>
          <w:color w:val="000000" w:themeColor="text1"/>
        </w:rPr>
      </w:pPr>
      <w:r>
        <w:rPr>
          <w:noProof/>
          <w:color w:val="000000" w:themeColor="text1"/>
        </w:rPr>
        <w:tab/>
        <w:t>3.2.3.</w:t>
      </w:r>
      <w:r>
        <w:rPr>
          <w:noProof/>
          <w:color w:val="000000" w:themeColor="text1"/>
        </w:rPr>
        <w:tab/>
        <w:t>Anslåede virkninger for administrationsbevillingerne</w:t>
      </w:r>
    </w:p>
    <w:p>
      <w:pPr>
        <w:pStyle w:val="ManualHeading3"/>
        <w:rPr>
          <w:noProof/>
          <w:color w:val="000000" w:themeColor="text1"/>
        </w:rPr>
      </w:pPr>
      <w:r>
        <w:rPr>
          <w:noProof/>
          <w:color w:val="000000" w:themeColor="text1"/>
        </w:rPr>
        <w:tab/>
        <w:t>3.2.4.</w:t>
      </w:r>
      <w:r>
        <w:rPr>
          <w:noProof/>
          <w:color w:val="000000" w:themeColor="text1"/>
        </w:rPr>
        <w:tab/>
        <w:t>Forenelighed med indeværende flerårige finansielle ramme</w:t>
      </w:r>
    </w:p>
    <w:p>
      <w:pPr>
        <w:pStyle w:val="ManualHeading3"/>
        <w:rPr>
          <w:noProof/>
          <w:color w:val="000000" w:themeColor="text1"/>
        </w:rPr>
      </w:pPr>
      <w:r>
        <w:rPr>
          <w:noProof/>
          <w:color w:val="000000" w:themeColor="text1"/>
        </w:rPr>
        <w:tab/>
        <w:t>3.2.5.</w:t>
      </w:r>
      <w:r>
        <w:rPr>
          <w:noProof/>
          <w:color w:val="000000" w:themeColor="text1"/>
        </w:rPr>
        <w:tab/>
        <w:t>Tredjemands bidrag til finansieringen</w:t>
      </w:r>
    </w:p>
    <w:p>
      <w:pPr>
        <w:pStyle w:val="ManualHeading2"/>
        <w:jc w:val="left"/>
        <w:rPr>
          <w:b w:val="0"/>
          <w:noProof/>
          <w:color w:val="000000" w:themeColor="text1"/>
        </w:rPr>
        <w:sectPr>
          <w:pgSz w:w="11907" w:h="16839"/>
          <w:pgMar w:top="1134" w:right="1417" w:bottom="1134" w:left="1417" w:header="709" w:footer="709" w:gutter="0"/>
          <w:cols w:space="720"/>
          <w:docGrid w:linePitch="360"/>
        </w:sectPr>
      </w:pPr>
      <w:r>
        <w:rPr>
          <w:b w:val="0"/>
          <w:noProof/>
          <w:color w:val="000000" w:themeColor="text1"/>
        </w:rPr>
        <w:tab/>
        <w:t>3.3.</w:t>
      </w:r>
      <w:r>
        <w:rPr>
          <w:b w:val="0"/>
          <w:noProof/>
          <w:color w:val="000000" w:themeColor="text1"/>
        </w:rPr>
        <w:tab/>
        <w:t>Anslåede virkninger for indtægterne</w:t>
      </w:r>
    </w:p>
    <w:p>
      <w:pPr>
        <w:jc w:val="center"/>
        <w:rPr>
          <w:noProof/>
          <w:color w:val="000000" w:themeColor="text1"/>
        </w:rPr>
      </w:pPr>
      <w:r>
        <w:rPr>
          <w:b/>
          <w:noProof/>
          <w:color w:val="000000" w:themeColor="text1"/>
          <w:u w:val="single"/>
        </w:rPr>
        <w:t>FINANSIERINGSOVERSIGT TIL FORSLAGET</w:t>
      </w:r>
    </w:p>
    <w:p>
      <w:pPr>
        <w:pStyle w:val="ManualHeading1"/>
        <w:rPr>
          <w:noProof/>
        </w:rPr>
      </w:pPr>
      <w:r>
        <w:t>1.</w:t>
      </w:r>
      <w:r>
        <w:tab/>
      </w:r>
      <w:r>
        <w:rPr>
          <w:noProof/>
        </w:rPr>
        <w:t>FORSLAGETS/INITIATIVETS RAMME</w:t>
      </w:r>
    </w:p>
    <w:p>
      <w:pPr>
        <w:pStyle w:val="ManualHeading2"/>
        <w:rPr>
          <w:noProof/>
        </w:rPr>
      </w:pPr>
      <w:r>
        <w:t>1.1.</w:t>
      </w:r>
      <w:r>
        <w:tab/>
      </w:r>
      <w:r>
        <w:rPr>
          <w:noProof/>
        </w:rPr>
        <w:t>Forslagets/initiativets betegnelse</w:t>
      </w:r>
    </w:p>
    <w:p>
      <w:pPr>
        <w:pStyle w:val="Text1"/>
        <w:pBdr>
          <w:top w:val="single" w:sz="4" w:space="1" w:color="auto"/>
          <w:left w:val="single" w:sz="4" w:space="4" w:color="auto"/>
          <w:bottom w:val="single" w:sz="4" w:space="1" w:color="auto"/>
          <w:right w:val="single" w:sz="4" w:space="4" w:color="auto"/>
        </w:pBdr>
        <w:rPr>
          <w:noProof/>
        </w:rPr>
      </w:pPr>
      <w:r>
        <w:rPr>
          <w:noProof/>
        </w:rPr>
        <w:t>Det europæiske år for kulturarv</w:t>
      </w:r>
    </w:p>
    <w:p>
      <w:pPr>
        <w:pStyle w:val="ManualHeading2"/>
        <w:rPr>
          <w:i/>
          <w:noProof/>
        </w:rPr>
      </w:pPr>
      <w:r>
        <w:t>1.2.</w:t>
      </w:r>
      <w:r>
        <w:tab/>
      </w:r>
      <w:r>
        <w:rPr>
          <w:noProof/>
        </w:rPr>
        <w:t>Berørt(e) politikområde(r) inden for ABM/ABB-strukturen</w:t>
      </w:r>
      <w:r>
        <w:rPr>
          <w:rStyle w:val="FootnoteReference"/>
          <w:noProof/>
          <w:color w:val="000000" w:themeColor="text1"/>
        </w:rPr>
        <w:footnoteReference w:id="27"/>
      </w:r>
    </w:p>
    <w:p>
      <w:pPr>
        <w:pStyle w:val="Text1"/>
        <w:pBdr>
          <w:top w:val="single" w:sz="4" w:space="1" w:color="auto"/>
          <w:left w:val="single" w:sz="4" w:space="4" w:color="auto"/>
          <w:bottom w:val="single" w:sz="4" w:space="1" w:color="auto"/>
          <w:right w:val="single" w:sz="4" w:space="4" w:color="auto"/>
        </w:pBdr>
        <w:rPr>
          <w:noProof/>
        </w:rPr>
      </w:pPr>
      <w:r>
        <w:rPr>
          <w:noProof/>
        </w:rPr>
        <w:t>POLITIKOMRÅDE(R): UDDANNELSES- OG KULTURAKTIVITET(ER): ET KREATIVT EUROPA</w:t>
      </w:r>
    </w:p>
    <w:p>
      <w:pPr>
        <w:pStyle w:val="ManualHeading2"/>
        <w:rPr>
          <w:noProof/>
        </w:rPr>
      </w:pPr>
      <w:r>
        <w:t>1.3.</w:t>
      </w:r>
      <w:r>
        <w:tab/>
      </w:r>
      <w:r>
        <w:rPr>
          <w:noProof/>
        </w:rPr>
        <w:t>Forslagets/initiativets art</w:t>
      </w:r>
    </w:p>
    <w:p>
      <w:pPr>
        <w:pStyle w:val="Text1"/>
        <w:rPr>
          <w:b/>
          <w:noProof/>
          <w:color w:val="000000" w:themeColor="text1"/>
          <w:sz w:val="22"/>
        </w:rPr>
      </w:pPr>
      <w:r>
        <w:rPr>
          <w:b/>
          <w:noProof/>
          <w:color w:val="000000" w:themeColor="text1"/>
          <w:sz w:val="22"/>
        </w:rPr>
        <w:t>X</w:t>
      </w:r>
      <w:r>
        <w:rPr>
          <w:b/>
          <w:i/>
          <w:noProof/>
          <w:color w:val="000000" w:themeColor="text1"/>
          <w:sz w:val="22"/>
        </w:rPr>
        <w:t xml:space="preserve"> </w:t>
      </w:r>
      <w:r>
        <w:rPr>
          <w:noProof/>
          <w:color w:val="000000" w:themeColor="text1"/>
        </w:rPr>
        <w:t xml:space="preserve">Forslaget/initiativet vedrører </w:t>
      </w:r>
      <w:r>
        <w:rPr>
          <w:b/>
          <w:noProof/>
          <w:color w:val="000000" w:themeColor="text1"/>
        </w:rPr>
        <w:t>en ny foranstaltning</w:t>
      </w:r>
    </w:p>
    <w:p>
      <w:pPr>
        <w:pStyle w:val="Text1"/>
        <w:rPr>
          <w:noProof/>
          <w:color w:val="000000" w:themeColor="text1"/>
          <w:sz w:val="22"/>
        </w:rPr>
      </w:pPr>
      <w:r>
        <w:rPr>
          <w:noProof/>
          <w:color w:val="000000" w:themeColor="text1"/>
          <w:sz w:val="22"/>
        </w:rPr>
        <w:sym w:font="Wingdings" w:char="F0A8"/>
      </w:r>
      <w:r>
        <w:rPr>
          <w:noProof/>
        </w:rPr>
        <w:t xml:space="preserve"> Forslaget/initiativet drejer sig om </w:t>
      </w:r>
      <w:r>
        <w:rPr>
          <w:b/>
          <w:noProof/>
        </w:rPr>
        <w:t>en ny foranstaltning som opfølgning på et pilotprojekt/en forberedende foranstaltning</w:t>
      </w:r>
      <w:r>
        <w:rPr>
          <w:rStyle w:val="FootnoteReference"/>
          <w:b/>
          <w:noProof/>
        </w:rPr>
        <w:footnoteReference w:id="28"/>
      </w:r>
    </w:p>
    <w:p>
      <w:pPr>
        <w:pStyle w:val="Text1"/>
        <w:rPr>
          <w:noProof/>
          <w:color w:val="000000" w:themeColor="text1"/>
          <w:sz w:val="22"/>
        </w:rPr>
      </w:pPr>
      <w:r>
        <w:rPr>
          <w:noProof/>
          <w:color w:val="000000" w:themeColor="text1"/>
          <w:sz w:val="22"/>
        </w:rPr>
        <w:sym w:font="Wingdings" w:char="F0A8"/>
      </w:r>
      <w:r>
        <w:rPr>
          <w:i/>
          <w:noProof/>
          <w:color w:val="000000" w:themeColor="text1"/>
          <w:sz w:val="22"/>
        </w:rPr>
        <w:t xml:space="preserve"> </w:t>
      </w:r>
      <w:r>
        <w:rPr>
          <w:noProof/>
          <w:color w:val="000000" w:themeColor="text1"/>
        </w:rPr>
        <w:t xml:space="preserve">Forslaget/initiativet vedrører en </w:t>
      </w:r>
      <w:r>
        <w:rPr>
          <w:b/>
          <w:noProof/>
          <w:color w:val="000000" w:themeColor="text1"/>
        </w:rPr>
        <w:t>forlængelse af en eksisterende foranstaltning</w:t>
      </w:r>
    </w:p>
    <w:p>
      <w:pPr>
        <w:pStyle w:val="Text1"/>
        <w:rPr>
          <w:noProof/>
          <w:color w:val="000000" w:themeColor="text1"/>
        </w:rPr>
      </w:pPr>
      <w:r>
        <w:rPr>
          <w:noProof/>
          <w:color w:val="000000" w:themeColor="text1"/>
          <w:sz w:val="22"/>
        </w:rPr>
        <w:sym w:font="Wingdings" w:char="F0A8"/>
      </w:r>
      <w:r>
        <w:rPr>
          <w:noProof/>
        </w:rPr>
        <w:t xml:space="preserve"> Forslaget/initiativet drejer sig om </w:t>
      </w:r>
      <w:r>
        <w:rPr>
          <w:b/>
          <w:noProof/>
        </w:rPr>
        <w:t>omlægning af en foranstaltning til en ny foranstaltning</w:t>
      </w:r>
    </w:p>
    <w:p>
      <w:pPr>
        <w:pStyle w:val="ManualHeading2"/>
        <w:rPr>
          <w:bCs/>
          <w:noProof/>
          <w:color w:val="000000" w:themeColor="text1"/>
          <w:szCs w:val="24"/>
        </w:rPr>
      </w:pPr>
      <w:r>
        <w:t>1.4.</w:t>
      </w:r>
      <w:r>
        <w:tab/>
      </w:r>
      <w:r>
        <w:rPr>
          <w:noProof/>
          <w:color w:val="000000" w:themeColor="text1"/>
        </w:rPr>
        <w:t>Mål</w:t>
      </w:r>
    </w:p>
    <w:p>
      <w:pPr>
        <w:pStyle w:val="ManualHeading3"/>
        <w:rPr>
          <w:noProof/>
        </w:rPr>
      </w:pPr>
      <w:r>
        <w:t>1.4.1.</w:t>
      </w:r>
      <w:r>
        <w:tab/>
      </w:r>
      <w:r>
        <w:rPr>
          <w:noProof/>
        </w:rPr>
        <w:t>Det eller de af Kommissionens flerårige strategiske mål, som forslaget/initiativet vedrører</w:t>
      </w:r>
    </w:p>
    <w:p>
      <w:pPr>
        <w:pStyle w:val="Text1"/>
        <w:pBdr>
          <w:top w:val="single" w:sz="4" w:space="1" w:color="auto"/>
          <w:left w:val="single" w:sz="4" w:space="4" w:color="auto"/>
          <w:bottom w:val="single" w:sz="4" w:space="1" w:color="auto"/>
          <w:right w:val="single" w:sz="4" w:space="4" w:color="auto"/>
        </w:pBdr>
        <w:rPr>
          <w:noProof/>
        </w:rPr>
      </w:pPr>
      <w:r>
        <w:rPr>
          <w:noProof/>
        </w:rPr>
        <w:t>Ingen flerårige strategiske mål vedrører initiativets egenart, hvilket er et europæisk år</w:t>
      </w:r>
    </w:p>
    <w:p>
      <w:pPr>
        <w:pStyle w:val="ManualHeading3"/>
        <w:rPr>
          <w:noProof/>
        </w:rPr>
      </w:pPr>
      <w:r>
        <w:t>1.4.2.</w:t>
      </w:r>
      <w:r>
        <w:tab/>
      </w:r>
      <w:r>
        <w:rPr>
          <w:noProof/>
        </w:rPr>
        <w:t>Specifikke mål og berørte ABM/ABB-aktiviteter</w:t>
      </w:r>
    </w:p>
    <w:p>
      <w:pPr>
        <w:pStyle w:val="Text1"/>
        <w:pBdr>
          <w:top w:val="single" w:sz="4" w:space="1" w:color="auto"/>
          <w:left w:val="single" w:sz="4" w:space="4" w:color="auto"/>
          <w:bottom w:val="single" w:sz="4" w:space="1" w:color="auto"/>
          <w:right w:val="single" w:sz="4" w:space="4" w:color="auto"/>
        </w:pBdr>
        <w:rPr>
          <w:noProof/>
          <w:color w:val="000000" w:themeColor="text1"/>
          <w:u w:val="single"/>
        </w:rPr>
      </w:pPr>
      <w:r>
        <w:rPr>
          <w:noProof/>
          <w:color w:val="000000" w:themeColor="text1"/>
          <w:u w:val="single"/>
        </w:rPr>
        <w:t>Specifikt mål</w:t>
      </w:r>
    </w:p>
    <w:p>
      <w:pPr>
        <w:pStyle w:val="Text1"/>
        <w:pBdr>
          <w:top w:val="single" w:sz="4" w:space="1" w:color="auto"/>
          <w:left w:val="single" w:sz="4" w:space="4" w:color="auto"/>
          <w:bottom w:val="single" w:sz="4" w:space="1" w:color="auto"/>
          <w:right w:val="single" w:sz="4" w:space="4" w:color="auto"/>
        </w:pBdr>
        <w:rPr>
          <w:noProof/>
        </w:rPr>
      </w:pPr>
      <w:r>
        <w:rPr>
          <w:noProof/>
        </w:rPr>
        <w:t>a) Det skal bidrage til at fremme den europæiske kulturarvs rolle som et afgørende element i kulturel mangfoldighed og tværkulturel dialog. Det bør sætte fokus på de bedste metoder til at sikre, at den bevares og beskyttes, og til, at et større og mere forskelligartet publikum får glæde af den. Det skal bl.a. ske gennem foranstaltninger til publikumsudvikling og uddannelse i kulturarv med fuld respekt for medlemsstaternes kompetencer, hvorved social inklusion og integration fremmes.</w:t>
      </w:r>
    </w:p>
    <w:p>
      <w:pPr>
        <w:pStyle w:val="Text1"/>
        <w:pBdr>
          <w:top w:val="single" w:sz="4" w:space="1" w:color="auto"/>
          <w:left w:val="single" w:sz="4" w:space="4" w:color="auto"/>
          <w:bottom w:val="single" w:sz="4" w:space="1" w:color="auto"/>
          <w:right w:val="single" w:sz="4" w:space="4" w:color="auto"/>
        </w:pBdr>
        <w:rPr>
          <w:noProof/>
        </w:rPr>
      </w:pPr>
      <w:r>
        <w:rPr>
          <w:noProof/>
        </w:rPr>
        <w:t>b)</w:t>
      </w:r>
      <w:r>
        <w:rPr>
          <w:noProof/>
        </w:rPr>
        <w:tab/>
        <w:t>Det skal forbedre den europæiske kulturarvs bidrag til økonomien og samfundet gennem dens direkte og indirekte økonomiske potentiale. Dette omfatter muligheden for at understøtte de kulturelle og kreative industrier og inspirere til kreativitet og innovation, fremme bæredygtig turisme, øge den sociale samhørighed og skabe langsigtet beskæftigelse.</w:t>
      </w:r>
    </w:p>
    <w:p>
      <w:pPr>
        <w:pStyle w:val="Text1"/>
        <w:pBdr>
          <w:top w:val="single" w:sz="4" w:space="1" w:color="auto"/>
          <w:left w:val="single" w:sz="4" w:space="4" w:color="auto"/>
          <w:bottom w:val="single" w:sz="4" w:space="1" w:color="auto"/>
          <w:right w:val="single" w:sz="4" w:space="4" w:color="auto"/>
        </w:pBdr>
        <w:rPr>
          <w:noProof/>
        </w:rPr>
      </w:pPr>
      <w:r>
        <w:rPr>
          <w:noProof/>
        </w:rPr>
        <w:t>c)</w:t>
      </w:r>
      <w:r>
        <w:rPr>
          <w:noProof/>
        </w:rPr>
        <w:tab/>
        <w:t>Det skal bidrage til at fremme kulturarv som et afgørende element i Unionens eksterne forbindelser ved at bygge på interessen i partnerlandene for Europas kulturarv og ekspertise.</w:t>
      </w:r>
    </w:p>
    <w:p>
      <w:pPr>
        <w:pStyle w:val="Text1"/>
        <w:pBdr>
          <w:top w:val="single" w:sz="4" w:space="1" w:color="auto"/>
          <w:left w:val="single" w:sz="4" w:space="4" w:color="auto"/>
          <w:bottom w:val="single" w:sz="4" w:space="1" w:color="auto"/>
          <w:right w:val="single" w:sz="4" w:space="4" w:color="auto"/>
        </w:pBdr>
        <w:rPr>
          <w:noProof/>
          <w:color w:val="000000" w:themeColor="text1"/>
          <w:u w:val="single"/>
        </w:rPr>
      </w:pPr>
      <w:r>
        <w:rPr>
          <w:noProof/>
          <w:color w:val="000000" w:themeColor="text1"/>
          <w:u w:val="single"/>
        </w:rPr>
        <w:t>Berørte ABM/ABB-aktiviteter</w:t>
      </w:r>
    </w:p>
    <w:p>
      <w:pPr>
        <w:pStyle w:val="Text1"/>
        <w:pBdr>
          <w:top w:val="single" w:sz="4" w:space="1" w:color="auto"/>
          <w:left w:val="single" w:sz="4" w:space="4" w:color="auto"/>
          <w:bottom w:val="single" w:sz="4" w:space="1" w:color="auto"/>
          <w:right w:val="single" w:sz="4" w:space="4" w:color="auto"/>
        </w:pBdr>
        <w:rPr>
          <w:noProof/>
          <w:color w:val="000000" w:themeColor="text1"/>
        </w:rPr>
      </w:pPr>
      <w:r>
        <w:rPr>
          <w:noProof/>
        </w:rPr>
        <w:t>15 04 – Et kreativt Europa</w:t>
      </w:r>
    </w:p>
    <w:p>
      <w:pPr>
        <w:pStyle w:val="ManualHeading3"/>
        <w:rPr>
          <w:bCs/>
          <w:noProof/>
          <w:szCs w:val="24"/>
        </w:rPr>
      </w:pPr>
      <w:r>
        <w:rPr>
          <w:noProof/>
        </w:rPr>
        <w:br w:type="page"/>
      </w:r>
      <w:r>
        <w:t>1.4.3.</w:t>
      </w:r>
      <w:r>
        <w:tab/>
      </w:r>
      <w:r>
        <w:rPr>
          <w:noProof/>
        </w:rPr>
        <w:t>Forventede resultater og virkninger</w:t>
      </w:r>
    </w:p>
    <w:p>
      <w:pPr>
        <w:pStyle w:val="Text1"/>
        <w:rPr>
          <w:i/>
          <w:noProof/>
          <w:color w:val="000000" w:themeColor="text1"/>
          <w:sz w:val="20"/>
        </w:rPr>
      </w:pPr>
      <w:r>
        <w:rPr>
          <w:i/>
          <w:noProof/>
          <w:color w:val="000000" w:themeColor="text1"/>
          <w:sz w:val="20"/>
        </w:rPr>
        <w:t>Angiv, hvilke virkninger forslaget/initiativet forventes at få for modtagerne/målgruppen.</w:t>
      </w:r>
    </w:p>
    <w:p>
      <w:pPr>
        <w:pStyle w:val="Text1"/>
        <w:pBdr>
          <w:top w:val="single" w:sz="4" w:space="1" w:color="auto"/>
          <w:left w:val="single" w:sz="4" w:space="4" w:color="auto"/>
          <w:bottom w:val="single" w:sz="4" w:space="1" w:color="auto"/>
          <w:right w:val="single" w:sz="4" w:space="4" w:color="auto"/>
        </w:pBdr>
        <w:rPr>
          <w:noProof/>
        </w:rPr>
      </w:pPr>
      <w:r>
        <w:rPr>
          <w:noProof/>
        </w:rPr>
        <w:t>- Oplysnings- og reklamekampagner, arrangementer og initiativer på europæisk, nationalt, regionalt og lokalt plan, der skal formidle nøglebudskaber og formidle information om god praksis, herunder den rolle, som EU spiller i forbindelse med fremme af fælles løsninger.</w:t>
      </w:r>
    </w:p>
    <w:p>
      <w:pPr>
        <w:pStyle w:val="Text1"/>
        <w:pBdr>
          <w:top w:val="single" w:sz="4" w:space="1" w:color="auto"/>
          <w:left w:val="single" w:sz="4" w:space="4" w:color="auto"/>
          <w:bottom w:val="single" w:sz="4" w:space="1" w:color="auto"/>
          <w:right w:val="single" w:sz="4" w:space="4" w:color="auto"/>
        </w:pBdr>
        <w:rPr>
          <w:noProof/>
        </w:rPr>
      </w:pPr>
      <w:r>
        <w:rPr>
          <w:noProof/>
        </w:rPr>
        <w:t>- Øget opmærksomhed på den europæiske kulturarvs betydning for EU's borgere og styrkelse af dens bidrag til vækst og beskæftigelse og social samhørighed på nationalt og europæisk plan.</w:t>
      </w:r>
    </w:p>
    <w:p>
      <w:pPr>
        <w:pStyle w:val="Text1"/>
        <w:pBdr>
          <w:top w:val="single" w:sz="4" w:space="1" w:color="auto"/>
          <w:left w:val="single" w:sz="4" w:space="4" w:color="auto"/>
          <w:bottom w:val="single" w:sz="4" w:space="1" w:color="auto"/>
          <w:right w:val="single" w:sz="4" w:space="4" w:color="auto"/>
        </w:pBdr>
        <w:rPr>
          <w:noProof/>
          <w:color w:val="000000" w:themeColor="text1"/>
        </w:rPr>
      </w:pPr>
      <w:r>
        <w:rPr>
          <w:noProof/>
        </w:rPr>
        <w:t>- Fokus på udfordringer og fremme af muligheder vedrørende beskyttelse, bevarelse og forvaltning af kulturarv, herunder i forbindelse med digitalisering.</w:t>
      </w:r>
    </w:p>
    <w:p>
      <w:pPr>
        <w:pStyle w:val="ManualHeading3"/>
        <w:rPr>
          <w:noProof/>
        </w:rPr>
      </w:pPr>
      <w:r>
        <w:t>1.4.4.</w:t>
      </w:r>
      <w:r>
        <w:tab/>
      </w:r>
      <w:r>
        <w:rPr>
          <w:noProof/>
        </w:rPr>
        <w:t>Virknings- og resultatindikatorer</w:t>
      </w:r>
    </w:p>
    <w:p>
      <w:pPr>
        <w:pStyle w:val="Text1"/>
        <w:rPr>
          <w:i/>
          <w:noProof/>
          <w:color w:val="000000" w:themeColor="text1"/>
          <w:sz w:val="20"/>
        </w:rPr>
      </w:pPr>
      <w:r>
        <w:rPr>
          <w:i/>
          <w:noProof/>
          <w:color w:val="000000" w:themeColor="text1"/>
          <w:sz w:val="20"/>
        </w:rPr>
        <w:t>Angiv indikatorerne til kontrol af forslagets/initiativets gennemførelse.</w:t>
      </w:r>
    </w:p>
    <w:p>
      <w:pPr>
        <w:pStyle w:val="Text1"/>
        <w:pBdr>
          <w:top w:val="single" w:sz="4" w:space="1" w:color="auto"/>
          <w:left w:val="single" w:sz="4" w:space="4" w:color="auto"/>
          <w:bottom w:val="single" w:sz="4" w:space="1" w:color="auto"/>
          <w:right w:val="single" w:sz="4" w:space="4" w:color="auto"/>
        </w:pBdr>
        <w:rPr>
          <w:noProof/>
        </w:rPr>
      </w:pPr>
      <w:r>
        <w:rPr>
          <w:noProof/>
        </w:rPr>
        <w:t>Antal resultater inden for rammerne af oplysningskampagner</w:t>
      </w:r>
    </w:p>
    <w:p>
      <w:pPr>
        <w:pStyle w:val="ManualHeading2"/>
        <w:rPr>
          <w:noProof/>
        </w:rPr>
      </w:pPr>
      <w:r>
        <w:t>1.5.</w:t>
      </w:r>
      <w:r>
        <w:tab/>
      </w:r>
      <w:r>
        <w:rPr>
          <w:noProof/>
        </w:rPr>
        <w:t>Forslagets/initiativets begrundelse</w:t>
      </w:r>
    </w:p>
    <w:p>
      <w:pPr>
        <w:pStyle w:val="ManualHeading3"/>
        <w:rPr>
          <w:noProof/>
        </w:rPr>
      </w:pPr>
      <w:r>
        <w:t>1.5.1.</w:t>
      </w:r>
      <w:r>
        <w:tab/>
      </w:r>
      <w:r>
        <w:rPr>
          <w:noProof/>
        </w:rPr>
        <w:t>Behov, der skal opfyldes på kort eller lang sigt</w:t>
      </w:r>
    </w:p>
    <w:p>
      <w:pPr>
        <w:pStyle w:val="Text1"/>
        <w:pBdr>
          <w:top w:val="single" w:sz="4" w:space="1" w:color="auto"/>
          <w:left w:val="single" w:sz="4" w:space="4" w:color="auto"/>
          <w:bottom w:val="single" w:sz="4" w:space="1" w:color="auto"/>
          <w:right w:val="single" w:sz="4" w:space="4" w:color="auto"/>
        </w:pBdr>
        <w:rPr>
          <w:noProof/>
          <w:color w:val="000000" w:themeColor="text1"/>
        </w:rPr>
      </w:pPr>
      <w:r>
        <w:rPr>
          <w:noProof/>
        </w:rPr>
        <w:t>På kort sigt: Bedre information om kulturarvens betydning som et aktiv for EU og om den rolle, som EU spiller med hensyn til at beskytte den.</w:t>
      </w:r>
    </w:p>
    <w:p>
      <w:pPr>
        <w:pStyle w:val="Text1"/>
        <w:pBdr>
          <w:top w:val="single" w:sz="4" w:space="1" w:color="auto"/>
          <w:left w:val="single" w:sz="4" w:space="4" w:color="auto"/>
          <w:bottom w:val="single" w:sz="4" w:space="1" w:color="auto"/>
          <w:right w:val="single" w:sz="4" w:space="4" w:color="auto"/>
        </w:pBdr>
        <w:rPr>
          <w:noProof/>
        </w:rPr>
      </w:pPr>
      <w:r>
        <w:rPr>
          <w:noProof/>
        </w:rPr>
        <w:t>På lang sigt: Større opmærksomhed blandt borgerne på kulturarvens betydning og større anerkendelse af EU's positive rolle.</w:t>
      </w:r>
    </w:p>
    <w:p>
      <w:pPr>
        <w:pStyle w:val="ManualHeading3"/>
        <w:rPr>
          <w:bCs/>
          <w:noProof/>
          <w:szCs w:val="24"/>
        </w:rPr>
      </w:pPr>
      <w:r>
        <w:t>1.5.2.</w:t>
      </w:r>
      <w:r>
        <w:tab/>
      </w:r>
      <w:r>
        <w:rPr>
          <w:noProof/>
        </w:rPr>
        <w:t>Merværdien ved en indsats fra EU's side</w:t>
      </w:r>
    </w:p>
    <w:p>
      <w:pPr>
        <w:pStyle w:val="Text1"/>
        <w:pBdr>
          <w:top w:val="single" w:sz="4" w:space="1" w:color="auto"/>
          <w:left w:val="single" w:sz="4" w:space="4" w:color="auto"/>
          <w:bottom w:val="single" w:sz="4" w:space="1" w:color="auto"/>
          <w:right w:val="single" w:sz="4" w:space="4" w:color="auto"/>
        </w:pBdr>
        <w:rPr>
          <w:noProof/>
          <w:color w:val="000000" w:themeColor="text1"/>
        </w:rPr>
      </w:pPr>
      <w:r>
        <w:rPr>
          <w:noProof/>
        </w:rPr>
        <w:t>- Styrkelse af opmærksomheden på den europæiske kulturarvs betydning for økonomisk vækst og social samhørighed.</w:t>
      </w:r>
    </w:p>
    <w:p>
      <w:pPr>
        <w:pStyle w:val="Text1"/>
        <w:pBdr>
          <w:top w:val="single" w:sz="4" w:space="1" w:color="auto"/>
          <w:left w:val="single" w:sz="4" w:space="4" w:color="auto"/>
          <w:bottom w:val="single" w:sz="4" w:space="1" w:color="auto"/>
          <w:right w:val="single" w:sz="4" w:space="4" w:color="auto"/>
        </w:pBdr>
        <w:rPr>
          <w:noProof/>
          <w:color w:val="000000" w:themeColor="text1"/>
        </w:rPr>
      </w:pPr>
      <w:r>
        <w:rPr>
          <w:noProof/>
        </w:rPr>
        <w:t>- Øget opmærksomhed på udfordringerne og mulighederne samt fokus på EU's rolle med hensyn til at fremme fælles løsninger.</w:t>
      </w:r>
    </w:p>
    <w:p>
      <w:pPr>
        <w:pStyle w:val="ManualHeading3"/>
        <w:rPr>
          <w:bCs/>
          <w:noProof/>
          <w:szCs w:val="24"/>
        </w:rPr>
      </w:pPr>
      <w:r>
        <w:t>1.5.3.</w:t>
      </w:r>
      <w:r>
        <w:tab/>
      </w:r>
      <w:r>
        <w:rPr>
          <w:noProof/>
        </w:rPr>
        <w:t>Erfaringer fra lignende foranstaltninger</w:t>
      </w:r>
    </w:p>
    <w:p>
      <w:pPr>
        <w:pStyle w:val="Text1"/>
        <w:pBdr>
          <w:top w:val="single" w:sz="4" w:space="1" w:color="auto"/>
          <w:left w:val="single" w:sz="4" w:space="4" w:color="auto"/>
          <w:bottom w:val="single" w:sz="4" w:space="1" w:color="auto"/>
          <w:right w:val="single" w:sz="4" w:space="4" w:color="auto"/>
        </w:pBdr>
        <w:rPr>
          <w:noProof/>
          <w:color w:val="000000" w:themeColor="text1"/>
        </w:rPr>
      </w:pPr>
      <w:r>
        <w:rPr>
          <w:noProof/>
        </w:rPr>
        <w:t>De europæiske år, der har været organiseret i løbet af de sidste 10 år, har bevist deres værd som effektive instrumenter til at skabe opmærksomhed og har haft indvirkning på både den brede befolkning og opinionsledere, ligesom de har skabt synergi mellem forskellige interventionsområder på både EU-niveau og i medlemsstaterne.</w:t>
      </w:r>
    </w:p>
    <w:p>
      <w:pPr>
        <w:pStyle w:val="ManualHeading3"/>
        <w:rPr>
          <w:bCs/>
          <w:noProof/>
          <w:szCs w:val="24"/>
        </w:rPr>
      </w:pPr>
      <w:r>
        <w:t>1.5.4.</w:t>
      </w:r>
      <w:r>
        <w:tab/>
      </w:r>
      <w:r>
        <w:rPr>
          <w:noProof/>
        </w:rPr>
        <w:t>Sammenhæng med andre relevante instrumenter og eventuel synergivirkning</w:t>
      </w:r>
    </w:p>
    <w:p>
      <w:pPr>
        <w:pStyle w:val="Text1"/>
        <w:pBdr>
          <w:top w:val="single" w:sz="4" w:space="1" w:color="auto"/>
          <w:left w:val="single" w:sz="4" w:space="4" w:color="auto"/>
          <w:bottom w:val="single" w:sz="4" w:space="1" w:color="auto"/>
          <w:right w:val="single" w:sz="4" w:space="4" w:color="auto"/>
        </w:pBdr>
        <w:rPr>
          <w:noProof/>
          <w:color w:val="000000" w:themeColor="text1"/>
        </w:rPr>
      </w:pPr>
      <w:r>
        <w:rPr>
          <w:noProof/>
        </w:rPr>
        <w:t>Det europæiske år for kulturarv vil være et referencepunkt for flere EU-programmer, f.eks. programmet Et Kreativt Europa, de europæiske struktur- og investeringsfonde, Horisont 2020 (herunder de digitale elementer af bevarelse og værdsættelse af kulturarv), Erasmus+ og programmet "Europa for borgerne". Et Kreativt Europa finansierer også tre EU-foranstaltninger, der er specifikt rettet mod kulturarv:  de europæiske kulturarvsdage, EU's kulturarvspris og det europæiske kulturarvsmærke.</w:t>
      </w:r>
    </w:p>
    <w:p>
      <w:pPr>
        <w:pStyle w:val="ManualHeading2"/>
        <w:rPr>
          <w:noProof/>
        </w:rPr>
      </w:pPr>
      <w:r>
        <w:rPr>
          <w:noProof/>
        </w:rPr>
        <w:br w:type="page"/>
      </w:r>
      <w:r>
        <w:t>1.6.</w:t>
      </w:r>
      <w:r>
        <w:tab/>
      </w:r>
      <w:r>
        <w:rPr>
          <w:noProof/>
        </w:rPr>
        <w:t>Varighed og finansielle virkninger</w:t>
      </w:r>
    </w:p>
    <w:p>
      <w:pPr>
        <w:pStyle w:val="Text1"/>
        <w:rPr>
          <w:b/>
          <w:noProof/>
          <w:color w:val="000000" w:themeColor="text1"/>
        </w:rPr>
      </w:pPr>
      <w:r>
        <w:rPr>
          <w:noProof/>
          <w:color w:val="000000" w:themeColor="text1"/>
        </w:rPr>
        <w:t xml:space="preserve">X Forslag/initiativ af </w:t>
      </w:r>
      <w:r>
        <w:rPr>
          <w:b/>
          <w:noProof/>
          <w:color w:val="000000" w:themeColor="text1"/>
        </w:rPr>
        <w:t>begrænset varighed</w:t>
      </w:r>
    </w:p>
    <w:p>
      <w:pPr>
        <w:pStyle w:val="ListDash2"/>
        <w:rPr>
          <w:noProof/>
          <w:color w:val="000000" w:themeColor="text1"/>
        </w:rPr>
      </w:pPr>
      <w:r>
        <w:rPr>
          <w:noProof/>
          <w:color w:val="000000" w:themeColor="text1"/>
        </w:rPr>
        <w:t>X</w:t>
      </w:r>
      <w:r>
        <w:rPr>
          <w:noProof/>
          <w:color w:val="000000" w:themeColor="text1"/>
        </w:rPr>
        <w:tab/>
        <w:t>Forslag/initiativ gældende fra 1.1.2018 til 31.12.2018</w:t>
      </w:r>
    </w:p>
    <w:p>
      <w:pPr>
        <w:pStyle w:val="ListDash2"/>
        <w:rPr>
          <w:noProof/>
          <w:color w:val="000000" w:themeColor="text1"/>
          <w:lang w:val="nb-NO"/>
        </w:rPr>
      </w:pPr>
      <w:r>
        <w:rPr>
          <w:noProof/>
          <w:color w:val="000000" w:themeColor="text1"/>
          <w:lang w:val="nb-NO"/>
        </w:rPr>
        <w:t>X</w:t>
      </w:r>
      <w:r>
        <w:rPr>
          <w:noProof/>
          <w:color w:val="000000" w:themeColor="text1"/>
          <w:lang w:val="nb-NO"/>
        </w:rPr>
        <w:tab/>
        <w:t>Finansielle virkninger fra 2017 til 2018</w:t>
      </w:r>
    </w:p>
    <w:p>
      <w:pPr>
        <w:pStyle w:val="Text1"/>
        <w:rPr>
          <w:noProof/>
          <w:color w:val="000000" w:themeColor="text1"/>
        </w:rPr>
      </w:pPr>
      <w:r>
        <w:rPr>
          <w:noProof/>
          <w:color w:val="000000" w:themeColor="text1"/>
        </w:rPr>
        <w:sym w:font="Wingdings" w:char="F0A8"/>
      </w:r>
      <w:r>
        <w:rPr>
          <w:b/>
          <w:i/>
          <w:noProof/>
          <w:color w:val="000000" w:themeColor="text1"/>
        </w:rPr>
        <w:t xml:space="preserve"> </w:t>
      </w:r>
      <w:r>
        <w:rPr>
          <w:noProof/>
          <w:color w:val="000000" w:themeColor="text1"/>
        </w:rPr>
        <w:t xml:space="preserve">Forslag/initiativ af </w:t>
      </w:r>
      <w:r>
        <w:rPr>
          <w:b/>
          <w:noProof/>
          <w:color w:val="000000" w:themeColor="text1"/>
        </w:rPr>
        <w:t>ubegrænset varighed</w:t>
      </w:r>
    </w:p>
    <w:p>
      <w:pPr>
        <w:pStyle w:val="ListDash1"/>
        <w:rPr>
          <w:noProof/>
          <w:color w:val="000000" w:themeColor="text1"/>
        </w:rPr>
      </w:pPr>
      <w:r>
        <w:rPr>
          <w:noProof/>
          <w:color w:val="000000" w:themeColor="text1"/>
        </w:rPr>
        <w:t>Iværksættelse med en indkøringsperiode fra ÅÅÅÅ til ÅÅÅÅ</w:t>
      </w:r>
    </w:p>
    <w:p>
      <w:pPr>
        <w:pStyle w:val="ListDash1"/>
        <w:rPr>
          <w:noProof/>
          <w:color w:val="000000" w:themeColor="text1"/>
        </w:rPr>
      </w:pPr>
      <w:r>
        <w:rPr>
          <w:noProof/>
          <w:color w:val="000000" w:themeColor="text1"/>
        </w:rPr>
        <w:t>Derefter gennemførelse i fuldt omfang</w:t>
      </w:r>
    </w:p>
    <w:p>
      <w:pPr>
        <w:pStyle w:val="ManualHeading2"/>
        <w:rPr>
          <w:rStyle w:val="FootnoteReference"/>
          <w:noProof/>
          <w:color w:val="000000" w:themeColor="text1"/>
        </w:rPr>
      </w:pPr>
      <w:r>
        <w:rPr>
          <w:rStyle w:val="FootnoteReference"/>
        </w:rPr>
        <w:t>1.7.</w:t>
      </w:r>
      <w:r>
        <w:rPr>
          <w:rStyle w:val="FootnoteReference"/>
        </w:rPr>
        <w:tab/>
      </w:r>
      <w:r>
        <w:rPr>
          <w:noProof/>
        </w:rPr>
        <w:t>Påtænkt(e) forvaltningsmetode(r)</w:t>
      </w:r>
      <w:r>
        <w:rPr>
          <w:rStyle w:val="FootnoteReference"/>
          <w:noProof/>
          <w:color w:val="000000" w:themeColor="text1"/>
        </w:rPr>
        <w:footnoteReference w:id="29"/>
      </w:r>
    </w:p>
    <w:p>
      <w:pPr>
        <w:pStyle w:val="Text1"/>
        <w:rPr>
          <w:noProof/>
          <w:color w:val="000000" w:themeColor="text1"/>
        </w:rPr>
      </w:pPr>
      <w:r>
        <w:rPr>
          <w:b/>
          <w:noProof/>
          <w:color w:val="000000" w:themeColor="text1"/>
        </w:rPr>
        <w:t>X Direkte forvaltning</w:t>
      </w:r>
      <w:r>
        <w:rPr>
          <w:noProof/>
          <w:color w:val="000000" w:themeColor="text1"/>
        </w:rPr>
        <w:t xml:space="preserve"> varetaget af Kommissionen</w:t>
      </w:r>
    </w:p>
    <w:p>
      <w:pPr>
        <w:pStyle w:val="ListDash2"/>
        <w:rPr>
          <w:noProof/>
          <w:color w:val="000000" w:themeColor="text1"/>
        </w:rPr>
      </w:pPr>
      <w:r>
        <w:rPr>
          <w:noProof/>
          <w:color w:val="000000" w:themeColor="text1"/>
        </w:rPr>
        <w:sym w:font="Wingdings" w:char="F0A8"/>
      </w:r>
      <w:r>
        <w:rPr>
          <w:noProof/>
          <w:color w:val="000000" w:themeColor="text1"/>
        </w:rPr>
        <w:t xml:space="preserve"> gennem Kommissionens afdelinger, herunder af personalet ved EU-delegationerne</w:t>
      </w:r>
    </w:p>
    <w:p>
      <w:pPr>
        <w:pStyle w:val="ListDash2"/>
        <w:rPr>
          <w:noProof/>
          <w:color w:val="000000" w:themeColor="text1"/>
        </w:rPr>
      </w:pPr>
      <w:r>
        <w:rPr>
          <w:noProof/>
          <w:color w:val="000000" w:themeColor="text1"/>
        </w:rPr>
        <w:sym w:font="Wingdings" w:char="F0A8"/>
      </w:r>
      <w:r>
        <w:rPr>
          <w:noProof/>
          <w:color w:val="000000" w:themeColor="text1"/>
        </w:rPr>
        <w:tab/>
        <w:t>gennem forvaltningsorganerne</w:t>
      </w:r>
    </w:p>
    <w:p>
      <w:pPr>
        <w:pStyle w:val="Text1"/>
        <w:rPr>
          <w:noProof/>
          <w:color w:val="000000" w:themeColor="text1"/>
        </w:rPr>
      </w:pPr>
      <w:r>
        <w:rPr>
          <w:noProof/>
          <w:color w:val="000000" w:themeColor="text1"/>
        </w:rPr>
        <w:sym w:font="Wingdings" w:char="F0A8"/>
      </w:r>
      <w:r>
        <w:rPr>
          <w:b/>
          <w:i/>
          <w:noProof/>
          <w:color w:val="000000" w:themeColor="text1"/>
        </w:rPr>
        <w:t xml:space="preserve"> </w:t>
      </w:r>
      <w:r>
        <w:rPr>
          <w:b/>
          <w:noProof/>
          <w:color w:val="000000" w:themeColor="text1"/>
        </w:rPr>
        <w:t>Delt forvaltning</w:t>
      </w:r>
      <w:r>
        <w:rPr>
          <w:noProof/>
          <w:color w:val="000000" w:themeColor="text1"/>
        </w:rPr>
        <w:t xml:space="preserve"> med medlemsstaterne</w:t>
      </w:r>
    </w:p>
    <w:p>
      <w:pPr>
        <w:pStyle w:val="Text1"/>
        <w:rPr>
          <w:noProof/>
          <w:color w:val="000000" w:themeColor="text1"/>
        </w:rPr>
      </w:pPr>
      <w:r>
        <w:rPr>
          <w:noProof/>
          <w:color w:val="000000" w:themeColor="text1"/>
        </w:rPr>
        <w:sym w:font="Wingdings" w:char="F0A8"/>
      </w:r>
      <w:r>
        <w:rPr>
          <w:i/>
          <w:noProof/>
          <w:color w:val="000000" w:themeColor="text1"/>
        </w:rPr>
        <w:t xml:space="preserve"> </w:t>
      </w:r>
      <w:r>
        <w:rPr>
          <w:b/>
          <w:noProof/>
          <w:color w:val="000000" w:themeColor="text1"/>
        </w:rPr>
        <w:t>Indirekte forvaltning</w:t>
      </w:r>
      <w:r>
        <w:rPr>
          <w:noProof/>
          <w:color w:val="000000" w:themeColor="text1"/>
        </w:rPr>
        <w:t xml:space="preserve"> ved delegation af gennemførelsesopgaver til:</w:t>
      </w:r>
    </w:p>
    <w:p>
      <w:pPr>
        <w:pStyle w:val="ListDash2"/>
        <w:rPr>
          <w:noProof/>
          <w:color w:val="000000" w:themeColor="text1"/>
        </w:rPr>
      </w:pPr>
      <w:r>
        <w:rPr>
          <w:noProof/>
          <w:color w:val="000000" w:themeColor="text1"/>
        </w:rPr>
        <w:sym w:font="Wingdings" w:char="F0A8"/>
      </w:r>
      <w:r>
        <w:rPr>
          <w:noProof/>
          <w:color w:val="000000" w:themeColor="text1"/>
        </w:rPr>
        <w:t xml:space="preserve"> tredjelande eller organer, som tredjelande har udpeget</w:t>
      </w:r>
    </w:p>
    <w:p>
      <w:pPr>
        <w:pStyle w:val="ListDash2"/>
        <w:rPr>
          <w:noProof/>
          <w:color w:val="000000" w:themeColor="text1"/>
        </w:rPr>
      </w:pPr>
      <w:r>
        <w:rPr>
          <w:noProof/>
          <w:color w:val="000000" w:themeColor="text1"/>
        </w:rPr>
        <w:sym w:font="Wingdings" w:char="F0A8"/>
      </w:r>
      <w:r>
        <w:rPr>
          <w:noProof/>
          <w:color w:val="000000" w:themeColor="text1"/>
        </w:rPr>
        <w:t xml:space="preserve"> internationale organisationer og deres organer (angives nærmere)</w:t>
      </w:r>
    </w:p>
    <w:p>
      <w:pPr>
        <w:pStyle w:val="ListDash2"/>
        <w:rPr>
          <w:noProof/>
          <w:color w:val="000000" w:themeColor="text1"/>
        </w:rPr>
      </w:pPr>
      <w:r>
        <w:rPr>
          <w:noProof/>
          <w:color w:val="000000" w:themeColor="text1"/>
        </w:rPr>
        <w:sym w:font="Wingdings" w:char="F0A8"/>
      </w:r>
      <w:r>
        <w:rPr>
          <w:noProof/>
          <w:color w:val="000000" w:themeColor="text1"/>
        </w:rPr>
        <w:t xml:space="preserve"> EIB og Den Europæiske Investeringsfond</w:t>
      </w:r>
    </w:p>
    <w:p>
      <w:pPr>
        <w:pStyle w:val="ListDash2"/>
        <w:rPr>
          <w:noProof/>
          <w:color w:val="000000" w:themeColor="text1"/>
        </w:rPr>
      </w:pPr>
      <w:r>
        <w:rPr>
          <w:noProof/>
          <w:color w:val="000000" w:themeColor="text1"/>
        </w:rPr>
        <w:sym w:font="Wingdings" w:char="F0A8"/>
      </w:r>
      <w:r>
        <w:rPr>
          <w:noProof/>
          <w:color w:val="000000" w:themeColor="text1"/>
        </w:rPr>
        <w:t xml:space="preserve"> organer omhandlet i finansforordningens artikel 208 og 209</w:t>
      </w:r>
    </w:p>
    <w:p>
      <w:pPr>
        <w:pStyle w:val="ListDash2"/>
        <w:rPr>
          <w:noProof/>
          <w:color w:val="000000" w:themeColor="text1"/>
        </w:rPr>
      </w:pPr>
      <w:r>
        <w:rPr>
          <w:noProof/>
          <w:color w:val="000000" w:themeColor="text1"/>
        </w:rPr>
        <w:sym w:font="Wingdings" w:char="F0A8"/>
      </w:r>
      <w:r>
        <w:rPr>
          <w:noProof/>
          <w:color w:val="000000" w:themeColor="text1"/>
        </w:rPr>
        <w:t xml:space="preserve"> offentligretlige organer</w:t>
      </w:r>
    </w:p>
    <w:p>
      <w:pPr>
        <w:pStyle w:val="ListDash2"/>
        <w:rPr>
          <w:noProof/>
          <w:color w:val="000000" w:themeColor="text1"/>
        </w:rPr>
      </w:pPr>
      <w:r>
        <w:rPr>
          <w:noProof/>
          <w:color w:val="000000" w:themeColor="text1"/>
        </w:rPr>
        <w:sym w:font="Wingdings" w:char="F0A8"/>
      </w:r>
      <w:r>
        <w:rPr>
          <w:noProof/>
          <w:color w:val="000000" w:themeColor="text1"/>
        </w:rPr>
        <w:t xml:space="preserve"> privatretlige organer, der har fået overdraget offentlige tjenesteydelsesopgaver, i det omfang at de stiller tilstrækkelige finansielle garantier</w:t>
      </w:r>
    </w:p>
    <w:p>
      <w:pPr>
        <w:pStyle w:val="ListDash2"/>
        <w:rPr>
          <w:noProof/>
          <w:color w:val="000000" w:themeColor="text1"/>
        </w:rPr>
      </w:pPr>
      <w:r>
        <w:rPr>
          <w:noProof/>
          <w:color w:val="000000" w:themeColor="text1"/>
        </w:rPr>
        <w:sym w:font="Wingdings" w:char="F0A8"/>
      </w:r>
      <w:r>
        <w:rPr>
          <w:noProof/>
          <w:color w:val="000000" w:themeColor="text1"/>
        </w:rPr>
        <w:t xml:space="preserve"> privatretlige organer, der er undergivet lovgivningen i en medlemsstat, og som har fået overdraget gennemførelsen af et offentligt-privat partnerskab, og som stiller tilstrækkelige finansielle garantier </w:t>
      </w:r>
    </w:p>
    <w:p>
      <w:pPr>
        <w:pStyle w:val="ListDash2"/>
        <w:rPr>
          <w:noProof/>
          <w:color w:val="000000" w:themeColor="text1"/>
        </w:rPr>
      </w:pPr>
      <w:r>
        <w:rPr>
          <w:noProof/>
          <w:color w:val="000000" w:themeColor="text1"/>
        </w:rPr>
        <w:sym w:font="Wingdings" w:char="F0A8"/>
      </w:r>
      <w:r>
        <w:rPr>
          <w:noProof/>
          <w:color w:val="000000" w:themeColor="text1"/>
        </w:rPr>
        <w:t xml:space="preserve"> personer, der har fået overdraget gennemførelsen af specifikke foranstaltninger inden for FUSP i henhold til afsnit V i TEU, og som er identificeret i den relevante basisretsakt.</w:t>
      </w:r>
    </w:p>
    <w:p>
      <w:pPr>
        <w:pStyle w:val="ListDash2"/>
        <w:rPr>
          <w:i/>
          <w:noProof/>
          <w:color w:val="000000" w:themeColor="text1"/>
          <w:sz w:val="18"/>
          <w:u w:val="single"/>
        </w:rPr>
      </w:pPr>
      <w:r>
        <w:rPr>
          <w:i/>
          <w:noProof/>
          <w:color w:val="000000" w:themeColor="text1"/>
          <w:sz w:val="18"/>
        </w:rPr>
        <w:t>Hvis der angives flere forvaltningsmetoder, gives der en nærmere forklaring i afsnittet "Bemærkninger".</w:t>
      </w:r>
    </w:p>
    <w:p>
      <w:pPr>
        <w:rPr>
          <w:noProof/>
          <w:color w:val="000000" w:themeColor="text1"/>
        </w:rPr>
      </w:pPr>
      <w:r>
        <w:rPr>
          <w:noProof/>
          <w:color w:val="000000" w:themeColor="text1"/>
        </w:rPr>
        <w:t>Bemærkninger</w:t>
      </w:r>
    </w:p>
    <w:p>
      <w:pPr>
        <w:pBdr>
          <w:top w:val="single" w:sz="4" w:space="1" w:color="auto"/>
          <w:left w:val="single" w:sz="4" w:space="4" w:color="auto"/>
          <w:bottom w:val="single" w:sz="4" w:space="1" w:color="auto"/>
          <w:right w:val="single" w:sz="4" w:space="4" w:color="auto"/>
        </w:pBdr>
        <w:rPr>
          <w:noProof/>
          <w:color w:val="000000" w:themeColor="text1"/>
        </w:rPr>
      </w:pPr>
      <w:r>
        <w:rPr>
          <w:noProof/>
        </w:rPr>
        <w:t>[…]</w:t>
      </w:r>
    </w:p>
    <w:p>
      <w:pPr>
        <w:pBdr>
          <w:top w:val="single" w:sz="4" w:space="1" w:color="auto"/>
          <w:left w:val="single" w:sz="4" w:space="4" w:color="auto"/>
          <w:bottom w:val="single" w:sz="4" w:space="1" w:color="auto"/>
          <w:right w:val="single" w:sz="4" w:space="4" w:color="auto"/>
        </w:pBdr>
        <w:rPr>
          <w:noProof/>
          <w:color w:val="000000" w:themeColor="text1"/>
        </w:rPr>
      </w:pPr>
      <w:r>
        <w:rPr>
          <w:noProof/>
        </w:rPr>
        <w:t>[…]</w:t>
      </w:r>
    </w:p>
    <w:p>
      <w:pPr>
        <w:rPr>
          <w:noProof/>
          <w:color w:val="000000" w:themeColor="text1"/>
        </w:rPr>
        <w:sectPr>
          <w:pgSz w:w="11907" w:h="16840" w:code="9"/>
          <w:pgMar w:top="1134" w:right="1418" w:bottom="1134" w:left="1418" w:header="709" w:footer="709" w:gutter="0"/>
          <w:cols w:space="708"/>
          <w:docGrid w:linePitch="360"/>
        </w:sectPr>
      </w:pPr>
    </w:p>
    <w:p>
      <w:pPr>
        <w:pStyle w:val="ManualHeading1"/>
        <w:rPr>
          <w:noProof/>
        </w:rPr>
      </w:pPr>
      <w:r>
        <w:t>2.</w:t>
      </w:r>
      <w:r>
        <w:tab/>
      </w:r>
      <w:r>
        <w:rPr>
          <w:noProof/>
        </w:rPr>
        <w:t>FORVALTNINGSFORANSTALTNINGER</w:t>
      </w:r>
    </w:p>
    <w:p>
      <w:pPr>
        <w:pStyle w:val="ManualHeading2"/>
        <w:rPr>
          <w:noProof/>
        </w:rPr>
      </w:pPr>
      <w:r>
        <w:t>2.1.</w:t>
      </w:r>
      <w:r>
        <w:tab/>
      </w:r>
      <w:r>
        <w:rPr>
          <w:noProof/>
        </w:rPr>
        <w:t>Bestemmelser om kontrol og rapportering</w:t>
      </w:r>
    </w:p>
    <w:p>
      <w:pPr>
        <w:pStyle w:val="Text1"/>
        <w:rPr>
          <w:i/>
          <w:noProof/>
          <w:color w:val="000000" w:themeColor="text1"/>
          <w:sz w:val="20"/>
          <w:u w:val="single"/>
        </w:rPr>
      </w:pPr>
      <w:r>
        <w:rPr>
          <w:i/>
          <w:noProof/>
          <w:color w:val="000000" w:themeColor="text1"/>
          <w:sz w:val="20"/>
        </w:rPr>
        <w:t>Angiv hyppighed og betingelser.</w:t>
      </w:r>
    </w:p>
    <w:p>
      <w:pPr>
        <w:pStyle w:val="Text1"/>
        <w:pBdr>
          <w:top w:val="single" w:sz="4" w:space="1" w:color="auto"/>
          <w:left w:val="single" w:sz="4" w:space="4" w:color="auto"/>
          <w:bottom w:val="single" w:sz="4" w:space="1" w:color="auto"/>
          <w:right w:val="single" w:sz="4" w:space="4" w:color="auto"/>
        </w:pBdr>
        <w:rPr>
          <w:noProof/>
        </w:rPr>
      </w:pPr>
      <w:r>
        <w:rPr>
          <w:noProof/>
        </w:rPr>
        <w:t>Arbejdsprogram for det europæiske år.</w:t>
      </w:r>
    </w:p>
    <w:p>
      <w:pPr>
        <w:pStyle w:val="Text1"/>
        <w:pBdr>
          <w:top w:val="single" w:sz="4" w:space="1" w:color="auto"/>
          <w:left w:val="single" w:sz="4" w:space="4" w:color="auto"/>
          <w:bottom w:val="single" w:sz="4" w:space="1" w:color="auto"/>
          <w:right w:val="single" w:sz="4" w:space="4" w:color="auto"/>
        </w:pBdr>
        <w:rPr>
          <w:noProof/>
        </w:rPr>
      </w:pPr>
      <w:r>
        <w:rPr>
          <w:noProof/>
        </w:rPr>
        <w:t>Nedsættelse af en styringskomité.</w:t>
      </w:r>
    </w:p>
    <w:p>
      <w:pPr>
        <w:pStyle w:val="ManualHeading2"/>
        <w:rPr>
          <w:noProof/>
        </w:rPr>
      </w:pPr>
      <w:r>
        <w:t>2.2.</w:t>
      </w:r>
      <w:r>
        <w:tab/>
      </w:r>
      <w:r>
        <w:rPr>
          <w:noProof/>
        </w:rPr>
        <w:t>Forvaltnings- og kontrolordning</w:t>
      </w:r>
    </w:p>
    <w:p>
      <w:pPr>
        <w:pStyle w:val="ManualHeading3"/>
        <w:rPr>
          <w:noProof/>
        </w:rPr>
      </w:pPr>
      <w:r>
        <w:t>2.2.1.</w:t>
      </w:r>
      <w:r>
        <w:tab/>
      </w:r>
      <w:r>
        <w:rPr>
          <w:noProof/>
        </w:rPr>
        <w:t>Konstaterede risici</w:t>
      </w:r>
    </w:p>
    <w:p>
      <w:pPr>
        <w:pStyle w:val="Text1"/>
        <w:pBdr>
          <w:top w:val="single" w:sz="4" w:space="1" w:color="auto"/>
          <w:left w:val="single" w:sz="4" w:space="4" w:color="auto"/>
          <w:bottom w:val="single" w:sz="4" w:space="1" w:color="auto"/>
          <w:right w:val="single" w:sz="4" w:space="4" w:color="auto"/>
        </w:pBdr>
        <w:rPr>
          <w:noProof/>
          <w:color w:val="000000" w:themeColor="text1"/>
        </w:rPr>
      </w:pPr>
      <w:r>
        <w:rPr>
          <w:noProof/>
        </w:rPr>
        <w:t>- Initiativernes manglende synlighed.</w:t>
      </w:r>
    </w:p>
    <w:p>
      <w:pPr>
        <w:pStyle w:val="Text1"/>
        <w:pBdr>
          <w:top w:val="single" w:sz="4" w:space="1" w:color="auto"/>
          <w:left w:val="single" w:sz="4" w:space="4" w:color="auto"/>
          <w:bottom w:val="single" w:sz="4" w:space="1" w:color="auto"/>
          <w:right w:val="single" w:sz="4" w:space="4" w:color="auto"/>
        </w:pBdr>
        <w:rPr>
          <w:noProof/>
        </w:rPr>
      </w:pPr>
      <w:r>
        <w:rPr>
          <w:noProof/>
        </w:rPr>
        <w:t>- For høje forventninger til det begrænsede budget.</w:t>
      </w:r>
    </w:p>
    <w:p>
      <w:pPr>
        <w:pStyle w:val="ManualHeading3"/>
        <w:rPr>
          <w:bCs/>
          <w:noProof/>
          <w:szCs w:val="24"/>
        </w:rPr>
      </w:pPr>
      <w:r>
        <w:t>2.2.2.</w:t>
      </w:r>
      <w:r>
        <w:tab/>
      </w:r>
      <w:r>
        <w:rPr>
          <w:noProof/>
        </w:rPr>
        <w:t>Information om oprettelse af det interne kontrolsystem</w:t>
      </w:r>
    </w:p>
    <w:p>
      <w:pPr>
        <w:pStyle w:val="Text1"/>
        <w:pBdr>
          <w:top w:val="single" w:sz="4" w:space="1" w:color="auto"/>
          <w:left w:val="single" w:sz="4" w:space="4" w:color="auto"/>
          <w:bottom w:val="single" w:sz="4" w:space="1" w:color="auto"/>
          <w:right w:val="single" w:sz="4" w:space="4" w:color="auto"/>
        </w:pBdr>
        <w:rPr>
          <w:noProof/>
        </w:rPr>
      </w:pPr>
      <w:r>
        <w:rPr>
          <w:noProof/>
        </w:rPr>
        <w:t>Regelmæssig risikovurdering under styringskomitéen.</w:t>
      </w:r>
    </w:p>
    <w:p>
      <w:pPr>
        <w:pStyle w:val="ManualHeading3"/>
        <w:rPr>
          <w:noProof/>
        </w:rPr>
      </w:pPr>
      <w:r>
        <w:t>2.2.3.</w:t>
      </w:r>
      <w:r>
        <w:tab/>
      </w:r>
      <w:r>
        <w:rPr>
          <w:noProof/>
        </w:rPr>
        <w:t>Vurdering af omkostninger og fordele ved kontrol og evaluering af den forventede fejlrisiko</w:t>
      </w:r>
    </w:p>
    <w:p>
      <w:pPr>
        <w:pStyle w:val="Text1"/>
        <w:pBdr>
          <w:top w:val="single" w:sz="4" w:space="1" w:color="auto"/>
          <w:left w:val="single" w:sz="4" w:space="4" w:color="auto"/>
          <w:bottom w:val="single" w:sz="4" w:space="1" w:color="auto"/>
          <w:right w:val="single" w:sz="4" w:space="4" w:color="auto"/>
        </w:pBdr>
        <w:rPr>
          <w:noProof/>
          <w:color w:val="000000" w:themeColor="text1"/>
        </w:rPr>
      </w:pPr>
      <w:r>
        <w:rPr>
          <w:noProof/>
        </w:rPr>
        <w:t>[pm]</w:t>
      </w:r>
    </w:p>
    <w:p>
      <w:pPr>
        <w:pStyle w:val="Text1"/>
        <w:pBdr>
          <w:top w:val="single" w:sz="4" w:space="1" w:color="auto"/>
          <w:left w:val="single" w:sz="4" w:space="4" w:color="auto"/>
          <w:bottom w:val="single" w:sz="4" w:space="1" w:color="auto"/>
          <w:right w:val="single" w:sz="4" w:space="4" w:color="auto"/>
        </w:pBdr>
        <w:rPr>
          <w:noProof/>
          <w:color w:val="000000" w:themeColor="text1"/>
        </w:rPr>
      </w:pPr>
      <w:r>
        <w:rPr>
          <w:noProof/>
        </w:rPr>
        <w:t>[pm]</w:t>
      </w:r>
    </w:p>
    <w:p>
      <w:pPr>
        <w:pStyle w:val="ManualHeading2"/>
        <w:rPr>
          <w:noProof/>
        </w:rPr>
      </w:pPr>
      <w:r>
        <w:t>2.3.</w:t>
      </w:r>
      <w:r>
        <w:tab/>
      </w:r>
      <w:r>
        <w:rPr>
          <w:noProof/>
        </w:rPr>
        <w:t>Foranstaltninger til forebyggelse af svig og uregelmæssigheder</w:t>
      </w:r>
    </w:p>
    <w:p>
      <w:pPr>
        <w:pStyle w:val="Text1"/>
        <w:rPr>
          <w:i/>
          <w:noProof/>
          <w:color w:val="000000" w:themeColor="text1"/>
          <w:sz w:val="20"/>
        </w:rPr>
      </w:pPr>
      <w:r>
        <w:rPr>
          <w:i/>
          <w:noProof/>
          <w:color w:val="000000" w:themeColor="text1"/>
          <w:sz w:val="20"/>
        </w:rPr>
        <w:t>Angiv eksisterende eller påtænkte forebyggelses- og beskyttelsesforanstaltninger.</w:t>
      </w:r>
    </w:p>
    <w:p>
      <w:pPr>
        <w:pStyle w:val="Text1"/>
        <w:pBdr>
          <w:top w:val="single" w:sz="4" w:space="1" w:color="auto"/>
          <w:left w:val="single" w:sz="4" w:space="4" w:color="auto"/>
          <w:bottom w:val="single" w:sz="4" w:space="1" w:color="auto"/>
          <w:right w:val="single" w:sz="4" w:space="4" w:color="auto"/>
        </w:pBdr>
        <w:rPr>
          <w:noProof/>
          <w:color w:val="000000" w:themeColor="text1"/>
        </w:rPr>
      </w:pPr>
      <w:r>
        <w:rPr>
          <w:noProof/>
        </w:rPr>
        <w:t>Kommissionen sikrer i forbindelse med gennemførelsen af foranstaltninger, der finansieres i henhold til denne afgørelse, at Unionens finansielle interesser beskyttes gennem forholdsregler mod svig, korruption og andre ulovligheder, gennem effektiv kontrol og gennem inddrivelse af uretmæssigt udbetalte beløb samt, hvis der konstateres uregelmæssigheder, gennem sanktioner, der skal være effektive, stå i forhold til overtrædelsens omfang og have en afskrækkende virkning. I overensstemmelse med Rådets forordning (Euratom, EF) nr. 2185/96 af 11. november 1996 om Kommissionens kontrol og inspektion på stedet med henblik på beskyttelse af De Europæiske Fællesskabers finansielle interesser mod svig og andre uregelmæssigheder kan Kommissionen foretage kontrol og inspektion på stedet. Undersøgelserne gennemføres eventuelt af Det Europæiske Kontor for Bekæmpelse af Svig (OLAF) i overensstemmelse med Europa-Parlamentets og Rådets forordning (EF) nr. 1073/1999 af 25. maj 1999 om undersøgelser, der foretages af Det Europæiske Kontor for Bekæmpelse af Svig (OLAF).</w:t>
      </w:r>
    </w:p>
    <w:p>
      <w:pPr>
        <w:rPr>
          <w:noProof/>
          <w:color w:val="000000" w:themeColor="text1"/>
        </w:rPr>
        <w:sectPr>
          <w:pgSz w:w="11907" w:h="16840" w:code="9"/>
          <w:pgMar w:top="1134" w:right="1418" w:bottom="1134" w:left="1418" w:header="709" w:footer="709" w:gutter="0"/>
          <w:cols w:space="708"/>
          <w:docGrid w:linePitch="360"/>
        </w:sectPr>
      </w:pPr>
    </w:p>
    <w:p>
      <w:pPr>
        <w:pStyle w:val="ManualHeading1"/>
        <w:rPr>
          <w:noProof/>
        </w:rPr>
      </w:pPr>
      <w:r>
        <w:t>3.</w:t>
      </w:r>
      <w:r>
        <w:tab/>
      </w:r>
      <w:r>
        <w:rPr>
          <w:noProof/>
        </w:rPr>
        <w:t>FORSLAGETS/INITIATIVETS ANSLÅEDE FINANSIELLE VIRKNINGER</w:t>
      </w:r>
    </w:p>
    <w:p>
      <w:pPr>
        <w:pStyle w:val="ManualHeading2"/>
        <w:rPr>
          <w:noProof/>
        </w:rPr>
      </w:pPr>
      <w:r>
        <w:t>3.1.</w:t>
      </w:r>
      <w:r>
        <w:tab/>
      </w:r>
      <w:r>
        <w:rPr>
          <w:noProof/>
        </w:rPr>
        <w:t>Berørt(e) udgiftspost(er) på budgettet og udgiftsområde(r) i den flerårige finansielle ramme</w:t>
      </w:r>
    </w:p>
    <w:p>
      <w:pPr>
        <w:pStyle w:val="ListBullet1"/>
        <w:rPr>
          <w:noProof/>
          <w:color w:val="000000" w:themeColor="text1"/>
        </w:rPr>
      </w:pPr>
      <w:r>
        <w:rPr>
          <w:noProof/>
          <w:color w:val="000000" w:themeColor="text1"/>
        </w:rPr>
        <w:t>Eksisterende udgiftsposter på budgettet</w:t>
      </w:r>
    </w:p>
    <w:p>
      <w:pPr>
        <w:pStyle w:val="Text1"/>
        <w:rPr>
          <w:noProof/>
          <w:color w:val="000000" w:themeColor="text1"/>
        </w:rPr>
      </w:pPr>
      <w:r>
        <w:rPr>
          <w:noProof/>
          <w:color w:val="000000" w:themeColor="text1"/>
          <w:u w:val="single"/>
        </w:rPr>
        <w:t>I samme rækkefølge</w:t>
      </w:r>
      <w:r>
        <w:rPr>
          <w:noProof/>
          <w:color w:val="000000" w:themeColor="text1"/>
        </w:rPr>
        <w:t xml:space="preserve"> som udgiftsområderne i den flerårige finansielle ramme og budgetposterne.</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tc>
          <w:tcPr>
            <w:tcW w:w="1080" w:type="dxa"/>
            <w:vMerge w:val="restart"/>
            <w:vAlign w:val="center"/>
          </w:tcPr>
          <w:p>
            <w:pPr>
              <w:spacing w:before="60" w:after="60"/>
              <w:jc w:val="center"/>
              <w:rPr>
                <w:noProof/>
                <w:color w:val="000000" w:themeColor="text1"/>
                <w:sz w:val="22"/>
              </w:rPr>
            </w:pPr>
            <w:r>
              <w:rPr>
                <w:noProof/>
                <w:color w:val="000000" w:themeColor="text1"/>
                <w:sz w:val="18"/>
              </w:rPr>
              <w:t>Udgiftsområde i den flerårige finansielle ramme</w:t>
            </w:r>
          </w:p>
        </w:tc>
        <w:tc>
          <w:tcPr>
            <w:tcW w:w="3960" w:type="dxa"/>
            <w:vAlign w:val="center"/>
          </w:tcPr>
          <w:p>
            <w:pPr>
              <w:spacing w:before="60" w:after="60"/>
              <w:jc w:val="center"/>
              <w:rPr>
                <w:noProof/>
                <w:color w:val="000000" w:themeColor="text1"/>
                <w:sz w:val="22"/>
              </w:rPr>
            </w:pPr>
            <w:r>
              <w:rPr>
                <w:noProof/>
                <w:color w:val="000000" w:themeColor="text1"/>
                <w:sz w:val="20"/>
              </w:rPr>
              <w:t>Budgetpost</w:t>
            </w:r>
          </w:p>
        </w:tc>
        <w:tc>
          <w:tcPr>
            <w:tcW w:w="1080" w:type="dxa"/>
            <w:vAlign w:val="center"/>
          </w:tcPr>
          <w:p>
            <w:pPr>
              <w:spacing w:before="60" w:after="60"/>
              <w:jc w:val="center"/>
              <w:rPr>
                <w:noProof/>
                <w:color w:val="000000" w:themeColor="text1"/>
                <w:sz w:val="22"/>
              </w:rPr>
            </w:pPr>
            <w:r>
              <w:rPr>
                <w:noProof/>
                <w:color w:val="000000" w:themeColor="text1"/>
                <w:sz w:val="18"/>
              </w:rPr>
              <w:t xml:space="preserve">Udgiftens </w:t>
            </w:r>
            <w:r>
              <w:rPr>
                <w:noProof/>
                <w:color w:val="000000" w:themeColor="text1"/>
                <w:sz w:val="22"/>
              </w:rPr>
              <w:br/>
            </w:r>
            <w:r>
              <w:rPr>
                <w:noProof/>
                <w:color w:val="000000" w:themeColor="text1"/>
                <w:sz w:val="18"/>
              </w:rPr>
              <w:t>art</w:t>
            </w:r>
          </w:p>
        </w:tc>
        <w:tc>
          <w:tcPr>
            <w:tcW w:w="4440" w:type="dxa"/>
            <w:gridSpan w:val="4"/>
            <w:vAlign w:val="center"/>
          </w:tcPr>
          <w:p>
            <w:pPr>
              <w:spacing w:before="60" w:after="60"/>
              <w:jc w:val="center"/>
              <w:rPr>
                <w:noProof/>
                <w:color w:val="000000" w:themeColor="text1"/>
                <w:sz w:val="22"/>
              </w:rPr>
            </w:pPr>
            <w:r>
              <w:rPr>
                <w:noProof/>
                <w:color w:val="000000" w:themeColor="text1"/>
                <w:sz w:val="20"/>
              </w:rPr>
              <w:t xml:space="preserve">Bidrag </w:t>
            </w:r>
          </w:p>
        </w:tc>
      </w:tr>
      <w:tr>
        <w:tc>
          <w:tcPr>
            <w:tcW w:w="1080" w:type="dxa"/>
            <w:vMerge/>
            <w:vAlign w:val="center"/>
          </w:tcPr>
          <w:p>
            <w:pPr>
              <w:jc w:val="center"/>
              <w:rPr>
                <w:noProof/>
                <w:color w:val="000000" w:themeColor="text1"/>
                <w:sz w:val="22"/>
              </w:rPr>
            </w:pPr>
          </w:p>
        </w:tc>
        <w:tc>
          <w:tcPr>
            <w:tcW w:w="3960" w:type="dxa"/>
            <w:vAlign w:val="center"/>
          </w:tcPr>
          <w:p>
            <w:pPr>
              <w:rPr>
                <w:noProof/>
                <w:color w:val="000000" w:themeColor="text1"/>
                <w:sz w:val="22"/>
              </w:rPr>
            </w:pPr>
            <w:r>
              <w:rPr>
                <w:noProof/>
                <w:color w:val="000000" w:themeColor="text1"/>
                <w:sz w:val="20"/>
              </w:rPr>
              <w:t>Udgiftsområde 3: Sikkerhed og medborgerskab</w:t>
            </w:r>
          </w:p>
        </w:tc>
        <w:tc>
          <w:tcPr>
            <w:tcW w:w="1080" w:type="dxa"/>
            <w:vAlign w:val="center"/>
          </w:tcPr>
          <w:p>
            <w:pPr>
              <w:jc w:val="center"/>
              <w:rPr>
                <w:noProof/>
                <w:color w:val="000000" w:themeColor="text1"/>
                <w:sz w:val="22"/>
              </w:rPr>
            </w:pPr>
            <w:r>
              <w:rPr>
                <w:noProof/>
                <w:color w:val="000000" w:themeColor="text1"/>
                <w:sz w:val="18"/>
              </w:rPr>
              <w:t>OB/IOB</w:t>
            </w:r>
            <w:r>
              <w:rPr>
                <w:rStyle w:val="FootnoteReference"/>
                <w:noProof/>
                <w:color w:val="000000" w:themeColor="text1"/>
                <w:sz w:val="18"/>
              </w:rPr>
              <w:footnoteReference w:id="30"/>
            </w:r>
          </w:p>
        </w:tc>
        <w:tc>
          <w:tcPr>
            <w:tcW w:w="956" w:type="dxa"/>
            <w:vAlign w:val="center"/>
          </w:tcPr>
          <w:p>
            <w:pPr>
              <w:jc w:val="center"/>
              <w:rPr>
                <w:noProof/>
                <w:color w:val="000000" w:themeColor="text1"/>
                <w:sz w:val="22"/>
              </w:rPr>
            </w:pPr>
            <w:r>
              <w:rPr>
                <w:noProof/>
                <w:color w:val="000000" w:themeColor="text1"/>
                <w:sz w:val="18"/>
              </w:rPr>
              <w:t>fra EFTA-lande</w:t>
            </w:r>
            <w:r>
              <w:rPr>
                <w:rStyle w:val="FootnoteReference"/>
                <w:noProof/>
                <w:color w:val="000000" w:themeColor="text1"/>
                <w:sz w:val="18"/>
              </w:rPr>
              <w:footnoteReference w:id="31"/>
            </w:r>
          </w:p>
          <w:p>
            <w:pPr>
              <w:spacing w:before="0" w:after="0"/>
              <w:jc w:val="center"/>
              <w:rPr>
                <w:b/>
                <w:noProof/>
                <w:color w:val="000000" w:themeColor="text1"/>
                <w:sz w:val="18"/>
              </w:rPr>
            </w:pPr>
          </w:p>
        </w:tc>
        <w:tc>
          <w:tcPr>
            <w:tcW w:w="1080" w:type="dxa"/>
            <w:vAlign w:val="center"/>
          </w:tcPr>
          <w:p>
            <w:pPr>
              <w:jc w:val="center"/>
              <w:rPr>
                <w:noProof/>
                <w:color w:val="000000" w:themeColor="text1"/>
                <w:sz w:val="22"/>
              </w:rPr>
            </w:pPr>
            <w:r>
              <w:rPr>
                <w:noProof/>
                <w:color w:val="000000" w:themeColor="text1"/>
                <w:sz w:val="18"/>
              </w:rPr>
              <w:t>fra kandidatlande</w:t>
            </w:r>
            <w:r>
              <w:rPr>
                <w:rStyle w:val="FootnoteReference"/>
                <w:noProof/>
                <w:color w:val="000000" w:themeColor="text1"/>
                <w:sz w:val="18"/>
              </w:rPr>
              <w:footnoteReference w:id="32"/>
            </w:r>
          </w:p>
          <w:p>
            <w:pPr>
              <w:spacing w:before="0" w:after="0"/>
              <w:jc w:val="center"/>
              <w:rPr>
                <w:noProof/>
                <w:color w:val="000000" w:themeColor="text1"/>
                <w:sz w:val="18"/>
              </w:rPr>
            </w:pPr>
          </w:p>
        </w:tc>
        <w:tc>
          <w:tcPr>
            <w:tcW w:w="956" w:type="dxa"/>
            <w:vAlign w:val="center"/>
          </w:tcPr>
          <w:p>
            <w:pPr>
              <w:jc w:val="center"/>
              <w:rPr>
                <w:noProof/>
                <w:color w:val="000000" w:themeColor="text1"/>
                <w:sz w:val="18"/>
              </w:rPr>
            </w:pPr>
            <w:r>
              <w:rPr>
                <w:noProof/>
                <w:color w:val="000000" w:themeColor="text1"/>
                <w:sz w:val="18"/>
              </w:rPr>
              <w:t>fra tredjelande</w:t>
            </w:r>
          </w:p>
        </w:tc>
        <w:tc>
          <w:tcPr>
            <w:tcW w:w="1448" w:type="dxa"/>
            <w:vAlign w:val="center"/>
          </w:tcPr>
          <w:p>
            <w:pPr>
              <w:jc w:val="center"/>
              <w:rPr>
                <w:noProof/>
                <w:color w:val="000000" w:themeColor="text1"/>
                <w:sz w:val="22"/>
              </w:rPr>
            </w:pPr>
            <w:r>
              <w:rPr>
                <w:noProof/>
                <w:color w:val="000000" w:themeColor="text1"/>
                <w:sz w:val="16"/>
              </w:rPr>
              <w:t xml:space="preserve">iht. finansforordningens artikel 21, stk. 2, litra b) </w:t>
            </w:r>
          </w:p>
        </w:tc>
      </w:tr>
      <w:tr>
        <w:tc>
          <w:tcPr>
            <w:tcW w:w="1080" w:type="dxa"/>
            <w:vAlign w:val="center"/>
          </w:tcPr>
          <w:p>
            <w:pPr>
              <w:jc w:val="center"/>
              <w:rPr>
                <w:noProof/>
                <w:color w:val="000000" w:themeColor="text1"/>
                <w:sz w:val="22"/>
              </w:rPr>
            </w:pPr>
            <w:r>
              <w:rPr>
                <w:noProof/>
                <w:color w:val="000000" w:themeColor="text1"/>
                <w:sz w:val="22"/>
              </w:rPr>
              <w:t>3</w:t>
            </w:r>
          </w:p>
        </w:tc>
        <w:tc>
          <w:tcPr>
            <w:tcW w:w="3960" w:type="dxa"/>
            <w:vAlign w:val="center"/>
          </w:tcPr>
          <w:p>
            <w:pPr>
              <w:spacing w:after="60"/>
              <w:rPr>
                <w:noProof/>
                <w:color w:val="000000" w:themeColor="text1"/>
                <w:sz w:val="22"/>
              </w:rPr>
            </w:pPr>
            <w:r>
              <w:rPr>
                <w:noProof/>
                <w:color w:val="000000" w:themeColor="text1"/>
                <w:sz w:val="22"/>
              </w:rPr>
              <w:t xml:space="preserve">15 04 02 – Kulturdelprogram — støtte grænseoverskridende aktioner samt fremme tværnational udbredelse og mobilitet </w:t>
            </w:r>
          </w:p>
        </w:tc>
        <w:tc>
          <w:tcPr>
            <w:tcW w:w="1080" w:type="dxa"/>
            <w:vAlign w:val="center"/>
          </w:tcPr>
          <w:p>
            <w:pPr>
              <w:jc w:val="center"/>
              <w:rPr>
                <w:noProof/>
                <w:color w:val="000000" w:themeColor="text1"/>
                <w:sz w:val="22"/>
              </w:rPr>
            </w:pPr>
            <w:r>
              <w:rPr>
                <w:noProof/>
                <w:color w:val="000000" w:themeColor="text1"/>
                <w:sz w:val="22"/>
              </w:rPr>
              <w:t>OB</w:t>
            </w:r>
          </w:p>
        </w:tc>
        <w:tc>
          <w:tcPr>
            <w:tcW w:w="956" w:type="dxa"/>
            <w:vAlign w:val="center"/>
          </w:tcPr>
          <w:p>
            <w:pPr>
              <w:jc w:val="center"/>
              <w:rPr>
                <w:noProof/>
                <w:color w:val="000000" w:themeColor="text1"/>
                <w:sz w:val="22"/>
              </w:rPr>
            </w:pPr>
            <w:r>
              <w:rPr>
                <w:noProof/>
                <w:color w:val="000000" w:themeColor="text1"/>
                <w:sz w:val="22"/>
              </w:rPr>
              <w:t>NEJ</w:t>
            </w:r>
          </w:p>
        </w:tc>
        <w:tc>
          <w:tcPr>
            <w:tcW w:w="1080" w:type="dxa"/>
            <w:vAlign w:val="center"/>
          </w:tcPr>
          <w:p>
            <w:pPr>
              <w:jc w:val="center"/>
              <w:rPr>
                <w:noProof/>
                <w:color w:val="000000" w:themeColor="text1"/>
                <w:sz w:val="22"/>
              </w:rPr>
            </w:pPr>
            <w:r>
              <w:rPr>
                <w:noProof/>
                <w:color w:val="000000" w:themeColor="text1"/>
                <w:sz w:val="22"/>
              </w:rPr>
              <w:t>NEJ</w:t>
            </w:r>
          </w:p>
        </w:tc>
        <w:tc>
          <w:tcPr>
            <w:tcW w:w="956" w:type="dxa"/>
            <w:vAlign w:val="center"/>
          </w:tcPr>
          <w:p>
            <w:pPr>
              <w:jc w:val="center"/>
              <w:rPr>
                <w:noProof/>
                <w:color w:val="000000" w:themeColor="text1"/>
                <w:sz w:val="22"/>
              </w:rPr>
            </w:pPr>
            <w:r>
              <w:rPr>
                <w:noProof/>
                <w:color w:val="000000" w:themeColor="text1"/>
                <w:sz w:val="22"/>
              </w:rPr>
              <w:t>NEJ</w:t>
            </w:r>
          </w:p>
        </w:tc>
        <w:tc>
          <w:tcPr>
            <w:tcW w:w="1448" w:type="dxa"/>
            <w:vAlign w:val="center"/>
          </w:tcPr>
          <w:p>
            <w:pPr>
              <w:jc w:val="center"/>
              <w:rPr>
                <w:noProof/>
                <w:color w:val="000000" w:themeColor="text1"/>
                <w:sz w:val="22"/>
              </w:rPr>
            </w:pPr>
            <w:r>
              <w:rPr>
                <w:noProof/>
                <w:color w:val="000000" w:themeColor="text1"/>
                <w:sz w:val="22"/>
              </w:rPr>
              <w:t>NEJ</w:t>
            </w:r>
          </w:p>
        </w:tc>
      </w:tr>
    </w:tbl>
    <w:p>
      <w:pPr>
        <w:pStyle w:val="ListBullet1"/>
        <w:rPr>
          <w:noProof/>
          <w:color w:val="000000" w:themeColor="text1"/>
        </w:rPr>
      </w:pPr>
      <w:r>
        <w:rPr>
          <w:noProof/>
          <w:color w:val="000000" w:themeColor="text1"/>
        </w:rPr>
        <w:t>Nye budgetposter, som der er søgt om</w:t>
      </w:r>
    </w:p>
    <w:p>
      <w:pPr>
        <w:pStyle w:val="Text1"/>
        <w:rPr>
          <w:i/>
          <w:noProof/>
          <w:color w:val="000000" w:themeColor="text1"/>
          <w:sz w:val="20"/>
        </w:rPr>
      </w:pPr>
      <w:r>
        <w:rPr>
          <w:i/>
          <w:noProof/>
          <w:color w:val="000000" w:themeColor="text1"/>
          <w:u w:val="single"/>
        </w:rPr>
        <w:t>I samme rækkefølge</w:t>
      </w:r>
      <w:r>
        <w:rPr>
          <w:i/>
          <w:noProof/>
          <w:color w:val="000000" w:themeColor="text1"/>
        </w:rPr>
        <w:t xml:space="preserve"> som udgiftsområderne i den flerårige finansielle ramme og budgetposterne.</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tc>
          <w:tcPr>
            <w:tcW w:w="1080" w:type="dxa"/>
            <w:vMerge w:val="restart"/>
            <w:vAlign w:val="center"/>
          </w:tcPr>
          <w:p>
            <w:pPr>
              <w:spacing w:before="60" w:after="60"/>
              <w:jc w:val="center"/>
              <w:rPr>
                <w:noProof/>
                <w:color w:val="000000" w:themeColor="text1"/>
                <w:sz w:val="18"/>
                <w:szCs w:val="18"/>
              </w:rPr>
            </w:pPr>
            <w:r>
              <w:rPr>
                <w:noProof/>
                <w:color w:val="000000" w:themeColor="text1"/>
                <w:sz w:val="18"/>
              </w:rPr>
              <w:t>Udgiftsområde i den flerårige finansielle ramme</w:t>
            </w:r>
          </w:p>
        </w:tc>
        <w:tc>
          <w:tcPr>
            <w:tcW w:w="3960" w:type="dxa"/>
            <w:vAlign w:val="center"/>
          </w:tcPr>
          <w:p>
            <w:pPr>
              <w:spacing w:before="60" w:after="60"/>
              <w:jc w:val="center"/>
              <w:rPr>
                <w:noProof/>
                <w:color w:val="000000" w:themeColor="text1"/>
                <w:sz w:val="22"/>
              </w:rPr>
            </w:pPr>
            <w:r>
              <w:rPr>
                <w:noProof/>
                <w:color w:val="000000" w:themeColor="text1"/>
                <w:sz w:val="20"/>
              </w:rPr>
              <w:t>Budgetpost</w:t>
            </w:r>
          </w:p>
        </w:tc>
        <w:tc>
          <w:tcPr>
            <w:tcW w:w="1080" w:type="dxa"/>
            <w:vAlign w:val="center"/>
          </w:tcPr>
          <w:p>
            <w:pPr>
              <w:spacing w:before="60" w:after="60"/>
              <w:jc w:val="center"/>
              <w:rPr>
                <w:noProof/>
                <w:color w:val="000000" w:themeColor="text1"/>
                <w:sz w:val="22"/>
              </w:rPr>
            </w:pPr>
            <w:r>
              <w:rPr>
                <w:noProof/>
                <w:color w:val="000000" w:themeColor="text1"/>
                <w:sz w:val="18"/>
              </w:rPr>
              <w:t xml:space="preserve">Udgiftens </w:t>
            </w:r>
            <w:r>
              <w:rPr>
                <w:noProof/>
                <w:color w:val="000000" w:themeColor="text1"/>
                <w:sz w:val="22"/>
              </w:rPr>
              <w:br/>
            </w:r>
            <w:r>
              <w:rPr>
                <w:noProof/>
                <w:color w:val="000000" w:themeColor="text1"/>
                <w:sz w:val="18"/>
              </w:rPr>
              <w:t>art</w:t>
            </w:r>
          </w:p>
        </w:tc>
        <w:tc>
          <w:tcPr>
            <w:tcW w:w="4440" w:type="dxa"/>
            <w:gridSpan w:val="4"/>
            <w:vAlign w:val="center"/>
          </w:tcPr>
          <w:p>
            <w:pPr>
              <w:spacing w:before="60" w:after="60"/>
              <w:jc w:val="center"/>
              <w:rPr>
                <w:noProof/>
                <w:color w:val="000000" w:themeColor="text1"/>
                <w:sz w:val="22"/>
              </w:rPr>
            </w:pPr>
            <w:r>
              <w:rPr>
                <w:noProof/>
                <w:color w:val="000000" w:themeColor="text1"/>
                <w:sz w:val="20"/>
              </w:rPr>
              <w:t xml:space="preserve">Bidrag </w:t>
            </w:r>
          </w:p>
        </w:tc>
      </w:tr>
      <w:tr>
        <w:tc>
          <w:tcPr>
            <w:tcW w:w="1080" w:type="dxa"/>
            <w:vMerge/>
            <w:vAlign w:val="center"/>
          </w:tcPr>
          <w:p>
            <w:pPr>
              <w:jc w:val="center"/>
              <w:rPr>
                <w:noProof/>
                <w:color w:val="000000" w:themeColor="text1"/>
                <w:sz w:val="22"/>
              </w:rPr>
            </w:pPr>
          </w:p>
        </w:tc>
        <w:tc>
          <w:tcPr>
            <w:tcW w:w="3960" w:type="dxa"/>
            <w:vAlign w:val="center"/>
          </w:tcPr>
          <w:p>
            <w:pPr>
              <w:rPr>
                <w:noProof/>
                <w:color w:val="000000" w:themeColor="text1"/>
                <w:sz w:val="22"/>
              </w:rPr>
            </w:pPr>
          </w:p>
        </w:tc>
        <w:tc>
          <w:tcPr>
            <w:tcW w:w="1080" w:type="dxa"/>
            <w:vAlign w:val="center"/>
          </w:tcPr>
          <w:p>
            <w:pPr>
              <w:jc w:val="center"/>
              <w:rPr>
                <w:noProof/>
                <w:color w:val="000000" w:themeColor="text1"/>
                <w:sz w:val="22"/>
              </w:rPr>
            </w:pPr>
            <w:r>
              <w:rPr>
                <w:noProof/>
                <w:color w:val="000000" w:themeColor="text1"/>
                <w:sz w:val="18"/>
              </w:rPr>
              <w:t>OB/IOB</w:t>
            </w:r>
          </w:p>
        </w:tc>
        <w:tc>
          <w:tcPr>
            <w:tcW w:w="956" w:type="dxa"/>
            <w:vAlign w:val="center"/>
          </w:tcPr>
          <w:p>
            <w:pPr>
              <w:jc w:val="center"/>
              <w:rPr>
                <w:noProof/>
                <w:color w:val="000000" w:themeColor="text1"/>
                <w:sz w:val="18"/>
              </w:rPr>
            </w:pPr>
            <w:r>
              <w:rPr>
                <w:noProof/>
                <w:color w:val="000000" w:themeColor="text1"/>
                <w:sz w:val="18"/>
              </w:rPr>
              <w:t>fra EFTA-lande</w:t>
            </w:r>
          </w:p>
        </w:tc>
        <w:tc>
          <w:tcPr>
            <w:tcW w:w="1080" w:type="dxa"/>
            <w:vAlign w:val="center"/>
          </w:tcPr>
          <w:p>
            <w:pPr>
              <w:jc w:val="center"/>
              <w:rPr>
                <w:noProof/>
                <w:color w:val="000000" w:themeColor="text1"/>
                <w:sz w:val="18"/>
              </w:rPr>
            </w:pPr>
            <w:r>
              <w:rPr>
                <w:noProof/>
                <w:color w:val="000000" w:themeColor="text1"/>
                <w:sz w:val="18"/>
              </w:rPr>
              <w:t>fra kandidatlande</w:t>
            </w:r>
          </w:p>
        </w:tc>
        <w:tc>
          <w:tcPr>
            <w:tcW w:w="956" w:type="dxa"/>
            <w:vAlign w:val="center"/>
          </w:tcPr>
          <w:p>
            <w:pPr>
              <w:jc w:val="center"/>
              <w:rPr>
                <w:noProof/>
                <w:color w:val="000000" w:themeColor="text1"/>
                <w:sz w:val="18"/>
              </w:rPr>
            </w:pPr>
            <w:r>
              <w:rPr>
                <w:noProof/>
                <w:color w:val="000000" w:themeColor="text1"/>
                <w:sz w:val="18"/>
              </w:rPr>
              <w:t>fra tredjelande</w:t>
            </w:r>
          </w:p>
        </w:tc>
        <w:tc>
          <w:tcPr>
            <w:tcW w:w="1448" w:type="dxa"/>
            <w:vAlign w:val="center"/>
          </w:tcPr>
          <w:p>
            <w:pPr>
              <w:jc w:val="center"/>
              <w:rPr>
                <w:noProof/>
                <w:color w:val="000000" w:themeColor="text1"/>
                <w:sz w:val="22"/>
              </w:rPr>
            </w:pPr>
            <w:r>
              <w:rPr>
                <w:noProof/>
                <w:color w:val="000000" w:themeColor="text1"/>
                <w:sz w:val="16"/>
              </w:rPr>
              <w:t xml:space="preserve">iht. finansforordningens artikel 21, stk. 2, litra b) </w:t>
            </w:r>
          </w:p>
        </w:tc>
      </w:tr>
      <w:tr>
        <w:tc>
          <w:tcPr>
            <w:tcW w:w="1080" w:type="dxa"/>
            <w:vAlign w:val="center"/>
          </w:tcPr>
          <w:p>
            <w:pPr>
              <w:jc w:val="center"/>
              <w:rPr>
                <w:noProof/>
                <w:color w:val="000000" w:themeColor="text1"/>
                <w:sz w:val="22"/>
              </w:rPr>
            </w:pPr>
          </w:p>
        </w:tc>
        <w:tc>
          <w:tcPr>
            <w:tcW w:w="3960" w:type="dxa"/>
            <w:vAlign w:val="center"/>
          </w:tcPr>
          <w:p>
            <w:pPr>
              <w:spacing w:before="60"/>
              <w:rPr>
                <w:noProof/>
                <w:color w:val="000000" w:themeColor="text1"/>
                <w:sz w:val="22"/>
              </w:rPr>
            </w:pPr>
          </w:p>
        </w:tc>
        <w:tc>
          <w:tcPr>
            <w:tcW w:w="1080" w:type="dxa"/>
            <w:vAlign w:val="center"/>
          </w:tcPr>
          <w:p>
            <w:pPr>
              <w:jc w:val="center"/>
              <w:rPr>
                <w:noProof/>
                <w:color w:val="000000" w:themeColor="text1"/>
                <w:sz w:val="22"/>
              </w:rPr>
            </w:pPr>
          </w:p>
        </w:tc>
        <w:tc>
          <w:tcPr>
            <w:tcW w:w="956" w:type="dxa"/>
            <w:vAlign w:val="center"/>
          </w:tcPr>
          <w:p>
            <w:pPr>
              <w:jc w:val="center"/>
              <w:rPr>
                <w:noProof/>
                <w:color w:val="000000" w:themeColor="text1"/>
                <w:sz w:val="22"/>
              </w:rPr>
            </w:pPr>
          </w:p>
        </w:tc>
        <w:tc>
          <w:tcPr>
            <w:tcW w:w="1080" w:type="dxa"/>
            <w:vAlign w:val="center"/>
          </w:tcPr>
          <w:p>
            <w:pPr>
              <w:jc w:val="center"/>
              <w:rPr>
                <w:noProof/>
                <w:color w:val="000000" w:themeColor="text1"/>
                <w:sz w:val="18"/>
              </w:rPr>
            </w:pPr>
          </w:p>
        </w:tc>
        <w:tc>
          <w:tcPr>
            <w:tcW w:w="956" w:type="dxa"/>
            <w:vAlign w:val="center"/>
          </w:tcPr>
          <w:p>
            <w:pPr>
              <w:jc w:val="center"/>
              <w:rPr>
                <w:noProof/>
                <w:color w:val="000000" w:themeColor="text1"/>
                <w:sz w:val="18"/>
              </w:rPr>
            </w:pPr>
          </w:p>
        </w:tc>
        <w:tc>
          <w:tcPr>
            <w:tcW w:w="1448" w:type="dxa"/>
            <w:vAlign w:val="center"/>
          </w:tcPr>
          <w:p>
            <w:pPr>
              <w:jc w:val="center"/>
              <w:rPr>
                <w:noProof/>
                <w:color w:val="000000" w:themeColor="text1"/>
                <w:sz w:val="22"/>
              </w:rPr>
            </w:pPr>
          </w:p>
          <w:p>
            <w:pPr>
              <w:jc w:val="center"/>
              <w:rPr>
                <w:noProof/>
                <w:color w:val="000000" w:themeColor="text1"/>
                <w:sz w:val="22"/>
              </w:rPr>
            </w:pPr>
          </w:p>
        </w:tc>
      </w:tr>
    </w:tbl>
    <w:p>
      <w:pPr>
        <w:rPr>
          <w:noProof/>
          <w:color w:val="000000" w:themeColor="text1"/>
        </w:rPr>
      </w:pPr>
    </w:p>
    <w:p>
      <w:pPr>
        <w:rPr>
          <w:noProof/>
          <w:color w:val="000000" w:themeColor="text1"/>
        </w:rPr>
        <w:sectPr>
          <w:pgSz w:w="11907" w:h="16840" w:code="1"/>
          <w:pgMar w:top="1134" w:right="1418" w:bottom="1134" w:left="1418" w:header="709" w:footer="709" w:gutter="0"/>
          <w:cols w:space="708"/>
          <w:docGrid w:linePitch="360"/>
        </w:sectPr>
      </w:pPr>
    </w:p>
    <w:p>
      <w:pPr>
        <w:pStyle w:val="ManualHeading2"/>
        <w:rPr>
          <w:noProof/>
        </w:rPr>
      </w:pPr>
      <w:r>
        <w:t>3.2.</w:t>
      </w:r>
      <w:r>
        <w:tab/>
      </w:r>
      <w:r>
        <w:rPr>
          <w:noProof/>
        </w:rPr>
        <w:t>Anslåede virkninger for udgifterne</w:t>
      </w:r>
    </w:p>
    <w:p>
      <w:pPr>
        <w:pStyle w:val="Text1"/>
        <w:rPr>
          <w:noProof/>
          <w:color w:val="000000" w:themeColor="text1"/>
        </w:rPr>
      </w:pPr>
      <w:r>
        <w:rPr>
          <w:noProof/>
          <w:color w:val="000000" w:themeColor="text1"/>
          <w:highlight w:val="lightGray"/>
        </w:rPr>
        <w:t xml:space="preserve">[Dette afsnit skal udfyldes ved hjælp af </w:t>
      </w:r>
      <w:hyperlink r:id="rId16" w:history="1">
        <w:r>
          <w:rPr>
            <w:rStyle w:val="Hyperlink"/>
            <w:noProof/>
            <w:color w:val="000000" w:themeColor="text1"/>
            <w:highlight w:val="lightGray"/>
          </w:rPr>
          <w:t>arket vedrørende administrative budgetoplysninger</w:t>
        </w:r>
      </w:hyperlink>
      <w:r>
        <w:rPr>
          <w:noProof/>
          <w:color w:val="000000" w:themeColor="text1"/>
          <w:highlight w:val="lightGray"/>
        </w:rPr>
        <w:t xml:space="preserve"> (det andet dokument i bilaget til denne finansieringsoversigt) og uploades til CISNET med henblik på høring af andre tjenestegrene.]</w:t>
      </w:r>
    </w:p>
    <w:p>
      <w:pPr>
        <w:pStyle w:val="ManualHeading3"/>
        <w:rPr>
          <w:noProof/>
        </w:rPr>
      </w:pPr>
      <w:r>
        <w:t>3.2.1.</w:t>
      </w:r>
      <w:r>
        <w:tab/>
      </w:r>
      <w:r>
        <w:rPr>
          <w:noProof/>
        </w:rPr>
        <w:t>Sammenfatning af de anslåede virkninger for udgifterne</w:t>
      </w:r>
    </w:p>
    <w:p>
      <w:pPr>
        <w:jc w:val="right"/>
        <w:rPr>
          <w:noProof/>
          <w:color w:val="000000" w:themeColor="text1"/>
          <w:sz w:val="20"/>
        </w:rPr>
      </w:pPr>
      <w:r>
        <w:rPr>
          <w:noProof/>
          <w:color w:val="000000" w:themeColor="text1"/>
          <w:sz w:val="20"/>
        </w:rPr>
        <w:t>i mio. EUR (3 decimaler)</w:t>
      </w:r>
    </w:p>
    <w:tbl>
      <w:tblPr>
        <w:tblW w:w="0" w:type="auto"/>
        <w:jc w:val="center"/>
        <w:tblInd w:w="-2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b/>
                <w:noProof/>
                <w:color w:val="000000" w:themeColor="text1"/>
                <w:sz w:val="22"/>
              </w:rPr>
            </w:pPr>
            <w:r>
              <w:rPr>
                <w:b/>
                <w:noProof/>
                <w:color w:val="000000" w:themeColor="text1"/>
                <w:sz w:val="22"/>
              </w:rPr>
              <w:t>Udgifter i den flerårige finansielle</w:t>
            </w:r>
            <w:r>
              <w:rPr>
                <w:noProof/>
                <w:color w:val="000000" w:themeColor="text1"/>
                <w:sz w:val="22"/>
              </w:rPr>
              <w:br/>
            </w:r>
            <w:r>
              <w:rPr>
                <w:b/>
                <w:noProof/>
                <w:color w:val="000000" w:themeColor="text1"/>
                <w:sz w:val="22"/>
              </w:rPr>
              <w:t xml:space="preserve">ramme </w:t>
            </w:r>
          </w:p>
        </w:tc>
        <w:tc>
          <w:tcPr>
            <w:tcW w:w="1080" w:type="dxa"/>
            <w:vAlign w:val="center"/>
          </w:tcPr>
          <w:p>
            <w:pPr>
              <w:spacing w:before="60" w:after="60"/>
              <w:jc w:val="center"/>
              <w:rPr>
                <w:noProof/>
                <w:color w:val="000000" w:themeColor="text1"/>
                <w:sz w:val="22"/>
              </w:rPr>
            </w:pPr>
            <w:r>
              <w:rPr>
                <w:noProof/>
                <w:color w:val="000000" w:themeColor="text1"/>
                <w:sz w:val="22"/>
              </w:rPr>
              <w:t>Nummer</w:t>
            </w:r>
          </w:p>
        </w:tc>
        <w:tc>
          <w:tcPr>
            <w:tcW w:w="7817" w:type="dxa"/>
            <w:vAlign w:val="center"/>
          </w:tcPr>
          <w:p>
            <w:pPr>
              <w:spacing w:before="60" w:after="60"/>
              <w:rPr>
                <w:noProof/>
                <w:color w:val="000000" w:themeColor="text1"/>
                <w:sz w:val="22"/>
              </w:rPr>
            </w:pPr>
            <w:r>
              <w:rPr>
                <w:noProof/>
              </w:rPr>
              <w:t xml:space="preserve">[3] </w:t>
            </w:r>
            <w:r>
              <w:rPr>
                <w:noProof/>
                <w:sz w:val="22"/>
              </w:rPr>
              <w:t xml:space="preserve">Udgiftsområde </w:t>
            </w:r>
            <w:r>
              <w:rPr>
                <w:noProof/>
              </w:rPr>
              <w:t xml:space="preserve">– </w:t>
            </w:r>
            <w:r>
              <w:rPr>
                <w:noProof/>
                <w:sz w:val="22"/>
              </w:rPr>
              <w:t>Sikkerhed og unionsborgerskab</w:t>
            </w:r>
          </w:p>
        </w:tc>
      </w:tr>
    </w:tbl>
    <w:p>
      <w:pPr>
        <w:rPr>
          <w:noProof/>
          <w:color w:val="000000" w:themeColor="text1"/>
          <w:sz w:val="16"/>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120"/>
        <w:gridCol w:w="534"/>
        <w:gridCol w:w="868"/>
        <w:gridCol w:w="868"/>
        <w:gridCol w:w="868"/>
        <w:gridCol w:w="868"/>
        <w:gridCol w:w="868"/>
        <w:gridCol w:w="868"/>
        <w:gridCol w:w="868"/>
        <w:gridCol w:w="1777"/>
      </w:tblGrid>
      <w:tr>
        <w:tc>
          <w:tcPr>
            <w:tcW w:w="3960" w:type="dxa"/>
            <w:vAlign w:val="center"/>
          </w:tcPr>
          <w:p>
            <w:pPr>
              <w:jc w:val="center"/>
              <w:rPr>
                <w:noProof/>
                <w:color w:val="000000" w:themeColor="text1"/>
                <w:sz w:val="22"/>
              </w:rPr>
            </w:pPr>
            <w:r>
              <w:rPr>
                <w:noProof/>
                <w:color w:val="000000" w:themeColor="text1"/>
                <w:sz w:val="22"/>
              </w:rPr>
              <w:t>GD: EAC</w:t>
            </w:r>
          </w:p>
        </w:tc>
        <w:tc>
          <w:tcPr>
            <w:tcW w:w="1560" w:type="dxa"/>
            <w:gridSpan w:val="2"/>
          </w:tcPr>
          <w:p>
            <w:pPr>
              <w:rPr>
                <w:noProof/>
                <w:color w:val="000000" w:themeColor="text1"/>
                <w:sz w:val="20"/>
              </w:rPr>
            </w:pPr>
          </w:p>
        </w:tc>
        <w:tc>
          <w:tcPr>
            <w:tcW w:w="534" w:type="dxa"/>
          </w:tcPr>
          <w:p>
            <w:pPr>
              <w:jc w:val="center"/>
              <w:rPr>
                <w:noProof/>
                <w:color w:val="000000" w:themeColor="text1"/>
                <w:sz w:val="20"/>
              </w:rPr>
            </w:pPr>
          </w:p>
        </w:tc>
        <w:tc>
          <w:tcPr>
            <w:tcW w:w="868" w:type="dxa"/>
            <w:vAlign w:val="center"/>
          </w:tcPr>
          <w:p>
            <w:pPr>
              <w:jc w:val="center"/>
              <w:rPr>
                <w:noProof/>
                <w:color w:val="000000" w:themeColor="text1"/>
                <w:sz w:val="20"/>
              </w:rPr>
            </w:pPr>
            <w:r>
              <w:rPr>
                <w:noProof/>
                <w:color w:val="000000" w:themeColor="text1"/>
                <w:sz w:val="20"/>
              </w:rPr>
              <w:t>År</w:t>
            </w:r>
            <w:r>
              <w:rPr>
                <w:noProof/>
                <w:color w:val="000000" w:themeColor="text1"/>
                <w:sz w:val="22"/>
              </w:rPr>
              <w:br/>
            </w:r>
            <w:r>
              <w:rPr>
                <w:b/>
                <w:noProof/>
                <w:color w:val="000000" w:themeColor="text1"/>
                <w:sz w:val="20"/>
              </w:rPr>
              <w:t>N</w:t>
            </w:r>
            <w:r>
              <w:rPr>
                <w:rStyle w:val="FootnoteReference"/>
                <w:b/>
                <w:noProof/>
                <w:color w:val="000000" w:themeColor="text1"/>
                <w:sz w:val="20"/>
              </w:rPr>
              <w:footnoteReference w:id="33"/>
            </w:r>
          </w:p>
        </w:tc>
        <w:tc>
          <w:tcPr>
            <w:tcW w:w="868" w:type="dxa"/>
            <w:vAlign w:val="center"/>
          </w:tcPr>
          <w:p>
            <w:pPr>
              <w:jc w:val="center"/>
              <w:rPr>
                <w:noProof/>
                <w:color w:val="000000" w:themeColor="text1"/>
                <w:sz w:val="20"/>
              </w:rPr>
            </w:pPr>
            <w:r>
              <w:rPr>
                <w:noProof/>
                <w:color w:val="000000" w:themeColor="text1"/>
                <w:sz w:val="20"/>
              </w:rPr>
              <w:t>År</w:t>
            </w:r>
            <w:r>
              <w:rPr>
                <w:noProof/>
                <w:color w:val="000000" w:themeColor="text1"/>
                <w:sz w:val="22"/>
              </w:rPr>
              <w:br/>
            </w:r>
            <w:r>
              <w:rPr>
                <w:b/>
                <w:noProof/>
                <w:color w:val="000000" w:themeColor="text1"/>
                <w:sz w:val="20"/>
              </w:rPr>
              <w:t>N+1</w:t>
            </w:r>
          </w:p>
        </w:tc>
        <w:tc>
          <w:tcPr>
            <w:tcW w:w="868" w:type="dxa"/>
            <w:vAlign w:val="center"/>
          </w:tcPr>
          <w:p>
            <w:pPr>
              <w:jc w:val="center"/>
              <w:rPr>
                <w:noProof/>
                <w:color w:val="000000" w:themeColor="text1"/>
                <w:sz w:val="20"/>
              </w:rPr>
            </w:pPr>
            <w:r>
              <w:rPr>
                <w:noProof/>
                <w:color w:val="000000" w:themeColor="text1"/>
                <w:sz w:val="20"/>
              </w:rPr>
              <w:t>År</w:t>
            </w:r>
            <w:r>
              <w:rPr>
                <w:noProof/>
                <w:color w:val="000000" w:themeColor="text1"/>
                <w:sz w:val="22"/>
              </w:rPr>
              <w:br/>
            </w:r>
            <w:r>
              <w:rPr>
                <w:b/>
                <w:noProof/>
                <w:color w:val="000000" w:themeColor="text1"/>
                <w:sz w:val="20"/>
              </w:rPr>
              <w:t>N+2</w:t>
            </w:r>
          </w:p>
        </w:tc>
        <w:tc>
          <w:tcPr>
            <w:tcW w:w="868" w:type="dxa"/>
            <w:vAlign w:val="center"/>
          </w:tcPr>
          <w:p>
            <w:pPr>
              <w:jc w:val="center"/>
              <w:rPr>
                <w:noProof/>
                <w:color w:val="000000" w:themeColor="text1"/>
                <w:sz w:val="20"/>
              </w:rPr>
            </w:pPr>
            <w:r>
              <w:rPr>
                <w:noProof/>
                <w:color w:val="000000" w:themeColor="text1"/>
                <w:sz w:val="20"/>
              </w:rPr>
              <w:t>År</w:t>
            </w:r>
            <w:r>
              <w:rPr>
                <w:noProof/>
                <w:color w:val="000000" w:themeColor="text1"/>
                <w:sz w:val="22"/>
              </w:rPr>
              <w:br/>
            </w:r>
            <w:r>
              <w:rPr>
                <w:b/>
                <w:noProof/>
                <w:color w:val="000000" w:themeColor="text1"/>
                <w:sz w:val="20"/>
              </w:rPr>
              <w:t>N+3</w:t>
            </w:r>
          </w:p>
        </w:tc>
        <w:tc>
          <w:tcPr>
            <w:tcW w:w="2604" w:type="dxa"/>
            <w:gridSpan w:val="3"/>
            <w:vAlign w:val="center"/>
          </w:tcPr>
          <w:p>
            <w:pPr>
              <w:jc w:val="center"/>
              <w:rPr>
                <w:b/>
                <w:noProof/>
                <w:color w:val="000000" w:themeColor="text1"/>
                <w:sz w:val="18"/>
              </w:rPr>
            </w:pPr>
            <w:r>
              <w:rPr>
                <w:noProof/>
                <w:color w:val="000000" w:themeColor="text1"/>
                <w:sz w:val="18"/>
              </w:rPr>
              <w:t>Der indsættes flere år, hvis virkningerne varer længere (jf. punkt 1.6)</w:t>
            </w:r>
          </w:p>
        </w:tc>
        <w:tc>
          <w:tcPr>
            <w:tcW w:w="1777" w:type="dxa"/>
            <w:vAlign w:val="center"/>
          </w:tcPr>
          <w:p>
            <w:pPr>
              <w:jc w:val="center"/>
              <w:rPr>
                <w:b/>
                <w:noProof/>
                <w:color w:val="000000" w:themeColor="text1"/>
                <w:sz w:val="20"/>
              </w:rPr>
            </w:pPr>
            <w:r>
              <w:rPr>
                <w:b/>
                <w:noProof/>
                <w:color w:val="000000" w:themeColor="text1"/>
                <w:sz w:val="20"/>
              </w:rPr>
              <w:t>I ALT</w:t>
            </w:r>
          </w:p>
        </w:tc>
      </w:tr>
      <w:tr>
        <w:trPr>
          <w:trHeight w:val="213"/>
        </w:trPr>
        <w:tc>
          <w:tcPr>
            <w:tcW w:w="6054" w:type="dxa"/>
            <w:gridSpan w:val="4"/>
            <w:vAlign w:val="center"/>
          </w:tcPr>
          <w:p>
            <w:pPr>
              <w:spacing w:before="20" w:after="20"/>
              <w:rPr>
                <w:noProof/>
                <w:color w:val="000000" w:themeColor="text1"/>
                <w:sz w:val="21"/>
              </w:rPr>
            </w:pPr>
            <w:r>
              <w:rPr>
                <w:noProof/>
                <w:color w:val="000000" w:themeColor="text1"/>
                <w:sz w:val="21"/>
              </w:rPr>
              <w:sym w:font="Wingdings" w:char="F09F"/>
            </w:r>
            <w:r>
              <w:rPr>
                <w:noProof/>
                <w:color w:val="000000" w:themeColor="text1"/>
                <w:sz w:val="21"/>
              </w:rPr>
              <w:t>Aktionsbevillinger</w:t>
            </w:r>
          </w:p>
        </w:tc>
        <w:tc>
          <w:tcPr>
            <w:tcW w:w="868" w:type="dxa"/>
            <w:vAlign w:val="center"/>
          </w:tcPr>
          <w:p>
            <w:pPr>
              <w:rPr>
                <w:noProof/>
                <w:color w:val="000000" w:themeColor="text1"/>
                <w:sz w:val="20"/>
              </w:rPr>
            </w:pPr>
          </w:p>
        </w:tc>
        <w:tc>
          <w:tcPr>
            <w:tcW w:w="868" w:type="dxa"/>
            <w:vAlign w:val="center"/>
          </w:tcPr>
          <w:p>
            <w:pPr>
              <w:rPr>
                <w:noProof/>
                <w:color w:val="000000" w:themeColor="text1"/>
                <w:sz w:val="20"/>
              </w:rPr>
            </w:pPr>
          </w:p>
        </w:tc>
        <w:tc>
          <w:tcPr>
            <w:tcW w:w="868" w:type="dxa"/>
            <w:vAlign w:val="center"/>
          </w:tcPr>
          <w:p>
            <w:pPr>
              <w:rPr>
                <w:noProof/>
                <w:color w:val="000000" w:themeColor="text1"/>
                <w:sz w:val="20"/>
              </w:rPr>
            </w:pPr>
          </w:p>
        </w:tc>
        <w:tc>
          <w:tcPr>
            <w:tcW w:w="868" w:type="dxa"/>
            <w:vAlign w:val="center"/>
          </w:tcPr>
          <w:p>
            <w:pPr>
              <w:rPr>
                <w:noProof/>
                <w:color w:val="000000" w:themeColor="text1"/>
                <w:sz w:val="20"/>
              </w:rPr>
            </w:pPr>
          </w:p>
        </w:tc>
        <w:tc>
          <w:tcPr>
            <w:tcW w:w="868" w:type="dxa"/>
            <w:vAlign w:val="center"/>
          </w:tcPr>
          <w:p>
            <w:pPr>
              <w:rPr>
                <w:noProof/>
                <w:color w:val="000000" w:themeColor="text1"/>
                <w:sz w:val="20"/>
              </w:rPr>
            </w:pPr>
          </w:p>
        </w:tc>
        <w:tc>
          <w:tcPr>
            <w:tcW w:w="868" w:type="dxa"/>
            <w:vAlign w:val="center"/>
          </w:tcPr>
          <w:p>
            <w:pPr>
              <w:rPr>
                <w:noProof/>
                <w:color w:val="000000" w:themeColor="text1"/>
                <w:sz w:val="20"/>
              </w:rPr>
            </w:pPr>
          </w:p>
        </w:tc>
        <w:tc>
          <w:tcPr>
            <w:tcW w:w="868" w:type="dxa"/>
            <w:vAlign w:val="center"/>
          </w:tcPr>
          <w:p>
            <w:pPr>
              <w:rPr>
                <w:b/>
                <w:noProof/>
                <w:color w:val="000000" w:themeColor="text1"/>
                <w:sz w:val="20"/>
              </w:rPr>
            </w:pPr>
          </w:p>
        </w:tc>
        <w:tc>
          <w:tcPr>
            <w:tcW w:w="1777" w:type="dxa"/>
            <w:vAlign w:val="center"/>
          </w:tcPr>
          <w:p>
            <w:pPr>
              <w:rPr>
                <w:b/>
                <w:noProof/>
                <w:color w:val="000000" w:themeColor="text1"/>
                <w:sz w:val="20"/>
              </w:rPr>
            </w:pPr>
          </w:p>
        </w:tc>
      </w:tr>
      <w:tr>
        <w:trPr>
          <w:trHeight w:val="277"/>
        </w:trPr>
        <w:tc>
          <w:tcPr>
            <w:tcW w:w="3960" w:type="dxa"/>
            <w:vMerge w:val="restart"/>
            <w:vAlign w:val="center"/>
          </w:tcPr>
          <w:p>
            <w:pPr>
              <w:rPr>
                <w:noProof/>
                <w:color w:val="000000" w:themeColor="text1"/>
                <w:sz w:val="22"/>
              </w:rPr>
            </w:pPr>
          </w:p>
        </w:tc>
        <w:tc>
          <w:tcPr>
            <w:tcW w:w="1440" w:type="dxa"/>
            <w:vAlign w:val="center"/>
          </w:tcPr>
          <w:p>
            <w:pPr>
              <w:spacing w:before="20" w:after="20"/>
              <w:rPr>
                <w:noProof/>
                <w:color w:val="000000" w:themeColor="text1"/>
                <w:sz w:val="18"/>
              </w:rPr>
            </w:pPr>
          </w:p>
        </w:tc>
        <w:tc>
          <w:tcPr>
            <w:tcW w:w="654" w:type="dxa"/>
            <w:gridSpan w:val="2"/>
            <w:vAlign w:val="center"/>
          </w:tcPr>
          <w:p>
            <w:pPr>
              <w:spacing w:before="20" w:after="20"/>
              <w:jc w:val="center"/>
              <w:rPr>
                <w:noProof/>
                <w:color w:val="000000" w:themeColor="text1"/>
                <w:sz w:val="14"/>
              </w:rPr>
            </w:pPr>
            <w:r>
              <w:rPr>
                <w:noProof/>
                <w:color w:val="000000" w:themeColor="text1"/>
                <w:sz w:val="14"/>
              </w:rPr>
              <w:t>1)</w:t>
            </w: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vAlign w:val="center"/>
          </w:tcPr>
          <w:p>
            <w:pPr>
              <w:spacing w:before="20" w:after="20"/>
              <w:jc w:val="right"/>
              <w:rPr>
                <w:b/>
                <w:noProof/>
                <w:color w:val="000000" w:themeColor="text1"/>
                <w:sz w:val="20"/>
              </w:rPr>
            </w:pPr>
          </w:p>
        </w:tc>
      </w:tr>
      <w:tr>
        <w:tc>
          <w:tcPr>
            <w:tcW w:w="3960" w:type="dxa"/>
            <w:vMerge/>
          </w:tcPr>
          <w:p>
            <w:pPr>
              <w:jc w:val="center"/>
              <w:rPr>
                <w:noProof/>
                <w:color w:val="000000" w:themeColor="text1"/>
                <w:sz w:val="20"/>
              </w:rPr>
            </w:pPr>
          </w:p>
        </w:tc>
        <w:tc>
          <w:tcPr>
            <w:tcW w:w="1440" w:type="dxa"/>
            <w:vAlign w:val="center"/>
          </w:tcPr>
          <w:p>
            <w:pPr>
              <w:spacing w:before="20" w:after="20"/>
              <w:rPr>
                <w:noProof/>
                <w:color w:val="000000" w:themeColor="text1"/>
                <w:sz w:val="18"/>
              </w:rPr>
            </w:pPr>
          </w:p>
        </w:tc>
        <w:tc>
          <w:tcPr>
            <w:tcW w:w="654" w:type="dxa"/>
            <w:gridSpan w:val="2"/>
            <w:vAlign w:val="center"/>
          </w:tcPr>
          <w:p>
            <w:pPr>
              <w:spacing w:before="20" w:after="20"/>
              <w:jc w:val="center"/>
              <w:rPr>
                <w:noProof/>
                <w:color w:val="000000" w:themeColor="text1"/>
                <w:sz w:val="14"/>
              </w:rPr>
            </w:pPr>
            <w:r>
              <w:rPr>
                <w:noProof/>
                <w:color w:val="000000" w:themeColor="text1"/>
                <w:sz w:val="14"/>
              </w:rPr>
              <w:t>2)</w:t>
            </w: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vAlign w:val="center"/>
          </w:tcPr>
          <w:p>
            <w:pPr>
              <w:spacing w:before="20" w:after="20"/>
              <w:jc w:val="right"/>
              <w:rPr>
                <w:b/>
                <w:noProof/>
                <w:color w:val="000000" w:themeColor="text1"/>
                <w:sz w:val="20"/>
              </w:rPr>
            </w:pPr>
          </w:p>
        </w:tc>
      </w:tr>
      <w:tr>
        <w:tc>
          <w:tcPr>
            <w:tcW w:w="3960" w:type="dxa"/>
            <w:vMerge w:val="restart"/>
            <w:vAlign w:val="center"/>
          </w:tcPr>
          <w:p>
            <w:pPr>
              <w:rPr>
                <w:noProof/>
                <w:color w:val="000000" w:themeColor="text1"/>
                <w:sz w:val="22"/>
              </w:rPr>
            </w:pPr>
            <w:r>
              <w:rPr>
                <w:noProof/>
                <w:color w:val="000000" w:themeColor="text1"/>
                <w:sz w:val="20"/>
              </w:rPr>
              <w:t>15 04 02 – Et kreativt Europa – Kulturdelprogram</w:t>
            </w:r>
          </w:p>
        </w:tc>
        <w:tc>
          <w:tcPr>
            <w:tcW w:w="1440" w:type="dxa"/>
            <w:vAlign w:val="center"/>
          </w:tcPr>
          <w:p>
            <w:pPr>
              <w:spacing w:before="20" w:after="20"/>
              <w:rPr>
                <w:noProof/>
                <w:color w:val="000000" w:themeColor="text1"/>
                <w:sz w:val="18"/>
              </w:rPr>
            </w:pPr>
            <w:r>
              <w:rPr>
                <w:noProof/>
                <w:color w:val="000000" w:themeColor="text1"/>
                <w:sz w:val="18"/>
              </w:rPr>
              <w:t>Forpligtelser</w:t>
            </w:r>
          </w:p>
        </w:tc>
        <w:tc>
          <w:tcPr>
            <w:tcW w:w="654" w:type="dxa"/>
            <w:gridSpan w:val="2"/>
            <w:vAlign w:val="center"/>
          </w:tcPr>
          <w:p>
            <w:pPr>
              <w:spacing w:before="20" w:after="20"/>
              <w:jc w:val="center"/>
              <w:rPr>
                <w:noProof/>
                <w:color w:val="000000" w:themeColor="text1"/>
                <w:sz w:val="14"/>
              </w:rPr>
            </w:pPr>
            <w:r>
              <w:rPr>
                <w:noProof/>
                <w:color w:val="000000" w:themeColor="text1"/>
                <w:sz w:val="14"/>
              </w:rPr>
              <w:t>1a)</w:t>
            </w:r>
          </w:p>
        </w:tc>
        <w:tc>
          <w:tcPr>
            <w:tcW w:w="868" w:type="dxa"/>
            <w:vAlign w:val="center"/>
          </w:tcPr>
          <w:p>
            <w:pPr>
              <w:spacing w:before="20" w:after="20"/>
              <w:jc w:val="right"/>
              <w:rPr>
                <w:noProof/>
                <w:color w:val="000000" w:themeColor="text1"/>
                <w:sz w:val="20"/>
              </w:rPr>
            </w:pPr>
            <w:r>
              <w:rPr>
                <w:noProof/>
                <w:color w:val="000000" w:themeColor="text1"/>
                <w:sz w:val="20"/>
              </w:rPr>
              <w:t>1,000</w:t>
            </w:r>
          </w:p>
        </w:tc>
        <w:tc>
          <w:tcPr>
            <w:tcW w:w="868" w:type="dxa"/>
            <w:vAlign w:val="center"/>
          </w:tcPr>
          <w:p>
            <w:pPr>
              <w:spacing w:before="20" w:after="20"/>
              <w:jc w:val="right"/>
              <w:rPr>
                <w:noProof/>
                <w:color w:val="000000" w:themeColor="text1"/>
                <w:sz w:val="20"/>
              </w:rPr>
            </w:pPr>
            <w:r>
              <w:rPr>
                <w:noProof/>
                <w:color w:val="000000" w:themeColor="text1"/>
                <w:sz w:val="20"/>
              </w:rPr>
              <w:t>3,000</w:t>
            </w: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vAlign w:val="center"/>
          </w:tcPr>
          <w:p>
            <w:pPr>
              <w:spacing w:before="20" w:after="20"/>
              <w:jc w:val="right"/>
              <w:rPr>
                <w:b/>
                <w:noProof/>
                <w:color w:val="000000" w:themeColor="text1"/>
                <w:sz w:val="20"/>
              </w:rPr>
            </w:pPr>
            <w:r>
              <w:rPr>
                <w:b/>
                <w:noProof/>
                <w:color w:val="000000" w:themeColor="text1"/>
                <w:sz w:val="20"/>
              </w:rPr>
              <w:t>4,000</w:t>
            </w:r>
          </w:p>
        </w:tc>
      </w:tr>
      <w:tr>
        <w:tc>
          <w:tcPr>
            <w:tcW w:w="3960" w:type="dxa"/>
            <w:vMerge/>
          </w:tcPr>
          <w:p>
            <w:pPr>
              <w:jc w:val="center"/>
              <w:rPr>
                <w:noProof/>
                <w:color w:val="000000" w:themeColor="text1"/>
                <w:sz w:val="20"/>
              </w:rPr>
            </w:pPr>
          </w:p>
        </w:tc>
        <w:tc>
          <w:tcPr>
            <w:tcW w:w="1440" w:type="dxa"/>
            <w:vAlign w:val="center"/>
          </w:tcPr>
          <w:p>
            <w:pPr>
              <w:spacing w:before="20" w:after="20"/>
              <w:rPr>
                <w:noProof/>
                <w:color w:val="000000" w:themeColor="text1"/>
                <w:sz w:val="18"/>
              </w:rPr>
            </w:pPr>
            <w:r>
              <w:rPr>
                <w:noProof/>
                <w:color w:val="000000" w:themeColor="text1"/>
                <w:sz w:val="18"/>
              </w:rPr>
              <w:t>Betalinger</w:t>
            </w:r>
          </w:p>
        </w:tc>
        <w:tc>
          <w:tcPr>
            <w:tcW w:w="654" w:type="dxa"/>
            <w:gridSpan w:val="2"/>
            <w:vAlign w:val="center"/>
          </w:tcPr>
          <w:p>
            <w:pPr>
              <w:spacing w:before="20" w:after="20"/>
              <w:jc w:val="center"/>
              <w:rPr>
                <w:noProof/>
                <w:color w:val="000000" w:themeColor="text1"/>
                <w:sz w:val="14"/>
              </w:rPr>
            </w:pPr>
            <w:r>
              <w:rPr>
                <w:noProof/>
                <w:color w:val="000000" w:themeColor="text1"/>
                <w:sz w:val="14"/>
              </w:rPr>
              <w:t>2a)</w:t>
            </w:r>
          </w:p>
        </w:tc>
        <w:tc>
          <w:tcPr>
            <w:tcW w:w="868" w:type="dxa"/>
            <w:vAlign w:val="center"/>
          </w:tcPr>
          <w:p>
            <w:pPr>
              <w:spacing w:before="20" w:after="20"/>
              <w:jc w:val="right"/>
              <w:rPr>
                <w:noProof/>
                <w:color w:val="000000" w:themeColor="text1"/>
                <w:sz w:val="20"/>
              </w:rPr>
            </w:pPr>
            <w:r>
              <w:rPr>
                <w:noProof/>
                <w:color w:val="000000" w:themeColor="text1"/>
                <w:sz w:val="20"/>
              </w:rPr>
              <w:t>0,500</w:t>
            </w:r>
          </w:p>
        </w:tc>
        <w:tc>
          <w:tcPr>
            <w:tcW w:w="868" w:type="dxa"/>
            <w:vAlign w:val="center"/>
          </w:tcPr>
          <w:p>
            <w:pPr>
              <w:spacing w:before="20" w:after="20"/>
              <w:jc w:val="right"/>
              <w:rPr>
                <w:noProof/>
                <w:color w:val="000000" w:themeColor="text1"/>
                <w:sz w:val="20"/>
              </w:rPr>
            </w:pPr>
            <w:r>
              <w:rPr>
                <w:noProof/>
                <w:color w:val="000000" w:themeColor="text1"/>
                <w:sz w:val="20"/>
              </w:rPr>
              <w:t>1,900</w:t>
            </w:r>
          </w:p>
        </w:tc>
        <w:tc>
          <w:tcPr>
            <w:tcW w:w="868" w:type="dxa"/>
            <w:vAlign w:val="center"/>
          </w:tcPr>
          <w:p>
            <w:pPr>
              <w:spacing w:before="20" w:after="20"/>
              <w:jc w:val="right"/>
              <w:rPr>
                <w:noProof/>
                <w:color w:val="000000" w:themeColor="text1"/>
                <w:sz w:val="20"/>
              </w:rPr>
            </w:pPr>
            <w:r>
              <w:rPr>
                <w:noProof/>
                <w:color w:val="000000" w:themeColor="text1"/>
                <w:sz w:val="20"/>
              </w:rPr>
              <w:t>1,100</w:t>
            </w:r>
          </w:p>
        </w:tc>
        <w:tc>
          <w:tcPr>
            <w:tcW w:w="868" w:type="dxa"/>
            <w:vAlign w:val="center"/>
          </w:tcPr>
          <w:p>
            <w:pPr>
              <w:spacing w:before="20" w:after="20"/>
              <w:jc w:val="right"/>
              <w:rPr>
                <w:noProof/>
                <w:color w:val="000000" w:themeColor="text1"/>
                <w:sz w:val="20"/>
              </w:rPr>
            </w:pPr>
            <w:r>
              <w:rPr>
                <w:noProof/>
                <w:color w:val="000000" w:themeColor="text1"/>
                <w:sz w:val="20"/>
              </w:rPr>
              <w:t>0,500</w:t>
            </w: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vAlign w:val="center"/>
          </w:tcPr>
          <w:p>
            <w:pPr>
              <w:spacing w:before="20" w:after="20"/>
              <w:jc w:val="right"/>
              <w:rPr>
                <w:b/>
                <w:noProof/>
                <w:color w:val="000000" w:themeColor="text1"/>
                <w:sz w:val="20"/>
              </w:rPr>
            </w:pPr>
            <w:r>
              <w:rPr>
                <w:b/>
                <w:noProof/>
                <w:color w:val="000000" w:themeColor="text1"/>
                <w:sz w:val="20"/>
              </w:rPr>
              <w:t>4,000</w:t>
            </w:r>
          </w:p>
        </w:tc>
      </w:tr>
      <w:tr>
        <w:trPr>
          <w:trHeight w:val="231"/>
        </w:trPr>
        <w:tc>
          <w:tcPr>
            <w:tcW w:w="6054" w:type="dxa"/>
            <w:gridSpan w:val="4"/>
            <w:vAlign w:val="center"/>
          </w:tcPr>
          <w:p>
            <w:pPr>
              <w:spacing w:before="20" w:after="20"/>
              <w:rPr>
                <w:noProof/>
                <w:color w:val="000000" w:themeColor="text1"/>
                <w:sz w:val="21"/>
              </w:rPr>
            </w:pPr>
            <w:r>
              <w:rPr>
                <w:noProof/>
                <w:color w:val="000000" w:themeColor="text1"/>
                <w:sz w:val="21"/>
              </w:rPr>
              <w:t>Administrationsbevillinger finansieret over bevillingsrammen for særprogrammer</w:t>
            </w:r>
            <w:r>
              <w:rPr>
                <w:rStyle w:val="FootnoteReference"/>
                <w:noProof/>
                <w:color w:val="000000" w:themeColor="text1"/>
                <w:sz w:val="21"/>
              </w:rPr>
              <w:footnoteReference w:id="34"/>
            </w:r>
          </w:p>
          <w:p>
            <w:pPr>
              <w:spacing w:before="0" w:after="0"/>
              <w:rPr>
                <w:noProof/>
                <w:color w:val="000000" w:themeColor="text1"/>
                <w:sz w:val="22"/>
              </w:rPr>
            </w:pPr>
          </w:p>
        </w:tc>
        <w:tc>
          <w:tcPr>
            <w:tcW w:w="868" w:type="dxa"/>
            <w:vAlign w:val="center"/>
          </w:tcPr>
          <w:p>
            <w:pPr>
              <w:rPr>
                <w:b/>
                <w:noProof/>
                <w:color w:val="000000" w:themeColor="text1"/>
                <w:sz w:val="20"/>
              </w:rPr>
            </w:pPr>
          </w:p>
        </w:tc>
        <w:tc>
          <w:tcPr>
            <w:tcW w:w="868" w:type="dxa"/>
            <w:vAlign w:val="center"/>
          </w:tcPr>
          <w:p>
            <w:pPr>
              <w:rPr>
                <w:b/>
                <w:noProof/>
                <w:color w:val="000000" w:themeColor="text1"/>
                <w:sz w:val="20"/>
              </w:rPr>
            </w:pPr>
          </w:p>
        </w:tc>
        <w:tc>
          <w:tcPr>
            <w:tcW w:w="868" w:type="dxa"/>
            <w:vAlign w:val="center"/>
          </w:tcPr>
          <w:p>
            <w:pPr>
              <w:rPr>
                <w:b/>
                <w:noProof/>
                <w:color w:val="000000" w:themeColor="text1"/>
                <w:sz w:val="20"/>
              </w:rPr>
            </w:pPr>
          </w:p>
        </w:tc>
        <w:tc>
          <w:tcPr>
            <w:tcW w:w="868" w:type="dxa"/>
            <w:vAlign w:val="center"/>
          </w:tcPr>
          <w:p>
            <w:pPr>
              <w:rPr>
                <w:b/>
                <w:noProof/>
                <w:color w:val="000000" w:themeColor="text1"/>
                <w:sz w:val="20"/>
              </w:rPr>
            </w:pPr>
          </w:p>
        </w:tc>
        <w:tc>
          <w:tcPr>
            <w:tcW w:w="868" w:type="dxa"/>
            <w:vAlign w:val="center"/>
          </w:tcPr>
          <w:p>
            <w:pPr>
              <w:rPr>
                <w:b/>
                <w:noProof/>
                <w:color w:val="000000" w:themeColor="text1"/>
                <w:sz w:val="20"/>
              </w:rPr>
            </w:pPr>
          </w:p>
        </w:tc>
        <w:tc>
          <w:tcPr>
            <w:tcW w:w="868" w:type="dxa"/>
            <w:vAlign w:val="center"/>
          </w:tcPr>
          <w:p>
            <w:pPr>
              <w:rPr>
                <w:b/>
                <w:noProof/>
                <w:color w:val="000000" w:themeColor="text1"/>
                <w:sz w:val="20"/>
              </w:rPr>
            </w:pPr>
          </w:p>
        </w:tc>
        <w:tc>
          <w:tcPr>
            <w:tcW w:w="868" w:type="dxa"/>
            <w:vAlign w:val="center"/>
          </w:tcPr>
          <w:p>
            <w:pPr>
              <w:rPr>
                <w:b/>
                <w:noProof/>
                <w:color w:val="000000" w:themeColor="text1"/>
                <w:sz w:val="20"/>
              </w:rPr>
            </w:pPr>
          </w:p>
        </w:tc>
        <w:tc>
          <w:tcPr>
            <w:tcW w:w="1777" w:type="dxa"/>
            <w:vAlign w:val="center"/>
          </w:tcPr>
          <w:p>
            <w:pPr>
              <w:rPr>
                <w:b/>
                <w:noProof/>
                <w:color w:val="000000" w:themeColor="text1"/>
                <w:sz w:val="20"/>
              </w:rPr>
            </w:pPr>
          </w:p>
        </w:tc>
      </w:tr>
      <w:tr>
        <w:trPr>
          <w:trHeight w:val="319"/>
        </w:trPr>
        <w:tc>
          <w:tcPr>
            <w:tcW w:w="3960" w:type="dxa"/>
            <w:vAlign w:val="center"/>
          </w:tcPr>
          <w:p>
            <w:pPr>
              <w:spacing w:before="60" w:after="60"/>
              <w:rPr>
                <w:noProof/>
                <w:color w:val="000000" w:themeColor="text1"/>
                <w:sz w:val="22"/>
              </w:rPr>
            </w:pPr>
            <w:r>
              <w:rPr>
                <w:noProof/>
                <w:color w:val="000000" w:themeColor="text1"/>
                <w:sz w:val="20"/>
              </w:rPr>
              <w:t>Budgetpostens nummer</w:t>
            </w:r>
          </w:p>
        </w:tc>
        <w:tc>
          <w:tcPr>
            <w:tcW w:w="1440" w:type="dxa"/>
            <w:vAlign w:val="center"/>
          </w:tcPr>
          <w:p>
            <w:pPr>
              <w:spacing w:before="40" w:after="40"/>
              <w:jc w:val="right"/>
              <w:rPr>
                <w:noProof/>
                <w:color w:val="000000" w:themeColor="text1"/>
                <w:sz w:val="18"/>
              </w:rPr>
            </w:pPr>
          </w:p>
        </w:tc>
        <w:tc>
          <w:tcPr>
            <w:tcW w:w="654" w:type="dxa"/>
            <w:gridSpan w:val="2"/>
            <w:vAlign w:val="center"/>
          </w:tcPr>
          <w:p>
            <w:pPr>
              <w:spacing w:before="40" w:after="40"/>
              <w:jc w:val="center"/>
              <w:rPr>
                <w:noProof/>
                <w:color w:val="000000" w:themeColor="text1"/>
                <w:sz w:val="14"/>
              </w:rPr>
            </w:pPr>
            <w:r>
              <w:rPr>
                <w:noProof/>
                <w:color w:val="000000" w:themeColor="text1"/>
                <w:sz w:val="14"/>
              </w:rPr>
              <w:t>3)</w:t>
            </w:r>
          </w:p>
        </w:tc>
        <w:tc>
          <w:tcPr>
            <w:tcW w:w="868" w:type="dxa"/>
            <w:vAlign w:val="center"/>
          </w:tcPr>
          <w:p>
            <w:pPr>
              <w:spacing w:before="40" w:after="40"/>
              <w:jc w:val="right"/>
              <w:rPr>
                <w:b/>
                <w:noProof/>
                <w:color w:val="000000" w:themeColor="text1"/>
                <w:sz w:val="20"/>
              </w:rPr>
            </w:pPr>
          </w:p>
        </w:tc>
        <w:tc>
          <w:tcPr>
            <w:tcW w:w="868" w:type="dxa"/>
            <w:vAlign w:val="center"/>
          </w:tcPr>
          <w:p>
            <w:pPr>
              <w:spacing w:before="40" w:after="40"/>
              <w:jc w:val="right"/>
              <w:rPr>
                <w:b/>
                <w:noProof/>
                <w:color w:val="000000" w:themeColor="text1"/>
                <w:sz w:val="20"/>
              </w:rPr>
            </w:pPr>
          </w:p>
        </w:tc>
        <w:tc>
          <w:tcPr>
            <w:tcW w:w="868" w:type="dxa"/>
            <w:vAlign w:val="center"/>
          </w:tcPr>
          <w:p>
            <w:pPr>
              <w:spacing w:before="40" w:after="40"/>
              <w:jc w:val="right"/>
              <w:rPr>
                <w:b/>
                <w:noProof/>
                <w:color w:val="000000" w:themeColor="text1"/>
                <w:sz w:val="20"/>
              </w:rPr>
            </w:pPr>
          </w:p>
        </w:tc>
        <w:tc>
          <w:tcPr>
            <w:tcW w:w="868" w:type="dxa"/>
            <w:vAlign w:val="center"/>
          </w:tcPr>
          <w:p>
            <w:pPr>
              <w:spacing w:before="40" w:after="40"/>
              <w:jc w:val="right"/>
              <w:rPr>
                <w:b/>
                <w:noProof/>
                <w:color w:val="000000" w:themeColor="text1"/>
                <w:sz w:val="20"/>
              </w:rPr>
            </w:pPr>
          </w:p>
        </w:tc>
        <w:tc>
          <w:tcPr>
            <w:tcW w:w="868" w:type="dxa"/>
            <w:vAlign w:val="center"/>
          </w:tcPr>
          <w:p>
            <w:pPr>
              <w:spacing w:before="40" w:after="40"/>
              <w:jc w:val="right"/>
              <w:rPr>
                <w:b/>
                <w:noProof/>
                <w:color w:val="000000" w:themeColor="text1"/>
                <w:sz w:val="20"/>
              </w:rPr>
            </w:pPr>
          </w:p>
        </w:tc>
        <w:tc>
          <w:tcPr>
            <w:tcW w:w="868" w:type="dxa"/>
            <w:vAlign w:val="center"/>
          </w:tcPr>
          <w:p>
            <w:pPr>
              <w:spacing w:before="40" w:after="40"/>
              <w:jc w:val="right"/>
              <w:rPr>
                <w:b/>
                <w:noProof/>
                <w:color w:val="000000" w:themeColor="text1"/>
                <w:sz w:val="20"/>
              </w:rPr>
            </w:pPr>
          </w:p>
        </w:tc>
        <w:tc>
          <w:tcPr>
            <w:tcW w:w="868" w:type="dxa"/>
            <w:vAlign w:val="center"/>
          </w:tcPr>
          <w:p>
            <w:pPr>
              <w:spacing w:before="40" w:after="40"/>
              <w:jc w:val="right"/>
              <w:rPr>
                <w:b/>
                <w:noProof/>
                <w:color w:val="000000" w:themeColor="text1"/>
                <w:sz w:val="20"/>
              </w:rPr>
            </w:pPr>
          </w:p>
        </w:tc>
        <w:tc>
          <w:tcPr>
            <w:tcW w:w="1777" w:type="dxa"/>
            <w:vAlign w:val="center"/>
          </w:tcPr>
          <w:p>
            <w:pPr>
              <w:spacing w:before="40" w:after="40"/>
              <w:jc w:val="right"/>
              <w:rPr>
                <w:b/>
                <w:noProof/>
                <w:color w:val="000000" w:themeColor="text1"/>
                <w:sz w:val="20"/>
              </w:rPr>
            </w:pPr>
          </w:p>
        </w:tc>
      </w:tr>
      <w:tr>
        <w:tc>
          <w:tcPr>
            <w:tcW w:w="3960" w:type="dxa"/>
            <w:vMerge w:val="restart"/>
            <w:vAlign w:val="center"/>
          </w:tcPr>
          <w:p>
            <w:pPr>
              <w:jc w:val="center"/>
              <w:rPr>
                <w:b/>
                <w:noProof/>
                <w:color w:val="000000" w:themeColor="text1"/>
                <w:sz w:val="22"/>
              </w:rPr>
            </w:pPr>
            <w:r>
              <w:rPr>
                <w:b/>
                <w:noProof/>
                <w:color w:val="000000" w:themeColor="text1"/>
                <w:sz w:val="22"/>
              </w:rPr>
              <w:t>Bevillinger I ALT</w:t>
            </w:r>
            <w:r>
              <w:rPr>
                <w:noProof/>
                <w:color w:val="000000" w:themeColor="text1"/>
                <w:sz w:val="22"/>
              </w:rPr>
              <w:br/>
            </w:r>
            <w:r>
              <w:rPr>
                <w:b/>
                <w:noProof/>
                <w:color w:val="000000" w:themeColor="text1"/>
                <w:sz w:val="22"/>
              </w:rPr>
              <w:t>til DG EAC</w:t>
            </w:r>
            <w:r>
              <w:rPr>
                <w:noProof/>
                <w:color w:val="000000" w:themeColor="text1"/>
                <w:sz w:val="22"/>
              </w:rPr>
              <w:t>*</w:t>
            </w:r>
          </w:p>
        </w:tc>
        <w:tc>
          <w:tcPr>
            <w:tcW w:w="1440" w:type="dxa"/>
            <w:vAlign w:val="center"/>
          </w:tcPr>
          <w:p>
            <w:pPr>
              <w:rPr>
                <w:noProof/>
                <w:color w:val="000000" w:themeColor="text1"/>
                <w:sz w:val="18"/>
              </w:rPr>
            </w:pPr>
            <w:r>
              <w:rPr>
                <w:noProof/>
                <w:color w:val="000000" w:themeColor="text1"/>
                <w:sz w:val="18"/>
              </w:rPr>
              <w:t>Forpligtelser</w:t>
            </w:r>
          </w:p>
        </w:tc>
        <w:tc>
          <w:tcPr>
            <w:tcW w:w="654" w:type="dxa"/>
            <w:gridSpan w:val="2"/>
            <w:vAlign w:val="center"/>
          </w:tcPr>
          <w:p>
            <w:pPr>
              <w:jc w:val="center"/>
              <w:rPr>
                <w:noProof/>
                <w:color w:val="000000" w:themeColor="text1"/>
                <w:sz w:val="14"/>
              </w:rPr>
            </w:pPr>
            <w:r>
              <w:rPr>
                <w:noProof/>
                <w:color w:val="000000" w:themeColor="text1"/>
                <w:sz w:val="14"/>
              </w:rPr>
              <w:t>=1+1a +3</w:t>
            </w: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vAlign w:val="center"/>
          </w:tcPr>
          <w:p>
            <w:pPr>
              <w:spacing w:before="20" w:after="20"/>
              <w:jc w:val="right"/>
              <w:rPr>
                <w:b/>
                <w:noProof/>
                <w:color w:val="000000" w:themeColor="text1"/>
                <w:sz w:val="20"/>
              </w:rPr>
            </w:pPr>
          </w:p>
        </w:tc>
      </w:tr>
      <w:tr>
        <w:tc>
          <w:tcPr>
            <w:tcW w:w="3960" w:type="dxa"/>
            <w:vMerge/>
          </w:tcPr>
          <w:p>
            <w:pPr>
              <w:rPr>
                <w:noProof/>
                <w:color w:val="000000" w:themeColor="text1"/>
                <w:sz w:val="20"/>
              </w:rPr>
            </w:pPr>
          </w:p>
        </w:tc>
        <w:tc>
          <w:tcPr>
            <w:tcW w:w="1440" w:type="dxa"/>
            <w:vAlign w:val="center"/>
          </w:tcPr>
          <w:p>
            <w:pPr>
              <w:rPr>
                <w:noProof/>
                <w:color w:val="000000" w:themeColor="text1"/>
                <w:sz w:val="18"/>
              </w:rPr>
            </w:pPr>
            <w:r>
              <w:rPr>
                <w:noProof/>
                <w:color w:val="000000" w:themeColor="text1"/>
                <w:sz w:val="18"/>
              </w:rPr>
              <w:t>Betalinger</w:t>
            </w:r>
          </w:p>
        </w:tc>
        <w:tc>
          <w:tcPr>
            <w:tcW w:w="654" w:type="dxa"/>
            <w:gridSpan w:val="2"/>
            <w:vAlign w:val="center"/>
          </w:tcPr>
          <w:p>
            <w:pPr>
              <w:jc w:val="center"/>
              <w:rPr>
                <w:noProof/>
                <w:color w:val="000000" w:themeColor="text1"/>
                <w:sz w:val="14"/>
              </w:rPr>
            </w:pPr>
            <w:r>
              <w:rPr>
                <w:noProof/>
                <w:color w:val="000000" w:themeColor="text1"/>
                <w:sz w:val="14"/>
              </w:rPr>
              <w:t>=2+2a</w:t>
            </w:r>
          </w:p>
          <w:p>
            <w:pPr>
              <w:jc w:val="center"/>
              <w:rPr>
                <w:noProof/>
                <w:color w:val="000000" w:themeColor="text1"/>
                <w:sz w:val="14"/>
              </w:rPr>
            </w:pPr>
            <w:r>
              <w:rPr>
                <w:noProof/>
                <w:color w:val="000000" w:themeColor="text1"/>
                <w:sz w:val="14"/>
              </w:rPr>
              <w:t>+3</w:t>
            </w: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vAlign w:val="center"/>
          </w:tcPr>
          <w:p>
            <w:pPr>
              <w:spacing w:before="20" w:after="20"/>
              <w:jc w:val="right"/>
              <w:rPr>
                <w:b/>
                <w:noProof/>
                <w:color w:val="000000" w:themeColor="text1"/>
                <w:sz w:val="20"/>
              </w:rPr>
            </w:pPr>
          </w:p>
        </w:tc>
      </w:tr>
    </w:tbl>
    <w:p>
      <w:pPr>
        <w:rPr>
          <w:noProof/>
          <w:color w:val="000000" w:themeColor="text1"/>
        </w:rPr>
      </w:pPr>
      <w:r>
        <w:rPr>
          <w:noProof/>
          <w:color w:val="000000" w:themeColor="text1"/>
        </w:rPr>
        <w:br/>
      </w:r>
      <w:r>
        <w:rPr>
          <w:noProof/>
          <w:color w:val="000000" w:themeColor="text1"/>
        </w:rPr>
        <w:br/>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868"/>
        <w:gridCol w:w="868"/>
        <w:gridCol w:w="868"/>
        <w:gridCol w:w="868"/>
        <w:gridCol w:w="868"/>
        <w:gridCol w:w="868"/>
        <w:gridCol w:w="868"/>
        <w:gridCol w:w="1777"/>
      </w:tblGrid>
      <w:tr>
        <w:trPr>
          <w:trHeight w:val="277"/>
        </w:trPr>
        <w:tc>
          <w:tcPr>
            <w:tcW w:w="3960" w:type="dxa"/>
            <w:vMerge w:val="restart"/>
            <w:vAlign w:val="center"/>
          </w:tcPr>
          <w:p>
            <w:pPr>
              <w:spacing w:before="20" w:after="20"/>
              <w:rPr>
                <w:noProof/>
                <w:color w:val="000000" w:themeColor="text1"/>
                <w:sz w:val="22"/>
              </w:rPr>
            </w:pPr>
            <w:r>
              <w:rPr>
                <w:noProof/>
              </w:rPr>
              <w:br w:type="page"/>
            </w:r>
            <w:r>
              <w:rPr>
                <w:noProof/>
                <w:color w:val="000000" w:themeColor="text1"/>
                <w:sz w:val="21"/>
              </w:rPr>
              <w:sym w:font="Wingdings" w:char="F09F"/>
            </w:r>
            <w:r>
              <w:rPr>
                <w:noProof/>
                <w:color w:val="000000" w:themeColor="text1"/>
                <w:sz w:val="21"/>
              </w:rPr>
              <w:t xml:space="preserve"> Aktionsbevillinger I ALT </w:t>
            </w:r>
          </w:p>
        </w:tc>
        <w:tc>
          <w:tcPr>
            <w:tcW w:w="1440" w:type="dxa"/>
            <w:vAlign w:val="center"/>
          </w:tcPr>
          <w:p>
            <w:pPr>
              <w:spacing w:beforeLines="20" w:before="48" w:afterLines="20" w:after="48"/>
              <w:rPr>
                <w:noProof/>
                <w:color w:val="000000" w:themeColor="text1"/>
                <w:sz w:val="18"/>
              </w:rPr>
            </w:pPr>
            <w:r>
              <w:rPr>
                <w:noProof/>
                <w:color w:val="000000" w:themeColor="text1"/>
                <w:sz w:val="18"/>
              </w:rPr>
              <w:t>Forpligtelser</w:t>
            </w:r>
          </w:p>
        </w:tc>
        <w:tc>
          <w:tcPr>
            <w:tcW w:w="654" w:type="dxa"/>
            <w:vAlign w:val="center"/>
          </w:tcPr>
          <w:p>
            <w:pPr>
              <w:spacing w:beforeLines="20" w:before="48" w:afterLines="20" w:after="48"/>
              <w:jc w:val="center"/>
              <w:rPr>
                <w:noProof/>
                <w:color w:val="000000" w:themeColor="text1"/>
                <w:sz w:val="14"/>
              </w:rPr>
            </w:pPr>
            <w:r>
              <w:rPr>
                <w:noProof/>
                <w:color w:val="000000" w:themeColor="text1"/>
                <w:sz w:val="14"/>
              </w:rPr>
              <w:t>4)</w:t>
            </w:r>
          </w:p>
        </w:tc>
        <w:tc>
          <w:tcPr>
            <w:tcW w:w="868" w:type="dxa"/>
            <w:vAlign w:val="center"/>
          </w:tcPr>
          <w:p>
            <w:pPr>
              <w:spacing w:before="20" w:after="20"/>
              <w:jc w:val="right"/>
              <w:rPr>
                <w:noProof/>
                <w:color w:val="000000" w:themeColor="text1"/>
                <w:sz w:val="20"/>
              </w:rPr>
            </w:pPr>
            <w:r>
              <w:rPr>
                <w:noProof/>
                <w:color w:val="000000" w:themeColor="text1"/>
                <w:sz w:val="20"/>
              </w:rPr>
              <w:t>1,000</w:t>
            </w:r>
          </w:p>
        </w:tc>
        <w:tc>
          <w:tcPr>
            <w:tcW w:w="868" w:type="dxa"/>
            <w:vAlign w:val="center"/>
          </w:tcPr>
          <w:p>
            <w:pPr>
              <w:spacing w:before="20" w:after="20"/>
              <w:jc w:val="right"/>
              <w:rPr>
                <w:noProof/>
                <w:color w:val="000000" w:themeColor="text1"/>
                <w:sz w:val="20"/>
              </w:rPr>
            </w:pPr>
            <w:r>
              <w:rPr>
                <w:noProof/>
                <w:color w:val="000000" w:themeColor="text1"/>
                <w:sz w:val="20"/>
              </w:rPr>
              <w:t>3,000</w:t>
            </w: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vAlign w:val="center"/>
          </w:tcPr>
          <w:p>
            <w:pPr>
              <w:spacing w:before="20" w:after="20"/>
              <w:jc w:val="right"/>
              <w:rPr>
                <w:b/>
                <w:noProof/>
                <w:color w:val="000000" w:themeColor="text1"/>
                <w:sz w:val="20"/>
              </w:rPr>
            </w:pPr>
            <w:r>
              <w:rPr>
                <w:b/>
                <w:noProof/>
                <w:color w:val="000000" w:themeColor="text1"/>
                <w:sz w:val="20"/>
              </w:rPr>
              <w:t>4,000</w:t>
            </w:r>
          </w:p>
        </w:tc>
      </w:tr>
      <w:tr>
        <w:tc>
          <w:tcPr>
            <w:tcW w:w="3960" w:type="dxa"/>
            <w:vMerge/>
          </w:tcPr>
          <w:p>
            <w:pPr>
              <w:jc w:val="center"/>
              <w:rPr>
                <w:noProof/>
                <w:color w:val="000000" w:themeColor="text1"/>
                <w:sz w:val="20"/>
              </w:rPr>
            </w:pPr>
          </w:p>
        </w:tc>
        <w:tc>
          <w:tcPr>
            <w:tcW w:w="1440" w:type="dxa"/>
            <w:vAlign w:val="center"/>
          </w:tcPr>
          <w:p>
            <w:pPr>
              <w:spacing w:beforeLines="20" w:before="48" w:afterLines="20" w:after="48"/>
              <w:rPr>
                <w:noProof/>
                <w:color w:val="000000" w:themeColor="text1"/>
                <w:sz w:val="18"/>
              </w:rPr>
            </w:pPr>
            <w:r>
              <w:rPr>
                <w:noProof/>
                <w:color w:val="000000" w:themeColor="text1"/>
                <w:sz w:val="18"/>
              </w:rPr>
              <w:t>Betalinger</w:t>
            </w:r>
          </w:p>
        </w:tc>
        <w:tc>
          <w:tcPr>
            <w:tcW w:w="654" w:type="dxa"/>
            <w:vAlign w:val="center"/>
          </w:tcPr>
          <w:p>
            <w:pPr>
              <w:spacing w:beforeLines="20" w:before="48" w:afterLines="20" w:after="48"/>
              <w:jc w:val="center"/>
              <w:rPr>
                <w:noProof/>
                <w:color w:val="000000" w:themeColor="text1"/>
                <w:sz w:val="14"/>
              </w:rPr>
            </w:pPr>
            <w:r>
              <w:rPr>
                <w:noProof/>
                <w:color w:val="000000" w:themeColor="text1"/>
                <w:sz w:val="14"/>
              </w:rPr>
              <w:t>5)</w:t>
            </w:r>
          </w:p>
        </w:tc>
        <w:tc>
          <w:tcPr>
            <w:tcW w:w="868" w:type="dxa"/>
            <w:vAlign w:val="center"/>
          </w:tcPr>
          <w:p>
            <w:pPr>
              <w:spacing w:before="20" w:after="20"/>
              <w:jc w:val="right"/>
              <w:rPr>
                <w:noProof/>
                <w:color w:val="000000" w:themeColor="text1"/>
                <w:sz w:val="20"/>
              </w:rPr>
            </w:pPr>
            <w:r>
              <w:rPr>
                <w:noProof/>
                <w:color w:val="000000" w:themeColor="text1"/>
                <w:sz w:val="20"/>
              </w:rPr>
              <w:t>0,500</w:t>
            </w:r>
          </w:p>
        </w:tc>
        <w:tc>
          <w:tcPr>
            <w:tcW w:w="868" w:type="dxa"/>
            <w:vAlign w:val="center"/>
          </w:tcPr>
          <w:p>
            <w:pPr>
              <w:spacing w:before="20" w:after="20"/>
              <w:jc w:val="right"/>
              <w:rPr>
                <w:noProof/>
                <w:color w:val="000000" w:themeColor="text1"/>
                <w:sz w:val="20"/>
              </w:rPr>
            </w:pPr>
            <w:r>
              <w:rPr>
                <w:noProof/>
                <w:color w:val="000000" w:themeColor="text1"/>
                <w:sz w:val="20"/>
              </w:rPr>
              <w:t>1,900</w:t>
            </w:r>
          </w:p>
        </w:tc>
        <w:tc>
          <w:tcPr>
            <w:tcW w:w="868" w:type="dxa"/>
            <w:vAlign w:val="center"/>
          </w:tcPr>
          <w:p>
            <w:pPr>
              <w:spacing w:before="20" w:after="20"/>
              <w:jc w:val="right"/>
              <w:rPr>
                <w:noProof/>
                <w:color w:val="000000" w:themeColor="text1"/>
                <w:sz w:val="20"/>
              </w:rPr>
            </w:pPr>
            <w:r>
              <w:rPr>
                <w:noProof/>
                <w:color w:val="000000" w:themeColor="text1"/>
                <w:sz w:val="20"/>
              </w:rPr>
              <w:t>1,100</w:t>
            </w:r>
          </w:p>
        </w:tc>
        <w:tc>
          <w:tcPr>
            <w:tcW w:w="868" w:type="dxa"/>
            <w:vAlign w:val="center"/>
          </w:tcPr>
          <w:p>
            <w:pPr>
              <w:spacing w:before="20" w:after="20"/>
              <w:jc w:val="right"/>
              <w:rPr>
                <w:noProof/>
                <w:color w:val="000000" w:themeColor="text1"/>
                <w:sz w:val="20"/>
              </w:rPr>
            </w:pPr>
            <w:r>
              <w:rPr>
                <w:noProof/>
                <w:color w:val="000000" w:themeColor="text1"/>
                <w:sz w:val="20"/>
              </w:rPr>
              <w:t>0,500</w:t>
            </w: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vAlign w:val="center"/>
          </w:tcPr>
          <w:p>
            <w:pPr>
              <w:spacing w:before="20" w:after="20"/>
              <w:jc w:val="right"/>
              <w:rPr>
                <w:b/>
                <w:noProof/>
                <w:color w:val="000000" w:themeColor="text1"/>
                <w:sz w:val="20"/>
              </w:rPr>
            </w:pPr>
            <w:r>
              <w:rPr>
                <w:b/>
                <w:noProof/>
                <w:color w:val="000000" w:themeColor="text1"/>
                <w:sz w:val="20"/>
              </w:rPr>
              <w:t>4,000</w:t>
            </w:r>
          </w:p>
        </w:tc>
      </w:tr>
      <w:tr>
        <w:trPr>
          <w:trHeight w:val="533"/>
        </w:trPr>
        <w:tc>
          <w:tcPr>
            <w:tcW w:w="5400" w:type="dxa"/>
            <w:gridSpan w:val="2"/>
            <w:vAlign w:val="center"/>
          </w:tcPr>
          <w:p>
            <w:pPr>
              <w:spacing w:beforeLines="20" w:before="48" w:afterLines="20" w:after="48"/>
              <w:rPr>
                <w:noProof/>
                <w:color w:val="000000" w:themeColor="text1"/>
                <w:sz w:val="22"/>
              </w:rPr>
            </w:pPr>
            <w:r>
              <w:rPr>
                <w:noProof/>
                <w:color w:val="000000" w:themeColor="text1"/>
                <w:sz w:val="21"/>
              </w:rPr>
              <w:sym w:font="Wingdings" w:char="F09F"/>
            </w:r>
            <w:r>
              <w:rPr>
                <w:noProof/>
                <w:color w:val="000000" w:themeColor="text1"/>
                <w:sz w:val="21"/>
              </w:rPr>
              <w:t>Administrationsbevillinger finansieret over bevillingsrammen for særprogrammer I ALT</w:t>
            </w:r>
          </w:p>
        </w:tc>
        <w:tc>
          <w:tcPr>
            <w:tcW w:w="654" w:type="dxa"/>
            <w:vAlign w:val="center"/>
          </w:tcPr>
          <w:p>
            <w:pPr>
              <w:spacing w:beforeLines="20" w:before="48" w:afterLines="20" w:after="48"/>
              <w:jc w:val="center"/>
              <w:rPr>
                <w:noProof/>
                <w:color w:val="000000" w:themeColor="text1"/>
                <w:sz w:val="14"/>
              </w:rPr>
            </w:pPr>
            <w:r>
              <w:rPr>
                <w:noProof/>
                <w:color w:val="000000" w:themeColor="text1"/>
                <w:sz w:val="14"/>
              </w:rPr>
              <w:t>6)</w:t>
            </w: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vAlign w:val="center"/>
          </w:tcPr>
          <w:p>
            <w:pPr>
              <w:spacing w:before="20" w:after="20"/>
              <w:jc w:val="right"/>
              <w:rPr>
                <w:b/>
                <w:noProof/>
                <w:color w:val="000000" w:themeColor="text1"/>
                <w:sz w:val="20"/>
              </w:rPr>
            </w:pPr>
          </w:p>
        </w:tc>
      </w:tr>
      <w:tr>
        <w:tc>
          <w:tcPr>
            <w:tcW w:w="3960" w:type="dxa"/>
            <w:vMerge w:val="restart"/>
            <w:shd w:val="thinDiagStripe" w:color="C0C0C0" w:fill="auto"/>
            <w:vAlign w:val="center"/>
          </w:tcPr>
          <w:p>
            <w:pPr>
              <w:jc w:val="center"/>
              <w:rPr>
                <w:b/>
                <w:noProof/>
                <w:color w:val="000000" w:themeColor="text1"/>
                <w:sz w:val="22"/>
              </w:rPr>
            </w:pPr>
            <w:r>
              <w:rPr>
                <w:b/>
                <w:noProof/>
                <w:color w:val="000000" w:themeColor="text1"/>
                <w:sz w:val="22"/>
              </w:rPr>
              <w:t xml:space="preserve">Bevillinger I ALT </w:t>
            </w:r>
            <w:r>
              <w:rPr>
                <w:noProof/>
                <w:color w:val="000000" w:themeColor="text1"/>
                <w:sz w:val="22"/>
              </w:rPr>
              <w:br/>
            </w:r>
            <w:r>
              <w:rPr>
                <w:b/>
                <w:noProof/>
                <w:color w:val="000000" w:themeColor="text1"/>
                <w:sz w:val="22"/>
              </w:rPr>
              <w:t>under UDGIFTSOMRÅDE &lt;….&gt;</w:t>
            </w:r>
            <w:r>
              <w:rPr>
                <w:noProof/>
                <w:color w:val="000000" w:themeColor="text1"/>
                <w:sz w:val="22"/>
              </w:rPr>
              <w:br/>
              <w:t>i den flerårige finansielle ramme</w:t>
            </w:r>
          </w:p>
        </w:tc>
        <w:tc>
          <w:tcPr>
            <w:tcW w:w="1440" w:type="dxa"/>
            <w:vAlign w:val="center"/>
          </w:tcPr>
          <w:p>
            <w:pPr>
              <w:rPr>
                <w:noProof/>
                <w:color w:val="000000" w:themeColor="text1"/>
                <w:sz w:val="18"/>
              </w:rPr>
            </w:pPr>
            <w:r>
              <w:rPr>
                <w:noProof/>
                <w:color w:val="000000" w:themeColor="text1"/>
                <w:sz w:val="18"/>
              </w:rPr>
              <w:t>Forpligtelser</w:t>
            </w:r>
          </w:p>
        </w:tc>
        <w:tc>
          <w:tcPr>
            <w:tcW w:w="654" w:type="dxa"/>
            <w:vAlign w:val="center"/>
          </w:tcPr>
          <w:p>
            <w:pPr>
              <w:jc w:val="center"/>
              <w:rPr>
                <w:noProof/>
                <w:color w:val="000000" w:themeColor="text1"/>
                <w:sz w:val="14"/>
              </w:rPr>
            </w:pPr>
            <w:r>
              <w:rPr>
                <w:noProof/>
                <w:color w:val="000000" w:themeColor="text1"/>
                <w:sz w:val="14"/>
              </w:rPr>
              <w:t>=4+ 6</w:t>
            </w: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vAlign w:val="center"/>
          </w:tcPr>
          <w:p>
            <w:pPr>
              <w:spacing w:before="20" w:after="20"/>
              <w:jc w:val="right"/>
              <w:rPr>
                <w:b/>
                <w:noProof/>
                <w:color w:val="000000" w:themeColor="text1"/>
                <w:sz w:val="20"/>
              </w:rPr>
            </w:pPr>
          </w:p>
        </w:tc>
      </w:tr>
      <w:tr>
        <w:tc>
          <w:tcPr>
            <w:tcW w:w="3960" w:type="dxa"/>
            <w:vMerge/>
            <w:shd w:val="thinDiagStripe" w:color="C0C0C0" w:fill="auto"/>
          </w:tcPr>
          <w:p>
            <w:pPr>
              <w:rPr>
                <w:noProof/>
                <w:color w:val="000000" w:themeColor="text1"/>
                <w:sz w:val="20"/>
              </w:rPr>
            </w:pPr>
          </w:p>
        </w:tc>
        <w:tc>
          <w:tcPr>
            <w:tcW w:w="1440" w:type="dxa"/>
            <w:vAlign w:val="center"/>
          </w:tcPr>
          <w:p>
            <w:pPr>
              <w:rPr>
                <w:noProof/>
                <w:color w:val="000000" w:themeColor="text1"/>
                <w:sz w:val="18"/>
              </w:rPr>
            </w:pPr>
            <w:r>
              <w:rPr>
                <w:noProof/>
                <w:color w:val="000000" w:themeColor="text1"/>
                <w:sz w:val="18"/>
              </w:rPr>
              <w:t>Betalinger</w:t>
            </w:r>
          </w:p>
        </w:tc>
        <w:tc>
          <w:tcPr>
            <w:tcW w:w="654" w:type="dxa"/>
            <w:vAlign w:val="center"/>
          </w:tcPr>
          <w:p>
            <w:pPr>
              <w:jc w:val="center"/>
              <w:rPr>
                <w:noProof/>
                <w:color w:val="000000" w:themeColor="text1"/>
                <w:sz w:val="14"/>
              </w:rPr>
            </w:pPr>
            <w:r>
              <w:rPr>
                <w:noProof/>
                <w:color w:val="000000" w:themeColor="text1"/>
                <w:sz w:val="14"/>
              </w:rPr>
              <w:t>=5+ 6</w:t>
            </w: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vAlign w:val="center"/>
          </w:tcPr>
          <w:p>
            <w:pPr>
              <w:spacing w:before="20" w:after="20"/>
              <w:jc w:val="right"/>
              <w:rPr>
                <w:b/>
                <w:noProof/>
                <w:color w:val="000000" w:themeColor="text1"/>
                <w:sz w:val="20"/>
              </w:rPr>
            </w:pPr>
          </w:p>
        </w:tc>
      </w:tr>
    </w:tbl>
    <w:p>
      <w:pPr>
        <w:spacing w:after="40"/>
        <w:rPr>
          <w:b/>
          <w:noProof/>
          <w:color w:val="000000" w:themeColor="text1"/>
          <w:sz w:val="22"/>
          <w:u w:val="single"/>
        </w:rPr>
      </w:pPr>
      <w:r>
        <w:rPr>
          <w:b/>
          <w:noProof/>
          <w:color w:val="000000" w:themeColor="text1"/>
          <w:sz w:val="22"/>
          <w:u w:val="single"/>
        </w:rPr>
        <w:t>Hvis flere udgiftsområder påvirkes af forslaget/initiativet:</w:t>
      </w:r>
    </w:p>
    <w:tbl>
      <w:tblPr>
        <w:tblW w:w="0" w:type="auto"/>
        <w:tblInd w:w="-252" w:type="dxa"/>
        <w:tblBorders>
          <w:top w:val="single" w:sz="4" w:space="0" w:color="FF0000"/>
          <w:left w:val="single" w:sz="4" w:space="0" w:color="FF0000"/>
          <w:bottom w:val="single" w:sz="4" w:space="0" w:color="FF0000"/>
          <w:right w:val="single" w:sz="4" w:space="0" w:color="FF0000"/>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868"/>
        <w:gridCol w:w="868"/>
        <w:gridCol w:w="868"/>
        <w:gridCol w:w="868"/>
        <w:gridCol w:w="868"/>
        <w:gridCol w:w="868"/>
        <w:gridCol w:w="868"/>
        <w:gridCol w:w="1777"/>
      </w:tblGrid>
      <w:tr>
        <w:trPr>
          <w:trHeight w:val="277"/>
        </w:trPr>
        <w:tc>
          <w:tcPr>
            <w:tcW w:w="3960" w:type="dxa"/>
            <w:vMerge w:val="restart"/>
            <w:tcBorders>
              <w:top w:val="single" w:sz="4" w:space="0" w:color="FF0000"/>
              <w:left w:val="single" w:sz="4" w:space="0" w:color="auto"/>
              <w:bottom w:val="single" w:sz="4" w:space="0" w:color="FF0000"/>
            </w:tcBorders>
            <w:vAlign w:val="center"/>
          </w:tcPr>
          <w:p>
            <w:pPr>
              <w:spacing w:before="20" w:after="20"/>
              <w:rPr>
                <w:noProof/>
                <w:color w:val="000000" w:themeColor="text1"/>
                <w:sz w:val="22"/>
              </w:rPr>
            </w:pPr>
            <w:r>
              <w:rPr>
                <w:noProof/>
                <w:color w:val="000000" w:themeColor="text1"/>
                <w:sz w:val="21"/>
              </w:rPr>
              <w:sym w:font="Wingdings" w:char="F09F"/>
            </w:r>
            <w:r>
              <w:rPr>
                <w:noProof/>
                <w:color w:val="000000" w:themeColor="text1"/>
                <w:sz w:val="21"/>
              </w:rPr>
              <w:t xml:space="preserve"> Aktionsbevillinger I ALT </w:t>
            </w:r>
          </w:p>
        </w:tc>
        <w:tc>
          <w:tcPr>
            <w:tcW w:w="1440" w:type="dxa"/>
            <w:tcBorders>
              <w:top w:val="single" w:sz="4" w:space="0" w:color="FF0000"/>
            </w:tcBorders>
            <w:vAlign w:val="center"/>
          </w:tcPr>
          <w:p>
            <w:pPr>
              <w:spacing w:beforeLines="20" w:before="48" w:afterLines="20" w:after="48"/>
              <w:rPr>
                <w:noProof/>
                <w:color w:val="000000" w:themeColor="text1"/>
                <w:sz w:val="18"/>
              </w:rPr>
            </w:pPr>
            <w:r>
              <w:rPr>
                <w:noProof/>
                <w:color w:val="000000" w:themeColor="text1"/>
                <w:sz w:val="18"/>
              </w:rPr>
              <w:t>Forpligtelser</w:t>
            </w:r>
          </w:p>
        </w:tc>
        <w:tc>
          <w:tcPr>
            <w:tcW w:w="654" w:type="dxa"/>
            <w:tcBorders>
              <w:top w:val="single" w:sz="4" w:space="0" w:color="FF0000"/>
            </w:tcBorders>
            <w:vAlign w:val="center"/>
          </w:tcPr>
          <w:p>
            <w:pPr>
              <w:spacing w:beforeLines="20" w:before="48" w:afterLines="20" w:after="48"/>
              <w:jc w:val="center"/>
              <w:rPr>
                <w:noProof/>
                <w:color w:val="000000" w:themeColor="text1"/>
                <w:sz w:val="14"/>
              </w:rPr>
            </w:pPr>
            <w:r>
              <w:rPr>
                <w:noProof/>
                <w:color w:val="000000" w:themeColor="text1"/>
                <w:sz w:val="14"/>
              </w:rPr>
              <w:t>4)</w:t>
            </w:r>
          </w:p>
        </w:tc>
        <w:tc>
          <w:tcPr>
            <w:tcW w:w="868" w:type="dxa"/>
            <w:tcBorders>
              <w:top w:val="single" w:sz="4" w:space="0" w:color="FF0000"/>
            </w:tcBorders>
            <w:vAlign w:val="center"/>
          </w:tcPr>
          <w:p>
            <w:pPr>
              <w:spacing w:before="20" w:after="20"/>
              <w:jc w:val="right"/>
              <w:rPr>
                <w:noProof/>
                <w:color w:val="000000" w:themeColor="text1"/>
                <w:sz w:val="20"/>
              </w:rPr>
            </w:pPr>
          </w:p>
        </w:tc>
        <w:tc>
          <w:tcPr>
            <w:tcW w:w="868" w:type="dxa"/>
            <w:tcBorders>
              <w:top w:val="single" w:sz="4" w:space="0" w:color="FF0000"/>
            </w:tcBorders>
            <w:vAlign w:val="center"/>
          </w:tcPr>
          <w:p>
            <w:pPr>
              <w:spacing w:before="20" w:after="20"/>
              <w:jc w:val="right"/>
              <w:rPr>
                <w:noProof/>
                <w:color w:val="000000" w:themeColor="text1"/>
                <w:sz w:val="20"/>
              </w:rPr>
            </w:pPr>
          </w:p>
        </w:tc>
        <w:tc>
          <w:tcPr>
            <w:tcW w:w="868" w:type="dxa"/>
            <w:tcBorders>
              <w:top w:val="single" w:sz="4" w:space="0" w:color="FF0000"/>
            </w:tcBorders>
            <w:vAlign w:val="center"/>
          </w:tcPr>
          <w:p>
            <w:pPr>
              <w:spacing w:before="20" w:after="20"/>
              <w:jc w:val="right"/>
              <w:rPr>
                <w:noProof/>
                <w:color w:val="000000" w:themeColor="text1"/>
                <w:sz w:val="20"/>
              </w:rPr>
            </w:pPr>
          </w:p>
        </w:tc>
        <w:tc>
          <w:tcPr>
            <w:tcW w:w="868" w:type="dxa"/>
            <w:tcBorders>
              <w:top w:val="single" w:sz="4" w:space="0" w:color="FF0000"/>
            </w:tcBorders>
            <w:vAlign w:val="center"/>
          </w:tcPr>
          <w:p>
            <w:pPr>
              <w:spacing w:before="20" w:after="20"/>
              <w:jc w:val="right"/>
              <w:rPr>
                <w:noProof/>
                <w:color w:val="000000" w:themeColor="text1"/>
                <w:sz w:val="20"/>
              </w:rPr>
            </w:pPr>
          </w:p>
        </w:tc>
        <w:tc>
          <w:tcPr>
            <w:tcW w:w="868" w:type="dxa"/>
            <w:tcBorders>
              <w:top w:val="single" w:sz="4" w:space="0" w:color="FF0000"/>
            </w:tcBorders>
            <w:vAlign w:val="center"/>
          </w:tcPr>
          <w:p>
            <w:pPr>
              <w:spacing w:before="20" w:after="20"/>
              <w:jc w:val="right"/>
              <w:rPr>
                <w:noProof/>
                <w:color w:val="000000" w:themeColor="text1"/>
                <w:sz w:val="20"/>
              </w:rPr>
            </w:pPr>
          </w:p>
        </w:tc>
        <w:tc>
          <w:tcPr>
            <w:tcW w:w="868" w:type="dxa"/>
            <w:tcBorders>
              <w:top w:val="single" w:sz="4" w:space="0" w:color="FF0000"/>
            </w:tcBorders>
            <w:vAlign w:val="center"/>
          </w:tcPr>
          <w:p>
            <w:pPr>
              <w:spacing w:before="20" w:after="20"/>
              <w:jc w:val="right"/>
              <w:rPr>
                <w:noProof/>
                <w:color w:val="000000" w:themeColor="text1"/>
                <w:sz w:val="20"/>
              </w:rPr>
            </w:pPr>
          </w:p>
        </w:tc>
        <w:tc>
          <w:tcPr>
            <w:tcW w:w="868" w:type="dxa"/>
            <w:tcBorders>
              <w:top w:val="single" w:sz="4" w:space="0" w:color="FF0000"/>
            </w:tcBorders>
            <w:vAlign w:val="center"/>
          </w:tcPr>
          <w:p>
            <w:pPr>
              <w:spacing w:before="20" w:after="20"/>
              <w:jc w:val="right"/>
              <w:rPr>
                <w:b/>
                <w:noProof/>
                <w:color w:val="000000" w:themeColor="text1"/>
                <w:sz w:val="20"/>
              </w:rPr>
            </w:pPr>
          </w:p>
        </w:tc>
        <w:tc>
          <w:tcPr>
            <w:tcW w:w="1777" w:type="dxa"/>
            <w:tcBorders>
              <w:top w:val="single" w:sz="4" w:space="0" w:color="FF0000"/>
              <w:right w:val="single" w:sz="4" w:space="0" w:color="auto"/>
            </w:tcBorders>
            <w:vAlign w:val="center"/>
          </w:tcPr>
          <w:p>
            <w:pPr>
              <w:spacing w:before="20" w:after="20"/>
              <w:jc w:val="right"/>
              <w:rPr>
                <w:b/>
                <w:noProof/>
                <w:color w:val="000000" w:themeColor="text1"/>
                <w:sz w:val="20"/>
              </w:rPr>
            </w:pPr>
          </w:p>
        </w:tc>
      </w:tr>
      <w:tr>
        <w:tc>
          <w:tcPr>
            <w:tcW w:w="3960" w:type="dxa"/>
            <w:vMerge/>
            <w:tcBorders>
              <w:top w:val="single" w:sz="4" w:space="0" w:color="FF0000"/>
              <w:left w:val="single" w:sz="4" w:space="0" w:color="auto"/>
              <w:bottom w:val="single" w:sz="4" w:space="0" w:color="FF0000"/>
            </w:tcBorders>
          </w:tcPr>
          <w:p>
            <w:pPr>
              <w:jc w:val="center"/>
              <w:rPr>
                <w:noProof/>
                <w:color w:val="000000" w:themeColor="text1"/>
                <w:sz w:val="20"/>
              </w:rPr>
            </w:pPr>
          </w:p>
        </w:tc>
        <w:tc>
          <w:tcPr>
            <w:tcW w:w="1440" w:type="dxa"/>
            <w:vAlign w:val="center"/>
          </w:tcPr>
          <w:p>
            <w:pPr>
              <w:spacing w:beforeLines="20" w:before="48" w:afterLines="20" w:after="48"/>
              <w:rPr>
                <w:noProof/>
                <w:color w:val="000000" w:themeColor="text1"/>
                <w:sz w:val="18"/>
              </w:rPr>
            </w:pPr>
            <w:r>
              <w:rPr>
                <w:noProof/>
                <w:color w:val="000000" w:themeColor="text1"/>
                <w:sz w:val="18"/>
              </w:rPr>
              <w:t>Betalinger</w:t>
            </w:r>
          </w:p>
        </w:tc>
        <w:tc>
          <w:tcPr>
            <w:tcW w:w="654" w:type="dxa"/>
            <w:vAlign w:val="center"/>
          </w:tcPr>
          <w:p>
            <w:pPr>
              <w:spacing w:beforeLines="20" w:before="48" w:afterLines="20" w:after="48"/>
              <w:jc w:val="center"/>
              <w:rPr>
                <w:noProof/>
                <w:color w:val="000000" w:themeColor="text1"/>
                <w:sz w:val="14"/>
              </w:rPr>
            </w:pPr>
            <w:r>
              <w:rPr>
                <w:noProof/>
                <w:color w:val="000000" w:themeColor="text1"/>
                <w:sz w:val="14"/>
              </w:rPr>
              <w:t>5)</w:t>
            </w: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tcBorders>
              <w:right w:val="single" w:sz="4" w:space="0" w:color="auto"/>
            </w:tcBorders>
            <w:vAlign w:val="center"/>
          </w:tcPr>
          <w:p>
            <w:pPr>
              <w:spacing w:before="20" w:after="20"/>
              <w:jc w:val="right"/>
              <w:rPr>
                <w:b/>
                <w:noProof/>
                <w:color w:val="000000" w:themeColor="text1"/>
                <w:sz w:val="20"/>
              </w:rPr>
            </w:pPr>
          </w:p>
        </w:tc>
      </w:tr>
      <w:tr>
        <w:tblPrEx>
          <w:tblBorders>
            <w:top w:val="single" w:sz="4" w:space="0" w:color="auto"/>
            <w:left w:val="single" w:sz="4" w:space="0" w:color="auto"/>
            <w:bottom w:val="single" w:sz="4" w:space="0" w:color="auto"/>
            <w:right w:val="single" w:sz="4" w:space="0" w:color="auto"/>
          </w:tblBorders>
        </w:tblPrEx>
        <w:trPr>
          <w:trHeight w:val="533"/>
        </w:trPr>
        <w:tc>
          <w:tcPr>
            <w:tcW w:w="5400" w:type="dxa"/>
            <w:gridSpan w:val="2"/>
            <w:vAlign w:val="center"/>
          </w:tcPr>
          <w:p>
            <w:pPr>
              <w:spacing w:beforeLines="20" w:before="48" w:afterLines="20" w:after="48"/>
              <w:rPr>
                <w:noProof/>
                <w:color w:val="000000" w:themeColor="text1"/>
                <w:sz w:val="22"/>
              </w:rPr>
            </w:pPr>
            <w:r>
              <w:rPr>
                <w:noProof/>
                <w:color w:val="000000" w:themeColor="text1"/>
                <w:sz w:val="21"/>
              </w:rPr>
              <w:sym w:font="Wingdings" w:char="F09F"/>
            </w:r>
            <w:r>
              <w:rPr>
                <w:noProof/>
                <w:color w:val="000000" w:themeColor="text1"/>
                <w:sz w:val="21"/>
              </w:rPr>
              <w:t>Administrationsbevillinger finansieret over bevillingsrammen for særprogrammer I ALT</w:t>
            </w:r>
          </w:p>
        </w:tc>
        <w:tc>
          <w:tcPr>
            <w:tcW w:w="654" w:type="dxa"/>
            <w:vAlign w:val="center"/>
          </w:tcPr>
          <w:p>
            <w:pPr>
              <w:spacing w:beforeLines="20" w:before="48" w:afterLines="20" w:after="48"/>
              <w:jc w:val="center"/>
              <w:rPr>
                <w:noProof/>
                <w:color w:val="000000" w:themeColor="text1"/>
                <w:sz w:val="14"/>
              </w:rPr>
            </w:pPr>
            <w:r>
              <w:rPr>
                <w:noProof/>
                <w:color w:val="000000" w:themeColor="text1"/>
                <w:sz w:val="14"/>
              </w:rPr>
              <w:t>6)</w:t>
            </w: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vAlign w:val="center"/>
          </w:tcPr>
          <w:p>
            <w:pPr>
              <w:spacing w:before="20" w:after="20"/>
              <w:jc w:val="right"/>
              <w:rPr>
                <w:b/>
                <w:noProof/>
                <w:color w:val="000000" w:themeColor="text1"/>
                <w:sz w:val="20"/>
              </w:rPr>
            </w:pPr>
          </w:p>
        </w:tc>
      </w:tr>
      <w:tr>
        <w:tc>
          <w:tcPr>
            <w:tcW w:w="3960" w:type="dxa"/>
            <w:vMerge w:val="restart"/>
            <w:tcBorders>
              <w:top w:val="single" w:sz="4" w:space="0" w:color="FF0000"/>
              <w:left w:val="single" w:sz="4" w:space="0" w:color="auto"/>
              <w:bottom w:val="single" w:sz="4" w:space="0" w:color="FF0000"/>
            </w:tcBorders>
            <w:shd w:val="thinDiagStripe" w:color="C0C0C0" w:fill="auto"/>
            <w:vAlign w:val="center"/>
          </w:tcPr>
          <w:p>
            <w:pPr>
              <w:jc w:val="center"/>
              <w:rPr>
                <w:b/>
                <w:noProof/>
                <w:color w:val="000000" w:themeColor="text1"/>
                <w:sz w:val="22"/>
              </w:rPr>
            </w:pPr>
            <w:r>
              <w:rPr>
                <w:b/>
                <w:noProof/>
                <w:color w:val="000000" w:themeColor="text1"/>
                <w:sz w:val="22"/>
              </w:rPr>
              <w:t xml:space="preserve">Bevillinger I ALT </w:t>
            </w:r>
            <w:r>
              <w:rPr>
                <w:noProof/>
                <w:color w:val="000000" w:themeColor="text1"/>
                <w:sz w:val="22"/>
              </w:rPr>
              <w:br/>
            </w:r>
            <w:r>
              <w:rPr>
                <w:b/>
                <w:noProof/>
                <w:color w:val="000000" w:themeColor="text1"/>
                <w:sz w:val="22"/>
              </w:rPr>
              <w:t>under UDGIFTSOMRÅDE 1-4</w:t>
            </w:r>
            <w:r>
              <w:rPr>
                <w:noProof/>
                <w:color w:val="000000" w:themeColor="text1"/>
                <w:sz w:val="22"/>
              </w:rPr>
              <w:br/>
              <w:t>i den flerårige finansielle ramme</w:t>
            </w:r>
            <w:r>
              <w:rPr>
                <w:noProof/>
                <w:color w:val="000000" w:themeColor="text1"/>
                <w:sz w:val="22"/>
              </w:rPr>
              <w:br/>
            </w:r>
            <w:r>
              <w:rPr>
                <w:noProof/>
                <w:color w:val="000000" w:themeColor="text1"/>
                <w:sz w:val="20"/>
              </w:rPr>
              <w:t>(referencebeløb)</w:t>
            </w:r>
          </w:p>
        </w:tc>
        <w:tc>
          <w:tcPr>
            <w:tcW w:w="1440" w:type="dxa"/>
            <w:vAlign w:val="center"/>
          </w:tcPr>
          <w:p>
            <w:pPr>
              <w:rPr>
                <w:noProof/>
                <w:color w:val="000000" w:themeColor="text1"/>
                <w:sz w:val="18"/>
              </w:rPr>
            </w:pPr>
            <w:r>
              <w:rPr>
                <w:noProof/>
                <w:color w:val="000000" w:themeColor="text1"/>
                <w:sz w:val="18"/>
              </w:rPr>
              <w:t>Forpligtelser</w:t>
            </w:r>
          </w:p>
        </w:tc>
        <w:tc>
          <w:tcPr>
            <w:tcW w:w="654" w:type="dxa"/>
            <w:vAlign w:val="center"/>
          </w:tcPr>
          <w:p>
            <w:pPr>
              <w:jc w:val="center"/>
              <w:rPr>
                <w:noProof/>
                <w:color w:val="000000" w:themeColor="text1"/>
                <w:sz w:val="14"/>
              </w:rPr>
            </w:pPr>
            <w:r>
              <w:rPr>
                <w:noProof/>
                <w:color w:val="000000" w:themeColor="text1"/>
                <w:sz w:val="14"/>
              </w:rPr>
              <w:t>=4+ 6</w:t>
            </w:r>
          </w:p>
        </w:tc>
        <w:tc>
          <w:tcPr>
            <w:tcW w:w="868" w:type="dxa"/>
            <w:vAlign w:val="center"/>
          </w:tcPr>
          <w:p>
            <w:pPr>
              <w:spacing w:before="20" w:after="20"/>
              <w:jc w:val="right"/>
              <w:rPr>
                <w:noProof/>
                <w:color w:val="000000" w:themeColor="text1"/>
                <w:sz w:val="20"/>
              </w:rPr>
            </w:pPr>
            <w:r>
              <w:rPr>
                <w:noProof/>
                <w:color w:val="000000" w:themeColor="text1"/>
                <w:sz w:val="20"/>
              </w:rPr>
              <w:t>1,000</w:t>
            </w:r>
          </w:p>
        </w:tc>
        <w:tc>
          <w:tcPr>
            <w:tcW w:w="868" w:type="dxa"/>
            <w:vAlign w:val="center"/>
          </w:tcPr>
          <w:p>
            <w:pPr>
              <w:spacing w:before="20" w:after="20"/>
              <w:jc w:val="right"/>
              <w:rPr>
                <w:noProof/>
                <w:color w:val="000000" w:themeColor="text1"/>
                <w:sz w:val="20"/>
              </w:rPr>
            </w:pPr>
            <w:r>
              <w:rPr>
                <w:noProof/>
                <w:color w:val="000000" w:themeColor="text1"/>
                <w:sz w:val="20"/>
              </w:rPr>
              <w:t>3,000</w:t>
            </w: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tcBorders>
              <w:right w:val="single" w:sz="4" w:space="0" w:color="auto"/>
            </w:tcBorders>
            <w:vAlign w:val="center"/>
          </w:tcPr>
          <w:p>
            <w:pPr>
              <w:spacing w:before="20" w:after="20"/>
              <w:jc w:val="right"/>
              <w:rPr>
                <w:b/>
                <w:noProof/>
                <w:color w:val="000000" w:themeColor="text1"/>
                <w:sz w:val="20"/>
              </w:rPr>
            </w:pPr>
            <w:r>
              <w:rPr>
                <w:b/>
                <w:noProof/>
                <w:color w:val="000000" w:themeColor="text1"/>
                <w:sz w:val="20"/>
              </w:rPr>
              <w:t>4,000</w:t>
            </w:r>
          </w:p>
        </w:tc>
      </w:tr>
      <w:tr>
        <w:tc>
          <w:tcPr>
            <w:tcW w:w="3960" w:type="dxa"/>
            <w:vMerge/>
            <w:tcBorders>
              <w:top w:val="single" w:sz="4" w:space="0" w:color="FF0000"/>
              <w:left w:val="single" w:sz="4" w:space="0" w:color="auto"/>
              <w:bottom w:val="single" w:sz="4" w:space="0" w:color="FF0000"/>
            </w:tcBorders>
            <w:shd w:val="thinDiagStripe" w:color="C0C0C0" w:fill="auto"/>
          </w:tcPr>
          <w:p>
            <w:pPr>
              <w:rPr>
                <w:noProof/>
                <w:color w:val="000000" w:themeColor="text1"/>
                <w:sz w:val="20"/>
              </w:rPr>
            </w:pPr>
          </w:p>
        </w:tc>
        <w:tc>
          <w:tcPr>
            <w:tcW w:w="1440" w:type="dxa"/>
            <w:tcBorders>
              <w:bottom w:val="single" w:sz="4" w:space="0" w:color="FF0000"/>
            </w:tcBorders>
            <w:vAlign w:val="center"/>
          </w:tcPr>
          <w:p>
            <w:pPr>
              <w:rPr>
                <w:noProof/>
                <w:color w:val="000000" w:themeColor="text1"/>
                <w:sz w:val="18"/>
              </w:rPr>
            </w:pPr>
            <w:r>
              <w:rPr>
                <w:noProof/>
                <w:color w:val="000000" w:themeColor="text1"/>
                <w:sz w:val="18"/>
              </w:rPr>
              <w:t>Betalinger</w:t>
            </w:r>
          </w:p>
        </w:tc>
        <w:tc>
          <w:tcPr>
            <w:tcW w:w="654" w:type="dxa"/>
            <w:tcBorders>
              <w:bottom w:val="single" w:sz="4" w:space="0" w:color="FF0000"/>
            </w:tcBorders>
            <w:vAlign w:val="center"/>
          </w:tcPr>
          <w:p>
            <w:pPr>
              <w:jc w:val="center"/>
              <w:rPr>
                <w:noProof/>
                <w:color w:val="000000" w:themeColor="text1"/>
                <w:sz w:val="14"/>
              </w:rPr>
            </w:pPr>
            <w:r>
              <w:rPr>
                <w:noProof/>
                <w:color w:val="000000" w:themeColor="text1"/>
                <w:sz w:val="14"/>
              </w:rPr>
              <w:t>=5+ 6</w:t>
            </w:r>
          </w:p>
        </w:tc>
        <w:tc>
          <w:tcPr>
            <w:tcW w:w="868" w:type="dxa"/>
            <w:tcBorders>
              <w:bottom w:val="single" w:sz="4" w:space="0" w:color="FF0000"/>
            </w:tcBorders>
            <w:vAlign w:val="center"/>
          </w:tcPr>
          <w:p>
            <w:pPr>
              <w:spacing w:before="20" w:after="20"/>
              <w:jc w:val="right"/>
              <w:rPr>
                <w:noProof/>
                <w:color w:val="000000" w:themeColor="text1"/>
                <w:sz w:val="20"/>
              </w:rPr>
            </w:pPr>
            <w:r>
              <w:rPr>
                <w:noProof/>
                <w:color w:val="000000" w:themeColor="text1"/>
                <w:sz w:val="20"/>
              </w:rPr>
              <w:t>0,500</w:t>
            </w:r>
          </w:p>
        </w:tc>
        <w:tc>
          <w:tcPr>
            <w:tcW w:w="868" w:type="dxa"/>
            <w:tcBorders>
              <w:bottom w:val="single" w:sz="4" w:space="0" w:color="FF0000"/>
            </w:tcBorders>
            <w:vAlign w:val="center"/>
          </w:tcPr>
          <w:p>
            <w:pPr>
              <w:spacing w:before="20" w:after="20"/>
              <w:jc w:val="right"/>
              <w:rPr>
                <w:noProof/>
                <w:color w:val="000000" w:themeColor="text1"/>
                <w:sz w:val="20"/>
              </w:rPr>
            </w:pPr>
            <w:r>
              <w:rPr>
                <w:noProof/>
                <w:color w:val="000000" w:themeColor="text1"/>
                <w:sz w:val="20"/>
              </w:rPr>
              <w:t>1,900</w:t>
            </w:r>
          </w:p>
        </w:tc>
        <w:tc>
          <w:tcPr>
            <w:tcW w:w="868" w:type="dxa"/>
            <w:tcBorders>
              <w:bottom w:val="single" w:sz="4" w:space="0" w:color="FF0000"/>
            </w:tcBorders>
            <w:vAlign w:val="center"/>
          </w:tcPr>
          <w:p>
            <w:pPr>
              <w:spacing w:before="20" w:after="20"/>
              <w:jc w:val="right"/>
              <w:rPr>
                <w:noProof/>
                <w:color w:val="000000" w:themeColor="text1"/>
                <w:sz w:val="20"/>
              </w:rPr>
            </w:pPr>
            <w:r>
              <w:rPr>
                <w:noProof/>
                <w:color w:val="000000" w:themeColor="text1"/>
                <w:sz w:val="20"/>
              </w:rPr>
              <w:t>1,100</w:t>
            </w:r>
          </w:p>
        </w:tc>
        <w:tc>
          <w:tcPr>
            <w:tcW w:w="868" w:type="dxa"/>
            <w:tcBorders>
              <w:bottom w:val="single" w:sz="4" w:space="0" w:color="FF0000"/>
            </w:tcBorders>
            <w:vAlign w:val="center"/>
          </w:tcPr>
          <w:p>
            <w:pPr>
              <w:spacing w:before="20" w:after="20"/>
              <w:jc w:val="right"/>
              <w:rPr>
                <w:noProof/>
                <w:color w:val="000000" w:themeColor="text1"/>
                <w:sz w:val="20"/>
              </w:rPr>
            </w:pPr>
            <w:r>
              <w:rPr>
                <w:noProof/>
                <w:color w:val="000000" w:themeColor="text1"/>
                <w:sz w:val="20"/>
              </w:rPr>
              <w:t>0,500</w:t>
            </w:r>
          </w:p>
        </w:tc>
        <w:tc>
          <w:tcPr>
            <w:tcW w:w="868" w:type="dxa"/>
            <w:tcBorders>
              <w:bottom w:val="single" w:sz="4" w:space="0" w:color="FF0000"/>
            </w:tcBorders>
            <w:vAlign w:val="center"/>
          </w:tcPr>
          <w:p>
            <w:pPr>
              <w:spacing w:before="20" w:after="20"/>
              <w:jc w:val="right"/>
              <w:rPr>
                <w:noProof/>
                <w:color w:val="000000" w:themeColor="text1"/>
                <w:sz w:val="20"/>
              </w:rPr>
            </w:pPr>
          </w:p>
        </w:tc>
        <w:tc>
          <w:tcPr>
            <w:tcW w:w="868" w:type="dxa"/>
            <w:tcBorders>
              <w:bottom w:val="single" w:sz="4" w:space="0" w:color="FF0000"/>
            </w:tcBorders>
            <w:vAlign w:val="center"/>
          </w:tcPr>
          <w:p>
            <w:pPr>
              <w:spacing w:before="20" w:after="20"/>
              <w:jc w:val="right"/>
              <w:rPr>
                <w:noProof/>
                <w:color w:val="000000" w:themeColor="text1"/>
                <w:sz w:val="20"/>
              </w:rPr>
            </w:pPr>
          </w:p>
        </w:tc>
        <w:tc>
          <w:tcPr>
            <w:tcW w:w="868" w:type="dxa"/>
            <w:tcBorders>
              <w:bottom w:val="single" w:sz="4" w:space="0" w:color="FF0000"/>
            </w:tcBorders>
            <w:vAlign w:val="center"/>
          </w:tcPr>
          <w:p>
            <w:pPr>
              <w:spacing w:before="20" w:after="20"/>
              <w:jc w:val="right"/>
              <w:rPr>
                <w:b/>
                <w:noProof/>
                <w:color w:val="000000" w:themeColor="text1"/>
                <w:sz w:val="20"/>
              </w:rPr>
            </w:pPr>
          </w:p>
        </w:tc>
        <w:tc>
          <w:tcPr>
            <w:tcW w:w="1777" w:type="dxa"/>
            <w:tcBorders>
              <w:bottom w:val="single" w:sz="4" w:space="0" w:color="FF0000"/>
              <w:right w:val="single" w:sz="4" w:space="0" w:color="auto"/>
            </w:tcBorders>
            <w:vAlign w:val="center"/>
          </w:tcPr>
          <w:p>
            <w:pPr>
              <w:spacing w:before="20" w:after="20"/>
              <w:jc w:val="right"/>
              <w:rPr>
                <w:b/>
                <w:noProof/>
                <w:color w:val="000000" w:themeColor="text1"/>
                <w:sz w:val="20"/>
              </w:rPr>
            </w:pPr>
            <w:r>
              <w:rPr>
                <w:b/>
                <w:noProof/>
                <w:color w:val="000000" w:themeColor="text1"/>
                <w:sz w:val="20"/>
              </w:rPr>
              <w:t>4,000</w:t>
            </w:r>
          </w:p>
        </w:tc>
      </w:tr>
    </w:tbl>
    <w:p>
      <w:pPr>
        <w:rPr>
          <w:noProof/>
          <w:color w:val="000000" w:themeColor="text1"/>
        </w:rPr>
      </w:pPr>
    </w:p>
    <w:p>
      <w:pPr>
        <w:rPr>
          <w:noProof/>
          <w:color w:val="000000" w:themeColor="text1"/>
        </w:rPr>
      </w:pPr>
      <w:r>
        <w:rPr>
          <w:noProof/>
        </w:rPr>
        <w:br w:type="page"/>
      </w:r>
    </w:p>
    <w:tbl>
      <w:tblPr>
        <w:tblW w:w="0" w:type="auto"/>
        <w:jc w:val="center"/>
        <w:tblInd w:w="-2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b/>
                <w:noProof/>
                <w:color w:val="000000" w:themeColor="text1"/>
                <w:sz w:val="22"/>
              </w:rPr>
            </w:pPr>
            <w:r>
              <w:rPr>
                <w:noProof/>
              </w:rPr>
              <w:br w:type="page"/>
            </w:r>
            <w:r>
              <w:rPr>
                <w:b/>
                <w:noProof/>
                <w:color w:val="000000" w:themeColor="text1"/>
                <w:sz w:val="22"/>
              </w:rPr>
              <w:t>Udgifter i den flerårige finansielle</w:t>
            </w:r>
            <w:r>
              <w:rPr>
                <w:noProof/>
                <w:color w:val="000000" w:themeColor="text1"/>
                <w:sz w:val="22"/>
              </w:rPr>
              <w:br/>
            </w:r>
            <w:r>
              <w:rPr>
                <w:b/>
                <w:noProof/>
                <w:color w:val="000000" w:themeColor="text1"/>
                <w:sz w:val="22"/>
              </w:rPr>
              <w:t xml:space="preserve">ramme </w:t>
            </w:r>
          </w:p>
        </w:tc>
        <w:tc>
          <w:tcPr>
            <w:tcW w:w="1080" w:type="dxa"/>
            <w:shd w:val="thinDiagStripe" w:color="C0C0C0" w:fill="auto"/>
            <w:vAlign w:val="center"/>
          </w:tcPr>
          <w:p>
            <w:pPr>
              <w:spacing w:before="60" w:after="60"/>
              <w:jc w:val="center"/>
              <w:rPr>
                <w:noProof/>
                <w:color w:val="000000" w:themeColor="text1"/>
                <w:sz w:val="22"/>
              </w:rPr>
            </w:pPr>
            <w:r>
              <w:rPr>
                <w:b/>
                <w:noProof/>
                <w:color w:val="000000" w:themeColor="text1"/>
                <w:sz w:val="22"/>
              </w:rPr>
              <w:t>5</w:t>
            </w:r>
          </w:p>
        </w:tc>
        <w:tc>
          <w:tcPr>
            <w:tcW w:w="7817" w:type="dxa"/>
            <w:vAlign w:val="center"/>
          </w:tcPr>
          <w:p>
            <w:pPr>
              <w:spacing w:before="60" w:after="60"/>
              <w:rPr>
                <w:noProof/>
                <w:color w:val="000000" w:themeColor="text1"/>
                <w:sz w:val="22"/>
              </w:rPr>
            </w:pPr>
            <w:r>
              <w:rPr>
                <w:noProof/>
                <w:color w:val="000000" w:themeColor="text1"/>
                <w:sz w:val="22"/>
              </w:rPr>
              <w:t>"Administrative udgifter"</w:t>
            </w:r>
          </w:p>
        </w:tc>
      </w:tr>
    </w:tbl>
    <w:p>
      <w:pPr>
        <w:jc w:val="right"/>
        <w:rPr>
          <w:noProof/>
          <w:color w:val="000000" w:themeColor="text1"/>
          <w:sz w:val="20"/>
        </w:rPr>
      </w:pPr>
      <w:r>
        <w:rPr>
          <w:noProof/>
          <w:color w:val="000000" w:themeColor="text1"/>
          <w:sz w:val="20"/>
        </w:rPr>
        <w:t>i mio. EUR (3 decimaler)</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tc>
          <w:tcPr>
            <w:tcW w:w="3960" w:type="dxa"/>
            <w:tcBorders>
              <w:top w:val="nil"/>
              <w:left w:val="nil"/>
              <w:right w:val="nil"/>
            </w:tcBorders>
            <w:vAlign w:val="center"/>
          </w:tcPr>
          <w:p>
            <w:pPr>
              <w:jc w:val="center"/>
              <w:rPr>
                <w:noProof/>
                <w:color w:val="000000" w:themeColor="text1"/>
                <w:sz w:val="22"/>
              </w:rPr>
            </w:pPr>
          </w:p>
        </w:tc>
        <w:tc>
          <w:tcPr>
            <w:tcW w:w="1560" w:type="dxa"/>
            <w:tcBorders>
              <w:top w:val="nil"/>
              <w:left w:val="nil"/>
              <w:right w:val="nil"/>
            </w:tcBorders>
          </w:tcPr>
          <w:p>
            <w:pPr>
              <w:rPr>
                <w:noProof/>
                <w:color w:val="000000" w:themeColor="text1"/>
                <w:sz w:val="20"/>
              </w:rPr>
            </w:pPr>
          </w:p>
        </w:tc>
        <w:tc>
          <w:tcPr>
            <w:tcW w:w="534" w:type="dxa"/>
            <w:tcBorders>
              <w:top w:val="nil"/>
              <w:left w:val="nil"/>
            </w:tcBorders>
          </w:tcPr>
          <w:p>
            <w:pPr>
              <w:jc w:val="center"/>
              <w:rPr>
                <w:noProof/>
                <w:color w:val="000000" w:themeColor="text1"/>
                <w:sz w:val="20"/>
              </w:rPr>
            </w:pPr>
          </w:p>
        </w:tc>
        <w:tc>
          <w:tcPr>
            <w:tcW w:w="868" w:type="dxa"/>
            <w:vAlign w:val="center"/>
          </w:tcPr>
          <w:p>
            <w:pPr>
              <w:jc w:val="center"/>
              <w:rPr>
                <w:noProof/>
                <w:color w:val="000000" w:themeColor="text1"/>
                <w:sz w:val="20"/>
              </w:rPr>
            </w:pPr>
            <w:r>
              <w:rPr>
                <w:noProof/>
                <w:color w:val="000000" w:themeColor="text1"/>
                <w:sz w:val="20"/>
              </w:rPr>
              <w:t>År</w:t>
            </w:r>
            <w:r>
              <w:rPr>
                <w:noProof/>
                <w:color w:val="000000" w:themeColor="text1"/>
                <w:sz w:val="22"/>
              </w:rPr>
              <w:br/>
            </w:r>
            <w:r>
              <w:rPr>
                <w:b/>
                <w:noProof/>
                <w:color w:val="000000" w:themeColor="text1"/>
                <w:sz w:val="20"/>
              </w:rPr>
              <w:t>N</w:t>
            </w:r>
          </w:p>
        </w:tc>
        <w:tc>
          <w:tcPr>
            <w:tcW w:w="868" w:type="dxa"/>
            <w:vAlign w:val="center"/>
          </w:tcPr>
          <w:p>
            <w:pPr>
              <w:jc w:val="center"/>
              <w:rPr>
                <w:noProof/>
                <w:color w:val="000000" w:themeColor="text1"/>
                <w:sz w:val="20"/>
              </w:rPr>
            </w:pPr>
            <w:r>
              <w:rPr>
                <w:noProof/>
                <w:color w:val="000000" w:themeColor="text1"/>
                <w:sz w:val="20"/>
              </w:rPr>
              <w:t>År</w:t>
            </w:r>
            <w:r>
              <w:rPr>
                <w:noProof/>
                <w:color w:val="000000" w:themeColor="text1"/>
                <w:sz w:val="22"/>
              </w:rPr>
              <w:br/>
            </w:r>
            <w:r>
              <w:rPr>
                <w:b/>
                <w:noProof/>
                <w:color w:val="000000" w:themeColor="text1"/>
                <w:sz w:val="20"/>
              </w:rPr>
              <w:t>N+1</w:t>
            </w:r>
          </w:p>
        </w:tc>
        <w:tc>
          <w:tcPr>
            <w:tcW w:w="868" w:type="dxa"/>
            <w:vAlign w:val="center"/>
          </w:tcPr>
          <w:p>
            <w:pPr>
              <w:jc w:val="center"/>
              <w:rPr>
                <w:noProof/>
                <w:color w:val="000000" w:themeColor="text1"/>
                <w:sz w:val="20"/>
              </w:rPr>
            </w:pPr>
            <w:r>
              <w:rPr>
                <w:noProof/>
                <w:color w:val="000000" w:themeColor="text1"/>
                <w:sz w:val="20"/>
              </w:rPr>
              <w:t>År</w:t>
            </w:r>
            <w:r>
              <w:rPr>
                <w:noProof/>
                <w:color w:val="000000" w:themeColor="text1"/>
                <w:sz w:val="22"/>
              </w:rPr>
              <w:br/>
            </w:r>
            <w:r>
              <w:rPr>
                <w:b/>
                <w:noProof/>
                <w:color w:val="000000" w:themeColor="text1"/>
                <w:sz w:val="20"/>
              </w:rPr>
              <w:t>N+2</w:t>
            </w:r>
          </w:p>
        </w:tc>
        <w:tc>
          <w:tcPr>
            <w:tcW w:w="868" w:type="dxa"/>
            <w:vAlign w:val="center"/>
          </w:tcPr>
          <w:p>
            <w:pPr>
              <w:jc w:val="center"/>
              <w:rPr>
                <w:noProof/>
                <w:color w:val="000000" w:themeColor="text1"/>
                <w:sz w:val="20"/>
              </w:rPr>
            </w:pPr>
            <w:r>
              <w:rPr>
                <w:noProof/>
                <w:color w:val="000000" w:themeColor="text1"/>
                <w:sz w:val="20"/>
              </w:rPr>
              <w:t>År</w:t>
            </w:r>
            <w:r>
              <w:rPr>
                <w:noProof/>
                <w:color w:val="000000" w:themeColor="text1"/>
                <w:sz w:val="22"/>
              </w:rPr>
              <w:br/>
            </w:r>
            <w:r>
              <w:rPr>
                <w:b/>
                <w:noProof/>
                <w:color w:val="000000" w:themeColor="text1"/>
                <w:sz w:val="20"/>
              </w:rPr>
              <w:t>N+3</w:t>
            </w:r>
          </w:p>
        </w:tc>
        <w:tc>
          <w:tcPr>
            <w:tcW w:w="2604" w:type="dxa"/>
            <w:gridSpan w:val="3"/>
            <w:vAlign w:val="center"/>
          </w:tcPr>
          <w:p>
            <w:pPr>
              <w:jc w:val="center"/>
              <w:rPr>
                <w:b/>
                <w:noProof/>
                <w:color w:val="000000" w:themeColor="text1"/>
                <w:sz w:val="18"/>
              </w:rPr>
            </w:pPr>
            <w:r>
              <w:rPr>
                <w:noProof/>
                <w:color w:val="000000" w:themeColor="text1"/>
                <w:sz w:val="18"/>
              </w:rPr>
              <w:t xml:space="preserve">Der indsættes flere år, hvis virkningerne varer længere (jf. punkt 1.6) </w:t>
            </w:r>
          </w:p>
        </w:tc>
        <w:tc>
          <w:tcPr>
            <w:tcW w:w="1777" w:type="dxa"/>
            <w:vAlign w:val="center"/>
          </w:tcPr>
          <w:p>
            <w:pPr>
              <w:jc w:val="center"/>
              <w:rPr>
                <w:b/>
                <w:noProof/>
                <w:color w:val="000000" w:themeColor="text1"/>
                <w:sz w:val="20"/>
              </w:rPr>
            </w:pPr>
            <w:r>
              <w:rPr>
                <w:b/>
                <w:noProof/>
                <w:color w:val="000000" w:themeColor="text1"/>
                <w:sz w:val="20"/>
              </w:rPr>
              <w:t>I ALT</w:t>
            </w:r>
          </w:p>
        </w:tc>
      </w:tr>
      <w:tr>
        <w:trPr>
          <w:gridAfter w:val="10"/>
          <w:wAfter w:w="9947" w:type="dxa"/>
        </w:trPr>
        <w:tc>
          <w:tcPr>
            <w:tcW w:w="3960" w:type="dxa"/>
            <w:vAlign w:val="center"/>
          </w:tcPr>
          <w:p>
            <w:pPr>
              <w:spacing w:before="60" w:after="60"/>
              <w:jc w:val="center"/>
              <w:rPr>
                <w:noProof/>
                <w:color w:val="000000" w:themeColor="text1"/>
                <w:sz w:val="22"/>
              </w:rPr>
            </w:pPr>
            <w:r>
              <w:rPr>
                <w:noProof/>
                <w:color w:val="000000" w:themeColor="text1"/>
                <w:sz w:val="22"/>
              </w:rPr>
              <w:t>GD: EAC</w:t>
            </w:r>
          </w:p>
        </w:tc>
      </w:tr>
      <w:tr>
        <w:trPr>
          <w:trHeight w:val="313"/>
        </w:trPr>
        <w:tc>
          <w:tcPr>
            <w:tcW w:w="6054" w:type="dxa"/>
            <w:gridSpan w:val="3"/>
            <w:vAlign w:val="center"/>
          </w:tcPr>
          <w:p>
            <w:pPr>
              <w:spacing w:before="20" w:after="20"/>
              <w:rPr>
                <w:noProof/>
                <w:color w:val="000000" w:themeColor="text1"/>
                <w:sz w:val="22"/>
              </w:rPr>
            </w:pPr>
            <w:r>
              <w:rPr>
                <w:noProof/>
                <w:color w:val="000000" w:themeColor="text1"/>
                <w:sz w:val="22"/>
              </w:rPr>
              <w:sym w:font="Wingdings" w:char="F09F"/>
            </w:r>
            <w:r>
              <w:rPr>
                <w:noProof/>
                <w:color w:val="000000" w:themeColor="text1"/>
                <w:sz w:val="22"/>
              </w:rPr>
              <w:t>Menneskelige ressourcer</w:t>
            </w:r>
          </w:p>
        </w:tc>
        <w:tc>
          <w:tcPr>
            <w:tcW w:w="868" w:type="dxa"/>
            <w:vAlign w:val="center"/>
          </w:tcPr>
          <w:p>
            <w:pPr>
              <w:spacing w:before="20" w:after="20"/>
              <w:jc w:val="right"/>
              <w:rPr>
                <w:noProof/>
                <w:color w:val="000000" w:themeColor="text1"/>
                <w:sz w:val="20"/>
              </w:rPr>
            </w:pPr>
            <w:r>
              <w:rPr>
                <w:noProof/>
                <w:color w:val="000000" w:themeColor="text1"/>
                <w:sz w:val="20"/>
              </w:rPr>
              <w:t>p.m.</w:t>
            </w:r>
          </w:p>
        </w:tc>
        <w:tc>
          <w:tcPr>
            <w:tcW w:w="868" w:type="dxa"/>
            <w:vAlign w:val="center"/>
          </w:tcPr>
          <w:p>
            <w:pPr>
              <w:spacing w:before="20" w:after="20"/>
              <w:jc w:val="right"/>
              <w:rPr>
                <w:noProof/>
                <w:color w:val="000000" w:themeColor="text1"/>
                <w:sz w:val="20"/>
              </w:rPr>
            </w:pPr>
            <w:r>
              <w:rPr>
                <w:noProof/>
                <w:color w:val="000000" w:themeColor="text1"/>
                <w:sz w:val="20"/>
              </w:rPr>
              <w:t>p.m.</w:t>
            </w:r>
          </w:p>
        </w:tc>
        <w:tc>
          <w:tcPr>
            <w:tcW w:w="868" w:type="dxa"/>
            <w:vAlign w:val="center"/>
          </w:tcPr>
          <w:p>
            <w:pPr>
              <w:spacing w:before="20" w:after="20"/>
              <w:jc w:val="right"/>
              <w:rPr>
                <w:noProof/>
                <w:color w:val="000000" w:themeColor="text1"/>
                <w:sz w:val="20"/>
              </w:rPr>
            </w:pPr>
            <w:r>
              <w:rPr>
                <w:noProof/>
                <w:color w:val="000000" w:themeColor="text1"/>
                <w:sz w:val="20"/>
              </w:rPr>
              <w:t>p.m.</w:t>
            </w:r>
          </w:p>
        </w:tc>
        <w:tc>
          <w:tcPr>
            <w:tcW w:w="868" w:type="dxa"/>
            <w:vAlign w:val="center"/>
          </w:tcPr>
          <w:p>
            <w:pPr>
              <w:spacing w:before="20" w:after="20"/>
              <w:jc w:val="right"/>
              <w:rPr>
                <w:noProof/>
                <w:color w:val="000000" w:themeColor="text1"/>
                <w:sz w:val="20"/>
              </w:rPr>
            </w:pPr>
            <w:r>
              <w:rPr>
                <w:noProof/>
                <w:color w:val="000000" w:themeColor="text1"/>
                <w:sz w:val="20"/>
              </w:rPr>
              <w:t>p.m.</w:t>
            </w: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vAlign w:val="center"/>
          </w:tcPr>
          <w:p>
            <w:pPr>
              <w:spacing w:before="20" w:after="20"/>
              <w:jc w:val="right"/>
              <w:rPr>
                <w:b/>
                <w:noProof/>
                <w:color w:val="000000" w:themeColor="text1"/>
                <w:sz w:val="20"/>
              </w:rPr>
            </w:pPr>
            <w:r>
              <w:rPr>
                <w:b/>
                <w:noProof/>
                <w:color w:val="000000" w:themeColor="text1"/>
                <w:sz w:val="20"/>
              </w:rPr>
              <w:t>p.m.</w:t>
            </w:r>
          </w:p>
        </w:tc>
      </w:tr>
      <w:tr>
        <w:trPr>
          <w:trHeight w:val="351"/>
        </w:trPr>
        <w:tc>
          <w:tcPr>
            <w:tcW w:w="6054" w:type="dxa"/>
            <w:gridSpan w:val="3"/>
            <w:vAlign w:val="center"/>
          </w:tcPr>
          <w:p>
            <w:pPr>
              <w:spacing w:before="20" w:after="20"/>
              <w:rPr>
                <w:noProof/>
                <w:color w:val="000000" w:themeColor="text1"/>
                <w:sz w:val="22"/>
              </w:rPr>
            </w:pPr>
            <w:r>
              <w:rPr>
                <w:noProof/>
                <w:color w:val="000000" w:themeColor="text1"/>
                <w:sz w:val="22"/>
              </w:rPr>
              <w:sym w:font="Wingdings" w:char="F09F"/>
            </w:r>
            <w:r>
              <w:rPr>
                <w:noProof/>
                <w:color w:val="000000" w:themeColor="text1"/>
                <w:sz w:val="22"/>
              </w:rPr>
              <w:t>Andre administrationsudgifter</w:t>
            </w:r>
          </w:p>
        </w:tc>
        <w:tc>
          <w:tcPr>
            <w:tcW w:w="868" w:type="dxa"/>
            <w:vAlign w:val="center"/>
          </w:tcPr>
          <w:p>
            <w:pPr>
              <w:spacing w:before="20" w:after="20"/>
              <w:jc w:val="right"/>
              <w:rPr>
                <w:b/>
                <w:noProof/>
                <w:color w:val="000000" w:themeColor="text1"/>
                <w:sz w:val="20"/>
              </w:rPr>
            </w:pPr>
            <w:r>
              <w:rPr>
                <w:b/>
                <w:noProof/>
                <w:color w:val="000000" w:themeColor="text1"/>
                <w:sz w:val="20"/>
              </w:rPr>
              <w:t>p.m.</w:t>
            </w:r>
          </w:p>
        </w:tc>
        <w:tc>
          <w:tcPr>
            <w:tcW w:w="868" w:type="dxa"/>
            <w:vAlign w:val="center"/>
          </w:tcPr>
          <w:p>
            <w:pPr>
              <w:spacing w:before="20" w:after="20"/>
              <w:jc w:val="right"/>
              <w:rPr>
                <w:b/>
                <w:noProof/>
                <w:color w:val="000000" w:themeColor="text1"/>
                <w:sz w:val="20"/>
              </w:rPr>
            </w:pPr>
            <w:r>
              <w:rPr>
                <w:b/>
                <w:noProof/>
                <w:color w:val="000000" w:themeColor="text1"/>
                <w:sz w:val="20"/>
              </w:rPr>
              <w:t>p.m.</w:t>
            </w:r>
          </w:p>
        </w:tc>
        <w:tc>
          <w:tcPr>
            <w:tcW w:w="868" w:type="dxa"/>
            <w:vAlign w:val="center"/>
          </w:tcPr>
          <w:p>
            <w:pPr>
              <w:spacing w:before="20" w:after="20"/>
              <w:jc w:val="right"/>
              <w:rPr>
                <w:b/>
                <w:noProof/>
                <w:color w:val="000000" w:themeColor="text1"/>
                <w:sz w:val="20"/>
              </w:rPr>
            </w:pPr>
            <w:r>
              <w:rPr>
                <w:b/>
                <w:noProof/>
                <w:color w:val="000000" w:themeColor="text1"/>
                <w:sz w:val="20"/>
              </w:rPr>
              <w:t>p.m.</w:t>
            </w:r>
          </w:p>
        </w:tc>
        <w:tc>
          <w:tcPr>
            <w:tcW w:w="868" w:type="dxa"/>
            <w:vAlign w:val="center"/>
          </w:tcPr>
          <w:p>
            <w:pPr>
              <w:spacing w:before="20" w:after="20"/>
              <w:jc w:val="right"/>
              <w:rPr>
                <w:b/>
                <w:noProof/>
                <w:color w:val="000000" w:themeColor="text1"/>
                <w:sz w:val="20"/>
              </w:rPr>
            </w:pPr>
            <w:r>
              <w:rPr>
                <w:b/>
                <w:noProof/>
                <w:color w:val="000000" w:themeColor="text1"/>
                <w:sz w:val="20"/>
              </w:rPr>
              <w:t>p.m.</w:t>
            </w: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vAlign w:val="center"/>
          </w:tcPr>
          <w:p>
            <w:pPr>
              <w:spacing w:before="20" w:after="20"/>
              <w:jc w:val="right"/>
              <w:rPr>
                <w:b/>
                <w:noProof/>
                <w:color w:val="000000" w:themeColor="text1"/>
                <w:sz w:val="20"/>
              </w:rPr>
            </w:pPr>
            <w:r>
              <w:rPr>
                <w:b/>
                <w:noProof/>
                <w:color w:val="000000" w:themeColor="text1"/>
                <w:sz w:val="20"/>
              </w:rPr>
              <w:t>p.m.</w:t>
            </w:r>
          </w:p>
        </w:tc>
      </w:tr>
      <w:tr>
        <w:tc>
          <w:tcPr>
            <w:tcW w:w="3960" w:type="dxa"/>
            <w:vAlign w:val="center"/>
          </w:tcPr>
          <w:p>
            <w:pPr>
              <w:jc w:val="center"/>
              <w:rPr>
                <w:b/>
                <w:noProof/>
                <w:color w:val="000000" w:themeColor="text1"/>
                <w:sz w:val="22"/>
              </w:rPr>
            </w:pPr>
            <w:r>
              <w:rPr>
                <w:b/>
                <w:noProof/>
                <w:color w:val="000000" w:themeColor="text1"/>
                <w:sz w:val="22"/>
              </w:rPr>
              <w:t>I ALT</w:t>
            </w:r>
            <w:r>
              <w:rPr>
                <w:noProof/>
                <w:color w:val="000000" w:themeColor="text1"/>
                <w:sz w:val="22"/>
              </w:rPr>
              <w:t xml:space="preserve"> GD EAC</w:t>
            </w:r>
          </w:p>
        </w:tc>
        <w:tc>
          <w:tcPr>
            <w:tcW w:w="2094" w:type="dxa"/>
            <w:gridSpan w:val="2"/>
            <w:vAlign w:val="center"/>
          </w:tcPr>
          <w:p>
            <w:pPr>
              <w:rPr>
                <w:noProof/>
                <w:color w:val="000000" w:themeColor="text1"/>
                <w:sz w:val="14"/>
              </w:rPr>
            </w:pPr>
            <w:r>
              <w:rPr>
                <w:noProof/>
                <w:color w:val="000000" w:themeColor="text1"/>
                <w:sz w:val="18"/>
              </w:rPr>
              <w:t xml:space="preserve">Bevillinger </w:t>
            </w:r>
          </w:p>
        </w:tc>
        <w:tc>
          <w:tcPr>
            <w:tcW w:w="868" w:type="dxa"/>
            <w:vAlign w:val="center"/>
          </w:tcPr>
          <w:p>
            <w:pPr>
              <w:spacing w:before="60" w:after="60"/>
              <w:jc w:val="right"/>
              <w:rPr>
                <w:noProof/>
                <w:color w:val="000000" w:themeColor="text1"/>
                <w:sz w:val="20"/>
              </w:rPr>
            </w:pPr>
            <w:r>
              <w:rPr>
                <w:noProof/>
                <w:color w:val="000000" w:themeColor="text1"/>
                <w:sz w:val="20"/>
              </w:rPr>
              <w:t>p.m.</w:t>
            </w:r>
          </w:p>
        </w:tc>
        <w:tc>
          <w:tcPr>
            <w:tcW w:w="868" w:type="dxa"/>
            <w:vAlign w:val="center"/>
          </w:tcPr>
          <w:p>
            <w:pPr>
              <w:spacing w:before="20" w:after="20"/>
              <w:jc w:val="right"/>
              <w:rPr>
                <w:noProof/>
                <w:color w:val="000000" w:themeColor="text1"/>
                <w:sz w:val="20"/>
              </w:rPr>
            </w:pPr>
            <w:r>
              <w:rPr>
                <w:noProof/>
                <w:color w:val="000000" w:themeColor="text1"/>
                <w:sz w:val="20"/>
              </w:rPr>
              <w:t>p.m.</w:t>
            </w:r>
          </w:p>
        </w:tc>
        <w:tc>
          <w:tcPr>
            <w:tcW w:w="868" w:type="dxa"/>
            <w:vAlign w:val="center"/>
          </w:tcPr>
          <w:p>
            <w:pPr>
              <w:spacing w:before="20" w:after="20"/>
              <w:jc w:val="right"/>
              <w:rPr>
                <w:noProof/>
                <w:color w:val="000000" w:themeColor="text1"/>
                <w:sz w:val="20"/>
              </w:rPr>
            </w:pPr>
            <w:r>
              <w:rPr>
                <w:noProof/>
                <w:color w:val="000000" w:themeColor="text1"/>
                <w:sz w:val="20"/>
              </w:rPr>
              <w:t>p.m.</w:t>
            </w:r>
          </w:p>
        </w:tc>
        <w:tc>
          <w:tcPr>
            <w:tcW w:w="868" w:type="dxa"/>
            <w:vAlign w:val="center"/>
          </w:tcPr>
          <w:p>
            <w:pPr>
              <w:spacing w:before="20" w:after="20"/>
              <w:jc w:val="right"/>
              <w:rPr>
                <w:noProof/>
                <w:color w:val="000000" w:themeColor="text1"/>
                <w:sz w:val="20"/>
              </w:rPr>
            </w:pPr>
            <w:r>
              <w:rPr>
                <w:noProof/>
                <w:color w:val="000000" w:themeColor="text1"/>
                <w:sz w:val="20"/>
              </w:rPr>
              <w:t>p.m.</w:t>
            </w: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vAlign w:val="center"/>
          </w:tcPr>
          <w:p>
            <w:pPr>
              <w:spacing w:before="20" w:after="20"/>
              <w:jc w:val="right"/>
              <w:rPr>
                <w:b/>
                <w:noProof/>
                <w:color w:val="000000" w:themeColor="text1"/>
                <w:sz w:val="20"/>
              </w:rPr>
            </w:pPr>
            <w:r>
              <w:rPr>
                <w:b/>
                <w:noProof/>
                <w:color w:val="000000" w:themeColor="text1"/>
                <w:sz w:val="20"/>
              </w:rPr>
              <w:t>p.m.</w:t>
            </w:r>
          </w:p>
        </w:tc>
      </w:tr>
    </w:tbl>
    <w:p>
      <w:pPr>
        <w:rPr>
          <w:noProof/>
          <w:color w:val="000000" w:themeColor="text1"/>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868"/>
        <w:gridCol w:w="868"/>
        <w:gridCol w:w="1777"/>
      </w:tblGrid>
      <w:tr>
        <w:tc>
          <w:tcPr>
            <w:tcW w:w="3960" w:type="dxa"/>
            <w:shd w:val="thinDiagStripe" w:color="C0C0C0" w:fill="auto"/>
            <w:vAlign w:val="center"/>
          </w:tcPr>
          <w:p>
            <w:pPr>
              <w:jc w:val="center"/>
              <w:rPr>
                <w:b/>
                <w:noProof/>
                <w:color w:val="000000" w:themeColor="text1"/>
                <w:sz w:val="22"/>
              </w:rPr>
            </w:pPr>
            <w:r>
              <w:rPr>
                <w:b/>
                <w:noProof/>
                <w:color w:val="000000" w:themeColor="text1"/>
                <w:sz w:val="22"/>
              </w:rPr>
              <w:t xml:space="preserve">Bevillinger I ALT </w:t>
            </w:r>
            <w:r>
              <w:rPr>
                <w:noProof/>
                <w:color w:val="000000" w:themeColor="text1"/>
                <w:sz w:val="22"/>
              </w:rPr>
              <w:br/>
            </w:r>
            <w:r>
              <w:rPr>
                <w:b/>
                <w:noProof/>
                <w:color w:val="000000" w:themeColor="text1"/>
                <w:sz w:val="22"/>
              </w:rPr>
              <w:t>under UDGIFTSOMRÅDE 5</w:t>
            </w:r>
            <w:r>
              <w:rPr>
                <w:noProof/>
                <w:color w:val="000000" w:themeColor="text1"/>
                <w:sz w:val="22"/>
              </w:rPr>
              <w:br/>
              <w:t>i den flerårige finansielle ramme</w:t>
            </w:r>
            <w:r>
              <w:rPr>
                <w:b/>
                <w:noProof/>
                <w:color w:val="000000" w:themeColor="text1"/>
                <w:sz w:val="22"/>
              </w:rPr>
              <w:t xml:space="preserve"> </w:t>
            </w:r>
          </w:p>
        </w:tc>
        <w:tc>
          <w:tcPr>
            <w:tcW w:w="2094" w:type="dxa"/>
            <w:vAlign w:val="center"/>
          </w:tcPr>
          <w:p>
            <w:pPr>
              <w:spacing w:before="40" w:after="40"/>
              <w:rPr>
                <w:noProof/>
                <w:color w:val="000000" w:themeColor="text1"/>
                <w:sz w:val="22"/>
              </w:rPr>
            </w:pPr>
            <w:r>
              <w:rPr>
                <w:noProof/>
                <w:color w:val="000000" w:themeColor="text1"/>
                <w:sz w:val="18"/>
              </w:rPr>
              <w:t>(Forpligtelser i alt = betalinger i alt)</w:t>
            </w:r>
          </w:p>
        </w:tc>
        <w:tc>
          <w:tcPr>
            <w:tcW w:w="868" w:type="dxa"/>
            <w:vAlign w:val="center"/>
          </w:tcPr>
          <w:p>
            <w:pPr>
              <w:spacing w:before="20" w:after="20"/>
              <w:jc w:val="right"/>
              <w:rPr>
                <w:noProof/>
                <w:color w:val="000000" w:themeColor="text1"/>
                <w:sz w:val="20"/>
              </w:rPr>
            </w:pPr>
            <w:r>
              <w:rPr>
                <w:noProof/>
                <w:color w:val="000000" w:themeColor="text1"/>
                <w:sz w:val="20"/>
              </w:rPr>
              <w:t>p.m.</w:t>
            </w:r>
          </w:p>
        </w:tc>
        <w:tc>
          <w:tcPr>
            <w:tcW w:w="868" w:type="dxa"/>
            <w:vAlign w:val="center"/>
          </w:tcPr>
          <w:p>
            <w:pPr>
              <w:spacing w:before="20" w:after="20"/>
              <w:jc w:val="right"/>
              <w:rPr>
                <w:noProof/>
                <w:color w:val="000000" w:themeColor="text1"/>
                <w:sz w:val="20"/>
              </w:rPr>
            </w:pPr>
            <w:r>
              <w:rPr>
                <w:noProof/>
                <w:color w:val="000000" w:themeColor="text1"/>
                <w:sz w:val="20"/>
              </w:rPr>
              <w:t>p.m.</w:t>
            </w: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vAlign w:val="center"/>
          </w:tcPr>
          <w:p>
            <w:pPr>
              <w:spacing w:before="20" w:after="20"/>
              <w:jc w:val="right"/>
              <w:rPr>
                <w:b/>
                <w:noProof/>
                <w:color w:val="000000" w:themeColor="text1"/>
                <w:sz w:val="20"/>
              </w:rPr>
            </w:pPr>
            <w:r>
              <w:rPr>
                <w:b/>
                <w:noProof/>
                <w:color w:val="000000" w:themeColor="text1"/>
                <w:sz w:val="20"/>
              </w:rPr>
              <w:t>p.m.</w:t>
            </w:r>
          </w:p>
        </w:tc>
      </w:tr>
    </w:tbl>
    <w:p>
      <w:pPr>
        <w:jc w:val="right"/>
        <w:rPr>
          <w:noProof/>
          <w:color w:val="000000" w:themeColor="text1"/>
          <w:sz w:val="20"/>
        </w:rPr>
      </w:pPr>
      <w:r>
        <w:rPr>
          <w:noProof/>
          <w:color w:val="000000" w:themeColor="text1"/>
          <w:sz w:val="20"/>
        </w:rPr>
        <w:t>i mio. EUR (3 decimaler)</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tc>
          <w:tcPr>
            <w:tcW w:w="3960" w:type="dxa"/>
            <w:tcBorders>
              <w:top w:val="nil"/>
              <w:left w:val="nil"/>
              <w:right w:val="nil"/>
            </w:tcBorders>
            <w:vAlign w:val="center"/>
          </w:tcPr>
          <w:p>
            <w:pPr>
              <w:jc w:val="center"/>
              <w:rPr>
                <w:noProof/>
                <w:color w:val="000000" w:themeColor="text1"/>
                <w:sz w:val="22"/>
              </w:rPr>
            </w:pPr>
          </w:p>
        </w:tc>
        <w:tc>
          <w:tcPr>
            <w:tcW w:w="1560" w:type="dxa"/>
            <w:tcBorders>
              <w:top w:val="nil"/>
              <w:left w:val="nil"/>
              <w:right w:val="nil"/>
            </w:tcBorders>
          </w:tcPr>
          <w:p>
            <w:pPr>
              <w:rPr>
                <w:noProof/>
                <w:color w:val="000000" w:themeColor="text1"/>
                <w:sz w:val="20"/>
              </w:rPr>
            </w:pPr>
          </w:p>
        </w:tc>
        <w:tc>
          <w:tcPr>
            <w:tcW w:w="534" w:type="dxa"/>
            <w:tcBorders>
              <w:top w:val="nil"/>
              <w:left w:val="nil"/>
            </w:tcBorders>
          </w:tcPr>
          <w:p>
            <w:pPr>
              <w:jc w:val="center"/>
              <w:rPr>
                <w:noProof/>
                <w:color w:val="000000" w:themeColor="text1"/>
                <w:sz w:val="20"/>
              </w:rPr>
            </w:pPr>
          </w:p>
        </w:tc>
        <w:tc>
          <w:tcPr>
            <w:tcW w:w="868" w:type="dxa"/>
            <w:vAlign w:val="center"/>
          </w:tcPr>
          <w:p>
            <w:pPr>
              <w:jc w:val="center"/>
              <w:rPr>
                <w:noProof/>
                <w:color w:val="000000" w:themeColor="text1"/>
                <w:sz w:val="20"/>
              </w:rPr>
            </w:pPr>
            <w:r>
              <w:rPr>
                <w:noProof/>
                <w:color w:val="000000" w:themeColor="text1"/>
                <w:sz w:val="20"/>
              </w:rPr>
              <w:t>År</w:t>
            </w:r>
            <w:r>
              <w:rPr>
                <w:noProof/>
                <w:color w:val="000000" w:themeColor="text1"/>
                <w:sz w:val="22"/>
              </w:rPr>
              <w:br/>
            </w:r>
            <w:r>
              <w:rPr>
                <w:b/>
                <w:noProof/>
                <w:color w:val="000000" w:themeColor="text1"/>
                <w:sz w:val="20"/>
              </w:rPr>
              <w:t>N</w:t>
            </w:r>
            <w:r>
              <w:rPr>
                <w:rStyle w:val="FootnoteReference"/>
                <w:b/>
                <w:noProof/>
                <w:color w:val="000000" w:themeColor="text1"/>
                <w:sz w:val="20"/>
              </w:rPr>
              <w:footnoteReference w:id="35"/>
            </w:r>
          </w:p>
        </w:tc>
        <w:tc>
          <w:tcPr>
            <w:tcW w:w="868" w:type="dxa"/>
            <w:vAlign w:val="center"/>
          </w:tcPr>
          <w:p>
            <w:pPr>
              <w:jc w:val="center"/>
              <w:rPr>
                <w:noProof/>
                <w:color w:val="000000" w:themeColor="text1"/>
                <w:sz w:val="20"/>
              </w:rPr>
            </w:pPr>
            <w:r>
              <w:rPr>
                <w:noProof/>
                <w:color w:val="000000" w:themeColor="text1"/>
                <w:sz w:val="20"/>
              </w:rPr>
              <w:t>År</w:t>
            </w:r>
            <w:r>
              <w:rPr>
                <w:noProof/>
                <w:color w:val="000000" w:themeColor="text1"/>
                <w:sz w:val="22"/>
              </w:rPr>
              <w:br/>
            </w:r>
            <w:r>
              <w:rPr>
                <w:b/>
                <w:noProof/>
                <w:color w:val="000000" w:themeColor="text1"/>
                <w:sz w:val="20"/>
              </w:rPr>
              <w:t>N+1</w:t>
            </w:r>
          </w:p>
        </w:tc>
        <w:tc>
          <w:tcPr>
            <w:tcW w:w="868" w:type="dxa"/>
            <w:vAlign w:val="center"/>
          </w:tcPr>
          <w:p>
            <w:pPr>
              <w:jc w:val="center"/>
              <w:rPr>
                <w:noProof/>
                <w:color w:val="000000" w:themeColor="text1"/>
                <w:sz w:val="20"/>
              </w:rPr>
            </w:pPr>
            <w:r>
              <w:rPr>
                <w:noProof/>
                <w:color w:val="000000" w:themeColor="text1"/>
                <w:sz w:val="20"/>
              </w:rPr>
              <w:t>År</w:t>
            </w:r>
            <w:r>
              <w:rPr>
                <w:noProof/>
                <w:color w:val="000000" w:themeColor="text1"/>
                <w:sz w:val="22"/>
              </w:rPr>
              <w:br/>
            </w:r>
            <w:r>
              <w:rPr>
                <w:b/>
                <w:noProof/>
                <w:color w:val="000000" w:themeColor="text1"/>
                <w:sz w:val="20"/>
              </w:rPr>
              <w:t>N+2</w:t>
            </w:r>
          </w:p>
        </w:tc>
        <w:tc>
          <w:tcPr>
            <w:tcW w:w="868" w:type="dxa"/>
            <w:vAlign w:val="center"/>
          </w:tcPr>
          <w:p>
            <w:pPr>
              <w:jc w:val="center"/>
              <w:rPr>
                <w:noProof/>
                <w:color w:val="000000" w:themeColor="text1"/>
                <w:sz w:val="20"/>
              </w:rPr>
            </w:pPr>
            <w:r>
              <w:rPr>
                <w:noProof/>
                <w:color w:val="000000" w:themeColor="text1"/>
                <w:sz w:val="20"/>
              </w:rPr>
              <w:t>År</w:t>
            </w:r>
            <w:r>
              <w:rPr>
                <w:noProof/>
                <w:color w:val="000000" w:themeColor="text1"/>
                <w:sz w:val="22"/>
              </w:rPr>
              <w:br/>
            </w:r>
            <w:r>
              <w:rPr>
                <w:b/>
                <w:noProof/>
                <w:color w:val="000000" w:themeColor="text1"/>
                <w:sz w:val="20"/>
              </w:rPr>
              <w:t>N+3</w:t>
            </w:r>
          </w:p>
        </w:tc>
        <w:tc>
          <w:tcPr>
            <w:tcW w:w="2604" w:type="dxa"/>
            <w:gridSpan w:val="3"/>
            <w:vAlign w:val="center"/>
          </w:tcPr>
          <w:p>
            <w:pPr>
              <w:jc w:val="center"/>
              <w:rPr>
                <w:b/>
                <w:noProof/>
                <w:color w:val="000000" w:themeColor="text1"/>
                <w:sz w:val="18"/>
              </w:rPr>
            </w:pPr>
            <w:r>
              <w:rPr>
                <w:noProof/>
                <w:color w:val="000000" w:themeColor="text1"/>
                <w:sz w:val="18"/>
              </w:rPr>
              <w:t>Der indsættes flere år, hvis virkningerne varer længere (jf. punkt 1.6)</w:t>
            </w:r>
          </w:p>
        </w:tc>
        <w:tc>
          <w:tcPr>
            <w:tcW w:w="1777" w:type="dxa"/>
            <w:vAlign w:val="center"/>
          </w:tcPr>
          <w:p>
            <w:pPr>
              <w:jc w:val="center"/>
              <w:rPr>
                <w:b/>
                <w:noProof/>
                <w:color w:val="000000" w:themeColor="text1"/>
                <w:sz w:val="20"/>
              </w:rPr>
            </w:pPr>
            <w:r>
              <w:rPr>
                <w:b/>
                <w:noProof/>
                <w:color w:val="000000" w:themeColor="text1"/>
                <w:sz w:val="20"/>
              </w:rPr>
              <w:t>I ALT</w:t>
            </w:r>
          </w:p>
        </w:tc>
      </w:tr>
      <w:tr>
        <w:tc>
          <w:tcPr>
            <w:tcW w:w="3960" w:type="dxa"/>
            <w:vMerge w:val="restart"/>
            <w:shd w:val="clear" w:color="auto" w:fill="C0C0C0"/>
            <w:vAlign w:val="center"/>
          </w:tcPr>
          <w:p>
            <w:pPr>
              <w:jc w:val="center"/>
              <w:rPr>
                <w:b/>
                <w:noProof/>
                <w:color w:val="000000" w:themeColor="text1"/>
                <w:sz w:val="22"/>
              </w:rPr>
            </w:pPr>
            <w:r>
              <w:rPr>
                <w:b/>
                <w:noProof/>
                <w:color w:val="000000" w:themeColor="text1"/>
                <w:sz w:val="22"/>
              </w:rPr>
              <w:t xml:space="preserve">Bevillinger I ALT </w:t>
            </w:r>
            <w:r>
              <w:rPr>
                <w:noProof/>
                <w:color w:val="000000" w:themeColor="text1"/>
                <w:sz w:val="22"/>
              </w:rPr>
              <w:br/>
            </w:r>
            <w:r>
              <w:rPr>
                <w:b/>
                <w:noProof/>
                <w:color w:val="000000" w:themeColor="text1"/>
                <w:sz w:val="22"/>
              </w:rPr>
              <w:t>under UDGIFTSOMRÅDE 1 til 5*</w:t>
            </w:r>
            <w:r>
              <w:rPr>
                <w:noProof/>
                <w:color w:val="000000" w:themeColor="text1"/>
                <w:sz w:val="22"/>
              </w:rPr>
              <w:br/>
              <w:t>i den flerårige finansielle ramme</w:t>
            </w:r>
            <w:r>
              <w:rPr>
                <w:b/>
                <w:noProof/>
                <w:color w:val="000000" w:themeColor="text1"/>
                <w:sz w:val="22"/>
              </w:rPr>
              <w:t xml:space="preserve"> </w:t>
            </w:r>
          </w:p>
        </w:tc>
        <w:tc>
          <w:tcPr>
            <w:tcW w:w="2094" w:type="dxa"/>
            <w:gridSpan w:val="2"/>
            <w:vAlign w:val="center"/>
          </w:tcPr>
          <w:p>
            <w:pPr>
              <w:rPr>
                <w:noProof/>
                <w:color w:val="000000" w:themeColor="text1"/>
                <w:sz w:val="14"/>
              </w:rPr>
            </w:pPr>
            <w:r>
              <w:rPr>
                <w:noProof/>
                <w:color w:val="000000" w:themeColor="text1"/>
                <w:sz w:val="18"/>
              </w:rPr>
              <w:t>Forpligtelser</w:t>
            </w:r>
          </w:p>
        </w:tc>
        <w:tc>
          <w:tcPr>
            <w:tcW w:w="868" w:type="dxa"/>
            <w:vAlign w:val="center"/>
          </w:tcPr>
          <w:p>
            <w:pPr>
              <w:spacing w:before="60" w:after="60"/>
              <w:jc w:val="right"/>
              <w:rPr>
                <w:noProof/>
                <w:color w:val="000000" w:themeColor="text1"/>
                <w:sz w:val="20"/>
              </w:rPr>
            </w:pPr>
          </w:p>
        </w:tc>
        <w:tc>
          <w:tcPr>
            <w:tcW w:w="868" w:type="dxa"/>
            <w:vAlign w:val="center"/>
          </w:tcPr>
          <w:p>
            <w:pPr>
              <w:spacing w:before="60" w:after="60"/>
              <w:jc w:val="right"/>
              <w:rPr>
                <w:noProof/>
                <w:color w:val="000000" w:themeColor="text1"/>
                <w:sz w:val="20"/>
              </w:rPr>
            </w:pPr>
          </w:p>
        </w:tc>
        <w:tc>
          <w:tcPr>
            <w:tcW w:w="868" w:type="dxa"/>
            <w:vAlign w:val="center"/>
          </w:tcPr>
          <w:p>
            <w:pPr>
              <w:spacing w:before="60" w:after="60"/>
              <w:jc w:val="right"/>
              <w:rPr>
                <w:noProof/>
                <w:color w:val="000000" w:themeColor="text1"/>
                <w:sz w:val="20"/>
              </w:rPr>
            </w:pPr>
          </w:p>
        </w:tc>
        <w:tc>
          <w:tcPr>
            <w:tcW w:w="868" w:type="dxa"/>
            <w:vAlign w:val="center"/>
          </w:tcPr>
          <w:p>
            <w:pPr>
              <w:spacing w:before="60" w:after="60"/>
              <w:jc w:val="right"/>
              <w:rPr>
                <w:noProof/>
                <w:color w:val="000000" w:themeColor="text1"/>
                <w:sz w:val="20"/>
              </w:rPr>
            </w:pPr>
          </w:p>
        </w:tc>
        <w:tc>
          <w:tcPr>
            <w:tcW w:w="868" w:type="dxa"/>
            <w:vAlign w:val="center"/>
          </w:tcPr>
          <w:p>
            <w:pPr>
              <w:spacing w:before="60" w:after="60"/>
              <w:jc w:val="right"/>
              <w:rPr>
                <w:noProof/>
                <w:color w:val="000000" w:themeColor="text1"/>
                <w:sz w:val="20"/>
              </w:rPr>
            </w:pPr>
          </w:p>
        </w:tc>
        <w:tc>
          <w:tcPr>
            <w:tcW w:w="868" w:type="dxa"/>
            <w:vAlign w:val="center"/>
          </w:tcPr>
          <w:p>
            <w:pPr>
              <w:spacing w:before="60" w:after="60"/>
              <w:jc w:val="right"/>
              <w:rPr>
                <w:noProof/>
                <w:color w:val="000000" w:themeColor="text1"/>
                <w:sz w:val="20"/>
              </w:rPr>
            </w:pPr>
          </w:p>
        </w:tc>
        <w:tc>
          <w:tcPr>
            <w:tcW w:w="868" w:type="dxa"/>
            <w:vAlign w:val="center"/>
          </w:tcPr>
          <w:p>
            <w:pPr>
              <w:spacing w:before="60" w:after="60"/>
              <w:jc w:val="right"/>
              <w:rPr>
                <w:b/>
                <w:noProof/>
                <w:color w:val="000000" w:themeColor="text1"/>
                <w:sz w:val="20"/>
              </w:rPr>
            </w:pPr>
          </w:p>
        </w:tc>
        <w:tc>
          <w:tcPr>
            <w:tcW w:w="1777" w:type="dxa"/>
            <w:vAlign w:val="center"/>
          </w:tcPr>
          <w:p>
            <w:pPr>
              <w:spacing w:before="60" w:after="60"/>
              <w:jc w:val="right"/>
              <w:rPr>
                <w:b/>
                <w:noProof/>
                <w:color w:val="000000" w:themeColor="text1"/>
                <w:sz w:val="20"/>
              </w:rPr>
            </w:pPr>
          </w:p>
        </w:tc>
      </w:tr>
      <w:tr>
        <w:tc>
          <w:tcPr>
            <w:tcW w:w="3960" w:type="dxa"/>
            <w:vMerge/>
            <w:shd w:val="clear" w:color="auto" w:fill="C0C0C0"/>
          </w:tcPr>
          <w:p>
            <w:pPr>
              <w:rPr>
                <w:noProof/>
                <w:color w:val="000000" w:themeColor="text1"/>
                <w:sz w:val="20"/>
              </w:rPr>
            </w:pPr>
          </w:p>
        </w:tc>
        <w:tc>
          <w:tcPr>
            <w:tcW w:w="2094" w:type="dxa"/>
            <w:gridSpan w:val="2"/>
            <w:vAlign w:val="center"/>
          </w:tcPr>
          <w:p>
            <w:pPr>
              <w:rPr>
                <w:noProof/>
                <w:color w:val="000000" w:themeColor="text1"/>
                <w:sz w:val="14"/>
              </w:rPr>
            </w:pPr>
            <w:r>
              <w:rPr>
                <w:noProof/>
                <w:color w:val="000000" w:themeColor="text1"/>
                <w:sz w:val="18"/>
              </w:rPr>
              <w:t>Betalinger</w:t>
            </w:r>
          </w:p>
        </w:tc>
        <w:tc>
          <w:tcPr>
            <w:tcW w:w="868" w:type="dxa"/>
            <w:vAlign w:val="center"/>
          </w:tcPr>
          <w:p>
            <w:pPr>
              <w:spacing w:before="60" w:after="60"/>
              <w:jc w:val="right"/>
              <w:rPr>
                <w:noProof/>
                <w:color w:val="000000" w:themeColor="text1"/>
                <w:sz w:val="20"/>
              </w:rPr>
            </w:pPr>
          </w:p>
        </w:tc>
        <w:tc>
          <w:tcPr>
            <w:tcW w:w="868" w:type="dxa"/>
            <w:vAlign w:val="center"/>
          </w:tcPr>
          <w:p>
            <w:pPr>
              <w:spacing w:before="60" w:after="60"/>
              <w:jc w:val="right"/>
              <w:rPr>
                <w:noProof/>
                <w:color w:val="000000" w:themeColor="text1"/>
                <w:sz w:val="20"/>
              </w:rPr>
            </w:pPr>
          </w:p>
        </w:tc>
        <w:tc>
          <w:tcPr>
            <w:tcW w:w="868" w:type="dxa"/>
            <w:vAlign w:val="center"/>
          </w:tcPr>
          <w:p>
            <w:pPr>
              <w:spacing w:before="60" w:after="60"/>
              <w:jc w:val="right"/>
              <w:rPr>
                <w:noProof/>
                <w:color w:val="000000" w:themeColor="text1"/>
                <w:sz w:val="20"/>
              </w:rPr>
            </w:pPr>
          </w:p>
        </w:tc>
        <w:tc>
          <w:tcPr>
            <w:tcW w:w="868" w:type="dxa"/>
            <w:vAlign w:val="center"/>
          </w:tcPr>
          <w:p>
            <w:pPr>
              <w:spacing w:before="60" w:after="60"/>
              <w:jc w:val="right"/>
              <w:rPr>
                <w:noProof/>
                <w:color w:val="000000" w:themeColor="text1"/>
                <w:sz w:val="20"/>
              </w:rPr>
            </w:pPr>
          </w:p>
        </w:tc>
        <w:tc>
          <w:tcPr>
            <w:tcW w:w="868" w:type="dxa"/>
            <w:vAlign w:val="center"/>
          </w:tcPr>
          <w:p>
            <w:pPr>
              <w:spacing w:before="60" w:after="60"/>
              <w:jc w:val="right"/>
              <w:rPr>
                <w:noProof/>
                <w:color w:val="000000" w:themeColor="text1"/>
                <w:sz w:val="20"/>
              </w:rPr>
            </w:pPr>
          </w:p>
        </w:tc>
        <w:tc>
          <w:tcPr>
            <w:tcW w:w="868" w:type="dxa"/>
            <w:vAlign w:val="center"/>
          </w:tcPr>
          <w:p>
            <w:pPr>
              <w:spacing w:before="60" w:after="60"/>
              <w:jc w:val="right"/>
              <w:rPr>
                <w:noProof/>
                <w:color w:val="000000" w:themeColor="text1"/>
                <w:sz w:val="20"/>
              </w:rPr>
            </w:pPr>
          </w:p>
        </w:tc>
        <w:tc>
          <w:tcPr>
            <w:tcW w:w="868" w:type="dxa"/>
            <w:vAlign w:val="center"/>
          </w:tcPr>
          <w:p>
            <w:pPr>
              <w:spacing w:before="60" w:after="60"/>
              <w:jc w:val="right"/>
              <w:rPr>
                <w:b/>
                <w:noProof/>
                <w:color w:val="000000" w:themeColor="text1"/>
                <w:sz w:val="20"/>
              </w:rPr>
            </w:pPr>
          </w:p>
        </w:tc>
        <w:tc>
          <w:tcPr>
            <w:tcW w:w="1777" w:type="dxa"/>
            <w:vAlign w:val="center"/>
          </w:tcPr>
          <w:p>
            <w:pPr>
              <w:spacing w:before="60" w:after="60"/>
              <w:jc w:val="right"/>
              <w:rPr>
                <w:b/>
                <w:noProof/>
                <w:color w:val="000000" w:themeColor="text1"/>
                <w:sz w:val="20"/>
              </w:rPr>
            </w:pPr>
          </w:p>
        </w:tc>
      </w:tr>
    </w:tbl>
    <w:p>
      <w:pPr>
        <w:rPr>
          <w:noProof/>
          <w:color w:val="000000" w:themeColor="text1"/>
        </w:rPr>
        <w:sectPr>
          <w:headerReference w:type="default" r:id="rId17"/>
          <w:footerReference w:type="default" r:id="rId18"/>
          <w:headerReference w:type="first" r:id="rId19"/>
          <w:footerReference w:type="first" r:id="rId20"/>
          <w:pgSz w:w="16840" w:h="11907" w:orient="landscape" w:code="9"/>
          <w:pgMar w:top="1134" w:right="1418" w:bottom="1134" w:left="1418" w:header="709" w:footer="709" w:gutter="0"/>
          <w:cols w:space="708"/>
          <w:docGrid w:linePitch="360"/>
        </w:sectPr>
      </w:pPr>
      <w:r>
        <w:rPr>
          <w:noProof/>
          <w:color w:val="000000" w:themeColor="text1"/>
        </w:rPr>
        <w:t xml:space="preserve">*Udgiftsområde 5: </w:t>
      </w:r>
      <w:r>
        <w:rPr>
          <w:noProof/>
          <w:color w:val="000000" w:themeColor="text1"/>
          <w:sz w:val="22"/>
        </w:rPr>
        <w:t>Administrationsomkostninger, herunder menneskelige ressourcer, vil blive sikret ved intern omfordeling i GD EAC.</w:t>
      </w:r>
    </w:p>
    <w:p>
      <w:pPr>
        <w:pStyle w:val="ManualHeading3"/>
        <w:rPr>
          <w:noProof/>
        </w:rPr>
      </w:pPr>
      <w:r>
        <w:t>3.2.2.</w:t>
      </w:r>
      <w:r>
        <w:tab/>
      </w:r>
      <w:r>
        <w:rPr>
          <w:noProof/>
        </w:rPr>
        <w:t>Anslåede virkninger for aktionsbevillingerne</w:t>
      </w:r>
    </w:p>
    <w:p>
      <w:pPr>
        <w:pStyle w:val="ListDash1"/>
        <w:rPr>
          <w:noProof/>
          <w:color w:val="000000" w:themeColor="text1"/>
        </w:rPr>
      </w:pPr>
      <w:r>
        <w:rPr>
          <w:noProof/>
          <w:color w:val="000000" w:themeColor="text1"/>
        </w:rPr>
        <w:sym w:font="Wingdings" w:char="F0A8"/>
      </w:r>
      <w:r>
        <w:rPr>
          <w:noProof/>
          <w:color w:val="000000" w:themeColor="text1"/>
        </w:rPr>
        <w:tab/>
        <w:t>Forslaget/initiativet medfører ikke anvendelse af aktionsbevillinger</w:t>
      </w:r>
    </w:p>
    <w:p>
      <w:pPr>
        <w:pStyle w:val="ListDash1"/>
        <w:rPr>
          <w:noProof/>
          <w:color w:val="000000" w:themeColor="text1"/>
        </w:rPr>
      </w:pPr>
      <w:r>
        <w:rPr>
          <w:noProof/>
          <w:color w:val="000000" w:themeColor="text1"/>
        </w:rPr>
        <w:t>X</w:t>
      </w:r>
      <w:r>
        <w:rPr>
          <w:noProof/>
          <w:color w:val="000000" w:themeColor="text1"/>
        </w:rPr>
        <w:tab/>
        <w:t>Forslaget/initiativet medfører anvendelse af aktionsbevillinger som anført herunder:</w:t>
      </w:r>
    </w:p>
    <w:p>
      <w:pPr>
        <w:jc w:val="right"/>
        <w:rPr>
          <w:noProof/>
          <w:color w:val="000000" w:themeColor="text1"/>
          <w:sz w:val="20"/>
        </w:rPr>
      </w:pPr>
      <w:r>
        <w:rPr>
          <w:noProof/>
          <w:color w:val="000000" w:themeColor="text1"/>
          <w:sz w:val="20"/>
        </w:rPr>
        <w:t>Forpligtelsesbevillinger i mio. EUR (3 decimaler)</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920"/>
        <w:gridCol w:w="425"/>
        <w:gridCol w:w="850"/>
        <w:gridCol w:w="270"/>
        <w:gridCol w:w="720"/>
        <w:gridCol w:w="720"/>
        <w:gridCol w:w="720"/>
        <w:gridCol w:w="859"/>
        <w:gridCol w:w="41"/>
        <w:gridCol w:w="720"/>
        <w:gridCol w:w="540"/>
        <w:gridCol w:w="648"/>
        <w:gridCol w:w="432"/>
        <w:gridCol w:w="720"/>
        <w:gridCol w:w="540"/>
        <w:gridCol w:w="720"/>
        <w:gridCol w:w="720"/>
        <w:gridCol w:w="900"/>
      </w:tblGrid>
      <w:tr>
        <w:trPr>
          <w:jc w:val="center"/>
        </w:trPr>
        <w:tc>
          <w:tcPr>
            <w:tcW w:w="1423" w:type="dxa"/>
            <w:vMerge w:val="restart"/>
            <w:vAlign w:val="center"/>
          </w:tcPr>
          <w:p>
            <w:pPr>
              <w:ind w:right="-29"/>
              <w:jc w:val="center"/>
              <w:rPr>
                <w:b/>
                <w:noProof/>
                <w:color w:val="000000" w:themeColor="text1"/>
                <w:sz w:val="18"/>
              </w:rPr>
            </w:pPr>
            <w:r>
              <w:rPr>
                <w:b/>
                <w:noProof/>
                <w:color w:val="000000" w:themeColor="text1"/>
                <w:sz w:val="18"/>
              </w:rPr>
              <w:t>Der angives mål og resultater</w:t>
            </w:r>
          </w:p>
          <w:p>
            <w:pPr>
              <w:ind w:right="-29"/>
              <w:jc w:val="center"/>
              <w:rPr>
                <w:b/>
                <w:noProof/>
                <w:color w:val="000000" w:themeColor="text1"/>
                <w:sz w:val="18"/>
                <w:szCs w:val="18"/>
              </w:rPr>
            </w:pPr>
          </w:p>
          <w:p>
            <w:pPr>
              <w:ind w:right="-29"/>
              <w:jc w:val="center"/>
              <w:rPr>
                <w:noProof/>
                <w:color w:val="000000" w:themeColor="text1"/>
                <w:sz w:val="18"/>
                <w:szCs w:val="18"/>
              </w:rPr>
            </w:pPr>
            <w:r>
              <w:rPr>
                <w:noProof/>
                <w:color w:val="000000" w:themeColor="text1"/>
                <w:sz w:val="18"/>
              </w:rPr>
              <w:sym w:font="Wingdings" w:char="F0F2"/>
            </w:r>
          </w:p>
        </w:tc>
        <w:tc>
          <w:tcPr>
            <w:tcW w:w="720" w:type="dxa"/>
            <w:vAlign w:val="center"/>
          </w:tcPr>
          <w:p>
            <w:pPr>
              <w:ind w:right="-29"/>
              <w:jc w:val="center"/>
              <w:rPr>
                <w:noProof/>
                <w:color w:val="000000" w:themeColor="text1"/>
                <w:sz w:val="18"/>
                <w:szCs w:val="18"/>
              </w:rPr>
            </w:pPr>
          </w:p>
        </w:tc>
        <w:tc>
          <w:tcPr>
            <w:tcW w:w="920" w:type="dxa"/>
            <w:vAlign w:val="center"/>
          </w:tcPr>
          <w:p>
            <w:pPr>
              <w:ind w:right="-29"/>
              <w:jc w:val="center"/>
              <w:rPr>
                <w:noProof/>
                <w:color w:val="000000" w:themeColor="text1"/>
                <w:sz w:val="18"/>
                <w:szCs w:val="18"/>
              </w:rPr>
            </w:pPr>
          </w:p>
        </w:tc>
        <w:tc>
          <w:tcPr>
            <w:tcW w:w="1275" w:type="dxa"/>
            <w:gridSpan w:val="2"/>
            <w:tcBorders>
              <w:left w:val="nil"/>
            </w:tcBorders>
            <w:vAlign w:val="center"/>
          </w:tcPr>
          <w:p>
            <w:pPr>
              <w:ind w:right="-29"/>
              <w:jc w:val="center"/>
              <w:rPr>
                <w:noProof/>
                <w:color w:val="000000" w:themeColor="text1"/>
                <w:sz w:val="18"/>
                <w:szCs w:val="18"/>
              </w:rPr>
            </w:pPr>
            <w:r>
              <w:rPr>
                <w:noProof/>
                <w:color w:val="000000" w:themeColor="text1"/>
                <w:sz w:val="18"/>
              </w:rPr>
              <w:t>År</w:t>
            </w:r>
            <w:r>
              <w:rPr>
                <w:noProof/>
                <w:color w:val="000000" w:themeColor="text1"/>
                <w:sz w:val="22"/>
              </w:rPr>
              <w:br/>
            </w:r>
            <w:r>
              <w:rPr>
                <w:b/>
                <w:noProof/>
                <w:color w:val="000000" w:themeColor="text1"/>
                <w:sz w:val="18"/>
              </w:rPr>
              <w:t>N</w:t>
            </w:r>
          </w:p>
        </w:tc>
        <w:tc>
          <w:tcPr>
            <w:tcW w:w="990" w:type="dxa"/>
            <w:gridSpan w:val="2"/>
            <w:vAlign w:val="center"/>
          </w:tcPr>
          <w:p>
            <w:pPr>
              <w:ind w:right="-29"/>
              <w:jc w:val="center"/>
              <w:rPr>
                <w:noProof/>
                <w:color w:val="000000" w:themeColor="text1"/>
                <w:sz w:val="18"/>
                <w:szCs w:val="18"/>
              </w:rPr>
            </w:pPr>
            <w:r>
              <w:rPr>
                <w:noProof/>
                <w:color w:val="000000" w:themeColor="text1"/>
                <w:sz w:val="18"/>
              </w:rPr>
              <w:t>År</w:t>
            </w:r>
            <w:r>
              <w:rPr>
                <w:noProof/>
                <w:color w:val="000000" w:themeColor="text1"/>
                <w:sz w:val="22"/>
              </w:rPr>
              <w:br/>
            </w:r>
            <w:r>
              <w:rPr>
                <w:b/>
                <w:noProof/>
                <w:color w:val="000000" w:themeColor="text1"/>
                <w:sz w:val="18"/>
              </w:rPr>
              <w:t>N+1</w:t>
            </w:r>
          </w:p>
        </w:tc>
        <w:tc>
          <w:tcPr>
            <w:tcW w:w="1440" w:type="dxa"/>
            <w:gridSpan w:val="2"/>
            <w:vAlign w:val="center"/>
          </w:tcPr>
          <w:p>
            <w:pPr>
              <w:ind w:right="-29"/>
              <w:jc w:val="center"/>
              <w:rPr>
                <w:noProof/>
                <w:color w:val="000000" w:themeColor="text1"/>
                <w:sz w:val="18"/>
                <w:szCs w:val="18"/>
              </w:rPr>
            </w:pPr>
            <w:r>
              <w:rPr>
                <w:noProof/>
                <w:color w:val="000000" w:themeColor="text1"/>
                <w:sz w:val="18"/>
              </w:rPr>
              <w:t>År</w:t>
            </w:r>
            <w:r>
              <w:rPr>
                <w:noProof/>
                <w:color w:val="000000" w:themeColor="text1"/>
                <w:sz w:val="22"/>
              </w:rPr>
              <w:br/>
            </w:r>
            <w:r>
              <w:rPr>
                <w:b/>
                <w:noProof/>
                <w:color w:val="000000" w:themeColor="text1"/>
                <w:sz w:val="18"/>
              </w:rPr>
              <w:t>N+2</w:t>
            </w:r>
          </w:p>
        </w:tc>
        <w:tc>
          <w:tcPr>
            <w:tcW w:w="1620" w:type="dxa"/>
            <w:gridSpan w:val="3"/>
            <w:vAlign w:val="center"/>
          </w:tcPr>
          <w:p>
            <w:pPr>
              <w:ind w:right="-29"/>
              <w:jc w:val="center"/>
              <w:rPr>
                <w:noProof/>
                <w:color w:val="000000" w:themeColor="text1"/>
                <w:sz w:val="18"/>
                <w:szCs w:val="18"/>
              </w:rPr>
            </w:pPr>
            <w:r>
              <w:rPr>
                <w:noProof/>
                <w:color w:val="000000" w:themeColor="text1"/>
                <w:sz w:val="18"/>
              </w:rPr>
              <w:t>År</w:t>
            </w:r>
            <w:r>
              <w:rPr>
                <w:noProof/>
                <w:color w:val="000000" w:themeColor="text1"/>
                <w:sz w:val="22"/>
              </w:rPr>
              <w:br/>
            </w:r>
            <w:r>
              <w:rPr>
                <w:b/>
                <w:noProof/>
                <w:color w:val="000000" w:themeColor="text1"/>
                <w:sz w:val="18"/>
              </w:rPr>
              <w:t>N+3</w:t>
            </w:r>
          </w:p>
        </w:tc>
        <w:tc>
          <w:tcPr>
            <w:tcW w:w="3600" w:type="dxa"/>
            <w:gridSpan w:val="6"/>
            <w:vAlign w:val="center"/>
          </w:tcPr>
          <w:p>
            <w:pPr>
              <w:jc w:val="center"/>
              <w:rPr>
                <w:noProof/>
                <w:color w:val="000000" w:themeColor="text1"/>
                <w:sz w:val="18"/>
                <w:szCs w:val="18"/>
              </w:rPr>
            </w:pPr>
            <w:r>
              <w:rPr>
                <w:noProof/>
                <w:color w:val="000000" w:themeColor="text1"/>
                <w:sz w:val="18"/>
              </w:rPr>
              <w:t>Der indsættes flere år, hvis virkningerne varer længere (jf. punkt 1.6)</w:t>
            </w:r>
          </w:p>
        </w:tc>
        <w:tc>
          <w:tcPr>
            <w:tcW w:w="1620" w:type="dxa"/>
            <w:gridSpan w:val="2"/>
            <w:tcBorders>
              <w:left w:val="nil"/>
              <w:bottom w:val="nil"/>
            </w:tcBorders>
            <w:vAlign w:val="center"/>
          </w:tcPr>
          <w:p>
            <w:pPr>
              <w:ind w:right="-29"/>
              <w:jc w:val="center"/>
              <w:rPr>
                <w:noProof/>
                <w:color w:val="000000" w:themeColor="text1"/>
                <w:sz w:val="18"/>
                <w:szCs w:val="18"/>
              </w:rPr>
            </w:pPr>
            <w:r>
              <w:rPr>
                <w:b/>
                <w:noProof/>
                <w:color w:val="000000" w:themeColor="text1"/>
                <w:sz w:val="18"/>
              </w:rPr>
              <w:t>I ALT</w:t>
            </w:r>
          </w:p>
        </w:tc>
      </w:tr>
      <w:tr>
        <w:trPr>
          <w:jc w:val="center"/>
        </w:trPr>
        <w:tc>
          <w:tcPr>
            <w:tcW w:w="1423" w:type="dxa"/>
            <w:vMerge/>
            <w:vAlign w:val="center"/>
          </w:tcPr>
          <w:p>
            <w:pPr>
              <w:ind w:right="-29"/>
              <w:jc w:val="center"/>
              <w:rPr>
                <w:noProof/>
                <w:color w:val="000000" w:themeColor="text1"/>
                <w:sz w:val="18"/>
                <w:szCs w:val="18"/>
              </w:rPr>
            </w:pPr>
          </w:p>
        </w:tc>
        <w:tc>
          <w:tcPr>
            <w:tcW w:w="12185" w:type="dxa"/>
            <w:gridSpan w:val="19"/>
            <w:vAlign w:val="center"/>
          </w:tcPr>
          <w:p>
            <w:pPr>
              <w:spacing w:before="60" w:after="60"/>
              <w:ind w:right="-29"/>
              <w:jc w:val="center"/>
              <w:rPr>
                <w:noProof/>
                <w:color w:val="000000" w:themeColor="text1"/>
                <w:sz w:val="18"/>
                <w:szCs w:val="18"/>
              </w:rPr>
            </w:pPr>
            <w:r>
              <w:rPr>
                <w:b/>
                <w:noProof/>
                <w:color w:val="000000" w:themeColor="text1"/>
                <w:sz w:val="18"/>
              </w:rPr>
              <w:t>RESULTATER</w:t>
            </w:r>
          </w:p>
        </w:tc>
      </w:tr>
      <w:tr>
        <w:trPr>
          <w:cantSplit/>
          <w:trHeight w:val="1134"/>
          <w:jc w:val="center"/>
        </w:trPr>
        <w:tc>
          <w:tcPr>
            <w:tcW w:w="1423" w:type="dxa"/>
            <w:vMerge/>
            <w:vAlign w:val="center"/>
          </w:tcPr>
          <w:p>
            <w:pPr>
              <w:rPr>
                <w:noProof/>
                <w:color w:val="000000" w:themeColor="text1"/>
                <w:sz w:val="18"/>
                <w:szCs w:val="18"/>
              </w:rPr>
            </w:pPr>
          </w:p>
        </w:tc>
        <w:tc>
          <w:tcPr>
            <w:tcW w:w="720" w:type="dxa"/>
            <w:vAlign w:val="center"/>
          </w:tcPr>
          <w:p>
            <w:pPr>
              <w:jc w:val="center"/>
              <w:rPr>
                <w:noProof/>
                <w:color w:val="000000" w:themeColor="text1"/>
                <w:sz w:val="18"/>
                <w:szCs w:val="18"/>
              </w:rPr>
            </w:pPr>
            <w:r>
              <w:rPr>
                <w:noProof/>
                <w:color w:val="000000" w:themeColor="text1"/>
                <w:sz w:val="18"/>
              </w:rPr>
              <w:t>Art</w:t>
            </w:r>
            <w:r>
              <w:rPr>
                <w:rStyle w:val="FootnoteReference"/>
                <w:noProof/>
                <w:color w:val="000000" w:themeColor="text1"/>
                <w:sz w:val="18"/>
              </w:rPr>
              <w:footnoteReference w:id="36"/>
            </w:r>
          </w:p>
          <w:p>
            <w:pPr>
              <w:spacing w:before="0" w:after="0"/>
              <w:jc w:val="center"/>
              <w:rPr>
                <w:noProof/>
                <w:color w:val="000000" w:themeColor="text1"/>
                <w:sz w:val="18"/>
                <w:szCs w:val="18"/>
              </w:rPr>
            </w:pPr>
          </w:p>
        </w:tc>
        <w:tc>
          <w:tcPr>
            <w:tcW w:w="920" w:type="dxa"/>
            <w:vAlign w:val="center"/>
          </w:tcPr>
          <w:p>
            <w:pPr>
              <w:jc w:val="center"/>
              <w:rPr>
                <w:noProof/>
                <w:color w:val="000000" w:themeColor="text1"/>
                <w:sz w:val="18"/>
                <w:szCs w:val="18"/>
              </w:rPr>
            </w:pPr>
            <w:r>
              <w:rPr>
                <w:noProof/>
                <w:color w:val="000000" w:themeColor="text1"/>
                <w:sz w:val="18"/>
              </w:rPr>
              <w:t>Gennemsnitlige omkostninger</w:t>
            </w:r>
          </w:p>
        </w:tc>
        <w:tc>
          <w:tcPr>
            <w:tcW w:w="425" w:type="dxa"/>
            <w:tcBorders>
              <w:left w:val="nil"/>
              <w:right w:val="dashSmallGap" w:sz="4" w:space="0" w:color="auto"/>
            </w:tcBorders>
            <w:shd w:val="pct10" w:color="auto" w:fill="auto"/>
            <w:textDirection w:val="btLr"/>
            <w:vAlign w:val="center"/>
          </w:tcPr>
          <w:p>
            <w:pPr>
              <w:ind w:left="113" w:right="113"/>
              <w:jc w:val="center"/>
              <w:rPr>
                <w:noProof/>
                <w:color w:val="000000" w:themeColor="text1"/>
                <w:sz w:val="18"/>
                <w:szCs w:val="18"/>
              </w:rPr>
            </w:pPr>
            <w:r>
              <w:rPr>
                <w:noProof/>
                <w:color w:val="000000" w:themeColor="text1"/>
                <w:sz w:val="18"/>
              </w:rPr>
              <w:t>Nej</w:t>
            </w:r>
          </w:p>
        </w:tc>
        <w:tc>
          <w:tcPr>
            <w:tcW w:w="850" w:type="dxa"/>
            <w:tcBorders>
              <w:left w:val="dashSmallGap" w:sz="4" w:space="0" w:color="auto"/>
            </w:tcBorders>
            <w:shd w:val="pct10" w:color="auto" w:fill="auto"/>
            <w:vAlign w:val="center"/>
          </w:tcPr>
          <w:p>
            <w:pPr>
              <w:jc w:val="center"/>
              <w:rPr>
                <w:noProof/>
                <w:color w:val="000000" w:themeColor="text1"/>
                <w:sz w:val="18"/>
                <w:szCs w:val="18"/>
              </w:rPr>
            </w:pPr>
            <w:r>
              <w:rPr>
                <w:noProof/>
                <w:color w:val="000000" w:themeColor="text1"/>
                <w:sz w:val="18"/>
              </w:rPr>
              <w:t>Omkostninger</w:t>
            </w:r>
          </w:p>
        </w:tc>
        <w:tc>
          <w:tcPr>
            <w:tcW w:w="270" w:type="dxa"/>
            <w:tcBorders>
              <w:right w:val="dashSmallGap" w:sz="4" w:space="0" w:color="auto"/>
            </w:tcBorders>
            <w:shd w:val="pct10" w:color="auto" w:fill="auto"/>
            <w:textDirection w:val="btLr"/>
            <w:vAlign w:val="center"/>
          </w:tcPr>
          <w:p>
            <w:pPr>
              <w:ind w:left="113" w:right="113"/>
              <w:jc w:val="center"/>
              <w:rPr>
                <w:noProof/>
                <w:color w:val="000000" w:themeColor="text1"/>
                <w:sz w:val="18"/>
                <w:szCs w:val="18"/>
              </w:rPr>
            </w:pPr>
            <w:r>
              <w:rPr>
                <w:noProof/>
                <w:color w:val="000000" w:themeColor="text1"/>
                <w:sz w:val="18"/>
              </w:rPr>
              <w:t>Nej</w:t>
            </w:r>
          </w:p>
        </w:tc>
        <w:tc>
          <w:tcPr>
            <w:tcW w:w="720" w:type="dxa"/>
            <w:tcBorders>
              <w:left w:val="dashSmallGap" w:sz="4" w:space="0" w:color="auto"/>
            </w:tcBorders>
            <w:shd w:val="pct10" w:color="auto" w:fill="auto"/>
            <w:vAlign w:val="center"/>
          </w:tcPr>
          <w:p>
            <w:pPr>
              <w:jc w:val="center"/>
              <w:rPr>
                <w:noProof/>
                <w:color w:val="000000" w:themeColor="text1"/>
                <w:sz w:val="18"/>
                <w:szCs w:val="18"/>
              </w:rPr>
            </w:pPr>
            <w:r>
              <w:rPr>
                <w:noProof/>
                <w:color w:val="000000" w:themeColor="text1"/>
                <w:sz w:val="18"/>
              </w:rPr>
              <w:t>Omkostninger</w:t>
            </w:r>
          </w:p>
        </w:tc>
        <w:tc>
          <w:tcPr>
            <w:tcW w:w="720" w:type="dxa"/>
            <w:tcBorders>
              <w:right w:val="dashSmallGap" w:sz="4" w:space="0" w:color="auto"/>
            </w:tcBorders>
            <w:shd w:val="pct10" w:color="auto" w:fill="auto"/>
            <w:textDirection w:val="btLr"/>
            <w:vAlign w:val="center"/>
          </w:tcPr>
          <w:p>
            <w:pPr>
              <w:ind w:left="113" w:right="113"/>
              <w:jc w:val="center"/>
              <w:rPr>
                <w:noProof/>
                <w:color w:val="000000" w:themeColor="text1"/>
                <w:sz w:val="18"/>
                <w:szCs w:val="18"/>
              </w:rPr>
            </w:pPr>
            <w:r>
              <w:rPr>
                <w:noProof/>
                <w:color w:val="000000" w:themeColor="text1"/>
                <w:sz w:val="18"/>
              </w:rPr>
              <w:t>Nej</w:t>
            </w:r>
          </w:p>
        </w:tc>
        <w:tc>
          <w:tcPr>
            <w:tcW w:w="720" w:type="dxa"/>
            <w:tcBorders>
              <w:left w:val="dashSmallGap" w:sz="4" w:space="0" w:color="auto"/>
            </w:tcBorders>
            <w:shd w:val="pct10" w:color="auto" w:fill="auto"/>
            <w:vAlign w:val="center"/>
          </w:tcPr>
          <w:p>
            <w:pPr>
              <w:jc w:val="center"/>
              <w:rPr>
                <w:noProof/>
                <w:color w:val="000000" w:themeColor="text1"/>
                <w:sz w:val="18"/>
                <w:szCs w:val="18"/>
              </w:rPr>
            </w:pPr>
            <w:r>
              <w:rPr>
                <w:noProof/>
                <w:color w:val="000000" w:themeColor="text1"/>
                <w:sz w:val="18"/>
              </w:rPr>
              <w:t>Omkostninger</w:t>
            </w:r>
          </w:p>
        </w:tc>
        <w:tc>
          <w:tcPr>
            <w:tcW w:w="900" w:type="dxa"/>
            <w:gridSpan w:val="2"/>
            <w:tcBorders>
              <w:right w:val="dashSmallGap" w:sz="4" w:space="0" w:color="auto"/>
            </w:tcBorders>
            <w:shd w:val="pct10" w:color="auto" w:fill="auto"/>
            <w:textDirection w:val="btLr"/>
            <w:vAlign w:val="center"/>
          </w:tcPr>
          <w:p>
            <w:pPr>
              <w:ind w:left="113" w:right="113"/>
              <w:jc w:val="center"/>
              <w:rPr>
                <w:noProof/>
                <w:color w:val="000000" w:themeColor="text1"/>
                <w:sz w:val="18"/>
                <w:szCs w:val="18"/>
              </w:rPr>
            </w:pPr>
            <w:r>
              <w:rPr>
                <w:noProof/>
                <w:color w:val="000000" w:themeColor="text1"/>
                <w:sz w:val="18"/>
              </w:rPr>
              <w:t>Nej</w:t>
            </w:r>
          </w:p>
        </w:tc>
        <w:tc>
          <w:tcPr>
            <w:tcW w:w="720" w:type="dxa"/>
            <w:tcBorders>
              <w:left w:val="dashSmallGap" w:sz="4" w:space="0" w:color="auto"/>
            </w:tcBorders>
            <w:shd w:val="pct10" w:color="auto" w:fill="auto"/>
            <w:vAlign w:val="center"/>
          </w:tcPr>
          <w:p>
            <w:pPr>
              <w:jc w:val="center"/>
              <w:rPr>
                <w:noProof/>
                <w:color w:val="000000" w:themeColor="text1"/>
                <w:sz w:val="18"/>
                <w:szCs w:val="18"/>
              </w:rPr>
            </w:pPr>
            <w:r>
              <w:rPr>
                <w:noProof/>
                <w:color w:val="000000" w:themeColor="text1"/>
                <w:sz w:val="18"/>
              </w:rPr>
              <w:t>Omkostninger</w:t>
            </w:r>
          </w:p>
        </w:tc>
        <w:tc>
          <w:tcPr>
            <w:tcW w:w="540" w:type="dxa"/>
            <w:tcBorders>
              <w:right w:val="dashSmallGap" w:sz="4" w:space="0" w:color="auto"/>
            </w:tcBorders>
            <w:shd w:val="pct10" w:color="auto" w:fill="auto"/>
            <w:textDirection w:val="btLr"/>
            <w:vAlign w:val="center"/>
          </w:tcPr>
          <w:p>
            <w:pPr>
              <w:ind w:left="113" w:right="113"/>
              <w:jc w:val="center"/>
              <w:rPr>
                <w:noProof/>
                <w:color w:val="000000" w:themeColor="text1"/>
                <w:sz w:val="18"/>
                <w:szCs w:val="18"/>
              </w:rPr>
            </w:pPr>
            <w:r>
              <w:rPr>
                <w:noProof/>
                <w:color w:val="000000" w:themeColor="text1"/>
                <w:sz w:val="18"/>
              </w:rPr>
              <w:t>Nej</w:t>
            </w:r>
          </w:p>
        </w:tc>
        <w:tc>
          <w:tcPr>
            <w:tcW w:w="648" w:type="dxa"/>
            <w:tcBorders>
              <w:left w:val="dashSmallGap" w:sz="4" w:space="0" w:color="auto"/>
            </w:tcBorders>
            <w:shd w:val="pct10" w:color="auto" w:fill="auto"/>
            <w:vAlign w:val="center"/>
          </w:tcPr>
          <w:p>
            <w:pPr>
              <w:jc w:val="center"/>
              <w:rPr>
                <w:noProof/>
                <w:color w:val="000000" w:themeColor="text1"/>
                <w:sz w:val="18"/>
                <w:szCs w:val="18"/>
              </w:rPr>
            </w:pPr>
            <w:r>
              <w:rPr>
                <w:noProof/>
                <w:color w:val="000000" w:themeColor="text1"/>
                <w:sz w:val="18"/>
              </w:rPr>
              <w:t>Omkostninger</w:t>
            </w:r>
          </w:p>
        </w:tc>
        <w:tc>
          <w:tcPr>
            <w:tcW w:w="432" w:type="dxa"/>
            <w:tcBorders>
              <w:right w:val="dashSmallGap" w:sz="4" w:space="0" w:color="auto"/>
            </w:tcBorders>
            <w:shd w:val="pct10" w:color="auto" w:fill="auto"/>
            <w:textDirection w:val="btLr"/>
            <w:vAlign w:val="center"/>
          </w:tcPr>
          <w:p>
            <w:pPr>
              <w:ind w:left="113" w:right="113"/>
              <w:jc w:val="center"/>
              <w:rPr>
                <w:noProof/>
                <w:color w:val="000000" w:themeColor="text1"/>
                <w:sz w:val="18"/>
                <w:szCs w:val="18"/>
              </w:rPr>
            </w:pPr>
            <w:r>
              <w:rPr>
                <w:noProof/>
                <w:color w:val="000000" w:themeColor="text1"/>
                <w:sz w:val="18"/>
              </w:rPr>
              <w:t>Nej</w:t>
            </w:r>
          </w:p>
        </w:tc>
        <w:tc>
          <w:tcPr>
            <w:tcW w:w="720" w:type="dxa"/>
            <w:tcBorders>
              <w:left w:val="dashSmallGap" w:sz="4" w:space="0" w:color="auto"/>
            </w:tcBorders>
            <w:shd w:val="pct10" w:color="auto" w:fill="auto"/>
            <w:vAlign w:val="center"/>
          </w:tcPr>
          <w:p>
            <w:pPr>
              <w:jc w:val="center"/>
              <w:rPr>
                <w:noProof/>
                <w:color w:val="000000" w:themeColor="text1"/>
                <w:sz w:val="18"/>
                <w:szCs w:val="18"/>
              </w:rPr>
            </w:pPr>
            <w:r>
              <w:rPr>
                <w:noProof/>
                <w:color w:val="000000" w:themeColor="text1"/>
                <w:sz w:val="18"/>
              </w:rPr>
              <w:t>Omkostninger</w:t>
            </w:r>
          </w:p>
        </w:tc>
        <w:tc>
          <w:tcPr>
            <w:tcW w:w="540" w:type="dxa"/>
            <w:tcBorders>
              <w:right w:val="dashSmallGap" w:sz="4" w:space="0" w:color="auto"/>
            </w:tcBorders>
            <w:shd w:val="pct10" w:color="auto" w:fill="auto"/>
            <w:textDirection w:val="btLr"/>
            <w:vAlign w:val="center"/>
          </w:tcPr>
          <w:p>
            <w:pPr>
              <w:ind w:left="113" w:right="113"/>
              <w:jc w:val="center"/>
              <w:rPr>
                <w:noProof/>
                <w:color w:val="000000" w:themeColor="text1"/>
                <w:sz w:val="18"/>
                <w:szCs w:val="18"/>
              </w:rPr>
            </w:pPr>
            <w:r>
              <w:rPr>
                <w:noProof/>
                <w:color w:val="000000" w:themeColor="text1"/>
                <w:sz w:val="18"/>
              </w:rPr>
              <w:t>Nej</w:t>
            </w:r>
          </w:p>
        </w:tc>
        <w:tc>
          <w:tcPr>
            <w:tcW w:w="720" w:type="dxa"/>
            <w:tcBorders>
              <w:left w:val="dashSmallGap" w:sz="4" w:space="0" w:color="auto"/>
            </w:tcBorders>
            <w:shd w:val="pct10" w:color="auto" w:fill="auto"/>
            <w:vAlign w:val="center"/>
          </w:tcPr>
          <w:p>
            <w:pPr>
              <w:jc w:val="center"/>
              <w:rPr>
                <w:noProof/>
                <w:color w:val="000000" w:themeColor="text1"/>
                <w:sz w:val="18"/>
                <w:szCs w:val="18"/>
              </w:rPr>
            </w:pPr>
            <w:r>
              <w:rPr>
                <w:noProof/>
                <w:color w:val="000000" w:themeColor="text1"/>
                <w:sz w:val="18"/>
              </w:rPr>
              <w:t>Omkostninger</w:t>
            </w:r>
          </w:p>
        </w:tc>
        <w:tc>
          <w:tcPr>
            <w:tcW w:w="720" w:type="dxa"/>
            <w:tcBorders>
              <w:right w:val="dashSmallGap" w:sz="4" w:space="0" w:color="auto"/>
            </w:tcBorders>
            <w:shd w:val="pct10" w:color="auto" w:fill="auto"/>
            <w:vAlign w:val="center"/>
          </w:tcPr>
          <w:p>
            <w:pPr>
              <w:jc w:val="center"/>
              <w:rPr>
                <w:noProof/>
                <w:color w:val="000000" w:themeColor="text1"/>
                <w:sz w:val="18"/>
                <w:szCs w:val="18"/>
              </w:rPr>
            </w:pPr>
            <w:r>
              <w:rPr>
                <w:noProof/>
                <w:color w:val="000000" w:themeColor="text1"/>
                <w:sz w:val="18"/>
              </w:rPr>
              <w:t>Antal nej</w:t>
            </w:r>
          </w:p>
        </w:tc>
        <w:tc>
          <w:tcPr>
            <w:tcW w:w="900" w:type="dxa"/>
            <w:tcBorders>
              <w:left w:val="dashSmallGap" w:sz="4" w:space="0" w:color="auto"/>
            </w:tcBorders>
            <w:shd w:val="pct10" w:color="auto" w:fill="auto"/>
            <w:vAlign w:val="center"/>
          </w:tcPr>
          <w:p>
            <w:pPr>
              <w:jc w:val="center"/>
              <w:rPr>
                <w:noProof/>
                <w:color w:val="000000" w:themeColor="text1"/>
                <w:sz w:val="18"/>
                <w:szCs w:val="18"/>
              </w:rPr>
            </w:pPr>
            <w:r>
              <w:rPr>
                <w:noProof/>
                <w:color w:val="000000" w:themeColor="text1"/>
                <w:sz w:val="18"/>
              </w:rPr>
              <w:t>Samlede omkostninger</w:t>
            </w:r>
          </w:p>
        </w:tc>
      </w:tr>
      <w:tr>
        <w:trPr>
          <w:jc w:val="center"/>
        </w:trPr>
        <w:tc>
          <w:tcPr>
            <w:tcW w:w="3063" w:type="dxa"/>
            <w:gridSpan w:val="3"/>
            <w:vAlign w:val="center"/>
          </w:tcPr>
          <w:p>
            <w:pPr>
              <w:spacing w:before="60" w:after="60"/>
              <w:ind w:right="-29"/>
              <w:jc w:val="center"/>
              <w:rPr>
                <w:noProof/>
                <w:color w:val="000000" w:themeColor="text1"/>
                <w:sz w:val="18"/>
                <w:szCs w:val="18"/>
              </w:rPr>
            </w:pPr>
            <w:r>
              <w:rPr>
                <w:noProof/>
                <w:color w:val="000000" w:themeColor="text1"/>
                <w:sz w:val="18"/>
              </w:rPr>
              <w:t>SPECIFIKT MÅL NR. 1</w:t>
            </w:r>
            <w:r>
              <w:rPr>
                <w:rStyle w:val="FootnoteReference"/>
                <w:noProof/>
                <w:color w:val="000000" w:themeColor="text1"/>
                <w:sz w:val="18"/>
              </w:rPr>
              <w:footnoteReference w:id="37"/>
            </w:r>
            <w:r>
              <w:rPr>
                <w:noProof/>
                <w:color w:val="000000" w:themeColor="text1"/>
                <w:sz w:val="18"/>
              </w:rPr>
              <w:t>...</w:t>
            </w:r>
          </w:p>
        </w:tc>
        <w:tc>
          <w:tcPr>
            <w:tcW w:w="425" w:type="dxa"/>
            <w:tcBorders>
              <w:top w:val="nil"/>
              <w:left w:val="nil"/>
              <w:bottom w:val="nil"/>
              <w:right w:val="nil"/>
            </w:tcBorders>
          </w:tcPr>
          <w:p>
            <w:pPr>
              <w:spacing w:before="60" w:after="60"/>
              <w:ind w:right="-29"/>
              <w:jc w:val="center"/>
              <w:rPr>
                <w:noProof/>
                <w:color w:val="000000" w:themeColor="text1"/>
                <w:sz w:val="18"/>
                <w:szCs w:val="18"/>
              </w:rPr>
            </w:pPr>
          </w:p>
        </w:tc>
        <w:tc>
          <w:tcPr>
            <w:tcW w:w="850" w:type="dxa"/>
            <w:tcBorders>
              <w:top w:val="nil"/>
              <w:left w:val="nil"/>
              <w:bottom w:val="nil"/>
              <w:right w:val="nil"/>
            </w:tcBorders>
          </w:tcPr>
          <w:p>
            <w:pPr>
              <w:spacing w:before="60" w:after="60"/>
              <w:ind w:right="-29"/>
              <w:jc w:val="center"/>
              <w:rPr>
                <w:noProof/>
                <w:color w:val="000000" w:themeColor="text1"/>
                <w:sz w:val="18"/>
                <w:szCs w:val="18"/>
              </w:rPr>
            </w:pPr>
          </w:p>
        </w:tc>
        <w:tc>
          <w:tcPr>
            <w:tcW w:w="270" w:type="dxa"/>
            <w:tcBorders>
              <w:top w:val="nil"/>
              <w:left w:val="nil"/>
              <w:bottom w:val="nil"/>
              <w:right w:val="nil"/>
            </w:tcBorders>
          </w:tcPr>
          <w:p>
            <w:pPr>
              <w:spacing w:before="60" w:after="60"/>
              <w:ind w:right="-29"/>
              <w:jc w:val="center"/>
              <w:rPr>
                <w:noProof/>
                <w:color w:val="000000" w:themeColor="text1"/>
                <w:sz w:val="18"/>
                <w:szCs w:val="18"/>
              </w:rPr>
            </w:pPr>
          </w:p>
        </w:tc>
        <w:tc>
          <w:tcPr>
            <w:tcW w:w="720" w:type="dxa"/>
            <w:tcBorders>
              <w:top w:val="nil"/>
              <w:left w:val="nil"/>
              <w:bottom w:val="nil"/>
              <w:right w:val="nil"/>
            </w:tcBorders>
          </w:tcPr>
          <w:p>
            <w:pPr>
              <w:spacing w:before="60" w:after="60"/>
              <w:ind w:right="-29"/>
              <w:jc w:val="center"/>
              <w:rPr>
                <w:noProof/>
                <w:color w:val="000000" w:themeColor="text1"/>
                <w:sz w:val="18"/>
                <w:szCs w:val="18"/>
              </w:rPr>
            </w:pPr>
          </w:p>
        </w:tc>
        <w:tc>
          <w:tcPr>
            <w:tcW w:w="720" w:type="dxa"/>
            <w:tcBorders>
              <w:top w:val="nil"/>
              <w:left w:val="nil"/>
              <w:bottom w:val="nil"/>
              <w:right w:val="nil"/>
            </w:tcBorders>
          </w:tcPr>
          <w:p>
            <w:pPr>
              <w:spacing w:before="60" w:after="60"/>
              <w:ind w:right="-29"/>
              <w:jc w:val="center"/>
              <w:rPr>
                <w:noProof/>
                <w:color w:val="000000" w:themeColor="text1"/>
                <w:sz w:val="18"/>
                <w:szCs w:val="18"/>
              </w:rPr>
            </w:pPr>
          </w:p>
        </w:tc>
        <w:tc>
          <w:tcPr>
            <w:tcW w:w="720" w:type="dxa"/>
            <w:tcBorders>
              <w:top w:val="nil"/>
              <w:left w:val="nil"/>
              <w:bottom w:val="nil"/>
              <w:right w:val="nil"/>
            </w:tcBorders>
          </w:tcPr>
          <w:p>
            <w:pPr>
              <w:spacing w:before="60" w:after="60"/>
              <w:ind w:right="-29"/>
              <w:jc w:val="center"/>
              <w:rPr>
                <w:noProof/>
                <w:color w:val="000000" w:themeColor="text1"/>
                <w:sz w:val="18"/>
                <w:szCs w:val="18"/>
              </w:rPr>
            </w:pPr>
          </w:p>
        </w:tc>
        <w:tc>
          <w:tcPr>
            <w:tcW w:w="900" w:type="dxa"/>
            <w:gridSpan w:val="2"/>
            <w:tcBorders>
              <w:top w:val="nil"/>
              <w:left w:val="nil"/>
              <w:bottom w:val="nil"/>
              <w:right w:val="nil"/>
            </w:tcBorders>
          </w:tcPr>
          <w:p>
            <w:pPr>
              <w:spacing w:before="60" w:after="60"/>
              <w:ind w:right="-29"/>
              <w:jc w:val="center"/>
              <w:rPr>
                <w:noProof/>
                <w:color w:val="000000" w:themeColor="text1"/>
                <w:sz w:val="18"/>
                <w:szCs w:val="18"/>
              </w:rPr>
            </w:pPr>
          </w:p>
        </w:tc>
        <w:tc>
          <w:tcPr>
            <w:tcW w:w="720" w:type="dxa"/>
            <w:tcBorders>
              <w:top w:val="nil"/>
              <w:left w:val="nil"/>
              <w:bottom w:val="nil"/>
              <w:right w:val="nil"/>
            </w:tcBorders>
          </w:tcPr>
          <w:p>
            <w:pPr>
              <w:spacing w:before="60" w:after="60"/>
              <w:ind w:right="-29"/>
              <w:jc w:val="center"/>
              <w:rPr>
                <w:noProof/>
                <w:color w:val="000000" w:themeColor="text1"/>
                <w:sz w:val="18"/>
                <w:szCs w:val="18"/>
              </w:rPr>
            </w:pPr>
          </w:p>
        </w:tc>
        <w:tc>
          <w:tcPr>
            <w:tcW w:w="540" w:type="dxa"/>
            <w:tcBorders>
              <w:top w:val="nil"/>
              <w:left w:val="nil"/>
              <w:bottom w:val="nil"/>
              <w:right w:val="nil"/>
            </w:tcBorders>
          </w:tcPr>
          <w:p>
            <w:pPr>
              <w:spacing w:before="60" w:after="60"/>
              <w:ind w:right="-29"/>
              <w:jc w:val="center"/>
              <w:rPr>
                <w:noProof/>
                <w:color w:val="000000" w:themeColor="text1"/>
                <w:sz w:val="18"/>
                <w:szCs w:val="18"/>
              </w:rPr>
            </w:pPr>
          </w:p>
        </w:tc>
        <w:tc>
          <w:tcPr>
            <w:tcW w:w="648" w:type="dxa"/>
            <w:tcBorders>
              <w:top w:val="nil"/>
              <w:left w:val="nil"/>
              <w:bottom w:val="nil"/>
              <w:right w:val="nil"/>
            </w:tcBorders>
          </w:tcPr>
          <w:p>
            <w:pPr>
              <w:spacing w:before="60" w:after="60"/>
              <w:ind w:right="-29"/>
              <w:jc w:val="center"/>
              <w:rPr>
                <w:noProof/>
                <w:color w:val="000000" w:themeColor="text1"/>
                <w:sz w:val="18"/>
                <w:szCs w:val="18"/>
              </w:rPr>
            </w:pPr>
          </w:p>
        </w:tc>
        <w:tc>
          <w:tcPr>
            <w:tcW w:w="432" w:type="dxa"/>
            <w:tcBorders>
              <w:top w:val="nil"/>
              <w:left w:val="nil"/>
              <w:bottom w:val="nil"/>
              <w:right w:val="nil"/>
            </w:tcBorders>
          </w:tcPr>
          <w:p>
            <w:pPr>
              <w:spacing w:before="60" w:after="60"/>
              <w:ind w:right="-29"/>
              <w:jc w:val="center"/>
              <w:rPr>
                <w:noProof/>
                <w:color w:val="000000" w:themeColor="text1"/>
                <w:sz w:val="18"/>
                <w:szCs w:val="18"/>
              </w:rPr>
            </w:pPr>
          </w:p>
        </w:tc>
        <w:tc>
          <w:tcPr>
            <w:tcW w:w="720" w:type="dxa"/>
            <w:tcBorders>
              <w:top w:val="nil"/>
              <w:left w:val="nil"/>
              <w:bottom w:val="nil"/>
              <w:right w:val="nil"/>
            </w:tcBorders>
          </w:tcPr>
          <w:p>
            <w:pPr>
              <w:spacing w:before="60" w:after="60"/>
              <w:ind w:right="-29"/>
              <w:jc w:val="center"/>
              <w:rPr>
                <w:noProof/>
                <w:color w:val="000000" w:themeColor="text1"/>
                <w:sz w:val="18"/>
                <w:szCs w:val="18"/>
              </w:rPr>
            </w:pPr>
          </w:p>
        </w:tc>
        <w:tc>
          <w:tcPr>
            <w:tcW w:w="540" w:type="dxa"/>
            <w:tcBorders>
              <w:top w:val="nil"/>
              <w:left w:val="nil"/>
              <w:bottom w:val="nil"/>
              <w:right w:val="nil"/>
            </w:tcBorders>
          </w:tcPr>
          <w:p>
            <w:pPr>
              <w:spacing w:before="60" w:after="60"/>
              <w:ind w:right="-29"/>
              <w:jc w:val="center"/>
              <w:rPr>
                <w:noProof/>
                <w:color w:val="000000" w:themeColor="text1"/>
                <w:sz w:val="18"/>
                <w:szCs w:val="18"/>
              </w:rPr>
            </w:pPr>
          </w:p>
        </w:tc>
        <w:tc>
          <w:tcPr>
            <w:tcW w:w="720" w:type="dxa"/>
            <w:tcBorders>
              <w:top w:val="nil"/>
              <w:left w:val="nil"/>
              <w:bottom w:val="nil"/>
              <w:right w:val="nil"/>
            </w:tcBorders>
          </w:tcPr>
          <w:p>
            <w:pPr>
              <w:spacing w:before="60" w:after="60"/>
              <w:ind w:right="-29"/>
              <w:jc w:val="center"/>
              <w:rPr>
                <w:noProof/>
                <w:color w:val="000000" w:themeColor="text1"/>
                <w:sz w:val="18"/>
                <w:szCs w:val="18"/>
              </w:rPr>
            </w:pPr>
          </w:p>
        </w:tc>
        <w:tc>
          <w:tcPr>
            <w:tcW w:w="720" w:type="dxa"/>
            <w:tcBorders>
              <w:top w:val="nil"/>
              <w:left w:val="nil"/>
              <w:bottom w:val="nil"/>
              <w:right w:val="nil"/>
            </w:tcBorders>
          </w:tcPr>
          <w:p>
            <w:pPr>
              <w:spacing w:before="60" w:after="60"/>
              <w:ind w:right="-29"/>
              <w:jc w:val="center"/>
              <w:rPr>
                <w:noProof/>
                <w:color w:val="000000" w:themeColor="text1"/>
                <w:sz w:val="18"/>
                <w:szCs w:val="18"/>
              </w:rPr>
            </w:pPr>
          </w:p>
        </w:tc>
        <w:tc>
          <w:tcPr>
            <w:tcW w:w="900" w:type="dxa"/>
            <w:tcBorders>
              <w:top w:val="nil"/>
              <w:left w:val="nil"/>
              <w:bottom w:val="nil"/>
              <w:right w:val="nil"/>
            </w:tcBorders>
          </w:tcPr>
          <w:p>
            <w:pPr>
              <w:spacing w:before="60" w:after="60"/>
              <w:ind w:right="-29"/>
              <w:jc w:val="center"/>
              <w:rPr>
                <w:noProof/>
                <w:color w:val="000000" w:themeColor="text1"/>
                <w:sz w:val="18"/>
                <w:szCs w:val="18"/>
              </w:rPr>
            </w:pPr>
          </w:p>
        </w:tc>
      </w:tr>
      <w:tr>
        <w:trPr>
          <w:trHeight w:hRule="exact" w:val="369"/>
          <w:jc w:val="center"/>
        </w:trPr>
        <w:tc>
          <w:tcPr>
            <w:tcW w:w="1423" w:type="dxa"/>
          </w:tcPr>
          <w:p>
            <w:pPr>
              <w:ind w:right="-29"/>
              <w:jc w:val="center"/>
              <w:rPr>
                <w:noProof/>
                <w:color w:val="000000" w:themeColor="text1"/>
                <w:sz w:val="18"/>
                <w:szCs w:val="18"/>
              </w:rPr>
            </w:pPr>
            <w:r>
              <w:rPr>
                <w:noProof/>
                <w:color w:val="000000" w:themeColor="text1"/>
                <w:sz w:val="18"/>
              </w:rPr>
              <w:t>- Resultat</w:t>
            </w:r>
          </w:p>
        </w:tc>
        <w:tc>
          <w:tcPr>
            <w:tcW w:w="720" w:type="dxa"/>
          </w:tcPr>
          <w:p>
            <w:pPr>
              <w:ind w:right="-29"/>
              <w:jc w:val="center"/>
              <w:rPr>
                <w:noProof/>
                <w:color w:val="000000" w:themeColor="text1"/>
                <w:sz w:val="18"/>
                <w:szCs w:val="18"/>
              </w:rPr>
            </w:pPr>
            <w:r>
              <w:rPr>
                <w:noProof/>
                <w:color w:val="000000" w:themeColor="text1"/>
                <w:sz w:val="18"/>
                <w:szCs w:val="18"/>
              </w:rPr>
              <w:t>Kommunikation</w:t>
            </w:r>
          </w:p>
        </w:tc>
        <w:tc>
          <w:tcPr>
            <w:tcW w:w="920" w:type="dxa"/>
          </w:tcPr>
          <w:p>
            <w:pPr>
              <w:ind w:right="-29"/>
              <w:jc w:val="center"/>
              <w:rPr>
                <w:noProof/>
                <w:color w:val="000000" w:themeColor="text1"/>
                <w:sz w:val="18"/>
                <w:szCs w:val="18"/>
              </w:rPr>
            </w:pPr>
            <w:r>
              <w:rPr>
                <w:noProof/>
                <w:color w:val="000000" w:themeColor="text1"/>
                <w:sz w:val="18"/>
                <w:szCs w:val="18"/>
              </w:rPr>
              <w:t>0,300</w:t>
            </w:r>
          </w:p>
        </w:tc>
        <w:tc>
          <w:tcPr>
            <w:tcW w:w="425" w:type="dxa"/>
            <w:tcBorders>
              <w:right w:val="dashSmallGap" w:sz="4" w:space="0" w:color="auto"/>
            </w:tcBorders>
          </w:tcPr>
          <w:p>
            <w:pPr>
              <w:ind w:right="-29"/>
              <w:jc w:val="center"/>
              <w:rPr>
                <w:noProof/>
                <w:color w:val="000000" w:themeColor="text1"/>
                <w:sz w:val="18"/>
                <w:szCs w:val="18"/>
              </w:rPr>
            </w:pPr>
            <w:r>
              <w:rPr>
                <w:noProof/>
                <w:color w:val="000000" w:themeColor="text1"/>
                <w:sz w:val="18"/>
                <w:szCs w:val="18"/>
              </w:rPr>
              <w:t>2</w:t>
            </w:r>
          </w:p>
        </w:tc>
        <w:tc>
          <w:tcPr>
            <w:tcW w:w="850" w:type="dxa"/>
            <w:tcBorders>
              <w:left w:val="dashSmallGap" w:sz="4" w:space="0" w:color="auto"/>
            </w:tcBorders>
          </w:tcPr>
          <w:p>
            <w:pPr>
              <w:ind w:right="-29"/>
              <w:jc w:val="center"/>
              <w:rPr>
                <w:noProof/>
                <w:color w:val="000000" w:themeColor="text1"/>
                <w:sz w:val="18"/>
                <w:szCs w:val="18"/>
              </w:rPr>
            </w:pPr>
            <w:r>
              <w:rPr>
                <w:noProof/>
                <w:color w:val="000000" w:themeColor="text1"/>
                <w:sz w:val="18"/>
                <w:szCs w:val="18"/>
              </w:rPr>
              <w:t>0,600</w:t>
            </w:r>
          </w:p>
        </w:tc>
        <w:tc>
          <w:tcPr>
            <w:tcW w:w="270" w:type="dxa"/>
            <w:tcBorders>
              <w:right w:val="dashSmallGap" w:sz="4" w:space="0" w:color="auto"/>
            </w:tcBorders>
          </w:tcPr>
          <w:p>
            <w:pPr>
              <w:ind w:right="-29"/>
              <w:jc w:val="center"/>
              <w:rPr>
                <w:noProof/>
                <w:color w:val="000000" w:themeColor="text1"/>
                <w:sz w:val="18"/>
                <w:szCs w:val="18"/>
              </w:rPr>
            </w:pPr>
            <w:r>
              <w:rPr>
                <w:noProof/>
                <w:color w:val="000000" w:themeColor="text1"/>
                <w:sz w:val="18"/>
                <w:szCs w:val="18"/>
              </w:rPr>
              <w:t>0</w:t>
            </w:r>
          </w:p>
        </w:tc>
        <w:tc>
          <w:tcPr>
            <w:tcW w:w="720" w:type="dxa"/>
            <w:tcBorders>
              <w:left w:val="dashSmallGap" w:sz="4" w:space="0" w:color="auto"/>
            </w:tcBorders>
          </w:tcPr>
          <w:p>
            <w:pPr>
              <w:ind w:right="-29"/>
              <w:jc w:val="center"/>
              <w:rPr>
                <w:noProof/>
                <w:color w:val="000000" w:themeColor="text1"/>
                <w:sz w:val="18"/>
                <w:szCs w:val="18"/>
              </w:rPr>
            </w:pPr>
            <w:r>
              <w:rPr>
                <w:noProof/>
                <w:color w:val="000000" w:themeColor="text1"/>
                <w:sz w:val="18"/>
                <w:szCs w:val="18"/>
              </w:rPr>
              <w:t>0</w:t>
            </w:r>
          </w:p>
        </w:tc>
        <w:tc>
          <w:tcPr>
            <w:tcW w:w="720" w:type="dxa"/>
            <w:tcBorders>
              <w:right w:val="dashSmallGap" w:sz="4" w:space="0" w:color="auto"/>
            </w:tcBorders>
          </w:tcPr>
          <w:p>
            <w:pPr>
              <w:ind w:right="-29"/>
              <w:jc w:val="center"/>
              <w:rPr>
                <w:noProof/>
                <w:color w:val="000000" w:themeColor="text1"/>
                <w:sz w:val="18"/>
                <w:szCs w:val="18"/>
              </w:rPr>
            </w:pPr>
          </w:p>
        </w:tc>
        <w:tc>
          <w:tcPr>
            <w:tcW w:w="720" w:type="dxa"/>
            <w:tcBorders>
              <w:left w:val="dashSmallGap" w:sz="4" w:space="0" w:color="auto"/>
            </w:tcBorders>
          </w:tcPr>
          <w:p>
            <w:pPr>
              <w:ind w:right="-29"/>
              <w:jc w:val="center"/>
              <w:rPr>
                <w:noProof/>
                <w:color w:val="000000" w:themeColor="text1"/>
                <w:sz w:val="18"/>
                <w:szCs w:val="18"/>
              </w:rPr>
            </w:pPr>
          </w:p>
        </w:tc>
        <w:tc>
          <w:tcPr>
            <w:tcW w:w="900" w:type="dxa"/>
            <w:gridSpan w:val="2"/>
            <w:tcBorders>
              <w:right w:val="dashSmallGap" w:sz="4" w:space="0" w:color="auto"/>
            </w:tcBorders>
          </w:tcPr>
          <w:p>
            <w:pPr>
              <w:ind w:right="-29"/>
              <w:jc w:val="center"/>
              <w:rPr>
                <w:noProof/>
                <w:color w:val="000000" w:themeColor="text1"/>
                <w:sz w:val="18"/>
                <w:szCs w:val="18"/>
              </w:rPr>
            </w:pPr>
          </w:p>
        </w:tc>
        <w:tc>
          <w:tcPr>
            <w:tcW w:w="720" w:type="dxa"/>
            <w:tcBorders>
              <w:left w:val="dashSmallGap" w:sz="4" w:space="0" w:color="auto"/>
            </w:tcBorders>
          </w:tcPr>
          <w:p>
            <w:pPr>
              <w:ind w:right="-29"/>
              <w:jc w:val="center"/>
              <w:rPr>
                <w:noProof/>
                <w:color w:val="000000" w:themeColor="text1"/>
                <w:sz w:val="18"/>
                <w:szCs w:val="18"/>
              </w:rPr>
            </w:pPr>
          </w:p>
        </w:tc>
        <w:tc>
          <w:tcPr>
            <w:tcW w:w="540" w:type="dxa"/>
            <w:tcBorders>
              <w:right w:val="dashSmallGap" w:sz="4" w:space="0" w:color="auto"/>
            </w:tcBorders>
          </w:tcPr>
          <w:p>
            <w:pPr>
              <w:ind w:right="-29"/>
              <w:jc w:val="center"/>
              <w:rPr>
                <w:noProof/>
                <w:color w:val="000000" w:themeColor="text1"/>
                <w:sz w:val="18"/>
                <w:szCs w:val="18"/>
              </w:rPr>
            </w:pPr>
          </w:p>
        </w:tc>
        <w:tc>
          <w:tcPr>
            <w:tcW w:w="648" w:type="dxa"/>
            <w:tcBorders>
              <w:left w:val="dashSmallGap" w:sz="4" w:space="0" w:color="auto"/>
            </w:tcBorders>
          </w:tcPr>
          <w:p>
            <w:pPr>
              <w:ind w:right="-29"/>
              <w:jc w:val="center"/>
              <w:rPr>
                <w:noProof/>
                <w:color w:val="000000" w:themeColor="text1"/>
                <w:sz w:val="18"/>
                <w:szCs w:val="18"/>
              </w:rPr>
            </w:pPr>
          </w:p>
        </w:tc>
        <w:tc>
          <w:tcPr>
            <w:tcW w:w="432" w:type="dxa"/>
            <w:tcBorders>
              <w:right w:val="dashSmallGap" w:sz="4" w:space="0" w:color="auto"/>
            </w:tcBorders>
          </w:tcPr>
          <w:p>
            <w:pPr>
              <w:ind w:right="-29"/>
              <w:jc w:val="center"/>
              <w:rPr>
                <w:noProof/>
                <w:color w:val="000000" w:themeColor="text1"/>
                <w:sz w:val="18"/>
                <w:szCs w:val="18"/>
              </w:rPr>
            </w:pPr>
          </w:p>
        </w:tc>
        <w:tc>
          <w:tcPr>
            <w:tcW w:w="720" w:type="dxa"/>
            <w:tcBorders>
              <w:left w:val="dashSmallGap" w:sz="4" w:space="0" w:color="auto"/>
            </w:tcBorders>
          </w:tcPr>
          <w:p>
            <w:pPr>
              <w:ind w:right="-29"/>
              <w:jc w:val="center"/>
              <w:rPr>
                <w:noProof/>
                <w:color w:val="000000" w:themeColor="text1"/>
                <w:sz w:val="18"/>
                <w:szCs w:val="18"/>
              </w:rPr>
            </w:pPr>
          </w:p>
        </w:tc>
        <w:tc>
          <w:tcPr>
            <w:tcW w:w="540" w:type="dxa"/>
            <w:tcBorders>
              <w:right w:val="dashSmallGap" w:sz="4" w:space="0" w:color="auto"/>
            </w:tcBorders>
          </w:tcPr>
          <w:p>
            <w:pPr>
              <w:ind w:right="-29"/>
              <w:jc w:val="center"/>
              <w:rPr>
                <w:noProof/>
                <w:color w:val="000000" w:themeColor="text1"/>
                <w:sz w:val="18"/>
                <w:szCs w:val="18"/>
              </w:rPr>
            </w:pPr>
          </w:p>
        </w:tc>
        <w:tc>
          <w:tcPr>
            <w:tcW w:w="720" w:type="dxa"/>
            <w:tcBorders>
              <w:left w:val="dashSmallGap" w:sz="4" w:space="0" w:color="auto"/>
            </w:tcBorders>
          </w:tcPr>
          <w:p>
            <w:pPr>
              <w:ind w:right="-29"/>
              <w:jc w:val="center"/>
              <w:rPr>
                <w:noProof/>
                <w:color w:val="000000" w:themeColor="text1"/>
                <w:sz w:val="18"/>
                <w:szCs w:val="18"/>
              </w:rPr>
            </w:pPr>
          </w:p>
        </w:tc>
        <w:tc>
          <w:tcPr>
            <w:tcW w:w="720" w:type="dxa"/>
          </w:tcPr>
          <w:p>
            <w:pPr>
              <w:ind w:right="-29"/>
              <w:jc w:val="center"/>
              <w:rPr>
                <w:noProof/>
                <w:color w:val="000000" w:themeColor="text1"/>
                <w:sz w:val="18"/>
                <w:szCs w:val="18"/>
              </w:rPr>
            </w:pPr>
          </w:p>
        </w:tc>
        <w:tc>
          <w:tcPr>
            <w:tcW w:w="900" w:type="dxa"/>
          </w:tcPr>
          <w:p>
            <w:pPr>
              <w:ind w:right="-29"/>
              <w:jc w:val="center"/>
              <w:rPr>
                <w:noProof/>
                <w:color w:val="000000" w:themeColor="text1"/>
                <w:sz w:val="18"/>
                <w:szCs w:val="18"/>
              </w:rPr>
            </w:pPr>
            <w:r>
              <w:rPr>
                <w:noProof/>
                <w:color w:val="000000" w:themeColor="text1"/>
                <w:sz w:val="18"/>
                <w:szCs w:val="18"/>
              </w:rPr>
              <w:t>0,600</w:t>
            </w:r>
          </w:p>
        </w:tc>
      </w:tr>
      <w:tr>
        <w:trPr>
          <w:trHeight w:hRule="exact" w:val="567"/>
          <w:jc w:val="center"/>
        </w:trPr>
        <w:tc>
          <w:tcPr>
            <w:tcW w:w="1423" w:type="dxa"/>
          </w:tcPr>
          <w:p>
            <w:pPr>
              <w:ind w:right="-29"/>
              <w:jc w:val="center"/>
              <w:rPr>
                <w:noProof/>
                <w:color w:val="000000" w:themeColor="text1"/>
                <w:sz w:val="18"/>
                <w:szCs w:val="18"/>
              </w:rPr>
            </w:pPr>
            <w:r>
              <w:rPr>
                <w:noProof/>
                <w:color w:val="000000" w:themeColor="text1"/>
                <w:sz w:val="18"/>
              </w:rPr>
              <w:t>- Resultat</w:t>
            </w:r>
          </w:p>
        </w:tc>
        <w:tc>
          <w:tcPr>
            <w:tcW w:w="720" w:type="dxa"/>
          </w:tcPr>
          <w:p>
            <w:pPr>
              <w:ind w:right="-29"/>
              <w:jc w:val="center"/>
              <w:rPr>
                <w:noProof/>
                <w:color w:val="000000" w:themeColor="text1"/>
                <w:sz w:val="18"/>
                <w:szCs w:val="18"/>
              </w:rPr>
            </w:pPr>
            <w:r>
              <w:rPr>
                <w:noProof/>
                <w:color w:val="000000" w:themeColor="text1"/>
                <w:sz w:val="18"/>
                <w:szCs w:val="18"/>
              </w:rPr>
              <w:t>Seminarer</w:t>
            </w:r>
          </w:p>
        </w:tc>
        <w:tc>
          <w:tcPr>
            <w:tcW w:w="920" w:type="dxa"/>
          </w:tcPr>
          <w:p>
            <w:pPr>
              <w:ind w:right="-29"/>
              <w:jc w:val="center"/>
              <w:rPr>
                <w:noProof/>
                <w:color w:val="000000" w:themeColor="text1"/>
                <w:sz w:val="18"/>
                <w:szCs w:val="18"/>
              </w:rPr>
            </w:pPr>
            <w:r>
              <w:rPr>
                <w:noProof/>
                <w:color w:val="000000" w:themeColor="text1"/>
                <w:sz w:val="18"/>
                <w:szCs w:val="18"/>
              </w:rPr>
              <w:t>0,250</w:t>
            </w:r>
          </w:p>
        </w:tc>
        <w:tc>
          <w:tcPr>
            <w:tcW w:w="425" w:type="dxa"/>
            <w:tcBorders>
              <w:right w:val="dashSmallGap" w:sz="4" w:space="0" w:color="auto"/>
            </w:tcBorders>
          </w:tcPr>
          <w:p>
            <w:pPr>
              <w:ind w:right="-29"/>
              <w:jc w:val="center"/>
              <w:rPr>
                <w:noProof/>
                <w:color w:val="000000" w:themeColor="text1"/>
                <w:sz w:val="18"/>
                <w:szCs w:val="18"/>
              </w:rPr>
            </w:pPr>
            <w:r>
              <w:rPr>
                <w:noProof/>
                <w:color w:val="000000" w:themeColor="text1"/>
                <w:sz w:val="18"/>
                <w:szCs w:val="18"/>
              </w:rPr>
              <w:t>4</w:t>
            </w:r>
          </w:p>
        </w:tc>
        <w:tc>
          <w:tcPr>
            <w:tcW w:w="850" w:type="dxa"/>
            <w:tcBorders>
              <w:left w:val="dashSmallGap" w:sz="4" w:space="0" w:color="auto"/>
            </w:tcBorders>
          </w:tcPr>
          <w:p>
            <w:pPr>
              <w:ind w:right="-29"/>
              <w:jc w:val="center"/>
              <w:rPr>
                <w:noProof/>
                <w:color w:val="000000" w:themeColor="text1"/>
                <w:sz w:val="18"/>
                <w:szCs w:val="18"/>
              </w:rPr>
            </w:pPr>
            <w:r>
              <w:rPr>
                <w:noProof/>
                <w:color w:val="000000" w:themeColor="text1"/>
                <w:sz w:val="18"/>
                <w:szCs w:val="18"/>
              </w:rPr>
              <w:t>1,000</w:t>
            </w:r>
          </w:p>
        </w:tc>
        <w:tc>
          <w:tcPr>
            <w:tcW w:w="270" w:type="dxa"/>
            <w:tcBorders>
              <w:right w:val="dashSmallGap" w:sz="4" w:space="0" w:color="auto"/>
            </w:tcBorders>
          </w:tcPr>
          <w:p>
            <w:pPr>
              <w:ind w:right="-29"/>
              <w:jc w:val="center"/>
              <w:rPr>
                <w:noProof/>
                <w:color w:val="000000" w:themeColor="text1"/>
                <w:sz w:val="18"/>
                <w:szCs w:val="18"/>
              </w:rPr>
            </w:pPr>
            <w:r>
              <w:rPr>
                <w:noProof/>
                <w:color w:val="000000" w:themeColor="text1"/>
                <w:sz w:val="18"/>
                <w:szCs w:val="18"/>
              </w:rPr>
              <w:t>0</w:t>
            </w:r>
          </w:p>
        </w:tc>
        <w:tc>
          <w:tcPr>
            <w:tcW w:w="720" w:type="dxa"/>
            <w:tcBorders>
              <w:left w:val="dashSmallGap" w:sz="4" w:space="0" w:color="auto"/>
            </w:tcBorders>
          </w:tcPr>
          <w:p>
            <w:pPr>
              <w:ind w:right="-29"/>
              <w:jc w:val="center"/>
              <w:rPr>
                <w:noProof/>
                <w:color w:val="000000" w:themeColor="text1"/>
                <w:sz w:val="18"/>
                <w:szCs w:val="18"/>
              </w:rPr>
            </w:pPr>
            <w:r>
              <w:rPr>
                <w:noProof/>
                <w:color w:val="000000" w:themeColor="text1"/>
                <w:sz w:val="18"/>
                <w:szCs w:val="18"/>
              </w:rPr>
              <w:t>0</w:t>
            </w:r>
          </w:p>
        </w:tc>
        <w:tc>
          <w:tcPr>
            <w:tcW w:w="720" w:type="dxa"/>
            <w:tcBorders>
              <w:right w:val="dashSmallGap" w:sz="4" w:space="0" w:color="auto"/>
            </w:tcBorders>
          </w:tcPr>
          <w:p>
            <w:pPr>
              <w:ind w:right="-29"/>
              <w:jc w:val="center"/>
              <w:rPr>
                <w:noProof/>
                <w:color w:val="000000" w:themeColor="text1"/>
                <w:sz w:val="18"/>
                <w:szCs w:val="18"/>
              </w:rPr>
            </w:pPr>
          </w:p>
        </w:tc>
        <w:tc>
          <w:tcPr>
            <w:tcW w:w="720" w:type="dxa"/>
            <w:tcBorders>
              <w:left w:val="dashSmallGap" w:sz="4" w:space="0" w:color="auto"/>
            </w:tcBorders>
          </w:tcPr>
          <w:p>
            <w:pPr>
              <w:ind w:right="-29"/>
              <w:jc w:val="center"/>
              <w:rPr>
                <w:noProof/>
                <w:color w:val="000000" w:themeColor="text1"/>
                <w:sz w:val="18"/>
                <w:szCs w:val="18"/>
              </w:rPr>
            </w:pPr>
          </w:p>
        </w:tc>
        <w:tc>
          <w:tcPr>
            <w:tcW w:w="900" w:type="dxa"/>
            <w:gridSpan w:val="2"/>
            <w:tcBorders>
              <w:right w:val="dashSmallGap" w:sz="4" w:space="0" w:color="auto"/>
            </w:tcBorders>
          </w:tcPr>
          <w:p>
            <w:pPr>
              <w:ind w:right="-29"/>
              <w:jc w:val="center"/>
              <w:rPr>
                <w:noProof/>
                <w:color w:val="000000" w:themeColor="text1"/>
                <w:sz w:val="18"/>
                <w:szCs w:val="18"/>
              </w:rPr>
            </w:pPr>
          </w:p>
        </w:tc>
        <w:tc>
          <w:tcPr>
            <w:tcW w:w="720" w:type="dxa"/>
            <w:tcBorders>
              <w:left w:val="dashSmallGap" w:sz="4" w:space="0" w:color="auto"/>
            </w:tcBorders>
          </w:tcPr>
          <w:p>
            <w:pPr>
              <w:ind w:right="-29"/>
              <w:jc w:val="center"/>
              <w:rPr>
                <w:noProof/>
                <w:color w:val="000000" w:themeColor="text1"/>
                <w:sz w:val="18"/>
                <w:szCs w:val="18"/>
              </w:rPr>
            </w:pPr>
          </w:p>
        </w:tc>
        <w:tc>
          <w:tcPr>
            <w:tcW w:w="540" w:type="dxa"/>
            <w:tcBorders>
              <w:right w:val="dashSmallGap" w:sz="4" w:space="0" w:color="auto"/>
            </w:tcBorders>
          </w:tcPr>
          <w:p>
            <w:pPr>
              <w:ind w:right="-29"/>
              <w:jc w:val="center"/>
              <w:rPr>
                <w:noProof/>
                <w:color w:val="000000" w:themeColor="text1"/>
                <w:sz w:val="18"/>
                <w:szCs w:val="18"/>
              </w:rPr>
            </w:pPr>
          </w:p>
        </w:tc>
        <w:tc>
          <w:tcPr>
            <w:tcW w:w="648" w:type="dxa"/>
            <w:tcBorders>
              <w:left w:val="dashSmallGap" w:sz="4" w:space="0" w:color="auto"/>
            </w:tcBorders>
          </w:tcPr>
          <w:p>
            <w:pPr>
              <w:ind w:right="-29"/>
              <w:jc w:val="center"/>
              <w:rPr>
                <w:noProof/>
                <w:color w:val="000000" w:themeColor="text1"/>
                <w:sz w:val="18"/>
                <w:szCs w:val="18"/>
              </w:rPr>
            </w:pPr>
          </w:p>
        </w:tc>
        <w:tc>
          <w:tcPr>
            <w:tcW w:w="432" w:type="dxa"/>
            <w:tcBorders>
              <w:right w:val="dashSmallGap" w:sz="4" w:space="0" w:color="auto"/>
            </w:tcBorders>
          </w:tcPr>
          <w:p>
            <w:pPr>
              <w:ind w:right="-29"/>
              <w:jc w:val="center"/>
              <w:rPr>
                <w:noProof/>
                <w:color w:val="000000" w:themeColor="text1"/>
                <w:sz w:val="18"/>
                <w:szCs w:val="18"/>
              </w:rPr>
            </w:pPr>
          </w:p>
        </w:tc>
        <w:tc>
          <w:tcPr>
            <w:tcW w:w="720" w:type="dxa"/>
            <w:tcBorders>
              <w:left w:val="dashSmallGap" w:sz="4" w:space="0" w:color="auto"/>
            </w:tcBorders>
          </w:tcPr>
          <w:p>
            <w:pPr>
              <w:ind w:right="-29"/>
              <w:jc w:val="center"/>
              <w:rPr>
                <w:noProof/>
                <w:color w:val="000000" w:themeColor="text1"/>
                <w:sz w:val="18"/>
                <w:szCs w:val="18"/>
              </w:rPr>
            </w:pPr>
          </w:p>
        </w:tc>
        <w:tc>
          <w:tcPr>
            <w:tcW w:w="540" w:type="dxa"/>
            <w:tcBorders>
              <w:right w:val="dashSmallGap" w:sz="4" w:space="0" w:color="auto"/>
            </w:tcBorders>
          </w:tcPr>
          <w:p>
            <w:pPr>
              <w:ind w:right="-29"/>
              <w:jc w:val="center"/>
              <w:rPr>
                <w:noProof/>
                <w:color w:val="000000" w:themeColor="text1"/>
                <w:sz w:val="18"/>
                <w:szCs w:val="18"/>
              </w:rPr>
            </w:pPr>
          </w:p>
        </w:tc>
        <w:tc>
          <w:tcPr>
            <w:tcW w:w="720" w:type="dxa"/>
            <w:tcBorders>
              <w:left w:val="dashSmallGap" w:sz="4" w:space="0" w:color="auto"/>
            </w:tcBorders>
          </w:tcPr>
          <w:p>
            <w:pPr>
              <w:ind w:right="-29"/>
              <w:jc w:val="center"/>
              <w:rPr>
                <w:noProof/>
                <w:color w:val="000000" w:themeColor="text1"/>
                <w:sz w:val="18"/>
                <w:szCs w:val="18"/>
              </w:rPr>
            </w:pPr>
          </w:p>
        </w:tc>
        <w:tc>
          <w:tcPr>
            <w:tcW w:w="720" w:type="dxa"/>
          </w:tcPr>
          <w:p>
            <w:pPr>
              <w:ind w:right="-29"/>
              <w:jc w:val="center"/>
              <w:rPr>
                <w:noProof/>
                <w:color w:val="000000" w:themeColor="text1"/>
                <w:sz w:val="18"/>
                <w:szCs w:val="18"/>
              </w:rPr>
            </w:pPr>
          </w:p>
        </w:tc>
        <w:tc>
          <w:tcPr>
            <w:tcW w:w="900" w:type="dxa"/>
          </w:tcPr>
          <w:p>
            <w:pPr>
              <w:ind w:right="-29"/>
              <w:jc w:val="center"/>
              <w:rPr>
                <w:noProof/>
                <w:color w:val="000000" w:themeColor="text1"/>
                <w:sz w:val="18"/>
                <w:szCs w:val="18"/>
              </w:rPr>
            </w:pPr>
            <w:r>
              <w:rPr>
                <w:noProof/>
                <w:color w:val="000000" w:themeColor="text1"/>
                <w:sz w:val="18"/>
                <w:szCs w:val="18"/>
              </w:rPr>
              <w:t>1,000</w:t>
            </w:r>
          </w:p>
        </w:tc>
      </w:tr>
      <w:tr>
        <w:trPr>
          <w:trHeight w:hRule="exact" w:val="369"/>
          <w:jc w:val="center"/>
        </w:trPr>
        <w:tc>
          <w:tcPr>
            <w:tcW w:w="1423" w:type="dxa"/>
          </w:tcPr>
          <w:p>
            <w:pPr>
              <w:ind w:right="-29"/>
              <w:jc w:val="center"/>
              <w:rPr>
                <w:noProof/>
                <w:color w:val="000000" w:themeColor="text1"/>
                <w:sz w:val="18"/>
                <w:szCs w:val="18"/>
              </w:rPr>
            </w:pPr>
            <w:r>
              <w:rPr>
                <w:noProof/>
                <w:color w:val="000000" w:themeColor="text1"/>
                <w:sz w:val="18"/>
              </w:rPr>
              <w:t>- Resultat</w:t>
            </w:r>
          </w:p>
        </w:tc>
        <w:tc>
          <w:tcPr>
            <w:tcW w:w="720" w:type="dxa"/>
          </w:tcPr>
          <w:p>
            <w:pPr>
              <w:ind w:right="-29"/>
              <w:jc w:val="center"/>
              <w:rPr>
                <w:noProof/>
                <w:color w:val="000000" w:themeColor="text1"/>
                <w:sz w:val="18"/>
                <w:szCs w:val="18"/>
              </w:rPr>
            </w:pPr>
          </w:p>
        </w:tc>
        <w:tc>
          <w:tcPr>
            <w:tcW w:w="920" w:type="dxa"/>
          </w:tcPr>
          <w:p>
            <w:pPr>
              <w:ind w:right="-29"/>
              <w:jc w:val="center"/>
              <w:rPr>
                <w:noProof/>
                <w:color w:val="000000" w:themeColor="text1"/>
                <w:sz w:val="18"/>
                <w:szCs w:val="18"/>
              </w:rPr>
            </w:pPr>
          </w:p>
        </w:tc>
        <w:tc>
          <w:tcPr>
            <w:tcW w:w="425" w:type="dxa"/>
          </w:tcPr>
          <w:p>
            <w:pPr>
              <w:ind w:right="-29"/>
              <w:jc w:val="center"/>
              <w:rPr>
                <w:noProof/>
                <w:color w:val="000000" w:themeColor="text1"/>
                <w:sz w:val="18"/>
                <w:szCs w:val="18"/>
              </w:rPr>
            </w:pPr>
          </w:p>
        </w:tc>
        <w:tc>
          <w:tcPr>
            <w:tcW w:w="850" w:type="dxa"/>
          </w:tcPr>
          <w:p>
            <w:pPr>
              <w:ind w:right="-29"/>
              <w:jc w:val="center"/>
              <w:rPr>
                <w:noProof/>
                <w:color w:val="000000" w:themeColor="text1"/>
                <w:sz w:val="18"/>
                <w:szCs w:val="18"/>
              </w:rPr>
            </w:pPr>
          </w:p>
        </w:tc>
        <w:tc>
          <w:tcPr>
            <w:tcW w:w="270" w:type="dxa"/>
          </w:tcPr>
          <w:p>
            <w:pPr>
              <w:ind w:right="-29"/>
              <w:jc w:val="center"/>
              <w:rPr>
                <w:noProof/>
                <w:color w:val="000000" w:themeColor="text1"/>
                <w:sz w:val="18"/>
                <w:szCs w:val="18"/>
              </w:rPr>
            </w:pPr>
          </w:p>
        </w:tc>
        <w:tc>
          <w:tcPr>
            <w:tcW w:w="720" w:type="dxa"/>
          </w:tcPr>
          <w:p>
            <w:pPr>
              <w:ind w:right="-29"/>
              <w:jc w:val="center"/>
              <w:rPr>
                <w:noProof/>
                <w:color w:val="000000" w:themeColor="text1"/>
                <w:sz w:val="18"/>
                <w:szCs w:val="18"/>
              </w:rPr>
            </w:pPr>
          </w:p>
        </w:tc>
        <w:tc>
          <w:tcPr>
            <w:tcW w:w="720" w:type="dxa"/>
          </w:tcPr>
          <w:p>
            <w:pPr>
              <w:ind w:right="-29"/>
              <w:jc w:val="center"/>
              <w:rPr>
                <w:noProof/>
                <w:color w:val="000000" w:themeColor="text1"/>
                <w:sz w:val="18"/>
                <w:szCs w:val="18"/>
              </w:rPr>
            </w:pPr>
          </w:p>
        </w:tc>
        <w:tc>
          <w:tcPr>
            <w:tcW w:w="720" w:type="dxa"/>
          </w:tcPr>
          <w:p>
            <w:pPr>
              <w:ind w:right="-29"/>
              <w:jc w:val="center"/>
              <w:rPr>
                <w:noProof/>
                <w:color w:val="000000" w:themeColor="text1"/>
                <w:sz w:val="18"/>
                <w:szCs w:val="18"/>
              </w:rPr>
            </w:pPr>
          </w:p>
        </w:tc>
        <w:tc>
          <w:tcPr>
            <w:tcW w:w="900" w:type="dxa"/>
            <w:gridSpan w:val="2"/>
          </w:tcPr>
          <w:p>
            <w:pPr>
              <w:ind w:right="-29"/>
              <w:jc w:val="center"/>
              <w:rPr>
                <w:noProof/>
                <w:color w:val="000000" w:themeColor="text1"/>
                <w:sz w:val="18"/>
                <w:szCs w:val="18"/>
              </w:rPr>
            </w:pPr>
          </w:p>
        </w:tc>
        <w:tc>
          <w:tcPr>
            <w:tcW w:w="720" w:type="dxa"/>
          </w:tcPr>
          <w:p>
            <w:pPr>
              <w:ind w:right="-29"/>
              <w:jc w:val="center"/>
              <w:rPr>
                <w:noProof/>
                <w:color w:val="000000" w:themeColor="text1"/>
                <w:sz w:val="18"/>
                <w:szCs w:val="18"/>
              </w:rPr>
            </w:pPr>
          </w:p>
        </w:tc>
        <w:tc>
          <w:tcPr>
            <w:tcW w:w="540" w:type="dxa"/>
          </w:tcPr>
          <w:p>
            <w:pPr>
              <w:ind w:right="-29"/>
              <w:jc w:val="center"/>
              <w:rPr>
                <w:noProof/>
                <w:color w:val="000000" w:themeColor="text1"/>
                <w:sz w:val="18"/>
                <w:szCs w:val="18"/>
              </w:rPr>
            </w:pPr>
          </w:p>
        </w:tc>
        <w:tc>
          <w:tcPr>
            <w:tcW w:w="648" w:type="dxa"/>
          </w:tcPr>
          <w:p>
            <w:pPr>
              <w:ind w:right="-29"/>
              <w:jc w:val="center"/>
              <w:rPr>
                <w:noProof/>
                <w:color w:val="000000" w:themeColor="text1"/>
                <w:sz w:val="18"/>
                <w:szCs w:val="18"/>
              </w:rPr>
            </w:pPr>
          </w:p>
        </w:tc>
        <w:tc>
          <w:tcPr>
            <w:tcW w:w="432" w:type="dxa"/>
          </w:tcPr>
          <w:p>
            <w:pPr>
              <w:ind w:right="-29"/>
              <w:jc w:val="center"/>
              <w:rPr>
                <w:noProof/>
                <w:color w:val="000000" w:themeColor="text1"/>
                <w:sz w:val="18"/>
                <w:szCs w:val="18"/>
              </w:rPr>
            </w:pPr>
          </w:p>
        </w:tc>
        <w:tc>
          <w:tcPr>
            <w:tcW w:w="720" w:type="dxa"/>
          </w:tcPr>
          <w:p>
            <w:pPr>
              <w:ind w:right="-29"/>
              <w:jc w:val="center"/>
              <w:rPr>
                <w:noProof/>
                <w:color w:val="000000" w:themeColor="text1"/>
                <w:sz w:val="18"/>
                <w:szCs w:val="18"/>
              </w:rPr>
            </w:pPr>
          </w:p>
        </w:tc>
        <w:tc>
          <w:tcPr>
            <w:tcW w:w="540" w:type="dxa"/>
          </w:tcPr>
          <w:p>
            <w:pPr>
              <w:ind w:right="-29"/>
              <w:jc w:val="center"/>
              <w:rPr>
                <w:noProof/>
                <w:color w:val="000000" w:themeColor="text1"/>
                <w:sz w:val="18"/>
                <w:szCs w:val="18"/>
              </w:rPr>
            </w:pPr>
          </w:p>
        </w:tc>
        <w:tc>
          <w:tcPr>
            <w:tcW w:w="720" w:type="dxa"/>
          </w:tcPr>
          <w:p>
            <w:pPr>
              <w:ind w:right="-29"/>
              <w:jc w:val="center"/>
              <w:rPr>
                <w:noProof/>
                <w:color w:val="000000" w:themeColor="text1"/>
                <w:sz w:val="18"/>
                <w:szCs w:val="18"/>
              </w:rPr>
            </w:pPr>
          </w:p>
        </w:tc>
        <w:tc>
          <w:tcPr>
            <w:tcW w:w="720" w:type="dxa"/>
          </w:tcPr>
          <w:p>
            <w:pPr>
              <w:ind w:right="-29"/>
              <w:jc w:val="center"/>
              <w:rPr>
                <w:noProof/>
                <w:color w:val="000000" w:themeColor="text1"/>
                <w:sz w:val="18"/>
                <w:szCs w:val="18"/>
              </w:rPr>
            </w:pPr>
          </w:p>
        </w:tc>
        <w:tc>
          <w:tcPr>
            <w:tcW w:w="900" w:type="dxa"/>
          </w:tcPr>
          <w:p>
            <w:pPr>
              <w:ind w:right="-29"/>
              <w:jc w:val="center"/>
              <w:rPr>
                <w:noProof/>
                <w:color w:val="000000" w:themeColor="text1"/>
                <w:sz w:val="18"/>
                <w:szCs w:val="18"/>
              </w:rPr>
            </w:pPr>
          </w:p>
        </w:tc>
      </w:tr>
      <w:tr>
        <w:trPr>
          <w:jc w:val="center"/>
        </w:trPr>
        <w:tc>
          <w:tcPr>
            <w:tcW w:w="3063" w:type="dxa"/>
            <w:gridSpan w:val="3"/>
            <w:tcBorders>
              <w:bottom w:val="single" w:sz="12" w:space="0" w:color="auto"/>
            </w:tcBorders>
            <w:vAlign w:val="center"/>
          </w:tcPr>
          <w:p>
            <w:pPr>
              <w:ind w:right="-29"/>
              <w:jc w:val="center"/>
              <w:rPr>
                <w:noProof/>
                <w:color w:val="000000" w:themeColor="text1"/>
                <w:sz w:val="18"/>
                <w:szCs w:val="18"/>
                <w:lang w:val="nn-NO"/>
              </w:rPr>
            </w:pPr>
            <w:r>
              <w:rPr>
                <w:noProof/>
                <w:color w:val="000000" w:themeColor="text1"/>
                <w:sz w:val="18"/>
                <w:lang w:val="nn-NO"/>
              </w:rPr>
              <w:t>Subtotal for specifikt mål nr. 1</w:t>
            </w:r>
          </w:p>
        </w:tc>
        <w:tc>
          <w:tcPr>
            <w:tcW w:w="425" w:type="dxa"/>
            <w:tcBorders>
              <w:bottom w:val="single" w:sz="12" w:space="0" w:color="auto"/>
            </w:tcBorders>
          </w:tcPr>
          <w:p>
            <w:pPr>
              <w:ind w:right="-29"/>
              <w:jc w:val="center"/>
              <w:rPr>
                <w:noProof/>
                <w:color w:val="000000" w:themeColor="text1"/>
                <w:sz w:val="18"/>
                <w:szCs w:val="18"/>
              </w:rPr>
            </w:pPr>
            <w:r>
              <w:rPr>
                <w:noProof/>
                <w:color w:val="000000" w:themeColor="text1"/>
                <w:sz w:val="18"/>
                <w:szCs w:val="18"/>
              </w:rPr>
              <w:t>6</w:t>
            </w:r>
          </w:p>
        </w:tc>
        <w:tc>
          <w:tcPr>
            <w:tcW w:w="850" w:type="dxa"/>
            <w:tcBorders>
              <w:bottom w:val="single" w:sz="12" w:space="0" w:color="auto"/>
            </w:tcBorders>
          </w:tcPr>
          <w:p>
            <w:pPr>
              <w:ind w:right="-29"/>
              <w:jc w:val="center"/>
              <w:rPr>
                <w:noProof/>
                <w:color w:val="000000" w:themeColor="text1"/>
                <w:sz w:val="18"/>
                <w:szCs w:val="18"/>
              </w:rPr>
            </w:pPr>
            <w:r>
              <w:rPr>
                <w:noProof/>
                <w:color w:val="000000" w:themeColor="text1"/>
                <w:sz w:val="18"/>
                <w:szCs w:val="18"/>
              </w:rPr>
              <w:t>1,600</w:t>
            </w:r>
          </w:p>
        </w:tc>
        <w:tc>
          <w:tcPr>
            <w:tcW w:w="270" w:type="dxa"/>
            <w:tcBorders>
              <w:bottom w:val="single" w:sz="12" w:space="0" w:color="auto"/>
            </w:tcBorders>
          </w:tcPr>
          <w:p>
            <w:pPr>
              <w:ind w:right="-29"/>
              <w:jc w:val="center"/>
              <w:rPr>
                <w:noProof/>
                <w:color w:val="000000" w:themeColor="text1"/>
                <w:sz w:val="18"/>
                <w:szCs w:val="18"/>
              </w:rPr>
            </w:pPr>
            <w:r>
              <w:rPr>
                <w:noProof/>
                <w:color w:val="000000" w:themeColor="text1"/>
                <w:sz w:val="18"/>
                <w:szCs w:val="18"/>
              </w:rPr>
              <w:t>0</w:t>
            </w:r>
          </w:p>
        </w:tc>
        <w:tc>
          <w:tcPr>
            <w:tcW w:w="720" w:type="dxa"/>
            <w:tcBorders>
              <w:bottom w:val="single" w:sz="12" w:space="0" w:color="auto"/>
            </w:tcBorders>
          </w:tcPr>
          <w:p>
            <w:pPr>
              <w:ind w:right="-29"/>
              <w:jc w:val="center"/>
              <w:rPr>
                <w:noProof/>
                <w:color w:val="000000" w:themeColor="text1"/>
                <w:sz w:val="18"/>
                <w:szCs w:val="18"/>
              </w:rPr>
            </w:pPr>
            <w:r>
              <w:rPr>
                <w:noProof/>
                <w:color w:val="000000" w:themeColor="text1"/>
                <w:sz w:val="18"/>
                <w:szCs w:val="18"/>
              </w:rPr>
              <w:t>0</w:t>
            </w:r>
          </w:p>
        </w:tc>
        <w:tc>
          <w:tcPr>
            <w:tcW w:w="720" w:type="dxa"/>
            <w:tcBorders>
              <w:bottom w:val="single" w:sz="12" w:space="0" w:color="auto"/>
            </w:tcBorders>
          </w:tcPr>
          <w:p>
            <w:pPr>
              <w:ind w:right="-29"/>
              <w:jc w:val="center"/>
              <w:rPr>
                <w:noProof/>
                <w:color w:val="000000" w:themeColor="text1"/>
                <w:sz w:val="18"/>
                <w:szCs w:val="18"/>
              </w:rPr>
            </w:pPr>
          </w:p>
        </w:tc>
        <w:tc>
          <w:tcPr>
            <w:tcW w:w="720" w:type="dxa"/>
            <w:tcBorders>
              <w:bottom w:val="single" w:sz="12" w:space="0" w:color="auto"/>
            </w:tcBorders>
          </w:tcPr>
          <w:p>
            <w:pPr>
              <w:ind w:right="-29"/>
              <w:jc w:val="center"/>
              <w:rPr>
                <w:noProof/>
                <w:color w:val="000000" w:themeColor="text1"/>
                <w:sz w:val="18"/>
                <w:szCs w:val="18"/>
              </w:rPr>
            </w:pPr>
          </w:p>
        </w:tc>
        <w:tc>
          <w:tcPr>
            <w:tcW w:w="900" w:type="dxa"/>
            <w:gridSpan w:val="2"/>
            <w:tcBorders>
              <w:bottom w:val="single" w:sz="12" w:space="0" w:color="auto"/>
            </w:tcBorders>
          </w:tcPr>
          <w:p>
            <w:pPr>
              <w:ind w:right="-29"/>
              <w:jc w:val="center"/>
              <w:rPr>
                <w:noProof/>
                <w:color w:val="000000" w:themeColor="text1"/>
                <w:sz w:val="18"/>
                <w:szCs w:val="18"/>
              </w:rPr>
            </w:pPr>
          </w:p>
        </w:tc>
        <w:tc>
          <w:tcPr>
            <w:tcW w:w="720" w:type="dxa"/>
            <w:tcBorders>
              <w:bottom w:val="single" w:sz="12" w:space="0" w:color="auto"/>
            </w:tcBorders>
          </w:tcPr>
          <w:p>
            <w:pPr>
              <w:ind w:right="-29"/>
              <w:jc w:val="center"/>
              <w:rPr>
                <w:noProof/>
                <w:color w:val="000000" w:themeColor="text1"/>
                <w:sz w:val="18"/>
                <w:szCs w:val="18"/>
              </w:rPr>
            </w:pPr>
          </w:p>
        </w:tc>
        <w:tc>
          <w:tcPr>
            <w:tcW w:w="540" w:type="dxa"/>
            <w:tcBorders>
              <w:bottom w:val="single" w:sz="12" w:space="0" w:color="auto"/>
            </w:tcBorders>
          </w:tcPr>
          <w:p>
            <w:pPr>
              <w:ind w:right="-29"/>
              <w:jc w:val="center"/>
              <w:rPr>
                <w:noProof/>
                <w:color w:val="000000" w:themeColor="text1"/>
                <w:sz w:val="18"/>
                <w:szCs w:val="18"/>
              </w:rPr>
            </w:pPr>
          </w:p>
        </w:tc>
        <w:tc>
          <w:tcPr>
            <w:tcW w:w="648" w:type="dxa"/>
            <w:tcBorders>
              <w:bottom w:val="single" w:sz="12" w:space="0" w:color="auto"/>
            </w:tcBorders>
          </w:tcPr>
          <w:p>
            <w:pPr>
              <w:ind w:right="-29"/>
              <w:jc w:val="center"/>
              <w:rPr>
                <w:noProof/>
                <w:color w:val="000000" w:themeColor="text1"/>
                <w:sz w:val="18"/>
                <w:szCs w:val="18"/>
              </w:rPr>
            </w:pPr>
          </w:p>
        </w:tc>
        <w:tc>
          <w:tcPr>
            <w:tcW w:w="432" w:type="dxa"/>
            <w:tcBorders>
              <w:bottom w:val="single" w:sz="12" w:space="0" w:color="auto"/>
            </w:tcBorders>
          </w:tcPr>
          <w:p>
            <w:pPr>
              <w:ind w:right="-29"/>
              <w:jc w:val="center"/>
              <w:rPr>
                <w:noProof/>
                <w:color w:val="000000" w:themeColor="text1"/>
                <w:sz w:val="18"/>
                <w:szCs w:val="18"/>
              </w:rPr>
            </w:pPr>
          </w:p>
        </w:tc>
        <w:tc>
          <w:tcPr>
            <w:tcW w:w="720" w:type="dxa"/>
            <w:tcBorders>
              <w:bottom w:val="single" w:sz="12" w:space="0" w:color="auto"/>
            </w:tcBorders>
          </w:tcPr>
          <w:p>
            <w:pPr>
              <w:ind w:right="-29"/>
              <w:jc w:val="center"/>
              <w:rPr>
                <w:noProof/>
                <w:color w:val="000000" w:themeColor="text1"/>
                <w:sz w:val="18"/>
                <w:szCs w:val="18"/>
              </w:rPr>
            </w:pPr>
          </w:p>
        </w:tc>
        <w:tc>
          <w:tcPr>
            <w:tcW w:w="540" w:type="dxa"/>
            <w:tcBorders>
              <w:bottom w:val="single" w:sz="12" w:space="0" w:color="auto"/>
            </w:tcBorders>
          </w:tcPr>
          <w:p>
            <w:pPr>
              <w:ind w:right="-29"/>
              <w:jc w:val="center"/>
              <w:rPr>
                <w:noProof/>
                <w:color w:val="000000" w:themeColor="text1"/>
                <w:sz w:val="18"/>
                <w:szCs w:val="18"/>
              </w:rPr>
            </w:pPr>
          </w:p>
        </w:tc>
        <w:tc>
          <w:tcPr>
            <w:tcW w:w="720" w:type="dxa"/>
            <w:tcBorders>
              <w:bottom w:val="single" w:sz="12" w:space="0" w:color="auto"/>
            </w:tcBorders>
          </w:tcPr>
          <w:p>
            <w:pPr>
              <w:ind w:right="-29"/>
              <w:jc w:val="center"/>
              <w:rPr>
                <w:noProof/>
                <w:color w:val="000000" w:themeColor="text1"/>
                <w:sz w:val="18"/>
                <w:szCs w:val="18"/>
              </w:rPr>
            </w:pPr>
          </w:p>
        </w:tc>
        <w:tc>
          <w:tcPr>
            <w:tcW w:w="720" w:type="dxa"/>
            <w:tcBorders>
              <w:bottom w:val="single" w:sz="12" w:space="0" w:color="auto"/>
            </w:tcBorders>
          </w:tcPr>
          <w:p>
            <w:pPr>
              <w:ind w:right="-29"/>
              <w:jc w:val="center"/>
              <w:rPr>
                <w:noProof/>
                <w:color w:val="000000" w:themeColor="text1"/>
                <w:sz w:val="18"/>
                <w:szCs w:val="18"/>
              </w:rPr>
            </w:pPr>
          </w:p>
        </w:tc>
        <w:tc>
          <w:tcPr>
            <w:tcW w:w="900" w:type="dxa"/>
            <w:tcBorders>
              <w:bottom w:val="single" w:sz="12" w:space="0" w:color="auto"/>
            </w:tcBorders>
          </w:tcPr>
          <w:p>
            <w:pPr>
              <w:ind w:right="-29"/>
              <w:jc w:val="center"/>
              <w:rPr>
                <w:noProof/>
                <w:color w:val="000000" w:themeColor="text1"/>
                <w:sz w:val="18"/>
                <w:szCs w:val="18"/>
              </w:rPr>
            </w:pPr>
            <w:r>
              <w:rPr>
                <w:noProof/>
                <w:color w:val="000000" w:themeColor="text1"/>
                <w:sz w:val="18"/>
                <w:szCs w:val="18"/>
              </w:rPr>
              <w:t>1,600</w:t>
            </w:r>
          </w:p>
        </w:tc>
      </w:tr>
      <w:tr>
        <w:trPr>
          <w:jc w:val="center"/>
        </w:trPr>
        <w:tc>
          <w:tcPr>
            <w:tcW w:w="3063" w:type="dxa"/>
            <w:gridSpan w:val="3"/>
            <w:vAlign w:val="center"/>
          </w:tcPr>
          <w:p>
            <w:pPr>
              <w:spacing w:before="60" w:after="60"/>
              <w:ind w:right="-29"/>
              <w:jc w:val="center"/>
              <w:rPr>
                <w:noProof/>
                <w:color w:val="000000" w:themeColor="text1"/>
                <w:sz w:val="18"/>
                <w:szCs w:val="18"/>
              </w:rPr>
            </w:pPr>
            <w:r>
              <w:rPr>
                <w:noProof/>
                <w:color w:val="000000" w:themeColor="text1"/>
                <w:sz w:val="18"/>
              </w:rPr>
              <w:t>SPECIFIKT MÅL NR. 2</w:t>
            </w:r>
          </w:p>
        </w:tc>
        <w:tc>
          <w:tcPr>
            <w:tcW w:w="425" w:type="dxa"/>
            <w:tcBorders>
              <w:top w:val="nil"/>
              <w:left w:val="nil"/>
              <w:bottom w:val="nil"/>
              <w:right w:val="nil"/>
            </w:tcBorders>
          </w:tcPr>
          <w:p>
            <w:pPr>
              <w:spacing w:before="60" w:after="60"/>
              <w:ind w:right="-29"/>
              <w:jc w:val="center"/>
              <w:rPr>
                <w:noProof/>
                <w:color w:val="000000" w:themeColor="text1"/>
                <w:sz w:val="18"/>
                <w:szCs w:val="18"/>
              </w:rPr>
            </w:pPr>
          </w:p>
        </w:tc>
        <w:tc>
          <w:tcPr>
            <w:tcW w:w="850" w:type="dxa"/>
            <w:tcBorders>
              <w:top w:val="nil"/>
              <w:left w:val="nil"/>
              <w:bottom w:val="nil"/>
              <w:right w:val="nil"/>
            </w:tcBorders>
          </w:tcPr>
          <w:p>
            <w:pPr>
              <w:spacing w:before="60" w:after="60"/>
              <w:ind w:right="-29"/>
              <w:jc w:val="center"/>
              <w:rPr>
                <w:noProof/>
                <w:color w:val="000000" w:themeColor="text1"/>
                <w:sz w:val="18"/>
                <w:szCs w:val="18"/>
              </w:rPr>
            </w:pPr>
          </w:p>
        </w:tc>
        <w:tc>
          <w:tcPr>
            <w:tcW w:w="270" w:type="dxa"/>
            <w:tcBorders>
              <w:top w:val="nil"/>
              <w:left w:val="nil"/>
              <w:bottom w:val="nil"/>
              <w:right w:val="nil"/>
            </w:tcBorders>
          </w:tcPr>
          <w:p>
            <w:pPr>
              <w:spacing w:before="60" w:after="60"/>
              <w:ind w:right="-29"/>
              <w:jc w:val="center"/>
              <w:rPr>
                <w:noProof/>
                <w:color w:val="000000" w:themeColor="text1"/>
                <w:sz w:val="18"/>
                <w:szCs w:val="18"/>
              </w:rPr>
            </w:pPr>
          </w:p>
        </w:tc>
        <w:tc>
          <w:tcPr>
            <w:tcW w:w="720" w:type="dxa"/>
            <w:tcBorders>
              <w:top w:val="nil"/>
              <w:left w:val="nil"/>
              <w:bottom w:val="nil"/>
              <w:right w:val="nil"/>
            </w:tcBorders>
          </w:tcPr>
          <w:p>
            <w:pPr>
              <w:spacing w:before="60" w:after="60"/>
              <w:ind w:right="-29"/>
              <w:jc w:val="center"/>
              <w:rPr>
                <w:noProof/>
                <w:color w:val="000000" w:themeColor="text1"/>
                <w:sz w:val="18"/>
                <w:szCs w:val="18"/>
              </w:rPr>
            </w:pPr>
          </w:p>
        </w:tc>
        <w:tc>
          <w:tcPr>
            <w:tcW w:w="720" w:type="dxa"/>
            <w:tcBorders>
              <w:top w:val="nil"/>
              <w:left w:val="nil"/>
              <w:bottom w:val="nil"/>
              <w:right w:val="nil"/>
            </w:tcBorders>
          </w:tcPr>
          <w:p>
            <w:pPr>
              <w:spacing w:before="60" w:after="60"/>
              <w:ind w:right="-29"/>
              <w:jc w:val="center"/>
              <w:rPr>
                <w:noProof/>
                <w:color w:val="000000" w:themeColor="text1"/>
                <w:sz w:val="18"/>
                <w:szCs w:val="18"/>
              </w:rPr>
            </w:pPr>
          </w:p>
        </w:tc>
        <w:tc>
          <w:tcPr>
            <w:tcW w:w="720" w:type="dxa"/>
            <w:tcBorders>
              <w:top w:val="nil"/>
              <w:left w:val="nil"/>
              <w:bottom w:val="nil"/>
              <w:right w:val="nil"/>
            </w:tcBorders>
          </w:tcPr>
          <w:p>
            <w:pPr>
              <w:spacing w:before="60" w:after="60"/>
              <w:ind w:right="-29"/>
              <w:jc w:val="center"/>
              <w:rPr>
                <w:noProof/>
                <w:color w:val="000000" w:themeColor="text1"/>
                <w:sz w:val="18"/>
                <w:szCs w:val="18"/>
              </w:rPr>
            </w:pPr>
          </w:p>
        </w:tc>
        <w:tc>
          <w:tcPr>
            <w:tcW w:w="900" w:type="dxa"/>
            <w:gridSpan w:val="2"/>
            <w:tcBorders>
              <w:top w:val="nil"/>
              <w:left w:val="nil"/>
              <w:bottom w:val="nil"/>
              <w:right w:val="nil"/>
            </w:tcBorders>
          </w:tcPr>
          <w:p>
            <w:pPr>
              <w:spacing w:before="60" w:after="60"/>
              <w:ind w:right="-29"/>
              <w:jc w:val="center"/>
              <w:rPr>
                <w:noProof/>
                <w:color w:val="000000" w:themeColor="text1"/>
                <w:sz w:val="18"/>
                <w:szCs w:val="18"/>
              </w:rPr>
            </w:pPr>
          </w:p>
        </w:tc>
        <w:tc>
          <w:tcPr>
            <w:tcW w:w="720" w:type="dxa"/>
            <w:tcBorders>
              <w:top w:val="nil"/>
              <w:left w:val="nil"/>
              <w:bottom w:val="nil"/>
              <w:right w:val="nil"/>
            </w:tcBorders>
          </w:tcPr>
          <w:p>
            <w:pPr>
              <w:spacing w:before="60" w:after="60"/>
              <w:ind w:right="-29"/>
              <w:jc w:val="center"/>
              <w:rPr>
                <w:noProof/>
                <w:color w:val="000000" w:themeColor="text1"/>
                <w:sz w:val="18"/>
                <w:szCs w:val="18"/>
              </w:rPr>
            </w:pPr>
          </w:p>
        </w:tc>
        <w:tc>
          <w:tcPr>
            <w:tcW w:w="540" w:type="dxa"/>
            <w:tcBorders>
              <w:top w:val="nil"/>
              <w:left w:val="nil"/>
              <w:bottom w:val="nil"/>
              <w:right w:val="nil"/>
            </w:tcBorders>
          </w:tcPr>
          <w:p>
            <w:pPr>
              <w:spacing w:before="60" w:after="60"/>
              <w:ind w:right="-29"/>
              <w:jc w:val="center"/>
              <w:rPr>
                <w:noProof/>
                <w:color w:val="000000" w:themeColor="text1"/>
                <w:sz w:val="18"/>
                <w:szCs w:val="18"/>
              </w:rPr>
            </w:pPr>
          </w:p>
        </w:tc>
        <w:tc>
          <w:tcPr>
            <w:tcW w:w="648" w:type="dxa"/>
            <w:tcBorders>
              <w:top w:val="nil"/>
              <w:left w:val="nil"/>
              <w:bottom w:val="nil"/>
              <w:right w:val="nil"/>
            </w:tcBorders>
          </w:tcPr>
          <w:p>
            <w:pPr>
              <w:spacing w:before="60" w:after="60"/>
              <w:ind w:right="-29"/>
              <w:jc w:val="center"/>
              <w:rPr>
                <w:noProof/>
                <w:color w:val="000000" w:themeColor="text1"/>
                <w:sz w:val="18"/>
                <w:szCs w:val="18"/>
              </w:rPr>
            </w:pPr>
          </w:p>
        </w:tc>
        <w:tc>
          <w:tcPr>
            <w:tcW w:w="432" w:type="dxa"/>
            <w:tcBorders>
              <w:top w:val="nil"/>
              <w:left w:val="nil"/>
              <w:bottom w:val="nil"/>
              <w:right w:val="nil"/>
            </w:tcBorders>
          </w:tcPr>
          <w:p>
            <w:pPr>
              <w:spacing w:before="60" w:after="60"/>
              <w:ind w:right="-29"/>
              <w:jc w:val="center"/>
              <w:rPr>
                <w:noProof/>
                <w:color w:val="000000" w:themeColor="text1"/>
                <w:sz w:val="18"/>
                <w:szCs w:val="18"/>
              </w:rPr>
            </w:pPr>
          </w:p>
        </w:tc>
        <w:tc>
          <w:tcPr>
            <w:tcW w:w="720" w:type="dxa"/>
            <w:tcBorders>
              <w:top w:val="nil"/>
              <w:left w:val="nil"/>
              <w:bottom w:val="nil"/>
              <w:right w:val="nil"/>
            </w:tcBorders>
          </w:tcPr>
          <w:p>
            <w:pPr>
              <w:spacing w:before="60" w:after="60"/>
              <w:ind w:right="-29"/>
              <w:jc w:val="center"/>
              <w:rPr>
                <w:noProof/>
                <w:color w:val="000000" w:themeColor="text1"/>
                <w:sz w:val="18"/>
                <w:szCs w:val="18"/>
              </w:rPr>
            </w:pPr>
          </w:p>
        </w:tc>
        <w:tc>
          <w:tcPr>
            <w:tcW w:w="540" w:type="dxa"/>
            <w:tcBorders>
              <w:top w:val="nil"/>
              <w:left w:val="nil"/>
              <w:bottom w:val="nil"/>
              <w:right w:val="nil"/>
            </w:tcBorders>
          </w:tcPr>
          <w:p>
            <w:pPr>
              <w:spacing w:before="60" w:after="60"/>
              <w:ind w:right="-29"/>
              <w:jc w:val="center"/>
              <w:rPr>
                <w:noProof/>
                <w:color w:val="000000" w:themeColor="text1"/>
                <w:sz w:val="18"/>
                <w:szCs w:val="18"/>
              </w:rPr>
            </w:pPr>
          </w:p>
        </w:tc>
        <w:tc>
          <w:tcPr>
            <w:tcW w:w="720" w:type="dxa"/>
            <w:tcBorders>
              <w:top w:val="nil"/>
              <w:left w:val="nil"/>
              <w:bottom w:val="nil"/>
              <w:right w:val="nil"/>
            </w:tcBorders>
          </w:tcPr>
          <w:p>
            <w:pPr>
              <w:spacing w:before="60" w:after="60"/>
              <w:ind w:right="-29"/>
              <w:jc w:val="center"/>
              <w:rPr>
                <w:noProof/>
                <w:color w:val="000000" w:themeColor="text1"/>
                <w:sz w:val="18"/>
                <w:szCs w:val="18"/>
              </w:rPr>
            </w:pPr>
          </w:p>
        </w:tc>
        <w:tc>
          <w:tcPr>
            <w:tcW w:w="720" w:type="dxa"/>
            <w:tcBorders>
              <w:top w:val="nil"/>
              <w:left w:val="nil"/>
              <w:bottom w:val="nil"/>
              <w:right w:val="nil"/>
            </w:tcBorders>
          </w:tcPr>
          <w:p>
            <w:pPr>
              <w:spacing w:before="60" w:after="60"/>
              <w:ind w:right="-29"/>
              <w:jc w:val="center"/>
              <w:rPr>
                <w:noProof/>
                <w:color w:val="000000" w:themeColor="text1"/>
                <w:sz w:val="18"/>
                <w:szCs w:val="18"/>
              </w:rPr>
            </w:pPr>
          </w:p>
        </w:tc>
        <w:tc>
          <w:tcPr>
            <w:tcW w:w="900" w:type="dxa"/>
            <w:tcBorders>
              <w:top w:val="nil"/>
              <w:left w:val="nil"/>
              <w:bottom w:val="nil"/>
              <w:right w:val="nil"/>
            </w:tcBorders>
          </w:tcPr>
          <w:p>
            <w:pPr>
              <w:spacing w:before="60" w:after="60"/>
              <w:ind w:right="-29"/>
              <w:jc w:val="center"/>
              <w:rPr>
                <w:noProof/>
                <w:color w:val="000000" w:themeColor="text1"/>
                <w:sz w:val="18"/>
                <w:szCs w:val="18"/>
              </w:rPr>
            </w:pPr>
          </w:p>
        </w:tc>
      </w:tr>
      <w:tr>
        <w:trPr>
          <w:trHeight w:hRule="exact" w:val="851"/>
          <w:jc w:val="center"/>
        </w:trPr>
        <w:tc>
          <w:tcPr>
            <w:tcW w:w="1423" w:type="dxa"/>
          </w:tcPr>
          <w:p>
            <w:pPr>
              <w:ind w:right="-29"/>
              <w:jc w:val="center"/>
              <w:rPr>
                <w:noProof/>
                <w:color w:val="000000" w:themeColor="text1"/>
                <w:sz w:val="18"/>
                <w:szCs w:val="18"/>
              </w:rPr>
            </w:pPr>
            <w:r>
              <w:rPr>
                <w:noProof/>
                <w:color w:val="000000" w:themeColor="text1"/>
                <w:sz w:val="18"/>
              </w:rPr>
              <w:t>- Resultat</w:t>
            </w:r>
          </w:p>
        </w:tc>
        <w:tc>
          <w:tcPr>
            <w:tcW w:w="720" w:type="dxa"/>
          </w:tcPr>
          <w:p>
            <w:pPr>
              <w:ind w:right="-29"/>
              <w:jc w:val="center"/>
              <w:rPr>
                <w:noProof/>
                <w:color w:val="000000" w:themeColor="text1"/>
                <w:sz w:val="18"/>
                <w:szCs w:val="18"/>
              </w:rPr>
            </w:pPr>
            <w:r>
              <w:rPr>
                <w:noProof/>
                <w:color w:val="000000" w:themeColor="text1"/>
                <w:sz w:val="18"/>
                <w:szCs w:val="18"/>
              </w:rPr>
              <w:t>Kommunikation</w:t>
            </w:r>
          </w:p>
        </w:tc>
        <w:tc>
          <w:tcPr>
            <w:tcW w:w="920" w:type="dxa"/>
          </w:tcPr>
          <w:p>
            <w:pPr>
              <w:ind w:right="-29"/>
              <w:jc w:val="center"/>
              <w:rPr>
                <w:noProof/>
                <w:color w:val="000000" w:themeColor="text1"/>
                <w:sz w:val="18"/>
                <w:szCs w:val="18"/>
              </w:rPr>
            </w:pPr>
            <w:r>
              <w:rPr>
                <w:noProof/>
                <w:color w:val="000000" w:themeColor="text1"/>
                <w:sz w:val="18"/>
                <w:szCs w:val="18"/>
              </w:rPr>
              <w:t>0,300</w:t>
            </w:r>
          </w:p>
        </w:tc>
        <w:tc>
          <w:tcPr>
            <w:tcW w:w="425" w:type="dxa"/>
          </w:tcPr>
          <w:p>
            <w:pPr>
              <w:ind w:right="-29"/>
              <w:jc w:val="center"/>
              <w:rPr>
                <w:noProof/>
                <w:color w:val="000000" w:themeColor="text1"/>
                <w:sz w:val="18"/>
                <w:szCs w:val="18"/>
              </w:rPr>
            </w:pPr>
            <w:r>
              <w:rPr>
                <w:noProof/>
                <w:color w:val="000000" w:themeColor="text1"/>
                <w:sz w:val="18"/>
                <w:szCs w:val="18"/>
              </w:rPr>
              <w:t>2</w:t>
            </w:r>
          </w:p>
        </w:tc>
        <w:tc>
          <w:tcPr>
            <w:tcW w:w="850" w:type="dxa"/>
          </w:tcPr>
          <w:p>
            <w:pPr>
              <w:ind w:right="-29"/>
              <w:jc w:val="center"/>
              <w:rPr>
                <w:noProof/>
                <w:color w:val="000000" w:themeColor="text1"/>
                <w:sz w:val="18"/>
                <w:szCs w:val="18"/>
              </w:rPr>
            </w:pPr>
            <w:r>
              <w:rPr>
                <w:noProof/>
                <w:color w:val="000000" w:themeColor="text1"/>
                <w:sz w:val="18"/>
                <w:szCs w:val="18"/>
              </w:rPr>
              <w:t>0,600</w:t>
            </w:r>
          </w:p>
        </w:tc>
        <w:tc>
          <w:tcPr>
            <w:tcW w:w="270" w:type="dxa"/>
          </w:tcPr>
          <w:p>
            <w:pPr>
              <w:ind w:right="-29"/>
              <w:jc w:val="center"/>
              <w:rPr>
                <w:noProof/>
                <w:color w:val="000000" w:themeColor="text1"/>
                <w:sz w:val="18"/>
                <w:szCs w:val="18"/>
              </w:rPr>
            </w:pPr>
            <w:r>
              <w:rPr>
                <w:noProof/>
                <w:color w:val="000000" w:themeColor="text1"/>
                <w:sz w:val="18"/>
                <w:szCs w:val="18"/>
              </w:rPr>
              <w:t>0</w:t>
            </w:r>
          </w:p>
        </w:tc>
        <w:tc>
          <w:tcPr>
            <w:tcW w:w="720" w:type="dxa"/>
          </w:tcPr>
          <w:p>
            <w:pPr>
              <w:ind w:right="-29"/>
              <w:jc w:val="center"/>
              <w:rPr>
                <w:noProof/>
                <w:color w:val="000000" w:themeColor="text1"/>
                <w:sz w:val="18"/>
                <w:szCs w:val="18"/>
              </w:rPr>
            </w:pPr>
            <w:r>
              <w:rPr>
                <w:noProof/>
                <w:color w:val="000000" w:themeColor="text1"/>
                <w:sz w:val="18"/>
                <w:szCs w:val="18"/>
              </w:rPr>
              <w:t>0</w:t>
            </w:r>
          </w:p>
        </w:tc>
        <w:tc>
          <w:tcPr>
            <w:tcW w:w="720" w:type="dxa"/>
          </w:tcPr>
          <w:p>
            <w:pPr>
              <w:ind w:right="-29"/>
              <w:jc w:val="center"/>
              <w:rPr>
                <w:noProof/>
                <w:color w:val="000000" w:themeColor="text1"/>
                <w:sz w:val="18"/>
                <w:szCs w:val="18"/>
              </w:rPr>
            </w:pPr>
          </w:p>
        </w:tc>
        <w:tc>
          <w:tcPr>
            <w:tcW w:w="720" w:type="dxa"/>
          </w:tcPr>
          <w:p>
            <w:pPr>
              <w:ind w:right="-29"/>
              <w:jc w:val="center"/>
              <w:rPr>
                <w:noProof/>
                <w:color w:val="000000" w:themeColor="text1"/>
                <w:sz w:val="18"/>
                <w:szCs w:val="18"/>
              </w:rPr>
            </w:pPr>
          </w:p>
        </w:tc>
        <w:tc>
          <w:tcPr>
            <w:tcW w:w="900" w:type="dxa"/>
            <w:gridSpan w:val="2"/>
          </w:tcPr>
          <w:p>
            <w:pPr>
              <w:ind w:right="-29"/>
              <w:jc w:val="center"/>
              <w:rPr>
                <w:noProof/>
                <w:color w:val="000000" w:themeColor="text1"/>
                <w:sz w:val="18"/>
                <w:szCs w:val="18"/>
              </w:rPr>
            </w:pPr>
          </w:p>
        </w:tc>
        <w:tc>
          <w:tcPr>
            <w:tcW w:w="720" w:type="dxa"/>
          </w:tcPr>
          <w:p>
            <w:pPr>
              <w:ind w:right="-29"/>
              <w:jc w:val="center"/>
              <w:rPr>
                <w:noProof/>
                <w:color w:val="000000" w:themeColor="text1"/>
                <w:sz w:val="18"/>
                <w:szCs w:val="18"/>
              </w:rPr>
            </w:pPr>
          </w:p>
        </w:tc>
        <w:tc>
          <w:tcPr>
            <w:tcW w:w="540" w:type="dxa"/>
          </w:tcPr>
          <w:p>
            <w:pPr>
              <w:ind w:right="-29"/>
              <w:jc w:val="center"/>
              <w:rPr>
                <w:noProof/>
                <w:color w:val="000000" w:themeColor="text1"/>
                <w:sz w:val="18"/>
                <w:szCs w:val="18"/>
              </w:rPr>
            </w:pPr>
          </w:p>
        </w:tc>
        <w:tc>
          <w:tcPr>
            <w:tcW w:w="648" w:type="dxa"/>
          </w:tcPr>
          <w:p>
            <w:pPr>
              <w:ind w:right="-29"/>
              <w:jc w:val="center"/>
              <w:rPr>
                <w:noProof/>
                <w:color w:val="000000" w:themeColor="text1"/>
                <w:sz w:val="18"/>
                <w:szCs w:val="18"/>
              </w:rPr>
            </w:pPr>
          </w:p>
        </w:tc>
        <w:tc>
          <w:tcPr>
            <w:tcW w:w="432" w:type="dxa"/>
          </w:tcPr>
          <w:p>
            <w:pPr>
              <w:ind w:right="-29"/>
              <w:jc w:val="center"/>
              <w:rPr>
                <w:noProof/>
                <w:color w:val="000000" w:themeColor="text1"/>
                <w:sz w:val="18"/>
                <w:szCs w:val="18"/>
              </w:rPr>
            </w:pPr>
          </w:p>
        </w:tc>
        <w:tc>
          <w:tcPr>
            <w:tcW w:w="720" w:type="dxa"/>
          </w:tcPr>
          <w:p>
            <w:pPr>
              <w:ind w:right="-29"/>
              <w:jc w:val="center"/>
              <w:rPr>
                <w:noProof/>
                <w:color w:val="000000" w:themeColor="text1"/>
                <w:sz w:val="18"/>
                <w:szCs w:val="18"/>
              </w:rPr>
            </w:pPr>
          </w:p>
        </w:tc>
        <w:tc>
          <w:tcPr>
            <w:tcW w:w="540" w:type="dxa"/>
          </w:tcPr>
          <w:p>
            <w:pPr>
              <w:ind w:right="-29"/>
              <w:jc w:val="center"/>
              <w:rPr>
                <w:noProof/>
                <w:color w:val="000000" w:themeColor="text1"/>
                <w:sz w:val="18"/>
                <w:szCs w:val="18"/>
              </w:rPr>
            </w:pPr>
          </w:p>
        </w:tc>
        <w:tc>
          <w:tcPr>
            <w:tcW w:w="720" w:type="dxa"/>
          </w:tcPr>
          <w:p>
            <w:pPr>
              <w:ind w:right="-29"/>
              <w:jc w:val="center"/>
              <w:rPr>
                <w:noProof/>
                <w:color w:val="000000" w:themeColor="text1"/>
                <w:sz w:val="18"/>
                <w:szCs w:val="18"/>
              </w:rPr>
            </w:pPr>
          </w:p>
        </w:tc>
        <w:tc>
          <w:tcPr>
            <w:tcW w:w="720" w:type="dxa"/>
          </w:tcPr>
          <w:p>
            <w:pPr>
              <w:ind w:right="-29"/>
              <w:jc w:val="center"/>
              <w:rPr>
                <w:noProof/>
                <w:color w:val="000000" w:themeColor="text1"/>
                <w:sz w:val="18"/>
                <w:szCs w:val="18"/>
              </w:rPr>
            </w:pPr>
          </w:p>
        </w:tc>
        <w:tc>
          <w:tcPr>
            <w:tcW w:w="900" w:type="dxa"/>
          </w:tcPr>
          <w:p>
            <w:pPr>
              <w:ind w:right="-29"/>
              <w:jc w:val="center"/>
              <w:rPr>
                <w:noProof/>
                <w:color w:val="000000" w:themeColor="text1"/>
                <w:sz w:val="18"/>
                <w:szCs w:val="18"/>
              </w:rPr>
            </w:pPr>
            <w:r>
              <w:rPr>
                <w:noProof/>
                <w:color w:val="000000" w:themeColor="text1"/>
                <w:sz w:val="18"/>
                <w:szCs w:val="18"/>
              </w:rPr>
              <w:t>0 600</w:t>
            </w:r>
          </w:p>
          <w:p>
            <w:pPr>
              <w:ind w:right="-29"/>
              <w:jc w:val="center"/>
              <w:rPr>
                <w:noProof/>
                <w:color w:val="000000" w:themeColor="text1"/>
                <w:sz w:val="18"/>
                <w:szCs w:val="18"/>
              </w:rPr>
            </w:pPr>
          </w:p>
          <w:p>
            <w:pPr>
              <w:ind w:right="-29"/>
              <w:jc w:val="center"/>
              <w:rPr>
                <w:noProof/>
                <w:color w:val="000000" w:themeColor="text1"/>
                <w:sz w:val="18"/>
                <w:szCs w:val="18"/>
              </w:rPr>
            </w:pPr>
          </w:p>
        </w:tc>
      </w:tr>
      <w:tr>
        <w:trPr>
          <w:trHeight w:hRule="exact" w:val="851"/>
          <w:jc w:val="center"/>
        </w:trPr>
        <w:tc>
          <w:tcPr>
            <w:tcW w:w="1423" w:type="dxa"/>
          </w:tcPr>
          <w:p>
            <w:pPr>
              <w:ind w:right="-29"/>
              <w:jc w:val="center"/>
              <w:rPr>
                <w:noProof/>
                <w:color w:val="000000" w:themeColor="text1"/>
                <w:sz w:val="18"/>
                <w:szCs w:val="18"/>
              </w:rPr>
            </w:pPr>
            <w:r>
              <w:rPr>
                <w:noProof/>
                <w:color w:val="000000" w:themeColor="text1"/>
                <w:sz w:val="18"/>
              </w:rPr>
              <w:t>- Resultat</w:t>
            </w:r>
          </w:p>
        </w:tc>
        <w:tc>
          <w:tcPr>
            <w:tcW w:w="720" w:type="dxa"/>
          </w:tcPr>
          <w:p>
            <w:pPr>
              <w:ind w:right="-29"/>
              <w:jc w:val="center"/>
              <w:rPr>
                <w:noProof/>
                <w:color w:val="000000" w:themeColor="text1"/>
                <w:sz w:val="18"/>
                <w:szCs w:val="18"/>
              </w:rPr>
            </w:pPr>
            <w:r>
              <w:rPr>
                <w:noProof/>
                <w:color w:val="000000" w:themeColor="text1"/>
                <w:sz w:val="18"/>
                <w:szCs w:val="18"/>
              </w:rPr>
              <w:t>Seminarer og konferencer</w:t>
            </w:r>
          </w:p>
        </w:tc>
        <w:tc>
          <w:tcPr>
            <w:tcW w:w="920" w:type="dxa"/>
          </w:tcPr>
          <w:p>
            <w:pPr>
              <w:ind w:right="-29"/>
              <w:jc w:val="center"/>
              <w:rPr>
                <w:noProof/>
                <w:color w:val="000000" w:themeColor="text1"/>
                <w:sz w:val="18"/>
                <w:szCs w:val="18"/>
              </w:rPr>
            </w:pPr>
            <w:r>
              <w:rPr>
                <w:noProof/>
                <w:color w:val="000000" w:themeColor="text1"/>
                <w:sz w:val="18"/>
                <w:szCs w:val="18"/>
              </w:rPr>
              <w:t>0,250</w:t>
            </w:r>
          </w:p>
        </w:tc>
        <w:tc>
          <w:tcPr>
            <w:tcW w:w="425" w:type="dxa"/>
          </w:tcPr>
          <w:p>
            <w:pPr>
              <w:ind w:right="-29"/>
              <w:jc w:val="center"/>
              <w:rPr>
                <w:noProof/>
                <w:color w:val="000000" w:themeColor="text1"/>
                <w:sz w:val="18"/>
                <w:szCs w:val="18"/>
              </w:rPr>
            </w:pPr>
            <w:r>
              <w:rPr>
                <w:noProof/>
                <w:color w:val="000000" w:themeColor="text1"/>
                <w:sz w:val="18"/>
                <w:szCs w:val="18"/>
              </w:rPr>
              <w:t>3</w:t>
            </w:r>
          </w:p>
        </w:tc>
        <w:tc>
          <w:tcPr>
            <w:tcW w:w="850" w:type="dxa"/>
          </w:tcPr>
          <w:p>
            <w:pPr>
              <w:ind w:right="-29"/>
              <w:jc w:val="center"/>
              <w:rPr>
                <w:noProof/>
                <w:color w:val="000000" w:themeColor="text1"/>
                <w:sz w:val="18"/>
                <w:szCs w:val="18"/>
              </w:rPr>
            </w:pPr>
            <w:r>
              <w:rPr>
                <w:noProof/>
                <w:color w:val="000000" w:themeColor="text1"/>
                <w:sz w:val="18"/>
                <w:szCs w:val="18"/>
              </w:rPr>
              <w:t>0,750</w:t>
            </w:r>
          </w:p>
        </w:tc>
        <w:tc>
          <w:tcPr>
            <w:tcW w:w="270" w:type="dxa"/>
          </w:tcPr>
          <w:p>
            <w:pPr>
              <w:ind w:right="-29"/>
              <w:jc w:val="center"/>
              <w:rPr>
                <w:noProof/>
                <w:color w:val="000000" w:themeColor="text1"/>
                <w:sz w:val="18"/>
                <w:szCs w:val="18"/>
              </w:rPr>
            </w:pPr>
            <w:r>
              <w:rPr>
                <w:noProof/>
                <w:color w:val="000000" w:themeColor="text1"/>
                <w:sz w:val="18"/>
                <w:szCs w:val="18"/>
              </w:rPr>
              <w:t>0</w:t>
            </w:r>
          </w:p>
        </w:tc>
        <w:tc>
          <w:tcPr>
            <w:tcW w:w="720" w:type="dxa"/>
          </w:tcPr>
          <w:p>
            <w:pPr>
              <w:ind w:right="-29"/>
              <w:jc w:val="center"/>
              <w:rPr>
                <w:noProof/>
                <w:color w:val="000000" w:themeColor="text1"/>
                <w:sz w:val="18"/>
                <w:szCs w:val="18"/>
              </w:rPr>
            </w:pPr>
            <w:r>
              <w:rPr>
                <w:noProof/>
                <w:color w:val="000000" w:themeColor="text1"/>
                <w:sz w:val="18"/>
                <w:szCs w:val="18"/>
              </w:rPr>
              <w:t>0</w:t>
            </w:r>
          </w:p>
        </w:tc>
        <w:tc>
          <w:tcPr>
            <w:tcW w:w="720" w:type="dxa"/>
          </w:tcPr>
          <w:p>
            <w:pPr>
              <w:ind w:right="-29"/>
              <w:jc w:val="center"/>
              <w:rPr>
                <w:noProof/>
                <w:color w:val="000000" w:themeColor="text1"/>
                <w:sz w:val="18"/>
                <w:szCs w:val="18"/>
              </w:rPr>
            </w:pPr>
          </w:p>
        </w:tc>
        <w:tc>
          <w:tcPr>
            <w:tcW w:w="720" w:type="dxa"/>
          </w:tcPr>
          <w:p>
            <w:pPr>
              <w:ind w:right="-29"/>
              <w:jc w:val="center"/>
              <w:rPr>
                <w:noProof/>
                <w:color w:val="000000" w:themeColor="text1"/>
                <w:sz w:val="18"/>
                <w:szCs w:val="18"/>
              </w:rPr>
            </w:pPr>
          </w:p>
        </w:tc>
        <w:tc>
          <w:tcPr>
            <w:tcW w:w="900" w:type="dxa"/>
            <w:gridSpan w:val="2"/>
          </w:tcPr>
          <w:p>
            <w:pPr>
              <w:ind w:right="-29"/>
              <w:jc w:val="center"/>
              <w:rPr>
                <w:noProof/>
                <w:color w:val="000000" w:themeColor="text1"/>
                <w:sz w:val="18"/>
                <w:szCs w:val="18"/>
              </w:rPr>
            </w:pPr>
          </w:p>
        </w:tc>
        <w:tc>
          <w:tcPr>
            <w:tcW w:w="720" w:type="dxa"/>
          </w:tcPr>
          <w:p>
            <w:pPr>
              <w:ind w:right="-29"/>
              <w:jc w:val="center"/>
              <w:rPr>
                <w:noProof/>
                <w:color w:val="000000" w:themeColor="text1"/>
                <w:sz w:val="18"/>
                <w:szCs w:val="18"/>
              </w:rPr>
            </w:pPr>
          </w:p>
        </w:tc>
        <w:tc>
          <w:tcPr>
            <w:tcW w:w="540" w:type="dxa"/>
          </w:tcPr>
          <w:p>
            <w:pPr>
              <w:ind w:right="-29"/>
              <w:jc w:val="center"/>
              <w:rPr>
                <w:noProof/>
                <w:color w:val="000000" w:themeColor="text1"/>
                <w:sz w:val="18"/>
                <w:szCs w:val="18"/>
              </w:rPr>
            </w:pPr>
          </w:p>
        </w:tc>
        <w:tc>
          <w:tcPr>
            <w:tcW w:w="648" w:type="dxa"/>
          </w:tcPr>
          <w:p>
            <w:pPr>
              <w:ind w:right="-29"/>
              <w:jc w:val="center"/>
              <w:rPr>
                <w:noProof/>
                <w:color w:val="000000" w:themeColor="text1"/>
                <w:sz w:val="18"/>
                <w:szCs w:val="18"/>
              </w:rPr>
            </w:pPr>
          </w:p>
        </w:tc>
        <w:tc>
          <w:tcPr>
            <w:tcW w:w="432" w:type="dxa"/>
          </w:tcPr>
          <w:p>
            <w:pPr>
              <w:ind w:right="-29"/>
              <w:jc w:val="center"/>
              <w:rPr>
                <w:noProof/>
                <w:color w:val="000000" w:themeColor="text1"/>
                <w:sz w:val="18"/>
                <w:szCs w:val="18"/>
              </w:rPr>
            </w:pPr>
          </w:p>
        </w:tc>
        <w:tc>
          <w:tcPr>
            <w:tcW w:w="720" w:type="dxa"/>
          </w:tcPr>
          <w:p>
            <w:pPr>
              <w:ind w:right="-29"/>
              <w:jc w:val="center"/>
              <w:rPr>
                <w:noProof/>
                <w:color w:val="000000" w:themeColor="text1"/>
                <w:sz w:val="18"/>
                <w:szCs w:val="18"/>
              </w:rPr>
            </w:pPr>
          </w:p>
        </w:tc>
        <w:tc>
          <w:tcPr>
            <w:tcW w:w="540" w:type="dxa"/>
          </w:tcPr>
          <w:p>
            <w:pPr>
              <w:ind w:right="-29"/>
              <w:jc w:val="center"/>
              <w:rPr>
                <w:noProof/>
                <w:color w:val="000000" w:themeColor="text1"/>
                <w:sz w:val="18"/>
                <w:szCs w:val="18"/>
              </w:rPr>
            </w:pPr>
          </w:p>
        </w:tc>
        <w:tc>
          <w:tcPr>
            <w:tcW w:w="720" w:type="dxa"/>
          </w:tcPr>
          <w:p>
            <w:pPr>
              <w:ind w:right="-29"/>
              <w:jc w:val="center"/>
              <w:rPr>
                <w:noProof/>
                <w:color w:val="000000" w:themeColor="text1"/>
                <w:sz w:val="18"/>
                <w:szCs w:val="18"/>
              </w:rPr>
            </w:pPr>
          </w:p>
        </w:tc>
        <w:tc>
          <w:tcPr>
            <w:tcW w:w="720" w:type="dxa"/>
          </w:tcPr>
          <w:p>
            <w:pPr>
              <w:ind w:right="-29"/>
              <w:jc w:val="center"/>
              <w:rPr>
                <w:noProof/>
                <w:color w:val="000000" w:themeColor="text1"/>
                <w:sz w:val="18"/>
                <w:szCs w:val="18"/>
              </w:rPr>
            </w:pPr>
          </w:p>
        </w:tc>
        <w:tc>
          <w:tcPr>
            <w:tcW w:w="900" w:type="dxa"/>
          </w:tcPr>
          <w:p>
            <w:pPr>
              <w:ind w:right="-29"/>
              <w:jc w:val="center"/>
              <w:rPr>
                <w:noProof/>
                <w:color w:val="000000" w:themeColor="text1"/>
                <w:sz w:val="18"/>
                <w:szCs w:val="18"/>
              </w:rPr>
            </w:pPr>
            <w:r>
              <w:rPr>
                <w:noProof/>
                <w:color w:val="000000" w:themeColor="text1"/>
                <w:sz w:val="18"/>
                <w:szCs w:val="18"/>
              </w:rPr>
              <w:t>0 750</w:t>
            </w:r>
          </w:p>
        </w:tc>
      </w:tr>
      <w:tr>
        <w:trPr>
          <w:jc w:val="center"/>
        </w:trPr>
        <w:tc>
          <w:tcPr>
            <w:tcW w:w="3063" w:type="dxa"/>
            <w:gridSpan w:val="3"/>
            <w:tcBorders>
              <w:bottom w:val="single" w:sz="12" w:space="0" w:color="auto"/>
            </w:tcBorders>
            <w:vAlign w:val="center"/>
          </w:tcPr>
          <w:p>
            <w:pPr>
              <w:jc w:val="center"/>
              <w:rPr>
                <w:noProof/>
                <w:color w:val="000000" w:themeColor="text1"/>
                <w:sz w:val="18"/>
                <w:szCs w:val="18"/>
                <w:lang w:val="nn-NO"/>
              </w:rPr>
            </w:pPr>
            <w:r>
              <w:rPr>
                <w:noProof/>
                <w:color w:val="000000" w:themeColor="text1"/>
                <w:sz w:val="18"/>
                <w:lang w:val="nn-NO"/>
              </w:rPr>
              <w:t>Subtotal for specifikt mål nr. 2</w:t>
            </w:r>
          </w:p>
        </w:tc>
        <w:tc>
          <w:tcPr>
            <w:tcW w:w="425" w:type="dxa"/>
            <w:tcBorders>
              <w:bottom w:val="single" w:sz="12" w:space="0" w:color="auto"/>
            </w:tcBorders>
          </w:tcPr>
          <w:p>
            <w:pPr>
              <w:ind w:right="-29"/>
              <w:jc w:val="center"/>
              <w:rPr>
                <w:noProof/>
                <w:color w:val="000000" w:themeColor="text1"/>
                <w:sz w:val="18"/>
                <w:szCs w:val="18"/>
              </w:rPr>
            </w:pPr>
            <w:r>
              <w:rPr>
                <w:noProof/>
                <w:color w:val="000000" w:themeColor="text1"/>
                <w:sz w:val="18"/>
                <w:szCs w:val="18"/>
              </w:rPr>
              <w:t>5</w:t>
            </w:r>
          </w:p>
        </w:tc>
        <w:tc>
          <w:tcPr>
            <w:tcW w:w="850" w:type="dxa"/>
            <w:tcBorders>
              <w:bottom w:val="single" w:sz="12" w:space="0" w:color="auto"/>
            </w:tcBorders>
          </w:tcPr>
          <w:p>
            <w:pPr>
              <w:ind w:right="-29"/>
              <w:jc w:val="center"/>
              <w:rPr>
                <w:noProof/>
                <w:color w:val="000000" w:themeColor="text1"/>
                <w:sz w:val="18"/>
                <w:szCs w:val="18"/>
              </w:rPr>
            </w:pPr>
            <w:r>
              <w:rPr>
                <w:noProof/>
                <w:color w:val="000000" w:themeColor="text1"/>
                <w:sz w:val="18"/>
                <w:szCs w:val="18"/>
              </w:rPr>
              <w:t>1,350</w:t>
            </w:r>
          </w:p>
        </w:tc>
        <w:tc>
          <w:tcPr>
            <w:tcW w:w="270" w:type="dxa"/>
            <w:tcBorders>
              <w:bottom w:val="single" w:sz="12" w:space="0" w:color="auto"/>
            </w:tcBorders>
          </w:tcPr>
          <w:p>
            <w:pPr>
              <w:ind w:right="-29"/>
              <w:jc w:val="center"/>
              <w:rPr>
                <w:noProof/>
                <w:color w:val="000000" w:themeColor="text1"/>
                <w:sz w:val="18"/>
                <w:szCs w:val="18"/>
              </w:rPr>
            </w:pPr>
            <w:r>
              <w:rPr>
                <w:noProof/>
                <w:color w:val="000000" w:themeColor="text1"/>
                <w:sz w:val="18"/>
                <w:szCs w:val="18"/>
              </w:rPr>
              <w:t>0</w:t>
            </w:r>
          </w:p>
        </w:tc>
        <w:tc>
          <w:tcPr>
            <w:tcW w:w="720" w:type="dxa"/>
            <w:tcBorders>
              <w:bottom w:val="single" w:sz="12" w:space="0" w:color="auto"/>
            </w:tcBorders>
          </w:tcPr>
          <w:p>
            <w:pPr>
              <w:ind w:right="-29"/>
              <w:jc w:val="center"/>
              <w:rPr>
                <w:noProof/>
                <w:color w:val="000000" w:themeColor="text1"/>
                <w:sz w:val="18"/>
                <w:szCs w:val="18"/>
              </w:rPr>
            </w:pPr>
            <w:r>
              <w:rPr>
                <w:noProof/>
                <w:color w:val="000000" w:themeColor="text1"/>
                <w:sz w:val="18"/>
                <w:szCs w:val="18"/>
              </w:rPr>
              <w:t>0</w:t>
            </w:r>
          </w:p>
        </w:tc>
        <w:tc>
          <w:tcPr>
            <w:tcW w:w="720" w:type="dxa"/>
            <w:tcBorders>
              <w:bottom w:val="single" w:sz="12" w:space="0" w:color="auto"/>
            </w:tcBorders>
          </w:tcPr>
          <w:p>
            <w:pPr>
              <w:ind w:right="-29"/>
              <w:jc w:val="center"/>
              <w:rPr>
                <w:noProof/>
                <w:color w:val="000000" w:themeColor="text1"/>
                <w:sz w:val="18"/>
                <w:szCs w:val="18"/>
              </w:rPr>
            </w:pPr>
          </w:p>
        </w:tc>
        <w:tc>
          <w:tcPr>
            <w:tcW w:w="720" w:type="dxa"/>
            <w:tcBorders>
              <w:bottom w:val="single" w:sz="12" w:space="0" w:color="auto"/>
            </w:tcBorders>
          </w:tcPr>
          <w:p>
            <w:pPr>
              <w:ind w:right="-29"/>
              <w:jc w:val="center"/>
              <w:rPr>
                <w:noProof/>
                <w:color w:val="000000" w:themeColor="text1"/>
                <w:sz w:val="18"/>
                <w:szCs w:val="18"/>
              </w:rPr>
            </w:pPr>
          </w:p>
        </w:tc>
        <w:tc>
          <w:tcPr>
            <w:tcW w:w="859" w:type="dxa"/>
            <w:tcBorders>
              <w:bottom w:val="single" w:sz="12" w:space="0" w:color="auto"/>
            </w:tcBorders>
          </w:tcPr>
          <w:p>
            <w:pPr>
              <w:ind w:right="-29"/>
              <w:jc w:val="center"/>
              <w:rPr>
                <w:noProof/>
                <w:color w:val="000000" w:themeColor="text1"/>
                <w:sz w:val="18"/>
                <w:szCs w:val="18"/>
              </w:rPr>
            </w:pPr>
          </w:p>
        </w:tc>
        <w:tc>
          <w:tcPr>
            <w:tcW w:w="761" w:type="dxa"/>
            <w:gridSpan w:val="2"/>
            <w:tcBorders>
              <w:bottom w:val="single" w:sz="12" w:space="0" w:color="auto"/>
            </w:tcBorders>
          </w:tcPr>
          <w:p>
            <w:pPr>
              <w:ind w:right="-29"/>
              <w:jc w:val="center"/>
              <w:rPr>
                <w:noProof/>
                <w:color w:val="000000" w:themeColor="text1"/>
                <w:sz w:val="18"/>
                <w:szCs w:val="18"/>
              </w:rPr>
            </w:pPr>
          </w:p>
        </w:tc>
        <w:tc>
          <w:tcPr>
            <w:tcW w:w="540" w:type="dxa"/>
            <w:tcBorders>
              <w:bottom w:val="single" w:sz="12" w:space="0" w:color="auto"/>
            </w:tcBorders>
          </w:tcPr>
          <w:p>
            <w:pPr>
              <w:ind w:right="-29"/>
              <w:jc w:val="center"/>
              <w:rPr>
                <w:noProof/>
                <w:color w:val="000000" w:themeColor="text1"/>
                <w:sz w:val="18"/>
                <w:szCs w:val="18"/>
              </w:rPr>
            </w:pPr>
          </w:p>
        </w:tc>
        <w:tc>
          <w:tcPr>
            <w:tcW w:w="648" w:type="dxa"/>
            <w:tcBorders>
              <w:bottom w:val="single" w:sz="12" w:space="0" w:color="auto"/>
            </w:tcBorders>
          </w:tcPr>
          <w:p>
            <w:pPr>
              <w:ind w:right="-29"/>
              <w:jc w:val="center"/>
              <w:rPr>
                <w:noProof/>
                <w:color w:val="000000" w:themeColor="text1"/>
                <w:sz w:val="18"/>
                <w:szCs w:val="18"/>
              </w:rPr>
            </w:pPr>
          </w:p>
        </w:tc>
        <w:tc>
          <w:tcPr>
            <w:tcW w:w="432" w:type="dxa"/>
            <w:tcBorders>
              <w:bottom w:val="single" w:sz="12" w:space="0" w:color="auto"/>
            </w:tcBorders>
          </w:tcPr>
          <w:p>
            <w:pPr>
              <w:ind w:right="-29"/>
              <w:jc w:val="center"/>
              <w:rPr>
                <w:noProof/>
                <w:color w:val="000000" w:themeColor="text1"/>
                <w:sz w:val="18"/>
                <w:szCs w:val="18"/>
              </w:rPr>
            </w:pPr>
          </w:p>
        </w:tc>
        <w:tc>
          <w:tcPr>
            <w:tcW w:w="720" w:type="dxa"/>
            <w:tcBorders>
              <w:bottom w:val="single" w:sz="12" w:space="0" w:color="auto"/>
            </w:tcBorders>
          </w:tcPr>
          <w:p>
            <w:pPr>
              <w:ind w:right="-29"/>
              <w:jc w:val="center"/>
              <w:rPr>
                <w:noProof/>
                <w:color w:val="000000" w:themeColor="text1"/>
                <w:sz w:val="18"/>
                <w:szCs w:val="18"/>
              </w:rPr>
            </w:pPr>
          </w:p>
        </w:tc>
        <w:tc>
          <w:tcPr>
            <w:tcW w:w="540" w:type="dxa"/>
            <w:tcBorders>
              <w:bottom w:val="single" w:sz="12" w:space="0" w:color="auto"/>
            </w:tcBorders>
          </w:tcPr>
          <w:p>
            <w:pPr>
              <w:ind w:right="-29"/>
              <w:jc w:val="center"/>
              <w:rPr>
                <w:noProof/>
                <w:color w:val="000000" w:themeColor="text1"/>
                <w:sz w:val="18"/>
                <w:szCs w:val="18"/>
              </w:rPr>
            </w:pPr>
          </w:p>
        </w:tc>
        <w:tc>
          <w:tcPr>
            <w:tcW w:w="720" w:type="dxa"/>
            <w:tcBorders>
              <w:bottom w:val="single" w:sz="12" w:space="0" w:color="auto"/>
            </w:tcBorders>
          </w:tcPr>
          <w:p>
            <w:pPr>
              <w:ind w:right="-29"/>
              <w:jc w:val="center"/>
              <w:rPr>
                <w:noProof/>
                <w:color w:val="000000" w:themeColor="text1"/>
                <w:sz w:val="18"/>
                <w:szCs w:val="18"/>
              </w:rPr>
            </w:pPr>
          </w:p>
        </w:tc>
        <w:tc>
          <w:tcPr>
            <w:tcW w:w="720" w:type="dxa"/>
            <w:tcBorders>
              <w:bottom w:val="single" w:sz="12" w:space="0" w:color="auto"/>
            </w:tcBorders>
          </w:tcPr>
          <w:p>
            <w:pPr>
              <w:ind w:right="-29"/>
              <w:jc w:val="center"/>
              <w:rPr>
                <w:noProof/>
                <w:color w:val="000000" w:themeColor="text1"/>
                <w:sz w:val="18"/>
                <w:szCs w:val="18"/>
              </w:rPr>
            </w:pPr>
          </w:p>
        </w:tc>
        <w:tc>
          <w:tcPr>
            <w:tcW w:w="900" w:type="dxa"/>
            <w:tcBorders>
              <w:bottom w:val="single" w:sz="12" w:space="0" w:color="auto"/>
            </w:tcBorders>
          </w:tcPr>
          <w:p>
            <w:pPr>
              <w:ind w:right="-29"/>
              <w:jc w:val="center"/>
              <w:rPr>
                <w:noProof/>
                <w:color w:val="000000" w:themeColor="text1"/>
                <w:sz w:val="18"/>
                <w:szCs w:val="18"/>
              </w:rPr>
            </w:pPr>
            <w:r>
              <w:rPr>
                <w:noProof/>
                <w:color w:val="000000" w:themeColor="text1"/>
                <w:sz w:val="18"/>
                <w:szCs w:val="18"/>
              </w:rPr>
              <w:t>1,350</w:t>
            </w:r>
          </w:p>
        </w:tc>
      </w:tr>
      <w:tr>
        <w:trPr>
          <w:jc w:val="center"/>
        </w:trPr>
        <w:tc>
          <w:tcPr>
            <w:tcW w:w="3063" w:type="dxa"/>
            <w:gridSpan w:val="3"/>
            <w:vAlign w:val="center"/>
          </w:tcPr>
          <w:p>
            <w:pPr>
              <w:spacing w:before="60" w:after="60"/>
              <w:ind w:right="-29"/>
              <w:jc w:val="center"/>
              <w:rPr>
                <w:noProof/>
                <w:color w:val="000000" w:themeColor="text1"/>
                <w:sz w:val="18"/>
                <w:szCs w:val="18"/>
              </w:rPr>
            </w:pPr>
            <w:r>
              <w:rPr>
                <w:noProof/>
                <w:color w:val="000000" w:themeColor="text1"/>
                <w:sz w:val="18"/>
              </w:rPr>
              <w:t>SPECIFIKT MÅL NR. 3</w:t>
            </w:r>
          </w:p>
        </w:tc>
        <w:tc>
          <w:tcPr>
            <w:tcW w:w="425" w:type="dxa"/>
            <w:tcBorders>
              <w:top w:val="nil"/>
              <w:left w:val="nil"/>
              <w:bottom w:val="nil"/>
              <w:right w:val="nil"/>
            </w:tcBorders>
          </w:tcPr>
          <w:p>
            <w:pPr>
              <w:spacing w:before="60" w:after="60"/>
              <w:ind w:right="-29"/>
              <w:jc w:val="center"/>
              <w:rPr>
                <w:noProof/>
                <w:color w:val="000000" w:themeColor="text1"/>
                <w:sz w:val="18"/>
                <w:szCs w:val="18"/>
              </w:rPr>
            </w:pPr>
          </w:p>
        </w:tc>
        <w:tc>
          <w:tcPr>
            <w:tcW w:w="850" w:type="dxa"/>
            <w:tcBorders>
              <w:top w:val="nil"/>
              <w:left w:val="nil"/>
              <w:bottom w:val="nil"/>
              <w:right w:val="nil"/>
            </w:tcBorders>
          </w:tcPr>
          <w:p>
            <w:pPr>
              <w:spacing w:before="60" w:after="60"/>
              <w:ind w:right="-29"/>
              <w:jc w:val="center"/>
              <w:rPr>
                <w:noProof/>
                <w:color w:val="000000" w:themeColor="text1"/>
                <w:sz w:val="18"/>
                <w:szCs w:val="18"/>
              </w:rPr>
            </w:pPr>
          </w:p>
        </w:tc>
        <w:tc>
          <w:tcPr>
            <w:tcW w:w="270" w:type="dxa"/>
            <w:tcBorders>
              <w:top w:val="nil"/>
              <w:left w:val="nil"/>
              <w:bottom w:val="nil"/>
              <w:right w:val="nil"/>
            </w:tcBorders>
          </w:tcPr>
          <w:p>
            <w:pPr>
              <w:spacing w:before="60" w:after="60"/>
              <w:ind w:right="-29"/>
              <w:jc w:val="center"/>
              <w:rPr>
                <w:noProof/>
                <w:color w:val="000000" w:themeColor="text1"/>
                <w:sz w:val="18"/>
                <w:szCs w:val="18"/>
              </w:rPr>
            </w:pPr>
          </w:p>
        </w:tc>
        <w:tc>
          <w:tcPr>
            <w:tcW w:w="720" w:type="dxa"/>
            <w:tcBorders>
              <w:top w:val="nil"/>
              <w:left w:val="nil"/>
              <w:bottom w:val="nil"/>
              <w:right w:val="nil"/>
            </w:tcBorders>
          </w:tcPr>
          <w:p>
            <w:pPr>
              <w:spacing w:before="60" w:after="60"/>
              <w:ind w:right="-29"/>
              <w:jc w:val="center"/>
              <w:rPr>
                <w:noProof/>
                <w:color w:val="000000" w:themeColor="text1"/>
                <w:sz w:val="18"/>
                <w:szCs w:val="18"/>
              </w:rPr>
            </w:pPr>
          </w:p>
        </w:tc>
        <w:tc>
          <w:tcPr>
            <w:tcW w:w="720" w:type="dxa"/>
            <w:tcBorders>
              <w:top w:val="nil"/>
              <w:left w:val="nil"/>
              <w:bottom w:val="nil"/>
              <w:right w:val="nil"/>
            </w:tcBorders>
          </w:tcPr>
          <w:p>
            <w:pPr>
              <w:spacing w:before="60" w:after="60"/>
              <w:ind w:right="-29"/>
              <w:jc w:val="center"/>
              <w:rPr>
                <w:noProof/>
                <w:color w:val="000000" w:themeColor="text1"/>
                <w:sz w:val="18"/>
                <w:szCs w:val="18"/>
              </w:rPr>
            </w:pPr>
          </w:p>
        </w:tc>
        <w:tc>
          <w:tcPr>
            <w:tcW w:w="720" w:type="dxa"/>
            <w:tcBorders>
              <w:top w:val="nil"/>
              <w:left w:val="nil"/>
              <w:bottom w:val="nil"/>
              <w:right w:val="nil"/>
            </w:tcBorders>
          </w:tcPr>
          <w:p>
            <w:pPr>
              <w:spacing w:before="60" w:after="60"/>
              <w:ind w:right="-29"/>
              <w:jc w:val="center"/>
              <w:rPr>
                <w:noProof/>
                <w:color w:val="000000" w:themeColor="text1"/>
                <w:sz w:val="18"/>
                <w:szCs w:val="18"/>
              </w:rPr>
            </w:pPr>
          </w:p>
        </w:tc>
        <w:tc>
          <w:tcPr>
            <w:tcW w:w="900" w:type="dxa"/>
            <w:gridSpan w:val="2"/>
            <w:tcBorders>
              <w:top w:val="nil"/>
              <w:left w:val="nil"/>
              <w:bottom w:val="nil"/>
              <w:right w:val="nil"/>
            </w:tcBorders>
          </w:tcPr>
          <w:p>
            <w:pPr>
              <w:spacing w:before="60" w:after="60"/>
              <w:ind w:right="-29"/>
              <w:jc w:val="center"/>
              <w:rPr>
                <w:noProof/>
                <w:color w:val="000000" w:themeColor="text1"/>
                <w:sz w:val="18"/>
                <w:szCs w:val="18"/>
              </w:rPr>
            </w:pPr>
          </w:p>
        </w:tc>
        <w:tc>
          <w:tcPr>
            <w:tcW w:w="720" w:type="dxa"/>
            <w:tcBorders>
              <w:top w:val="nil"/>
              <w:left w:val="nil"/>
              <w:bottom w:val="nil"/>
              <w:right w:val="nil"/>
            </w:tcBorders>
          </w:tcPr>
          <w:p>
            <w:pPr>
              <w:spacing w:before="60" w:after="60"/>
              <w:ind w:right="-29"/>
              <w:jc w:val="center"/>
              <w:rPr>
                <w:noProof/>
                <w:color w:val="000000" w:themeColor="text1"/>
                <w:sz w:val="18"/>
                <w:szCs w:val="18"/>
              </w:rPr>
            </w:pPr>
          </w:p>
        </w:tc>
        <w:tc>
          <w:tcPr>
            <w:tcW w:w="540" w:type="dxa"/>
            <w:tcBorders>
              <w:top w:val="nil"/>
              <w:left w:val="nil"/>
              <w:bottom w:val="nil"/>
              <w:right w:val="nil"/>
            </w:tcBorders>
          </w:tcPr>
          <w:p>
            <w:pPr>
              <w:spacing w:before="60" w:after="60"/>
              <w:ind w:right="-29"/>
              <w:jc w:val="center"/>
              <w:rPr>
                <w:noProof/>
                <w:color w:val="000000" w:themeColor="text1"/>
                <w:sz w:val="18"/>
                <w:szCs w:val="18"/>
              </w:rPr>
            </w:pPr>
          </w:p>
        </w:tc>
        <w:tc>
          <w:tcPr>
            <w:tcW w:w="648" w:type="dxa"/>
            <w:tcBorders>
              <w:top w:val="nil"/>
              <w:left w:val="nil"/>
              <w:bottom w:val="nil"/>
              <w:right w:val="nil"/>
            </w:tcBorders>
          </w:tcPr>
          <w:p>
            <w:pPr>
              <w:spacing w:before="60" w:after="60"/>
              <w:ind w:right="-29"/>
              <w:jc w:val="center"/>
              <w:rPr>
                <w:noProof/>
                <w:color w:val="000000" w:themeColor="text1"/>
                <w:sz w:val="18"/>
                <w:szCs w:val="18"/>
              </w:rPr>
            </w:pPr>
          </w:p>
        </w:tc>
        <w:tc>
          <w:tcPr>
            <w:tcW w:w="432" w:type="dxa"/>
            <w:tcBorders>
              <w:top w:val="nil"/>
              <w:left w:val="nil"/>
              <w:bottom w:val="nil"/>
              <w:right w:val="nil"/>
            </w:tcBorders>
          </w:tcPr>
          <w:p>
            <w:pPr>
              <w:spacing w:before="60" w:after="60"/>
              <w:ind w:right="-29"/>
              <w:jc w:val="center"/>
              <w:rPr>
                <w:noProof/>
                <w:color w:val="000000" w:themeColor="text1"/>
                <w:sz w:val="18"/>
                <w:szCs w:val="18"/>
              </w:rPr>
            </w:pPr>
          </w:p>
        </w:tc>
        <w:tc>
          <w:tcPr>
            <w:tcW w:w="720" w:type="dxa"/>
            <w:tcBorders>
              <w:top w:val="nil"/>
              <w:left w:val="nil"/>
              <w:bottom w:val="nil"/>
              <w:right w:val="nil"/>
            </w:tcBorders>
          </w:tcPr>
          <w:p>
            <w:pPr>
              <w:spacing w:before="60" w:after="60"/>
              <w:ind w:right="-29"/>
              <w:jc w:val="center"/>
              <w:rPr>
                <w:noProof/>
                <w:color w:val="000000" w:themeColor="text1"/>
                <w:sz w:val="18"/>
                <w:szCs w:val="18"/>
              </w:rPr>
            </w:pPr>
          </w:p>
        </w:tc>
        <w:tc>
          <w:tcPr>
            <w:tcW w:w="540" w:type="dxa"/>
            <w:tcBorders>
              <w:top w:val="nil"/>
              <w:left w:val="nil"/>
              <w:bottom w:val="nil"/>
              <w:right w:val="nil"/>
            </w:tcBorders>
          </w:tcPr>
          <w:p>
            <w:pPr>
              <w:spacing w:before="60" w:after="60"/>
              <w:ind w:right="-29"/>
              <w:jc w:val="center"/>
              <w:rPr>
                <w:noProof/>
                <w:color w:val="000000" w:themeColor="text1"/>
                <w:sz w:val="18"/>
                <w:szCs w:val="18"/>
              </w:rPr>
            </w:pPr>
          </w:p>
        </w:tc>
        <w:tc>
          <w:tcPr>
            <w:tcW w:w="720" w:type="dxa"/>
            <w:tcBorders>
              <w:top w:val="nil"/>
              <w:left w:val="nil"/>
              <w:bottom w:val="nil"/>
              <w:right w:val="nil"/>
            </w:tcBorders>
          </w:tcPr>
          <w:p>
            <w:pPr>
              <w:spacing w:before="60" w:after="60"/>
              <w:ind w:right="-29"/>
              <w:jc w:val="center"/>
              <w:rPr>
                <w:noProof/>
                <w:color w:val="000000" w:themeColor="text1"/>
                <w:sz w:val="18"/>
                <w:szCs w:val="18"/>
              </w:rPr>
            </w:pPr>
          </w:p>
        </w:tc>
        <w:tc>
          <w:tcPr>
            <w:tcW w:w="720" w:type="dxa"/>
            <w:tcBorders>
              <w:top w:val="nil"/>
              <w:left w:val="nil"/>
              <w:bottom w:val="nil"/>
              <w:right w:val="nil"/>
            </w:tcBorders>
          </w:tcPr>
          <w:p>
            <w:pPr>
              <w:spacing w:before="60" w:after="60"/>
              <w:ind w:right="-29"/>
              <w:jc w:val="center"/>
              <w:rPr>
                <w:noProof/>
                <w:color w:val="000000" w:themeColor="text1"/>
                <w:sz w:val="18"/>
                <w:szCs w:val="18"/>
              </w:rPr>
            </w:pPr>
          </w:p>
        </w:tc>
        <w:tc>
          <w:tcPr>
            <w:tcW w:w="900" w:type="dxa"/>
            <w:tcBorders>
              <w:top w:val="nil"/>
              <w:left w:val="nil"/>
              <w:bottom w:val="nil"/>
              <w:right w:val="nil"/>
            </w:tcBorders>
          </w:tcPr>
          <w:p>
            <w:pPr>
              <w:spacing w:before="60" w:after="60"/>
              <w:ind w:right="-29"/>
              <w:jc w:val="center"/>
              <w:rPr>
                <w:noProof/>
                <w:color w:val="000000" w:themeColor="text1"/>
                <w:sz w:val="18"/>
                <w:szCs w:val="18"/>
              </w:rPr>
            </w:pPr>
          </w:p>
        </w:tc>
      </w:tr>
      <w:tr>
        <w:trPr>
          <w:trHeight w:hRule="exact" w:val="851"/>
          <w:jc w:val="center"/>
        </w:trPr>
        <w:tc>
          <w:tcPr>
            <w:tcW w:w="1423" w:type="dxa"/>
          </w:tcPr>
          <w:p>
            <w:pPr>
              <w:ind w:right="-29"/>
              <w:jc w:val="center"/>
              <w:rPr>
                <w:noProof/>
                <w:color w:val="000000" w:themeColor="text1"/>
                <w:sz w:val="18"/>
                <w:szCs w:val="18"/>
              </w:rPr>
            </w:pPr>
            <w:r>
              <w:rPr>
                <w:noProof/>
                <w:color w:val="000000" w:themeColor="text1"/>
                <w:sz w:val="18"/>
              </w:rPr>
              <w:t>- Resultat</w:t>
            </w:r>
          </w:p>
        </w:tc>
        <w:tc>
          <w:tcPr>
            <w:tcW w:w="720" w:type="dxa"/>
          </w:tcPr>
          <w:p>
            <w:pPr>
              <w:ind w:right="-29"/>
              <w:jc w:val="center"/>
              <w:rPr>
                <w:noProof/>
                <w:color w:val="000000" w:themeColor="text1"/>
                <w:sz w:val="18"/>
                <w:szCs w:val="18"/>
              </w:rPr>
            </w:pPr>
            <w:r>
              <w:rPr>
                <w:noProof/>
                <w:color w:val="000000" w:themeColor="text1"/>
                <w:sz w:val="18"/>
                <w:szCs w:val="18"/>
              </w:rPr>
              <w:t>Kommunikation</w:t>
            </w:r>
          </w:p>
        </w:tc>
        <w:tc>
          <w:tcPr>
            <w:tcW w:w="920" w:type="dxa"/>
          </w:tcPr>
          <w:p>
            <w:pPr>
              <w:ind w:right="-29"/>
              <w:jc w:val="center"/>
              <w:rPr>
                <w:noProof/>
                <w:color w:val="000000" w:themeColor="text1"/>
                <w:sz w:val="18"/>
                <w:szCs w:val="18"/>
              </w:rPr>
            </w:pPr>
            <w:r>
              <w:rPr>
                <w:noProof/>
                <w:color w:val="000000" w:themeColor="text1"/>
                <w:sz w:val="18"/>
                <w:szCs w:val="18"/>
              </w:rPr>
              <w:t>0,300</w:t>
            </w:r>
          </w:p>
        </w:tc>
        <w:tc>
          <w:tcPr>
            <w:tcW w:w="425" w:type="dxa"/>
          </w:tcPr>
          <w:p>
            <w:pPr>
              <w:ind w:right="-29"/>
              <w:jc w:val="center"/>
              <w:rPr>
                <w:noProof/>
                <w:color w:val="000000" w:themeColor="text1"/>
                <w:sz w:val="18"/>
                <w:szCs w:val="18"/>
              </w:rPr>
            </w:pPr>
            <w:r>
              <w:rPr>
                <w:noProof/>
                <w:color w:val="000000" w:themeColor="text1"/>
                <w:sz w:val="18"/>
                <w:szCs w:val="18"/>
              </w:rPr>
              <w:t>1</w:t>
            </w:r>
          </w:p>
        </w:tc>
        <w:tc>
          <w:tcPr>
            <w:tcW w:w="850" w:type="dxa"/>
          </w:tcPr>
          <w:p>
            <w:pPr>
              <w:ind w:right="-29"/>
              <w:jc w:val="center"/>
              <w:rPr>
                <w:noProof/>
                <w:color w:val="000000" w:themeColor="text1"/>
                <w:sz w:val="18"/>
                <w:szCs w:val="18"/>
              </w:rPr>
            </w:pPr>
            <w:r>
              <w:rPr>
                <w:noProof/>
                <w:color w:val="000000" w:themeColor="text1"/>
                <w:sz w:val="18"/>
                <w:szCs w:val="18"/>
              </w:rPr>
              <w:t>0,300</w:t>
            </w:r>
          </w:p>
        </w:tc>
        <w:tc>
          <w:tcPr>
            <w:tcW w:w="270" w:type="dxa"/>
          </w:tcPr>
          <w:p>
            <w:pPr>
              <w:ind w:right="-29"/>
              <w:jc w:val="center"/>
              <w:rPr>
                <w:noProof/>
                <w:color w:val="000000" w:themeColor="text1"/>
                <w:sz w:val="18"/>
                <w:szCs w:val="18"/>
              </w:rPr>
            </w:pPr>
            <w:r>
              <w:rPr>
                <w:noProof/>
                <w:color w:val="000000" w:themeColor="text1"/>
                <w:sz w:val="18"/>
                <w:szCs w:val="18"/>
              </w:rPr>
              <w:t>0</w:t>
            </w:r>
          </w:p>
        </w:tc>
        <w:tc>
          <w:tcPr>
            <w:tcW w:w="720" w:type="dxa"/>
          </w:tcPr>
          <w:p>
            <w:pPr>
              <w:ind w:right="-29"/>
              <w:jc w:val="center"/>
              <w:rPr>
                <w:noProof/>
                <w:color w:val="000000" w:themeColor="text1"/>
                <w:sz w:val="18"/>
                <w:szCs w:val="18"/>
              </w:rPr>
            </w:pPr>
            <w:r>
              <w:rPr>
                <w:noProof/>
                <w:color w:val="000000" w:themeColor="text1"/>
                <w:sz w:val="18"/>
                <w:szCs w:val="18"/>
              </w:rPr>
              <w:t>0</w:t>
            </w:r>
          </w:p>
        </w:tc>
        <w:tc>
          <w:tcPr>
            <w:tcW w:w="720" w:type="dxa"/>
          </w:tcPr>
          <w:p>
            <w:pPr>
              <w:ind w:right="-29"/>
              <w:jc w:val="center"/>
              <w:rPr>
                <w:noProof/>
                <w:color w:val="000000" w:themeColor="text1"/>
                <w:sz w:val="18"/>
                <w:szCs w:val="18"/>
              </w:rPr>
            </w:pPr>
          </w:p>
        </w:tc>
        <w:tc>
          <w:tcPr>
            <w:tcW w:w="720" w:type="dxa"/>
          </w:tcPr>
          <w:p>
            <w:pPr>
              <w:ind w:right="-29"/>
              <w:jc w:val="center"/>
              <w:rPr>
                <w:noProof/>
                <w:color w:val="000000" w:themeColor="text1"/>
                <w:sz w:val="18"/>
                <w:szCs w:val="18"/>
              </w:rPr>
            </w:pPr>
          </w:p>
        </w:tc>
        <w:tc>
          <w:tcPr>
            <w:tcW w:w="900" w:type="dxa"/>
            <w:gridSpan w:val="2"/>
          </w:tcPr>
          <w:p>
            <w:pPr>
              <w:ind w:right="-29"/>
              <w:jc w:val="center"/>
              <w:rPr>
                <w:noProof/>
                <w:color w:val="000000" w:themeColor="text1"/>
                <w:sz w:val="18"/>
                <w:szCs w:val="18"/>
              </w:rPr>
            </w:pPr>
          </w:p>
        </w:tc>
        <w:tc>
          <w:tcPr>
            <w:tcW w:w="720" w:type="dxa"/>
          </w:tcPr>
          <w:p>
            <w:pPr>
              <w:ind w:right="-29"/>
              <w:jc w:val="center"/>
              <w:rPr>
                <w:noProof/>
                <w:color w:val="000000" w:themeColor="text1"/>
                <w:sz w:val="18"/>
                <w:szCs w:val="18"/>
              </w:rPr>
            </w:pPr>
          </w:p>
        </w:tc>
        <w:tc>
          <w:tcPr>
            <w:tcW w:w="540" w:type="dxa"/>
          </w:tcPr>
          <w:p>
            <w:pPr>
              <w:ind w:right="-29"/>
              <w:jc w:val="center"/>
              <w:rPr>
                <w:noProof/>
                <w:color w:val="000000" w:themeColor="text1"/>
                <w:sz w:val="18"/>
                <w:szCs w:val="18"/>
              </w:rPr>
            </w:pPr>
          </w:p>
        </w:tc>
        <w:tc>
          <w:tcPr>
            <w:tcW w:w="648" w:type="dxa"/>
          </w:tcPr>
          <w:p>
            <w:pPr>
              <w:ind w:right="-29"/>
              <w:jc w:val="center"/>
              <w:rPr>
                <w:noProof/>
                <w:color w:val="000000" w:themeColor="text1"/>
                <w:sz w:val="18"/>
                <w:szCs w:val="18"/>
              </w:rPr>
            </w:pPr>
          </w:p>
        </w:tc>
        <w:tc>
          <w:tcPr>
            <w:tcW w:w="432" w:type="dxa"/>
          </w:tcPr>
          <w:p>
            <w:pPr>
              <w:ind w:right="-29"/>
              <w:jc w:val="center"/>
              <w:rPr>
                <w:noProof/>
                <w:color w:val="000000" w:themeColor="text1"/>
                <w:sz w:val="18"/>
                <w:szCs w:val="18"/>
              </w:rPr>
            </w:pPr>
          </w:p>
        </w:tc>
        <w:tc>
          <w:tcPr>
            <w:tcW w:w="720" w:type="dxa"/>
          </w:tcPr>
          <w:p>
            <w:pPr>
              <w:ind w:right="-29"/>
              <w:jc w:val="center"/>
              <w:rPr>
                <w:noProof/>
                <w:color w:val="000000" w:themeColor="text1"/>
                <w:sz w:val="18"/>
                <w:szCs w:val="18"/>
              </w:rPr>
            </w:pPr>
          </w:p>
        </w:tc>
        <w:tc>
          <w:tcPr>
            <w:tcW w:w="540" w:type="dxa"/>
          </w:tcPr>
          <w:p>
            <w:pPr>
              <w:ind w:right="-29"/>
              <w:jc w:val="center"/>
              <w:rPr>
                <w:noProof/>
                <w:color w:val="000000" w:themeColor="text1"/>
                <w:sz w:val="18"/>
                <w:szCs w:val="18"/>
              </w:rPr>
            </w:pPr>
          </w:p>
        </w:tc>
        <w:tc>
          <w:tcPr>
            <w:tcW w:w="720" w:type="dxa"/>
          </w:tcPr>
          <w:p>
            <w:pPr>
              <w:ind w:right="-29"/>
              <w:jc w:val="center"/>
              <w:rPr>
                <w:noProof/>
                <w:color w:val="000000" w:themeColor="text1"/>
                <w:sz w:val="18"/>
                <w:szCs w:val="18"/>
              </w:rPr>
            </w:pPr>
          </w:p>
        </w:tc>
        <w:tc>
          <w:tcPr>
            <w:tcW w:w="720" w:type="dxa"/>
          </w:tcPr>
          <w:p>
            <w:pPr>
              <w:ind w:right="-29"/>
              <w:jc w:val="center"/>
              <w:rPr>
                <w:noProof/>
                <w:color w:val="000000" w:themeColor="text1"/>
                <w:sz w:val="18"/>
                <w:szCs w:val="18"/>
              </w:rPr>
            </w:pPr>
          </w:p>
        </w:tc>
        <w:tc>
          <w:tcPr>
            <w:tcW w:w="900" w:type="dxa"/>
          </w:tcPr>
          <w:p>
            <w:pPr>
              <w:ind w:right="-29"/>
              <w:jc w:val="center"/>
              <w:rPr>
                <w:noProof/>
                <w:color w:val="000000" w:themeColor="text1"/>
                <w:sz w:val="18"/>
                <w:szCs w:val="18"/>
              </w:rPr>
            </w:pPr>
            <w:r>
              <w:rPr>
                <w:noProof/>
                <w:color w:val="000000" w:themeColor="text1"/>
                <w:sz w:val="18"/>
                <w:szCs w:val="18"/>
              </w:rPr>
              <w:t>0,300</w:t>
            </w:r>
          </w:p>
          <w:p>
            <w:pPr>
              <w:ind w:right="-29"/>
              <w:jc w:val="center"/>
              <w:rPr>
                <w:noProof/>
                <w:color w:val="000000" w:themeColor="text1"/>
                <w:sz w:val="18"/>
                <w:szCs w:val="18"/>
              </w:rPr>
            </w:pPr>
          </w:p>
          <w:p>
            <w:pPr>
              <w:ind w:right="-29"/>
              <w:jc w:val="center"/>
              <w:rPr>
                <w:noProof/>
                <w:color w:val="000000" w:themeColor="text1"/>
                <w:sz w:val="18"/>
                <w:szCs w:val="18"/>
              </w:rPr>
            </w:pPr>
          </w:p>
        </w:tc>
      </w:tr>
      <w:tr>
        <w:trPr>
          <w:trHeight w:hRule="exact" w:val="851"/>
          <w:jc w:val="center"/>
        </w:trPr>
        <w:tc>
          <w:tcPr>
            <w:tcW w:w="1423" w:type="dxa"/>
          </w:tcPr>
          <w:p>
            <w:pPr>
              <w:ind w:right="-29"/>
              <w:jc w:val="center"/>
              <w:rPr>
                <w:noProof/>
                <w:color w:val="000000" w:themeColor="text1"/>
                <w:sz w:val="18"/>
                <w:szCs w:val="18"/>
              </w:rPr>
            </w:pPr>
            <w:r>
              <w:rPr>
                <w:noProof/>
                <w:color w:val="000000" w:themeColor="text1"/>
                <w:sz w:val="18"/>
              </w:rPr>
              <w:t>- Resultat</w:t>
            </w:r>
          </w:p>
        </w:tc>
        <w:tc>
          <w:tcPr>
            <w:tcW w:w="720" w:type="dxa"/>
          </w:tcPr>
          <w:p>
            <w:pPr>
              <w:ind w:right="-29"/>
              <w:jc w:val="center"/>
              <w:rPr>
                <w:noProof/>
                <w:color w:val="000000" w:themeColor="text1"/>
                <w:sz w:val="18"/>
                <w:szCs w:val="18"/>
              </w:rPr>
            </w:pPr>
            <w:r>
              <w:rPr>
                <w:noProof/>
                <w:color w:val="000000" w:themeColor="text1"/>
                <w:sz w:val="18"/>
                <w:szCs w:val="18"/>
              </w:rPr>
              <w:t>Seminarer og konferencer</w:t>
            </w:r>
          </w:p>
        </w:tc>
        <w:tc>
          <w:tcPr>
            <w:tcW w:w="920" w:type="dxa"/>
          </w:tcPr>
          <w:p>
            <w:pPr>
              <w:ind w:right="-29"/>
              <w:jc w:val="center"/>
              <w:rPr>
                <w:noProof/>
                <w:color w:val="000000" w:themeColor="text1"/>
                <w:sz w:val="18"/>
                <w:szCs w:val="18"/>
              </w:rPr>
            </w:pPr>
            <w:r>
              <w:rPr>
                <w:noProof/>
                <w:color w:val="000000" w:themeColor="text1"/>
                <w:sz w:val="18"/>
                <w:szCs w:val="18"/>
              </w:rPr>
              <w:t>0,250</w:t>
            </w:r>
          </w:p>
        </w:tc>
        <w:tc>
          <w:tcPr>
            <w:tcW w:w="425" w:type="dxa"/>
          </w:tcPr>
          <w:p>
            <w:pPr>
              <w:ind w:right="-29"/>
              <w:jc w:val="center"/>
              <w:rPr>
                <w:noProof/>
                <w:color w:val="000000" w:themeColor="text1"/>
                <w:sz w:val="18"/>
                <w:szCs w:val="18"/>
              </w:rPr>
            </w:pPr>
            <w:r>
              <w:rPr>
                <w:noProof/>
                <w:color w:val="000000" w:themeColor="text1"/>
                <w:sz w:val="18"/>
                <w:szCs w:val="18"/>
              </w:rPr>
              <w:t>3</w:t>
            </w:r>
          </w:p>
        </w:tc>
        <w:tc>
          <w:tcPr>
            <w:tcW w:w="850" w:type="dxa"/>
          </w:tcPr>
          <w:p>
            <w:pPr>
              <w:ind w:right="-29"/>
              <w:jc w:val="center"/>
              <w:rPr>
                <w:noProof/>
                <w:color w:val="000000" w:themeColor="text1"/>
                <w:sz w:val="18"/>
                <w:szCs w:val="18"/>
              </w:rPr>
            </w:pPr>
            <w:r>
              <w:rPr>
                <w:noProof/>
                <w:color w:val="000000" w:themeColor="text1"/>
                <w:sz w:val="18"/>
                <w:szCs w:val="18"/>
              </w:rPr>
              <w:t>0,750</w:t>
            </w:r>
          </w:p>
        </w:tc>
        <w:tc>
          <w:tcPr>
            <w:tcW w:w="270" w:type="dxa"/>
          </w:tcPr>
          <w:p>
            <w:pPr>
              <w:ind w:right="-29"/>
              <w:jc w:val="center"/>
              <w:rPr>
                <w:noProof/>
                <w:color w:val="000000" w:themeColor="text1"/>
                <w:sz w:val="18"/>
                <w:szCs w:val="18"/>
              </w:rPr>
            </w:pPr>
            <w:r>
              <w:rPr>
                <w:noProof/>
                <w:color w:val="000000" w:themeColor="text1"/>
                <w:sz w:val="18"/>
                <w:szCs w:val="18"/>
              </w:rPr>
              <w:t>0</w:t>
            </w:r>
          </w:p>
        </w:tc>
        <w:tc>
          <w:tcPr>
            <w:tcW w:w="720" w:type="dxa"/>
          </w:tcPr>
          <w:p>
            <w:pPr>
              <w:ind w:right="-29"/>
              <w:jc w:val="center"/>
              <w:rPr>
                <w:noProof/>
                <w:color w:val="000000" w:themeColor="text1"/>
                <w:sz w:val="18"/>
                <w:szCs w:val="18"/>
              </w:rPr>
            </w:pPr>
            <w:r>
              <w:rPr>
                <w:noProof/>
                <w:color w:val="000000" w:themeColor="text1"/>
                <w:sz w:val="18"/>
                <w:szCs w:val="18"/>
              </w:rPr>
              <w:t>0</w:t>
            </w:r>
          </w:p>
        </w:tc>
        <w:tc>
          <w:tcPr>
            <w:tcW w:w="720" w:type="dxa"/>
          </w:tcPr>
          <w:p>
            <w:pPr>
              <w:ind w:right="-29"/>
              <w:jc w:val="center"/>
              <w:rPr>
                <w:noProof/>
                <w:color w:val="000000" w:themeColor="text1"/>
                <w:sz w:val="18"/>
                <w:szCs w:val="18"/>
              </w:rPr>
            </w:pPr>
          </w:p>
        </w:tc>
        <w:tc>
          <w:tcPr>
            <w:tcW w:w="720" w:type="dxa"/>
          </w:tcPr>
          <w:p>
            <w:pPr>
              <w:ind w:right="-29"/>
              <w:jc w:val="center"/>
              <w:rPr>
                <w:noProof/>
                <w:color w:val="000000" w:themeColor="text1"/>
                <w:sz w:val="18"/>
                <w:szCs w:val="18"/>
              </w:rPr>
            </w:pPr>
          </w:p>
        </w:tc>
        <w:tc>
          <w:tcPr>
            <w:tcW w:w="900" w:type="dxa"/>
            <w:gridSpan w:val="2"/>
          </w:tcPr>
          <w:p>
            <w:pPr>
              <w:ind w:right="-29"/>
              <w:jc w:val="center"/>
              <w:rPr>
                <w:noProof/>
                <w:color w:val="000000" w:themeColor="text1"/>
                <w:sz w:val="18"/>
                <w:szCs w:val="18"/>
              </w:rPr>
            </w:pPr>
          </w:p>
        </w:tc>
        <w:tc>
          <w:tcPr>
            <w:tcW w:w="720" w:type="dxa"/>
          </w:tcPr>
          <w:p>
            <w:pPr>
              <w:ind w:right="-29"/>
              <w:jc w:val="center"/>
              <w:rPr>
                <w:noProof/>
                <w:color w:val="000000" w:themeColor="text1"/>
                <w:sz w:val="18"/>
                <w:szCs w:val="18"/>
              </w:rPr>
            </w:pPr>
          </w:p>
        </w:tc>
        <w:tc>
          <w:tcPr>
            <w:tcW w:w="540" w:type="dxa"/>
          </w:tcPr>
          <w:p>
            <w:pPr>
              <w:ind w:right="-29"/>
              <w:jc w:val="center"/>
              <w:rPr>
                <w:noProof/>
                <w:color w:val="000000" w:themeColor="text1"/>
                <w:sz w:val="18"/>
                <w:szCs w:val="18"/>
              </w:rPr>
            </w:pPr>
          </w:p>
        </w:tc>
        <w:tc>
          <w:tcPr>
            <w:tcW w:w="648" w:type="dxa"/>
          </w:tcPr>
          <w:p>
            <w:pPr>
              <w:ind w:right="-29"/>
              <w:jc w:val="center"/>
              <w:rPr>
                <w:noProof/>
                <w:color w:val="000000" w:themeColor="text1"/>
                <w:sz w:val="18"/>
                <w:szCs w:val="18"/>
              </w:rPr>
            </w:pPr>
          </w:p>
        </w:tc>
        <w:tc>
          <w:tcPr>
            <w:tcW w:w="432" w:type="dxa"/>
          </w:tcPr>
          <w:p>
            <w:pPr>
              <w:ind w:right="-29"/>
              <w:jc w:val="center"/>
              <w:rPr>
                <w:noProof/>
                <w:color w:val="000000" w:themeColor="text1"/>
                <w:sz w:val="18"/>
                <w:szCs w:val="18"/>
              </w:rPr>
            </w:pPr>
          </w:p>
        </w:tc>
        <w:tc>
          <w:tcPr>
            <w:tcW w:w="720" w:type="dxa"/>
          </w:tcPr>
          <w:p>
            <w:pPr>
              <w:ind w:right="-29"/>
              <w:jc w:val="center"/>
              <w:rPr>
                <w:noProof/>
                <w:color w:val="000000" w:themeColor="text1"/>
                <w:sz w:val="18"/>
                <w:szCs w:val="18"/>
              </w:rPr>
            </w:pPr>
          </w:p>
        </w:tc>
        <w:tc>
          <w:tcPr>
            <w:tcW w:w="540" w:type="dxa"/>
          </w:tcPr>
          <w:p>
            <w:pPr>
              <w:ind w:right="-29"/>
              <w:jc w:val="center"/>
              <w:rPr>
                <w:noProof/>
                <w:color w:val="000000" w:themeColor="text1"/>
                <w:sz w:val="18"/>
                <w:szCs w:val="18"/>
              </w:rPr>
            </w:pPr>
          </w:p>
        </w:tc>
        <w:tc>
          <w:tcPr>
            <w:tcW w:w="720" w:type="dxa"/>
          </w:tcPr>
          <w:p>
            <w:pPr>
              <w:ind w:right="-29"/>
              <w:jc w:val="center"/>
              <w:rPr>
                <w:noProof/>
                <w:color w:val="000000" w:themeColor="text1"/>
                <w:sz w:val="18"/>
                <w:szCs w:val="18"/>
              </w:rPr>
            </w:pPr>
          </w:p>
        </w:tc>
        <w:tc>
          <w:tcPr>
            <w:tcW w:w="720" w:type="dxa"/>
          </w:tcPr>
          <w:p>
            <w:pPr>
              <w:ind w:right="-29"/>
              <w:jc w:val="center"/>
              <w:rPr>
                <w:noProof/>
                <w:color w:val="000000" w:themeColor="text1"/>
                <w:sz w:val="18"/>
                <w:szCs w:val="18"/>
              </w:rPr>
            </w:pPr>
          </w:p>
        </w:tc>
        <w:tc>
          <w:tcPr>
            <w:tcW w:w="900" w:type="dxa"/>
          </w:tcPr>
          <w:p>
            <w:pPr>
              <w:ind w:right="-29"/>
              <w:jc w:val="center"/>
              <w:rPr>
                <w:noProof/>
                <w:color w:val="000000" w:themeColor="text1"/>
                <w:sz w:val="18"/>
                <w:szCs w:val="18"/>
              </w:rPr>
            </w:pPr>
            <w:r>
              <w:rPr>
                <w:noProof/>
                <w:color w:val="000000" w:themeColor="text1"/>
                <w:sz w:val="18"/>
                <w:szCs w:val="18"/>
              </w:rPr>
              <w:t>0,750</w:t>
            </w:r>
          </w:p>
        </w:tc>
      </w:tr>
      <w:tr>
        <w:trPr>
          <w:jc w:val="center"/>
        </w:trPr>
        <w:tc>
          <w:tcPr>
            <w:tcW w:w="3063" w:type="dxa"/>
            <w:gridSpan w:val="3"/>
            <w:tcBorders>
              <w:bottom w:val="single" w:sz="12" w:space="0" w:color="auto"/>
            </w:tcBorders>
            <w:vAlign w:val="center"/>
          </w:tcPr>
          <w:p>
            <w:pPr>
              <w:jc w:val="center"/>
              <w:rPr>
                <w:noProof/>
                <w:color w:val="000000" w:themeColor="text1"/>
                <w:sz w:val="18"/>
                <w:szCs w:val="18"/>
                <w:lang w:val="nn-NO"/>
              </w:rPr>
            </w:pPr>
            <w:r>
              <w:rPr>
                <w:noProof/>
                <w:color w:val="000000" w:themeColor="text1"/>
                <w:sz w:val="18"/>
                <w:lang w:val="nn-NO"/>
              </w:rPr>
              <w:t>Subtotal for specifikt mål nr. 3</w:t>
            </w:r>
          </w:p>
        </w:tc>
        <w:tc>
          <w:tcPr>
            <w:tcW w:w="425" w:type="dxa"/>
            <w:tcBorders>
              <w:bottom w:val="single" w:sz="12" w:space="0" w:color="auto"/>
            </w:tcBorders>
          </w:tcPr>
          <w:p>
            <w:pPr>
              <w:ind w:right="-29"/>
              <w:jc w:val="center"/>
              <w:rPr>
                <w:noProof/>
                <w:color w:val="000000" w:themeColor="text1"/>
                <w:sz w:val="18"/>
                <w:szCs w:val="18"/>
              </w:rPr>
            </w:pPr>
            <w:r>
              <w:rPr>
                <w:noProof/>
                <w:color w:val="000000" w:themeColor="text1"/>
                <w:sz w:val="18"/>
                <w:szCs w:val="18"/>
              </w:rPr>
              <w:t>4</w:t>
            </w:r>
          </w:p>
        </w:tc>
        <w:tc>
          <w:tcPr>
            <w:tcW w:w="850" w:type="dxa"/>
            <w:tcBorders>
              <w:bottom w:val="single" w:sz="12" w:space="0" w:color="auto"/>
            </w:tcBorders>
          </w:tcPr>
          <w:p>
            <w:pPr>
              <w:ind w:right="-29"/>
              <w:jc w:val="center"/>
              <w:rPr>
                <w:noProof/>
                <w:color w:val="000000" w:themeColor="text1"/>
                <w:sz w:val="18"/>
                <w:szCs w:val="18"/>
              </w:rPr>
            </w:pPr>
            <w:r>
              <w:rPr>
                <w:noProof/>
                <w:color w:val="000000" w:themeColor="text1"/>
                <w:sz w:val="18"/>
                <w:szCs w:val="18"/>
              </w:rPr>
              <w:t>1,050</w:t>
            </w:r>
          </w:p>
        </w:tc>
        <w:tc>
          <w:tcPr>
            <w:tcW w:w="270" w:type="dxa"/>
            <w:tcBorders>
              <w:bottom w:val="single" w:sz="12" w:space="0" w:color="auto"/>
            </w:tcBorders>
          </w:tcPr>
          <w:p>
            <w:pPr>
              <w:ind w:right="-29"/>
              <w:jc w:val="center"/>
              <w:rPr>
                <w:noProof/>
                <w:color w:val="000000" w:themeColor="text1"/>
                <w:sz w:val="18"/>
                <w:szCs w:val="18"/>
              </w:rPr>
            </w:pPr>
            <w:r>
              <w:rPr>
                <w:noProof/>
                <w:color w:val="000000" w:themeColor="text1"/>
                <w:sz w:val="18"/>
                <w:szCs w:val="18"/>
              </w:rPr>
              <w:t>0</w:t>
            </w:r>
          </w:p>
        </w:tc>
        <w:tc>
          <w:tcPr>
            <w:tcW w:w="720" w:type="dxa"/>
            <w:tcBorders>
              <w:bottom w:val="single" w:sz="12" w:space="0" w:color="auto"/>
            </w:tcBorders>
          </w:tcPr>
          <w:p>
            <w:pPr>
              <w:ind w:right="-29"/>
              <w:jc w:val="center"/>
              <w:rPr>
                <w:noProof/>
                <w:color w:val="000000" w:themeColor="text1"/>
                <w:sz w:val="18"/>
                <w:szCs w:val="18"/>
              </w:rPr>
            </w:pPr>
            <w:r>
              <w:rPr>
                <w:noProof/>
                <w:color w:val="000000" w:themeColor="text1"/>
                <w:sz w:val="18"/>
                <w:szCs w:val="18"/>
              </w:rPr>
              <w:t>0</w:t>
            </w:r>
          </w:p>
        </w:tc>
        <w:tc>
          <w:tcPr>
            <w:tcW w:w="720" w:type="dxa"/>
            <w:tcBorders>
              <w:bottom w:val="single" w:sz="12" w:space="0" w:color="auto"/>
            </w:tcBorders>
          </w:tcPr>
          <w:p>
            <w:pPr>
              <w:ind w:right="-29"/>
              <w:jc w:val="center"/>
              <w:rPr>
                <w:noProof/>
                <w:color w:val="000000" w:themeColor="text1"/>
                <w:sz w:val="18"/>
                <w:szCs w:val="18"/>
              </w:rPr>
            </w:pPr>
          </w:p>
        </w:tc>
        <w:tc>
          <w:tcPr>
            <w:tcW w:w="720" w:type="dxa"/>
            <w:tcBorders>
              <w:bottom w:val="single" w:sz="12" w:space="0" w:color="auto"/>
            </w:tcBorders>
          </w:tcPr>
          <w:p>
            <w:pPr>
              <w:ind w:right="-29"/>
              <w:jc w:val="center"/>
              <w:rPr>
                <w:noProof/>
                <w:color w:val="000000" w:themeColor="text1"/>
                <w:sz w:val="18"/>
                <w:szCs w:val="18"/>
              </w:rPr>
            </w:pPr>
          </w:p>
        </w:tc>
        <w:tc>
          <w:tcPr>
            <w:tcW w:w="859" w:type="dxa"/>
            <w:tcBorders>
              <w:bottom w:val="single" w:sz="12" w:space="0" w:color="auto"/>
            </w:tcBorders>
          </w:tcPr>
          <w:p>
            <w:pPr>
              <w:ind w:right="-29"/>
              <w:jc w:val="center"/>
              <w:rPr>
                <w:noProof/>
                <w:color w:val="000000" w:themeColor="text1"/>
                <w:sz w:val="18"/>
                <w:szCs w:val="18"/>
              </w:rPr>
            </w:pPr>
          </w:p>
        </w:tc>
        <w:tc>
          <w:tcPr>
            <w:tcW w:w="761" w:type="dxa"/>
            <w:gridSpan w:val="2"/>
            <w:tcBorders>
              <w:bottom w:val="single" w:sz="12" w:space="0" w:color="auto"/>
            </w:tcBorders>
          </w:tcPr>
          <w:p>
            <w:pPr>
              <w:ind w:right="-29"/>
              <w:jc w:val="center"/>
              <w:rPr>
                <w:noProof/>
                <w:color w:val="000000" w:themeColor="text1"/>
                <w:sz w:val="18"/>
                <w:szCs w:val="18"/>
              </w:rPr>
            </w:pPr>
          </w:p>
        </w:tc>
        <w:tc>
          <w:tcPr>
            <w:tcW w:w="540" w:type="dxa"/>
            <w:tcBorders>
              <w:bottom w:val="single" w:sz="12" w:space="0" w:color="auto"/>
            </w:tcBorders>
          </w:tcPr>
          <w:p>
            <w:pPr>
              <w:ind w:right="-29"/>
              <w:jc w:val="center"/>
              <w:rPr>
                <w:noProof/>
                <w:color w:val="000000" w:themeColor="text1"/>
                <w:sz w:val="18"/>
                <w:szCs w:val="18"/>
              </w:rPr>
            </w:pPr>
          </w:p>
        </w:tc>
        <w:tc>
          <w:tcPr>
            <w:tcW w:w="648" w:type="dxa"/>
            <w:tcBorders>
              <w:bottom w:val="single" w:sz="12" w:space="0" w:color="auto"/>
            </w:tcBorders>
          </w:tcPr>
          <w:p>
            <w:pPr>
              <w:ind w:right="-29"/>
              <w:jc w:val="center"/>
              <w:rPr>
                <w:noProof/>
                <w:color w:val="000000" w:themeColor="text1"/>
                <w:sz w:val="18"/>
                <w:szCs w:val="18"/>
              </w:rPr>
            </w:pPr>
          </w:p>
        </w:tc>
        <w:tc>
          <w:tcPr>
            <w:tcW w:w="432" w:type="dxa"/>
            <w:tcBorders>
              <w:bottom w:val="single" w:sz="12" w:space="0" w:color="auto"/>
            </w:tcBorders>
          </w:tcPr>
          <w:p>
            <w:pPr>
              <w:ind w:right="-29"/>
              <w:jc w:val="center"/>
              <w:rPr>
                <w:noProof/>
                <w:color w:val="000000" w:themeColor="text1"/>
                <w:sz w:val="18"/>
                <w:szCs w:val="18"/>
              </w:rPr>
            </w:pPr>
          </w:p>
        </w:tc>
        <w:tc>
          <w:tcPr>
            <w:tcW w:w="720" w:type="dxa"/>
            <w:tcBorders>
              <w:bottom w:val="single" w:sz="12" w:space="0" w:color="auto"/>
            </w:tcBorders>
          </w:tcPr>
          <w:p>
            <w:pPr>
              <w:ind w:right="-29"/>
              <w:jc w:val="center"/>
              <w:rPr>
                <w:noProof/>
                <w:color w:val="000000" w:themeColor="text1"/>
                <w:sz w:val="18"/>
                <w:szCs w:val="18"/>
              </w:rPr>
            </w:pPr>
          </w:p>
        </w:tc>
        <w:tc>
          <w:tcPr>
            <w:tcW w:w="540" w:type="dxa"/>
            <w:tcBorders>
              <w:bottom w:val="single" w:sz="12" w:space="0" w:color="auto"/>
            </w:tcBorders>
          </w:tcPr>
          <w:p>
            <w:pPr>
              <w:ind w:right="-29"/>
              <w:jc w:val="center"/>
              <w:rPr>
                <w:noProof/>
                <w:color w:val="000000" w:themeColor="text1"/>
                <w:sz w:val="18"/>
                <w:szCs w:val="18"/>
              </w:rPr>
            </w:pPr>
          </w:p>
        </w:tc>
        <w:tc>
          <w:tcPr>
            <w:tcW w:w="720" w:type="dxa"/>
            <w:tcBorders>
              <w:bottom w:val="single" w:sz="12" w:space="0" w:color="auto"/>
            </w:tcBorders>
          </w:tcPr>
          <w:p>
            <w:pPr>
              <w:ind w:right="-29"/>
              <w:jc w:val="center"/>
              <w:rPr>
                <w:noProof/>
                <w:color w:val="000000" w:themeColor="text1"/>
                <w:sz w:val="18"/>
                <w:szCs w:val="18"/>
              </w:rPr>
            </w:pPr>
          </w:p>
        </w:tc>
        <w:tc>
          <w:tcPr>
            <w:tcW w:w="720" w:type="dxa"/>
            <w:tcBorders>
              <w:bottom w:val="single" w:sz="12" w:space="0" w:color="auto"/>
            </w:tcBorders>
          </w:tcPr>
          <w:p>
            <w:pPr>
              <w:ind w:right="-29"/>
              <w:jc w:val="center"/>
              <w:rPr>
                <w:noProof/>
                <w:color w:val="000000" w:themeColor="text1"/>
                <w:sz w:val="18"/>
                <w:szCs w:val="18"/>
              </w:rPr>
            </w:pPr>
          </w:p>
        </w:tc>
        <w:tc>
          <w:tcPr>
            <w:tcW w:w="900" w:type="dxa"/>
            <w:tcBorders>
              <w:bottom w:val="single" w:sz="12" w:space="0" w:color="auto"/>
            </w:tcBorders>
          </w:tcPr>
          <w:p>
            <w:pPr>
              <w:ind w:right="-29"/>
              <w:jc w:val="center"/>
              <w:rPr>
                <w:noProof/>
                <w:color w:val="000000" w:themeColor="text1"/>
                <w:sz w:val="18"/>
                <w:szCs w:val="18"/>
              </w:rPr>
            </w:pPr>
            <w:r>
              <w:rPr>
                <w:noProof/>
                <w:color w:val="000000" w:themeColor="text1"/>
                <w:sz w:val="18"/>
                <w:szCs w:val="18"/>
              </w:rPr>
              <w:t>1,050</w:t>
            </w:r>
          </w:p>
        </w:tc>
      </w:tr>
      <w:tr>
        <w:trPr>
          <w:jc w:val="center"/>
        </w:trPr>
        <w:tc>
          <w:tcPr>
            <w:tcW w:w="3063" w:type="dxa"/>
            <w:gridSpan w:val="3"/>
            <w:tcBorders>
              <w:bottom w:val="single" w:sz="12" w:space="0" w:color="auto"/>
            </w:tcBorders>
            <w:vAlign w:val="center"/>
          </w:tcPr>
          <w:p>
            <w:pPr>
              <w:jc w:val="center"/>
              <w:rPr>
                <w:noProof/>
                <w:color w:val="000000" w:themeColor="text1"/>
                <w:sz w:val="18"/>
              </w:rPr>
            </w:pPr>
          </w:p>
        </w:tc>
        <w:tc>
          <w:tcPr>
            <w:tcW w:w="425" w:type="dxa"/>
            <w:tcBorders>
              <w:bottom w:val="single" w:sz="12" w:space="0" w:color="auto"/>
            </w:tcBorders>
          </w:tcPr>
          <w:p>
            <w:pPr>
              <w:ind w:right="-29"/>
              <w:jc w:val="center"/>
              <w:rPr>
                <w:noProof/>
                <w:color w:val="000000" w:themeColor="text1"/>
                <w:sz w:val="18"/>
                <w:szCs w:val="18"/>
              </w:rPr>
            </w:pPr>
          </w:p>
        </w:tc>
        <w:tc>
          <w:tcPr>
            <w:tcW w:w="850" w:type="dxa"/>
            <w:tcBorders>
              <w:bottom w:val="single" w:sz="12" w:space="0" w:color="auto"/>
            </w:tcBorders>
          </w:tcPr>
          <w:p>
            <w:pPr>
              <w:ind w:right="-29"/>
              <w:jc w:val="center"/>
              <w:rPr>
                <w:noProof/>
                <w:color w:val="000000" w:themeColor="text1"/>
                <w:sz w:val="18"/>
                <w:szCs w:val="18"/>
              </w:rPr>
            </w:pPr>
          </w:p>
        </w:tc>
        <w:tc>
          <w:tcPr>
            <w:tcW w:w="270" w:type="dxa"/>
            <w:tcBorders>
              <w:bottom w:val="single" w:sz="12" w:space="0" w:color="auto"/>
            </w:tcBorders>
          </w:tcPr>
          <w:p>
            <w:pPr>
              <w:ind w:right="-29"/>
              <w:jc w:val="center"/>
              <w:rPr>
                <w:noProof/>
                <w:color w:val="000000" w:themeColor="text1"/>
                <w:sz w:val="18"/>
                <w:szCs w:val="18"/>
              </w:rPr>
            </w:pPr>
          </w:p>
        </w:tc>
        <w:tc>
          <w:tcPr>
            <w:tcW w:w="720" w:type="dxa"/>
            <w:tcBorders>
              <w:bottom w:val="single" w:sz="12" w:space="0" w:color="auto"/>
            </w:tcBorders>
          </w:tcPr>
          <w:p>
            <w:pPr>
              <w:ind w:right="-29"/>
              <w:jc w:val="center"/>
              <w:rPr>
                <w:noProof/>
                <w:color w:val="000000" w:themeColor="text1"/>
                <w:sz w:val="18"/>
                <w:szCs w:val="18"/>
              </w:rPr>
            </w:pPr>
          </w:p>
        </w:tc>
        <w:tc>
          <w:tcPr>
            <w:tcW w:w="720" w:type="dxa"/>
            <w:tcBorders>
              <w:bottom w:val="single" w:sz="12" w:space="0" w:color="auto"/>
            </w:tcBorders>
          </w:tcPr>
          <w:p>
            <w:pPr>
              <w:ind w:right="-29"/>
              <w:jc w:val="center"/>
              <w:rPr>
                <w:noProof/>
                <w:color w:val="000000" w:themeColor="text1"/>
                <w:sz w:val="18"/>
                <w:szCs w:val="18"/>
              </w:rPr>
            </w:pPr>
          </w:p>
        </w:tc>
        <w:tc>
          <w:tcPr>
            <w:tcW w:w="720" w:type="dxa"/>
            <w:tcBorders>
              <w:bottom w:val="single" w:sz="12" w:space="0" w:color="auto"/>
            </w:tcBorders>
          </w:tcPr>
          <w:p>
            <w:pPr>
              <w:ind w:right="-29"/>
              <w:jc w:val="center"/>
              <w:rPr>
                <w:noProof/>
                <w:color w:val="000000" w:themeColor="text1"/>
                <w:sz w:val="18"/>
                <w:szCs w:val="18"/>
              </w:rPr>
            </w:pPr>
          </w:p>
        </w:tc>
        <w:tc>
          <w:tcPr>
            <w:tcW w:w="859" w:type="dxa"/>
            <w:tcBorders>
              <w:bottom w:val="single" w:sz="12" w:space="0" w:color="auto"/>
            </w:tcBorders>
          </w:tcPr>
          <w:p>
            <w:pPr>
              <w:ind w:right="-29"/>
              <w:jc w:val="center"/>
              <w:rPr>
                <w:noProof/>
                <w:color w:val="000000" w:themeColor="text1"/>
                <w:sz w:val="18"/>
                <w:szCs w:val="18"/>
              </w:rPr>
            </w:pPr>
          </w:p>
        </w:tc>
        <w:tc>
          <w:tcPr>
            <w:tcW w:w="761" w:type="dxa"/>
            <w:gridSpan w:val="2"/>
            <w:tcBorders>
              <w:bottom w:val="single" w:sz="12" w:space="0" w:color="auto"/>
            </w:tcBorders>
          </w:tcPr>
          <w:p>
            <w:pPr>
              <w:ind w:right="-29"/>
              <w:jc w:val="center"/>
              <w:rPr>
                <w:noProof/>
                <w:color w:val="000000" w:themeColor="text1"/>
                <w:sz w:val="18"/>
                <w:szCs w:val="18"/>
              </w:rPr>
            </w:pPr>
          </w:p>
        </w:tc>
        <w:tc>
          <w:tcPr>
            <w:tcW w:w="540" w:type="dxa"/>
            <w:tcBorders>
              <w:bottom w:val="single" w:sz="12" w:space="0" w:color="auto"/>
            </w:tcBorders>
          </w:tcPr>
          <w:p>
            <w:pPr>
              <w:ind w:right="-29"/>
              <w:jc w:val="center"/>
              <w:rPr>
                <w:noProof/>
                <w:color w:val="000000" w:themeColor="text1"/>
                <w:sz w:val="18"/>
                <w:szCs w:val="18"/>
              </w:rPr>
            </w:pPr>
          </w:p>
        </w:tc>
        <w:tc>
          <w:tcPr>
            <w:tcW w:w="648" w:type="dxa"/>
            <w:tcBorders>
              <w:bottom w:val="single" w:sz="12" w:space="0" w:color="auto"/>
            </w:tcBorders>
          </w:tcPr>
          <w:p>
            <w:pPr>
              <w:ind w:right="-29"/>
              <w:jc w:val="center"/>
              <w:rPr>
                <w:noProof/>
                <w:color w:val="000000" w:themeColor="text1"/>
                <w:sz w:val="18"/>
                <w:szCs w:val="18"/>
              </w:rPr>
            </w:pPr>
          </w:p>
        </w:tc>
        <w:tc>
          <w:tcPr>
            <w:tcW w:w="432" w:type="dxa"/>
            <w:tcBorders>
              <w:bottom w:val="single" w:sz="12" w:space="0" w:color="auto"/>
            </w:tcBorders>
          </w:tcPr>
          <w:p>
            <w:pPr>
              <w:ind w:right="-29"/>
              <w:jc w:val="center"/>
              <w:rPr>
                <w:noProof/>
                <w:color w:val="000000" w:themeColor="text1"/>
                <w:sz w:val="18"/>
                <w:szCs w:val="18"/>
              </w:rPr>
            </w:pPr>
          </w:p>
        </w:tc>
        <w:tc>
          <w:tcPr>
            <w:tcW w:w="720" w:type="dxa"/>
            <w:tcBorders>
              <w:bottom w:val="single" w:sz="12" w:space="0" w:color="auto"/>
            </w:tcBorders>
          </w:tcPr>
          <w:p>
            <w:pPr>
              <w:ind w:right="-29"/>
              <w:jc w:val="center"/>
              <w:rPr>
                <w:noProof/>
                <w:color w:val="000000" w:themeColor="text1"/>
                <w:sz w:val="18"/>
                <w:szCs w:val="18"/>
              </w:rPr>
            </w:pPr>
          </w:p>
        </w:tc>
        <w:tc>
          <w:tcPr>
            <w:tcW w:w="540" w:type="dxa"/>
            <w:tcBorders>
              <w:bottom w:val="single" w:sz="12" w:space="0" w:color="auto"/>
            </w:tcBorders>
          </w:tcPr>
          <w:p>
            <w:pPr>
              <w:ind w:right="-29"/>
              <w:jc w:val="center"/>
              <w:rPr>
                <w:noProof/>
                <w:color w:val="000000" w:themeColor="text1"/>
                <w:sz w:val="18"/>
                <w:szCs w:val="18"/>
              </w:rPr>
            </w:pPr>
          </w:p>
        </w:tc>
        <w:tc>
          <w:tcPr>
            <w:tcW w:w="720" w:type="dxa"/>
            <w:tcBorders>
              <w:bottom w:val="single" w:sz="12" w:space="0" w:color="auto"/>
            </w:tcBorders>
          </w:tcPr>
          <w:p>
            <w:pPr>
              <w:ind w:right="-29"/>
              <w:jc w:val="center"/>
              <w:rPr>
                <w:noProof/>
                <w:color w:val="000000" w:themeColor="text1"/>
                <w:sz w:val="18"/>
                <w:szCs w:val="18"/>
              </w:rPr>
            </w:pPr>
          </w:p>
        </w:tc>
        <w:tc>
          <w:tcPr>
            <w:tcW w:w="720" w:type="dxa"/>
            <w:tcBorders>
              <w:bottom w:val="single" w:sz="12" w:space="0" w:color="auto"/>
            </w:tcBorders>
          </w:tcPr>
          <w:p>
            <w:pPr>
              <w:ind w:right="-29"/>
              <w:jc w:val="center"/>
              <w:rPr>
                <w:noProof/>
                <w:color w:val="000000" w:themeColor="text1"/>
                <w:sz w:val="18"/>
                <w:szCs w:val="18"/>
              </w:rPr>
            </w:pPr>
          </w:p>
        </w:tc>
        <w:tc>
          <w:tcPr>
            <w:tcW w:w="900" w:type="dxa"/>
            <w:tcBorders>
              <w:bottom w:val="single" w:sz="12" w:space="0" w:color="auto"/>
            </w:tcBorders>
          </w:tcPr>
          <w:p>
            <w:pPr>
              <w:ind w:right="-29"/>
              <w:jc w:val="center"/>
              <w:rPr>
                <w:noProof/>
                <w:color w:val="000000" w:themeColor="text1"/>
                <w:sz w:val="18"/>
                <w:szCs w:val="18"/>
              </w:rPr>
            </w:pPr>
          </w:p>
        </w:tc>
      </w:tr>
      <w:tr>
        <w:trPr>
          <w:jc w:val="center"/>
        </w:trPr>
        <w:tc>
          <w:tcPr>
            <w:tcW w:w="3063" w:type="dxa"/>
            <w:gridSpan w:val="3"/>
            <w:tcBorders>
              <w:top w:val="single" w:sz="12" w:space="0" w:color="auto"/>
              <w:left w:val="single" w:sz="12" w:space="0" w:color="auto"/>
              <w:bottom w:val="single" w:sz="12" w:space="0" w:color="auto"/>
            </w:tcBorders>
            <w:vAlign w:val="center"/>
          </w:tcPr>
          <w:p>
            <w:pPr>
              <w:ind w:right="-29"/>
              <w:jc w:val="center"/>
              <w:rPr>
                <w:noProof/>
                <w:color w:val="000000" w:themeColor="text1"/>
                <w:sz w:val="18"/>
                <w:szCs w:val="18"/>
              </w:rPr>
            </w:pPr>
            <w:r>
              <w:rPr>
                <w:b/>
                <w:noProof/>
                <w:color w:val="000000" w:themeColor="text1"/>
                <w:sz w:val="18"/>
              </w:rPr>
              <w:t>OMKOSTNINGER I ALT</w:t>
            </w:r>
          </w:p>
        </w:tc>
        <w:tc>
          <w:tcPr>
            <w:tcW w:w="425" w:type="dxa"/>
            <w:tcBorders>
              <w:top w:val="single" w:sz="12" w:space="0" w:color="auto"/>
              <w:bottom w:val="single" w:sz="12" w:space="0" w:color="auto"/>
            </w:tcBorders>
          </w:tcPr>
          <w:p>
            <w:pPr>
              <w:spacing w:before="180" w:after="180"/>
              <w:ind w:right="-29"/>
              <w:jc w:val="center"/>
              <w:rPr>
                <w:noProof/>
                <w:color w:val="000000" w:themeColor="text1"/>
                <w:sz w:val="18"/>
                <w:szCs w:val="18"/>
              </w:rPr>
            </w:pPr>
          </w:p>
        </w:tc>
        <w:tc>
          <w:tcPr>
            <w:tcW w:w="850" w:type="dxa"/>
            <w:tcBorders>
              <w:top w:val="single" w:sz="12" w:space="0" w:color="auto"/>
              <w:bottom w:val="single" w:sz="12" w:space="0" w:color="auto"/>
            </w:tcBorders>
          </w:tcPr>
          <w:p>
            <w:pPr>
              <w:spacing w:before="180" w:after="180"/>
              <w:ind w:right="-29"/>
              <w:jc w:val="center"/>
              <w:rPr>
                <w:noProof/>
                <w:color w:val="000000" w:themeColor="text1"/>
                <w:sz w:val="18"/>
                <w:szCs w:val="18"/>
              </w:rPr>
            </w:pPr>
          </w:p>
        </w:tc>
        <w:tc>
          <w:tcPr>
            <w:tcW w:w="270" w:type="dxa"/>
            <w:tcBorders>
              <w:top w:val="single" w:sz="12" w:space="0" w:color="auto"/>
              <w:bottom w:val="single" w:sz="12" w:space="0" w:color="auto"/>
            </w:tcBorders>
          </w:tcPr>
          <w:p>
            <w:pPr>
              <w:spacing w:before="180" w:after="180"/>
              <w:ind w:right="-29"/>
              <w:jc w:val="center"/>
              <w:rPr>
                <w:noProof/>
                <w:color w:val="000000" w:themeColor="text1"/>
                <w:sz w:val="18"/>
                <w:szCs w:val="18"/>
              </w:rPr>
            </w:pPr>
          </w:p>
        </w:tc>
        <w:tc>
          <w:tcPr>
            <w:tcW w:w="720" w:type="dxa"/>
            <w:tcBorders>
              <w:top w:val="single" w:sz="12" w:space="0" w:color="auto"/>
              <w:bottom w:val="single" w:sz="12" w:space="0" w:color="auto"/>
            </w:tcBorders>
          </w:tcPr>
          <w:p>
            <w:pPr>
              <w:spacing w:before="180" w:after="180"/>
              <w:ind w:right="-29"/>
              <w:jc w:val="center"/>
              <w:rPr>
                <w:noProof/>
                <w:color w:val="000000" w:themeColor="text1"/>
                <w:sz w:val="18"/>
                <w:szCs w:val="18"/>
              </w:rPr>
            </w:pPr>
          </w:p>
        </w:tc>
        <w:tc>
          <w:tcPr>
            <w:tcW w:w="720" w:type="dxa"/>
            <w:tcBorders>
              <w:top w:val="single" w:sz="12" w:space="0" w:color="auto"/>
              <w:bottom w:val="single" w:sz="12" w:space="0" w:color="auto"/>
            </w:tcBorders>
          </w:tcPr>
          <w:p>
            <w:pPr>
              <w:spacing w:before="180" w:after="180"/>
              <w:ind w:right="-29"/>
              <w:jc w:val="center"/>
              <w:rPr>
                <w:noProof/>
                <w:color w:val="000000" w:themeColor="text1"/>
                <w:sz w:val="18"/>
                <w:szCs w:val="18"/>
              </w:rPr>
            </w:pPr>
          </w:p>
        </w:tc>
        <w:tc>
          <w:tcPr>
            <w:tcW w:w="720" w:type="dxa"/>
            <w:tcBorders>
              <w:top w:val="single" w:sz="12" w:space="0" w:color="auto"/>
              <w:bottom w:val="single" w:sz="12" w:space="0" w:color="auto"/>
            </w:tcBorders>
          </w:tcPr>
          <w:p>
            <w:pPr>
              <w:spacing w:before="180" w:after="180"/>
              <w:ind w:right="-29"/>
              <w:jc w:val="center"/>
              <w:rPr>
                <w:noProof/>
                <w:color w:val="000000" w:themeColor="text1"/>
                <w:sz w:val="18"/>
                <w:szCs w:val="18"/>
              </w:rPr>
            </w:pPr>
          </w:p>
        </w:tc>
        <w:tc>
          <w:tcPr>
            <w:tcW w:w="900" w:type="dxa"/>
            <w:gridSpan w:val="2"/>
            <w:tcBorders>
              <w:top w:val="single" w:sz="12" w:space="0" w:color="auto"/>
              <w:bottom w:val="single" w:sz="12" w:space="0" w:color="auto"/>
            </w:tcBorders>
          </w:tcPr>
          <w:p>
            <w:pPr>
              <w:spacing w:before="180" w:after="180"/>
              <w:ind w:right="-29"/>
              <w:jc w:val="center"/>
              <w:rPr>
                <w:noProof/>
                <w:color w:val="000000" w:themeColor="text1"/>
                <w:sz w:val="18"/>
                <w:szCs w:val="18"/>
              </w:rPr>
            </w:pPr>
          </w:p>
        </w:tc>
        <w:tc>
          <w:tcPr>
            <w:tcW w:w="720" w:type="dxa"/>
            <w:tcBorders>
              <w:top w:val="single" w:sz="12" w:space="0" w:color="auto"/>
              <w:bottom w:val="single" w:sz="12" w:space="0" w:color="auto"/>
            </w:tcBorders>
          </w:tcPr>
          <w:p>
            <w:pPr>
              <w:spacing w:before="180" w:after="180"/>
              <w:ind w:right="-29"/>
              <w:jc w:val="center"/>
              <w:rPr>
                <w:noProof/>
                <w:color w:val="000000" w:themeColor="text1"/>
                <w:sz w:val="18"/>
                <w:szCs w:val="18"/>
              </w:rPr>
            </w:pPr>
          </w:p>
        </w:tc>
        <w:tc>
          <w:tcPr>
            <w:tcW w:w="540" w:type="dxa"/>
            <w:tcBorders>
              <w:top w:val="single" w:sz="12" w:space="0" w:color="auto"/>
              <w:bottom w:val="single" w:sz="12" w:space="0" w:color="auto"/>
            </w:tcBorders>
          </w:tcPr>
          <w:p>
            <w:pPr>
              <w:spacing w:before="180" w:after="180"/>
              <w:ind w:right="-29"/>
              <w:jc w:val="center"/>
              <w:rPr>
                <w:noProof/>
                <w:color w:val="000000" w:themeColor="text1"/>
                <w:sz w:val="18"/>
                <w:szCs w:val="18"/>
              </w:rPr>
            </w:pPr>
          </w:p>
        </w:tc>
        <w:tc>
          <w:tcPr>
            <w:tcW w:w="648" w:type="dxa"/>
            <w:tcBorders>
              <w:top w:val="single" w:sz="12" w:space="0" w:color="auto"/>
              <w:bottom w:val="single" w:sz="12" w:space="0" w:color="auto"/>
            </w:tcBorders>
          </w:tcPr>
          <w:p>
            <w:pPr>
              <w:spacing w:before="180" w:after="180"/>
              <w:ind w:right="-29"/>
              <w:jc w:val="center"/>
              <w:rPr>
                <w:noProof/>
                <w:color w:val="000000" w:themeColor="text1"/>
                <w:sz w:val="18"/>
                <w:szCs w:val="18"/>
              </w:rPr>
            </w:pPr>
          </w:p>
        </w:tc>
        <w:tc>
          <w:tcPr>
            <w:tcW w:w="432" w:type="dxa"/>
            <w:tcBorders>
              <w:top w:val="single" w:sz="12" w:space="0" w:color="auto"/>
              <w:bottom w:val="single" w:sz="12" w:space="0" w:color="auto"/>
            </w:tcBorders>
          </w:tcPr>
          <w:p>
            <w:pPr>
              <w:spacing w:before="180" w:after="180"/>
              <w:ind w:right="-29"/>
              <w:jc w:val="center"/>
              <w:rPr>
                <w:noProof/>
                <w:color w:val="000000" w:themeColor="text1"/>
                <w:sz w:val="18"/>
                <w:szCs w:val="18"/>
              </w:rPr>
            </w:pPr>
          </w:p>
        </w:tc>
        <w:tc>
          <w:tcPr>
            <w:tcW w:w="720" w:type="dxa"/>
            <w:tcBorders>
              <w:top w:val="single" w:sz="12" w:space="0" w:color="auto"/>
              <w:bottom w:val="single" w:sz="12" w:space="0" w:color="auto"/>
            </w:tcBorders>
          </w:tcPr>
          <w:p>
            <w:pPr>
              <w:spacing w:before="180" w:after="180"/>
              <w:ind w:right="-29"/>
              <w:jc w:val="center"/>
              <w:rPr>
                <w:noProof/>
                <w:color w:val="000000" w:themeColor="text1"/>
                <w:sz w:val="18"/>
                <w:szCs w:val="18"/>
              </w:rPr>
            </w:pPr>
          </w:p>
        </w:tc>
        <w:tc>
          <w:tcPr>
            <w:tcW w:w="540" w:type="dxa"/>
            <w:tcBorders>
              <w:top w:val="single" w:sz="12" w:space="0" w:color="auto"/>
              <w:bottom w:val="single" w:sz="12" w:space="0" w:color="auto"/>
            </w:tcBorders>
          </w:tcPr>
          <w:p>
            <w:pPr>
              <w:spacing w:before="180" w:after="180"/>
              <w:ind w:right="-29"/>
              <w:jc w:val="center"/>
              <w:rPr>
                <w:noProof/>
                <w:color w:val="000000" w:themeColor="text1"/>
                <w:sz w:val="18"/>
                <w:szCs w:val="18"/>
              </w:rPr>
            </w:pPr>
          </w:p>
        </w:tc>
        <w:tc>
          <w:tcPr>
            <w:tcW w:w="720" w:type="dxa"/>
            <w:tcBorders>
              <w:top w:val="single" w:sz="12" w:space="0" w:color="auto"/>
              <w:bottom w:val="single" w:sz="12" w:space="0" w:color="auto"/>
            </w:tcBorders>
          </w:tcPr>
          <w:p>
            <w:pPr>
              <w:spacing w:before="180" w:after="180"/>
              <w:ind w:right="-29"/>
              <w:jc w:val="center"/>
              <w:rPr>
                <w:noProof/>
                <w:color w:val="000000" w:themeColor="text1"/>
                <w:sz w:val="18"/>
                <w:szCs w:val="18"/>
              </w:rPr>
            </w:pPr>
          </w:p>
        </w:tc>
        <w:tc>
          <w:tcPr>
            <w:tcW w:w="720" w:type="dxa"/>
            <w:tcBorders>
              <w:top w:val="single" w:sz="12" w:space="0" w:color="auto"/>
              <w:bottom w:val="single" w:sz="12" w:space="0" w:color="auto"/>
            </w:tcBorders>
          </w:tcPr>
          <w:p>
            <w:pPr>
              <w:spacing w:before="180" w:after="180"/>
              <w:ind w:right="-29"/>
              <w:jc w:val="center"/>
              <w:rPr>
                <w:noProof/>
                <w:color w:val="000000" w:themeColor="text1"/>
                <w:sz w:val="18"/>
                <w:szCs w:val="18"/>
              </w:rPr>
            </w:pPr>
          </w:p>
        </w:tc>
        <w:tc>
          <w:tcPr>
            <w:tcW w:w="900" w:type="dxa"/>
            <w:tcBorders>
              <w:top w:val="single" w:sz="12" w:space="0" w:color="auto"/>
              <w:bottom w:val="single" w:sz="12" w:space="0" w:color="auto"/>
              <w:right w:val="single" w:sz="12" w:space="0" w:color="auto"/>
            </w:tcBorders>
          </w:tcPr>
          <w:p>
            <w:pPr>
              <w:spacing w:before="180" w:after="180"/>
              <w:ind w:right="-29"/>
              <w:jc w:val="center"/>
              <w:rPr>
                <w:noProof/>
                <w:color w:val="000000" w:themeColor="text1"/>
                <w:sz w:val="18"/>
                <w:szCs w:val="18"/>
              </w:rPr>
            </w:pPr>
            <w:r>
              <w:rPr>
                <w:noProof/>
                <w:color w:val="000000" w:themeColor="text1"/>
                <w:sz w:val="18"/>
                <w:szCs w:val="18"/>
              </w:rPr>
              <w:t>4,000</w:t>
            </w:r>
          </w:p>
        </w:tc>
      </w:tr>
    </w:tbl>
    <w:p>
      <w:pPr>
        <w:rPr>
          <w:b/>
          <w:noProof/>
          <w:color w:val="000000" w:themeColor="text1"/>
        </w:rPr>
      </w:pPr>
    </w:p>
    <w:p>
      <w:pPr>
        <w:rPr>
          <w:b/>
          <w:noProof/>
          <w:color w:val="000000" w:themeColor="text1"/>
        </w:rPr>
      </w:pPr>
      <w:r>
        <w:rPr>
          <w:b/>
          <w:noProof/>
          <w:color w:val="000000" w:themeColor="text1"/>
        </w:rPr>
        <w:t>Resultat</w:t>
      </w:r>
    </w:p>
    <w:p>
      <w:pPr>
        <w:jc w:val="left"/>
        <w:rPr>
          <w:noProof/>
          <w:color w:val="000000" w:themeColor="text1"/>
        </w:rPr>
      </w:pPr>
      <w:r>
        <w:rPr>
          <w:noProof/>
          <w:color w:val="000000" w:themeColor="text1"/>
        </w:rPr>
        <w:t>Kommunikationskampagne: Dette kan omfatte videorapportager, videoklip, visuel identitet, websted, PR-aktiviteter, sociale medier, reklamemateriale, publikationer og print, undersøgelser og andre opmærksomhedsskabende aktiviteter.</w:t>
      </w:r>
    </w:p>
    <w:p>
      <w:pPr>
        <w:jc w:val="left"/>
        <w:rPr>
          <w:noProof/>
          <w:color w:val="000000" w:themeColor="text1"/>
        </w:rPr>
      </w:pPr>
      <w:r>
        <w:rPr>
          <w:noProof/>
          <w:color w:val="000000" w:themeColor="text1"/>
        </w:rPr>
        <w:t>Seminarer og konferencer: Dette kan omfatte åbnings- og afslutningskonferencer, forelæsninger, workshops, arrangementer på højt niveau, seminarer for journalister, sideløbende arrangementer og andre forsamlinger både i Bruxelles og i medlemsstaterne.</w:t>
      </w:r>
    </w:p>
    <w:p>
      <w:pPr>
        <w:jc w:val="left"/>
        <w:rPr>
          <w:noProof/>
          <w:color w:val="000000" w:themeColor="text1"/>
        </w:rPr>
      </w:pPr>
    </w:p>
    <w:p>
      <w:pPr>
        <w:jc w:val="left"/>
        <w:rPr>
          <w:b/>
          <w:noProof/>
          <w:color w:val="000000" w:themeColor="text1"/>
        </w:rPr>
      </w:pPr>
      <w:r>
        <w:rPr>
          <w:b/>
          <w:noProof/>
          <w:color w:val="000000" w:themeColor="text1"/>
        </w:rPr>
        <w:t>Omkostningsstruktur</w:t>
      </w:r>
    </w:p>
    <w:p>
      <w:pPr>
        <w:rPr>
          <w:noProof/>
          <w:color w:val="000000" w:themeColor="text1"/>
        </w:rPr>
      </w:pPr>
      <w:r>
        <w:rPr>
          <w:noProof/>
          <w:color w:val="000000" w:themeColor="text1"/>
        </w:rPr>
        <w:t>På baggrund af tidligere erfaring med andre kulturrelaterede foranstaltninger, navnlig inden for rammerne af programmet Et Kreativt Europa, anslås det, at de gennemsnitlige omkostninger for en kommunikationskampagne på EU-plan er på ca. 300 000 EUR og for et seminar på mellem 100 000 EUR og 400 000 EUR afhængigt af omfanget og antallet af deltagere, så det er rimeligt at antage, at de gennemsnitlige omkostninger til de seminarer, der organiseres inden for rammerne af programmet for det europæiske år for kulturarv, vil være på 250 000 EUR.</w:t>
      </w:r>
    </w:p>
    <w:p>
      <w:pPr>
        <w:rPr>
          <w:noProof/>
          <w:color w:val="000000" w:themeColor="text1"/>
        </w:rPr>
        <w:sectPr>
          <w:pgSz w:w="16840" w:h="11907" w:orient="landscape" w:code="9"/>
          <w:pgMar w:top="1134" w:right="1418" w:bottom="567" w:left="1418" w:header="709" w:footer="709" w:gutter="0"/>
          <w:cols w:space="708"/>
          <w:docGrid w:linePitch="360"/>
        </w:sectPr>
      </w:pPr>
    </w:p>
    <w:p>
      <w:pPr>
        <w:pStyle w:val="ManualHeading3"/>
        <w:rPr>
          <w:bCs/>
          <w:noProof/>
          <w:szCs w:val="24"/>
        </w:rPr>
      </w:pPr>
      <w:r>
        <w:t>3.2.3.</w:t>
      </w:r>
      <w:r>
        <w:tab/>
      </w:r>
      <w:r>
        <w:rPr>
          <w:noProof/>
        </w:rPr>
        <w:t>Anslåede virkninger for administrationsbevillingerne</w:t>
      </w:r>
    </w:p>
    <w:p>
      <w:pPr>
        <w:pStyle w:val="ManualHeading4"/>
        <w:rPr>
          <w:noProof/>
          <w:color w:val="000000" w:themeColor="text1"/>
        </w:rPr>
      </w:pPr>
      <w:r>
        <w:t>3.2.3.1.</w:t>
      </w:r>
      <w:r>
        <w:tab/>
      </w:r>
      <w:r>
        <w:rPr>
          <w:noProof/>
          <w:color w:val="000000" w:themeColor="text1"/>
        </w:rPr>
        <w:t>Resumé</w:t>
      </w:r>
    </w:p>
    <w:p>
      <w:pPr>
        <w:pStyle w:val="ListDash1"/>
        <w:rPr>
          <w:noProof/>
          <w:color w:val="000000" w:themeColor="text1"/>
        </w:rPr>
      </w:pPr>
      <w:r>
        <w:rPr>
          <w:noProof/>
          <w:color w:val="000000" w:themeColor="text1"/>
        </w:rPr>
        <w:sym w:font="Wingdings" w:char="F0A8"/>
      </w:r>
      <w:r>
        <w:rPr>
          <w:noProof/>
          <w:color w:val="000000" w:themeColor="text1"/>
        </w:rPr>
        <w:tab/>
        <w:t>Forslaget/initiativet medfører ikke anvendelse af administrationsbevillinger</w:t>
      </w:r>
    </w:p>
    <w:p>
      <w:pPr>
        <w:pStyle w:val="ListDash1"/>
        <w:rPr>
          <w:noProof/>
          <w:color w:val="000000" w:themeColor="text1"/>
        </w:rPr>
      </w:pPr>
      <w:r>
        <w:rPr>
          <w:noProof/>
          <w:color w:val="000000" w:themeColor="text1"/>
        </w:rPr>
        <w:t>X</w:t>
      </w:r>
      <w:r>
        <w:rPr>
          <w:noProof/>
          <w:color w:val="000000" w:themeColor="text1"/>
        </w:rPr>
        <w:tab/>
        <w:t>Forslaget/initiativet medfører anvendelse af administrationsbevillinger som anført herunder:</w:t>
      </w:r>
    </w:p>
    <w:p>
      <w:pPr>
        <w:rPr>
          <w:noProof/>
          <w:color w:val="000000" w:themeColor="text1"/>
          <w:sz w:val="20"/>
        </w:rPr>
      </w:pPr>
      <w:r>
        <w:rPr>
          <w:noProof/>
          <w:color w:val="000000" w:themeColor="text1"/>
          <w:sz w:val="20"/>
        </w:rPr>
        <w:t>i mio. EUR (3 decimaler)</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3240"/>
        <w:gridCol w:w="1080"/>
      </w:tblGrid>
      <w:tr>
        <w:trPr>
          <w:trHeight w:val="585"/>
        </w:trPr>
        <w:tc>
          <w:tcPr>
            <w:tcW w:w="1980" w:type="dxa"/>
          </w:tcPr>
          <w:p>
            <w:pPr>
              <w:spacing w:before="60" w:after="60" w:line="200" w:lineRule="exact"/>
              <w:rPr>
                <w:noProof/>
                <w:color w:val="000000" w:themeColor="text1"/>
                <w:sz w:val="16"/>
                <w:szCs w:val="16"/>
              </w:rPr>
            </w:pPr>
          </w:p>
        </w:tc>
        <w:tc>
          <w:tcPr>
            <w:tcW w:w="1080" w:type="dxa"/>
            <w:vAlign w:val="center"/>
          </w:tcPr>
          <w:p>
            <w:pPr>
              <w:spacing w:before="60" w:after="60" w:line="200" w:lineRule="exact"/>
              <w:jc w:val="center"/>
              <w:rPr>
                <w:noProof/>
                <w:color w:val="000000" w:themeColor="text1"/>
                <w:sz w:val="16"/>
                <w:szCs w:val="16"/>
              </w:rPr>
            </w:pPr>
            <w:r>
              <w:rPr>
                <w:noProof/>
                <w:color w:val="000000" w:themeColor="text1"/>
                <w:sz w:val="16"/>
              </w:rPr>
              <w:t>År</w:t>
            </w:r>
            <w:r>
              <w:rPr>
                <w:noProof/>
                <w:color w:val="000000" w:themeColor="text1"/>
                <w:sz w:val="22"/>
              </w:rPr>
              <w:br/>
            </w:r>
            <w:r>
              <w:rPr>
                <w:b/>
                <w:noProof/>
                <w:color w:val="000000" w:themeColor="text1"/>
                <w:sz w:val="16"/>
              </w:rPr>
              <w:t>N</w:t>
            </w:r>
            <w:r>
              <w:rPr>
                <w:rStyle w:val="FootnoteReference"/>
                <w:b/>
                <w:noProof/>
                <w:color w:val="000000" w:themeColor="text1"/>
                <w:sz w:val="16"/>
              </w:rPr>
              <w:footnoteReference w:id="38"/>
            </w:r>
          </w:p>
        </w:tc>
        <w:tc>
          <w:tcPr>
            <w:tcW w:w="1080" w:type="dxa"/>
            <w:vAlign w:val="center"/>
          </w:tcPr>
          <w:p>
            <w:pPr>
              <w:spacing w:before="60" w:after="60" w:line="200" w:lineRule="exact"/>
              <w:jc w:val="center"/>
              <w:rPr>
                <w:noProof/>
                <w:color w:val="000000" w:themeColor="text1"/>
                <w:sz w:val="16"/>
                <w:szCs w:val="16"/>
              </w:rPr>
            </w:pPr>
            <w:r>
              <w:rPr>
                <w:noProof/>
                <w:color w:val="000000" w:themeColor="text1"/>
                <w:sz w:val="16"/>
              </w:rPr>
              <w:t>År</w:t>
            </w:r>
            <w:r>
              <w:rPr>
                <w:noProof/>
                <w:color w:val="000000" w:themeColor="text1"/>
                <w:sz w:val="22"/>
              </w:rPr>
              <w:br/>
            </w:r>
            <w:r>
              <w:rPr>
                <w:b/>
                <w:noProof/>
                <w:color w:val="000000" w:themeColor="text1"/>
                <w:sz w:val="16"/>
              </w:rPr>
              <w:t>N+1</w:t>
            </w:r>
          </w:p>
        </w:tc>
        <w:tc>
          <w:tcPr>
            <w:tcW w:w="1080" w:type="dxa"/>
            <w:vAlign w:val="center"/>
          </w:tcPr>
          <w:p>
            <w:pPr>
              <w:spacing w:before="60" w:after="60" w:line="200" w:lineRule="exact"/>
              <w:jc w:val="center"/>
              <w:rPr>
                <w:noProof/>
                <w:color w:val="000000" w:themeColor="text1"/>
                <w:sz w:val="16"/>
                <w:szCs w:val="16"/>
              </w:rPr>
            </w:pPr>
            <w:r>
              <w:rPr>
                <w:noProof/>
                <w:color w:val="000000" w:themeColor="text1"/>
                <w:sz w:val="16"/>
              </w:rPr>
              <w:t>År</w:t>
            </w:r>
            <w:r>
              <w:rPr>
                <w:noProof/>
                <w:color w:val="000000" w:themeColor="text1"/>
                <w:sz w:val="22"/>
              </w:rPr>
              <w:br/>
            </w:r>
            <w:r>
              <w:rPr>
                <w:b/>
                <w:noProof/>
                <w:color w:val="000000" w:themeColor="text1"/>
                <w:sz w:val="16"/>
              </w:rPr>
              <w:t>N+2</w:t>
            </w:r>
          </w:p>
        </w:tc>
        <w:tc>
          <w:tcPr>
            <w:tcW w:w="1080" w:type="dxa"/>
            <w:vAlign w:val="center"/>
          </w:tcPr>
          <w:p>
            <w:pPr>
              <w:spacing w:before="60" w:after="60" w:line="200" w:lineRule="exact"/>
              <w:jc w:val="center"/>
              <w:rPr>
                <w:noProof/>
                <w:color w:val="000000" w:themeColor="text1"/>
                <w:sz w:val="16"/>
                <w:szCs w:val="16"/>
              </w:rPr>
            </w:pPr>
            <w:r>
              <w:rPr>
                <w:noProof/>
                <w:color w:val="000000" w:themeColor="text1"/>
                <w:sz w:val="16"/>
              </w:rPr>
              <w:t>År</w:t>
            </w:r>
            <w:r>
              <w:rPr>
                <w:noProof/>
                <w:color w:val="000000" w:themeColor="text1"/>
                <w:sz w:val="22"/>
              </w:rPr>
              <w:br/>
            </w:r>
            <w:r>
              <w:rPr>
                <w:b/>
                <w:noProof/>
                <w:color w:val="000000" w:themeColor="text1"/>
                <w:sz w:val="16"/>
              </w:rPr>
              <w:t>N+3</w:t>
            </w:r>
          </w:p>
        </w:tc>
        <w:tc>
          <w:tcPr>
            <w:tcW w:w="3240" w:type="dxa"/>
            <w:vAlign w:val="center"/>
          </w:tcPr>
          <w:p>
            <w:pPr>
              <w:spacing w:line="200" w:lineRule="exact"/>
              <w:jc w:val="center"/>
              <w:rPr>
                <w:b/>
                <w:noProof/>
                <w:color w:val="000000" w:themeColor="text1"/>
                <w:sz w:val="16"/>
                <w:szCs w:val="16"/>
              </w:rPr>
            </w:pPr>
            <w:r>
              <w:rPr>
                <w:noProof/>
                <w:color w:val="000000" w:themeColor="text1"/>
                <w:sz w:val="16"/>
              </w:rPr>
              <w:t>Der indsættes flere år, hvis virkningerne varer længere (jf. punkt 1.6)</w:t>
            </w:r>
          </w:p>
        </w:tc>
        <w:tc>
          <w:tcPr>
            <w:tcW w:w="1080" w:type="dxa"/>
            <w:vAlign w:val="center"/>
          </w:tcPr>
          <w:p>
            <w:pPr>
              <w:spacing w:before="60" w:after="60" w:line="200" w:lineRule="exact"/>
              <w:jc w:val="center"/>
              <w:rPr>
                <w:b/>
                <w:noProof/>
                <w:color w:val="000000" w:themeColor="text1"/>
                <w:sz w:val="16"/>
                <w:szCs w:val="16"/>
              </w:rPr>
            </w:pPr>
            <w:r>
              <w:rPr>
                <w:b/>
                <w:noProof/>
                <w:color w:val="000000" w:themeColor="text1"/>
                <w:sz w:val="16"/>
              </w:rPr>
              <w:t>I ALT</w:t>
            </w:r>
          </w:p>
        </w:tc>
      </w:tr>
    </w:tbl>
    <w:p>
      <w:pPr>
        <w:spacing w:line="200" w:lineRule="exact"/>
        <w:rPr>
          <w:noProof/>
          <w:color w:val="000000" w:themeColor="text1"/>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shd w:val="clear" w:color="auto" w:fill="CCCCCC"/>
            <w:vAlign w:val="center"/>
          </w:tcPr>
          <w:p>
            <w:pPr>
              <w:spacing w:before="60" w:after="60" w:line="200" w:lineRule="exact"/>
              <w:jc w:val="center"/>
              <w:rPr>
                <w:b/>
                <w:noProof/>
                <w:color w:val="000000" w:themeColor="text1"/>
                <w:sz w:val="16"/>
                <w:szCs w:val="16"/>
              </w:rPr>
            </w:pPr>
            <w:r>
              <w:rPr>
                <w:b/>
                <w:noProof/>
                <w:color w:val="000000" w:themeColor="text1"/>
                <w:sz w:val="16"/>
              </w:rPr>
              <w:t>UDGIFTSOMRÅDE 5</w:t>
            </w:r>
            <w:r>
              <w:rPr>
                <w:noProof/>
                <w:color w:val="000000" w:themeColor="text1"/>
              </w:rPr>
              <w:br/>
            </w:r>
            <w:r>
              <w:rPr>
                <w:b/>
                <w:noProof/>
                <w:color w:val="000000" w:themeColor="text1"/>
                <w:sz w:val="16"/>
              </w:rPr>
              <w:t>i den flerårige finansielle ramme</w:t>
            </w: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b/>
                <w:noProof/>
                <w:color w:val="000000" w:themeColor="text1"/>
                <w:sz w:val="16"/>
                <w:szCs w:val="16"/>
              </w:rPr>
            </w:pPr>
          </w:p>
        </w:tc>
        <w:tc>
          <w:tcPr>
            <w:tcW w:w="1080" w:type="dxa"/>
            <w:vAlign w:val="center"/>
          </w:tcPr>
          <w:p>
            <w:pPr>
              <w:spacing w:before="60" w:after="60" w:line="200" w:lineRule="exact"/>
              <w:jc w:val="right"/>
              <w:rPr>
                <w:b/>
                <w:noProof/>
                <w:color w:val="000000" w:themeColor="text1"/>
                <w:sz w:val="16"/>
                <w:szCs w:val="16"/>
              </w:rPr>
            </w:pPr>
          </w:p>
        </w:tc>
      </w:tr>
      <w:tr>
        <w:trPr>
          <w:trHeight w:val="585"/>
        </w:trPr>
        <w:tc>
          <w:tcPr>
            <w:tcW w:w="1980" w:type="dxa"/>
            <w:vAlign w:val="center"/>
          </w:tcPr>
          <w:p>
            <w:pPr>
              <w:spacing w:before="60" w:after="60" w:line="200" w:lineRule="exact"/>
              <w:ind w:left="72"/>
              <w:jc w:val="left"/>
              <w:rPr>
                <w:noProof/>
                <w:color w:val="000000" w:themeColor="text1"/>
                <w:sz w:val="16"/>
                <w:szCs w:val="16"/>
              </w:rPr>
            </w:pPr>
            <w:r>
              <w:rPr>
                <w:noProof/>
                <w:color w:val="000000" w:themeColor="text1"/>
                <w:sz w:val="16"/>
              </w:rPr>
              <w:t xml:space="preserve">Menneskelige ressourcer </w:t>
            </w:r>
          </w:p>
        </w:tc>
        <w:tc>
          <w:tcPr>
            <w:tcW w:w="1080" w:type="dxa"/>
            <w:vAlign w:val="center"/>
          </w:tcPr>
          <w:p>
            <w:pPr>
              <w:spacing w:before="60" w:after="60" w:line="200" w:lineRule="exact"/>
              <w:jc w:val="right"/>
              <w:rPr>
                <w:noProof/>
                <w:color w:val="000000" w:themeColor="text1"/>
                <w:sz w:val="16"/>
                <w:szCs w:val="16"/>
              </w:rPr>
            </w:pPr>
            <w:r>
              <w:rPr>
                <w:noProof/>
                <w:color w:val="000000" w:themeColor="text1"/>
                <w:sz w:val="16"/>
                <w:szCs w:val="16"/>
              </w:rPr>
              <w:t>p.m.</w:t>
            </w:r>
          </w:p>
        </w:tc>
        <w:tc>
          <w:tcPr>
            <w:tcW w:w="1080" w:type="dxa"/>
            <w:vAlign w:val="center"/>
          </w:tcPr>
          <w:p>
            <w:pPr>
              <w:spacing w:before="60" w:after="60" w:line="200" w:lineRule="exact"/>
              <w:jc w:val="right"/>
              <w:rPr>
                <w:noProof/>
                <w:color w:val="000000" w:themeColor="text1"/>
                <w:sz w:val="16"/>
                <w:szCs w:val="16"/>
              </w:rPr>
            </w:pPr>
            <w:r>
              <w:rPr>
                <w:noProof/>
                <w:color w:val="000000" w:themeColor="text1"/>
                <w:sz w:val="16"/>
                <w:szCs w:val="16"/>
              </w:rPr>
              <w:t>p.m.</w:t>
            </w:r>
          </w:p>
        </w:tc>
        <w:tc>
          <w:tcPr>
            <w:tcW w:w="1080" w:type="dxa"/>
            <w:vAlign w:val="center"/>
          </w:tcPr>
          <w:p>
            <w:pPr>
              <w:spacing w:before="60" w:after="60" w:line="200" w:lineRule="exact"/>
              <w:jc w:val="right"/>
              <w:rPr>
                <w:noProof/>
                <w:color w:val="000000" w:themeColor="text1"/>
                <w:sz w:val="16"/>
                <w:szCs w:val="16"/>
              </w:rPr>
            </w:pPr>
            <w:r>
              <w:rPr>
                <w:noProof/>
                <w:color w:val="000000" w:themeColor="text1"/>
                <w:sz w:val="16"/>
                <w:szCs w:val="16"/>
              </w:rPr>
              <w:t>p.m.</w:t>
            </w:r>
          </w:p>
        </w:tc>
        <w:tc>
          <w:tcPr>
            <w:tcW w:w="1080" w:type="dxa"/>
            <w:vAlign w:val="center"/>
          </w:tcPr>
          <w:p>
            <w:pPr>
              <w:spacing w:before="60" w:after="60" w:line="200" w:lineRule="exact"/>
              <w:jc w:val="right"/>
              <w:rPr>
                <w:noProof/>
                <w:color w:val="000000" w:themeColor="text1"/>
                <w:sz w:val="16"/>
                <w:szCs w:val="16"/>
              </w:rPr>
            </w:pPr>
            <w:r>
              <w:rPr>
                <w:noProof/>
                <w:color w:val="000000" w:themeColor="text1"/>
                <w:sz w:val="16"/>
                <w:szCs w:val="16"/>
              </w:rPr>
              <w:t>p.m.</w:t>
            </w: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b/>
                <w:noProof/>
                <w:color w:val="000000" w:themeColor="text1"/>
                <w:sz w:val="16"/>
                <w:szCs w:val="16"/>
              </w:rPr>
            </w:pPr>
          </w:p>
        </w:tc>
        <w:tc>
          <w:tcPr>
            <w:tcW w:w="1080" w:type="dxa"/>
            <w:vAlign w:val="center"/>
          </w:tcPr>
          <w:p>
            <w:pPr>
              <w:spacing w:before="60" w:after="60" w:line="200" w:lineRule="exact"/>
              <w:jc w:val="right"/>
              <w:rPr>
                <w:b/>
                <w:noProof/>
                <w:color w:val="000000" w:themeColor="text1"/>
                <w:sz w:val="16"/>
                <w:szCs w:val="16"/>
              </w:rPr>
            </w:pPr>
          </w:p>
        </w:tc>
      </w:tr>
      <w:tr>
        <w:trPr>
          <w:trHeight w:val="585"/>
        </w:trPr>
        <w:tc>
          <w:tcPr>
            <w:tcW w:w="1980" w:type="dxa"/>
            <w:vAlign w:val="center"/>
          </w:tcPr>
          <w:p>
            <w:pPr>
              <w:spacing w:before="60" w:after="60" w:line="200" w:lineRule="exact"/>
              <w:ind w:left="72"/>
              <w:jc w:val="left"/>
              <w:rPr>
                <w:noProof/>
                <w:color w:val="000000" w:themeColor="text1"/>
                <w:sz w:val="16"/>
                <w:szCs w:val="16"/>
              </w:rPr>
            </w:pPr>
            <w:r>
              <w:rPr>
                <w:noProof/>
                <w:color w:val="000000" w:themeColor="text1"/>
                <w:sz w:val="16"/>
              </w:rPr>
              <w:t xml:space="preserve">Andre administrative udgifter </w:t>
            </w:r>
          </w:p>
        </w:tc>
        <w:tc>
          <w:tcPr>
            <w:tcW w:w="1080" w:type="dxa"/>
            <w:vAlign w:val="center"/>
          </w:tcPr>
          <w:p>
            <w:pPr>
              <w:spacing w:before="60" w:after="60" w:line="200" w:lineRule="exact"/>
              <w:jc w:val="right"/>
              <w:rPr>
                <w:noProof/>
                <w:color w:val="000000" w:themeColor="text1"/>
                <w:sz w:val="16"/>
                <w:szCs w:val="16"/>
              </w:rPr>
            </w:pPr>
            <w:r>
              <w:rPr>
                <w:noProof/>
                <w:color w:val="000000" w:themeColor="text1"/>
                <w:sz w:val="16"/>
                <w:szCs w:val="16"/>
              </w:rPr>
              <w:t>p.m.</w:t>
            </w:r>
          </w:p>
        </w:tc>
        <w:tc>
          <w:tcPr>
            <w:tcW w:w="1080" w:type="dxa"/>
            <w:vAlign w:val="center"/>
          </w:tcPr>
          <w:p>
            <w:pPr>
              <w:spacing w:before="60" w:after="60" w:line="200" w:lineRule="exact"/>
              <w:jc w:val="right"/>
              <w:rPr>
                <w:noProof/>
                <w:color w:val="000000" w:themeColor="text1"/>
                <w:sz w:val="16"/>
                <w:szCs w:val="16"/>
              </w:rPr>
            </w:pPr>
            <w:r>
              <w:rPr>
                <w:noProof/>
                <w:color w:val="000000" w:themeColor="text1"/>
                <w:sz w:val="16"/>
                <w:szCs w:val="16"/>
              </w:rPr>
              <w:t>p.m.</w:t>
            </w:r>
          </w:p>
        </w:tc>
        <w:tc>
          <w:tcPr>
            <w:tcW w:w="1080" w:type="dxa"/>
            <w:vAlign w:val="center"/>
          </w:tcPr>
          <w:p>
            <w:pPr>
              <w:spacing w:before="60" w:after="60" w:line="200" w:lineRule="exact"/>
              <w:jc w:val="right"/>
              <w:rPr>
                <w:noProof/>
                <w:color w:val="000000" w:themeColor="text1"/>
                <w:sz w:val="16"/>
                <w:szCs w:val="16"/>
              </w:rPr>
            </w:pPr>
            <w:r>
              <w:rPr>
                <w:noProof/>
                <w:color w:val="000000" w:themeColor="text1"/>
                <w:sz w:val="16"/>
                <w:szCs w:val="16"/>
              </w:rPr>
              <w:t>p.m.</w:t>
            </w:r>
          </w:p>
        </w:tc>
        <w:tc>
          <w:tcPr>
            <w:tcW w:w="1080" w:type="dxa"/>
            <w:vAlign w:val="center"/>
          </w:tcPr>
          <w:p>
            <w:pPr>
              <w:spacing w:before="60" w:after="60" w:line="200" w:lineRule="exact"/>
              <w:jc w:val="right"/>
              <w:rPr>
                <w:noProof/>
                <w:color w:val="000000" w:themeColor="text1"/>
                <w:sz w:val="16"/>
                <w:szCs w:val="16"/>
              </w:rPr>
            </w:pPr>
            <w:r>
              <w:rPr>
                <w:noProof/>
                <w:color w:val="000000" w:themeColor="text1"/>
                <w:sz w:val="16"/>
                <w:szCs w:val="16"/>
              </w:rPr>
              <w:t>p.m.</w:t>
            </w: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b/>
                <w:noProof/>
                <w:color w:val="000000" w:themeColor="text1"/>
                <w:sz w:val="16"/>
                <w:szCs w:val="16"/>
              </w:rPr>
            </w:pPr>
          </w:p>
        </w:tc>
        <w:tc>
          <w:tcPr>
            <w:tcW w:w="1080" w:type="dxa"/>
            <w:vAlign w:val="center"/>
          </w:tcPr>
          <w:p>
            <w:pPr>
              <w:spacing w:before="60" w:after="60" w:line="200" w:lineRule="exact"/>
              <w:jc w:val="right"/>
              <w:rPr>
                <w:b/>
                <w:noProof/>
                <w:color w:val="000000" w:themeColor="text1"/>
                <w:sz w:val="16"/>
                <w:szCs w:val="16"/>
              </w:rPr>
            </w:pPr>
          </w:p>
        </w:tc>
      </w:tr>
      <w:tr>
        <w:trPr>
          <w:trHeight w:val="585"/>
        </w:trPr>
        <w:tc>
          <w:tcPr>
            <w:tcW w:w="1980" w:type="dxa"/>
            <w:shd w:val="clear" w:color="auto" w:fill="CCCCCC"/>
            <w:vAlign w:val="center"/>
          </w:tcPr>
          <w:p>
            <w:pPr>
              <w:spacing w:before="60" w:after="60" w:line="200" w:lineRule="exact"/>
              <w:jc w:val="center"/>
              <w:rPr>
                <w:b/>
                <w:noProof/>
                <w:color w:val="000000" w:themeColor="text1"/>
                <w:sz w:val="16"/>
                <w:szCs w:val="16"/>
              </w:rPr>
            </w:pPr>
            <w:r>
              <w:rPr>
                <w:b/>
                <w:noProof/>
                <w:color w:val="000000" w:themeColor="text1"/>
                <w:sz w:val="16"/>
              </w:rPr>
              <w:t>Subtotal UDGIFTSOMRÅDE 5</w:t>
            </w:r>
            <w:r>
              <w:rPr>
                <w:noProof/>
                <w:color w:val="000000" w:themeColor="text1"/>
              </w:rPr>
              <w:br/>
            </w:r>
            <w:r>
              <w:rPr>
                <w:b/>
                <w:noProof/>
                <w:color w:val="000000" w:themeColor="text1"/>
                <w:sz w:val="16"/>
              </w:rPr>
              <w:t xml:space="preserve">i den flerårige finansielle ramme </w:t>
            </w:r>
          </w:p>
        </w:tc>
        <w:tc>
          <w:tcPr>
            <w:tcW w:w="1080" w:type="dxa"/>
            <w:vAlign w:val="center"/>
          </w:tcPr>
          <w:p>
            <w:pPr>
              <w:spacing w:before="60" w:after="60" w:line="200" w:lineRule="exact"/>
              <w:jc w:val="right"/>
              <w:rPr>
                <w:noProof/>
                <w:color w:val="000000" w:themeColor="text1"/>
                <w:sz w:val="16"/>
                <w:szCs w:val="16"/>
              </w:rPr>
            </w:pPr>
            <w:r>
              <w:rPr>
                <w:noProof/>
                <w:color w:val="000000" w:themeColor="text1"/>
                <w:sz w:val="16"/>
                <w:szCs w:val="16"/>
              </w:rPr>
              <w:t>p.m.</w:t>
            </w:r>
          </w:p>
        </w:tc>
        <w:tc>
          <w:tcPr>
            <w:tcW w:w="1080" w:type="dxa"/>
            <w:vAlign w:val="center"/>
          </w:tcPr>
          <w:p>
            <w:pPr>
              <w:spacing w:before="60" w:after="60" w:line="200" w:lineRule="exact"/>
              <w:jc w:val="right"/>
              <w:rPr>
                <w:noProof/>
                <w:color w:val="000000" w:themeColor="text1"/>
                <w:sz w:val="16"/>
                <w:szCs w:val="16"/>
              </w:rPr>
            </w:pPr>
            <w:r>
              <w:rPr>
                <w:noProof/>
                <w:color w:val="000000" w:themeColor="text1"/>
                <w:sz w:val="16"/>
                <w:szCs w:val="16"/>
              </w:rPr>
              <w:t>p.m.</w:t>
            </w:r>
          </w:p>
        </w:tc>
        <w:tc>
          <w:tcPr>
            <w:tcW w:w="1080" w:type="dxa"/>
            <w:vAlign w:val="center"/>
          </w:tcPr>
          <w:p>
            <w:pPr>
              <w:spacing w:before="60" w:after="60" w:line="200" w:lineRule="exact"/>
              <w:jc w:val="right"/>
              <w:rPr>
                <w:noProof/>
                <w:color w:val="000000" w:themeColor="text1"/>
                <w:sz w:val="16"/>
                <w:szCs w:val="16"/>
              </w:rPr>
            </w:pPr>
            <w:r>
              <w:rPr>
                <w:noProof/>
                <w:color w:val="000000" w:themeColor="text1"/>
                <w:sz w:val="16"/>
                <w:szCs w:val="16"/>
              </w:rPr>
              <w:t>p.m.</w:t>
            </w:r>
          </w:p>
        </w:tc>
        <w:tc>
          <w:tcPr>
            <w:tcW w:w="1080" w:type="dxa"/>
            <w:vAlign w:val="center"/>
          </w:tcPr>
          <w:p>
            <w:pPr>
              <w:spacing w:before="60" w:after="60" w:line="200" w:lineRule="exact"/>
              <w:jc w:val="right"/>
              <w:rPr>
                <w:noProof/>
                <w:color w:val="000000" w:themeColor="text1"/>
                <w:sz w:val="16"/>
                <w:szCs w:val="16"/>
              </w:rPr>
            </w:pPr>
            <w:r>
              <w:rPr>
                <w:noProof/>
                <w:color w:val="000000" w:themeColor="text1"/>
                <w:sz w:val="16"/>
                <w:szCs w:val="16"/>
              </w:rPr>
              <w:t>p.m.</w:t>
            </w: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b/>
                <w:noProof/>
                <w:color w:val="000000" w:themeColor="text1"/>
                <w:sz w:val="16"/>
                <w:szCs w:val="16"/>
              </w:rPr>
            </w:pPr>
          </w:p>
        </w:tc>
        <w:tc>
          <w:tcPr>
            <w:tcW w:w="1080" w:type="dxa"/>
            <w:vAlign w:val="center"/>
          </w:tcPr>
          <w:p>
            <w:pPr>
              <w:spacing w:before="60" w:after="60" w:line="200" w:lineRule="exact"/>
              <w:jc w:val="right"/>
              <w:rPr>
                <w:b/>
                <w:noProof/>
                <w:color w:val="000000" w:themeColor="text1"/>
                <w:sz w:val="16"/>
                <w:szCs w:val="16"/>
              </w:rPr>
            </w:pPr>
          </w:p>
        </w:tc>
      </w:tr>
    </w:tbl>
    <w:p>
      <w:pPr>
        <w:spacing w:line="200" w:lineRule="exact"/>
        <w:rPr>
          <w:noProof/>
          <w:color w:val="000000" w:themeColor="text1"/>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shd w:val="clear" w:color="auto" w:fill="CCCCCC"/>
            <w:vAlign w:val="center"/>
          </w:tcPr>
          <w:p>
            <w:pPr>
              <w:spacing w:before="60" w:after="60" w:line="200" w:lineRule="exact"/>
              <w:jc w:val="center"/>
              <w:rPr>
                <w:b/>
                <w:noProof/>
                <w:color w:val="000000" w:themeColor="text1"/>
                <w:sz w:val="16"/>
              </w:rPr>
            </w:pPr>
            <w:r>
              <w:rPr>
                <w:b/>
                <w:noProof/>
                <w:color w:val="000000" w:themeColor="text1"/>
                <w:sz w:val="16"/>
              </w:rPr>
              <w:t>Uden for UDGIFTSOMRÅDE 5</w:t>
            </w:r>
            <w:r>
              <w:rPr>
                <w:rStyle w:val="FootnoteReference"/>
                <w:b/>
                <w:noProof/>
                <w:color w:val="000000" w:themeColor="text1"/>
                <w:sz w:val="16"/>
              </w:rPr>
              <w:footnoteReference w:id="39"/>
            </w:r>
            <w:r>
              <w:rPr>
                <w:noProof/>
                <w:color w:val="000000" w:themeColor="text1"/>
              </w:rPr>
              <w:br/>
            </w:r>
            <w:r>
              <w:rPr>
                <w:b/>
                <w:noProof/>
                <w:color w:val="000000" w:themeColor="text1"/>
                <w:sz w:val="16"/>
              </w:rPr>
              <w:t>i den flerårige finansielle ramme</w:t>
            </w:r>
          </w:p>
          <w:p>
            <w:pPr>
              <w:spacing w:before="0" w:after="0" w:line="200" w:lineRule="exact"/>
              <w:jc w:val="center"/>
              <w:rPr>
                <w:b/>
                <w:noProof/>
                <w:color w:val="000000" w:themeColor="text1"/>
                <w:sz w:val="16"/>
                <w:szCs w:val="16"/>
              </w:rPr>
            </w:pP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b/>
                <w:noProof/>
                <w:color w:val="000000" w:themeColor="text1"/>
                <w:sz w:val="16"/>
                <w:szCs w:val="16"/>
              </w:rPr>
            </w:pPr>
          </w:p>
        </w:tc>
        <w:tc>
          <w:tcPr>
            <w:tcW w:w="1080" w:type="dxa"/>
            <w:vAlign w:val="center"/>
          </w:tcPr>
          <w:p>
            <w:pPr>
              <w:spacing w:before="60" w:after="60" w:line="200" w:lineRule="exact"/>
              <w:jc w:val="right"/>
              <w:rPr>
                <w:b/>
                <w:noProof/>
                <w:color w:val="000000" w:themeColor="text1"/>
                <w:sz w:val="16"/>
                <w:szCs w:val="16"/>
              </w:rPr>
            </w:pPr>
          </w:p>
        </w:tc>
      </w:tr>
      <w:tr>
        <w:trPr>
          <w:trHeight w:val="585"/>
        </w:trPr>
        <w:tc>
          <w:tcPr>
            <w:tcW w:w="1980" w:type="dxa"/>
            <w:vAlign w:val="center"/>
          </w:tcPr>
          <w:p>
            <w:pPr>
              <w:spacing w:before="60" w:after="60" w:line="200" w:lineRule="exact"/>
              <w:ind w:left="72"/>
              <w:jc w:val="left"/>
              <w:rPr>
                <w:noProof/>
                <w:color w:val="000000" w:themeColor="text1"/>
                <w:sz w:val="16"/>
                <w:szCs w:val="16"/>
              </w:rPr>
            </w:pPr>
            <w:r>
              <w:rPr>
                <w:noProof/>
                <w:color w:val="000000" w:themeColor="text1"/>
                <w:sz w:val="16"/>
              </w:rPr>
              <w:t xml:space="preserve">Menneskelige ressourcer </w:t>
            </w: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b/>
                <w:noProof/>
                <w:color w:val="000000" w:themeColor="text1"/>
                <w:sz w:val="16"/>
                <w:szCs w:val="16"/>
              </w:rPr>
            </w:pPr>
          </w:p>
        </w:tc>
        <w:tc>
          <w:tcPr>
            <w:tcW w:w="1080" w:type="dxa"/>
            <w:vAlign w:val="center"/>
          </w:tcPr>
          <w:p>
            <w:pPr>
              <w:spacing w:before="60" w:after="60" w:line="200" w:lineRule="exact"/>
              <w:jc w:val="right"/>
              <w:rPr>
                <w:b/>
                <w:noProof/>
                <w:color w:val="000000" w:themeColor="text1"/>
                <w:sz w:val="16"/>
                <w:szCs w:val="16"/>
              </w:rPr>
            </w:pPr>
          </w:p>
        </w:tc>
      </w:tr>
      <w:tr>
        <w:trPr>
          <w:trHeight w:val="585"/>
        </w:trPr>
        <w:tc>
          <w:tcPr>
            <w:tcW w:w="1980" w:type="dxa"/>
            <w:vAlign w:val="center"/>
          </w:tcPr>
          <w:p>
            <w:pPr>
              <w:spacing w:before="60" w:after="60" w:line="200" w:lineRule="exact"/>
              <w:ind w:left="72"/>
              <w:jc w:val="left"/>
              <w:rPr>
                <w:noProof/>
                <w:color w:val="000000" w:themeColor="text1"/>
                <w:sz w:val="16"/>
                <w:szCs w:val="16"/>
              </w:rPr>
            </w:pPr>
            <w:r>
              <w:rPr>
                <w:noProof/>
                <w:color w:val="000000" w:themeColor="text1"/>
                <w:sz w:val="16"/>
              </w:rPr>
              <w:t>Andre administrations</w:t>
            </w:r>
            <w:r>
              <w:rPr>
                <w:noProof/>
                <w:color w:val="000000" w:themeColor="text1"/>
                <w:sz w:val="22"/>
              </w:rPr>
              <w:br/>
            </w:r>
            <w:r>
              <w:rPr>
                <w:noProof/>
                <w:color w:val="000000" w:themeColor="text1"/>
                <w:sz w:val="16"/>
              </w:rPr>
              <w:t>udgifter</w:t>
            </w: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b/>
                <w:noProof/>
                <w:color w:val="000000" w:themeColor="text1"/>
                <w:sz w:val="16"/>
                <w:szCs w:val="16"/>
              </w:rPr>
            </w:pPr>
          </w:p>
        </w:tc>
        <w:tc>
          <w:tcPr>
            <w:tcW w:w="1080" w:type="dxa"/>
            <w:vAlign w:val="center"/>
          </w:tcPr>
          <w:p>
            <w:pPr>
              <w:spacing w:before="60" w:after="60" w:line="200" w:lineRule="exact"/>
              <w:jc w:val="right"/>
              <w:rPr>
                <w:b/>
                <w:noProof/>
                <w:color w:val="000000" w:themeColor="text1"/>
                <w:sz w:val="16"/>
                <w:szCs w:val="16"/>
              </w:rPr>
            </w:pPr>
          </w:p>
        </w:tc>
      </w:tr>
      <w:tr>
        <w:trPr>
          <w:trHeight w:val="585"/>
        </w:trPr>
        <w:tc>
          <w:tcPr>
            <w:tcW w:w="1980" w:type="dxa"/>
            <w:shd w:val="clear" w:color="auto" w:fill="CCCCCC"/>
            <w:vAlign w:val="center"/>
          </w:tcPr>
          <w:p>
            <w:pPr>
              <w:spacing w:before="60" w:after="60" w:line="200" w:lineRule="exact"/>
              <w:jc w:val="center"/>
              <w:rPr>
                <w:b/>
                <w:noProof/>
                <w:color w:val="000000" w:themeColor="text1"/>
                <w:sz w:val="16"/>
                <w:szCs w:val="16"/>
              </w:rPr>
            </w:pPr>
            <w:r>
              <w:rPr>
                <w:b/>
                <w:noProof/>
                <w:color w:val="000000" w:themeColor="text1"/>
                <w:sz w:val="16"/>
              </w:rPr>
              <w:t xml:space="preserve">Subtotal </w:t>
            </w:r>
            <w:r>
              <w:rPr>
                <w:noProof/>
                <w:color w:val="000000" w:themeColor="text1"/>
                <w:sz w:val="22"/>
              </w:rPr>
              <w:br/>
            </w:r>
            <w:r>
              <w:rPr>
                <w:b/>
                <w:noProof/>
                <w:color w:val="000000" w:themeColor="text1"/>
                <w:sz w:val="16"/>
              </w:rPr>
              <w:t>uden for UDGIFTSOMRÅDE 5</w:t>
            </w:r>
            <w:r>
              <w:rPr>
                <w:noProof/>
                <w:color w:val="000000" w:themeColor="text1"/>
                <w:sz w:val="22"/>
              </w:rPr>
              <w:br/>
            </w:r>
            <w:r>
              <w:rPr>
                <w:b/>
                <w:noProof/>
                <w:color w:val="000000" w:themeColor="text1"/>
                <w:sz w:val="16"/>
              </w:rPr>
              <w:t xml:space="preserve">i den flerårige finansielle ramme </w:t>
            </w: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b/>
                <w:noProof/>
                <w:color w:val="000000" w:themeColor="text1"/>
                <w:sz w:val="16"/>
                <w:szCs w:val="16"/>
              </w:rPr>
            </w:pPr>
          </w:p>
        </w:tc>
        <w:tc>
          <w:tcPr>
            <w:tcW w:w="1080" w:type="dxa"/>
            <w:vAlign w:val="center"/>
          </w:tcPr>
          <w:p>
            <w:pPr>
              <w:spacing w:before="60" w:after="60" w:line="200" w:lineRule="exact"/>
              <w:jc w:val="right"/>
              <w:rPr>
                <w:b/>
                <w:noProof/>
                <w:color w:val="000000" w:themeColor="text1"/>
                <w:sz w:val="16"/>
                <w:szCs w:val="16"/>
              </w:rPr>
            </w:pPr>
          </w:p>
        </w:tc>
      </w:tr>
    </w:tbl>
    <w:p>
      <w:pPr>
        <w:spacing w:line="200" w:lineRule="exact"/>
        <w:rPr>
          <w:noProof/>
          <w:color w:val="000000" w:themeColor="text1"/>
          <w:sz w:val="16"/>
          <w:szCs w:val="16"/>
        </w:rPr>
      </w:pPr>
    </w:p>
    <w:tbl>
      <w:tblPr>
        <w:tblW w:w="10620" w:type="dxa"/>
        <w:tblInd w:w="-612" w:type="dxa"/>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pPr>
              <w:spacing w:before="60" w:after="60" w:line="200" w:lineRule="exact"/>
              <w:jc w:val="center"/>
              <w:rPr>
                <w:noProof/>
                <w:color w:val="000000" w:themeColor="text1"/>
                <w:sz w:val="16"/>
                <w:szCs w:val="16"/>
              </w:rPr>
            </w:pPr>
            <w:r>
              <w:rPr>
                <w:b/>
                <w:noProof/>
                <w:color w:val="000000" w:themeColor="text1"/>
                <w:sz w:val="16"/>
              </w:rPr>
              <w:t>I ALT</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color w:val="000000" w:themeColor="text1"/>
                <w:sz w:val="16"/>
                <w:szCs w:val="16"/>
              </w:rPr>
            </w:pPr>
            <w:r>
              <w:rPr>
                <w:b/>
                <w:noProof/>
                <w:color w:val="000000" w:themeColor="text1"/>
                <w:sz w:val="16"/>
                <w:szCs w:val="16"/>
              </w:rPr>
              <w:t>p.m.</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color w:val="000000" w:themeColor="text1"/>
                <w:sz w:val="16"/>
                <w:szCs w:val="16"/>
              </w:rPr>
            </w:pPr>
            <w:r>
              <w:rPr>
                <w:b/>
                <w:noProof/>
                <w:color w:val="000000" w:themeColor="text1"/>
                <w:sz w:val="16"/>
                <w:szCs w:val="16"/>
              </w:rPr>
              <w:t>p.m.</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color w:val="000000" w:themeColor="text1"/>
                <w:sz w:val="16"/>
                <w:szCs w:val="16"/>
              </w:rPr>
            </w:pPr>
            <w:r>
              <w:rPr>
                <w:b/>
                <w:noProof/>
                <w:color w:val="000000" w:themeColor="text1"/>
                <w:sz w:val="16"/>
                <w:szCs w:val="16"/>
              </w:rPr>
              <w:t>p.m.</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color w:val="000000" w:themeColor="text1"/>
                <w:sz w:val="16"/>
                <w:szCs w:val="16"/>
              </w:rPr>
            </w:pPr>
            <w:r>
              <w:rPr>
                <w:b/>
                <w:noProof/>
                <w:color w:val="000000" w:themeColor="text1"/>
                <w:sz w:val="16"/>
                <w:szCs w:val="16"/>
              </w:rPr>
              <w:t>p.m.</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color w:val="000000" w:themeColor="text1"/>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color w:val="000000" w:themeColor="text1"/>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color w:val="000000" w:themeColor="text1"/>
                <w:sz w:val="16"/>
                <w:szCs w:val="16"/>
              </w:rPr>
            </w:pPr>
          </w:p>
        </w:tc>
        <w:tc>
          <w:tcPr>
            <w:tcW w:w="1080" w:type="dxa"/>
            <w:tcBorders>
              <w:top w:val="single" w:sz="12" w:space="0" w:color="auto"/>
              <w:left w:val="single" w:sz="2" w:space="0" w:color="auto"/>
              <w:bottom w:val="single" w:sz="12" w:space="0" w:color="auto"/>
              <w:right w:val="single" w:sz="12" w:space="0" w:color="auto"/>
            </w:tcBorders>
            <w:vAlign w:val="center"/>
          </w:tcPr>
          <w:p>
            <w:pPr>
              <w:spacing w:before="60" w:after="60" w:line="200" w:lineRule="exact"/>
              <w:jc w:val="right"/>
              <w:rPr>
                <w:b/>
                <w:noProof/>
                <w:color w:val="000000" w:themeColor="text1"/>
                <w:sz w:val="16"/>
                <w:szCs w:val="16"/>
              </w:rPr>
            </w:pPr>
          </w:p>
        </w:tc>
      </w:tr>
    </w:tbl>
    <w:p>
      <w:pPr>
        <w:rPr>
          <w:noProof/>
          <w:color w:val="000000" w:themeColor="text1"/>
          <w:sz w:val="18"/>
        </w:rPr>
        <w:sectPr>
          <w:headerReference w:type="default" r:id="rId21"/>
          <w:footerReference w:type="default" r:id="rId22"/>
          <w:headerReference w:type="first" r:id="rId23"/>
          <w:footerReference w:type="first" r:id="rId24"/>
          <w:pgSz w:w="11907" w:h="16840"/>
          <w:pgMar w:top="1134" w:right="1418" w:bottom="1134" w:left="1418" w:header="709" w:footer="709" w:gutter="0"/>
          <w:cols w:space="708"/>
          <w:docGrid w:linePitch="360"/>
        </w:sectPr>
      </w:pPr>
      <w:r>
        <w:rPr>
          <w:noProof/>
          <w:color w:val="000000" w:themeColor="text1"/>
          <w:sz w:val="18"/>
        </w:rPr>
        <w:t>Bevillingerne til menneskelige ressourcer og andre administrationsudgifter vil blive dækket ved hjælp af de bevillinger, der i forvejen er afsat til GD'ets forvaltning af foranstaltningen, og/eller ved intern omfordeling i GD'et, eventuelt suppleret med yderligere bevillinger, som tildeles det ansvarlige generaldirektorat i forbindelse med den årlige tildelingsprocedure under hensyntagen til de budgetmæssige begrænsninger.</w:t>
      </w:r>
    </w:p>
    <w:p>
      <w:pPr>
        <w:pStyle w:val="ManualHeading4"/>
        <w:rPr>
          <w:bCs/>
          <w:noProof/>
          <w:szCs w:val="24"/>
        </w:rPr>
      </w:pPr>
      <w:r>
        <w:t>3.2.3.2.</w:t>
      </w:r>
      <w:r>
        <w:tab/>
      </w:r>
      <w:r>
        <w:rPr>
          <w:noProof/>
        </w:rPr>
        <w:t>Anslået behov for menneskelige ressourcer</w:t>
      </w:r>
    </w:p>
    <w:p>
      <w:pPr>
        <w:pStyle w:val="ListDash1"/>
        <w:rPr>
          <w:noProof/>
          <w:color w:val="000000" w:themeColor="text1"/>
        </w:rPr>
      </w:pPr>
      <w:r>
        <w:rPr>
          <w:noProof/>
          <w:color w:val="000000" w:themeColor="text1"/>
        </w:rPr>
        <w:sym w:font="Wingdings" w:char="F0A8"/>
      </w:r>
      <w:r>
        <w:rPr>
          <w:noProof/>
          <w:color w:val="000000" w:themeColor="text1"/>
        </w:rPr>
        <w:tab/>
        <w:t>Forslaget/initiativet medfører ikke anvendelse af menneskelige ressourcer.</w:t>
      </w:r>
    </w:p>
    <w:p>
      <w:pPr>
        <w:pStyle w:val="ListDash1"/>
        <w:rPr>
          <w:noProof/>
          <w:color w:val="000000" w:themeColor="text1"/>
        </w:rPr>
      </w:pPr>
      <w:r>
        <w:rPr>
          <w:noProof/>
          <w:color w:val="000000" w:themeColor="text1"/>
        </w:rPr>
        <w:t>X</w:t>
      </w:r>
      <w:r>
        <w:rPr>
          <w:noProof/>
          <w:color w:val="000000" w:themeColor="text1"/>
        </w:rPr>
        <w:tab/>
        <w:t>Forslaget/initiativet medfører anvendelse af menneskelige ressourcer som anført herunder:</w:t>
      </w:r>
    </w:p>
    <w:p>
      <w:pPr>
        <w:spacing w:after="60"/>
        <w:jc w:val="right"/>
        <w:rPr>
          <w:i/>
          <w:noProof/>
          <w:color w:val="000000" w:themeColor="text1"/>
          <w:sz w:val="20"/>
        </w:rPr>
      </w:pPr>
      <w:r>
        <w:rPr>
          <w:i/>
          <w:noProof/>
          <w:color w:val="000000" w:themeColor="text1"/>
          <w:sz w:val="20"/>
        </w:rPr>
        <w:t>Overslag angives i fuldtidsækvivalenter</w:t>
      </w:r>
    </w:p>
    <w:tbl>
      <w:tblPr>
        <w:tblW w:w="5544" w:type="pct"/>
        <w:jc w:val="center"/>
        <w:tblInd w:w="-226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2"/>
        <w:gridCol w:w="1952"/>
        <w:gridCol w:w="1954"/>
        <w:gridCol w:w="655"/>
        <w:gridCol w:w="655"/>
        <w:gridCol w:w="3894"/>
        <w:gridCol w:w="465"/>
        <w:gridCol w:w="237"/>
        <w:gridCol w:w="237"/>
        <w:gridCol w:w="236"/>
      </w:tblGrid>
      <w:tr>
        <w:trPr>
          <w:gridBefore w:val="1"/>
          <w:wBefore w:w="6" w:type="pct"/>
          <w:trHeight w:val="289"/>
          <w:jc w:val="center"/>
        </w:trPr>
        <w:tc>
          <w:tcPr>
            <w:tcW w:w="1897" w:type="pct"/>
            <w:gridSpan w:val="2"/>
            <w:shd w:val="clear" w:color="auto" w:fill="auto"/>
          </w:tcPr>
          <w:p>
            <w:pPr>
              <w:pStyle w:val="Text1"/>
              <w:spacing w:before="40" w:after="40"/>
              <w:ind w:left="0"/>
              <w:jc w:val="center"/>
              <w:rPr>
                <w:i/>
                <w:noProof/>
                <w:color w:val="000000" w:themeColor="text1"/>
                <w:sz w:val="16"/>
                <w:szCs w:val="16"/>
              </w:rPr>
            </w:pPr>
          </w:p>
        </w:tc>
        <w:tc>
          <w:tcPr>
            <w:tcW w:w="318" w:type="pct"/>
            <w:shd w:val="clear" w:color="auto" w:fill="auto"/>
            <w:vAlign w:val="center"/>
          </w:tcPr>
          <w:p>
            <w:pPr>
              <w:spacing w:before="20" w:after="20"/>
              <w:jc w:val="center"/>
              <w:rPr>
                <w:noProof/>
                <w:color w:val="000000" w:themeColor="text1"/>
                <w:sz w:val="16"/>
                <w:szCs w:val="16"/>
              </w:rPr>
            </w:pPr>
            <w:r>
              <w:rPr>
                <w:noProof/>
                <w:color w:val="000000" w:themeColor="text1"/>
                <w:sz w:val="16"/>
              </w:rPr>
              <w:t>År</w:t>
            </w:r>
            <w:r>
              <w:rPr>
                <w:noProof/>
                <w:color w:val="000000" w:themeColor="text1"/>
                <w:sz w:val="22"/>
              </w:rPr>
              <w:br/>
            </w:r>
            <w:r>
              <w:rPr>
                <w:b/>
                <w:noProof/>
                <w:color w:val="000000" w:themeColor="text1"/>
                <w:sz w:val="16"/>
              </w:rPr>
              <w:t>N</w:t>
            </w:r>
          </w:p>
        </w:tc>
        <w:tc>
          <w:tcPr>
            <w:tcW w:w="318" w:type="pct"/>
            <w:shd w:val="clear" w:color="auto" w:fill="auto"/>
            <w:vAlign w:val="center"/>
          </w:tcPr>
          <w:p>
            <w:pPr>
              <w:spacing w:before="20" w:after="20"/>
              <w:jc w:val="center"/>
              <w:rPr>
                <w:noProof/>
                <w:color w:val="000000" w:themeColor="text1"/>
                <w:sz w:val="16"/>
                <w:szCs w:val="16"/>
              </w:rPr>
            </w:pPr>
            <w:r>
              <w:rPr>
                <w:noProof/>
                <w:color w:val="000000" w:themeColor="text1"/>
                <w:sz w:val="16"/>
              </w:rPr>
              <w:t>År</w:t>
            </w:r>
            <w:r>
              <w:rPr>
                <w:noProof/>
                <w:color w:val="000000" w:themeColor="text1"/>
                <w:sz w:val="22"/>
              </w:rPr>
              <w:br/>
            </w:r>
            <w:r>
              <w:rPr>
                <w:b/>
                <w:noProof/>
                <w:color w:val="000000" w:themeColor="text1"/>
                <w:sz w:val="16"/>
              </w:rPr>
              <w:t>N+1</w:t>
            </w:r>
          </w:p>
        </w:tc>
        <w:tc>
          <w:tcPr>
            <w:tcW w:w="1891" w:type="pct"/>
            <w:shd w:val="clear" w:color="auto" w:fill="auto"/>
            <w:vAlign w:val="center"/>
          </w:tcPr>
          <w:p>
            <w:pPr>
              <w:spacing w:before="20" w:after="20"/>
              <w:jc w:val="center"/>
              <w:rPr>
                <w:noProof/>
                <w:color w:val="000000" w:themeColor="text1"/>
                <w:sz w:val="16"/>
                <w:szCs w:val="16"/>
              </w:rPr>
            </w:pPr>
            <w:r>
              <w:rPr>
                <w:noProof/>
                <w:color w:val="000000" w:themeColor="text1"/>
                <w:sz w:val="16"/>
                <w:szCs w:val="16"/>
              </w:rPr>
              <w:t xml:space="preserve">År </w:t>
            </w:r>
            <w:r>
              <w:rPr>
                <w:b/>
                <w:noProof/>
                <w:color w:val="000000" w:themeColor="text1"/>
                <w:sz w:val="16"/>
                <w:szCs w:val="16"/>
              </w:rPr>
              <w:t>N+2</w:t>
            </w:r>
          </w:p>
        </w:tc>
        <w:tc>
          <w:tcPr>
            <w:tcW w:w="226" w:type="pct"/>
            <w:shd w:val="clear" w:color="auto" w:fill="auto"/>
            <w:vAlign w:val="center"/>
          </w:tcPr>
          <w:p>
            <w:pPr>
              <w:spacing w:before="20" w:after="20"/>
              <w:jc w:val="center"/>
              <w:rPr>
                <w:noProof/>
                <w:color w:val="000000" w:themeColor="text1"/>
                <w:sz w:val="16"/>
                <w:szCs w:val="16"/>
              </w:rPr>
            </w:pPr>
            <w:r>
              <w:rPr>
                <w:noProof/>
                <w:color w:val="000000" w:themeColor="text1"/>
                <w:sz w:val="16"/>
                <w:szCs w:val="16"/>
              </w:rPr>
              <w:t xml:space="preserve">År </w:t>
            </w:r>
            <w:r>
              <w:rPr>
                <w:b/>
                <w:noProof/>
                <w:color w:val="000000" w:themeColor="text1"/>
                <w:sz w:val="16"/>
                <w:szCs w:val="16"/>
              </w:rPr>
              <w:t>N+3</w:t>
            </w:r>
          </w:p>
        </w:tc>
        <w:tc>
          <w:tcPr>
            <w:tcW w:w="345" w:type="pct"/>
            <w:gridSpan w:val="3"/>
            <w:shd w:val="clear" w:color="auto" w:fill="auto"/>
            <w:vAlign w:val="center"/>
          </w:tcPr>
          <w:p>
            <w:pPr>
              <w:jc w:val="center"/>
              <w:rPr>
                <w:b/>
                <w:noProof/>
                <w:color w:val="000000" w:themeColor="text1"/>
                <w:sz w:val="16"/>
                <w:szCs w:val="16"/>
              </w:rPr>
            </w:pPr>
            <w:r>
              <w:rPr>
                <w:noProof/>
                <w:color w:val="000000" w:themeColor="text1"/>
                <w:sz w:val="16"/>
              </w:rPr>
              <w:t>Der indsættes flere år, hvis virkningerne varer længere (jf. punkt 1.6)</w:t>
            </w:r>
          </w:p>
        </w:tc>
      </w:tr>
      <w:tr>
        <w:trPr>
          <w:gridBefore w:val="1"/>
          <w:wBefore w:w="6" w:type="pct"/>
          <w:trHeight w:val="289"/>
          <w:jc w:val="center"/>
        </w:trPr>
        <w:tc>
          <w:tcPr>
            <w:tcW w:w="4424" w:type="pct"/>
            <w:gridSpan w:val="5"/>
            <w:shd w:val="clear" w:color="auto" w:fill="auto"/>
          </w:tcPr>
          <w:p>
            <w:pPr>
              <w:spacing w:before="20" w:after="20"/>
              <w:rPr>
                <w:noProof/>
                <w:color w:val="000000" w:themeColor="text1"/>
                <w:sz w:val="16"/>
                <w:szCs w:val="16"/>
              </w:rPr>
            </w:pPr>
            <w:r>
              <w:rPr>
                <w:b/>
                <w:noProof/>
                <w:color w:val="000000" w:themeColor="text1"/>
                <w:sz w:val="16"/>
              </w:rPr>
              <w:sym w:font="Wingdings" w:char="F09F"/>
            </w:r>
            <w:r>
              <w:rPr>
                <w:noProof/>
              </w:rPr>
              <w:t xml:space="preserve"> </w:t>
            </w:r>
            <w:r>
              <w:rPr>
                <w:b/>
                <w:noProof/>
                <w:color w:val="000000" w:themeColor="text1"/>
                <w:sz w:val="16"/>
              </w:rPr>
              <w:t>Stillinger i stillingsfortegnelsen (tjenestemænd og/eller midlertidigt ansatte)</w:t>
            </w:r>
          </w:p>
        </w:tc>
        <w:tc>
          <w:tcPr>
            <w:tcW w:w="226" w:type="pct"/>
            <w:shd w:val="clear" w:color="auto" w:fill="auto"/>
            <w:vAlign w:val="center"/>
          </w:tcPr>
          <w:p>
            <w:pPr>
              <w:spacing w:before="20" w:after="20"/>
              <w:jc w:val="center"/>
              <w:rPr>
                <w:noProof/>
                <w:color w:val="000000" w:themeColor="text1"/>
                <w:sz w:val="16"/>
                <w:szCs w:val="16"/>
              </w:rPr>
            </w:pPr>
          </w:p>
        </w:tc>
        <w:tc>
          <w:tcPr>
            <w:tcW w:w="345" w:type="pct"/>
            <w:gridSpan w:val="3"/>
            <w:shd w:val="clear" w:color="auto" w:fill="auto"/>
            <w:vAlign w:val="center"/>
          </w:tcPr>
          <w:p>
            <w:pPr>
              <w:jc w:val="center"/>
              <w:rPr>
                <w:noProof/>
                <w:color w:val="000000" w:themeColor="text1"/>
                <w:sz w:val="16"/>
                <w:szCs w:val="16"/>
              </w:rPr>
            </w:pPr>
          </w:p>
        </w:tc>
      </w:tr>
      <w:tr>
        <w:trPr>
          <w:gridBefore w:val="1"/>
          <w:wBefore w:w="6" w:type="pct"/>
          <w:trHeight w:val="289"/>
          <w:jc w:val="center"/>
        </w:trPr>
        <w:tc>
          <w:tcPr>
            <w:tcW w:w="1897" w:type="pct"/>
            <w:gridSpan w:val="2"/>
            <w:shd w:val="clear" w:color="auto" w:fill="auto"/>
            <w:vAlign w:val="center"/>
          </w:tcPr>
          <w:p>
            <w:pPr>
              <w:pStyle w:val="Text1"/>
              <w:spacing w:beforeLines="20" w:before="48" w:afterLines="20" w:after="48"/>
              <w:ind w:left="134"/>
              <w:jc w:val="left"/>
              <w:rPr>
                <w:b/>
                <w:noProof/>
                <w:color w:val="000000" w:themeColor="text1"/>
                <w:sz w:val="16"/>
                <w:szCs w:val="16"/>
              </w:rPr>
            </w:pPr>
            <w:r>
              <w:rPr>
                <w:noProof/>
                <w:color w:val="000000" w:themeColor="text1"/>
                <w:sz w:val="16"/>
              </w:rPr>
              <w:t>XX 01 01 01 (i hovedsædet og i Kommissionens repræsentationskontorer)</w:t>
            </w:r>
          </w:p>
        </w:tc>
        <w:tc>
          <w:tcPr>
            <w:tcW w:w="318" w:type="pct"/>
            <w:shd w:val="clear" w:color="auto" w:fill="auto"/>
            <w:vAlign w:val="center"/>
          </w:tcPr>
          <w:p>
            <w:pPr>
              <w:spacing w:beforeLines="20" w:before="48" w:afterLines="20" w:after="48"/>
              <w:jc w:val="center"/>
              <w:rPr>
                <w:noProof/>
                <w:color w:val="000000" w:themeColor="text1"/>
                <w:sz w:val="16"/>
                <w:szCs w:val="16"/>
              </w:rPr>
            </w:pPr>
            <w:r>
              <w:rPr>
                <w:noProof/>
                <w:color w:val="000000" w:themeColor="text1"/>
                <w:sz w:val="16"/>
                <w:szCs w:val="16"/>
              </w:rPr>
              <w:t>1</w:t>
            </w:r>
          </w:p>
        </w:tc>
        <w:tc>
          <w:tcPr>
            <w:tcW w:w="318" w:type="pct"/>
            <w:shd w:val="clear" w:color="auto" w:fill="auto"/>
            <w:vAlign w:val="center"/>
          </w:tcPr>
          <w:p>
            <w:pPr>
              <w:spacing w:beforeLines="20" w:before="48" w:afterLines="20" w:after="48"/>
              <w:jc w:val="center"/>
              <w:rPr>
                <w:noProof/>
                <w:color w:val="000000" w:themeColor="text1"/>
                <w:sz w:val="16"/>
                <w:szCs w:val="16"/>
              </w:rPr>
            </w:pPr>
            <w:r>
              <w:rPr>
                <w:noProof/>
                <w:color w:val="000000" w:themeColor="text1"/>
                <w:sz w:val="16"/>
                <w:szCs w:val="16"/>
              </w:rPr>
              <w:t>1</w:t>
            </w:r>
          </w:p>
        </w:tc>
        <w:tc>
          <w:tcPr>
            <w:tcW w:w="1891" w:type="pct"/>
            <w:shd w:val="clear" w:color="auto" w:fill="auto"/>
            <w:vAlign w:val="center"/>
          </w:tcPr>
          <w:p>
            <w:pPr>
              <w:spacing w:beforeLines="20" w:before="48" w:afterLines="20" w:after="48"/>
              <w:jc w:val="center"/>
              <w:rPr>
                <w:noProof/>
                <w:color w:val="000000" w:themeColor="text1"/>
                <w:sz w:val="16"/>
                <w:szCs w:val="16"/>
              </w:rPr>
            </w:pPr>
            <w:r>
              <w:rPr>
                <w:noProof/>
                <w:color w:val="000000" w:themeColor="text1"/>
                <w:sz w:val="16"/>
                <w:szCs w:val="16"/>
              </w:rPr>
              <w:t>1</w:t>
            </w:r>
          </w:p>
        </w:tc>
        <w:tc>
          <w:tcPr>
            <w:tcW w:w="226" w:type="pct"/>
            <w:shd w:val="clear" w:color="auto" w:fill="auto"/>
            <w:vAlign w:val="center"/>
          </w:tcPr>
          <w:p>
            <w:pPr>
              <w:spacing w:beforeLines="20" w:before="48" w:afterLines="20" w:after="48"/>
              <w:jc w:val="center"/>
              <w:rPr>
                <w:noProof/>
                <w:color w:val="000000" w:themeColor="text1"/>
                <w:sz w:val="16"/>
                <w:szCs w:val="16"/>
              </w:rPr>
            </w:pPr>
          </w:p>
        </w:tc>
        <w:tc>
          <w:tcPr>
            <w:tcW w:w="115" w:type="pct"/>
            <w:shd w:val="clear" w:color="auto" w:fill="auto"/>
            <w:vAlign w:val="center"/>
          </w:tcPr>
          <w:p>
            <w:pPr>
              <w:spacing w:beforeLines="20" w:before="48" w:afterLines="20" w:after="48"/>
              <w:jc w:val="center"/>
              <w:rPr>
                <w:noProof/>
                <w:color w:val="000000" w:themeColor="text1"/>
                <w:sz w:val="16"/>
                <w:szCs w:val="16"/>
              </w:rPr>
            </w:pPr>
          </w:p>
        </w:tc>
        <w:tc>
          <w:tcPr>
            <w:tcW w:w="115" w:type="pct"/>
            <w:shd w:val="clear" w:color="auto" w:fill="auto"/>
            <w:vAlign w:val="center"/>
          </w:tcPr>
          <w:p>
            <w:pPr>
              <w:spacing w:beforeLines="20" w:before="48" w:afterLines="20" w:after="48"/>
              <w:jc w:val="center"/>
              <w:rPr>
                <w:noProof/>
                <w:color w:val="000000" w:themeColor="text1"/>
                <w:sz w:val="16"/>
                <w:szCs w:val="16"/>
              </w:rPr>
            </w:pPr>
          </w:p>
        </w:tc>
        <w:tc>
          <w:tcPr>
            <w:tcW w:w="115" w:type="pct"/>
            <w:shd w:val="clear" w:color="auto" w:fill="auto"/>
            <w:vAlign w:val="center"/>
          </w:tcPr>
          <w:p>
            <w:pPr>
              <w:spacing w:beforeLines="20" w:before="48" w:afterLines="20" w:after="48"/>
              <w:jc w:val="center"/>
              <w:rPr>
                <w:noProof/>
                <w:color w:val="000000" w:themeColor="text1"/>
                <w:sz w:val="16"/>
                <w:szCs w:val="16"/>
              </w:rPr>
            </w:pPr>
          </w:p>
        </w:tc>
      </w:tr>
      <w:tr>
        <w:trPr>
          <w:gridBefore w:val="1"/>
          <w:wBefore w:w="6" w:type="pct"/>
          <w:trHeight w:val="289"/>
          <w:jc w:val="center"/>
        </w:trPr>
        <w:tc>
          <w:tcPr>
            <w:tcW w:w="1897" w:type="pct"/>
            <w:gridSpan w:val="2"/>
            <w:shd w:val="clear" w:color="auto" w:fill="auto"/>
            <w:vAlign w:val="center"/>
          </w:tcPr>
          <w:p>
            <w:pPr>
              <w:pStyle w:val="Text1"/>
              <w:spacing w:beforeLines="20" w:before="48" w:afterLines="20" w:after="48"/>
              <w:ind w:left="134"/>
              <w:jc w:val="left"/>
              <w:rPr>
                <w:noProof/>
                <w:color w:val="000000" w:themeColor="text1"/>
                <w:sz w:val="16"/>
                <w:szCs w:val="16"/>
              </w:rPr>
            </w:pPr>
            <w:r>
              <w:rPr>
                <w:noProof/>
                <w:color w:val="000000" w:themeColor="text1"/>
                <w:sz w:val="16"/>
              </w:rPr>
              <w:t>XX 01 01 02 (i delegationer)</w:t>
            </w:r>
          </w:p>
        </w:tc>
        <w:tc>
          <w:tcPr>
            <w:tcW w:w="318" w:type="pct"/>
            <w:shd w:val="clear" w:color="auto" w:fill="auto"/>
            <w:vAlign w:val="center"/>
          </w:tcPr>
          <w:p>
            <w:pPr>
              <w:spacing w:beforeLines="20" w:before="48" w:afterLines="20" w:after="48"/>
              <w:jc w:val="center"/>
              <w:rPr>
                <w:noProof/>
                <w:color w:val="000000" w:themeColor="text1"/>
                <w:sz w:val="16"/>
                <w:szCs w:val="16"/>
              </w:rPr>
            </w:pPr>
          </w:p>
        </w:tc>
        <w:tc>
          <w:tcPr>
            <w:tcW w:w="318" w:type="pct"/>
            <w:shd w:val="clear" w:color="auto" w:fill="auto"/>
            <w:vAlign w:val="center"/>
          </w:tcPr>
          <w:p>
            <w:pPr>
              <w:spacing w:beforeLines="20" w:before="48" w:afterLines="20" w:after="48"/>
              <w:jc w:val="center"/>
              <w:rPr>
                <w:noProof/>
                <w:color w:val="000000" w:themeColor="text1"/>
                <w:sz w:val="16"/>
                <w:szCs w:val="16"/>
              </w:rPr>
            </w:pPr>
          </w:p>
        </w:tc>
        <w:tc>
          <w:tcPr>
            <w:tcW w:w="1891" w:type="pct"/>
            <w:shd w:val="clear" w:color="auto" w:fill="auto"/>
            <w:vAlign w:val="center"/>
          </w:tcPr>
          <w:p>
            <w:pPr>
              <w:spacing w:beforeLines="20" w:before="48" w:afterLines="20" w:after="48"/>
              <w:jc w:val="center"/>
              <w:rPr>
                <w:noProof/>
                <w:color w:val="000000" w:themeColor="text1"/>
                <w:sz w:val="16"/>
                <w:szCs w:val="16"/>
              </w:rPr>
            </w:pPr>
          </w:p>
        </w:tc>
        <w:tc>
          <w:tcPr>
            <w:tcW w:w="226" w:type="pct"/>
            <w:shd w:val="clear" w:color="auto" w:fill="auto"/>
            <w:vAlign w:val="center"/>
          </w:tcPr>
          <w:p>
            <w:pPr>
              <w:spacing w:beforeLines="20" w:before="48" w:afterLines="20" w:after="48"/>
              <w:jc w:val="center"/>
              <w:rPr>
                <w:noProof/>
                <w:color w:val="000000" w:themeColor="text1"/>
                <w:sz w:val="16"/>
                <w:szCs w:val="16"/>
              </w:rPr>
            </w:pPr>
          </w:p>
        </w:tc>
        <w:tc>
          <w:tcPr>
            <w:tcW w:w="115" w:type="pct"/>
            <w:shd w:val="clear" w:color="auto" w:fill="auto"/>
            <w:vAlign w:val="center"/>
          </w:tcPr>
          <w:p>
            <w:pPr>
              <w:spacing w:beforeLines="20" w:before="48" w:afterLines="20" w:after="48"/>
              <w:jc w:val="center"/>
              <w:rPr>
                <w:noProof/>
                <w:color w:val="000000" w:themeColor="text1"/>
                <w:sz w:val="16"/>
                <w:szCs w:val="16"/>
              </w:rPr>
            </w:pPr>
          </w:p>
        </w:tc>
        <w:tc>
          <w:tcPr>
            <w:tcW w:w="115" w:type="pct"/>
            <w:shd w:val="clear" w:color="auto" w:fill="auto"/>
            <w:vAlign w:val="center"/>
          </w:tcPr>
          <w:p>
            <w:pPr>
              <w:spacing w:beforeLines="20" w:before="48" w:afterLines="20" w:after="48"/>
              <w:jc w:val="center"/>
              <w:rPr>
                <w:noProof/>
                <w:color w:val="000000" w:themeColor="text1"/>
                <w:sz w:val="16"/>
                <w:szCs w:val="16"/>
              </w:rPr>
            </w:pPr>
          </w:p>
        </w:tc>
        <w:tc>
          <w:tcPr>
            <w:tcW w:w="115" w:type="pct"/>
            <w:shd w:val="clear" w:color="auto" w:fill="auto"/>
            <w:vAlign w:val="center"/>
          </w:tcPr>
          <w:p>
            <w:pPr>
              <w:spacing w:beforeLines="20" w:before="48" w:afterLines="20" w:after="48"/>
              <w:jc w:val="center"/>
              <w:rPr>
                <w:noProof/>
                <w:color w:val="000000" w:themeColor="text1"/>
                <w:sz w:val="16"/>
                <w:szCs w:val="16"/>
              </w:rPr>
            </w:pPr>
          </w:p>
        </w:tc>
      </w:tr>
      <w:tr>
        <w:trPr>
          <w:gridBefore w:val="1"/>
          <w:wBefore w:w="6" w:type="pct"/>
          <w:trHeight w:val="289"/>
          <w:jc w:val="center"/>
        </w:trPr>
        <w:tc>
          <w:tcPr>
            <w:tcW w:w="1897" w:type="pct"/>
            <w:gridSpan w:val="2"/>
            <w:shd w:val="clear" w:color="auto" w:fill="auto"/>
            <w:vAlign w:val="center"/>
          </w:tcPr>
          <w:p>
            <w:pPr>
              <w:pStyle w:val="Text1"/>
              <w:spacing w:beforeLines="20" w:before="48" w:afterLines="20" w:after="48"/>
              <w:ind w:left="134"/>
              <w:jc w:val="left"/>
              <w:rPr>
                <w:noProof/>
                <w:color w:val="000000" w:themeColor="text1"/>
                <w:sz w:val="16"/>
                <w:szCs w:val="16"/>
              </w:rPr>
            </w:pPr>
            <w:r>
              <w:rPr>
                <w:noProof/>
                <w:color w:val="000000" w:themeColor="text1"/>
                <w:sz w:val="16"/>
              </w:rPr>
              <w:t>XX 01 05 01 (indirekte forskning)</w:t>
            </w:r>
          </w:p>
        </w:tc>
        <w:tc>
          <w:tcPr>
            <w:tcW w:w="318" w:type="pct"/>
            <w:shd w:val="clear" w:color="auto" w:fill="auto"/>
            <w:vAlign w:val="center"/>
          </w:tcPr>
          <w:p>
            <w:pPr>
              <w:spacing w:beforeLines="20" w:before="48" w:afterLines="20" w:after="48"/>
              <w:jc w:val="center"/>
              <w:rPr>
                <w:noProof/>
                <w:color w:val="000000" w:themeColor="text1"/>
                <w:sz w:val="16"/>
                <w:szCs w:val="16"/>
              </w:rPr>
            </w:pPr>
          </w:p>
        </w:tc>
        <w:tc>
          <w:tcPr>
            <w:tcW w:w="318" w:type="pct"/>
            <w:shd w:val="clear" w:color="auto" w:fill="auto"/>
            <w:vAlign w:val="center"/>
          </w:tcPr>
          <w:p>
            <w:pPr>
              <w:spacing w:beforeLines="20" w:before="48" w:afterLines="20" w:after="48"/>
              <w:jc w:val="center"/>
              <w:rPr>
                <w:noProof/>
                <w:color w:val="000000" w:themeColor="text1"/>
                <w:sz w:val="16"/>
                <w:szCs w:val="16"/>
              </w:rPr>
            </w:pPr>
          </w:p>
        </w:tc>
        <w:tc>
          <w:tcPr>
            <w:tcW w:w="1891" w:type="pct"/>
            <w:shd w:val="clear" w:color="auto" w:fill="auto"/>
            <w:vAlign w:val="center"/>
          </w:tcPr>
          <w:p>
            <w:pPr>
              <w:spacing w:beforeLines="20" w:before="48" w:afterLines="20" w:after="48"/>
              <w:jc w:val="center"/>
              <w:rPr>
                <w:noProof/>
                <w:color w:val="000000" w:themeColor="text1"/>
                <w:sz w:val="16"/>
                <w:szCs w:val="16"/>
              </w:rPr>
            </w:pPr>
          </w:p>
        </w:tc>
        <w:tc>
          <w:tcPr>
            <w:tcW w:w="226" w:type="pct"/>
            <w:shd w:val="clear" w:color="auto" w:fill="auto"/>
            <w:vAlign w:val="center"/>
          </w:tcPr>
          <w:p>
            <w:pPr>
              <w:spacing w:beforeLines="20" w:before="48" w:afterLines="20" w:after="48"/>
              <w:jc w:val="center"/>
              <w:rPr>
                <w:noProof/>
                <w:color w:val="000000" w:themeColor="text1"/>
                <w:sz w:val="16"/>
                <w:szCs w:val="16"/>
              </w:rPr>
            </w:pPr>
          </w:p>
        </w:tc>
        <w:tc>
          <w:tcPr>
            <w:tcW w:w="115" w:type="pct"/>
            <w:shd w:val="clear" w:color="auto" w:fill="auto"/>
            <w:vAlign w:val="center"/>
          </w:tcPr>
          <w:p>
            <w:pPr>
              <w:spacing w:beforeLines="20" w:before="48" w:afterLines="20" w:after="48"/>
              <w:jc w:val="center"/>
              <w:rPr>
                <w:noProof/>
                <w:color w:val="000000" w:themeColor="text1"/>
                <w:sz w:val="16"/>
                <w:szCs w:val="16"/>
              </w:rPr>
            </w:pPr>
          </w:p>
        </w:tc>
        <w:tc>
          <w:tcPr>
            <w:tcW w:w="115" w:type="pct"/>
            <w:shd w:val="clear" w:color="auto" w:fill="auto"/>
            <w:vAlign w:val="center"/>
          </w:tcPr>
          <w:p>
            <w:pPr>
              <w:spacing w:beforeLines="20" w:before="48" w:afterLines="20" w:after="48"/>
              <w:jc w:val="center"/>
              <w:rPr>
                <w:noProof/>
                <w:color w:val="000000" w:themeColor="text1"/>
                <w:sz w:val="16"/>
                <w:szCs w:val="16"/>
              </w:rPr>
            </w:pPr>
          </w:p>
        </w:tc>
        <w:tc>
          <w:tcPr>
            <w:tcW w:w="115" w:type="pct"/>
            <w:shd w:val="clear" w:color="auto" w:fill="auto"/>
            <w:vAlign w:val="center"/>
          </w:tcPr>
          <w:p>
            <w:pPr>
              <w:spacing w:beforeLines="20" w:before="48" w:afterLines="20" w:after="48"/>
              <w:jc w:val="center"/>
              <w:rPr>
                <w:noProof/>
                <w:color w:val="000000" w:themeColor="text1"/>
                <w:sz w:val="16"/>
                <w:szCs w:val="16"/>
              </w:rPr>
            </w:pPr>
          </w:p>
        </w:tc>
      </w:tr>
      <w:tr>
        <w:trPr>
          <w:gridBefore w:val="1"/>
          <w:wBefore w:w="6" w:type="pct"/>
          <w:trHeight w:val="289"/>
          <w:jc w:val="center"/>
        </w:trPr>
        <w:tc>
          <w:tcPr>
            <w:tcW w:w="1897" w:type="pct"/>
            <w:gridSpan w:val="2"/>
            <w:shd w:val="clear" w:color="auto" w:fill="auto"/>
            <w:vAlign w:val="center"/>
          </w:tcPr>
          <w:p>
            <w:pPr>
              <w:pStyle w:val="Text1"/>
              <w:spacing w:beforeLines="20" w:before="48" w:afterLines="20" w:after="48"/>
              <w:ind w:left="134"/>
              <w:jc w:val="left"/>
              <w:rPr>
                <w:noProof/>
                <w:color w:val="000000" w:themeColor="text1"/>
                <w:sz w:val="16"/>
                <w:szCs w:val="16"/>
              </w:rPr>
            </w:pPr>
            <w:r>
              <w:rPr>
                <w:noProof/>
                <w:color w:val="000000" w:themeColor="text1"/>
                <w:sz w:val="16"/>
              </w:rPr>
              <w:t>10 01 05 01 (direkte forskning)</w:t>
            </w:r>
          </w:p>
        </w:tc>
        <w:tc>
          <w:tcPr>
            <w:tcW w:w="318" w:type="pct"/>
            <w:shd w:val="clear" w:color="auto" w:fill="auto"/>
            <w:vAlign w:val="center"/>
          </w:tcPr>
          <w:p>
            <w:pPr>
              <w:spacing w:beforeLines="20" w:before="48" w:afterLines="20" w:after="48"/>
              <w:jc w:val="center"/>
              <w:rPr>
                <w:noProof/>
                <w:color w:val="000000" w:themeColor="text1"/>
                <w:sz w:val="16"/>
                <w:szCs w:val="16"/>
              </w:rPr>
            </w:pPr>
          </w:p>
        </w:tc>
        <w:tc>
          <w:tcPr>
            <w:tcW w:w="318" w:type="pct"/>
            <w:shd w:val="clear" w:color="auto" w:fill="auto"/>
            <w:vAlign w:val="center"/>
          </w:tcPr>
          <w:p>
            <w:pPr>
              <w:spacing w:beforeLines="20" w:before="48" w:afterLines="20" w:after="48"/>
              <w:jc w:val="center"/>
              <w:rPr>
                <w:noProof/>
                <w:color w:val="000000" w:themeColor="text1"/>
                <w:sz w:val="16"/>
                <w:szCs w:val="16"/>
              </w:rPr>
            </w:pPr>
          </w:p>
        </w:tc>
        <w:tc>
          <w:tcPr>
            <w:tcW w:w="1891" w:type="pct"/>
            <w:shd w:val="clear" w:color="auto" w:fill="auto"/>
            <w:vAlign w:val="center"/>
          </w:tcPr>
          <w:p>
            <w:pPr>
              <w:spacing w:beforeLines="20" w:before="48" w:afterLines="20" w:after="48"/>
              <w:jc w:val="center"/>
              <w:rPr>
                <w:noProof/>
                <w:color w:val="000000" w:themeColor="text1"/>
                <w:sz w:val="16"/>
                <w:szCs w:val="16"/>
              </w:rPr>
            </w:pPr>
          </w:p>
        </w:tc>
        <w:tc>
          <w:tcPr>
            <w:tcW w:w="226" w:type="pct"/>
            <w:shd w:val="clear" w:color="auto" w:fill="auto"/>
            <w:vAlign w:val="center"/>
          </w:tcPr>
          <w:p>
            <w:pPr>
              <w:spacing w:beforeLines="20" w:before="48" w:afterLines="20" w:after="48"/>
              <w:jc w:val="center"/>
              <w:rPr>
                <w:noProof/>
                <w:color w:val="000000" w:themeColor="text1"/>
                <w:sz w:val="16"/>
                <w:szCs w:val="16"/>
              </w:rPr>
            </w:pPr>
          </w:p>
        </w:tc>
        <w:tc>
          <w:tcPr>
            <w:tcW w:w="115" w:type="pct"/>
            <w:shd w:val="clear" w:color="auto" w:fill="auto"/>
            <w:vAlign w:val="center"/>
          </w:tcPr>
          <w:p>
            <w:pPr>
              <w:spacing w:beforeLines="20" w:before="48" w:afterLines="20" w:after="48"/>
              <w:jc w:val="center"/>
              <w:rPr>
                <w:noProof/>
                <w:color w:val="000000" w:themeColor="text1"/>
                <w:sz w:val="16"/>
                <w:szCs w:val="16"/>
              </w:rPr>
            </w:pPr>
          </w:p>
        </w:tc>
        <w:tc>
          <w:tcPr>
            <w:tcW w:w="115" w:type="pct"/>
            <w:shd w:val="clear" w:color="auto" w:fill="auto"/>
            <w:vAlign w:val="center"/>
          </w:tcPr>
          <w:p>
            <w:pPr>
              <w:spacing w:beforeLines="20" w:before="48" w:afterLines="20" w:after="48"/>
              <w:jc w:val="center"/>
              <w:rPr>
                <w:noProof/>
                <w:color w:val="000000" w:themeColor="text1"/>
                <w:sz w:val="16"/>
                <w:szCs w:val="16"/>
              </w:rPr>
            </w:pPr>
          </w:p>
        </w:tc>
        <w:tc>
          <w:tcPr>
            <w:tcW w:w="115" w:type="pct"/>
            <w:shd w:val="clear" w:color="auto" w:fill="auto"/>
            <w:vAlign w:val="center"/>
          </w:tcPr>
          <w:p>
            <w:pPr>
              <w:spacing w:beforeLines="20" w:before="48" w:afterLines="20" w:after="48"/>
              <w:jc w:val="center"/>
              <w:rPr>
                <w:noProof/>
                <w:color w:val="000000" w:themeColor="text1"/>
                <w:sz w:val="16"/>
                <w:szCs w:val="16"/>
              </w:rPr>
            </w:pPr>
          </w:p>
        </w:tc>
      </w:tr>
      <w:tr>
        <w:trPr>
          <w:gridAfter w:val="4"/>
          <w:wAfter w:w="570" w:type="pct"/>
          <w:trHeight w:val="248"/>
          <w:jc w:val="center"/>
        </w:trPr>
        <w:tc>
          <w:tcPr>
            <w:tcW w:w="4430" w:type="pct"/>
            <w:gridSpan w:val="6"/>
            <w:shd w:val="clear" w:color="auto" w:fill="auto"/>
            <w:vAlign w:val="center"/>
          </w:tcPr>
          <w:p>
            <w:pPr>
              <w:pStyle w:val="Text1"/>
              <w:spacing w:before="60" w:after="60"/>
              <w:ind w:left="0"/>
              <w:jc w:val="left"/>
              <w:rPr>
                <w:b/>
                <w:noProof/>
                <w:color w:val="000000" w:themeColor="text1"/>
                <w:sz w:val="16"/>
                <w:szCs w:val="16"/>
              </w:rPr>
            </w:pPr>
            <w:r>
              <w:rPr>
                <w:b/>
                <w:noProof/>
                <w:color w:val="000000" w:themeColor="text1"/>
                <w:sz w:val="16"/>
              </w:rPr>
              <w:sym w:font="Wingdings" w:char="F09F"/>
            </w:r>
            <w:r>
              <w:rPr>
                <w:b/>
                <w:noProof/>
                <w:color w:val="000000" w:themeColor="text1"/>
                <w:sz w:val="16"/>
              </w:rPr>
              <w:t>Eksternt personale (i fuldtidsækvivalenter)</w:t>
            </w:r>
            <w:r>
              <w:rPr>
                <w:rStyle w:val="FootnoteReference"/>
                <w:b/>
                <w:noProof/>
                <w:color w:val="000000" w:themeColor="text1"/>
                <w:sz w:val="16"/>
              </w:rPr>
              <w:footnoteReference w:id="40"/>
            </w:r>
            <w:r>
              <w:rPr>
                <w:noProof/>
              </w:rPr>
              <w:t>:</w:t>
            </w:r>
          </w:p>
          <w:p>
            <w:pPr>
              <w:pStyle w:val="Text1"/>
              <w:spacing w:before="0" w:after="0"/>
              <w:ind w:left="0"/>
              <w:jc w:val="left"/>
              <w:rPr>
                <w:noProof/>
                <w:color w:val="000000" w:themeColor="text1"/>
                <w:sz w:val="16"/>
                <w:szCs w:val="16"/>
              </w:rPr>
            </w:pPr>
          </w:p>
        </w:tc>
      </w:tr>
      <w:tr>
        <w:trPr>
          <w:gridBefore w:val="1"/>
          <w:wBefore w:w="6" w:type="pct"/>
          <w:trHeight w:val="289"/>
          <w:jc w:val="center"/>
        </w:trPr>
        <w:tc>
          <w:tcPr>
            <w:tcW w:w="1897" w:type="pct"/>
            <w:gridSpan w:val="2"/>
            <w:shd w:val="clear" w:color="auto" w:fill="auto"/>
            <w:vAlign w:val="center"/>
          </w:tcPr>
          <w:p>
            <w:pPr>
              <w:pStyle w:val="Text1"/>
              <w:spacing w:beforeLines="20" w:before="48" w:afterLines="20" w:after="48"/>
              <w:ind w:left="136"/>
              <w:jc w:val="left"/>
              <w:rPr>
                <w:b/>
                <w:noProof/>
                <w:color w:val="000000" w:themeColor="text1"/>
                <w:sz w:val="16"/>
                <w:szCs w:val="16"/>
              </w:rPr>
            </w:pPr>
            <w:r>
              <w:rPr>
                <w:noProof/>
                <w:color w:val="000000" w:themeColor="text1"/>
                <w:sz w:val="16"/>
              </w:rPr>
              <w:t>XX 01 02 01 (KA, UNE, INT under den samlede bevillingsramme)</w:t>
            </w:r>
          </w:p>
        </w:tc>
        <w:tc>
          <w:tcPr>
            <w:tcW w:w="318" w:type="pct"/>
            <w:shd w:val="clear" w:color="auto" w:fill="auto"/>
            <w:vAlign w:val="center"/>
          </w:tcPr>
          <w:p>
            <w:pPr>
              <w:spacing w:beforeLines="20" w:before="48" w:afterLines="20" w:after="48"/>
              <w:jc w:val="center"/>
              <w:rPr>
                <w:noProof/>
                <w:color w:val="000000" w:themeColor="text1"/>
                <w:sz w:val="16"/>
                <w:szCs w:val="16"/>
              </w:rPr>
            </w:pPr>
          </w:p>
        </w:tc>
        <w:tc>
          <w:tcPr>
            <w:tcW w:w="318" w:type="pct"/>
            <w:shd w:val="clear" w:color="auto" w:fill="auto"/>
            <w:vAlign w:val="center"/>
          </w:tcPr>
          <w:p>
            <w:pPr>
              <w:spacing w:beforeLines="20" w:before="48" w:afterLines="20" w:after="48"/>
              <w:jc w:val="center"/>
              <w:rPr>
                <w:noProof/>
                <w:color w:val="000000" w:themeColor="text1"/>
                <w:sz w:val="16"/>
                <w:szCs w:val="16"/>
              </w:rPr>
            </w:pPr>
          </w:p>
        </w:tc>
        <w:tc>
          <w:tcPr>
            <w:tcW w:w="1891" w:type="pct"/>
            <w:shd w:val="clear" w:color="auto" w:fill="auto"/>
            <w:vAlign w:val="center"/>
          </w:tcPr>
          <w:p>
            <w:pPr>
              <w:spacing w:beforeLines="20" w:before="48" w:afterLines="20" w:after="48"/>
              <w:jc w:val="center"/>
              <w:rPr>
                <w:noProof/>
                <w:color w:val="000000" w:themeColor="text1"/>
                <w:sz w:val="16"/>
                <w:szCs w:val="16"/>
              </w:rPr>
            </w:pPr>
          </w:p>
        </w:tc>
        <w:tc>
          <w:tcPr>
            <w:tcW w:w="226" w:type="pct"/>
            <w:shd w:val="clear" w:color="auto" w:fill="auto"/>
            <w:vAlign w:val="center"/>
          </w:tcPr>
          <w:p>
            <w:pPr>
              <w:spacing w:beforeLines="20" w:before="48" w:afterLines="20" w:after="48"/>
              <w:jc w:val="center"/>
              <w:rPr>
                <w:noProof/>
                <w:color w:val="000000" w:themeColor="text1"/>
                <w:sz w:val="16"/>
                <w:szCs w:val="16"/>
              </w:rPr>
            </w:pPr>
          </w:p>
        </w:tc>
        <w:tc>
          <w:tcPr>
            <w:tcW w:w="115" w:type="pct"/>
            <w:shd w:val="clear" w:color="auto" w:fill="auto"/>
            <w:vAlign w:val="center"/>
          </w:tcPr>
          <w:p>
            <w:pPr>
              <w:spacing w:beforeLines="20" w:before="48" w:afterLines="20" w:after="48"/>
              <w:jc w:val="center"/>
              <w:rPr>
                <w:noProof/>
                <w:color w:val="000000" w:themeColor="text1"/>
                <w:sz w:val="16"/>
                <w:szCs w:val="16"/>
              </w:rPr>
            </w:pPr>
          </w:p>
        </w:tc>
        <w:tc>
          <w:tcPr>
            <w:tcW w:w="115" w:type="pct"/>
            <w:shd w:val="clear" w:color="auto" w:fill="auto"/>
            <w:vAlign w:val="center"/>
          </w:tcPr>
          <w:p>
            <w:pPr>
              <w:spacing w:beforeLines="20" w:before="48" w:afterLines="20" w:after="48"/>
              <w:jc w:val="center"/>
              <w:rPr>
                <w:noProof/>
                <w:color w:val="000000" w:themeColor="text1"/>
                <w:sz w:val="16"/>
                <w:szCs w:val="16"/>
              </w:rPr>
            </w:pPr>
          </w:p>
        </w:tc>
        <w:tc>
          <w:tcPr>
            <w:tcW w:w="115" w:type="pct"/>
            <w:shd w:val="clear" w:color="auto" w:fill="auto"/>
            <w:vAlign w:val="center"/>
          </w:tcPr>
          <w:p>
            <w:pPr>
              <w:spacing w:beforeLines="20" w:before="48" w:afterLines="20" w:after="48"/>
              <w:jc w:val="center"/>
              <w:rPr>
                <w:noProof/>
                <w:color w:val="000000" w:themeColor="text1"/>
                <w:sz w:val="16"/>
                <w:szCs w:val="16"/>
              </w:rPr>
            </w:pPr>
          </w:p>
        </w:tc>
      </w:tr>
      <w:tr>
        <w:trPr>
          <w:gridBefore w:val="1"/>
          <w:wBefore w:w="6" w:type="pct"/>
          <w:trHeight w:val="289"/>
          <w:jc w:val="center"/>
        </w:trPr>
        <w:tc>
          <w:tcPr>
            <w:tcW w:w="1897" w:type="pct"/>
            <w:gridSpan w:val="2"/>
            <w:shd w:val="clear" w:color="auto" w:fill="auto"/>
            <w:vAlign w:val="center"/>
          </w:tcPr>
          <w:p>
            <w:pPr>
              <w:pStyle w:val="Text1"/>
              <w:spacing w:beforeLines="20" w:before="48" w:afterLines="20" w:after="48"/>
              <w:ind w:left="136"/>
              <w:jc w:val="left"/>
              <w:rPr>
                <w:noProof/>
                <w:color w:val="000000" w:themeColor="text1"/>
                <w:sz w:val="16"/>
                <w:szCs w:val="16"/>
              </w:rPr>
            </w:pPr>
            <w:r>
              <w:rPr>
                <w:noProof/>
                <w:color w:val="000000" w:themeColor="text1"/>
                <w:sz w:val="16"/>
              </w:rPr>
              <w:t>XX 01 02 02 (KA, LA, UNE, INT og JED i delegationerne)</w:t>
            </w:r>
          </w:p>
        </w:tc>
        <w:tc>
          <w:tcPr>
            <w:tcW w:w="318" w:type="pct"/>
            <w:shd w:val="clear" w:color="auto" w:fill="auto"/>
            <w:vAlign w:val="center"/>
          </w:tcPr>
          <w:p>
            <w:pPr>
              <w:spacing w:beforeLines="20" w:before="48" w:afterLines="20" w:after="48"/>
              <w:jc w:val="center"/>
              <w:rPr>
                <w:noProof/>
                <w:color w:val="000000" w:themeColor="text1"/>
                <w:sz w:val="16"/>
                <w:szCs w:val="16"/>
              </w:rPr>
            </w:pPr>
          </w:p>
        </w:tc>
        <w:tc>
          <w:tcPr>
            <w:tcW w:w="318" w:type="pct"/>
            <w:shd w:val="clear" w:color="auto" w:fill="auto"/>
            <w:vAlign w:val="center"/>
          </w:tcPr>
          <w:p>
            <w:pPr>
              <w:spacing w:beforeLines="20" w:before="48" w:afterLines="20" w:after="48"/>
              <w:jc w:val="center"/>
              <w:rPr>
                <w:noProof/>
                <w:color w:val="000000" w:themeColor="text1"/>
                <w:sz w:val="16"/>
                <w:szCs w:val="16"/>
              </w:rPr>
            </w:pPr>
          </w:p>
        </w:tc>
        <w:tc>
          <w:tcPr>
            <w:tcW w:w="1891" w:type="pct"/>
            <w:shd w:val="clear" w:color="auto" w:fill="auto"/>
            <w:vAlign w:val="center"/>
          </w:tcPr>
          <w:p>
            <w:pPr>
              <w:spacing w:beforeLines="20" w:before="48" w:afterLines="20" w:after="48"/>
              <w:jc w:val="center"/>
              <w:rPr>
                <w:noProof/>
                <w:color w:val="000000" w:themeColor="text1"/>
                <w:sz w:val="16"/>
                <w:szCs w:val="16"/>
              </w:rPr>
            </w:pPr>
          </w:p>
        </w:tc>
        <w:tc>
          <w:tcPr>
            <w:tcW w:w="226" w:type="pct"/>
            <w:shd w:val="clear" w:color="auto" w:fill="auto"/>
            <w:vAlign w:val="center"/>
          </w:tcPr>
          <w:p>
            <w:pPr>
              <w:spacing w:beforeLines="20" w:before="48" w:afterLines="20" w:after="48"/>
              <w:jc w:val="center"/>
              <w:rPr>
                <w:noProof/>
                <w:color w:val="000000" w:themeColor="text1"/>
                <w:sz w:val="16"/>
                <w:szCs w:val="16"/>
              </w:rPr>
            </w:pPr>
          </w:p>
        </w:tc>
        <w:tc>
          <w:tcPr>
            <w:tcW w:w="115" w:type="pct"/>
            <w:shd w:val="clear" w:color="auto" w:fill="auto"/>
            <w:vAlign w:val="center"/>
          </w:tcPr>
          <w:p>
            <w:pPr>
              <w:spacing w:beforeLines="20" w:before="48" w:afterLines="20" w:after="48"/>
              <w:jc w:val="center"/>
              <w:rPr>
                <w:noProof/>
                <w:color w:val="000000" w:themeColor="text1"/>
                <w:sz w:val="16"/>
                <w:szCs w:val="16"/>
              </w:rPr>
            </w:pPr>
          </w:p>
        </w:tc>
        <w:tc>
          <w:tcPr>
            <w:tcW w:w="115" w:type="pct"/>
            <w:shd w:val="clear" w:color="auto" w:fill="auto"/>
            <w:vAlign w:val="center"/>
          </w:tcPr>
          <w:p>
            <w:pPr>
              <w:spacing w:beforeLines="20" w:before="48" w:afterLines="20" w:after="48"/>
              <w:jc w:val="center"/>
              <w:rPr>
                <w:noProof/>
                <w:color w:val="000000" w:themeColor="text1"/>
                <w:sz w:val="16"/>
                <w:szCs w:val="16"/>
              </w:rPr>
            </w:pPr>
          </w:p>
        </w:tc>
        <w:tc>
          <w:tcPr>
            <w:tcW w:w="115" w:type="pct"/>
            <w:shd w:val="clear" w:color="auto" w:fill="auto"/>
            <w:vAlign w:val="center"/>
          </w:tcPr>
          <w:p>
            <w:pPr>
              <w:spacing w:beforeLines="20" w:before="48" w:afterLines="20" w:after="48"/>
              <w:jc w:val="center"/>
              <w:rPr>
                <w:noProof/>
                <w:color w:val="000000" w:themeColor="text1"/>
                <w:sz w:val="16"/>
                <w:szCs w:val="16"/>
              </w:rPr>
            </w:pPr>
          </w:p>
        </w:tc>
      </w:tr>
      <w:tr>
        <w:trPr>
          <w:gridBefore w:val="1"/>
          <w:wBefore w:w="6" w:type="pct"/>
          <w:trHeight w:val="289"/>
          <w:jc w:val="center"/>
        </w:trPr>
        <w:tc>
          <w:tcPr>
            <w:tcW w:w="948" w:type="pct"/>
            <w:vMerge w:val="restart"/>
            <w:shd w:val="clear" w:color="auto" w:fill="auto"/>
            <w:vAlign w:val="center"/>
          </w:tcPr>
          <w:p>
            <w:pPr>
              <w:pStyle w:val="Text1"/>
              <w:spacing w:beforeLines="20" w:before="48" w:afterLines="20" w:after="48"/>
              <w:ind w:left="136"/>
              <w:jc w:val="left"/>
              <w:rPr>
                <w:b/>
                <w:noProof/>
                <w:color w:val="000000" w:themeColor="text1"/>
                <w:sz w:val="16"/>
                <w:szCs w:val="16"/>
              </w:rPr>
            </w:pPr>
            <w:r>
              <w:rPr>
                <w:b/>
                <w:noProof/>
                <w:color w:val="000000" w:themeColor="text1"/>
                <w:sz w:val="16"/>
                <w:szCs w:val="16"/>
              </w:rPr>
              <w:t>XX</w:t>
            </w:r>
            <w:r>
              <w:rPr>
                <w:noProof/>
                <w:color w:val="000000" w:themeColor="text1"/>
                <w:sz w:val="16"/>
                <w:szCs w:val="16"/>
              </w:rPr>
              <w:t xml:space="preserve"> 01 04 </w:t>
            </w:r>
            <w:r>
              <w:rPr>
                <w:b/>
                <w:noProof/>
                <w:color w:val="000000" w:themeColor="text1"/>
                <w:sz w:val="16"/>
                <w:szCs w:val="16"/>
              </w:rPr>
              <w:t>yy</w:t>
            </w:r>
            <w:r>
              <w:rPr>
                <w:b/>
                <w:i/>
                <w:noProof/>
                <w:color w:val="000000" w:themeColor="text1"/>
                <w:sz w:val="16"/>
              </w:rPr>
              <w:t xml:space="preserve"> </w:t>
            </w:r>
            <w:r>
              <w:rPr>
                <w:rStyle w:val="FootnoteReference"/>
                <w:b/>
                <w:i/>
                <w:noProof/>
                <w:color w:val="000000" w:themeColor="text1"/>
                <w:sz w:val="16"/>
              </w:rPr>
              <w:footnoteReference w:id="41"/>
            </w:r>
          </w:p>
          <w:p>
            <w:pPr>
              <w:pStyle w:val="Text1"/>
              <w:spacing w:beforeLines="20" w:before="48" w:afterLines="20" w:after="48"/>
              <w:ind w:left="136"/>
              <w:jc w:val="left"/>
              <w:rPr>
                <w:b/>
                <w:noProof/>
                <w:color w:val="000000" w:themeColor="text1"/>
                <w:sz w:val="16"/>
                <w:szCs w:val="16"/>
              </w:rPr>
            </w:pPr>
          </w:p>
        </w:tc>
        <w:tc>
          <w:tcPr>
            <w:tcW w:w="949" w:type="pct"/>
            <w:shd w:val="clear" w:color="auto" w:fill="auto"/>
            <w:vAlign w:val="center"/>
          </w:tcPr>
          <w:p>
            <w:pPr>
              <w:pStyle w:val="Text1"/>
              <w:spacing w:beforeLines="20" w:before="48" w:afterLines="20" w:after="48"/>
              <w:ind w:left="136"/>
              <w:jc w:val="left"/>
              <w:rPr>
                <w:b/>
                <w:noProof/>
                <w:color w:val="000000" w:themeColor="text1"/>
                <w:sz w:val="16"/>
                <w:szCs w:val="16"/>
              </w:rPr>
            </w:pPr>
            <w:r>
              <w:rPr>
                <w:noProof/>
                <w:color w:val="000000" w:themeColor="text1"/>
                <w:sz w:val="16"/>
              </w:rPr>
              <w:t>- i hovedsædet</w:t>
            </w:r>
          </w:p>
          <w:p>
            <w:pPr>
              <w:pStyle w:val="Text1"/>
              <w:spacing w:beforeLines="20" w:before="48" w:afterLines="20" w:after="48"/>
              <w:ind w:left="136"/>
              <w:jc w:val="left"/>
              <w:rPr>
                <w:b/>
                <w:noProof/>
                <w:color w:val="000000" w:themeColor="text1"/>
                <w:sz w:val="16"/>
                <w:szCs w:val="16"/>
              </w:rPr>
            </w:pPr>
          </w:p>
        </w:tc>
        <w:tc>
          <w:tcPr>
            <w:tcW w:w="318" w:type="pct"/>
            <w:shd w:val="clear" w:color="auto" w:fill="auto"/>
            <w:vAlign w:val="center"/>
          </w:tcPr>
          <w:p>
            <w:pPr>
              <w:pStyle w:val="Text1"/>
              <w:spacing w:beforeLines="20" w:before="48" w:afterLines="20" w:after="48"/>
              <w:ind w:left="0"/>
              <w:rPr>
                <w:noProof/>
                <w:color w:val="000000" w:themeColor="text1"/>
                <w:sz w:val="16"/>
                <w:szCs w:val="16"/>
              </w:rPr>
            </w:pPr>
          </w:p>
        </w:tc>
        <w:tc>
          <w:tcPr>
            <w:tcW w:w="318" w:type="pct"/>
            <w:shd w:val="clear" w:color="auto" w:fill="auto"/>
            <w:vAlign w:val="center"/>
          </w:tcPr>
          <w:p>
            <w:pPr>
              <w:spacing w:beforeLines="20" w:before="48" w:afterLines="20" w:after="48"/>
              <w:jc w:val="center"/>
              <w:rPr>
                <w:noProof/>
                <w:color w:val="000000" w:themeColor="text1"/>
                <w:sz w:val="16"/>
                <w:szCs w:val="16"/>
              </w:rPr>
            </w:pPr>
          </w:p>
        </w:tc>
        <w:tc>
          <w:tcPr>
            <w:tcW w:w="1891" w:type="pct"/>
            <w:shd w:val="clear" w:color="auto" w:fill="auto"/>
            <w:vAlign w:val="center"/>
          </w:tcPr>
          <w:p>
            <w:pPr>
              <w:spacing w:beforeLines="20" w:before="48" w:afterLines="20" w:after="48"/>
              <w:jc w:val="center"/>
              <w:rPr>
                <w:noProof/>
                <w:color w:val="000000" w:themeColor="text1"/>
                <w:sz w:val="16"/>
                <w:szCs w:val="16"/>
              </w:rPr>
            </w:pPr>
          </w:p>
        </w:tc>
        <w:tc>
          <w:tcPr>
            <w:tcW w:w="226" w:type="pct"/>
            <w:shd w:val="clear" w:color="auto" w:fill="auto"/>
            <w:vAlign w:val="center"/>
          </w:tcPr>
          <w:p>
            <w:pPr>
              <w:spacing w:beforeLines="20" w:before="48" w:afterLines="20" w:after="48"/>
              <w:jc w:val="center"/>
              <w:rPr>
                <w:noProof/>
                <w:color w:val="000000" w:themeColor="text1"/>
                <w:sz w:val="16"/>
                <w:szCs w:val="16"/>
              </w:rPr>
            </w:pPr>
          </w:p>
        </w:tc>
        <w:tc>
          <w:tcPr>
            <w:tcW w:w="115" w:type="pct"/>
            <w:shd w:val="clear" w:color="auto" w:fill="auto"/>
            <w:vAlign w:val="center"/>
          </w:tcPr>
          <w:p>
            <w:pPr>
              <w:spacing w:beforeLines="20" w:before="48" w:afterLines="20" w:after="48"/>
              <w:jc w:val="center"/>
              <w:rPr>
                <w:noProof/>
                <w:color w:val="000000" w:themeColor="text1"/>
                <w:sz w:val="16"/>
                <w:szCs w:val="16"/>
              </w:rPr>
            </w:pPr>
          </w:p>
        </w:tc>
        <w:tc>
          <w:tcPr>
            <w:tcW w:w="115" w:type="pct"/>
            <w:shd w:val="clear" w:color="auto" w:fill="auto"/>
            <w:vAlign w:val="center"/>
          </w:tcPr>
          <w:p>
            <w:pPr>
              <w:spacing w:beforeLines="20" w:before="48" w:afterLines="20" w:after="48"/>
              <w:jc w:val="center"/>
              <w:rPr>
                <w:noProof/>
                <w:color w:val="000000" w:themeColor="text1"/>
                <w:sz w:val="16"/>
                <w:szCs w:val="16"/>
              </w:rPr>
            </w:pPr>
          </w:p>
        </w:tc>
        <w:tc>
          <w:tcPr>
            <w:tcW w:w="115" w:type="pct"/>
            <w:shd w:val="clear" w:color="auto" w:fill="auto"/>
            <w:vAlign w:val="center"/>
          </w:tcPr>
          <w:p>
            <w:pPr>
              <w:spacing w:beforeLines="20" w:before="48" w:afterLines="20" w:after="48"/>
              <w:jc w:val="center"/>
              <w:rPr>
                <w:noProof/>
                <w:color w:val="000000" w:themeColor="text1"/>
                <w:sz w:val="16"/>
                <w:szCs w:val="16"/>
              </w:rPr>
            </w:pPr>
          </w:p>
        </w:tc>
      </w:tr>
      <w:tr>
        <w:trPr>
          <w:gridBefore w:val="1"/>
          <w:wBefore w:w="6" w:type="pct"/>
          <w:trHeight w:val="289"/>
          <w:jc w:val="center"/>
        </w:trPr>
        <w:tc>
          <w:tcPr>
            <w:tcW w:w="948" w:type="pct"/>
            <w:vMerge/>
            <w:shd w:val="clear" w:color="auto" w:fill="auto"/>
            <w:vAlign w:val="center"/>
          </w:tcPr>
          <w:p>
            <w:pPr>
              <w:pStyle w:val="Text1"/>
              <w:spacing w:beforeLines="20" w:before="48" w:afterLines="20" w:after="48"/>
              <w:ind w:left="136"/>
              <w:jc w:val="left"/>
              <w:rPr>
                <w:b/>
                <w:noProof/>
                <w:color w:val="000000" w:themeColor="text1"/>
                <w:sz w:val="16"/>
                <w:szCs w:val="16"/>
              </w:rPr>
            </w:pPr>
          </w:p>
        </w:tc>
        <w:tc>
          <w:tcPr>
            <w:tcW w:w="949" w:type="pct"/>
            <w:shd w:val="clear" w:color="auto" w:fill="auto"/>
            <w:vAlign w:val="center"/>
          </w:tcPr>
          <w:p>
            <w:pPr>
              <w:pStyle w:val="Text1"/>
              <w:spacing w:beforeLines="20" w:before="48" w:afterLines="20" w:after="48"/>
              <w:ind w:left="136"/>
              <w:jc w:val="left"/>
              <w:rPr>
                <w:b/>
                <w:noProof/>
                <w:color w:val="000000" w:themeColor="text1"/>
                <w:sz w:val="16"/>
                <w:szCs w:val="16"/>
              </w:rPr>
            </w:pPr>
            <w:r>
              <w:rPr>
                <w:noProof/>
                <w:color w:val="000000" w:themeColor="text1"/>
                <w:sz w:val="16"/>
              </w:rPr>
              <w:t xml:space="preserve">- i delegationerne </w:t>
            </w:r>
          </w:p>
        </w:tc>
        <w:tc>
          <w:tcPr>
            <w:tcW w:w="318" w:type="pct"/>
            <w:shd w:val="clear" w:color="auto" w:fill="auto"/>
            <w:vAlign w:val="center"/>
          </w:tcPr>
          <w:p>
            <w:pPr>
              <w:pStyle w:val="Text1"/>
              <w:spacing w:beforeLines="20" w:before="48" w:afterLines="20" w:after="48"/>
              <w:ind w:left="0"/>
              <w:rPr>
                <w:noProof/>
                <w:color w:val="000000" w:themeColor="text1"/>
                <w:sz w:val="16"/>
                <w:szCs w:val="16"/>
              </w:rPr>
            </w:pPr>
          </w:p>
        </w:tc>
        <w:tc>
          <w:tcPr>
            <w:tcW w:w="318" w:type="pct"/>
            <w:shd w:val="clear" w:color="auto" w:fill="auto"/>
            <w:vAlign w:val="center"/>
          </w:tcPr>
          <w:p>
            <w:pPr>
              <w:spacing w:beforeLines="20" w:before="48" w:afterLines="20" w:after="48"/>
              <w:jc w:val="center"/>
              <w:rPr>
                <w:noProof/>
                <w:color w:val="000000" w:themeColor="text1"/>
                <w:sz w:val="16"/>
                <w:szCs w:val="16"/>
              </w:rPr>
            </w:pPr>
          </w:p>
        </w:tc>
        <w:tc>
          <w:tcPr>
            <w:tcW w:w="1891" w:type="pct"/>
            <w:shd w:val="clear" w:color="auto" w:fill="auto"/>
            <w:vAlign w:val="center"/>
          </w:tcPr>
          <w:p>
            <w:pPr>
              <w:spacing w:beforeLines="20" w:before="48" w:afterLines="20" w:after="48"/>
              <w:jc w:val="center"/>
              <w:rPr>
                <w:noProof/>
                <w:color w:val="000000" w:themeColor="text1"/>
                <w:sz w:val="16"/>
                <w:szCs w:val="16"/>
              </w:rPr>
            </w:pPr>
          </w:p>
        </w:tc>
        <w:tc>
          <w:tcPr>
            <w:tcW w:w="226" w:type="pct"/>
            <w:shd w:val="clear" w:color="auto" w:fill="auto"/>
            <w:vAlign w:val="center"/>
          </w:tcPr>
          <w:p>
            <w:pPr>
              <w:spacing w:beforeLines="20" w:before="48" w:afterLines="20" w:after="48"/>
              <w:jc w:val="center"/>
              <w:rPr>
                <w:noProof/>
                <w:color w:val="000000" w:themeColor="text1"/>
                <w:sz w:val="16"/>
                <w:szCs w:val="16"/>
              </w:rPr>
            </w:pPr>
          </w:p>
        </w:tc>
        <w:tc>
          <w:tcPr>
            <w:tcW w:w="115" w:type="pct"/>
            <w:shd w:val="clear" w:color="auto" w:fill="auto"/>
            <w:vAlign w:val="center"/>
          </w:tcPr>
          <w:p>
            <w:pPr>
              <w:spacing w:beforeLines="20" w:before="48" w:afterLines="20" w:after="48"/>
              <w:jc w:val="center"/>
              <w:rPr>
                <w:noProof/>
                <w:color w:val="000000" w:themeColor="text1"/>
                <w:sz w:val="16"/>
                <w:szCs w:val="16"/>
              </w:rPr>
            </w:pPr>
          </w:p>
        </w:tc>
        <w:tc>
          <w:tcPr>
            <w:tcW w:w="115" w:type="pct"/>
            <w:shd w:val="clear" w:color="auto" w:fill="auto"/>
            <w:vAlign w:val="center"/>
          </w:tcPr>
          <w:p>
            <w:pPr>
              <w:spacing w:beforeLines="20" w:before="48" w:afterLines="20" w:after="48"/>
              <w:jc w:val="center"/>
              <w:rPr>
                <w:noProof/>
                <w:color w:val="000000" w:themeColor="text1"/>
                <w:sz w:val="16"/>
                <w:szCs w:val="16"/>
              </w:rPr>
            </w:pPr>
          </w:p>
        </w:tc>
        <w:tc>
          <w:tcPr>
            <w:tcW w:w="115" w:type="pct"/>
            <w:shd w:val="clear" w:color="auto" w:fill="auto"/>
            <w:vAlign w:val="center"/>
          </w:tcPr>
          <w:p>
            <w:pPr>
              <w:spacing w:beforeLines="20" w:before="48" w:afterLines="20" w:after="48"/>
              <w:jc w:val="center"/>
              <w:rPr>
                <w:noProof/>
                <w:color w:val="000000" w:themeColor="text1"/>
                <w:sz w:val="16"/>
                <w:szCs w:val="16"/>
              </w:rPr>
            </w:pPr>
          </w:p>
        </w:tc>
      </w:tr>
      <w:tr>
        <w:trPr>
          <w:gridBefore w:val="1"/>
          <w:wBefore w:w="6" w:type="pct"/>
          <w:trHeight w:val="289"/>
          <w:jc w:val="center"/>
        </w:trPr>
        <w:tc>
          <w:tcPr>
            <w:tcW w:w="1897" w:type="pct"/>
            <w:gridSpan w:val="2"/>
            <w:shd w:val="clear" w:color="auto" w:fill="auto"/>
            <w:vAlign w:val="center"/>
          </w:tcPr>
          <w:p>
            <w:pPr>
              <w:pStyle w:val="Text1"/>
              <w:spacing w:beforeLines="20" w:before="48" w:afterLines="20" w:after="48"/>
              <w:ind w:left="136"/>
              <w:jc w:val="left"/>
              <w:rPr>
                <w:noProof/>
                <w:color w:val="000000" w:themeColor="text1"/>
                <w:sz w:val="16"/>
                <w:szCs w:val="16"/>
              </w:rPr>
            </w:pPr>
            <w:r>
              <w:rPr>
                <w:b/>
                <w:noProof/>
                <w:color w:val="000000" w:themeColor="text1"/>
                <w:sz w:val="16"/>
                <w:szCs w:val="16"/>
              </w:rPr>
              <w:t>XX</w:t>
            </w:r>
            <w:r>
              <w:rPr>
                <w:noProof/>
                <w:color w:val="000000" w:themeColor="text1"/>
                <w:sz w:val="16"/>
                <w:szCs w:val="16"/>
              </w:rPr>
              <w:t xml:space="preserve"> 01 05 02 (KA, UNE, INT – indirekte forskning)</w:t>
            </w:r>
          </w:p>
        </w:tc>
        <w:tc>
          <w:tcPr>
            <w:tcW w:w="318" w:type="pct"/>
            <w:shd w:val="clear" w:color="auto" w:fill="auto"/>
            <w:vAlign w:val="center"/>
          </w:tcPr>
          <w:p>
            <w:pPr>
              <w:spacing w:beforeLines="20" w:before="48" w:afterLines="20" w:after="48"/>
              <w:jc w:val="center"/>
              <w:rPr>
                <w:noProof/>
                <w:color w:val="000000" w:themeColor="text1"/>
                <w:sz w:val="16"/>
                <w:szCs w:val="16"/>
              </w:rPr>
            </w:pPr>
          </w:p>
        </w:tc>
        <w:tc>
          <w:tcPr>
            <w:tcW w:w="318" w:type="pct"/>
            <w:shd w:val="clear" w:color="auto" w:fill="auto"/>
            <w:vAlign w:val="center"/>
          </w:tcPr>
          <w:p>
            <w:pPr>
              <w:spacing w:beforeLines="20" w:before="48" w:afterLines="20" w:after="48"/>
              <w:jc w:val="center"/>
              <w:rPr>
                <w:noProof/>
                <w:color w:val="000000" w:themeColor="text1"/>
                <w:sz w:val="16"/>
                <w:szCs w:val="16"/>
              </w:rPr>
            </w:pPr>
          </w:p>
        </w:tc>
        <w:tc>
          <w:tcPr>
            <w:tcW w:w="1891" w:type="pct"/>
            <w:shd w:val="clear" w:color="auto" w:fill="auto"/>
            <w:vAlign w:val="center"/>
          </w:tcPr>
          <w:p>
            <w:pPr>
              <w:spacing w:beforeLines="20" w:before="48" w:afterLines="20" w:after="48"/>
              <w:jc w:val="center"/>
              <w:rPr>
                <w:noProof/>
                <w:color w:val="000000" w:themeColor="text1"/>
                <w:sz w:val="16"/>
                <w:szCs w:val="16"/>
              </w:rPr>
            </w:pPr>
          </w:p>
        </w:tc>
        <w:tc>
          <w:tcPr>
            <w:tcW w:w="226" w:type="pct"/>
            <w:shd w:val="clear" w:color="auto" w:fill="auto"/>
            <w:vAlign w:val="center"/>
          </w:tcPr>
          <w:p>
            <w:pPr>
              <w:spacing w:beforeLines="20" w:before="48" w:afterLines="20" w:after="48"/>
              <w:jc w:val="center"/>
              <w:rPr>
                <w:noProof/>
                <w:color w:val="000000" w:themeColor="text1"/>
                <w:sz w:val="16"/>
                <w:szCs w:val="16"/>
              </w:rPr>
            </w:pPr>
          </w:p>
        </w:tc>
        <w:tc>
          <w:tcPr>
            <w:tcW w:w="115" w:type="pct"/>
            <w:shd w:val="clear" w:color="auto" w:fill="auto"/>
            <w:vAlign w:val="center"/>
          </w:tcPr>
          <w:p>
            <w:pPr>
              <w:spacing w:beforeLines="20" w:before="48" w:afterLines="20" w:after="48"/>
              <w:jc w:val="center"/>
              <w:rPr>
                <w:noProof/>
                <w:color w:val="000000" w:themeColor="text1"/>
                <w:sz w:val="16"/>
                <w:szCs w:val="16"/>
              </w:rPr>
            </w:pPr>
          </w:p>
        </w:tc>
        <w:tc>
          <w:tcPr>
            <w:tcW w:w="115" w:type="pct"/>
            <w:shd w:val="clear" w:color="auto" w:fill="auto"/>
            <w:vAlign w:val="center"/>
          </w:tcPr>
          <w:p>
            <w:pPr>
              <w:spacing w:beforeLines="20" w:before="48" w:afterLines="20" w:after="48"/>
              <w:jc w:val="center"/>
              <w:rPr>
                <w:noProof/>
                <w:color w:val="000000" w:themeColor="text1"/>
                <w:sz w:val="16"/>
                <w:szCs w:val="16"/>
              </w:rPr>
            </w:pPr>
          </w:p>
        </w:tc>
        <w:tc>
          <w:tcPr>
            <w:tcW w:w="115" w:type="pct"/>
            <w:shd w:val="clear" w:color="auto" w:fill="auto"/>
            <w:vAlign w:val="center"/>
          </w:tcPr>
          <w:p>
            <w:pPr>
              <w:spacing w:beforeLines="20" w:before="48" w:afterLines="20" w:after="48"/>
              <w:jc w:val="center"/>
              <w:rPr>
                <w:noProof/>
                <w:color w:val="000000" w:themeColor="text1"/>
                <w:sz w:val="16"/>
                <w:szCs w:val="16"/>
              </w:rPr>
            </w:pPr>
          </w:p>
        </w:tc>
      </w:tr>
      <w:tr>
        <w:trPr>
          <w:gridBefore w:val="1"/>
          <w:wBefore w:w="6" w:type="pct"/>
          <w:trHeight w:val="289"/>
          <w:jc w:val="center"/>
        </w:trPr>
        <w:tc>
          <w:tcPr>
            <w:tcW w:w="1897" w:type="pct"/>
            <w:gridSpan w:val="2"/>
            <w:shd w:val="clear" w:color="auto" w:fill="auto"/>
            <w:vAlign w:val="center"/>
          </w:tcPr>
          <w:p>
            <w:pPr>
              <w:pStyle w:val="Text1"/>
              <w:spacing w:beforeLines="20" w:before="48" w:afterLines="20" w:after="48"/>
              <w:ind w:left="136"/>
              <w:jc w:val="left"/>
              <w:rPr>
                <w:noProof/>
                <w:color w:val="000000" w:themeColor="text1"/>
                <w:sz w:val="16"/>
                <w:szCs w:val="16"/>
              </w:rPr>
            </w:pPr>
            <w:r>
              <w:rPr>
                <w:noProof/>
                <w:color w:val="000000" w:themeColor="text1"/>
                <w:sz w:val="16"/>
              </w:rPr>
              <w:t>10 01 05 02 (KA, UNE, INT - direkte forskning)</w:t>
            </w:r>
          </w:p>
        </w:tc>
        <w:tc>
          <w:tcPr>
            <w:tcW w:w="318" w:type="pct"/>
            <w:shd w:val="clear" w:color="auto" w:fill="auto"/>
            <w:vAlign w:val="center"/>
          </w:tcPr>
          <w:p>
            <w:pPr>
              <w:spacing w:beforeLines="20" w:before="48" w:afterLines="20" w:after="48"/>
              <w:jc w:val="center"/>
              <w:rPr>
                <w:noProof/>
                <w:color w:val="000000" w:themeColor="text1"/>
                <w:sz w:val="16"/>
                <w:szCs w:val="16"/>
              </w:rPr>
            </w:pPr>
          </w:p>
        </w:tc>
        <w:tc>
          <w:tcPr>
            <w:tcW w:w="318" w:type="pct"/>
            <w:shd w:val="clear" w:color="auto" w:fill="auto"/>
            <w:vAlign w:val="center"/>
          </w:tcPr>
          <w:p>
            <w:pPr>
              <w:spacing w:beforeLines="20" w:before="48" w:afterLines="20" w:after="48"/>
              <w:jc w:val="center"/>
              <w:rPr>
                <w:noProof/>
                <w:color w:val="000000" w:themeColor="text1"/>
                <w:sz w:val="16"/>
                <w:szCs w:val="16"/>
              </w:rPr>
            </w:pPr>
          </w:p>
        </w:tc>
        <w:tc>
          <w:tcPr>
            <w:tcW w:w="1891" w:type="pct"/>
            <w:shd w:val="clear" w:color="auto" w:fill="auto"/>
            <w:vAlign w:val="center"/>
          </w:tcPr>
          <w:p>
            <w:pPr>
              <w:spacing w:beforeLines="20" w:before="48" w:afterLines="20" w:after="48"/>
              <w:jc w:val="center"/>
              <w:rPr>
                <w:noProof/>
                <w:color w:val="000000" w:themeColor="text1"/>
                <w:sz w:val="16"/>
                <w:szCs w:val="16"/>
              </w:rPr>
            </w:pPr>
          </w:p>
        </w:tc>
        <w:tc>
          <w:tcPr>
            <w:tcW w:w="226" w:type="pct"/>
            <w:shd w:val="clear" w:color="auto" w:fill="auto"/>
            <w:vAlign w:val="center"/>
          </w:tcPr>
          <w:p>
            <w:pPr>
              <w:spacing w:beforeLines="20" w:before="48" w:afterLines="20" w:after="48"/>
              <w:jc w:val="center"/>
              <w:rPr>
                <w:noProof/>
                <w:color w:val="000000" w:themeColor="text1"/>
                <w:sz w:val="16"/>
                <w:szCs w:val="16"/>
              </w:rPr>
            </w:pPr>
          </w:p>
        </w:tc>
        <w:tc>
          <w:tcPr>
            <w:tcW w:w="115" w:type="pct"/>
            <w:shd w:val="clear" w:color="auto" w:fill="auto"/>
            <w:vAlign w:val="center"/>
          </w:tcPr>
          <w:p>
            <w:pPr>
              <w:spacing w:beforeLines="20" w:before="48" w:afterLines="20" w:after="48"/>
              <w:jc w:val="center"/>
              <w:rPr>
                <w:noProof/>
                <w:color w:val="000000" w:themeColor="text1"/>
                <w:sz w:val="16"/>
                <w:szCs w:val="16"/>
              </w:rPr>
            </w:pPr>
          </w:p>
        </w:tc>
        <w:tc>
          <w:tcPr>
            <w:tcW w:w="115" w:type="pct"/>
            <w:shd w:val="clear" w:color="auto" w:fill="auto"/>
            <w:vAlign w:val="center"/>
          </w:tcPr>
          <w:p>
            <w:pPr>
              <w:spacing w:beforeLines="20" w:before="48" w:afterLines="20" w:after="48"/>
              <w:jc w:val="center"/>
              <w:rPr>
                <w:noProof/>
                <w:color w:val="000000" w:themeColor="text1"/>
                <w:sz w:val="16"/>
                <w:szCs w:val="16"/>
              </w:rPr>
            </w:pPr>
          </w:p>
        </w:tc>
        <w:tc>
          <w:tcPr>
            <w:tcW w:w="115" w:type="pct"/>
            <w:shd w:val="clear" w:color="auto" w:fill="auto"/>
            <w:vAlign w:val="center"/>
          </w:tcPr>
          <w:p>
            <w:pPr>
              <w:spacing w:beforeLines="20" w:before="48" w:afterLines="20" w:after="48"/>
              <w:jc w:val="center"/>
              <w:rPr>
                <w:noProof/>
                <w:color w:val="000000" w:themeColor="text1"/>
                <w:sz w:val="16"/>
                <w:szCs w:val="16"/>
              </w:rPr>
            </w:pPr>
          </w:p>
        </w:tc>
      </w:tr>
      <w:tr>
        <w:trPr>
          <w:gridBefore w:val="1"/>
          <w:wBefore w:w="6" w:type="pct"/>
          <w:trHeight w:val="289"/>
          <w:jc w:val="center"/>
        </w:trPr>
        <w:tc>
          <w:tcPr>
            <w:tcW w:w="1897" w:type="pct"/>
            <w:gridSpan w:val="2"/>
            <w:tcBorders>
              <w:bottom w:val="double" w:sz="4" w:space="0" w:color="auto"/>
            </w:tcBorders>
            <w:shd w:val="clear" w:color="auto" w:fill="auto"/>
            <w:vAlign w:val="center"/>
          </w:tcPr>
          <w:p>
            <w:pPr>
              <w:pStyle w:val="Text1"/>
              <w:spacing w:beforeLines="20" w:before="48" w:afterLines="20" w:after="48"/>
              <w:ind w:left="134"/>
              <w:jc w:val="left"/>
              <w:rPr>
                <w:noProof/>
                <w:color w:val="000000" w:themeColor="text1"/>
                <w:sz w:val="16"/>
                <w:szCs w:val="16"/>
              </w:rPr>
            </w:pPr>
            <w:r>
              <w:rPr>
                <w:noProof/>
                <w:color w:val="000000" w:themeColor="text1"/>
                <w:sz w:val="16"/>
              </w:rPr>
              <w:t>Andre budgetposter (præcisér)</w:t>
            </w:r>
          </w:p>
        </w:tc>
        <w:tc>
          <w:tcPr>
            <w:tcW w:w="318" w:type="pct"/>
            <w:tcBorders>
              <w:bottom w:val="double" w:sz="4" w:space="0" w:color="auto"/>
            </w:tcBorders>
            <w:shd w:val="clear" w:color="auto" w:fill="auto"/>
            <w:vAlign w:val="center"/>
          </w:tcPr>
          <w:p>
            <w:pPr>
              <w:spacing w:beforeLines="20" w:before="48" w:afterLines="20" w:after="48"/>
              <w:jc w:val="center"/>
              <w:rPr>
                <w:noProof/>
                <w:color w:val="000000" w:themeColor="text1"/>
                <w:sz w:val="16"/>
                <w:szCs w:val="16"/>
              </w:rPr>
            </w:pPr>
          </w:p>
        </w:tc>
        <w:tc>
          <w:tcPr>
            <w:tcW w:w="318" w:type="pct"/>
            <w:tcBorders>
              <w:bottom w:val="double" w:sz="4" w:space="0" w:color="auto"/>
            </w:tcBorders>
            <w:shd w:val="clear" w:color="auto" w:fill="auto"/>
            <w:vAlign w:val="center"/>
          </w:tcPr>
          <w:p>
            <w:pPr>
              <w:spacing w:beforeLines="20" w:before="48" w:afterLines="20" w:after="48"/>
              <w:jc w:val="center"/>
              <w:rPr>
                <w:noProof/>
                <w:color w:val="000000" w:themeColor="text1"/>
                <w:sz w:val="16"/>
                <w:szCs w:val="16"/>
              </w:rPr>
            </w:pPr>
          </w:p>
        </w:tc>
        <w:tc>
          <w:tcPr>
            <w:tcW w:w="1891" w:type="pct"/>
            <w:tcBorders>
              <w:bottom w:val="double" w:sz="4" w:space="0" w:color="auto"/>
            </w:tcBorders>
            <w:shd w:val="clear" w:color="auto" w:fill="auto"/>
            <w:vAlign w:val="center"/>
          </w:tcPr>
          <w:p>
            <w:pPr>
              <w:spacing w:beforeLines="20" w:before="48" w:afterLines="20" w:after="48"/>
              <w:jc w:val="center"/>
              <w:rPr>
                <w:noProof/>
                <w:color w:val="000000" w:themeColor="text1"/>
                <w:sz w:val="16"/>
                <w:szCs w:val="16"/>
              </w:rPr>
            </w:pPr>
          </w:p>
        </w:tc>
        <w:tc>
          <w:tcPr>
            <w:tcW w:w="226" w:type="pct"/>
            <w:tcBorders>
              <w:bottom w:val="double" w:sz="4" w:space="0" w:color="auto"/>
            </w:tcBorders>
            <w:shd w:val="clear" w:color="auto" w:fill="auto"/>
            <w:vAlign w:val="center"/>
          </w:tcPr>
          <w:p>
            <w:pPr>
              <w:spacing w:beforeLines="20" w:before="48" w:afterLines="20" w:after="48"/>
              <w:jc w:val="center"/>
              <w:rPr>
                <w:noProof/>
                <w:color w:val="000000" w:themeColor="text1"/>
                <w:sz w:val="16"/>
                <w:szCs w:val="16"/>
              </w:rPr>
            </w:pPr>
          </w:p>
        </w:tc>
        <w:tc>
          <w:tcPr>
            <w:tcW w:w="115" w:type="pct"/>
            <w:tcBorders>
              <w:bottom w:val="double" w:sz="4" w:space="0" w:color="auto"/>
            </w:tcBorders>
            <w:shd w:val="clear" w:color="auto" w:fill="auto"/>
            <w:vAlign w:val="center"/>
          </w:tcPr>
          <w:p>
            <w:pPr>
              <w:spacing w:beforeLines="20" w:before="48" w:afterLines="20" w:after="48"/>
              <w:jc w:val="center"/>
              <w:rPr>
                <w:noProof/>
                <w:color w:val="000000" w:themeColor="text1"/>
                <w:sz w:val="16"/>
                <w:szCs w:val="16"/>
              </w:rPr>
            </w:pPr>
          </w:p>
        </w:tc>
        <w:tc>
          <w:tcPr>
            <w:tcW w:w="115" w:type="pct"/>
            <w:tcBorders>
              <w:bottom w:val="double" w:sz="4" w:space="0" w:color="auto"/>
            </w:tcBorders>
            <w:shd w:val="clear" w:color="auto" w:fill="auto"/>
            <w:vAlign w:val="center"/>
          </w:tcPr>
          <w:p>
            <w:pPr>
              <w:spacing w:beforeLines="20" w:before="48" w:afterLines="20" w:after="48"/>
              <w:jc w:val="center"/>
              <w:rPr>
                <w:noProof/>
                <w:color w:val="000000" w:themeColor="text1"/>
                <w:sz w:val="16"/>
                <w:szCs w:val="16"/>
              </w:rPr>
            </w:pPr>
          </w:p>
        </w:tc>
        <w:tc>
          <w:tcPr>
            <w:tcW w:w="115" w:type="pct"/>
            <w:tcBorders>
              <w:bottom w:val="double" w:sz="4" w:space="0" w:color="auto"/>
            </w:tcBorders>
            <w:shd w:val="clear" w:color="auto" w:fill="auto"/>
            <w:vAlign w:val="center"/>
          </w:tcPr>
          <w:p>
            <w:pPr>
              <w:spacing w:beforeLines="20" w:before="48" w:afterLines="20" w:after="48"/>
              <w:jc w:val="center"/>
              <w:rPr>
                <w:noProof/>
                <w:color w:val="000000" w:themeColor="text1"/>
                <w:sz w:val="16"/>
                <w:szCs w:val="16"/>
              </w:rPr>
            </w:pPr>
          </w:p>
        </w:tc>
      </w:tr>
      <w:tr>
        <w:trPr>
          <w:gridBefore w:val="1"/>
          <w:wBefore w:w="6" w:type="pct"/>
          <w:trHeight w:val="289"/>
          <w:jc w:val="center"/>
        </w:trPr>
        <w:tc>
          <w:tcPr>
            <w:tcW w:w="1897" w:type="pct"/>
            <w:gridSpan w:val="2"/>
            <w:tcBorders>
              <w:top w:val="double" w:sz="4" w:space="0" w:color="auto"/>
            </w:tcBorders>
            <w:shd w:val="clear" w:color="auto" w:fill="auto"/>
            <w:vAlign w:val="center"/>
          </w:tcPr>
          <w:p>
            <w:pPr>
              <w:pStyle w:val="Text1"/>
              <w:spacing w:beforeLines="20" w:before="48" w:afterLines="20" w:after="48"/>
              <w:ind w:left="136"/>
              <w:jc w:val="left"/>
              <w:rPr>
                <w:noProof/>
                <w:color w:val="000000" w:themeColor="text1"/>
                <w:sz w:val="16"/>
                <w:szCs w:val="16"/>
              </w:rPr>
            </w:pPr>
            <w:r>
              <w:rPr>
                <w:b/>
                <w:noProof/>
                <w:color w:val="000000" w:themeColor="text1"/>
                <w:sz w:val="16"/>
              </w:rPr>
              <w:t>I ALT</w:t>
            </w:r>
          </w:p>
        </w:tc>
        <w:tc>
          <w:tcPr>
            <w:tcW w:w="318" w:type="pct"/>
            <w:tcBorders>
              <w:top w:val="double" w:sz="4" w:space="0" w:color="auto"/>
            </w:tcBorders>
            <w:shd w:val="clear" w:color="auto" w:fill="auto"/>
            <w:vAlign w:val="center"/>
          </w:tcPr>
          <w:p>
            <w:pPr>
              <w:spacing w:beforeLines="20" w:before="48" w:afterLines="20" w:after="48"/>
              <w:jc w:val="center"/>
              <w:rPr>
                <w:b/>
                <w:noProof/>
                <w:color w:val="000000" w:themeColor="text1"/>
                <w:sz w:val="16"/>
                <w:szCs w:val="16"/>
              </w:rPr>
            </w:pPr>
            <w:r>
              <w:rPr>
                <w:b/>
                <w:noProof/>
                <w:color w:val="000000" w:themeColor="text1"/>
                <w:sz w:val="16"/>
                <w:szCs w:val="16"/>
              </w:rPr>
              <w:t>1</w:t>
            </w:r>
          </w:p>
        </w:tc>
        <w:tc>
          <w:tcPr>
            <w:tcW w:w="318" w:type="pct"/>
            <w:tcBorders>
              <w:top w:val="double" w:sz="4" w:space="0" w:color="auto"/>
            </w:tcBorders>
            <w:shd w:val="clear" w:color="auto" w:fill="auto"/>
            <w:vAlign w:val="center"/>
          </w:tcPr>
          <w:p>
            <w:pPr>
              <w:spacing w:beforeLines="20" w:before="48" w:afterLines="20" w:after="48"/>
              <w:jc w:val="center"/>
              <w:rPr>
                <w:b/>
                <w:noProof/>
                <w:color w:val="000000" w:themeColor="text1"/>
                <w:sz w:val="16"/>
                <w:szCs w:val="16"/>
              </w:rPr>
            </w:pPr>
            <w:r>
              <w:rPr>
                <w:b/>
                <w:noProof/>
                <w:color w:val="000000" w:themeColor="text1"/>
                <w:sz w:val="16"/>
                <w:szCs w:val="16"/>
              </w:rPr>
              <w:t>1</w:t>
            </w:r>
          </w:p>
        </w:tc>
        <w:tc>
          <w:tcPr>
            <w:tcW w:w="1891" w:type="pct"/>
            <w:tcBorders>
              <w:top w:val="double" w:sz="4" w:space="0" w:color="auto"/>
            </w:tcBorders>
            <w:shd w:val="clear" w:color="auto" w:fill="auto"/>
            <w:vAlign w:val="center"/>
          </w:tcPr>
          <w:p>
            <w:pPr>
              <w:spacing w:beforeLines="20" w:before="48" w:afterLines="20" w:after="48"/>
              <w:jc w:val="center"/>
              <w:rPr>
                <w:b/>
                <w:noProof/>
                <w:color w:val="000000" w:themeColor="text1"/>
                <w:sz w:val="16"/>
                <w:szCs w:val="16"/>
              </w:rPr>
            </w:pPr>
            <w:r>
              <w:rPr>
                <w:b/>
                <w:noProof/>
                <w:color w:val="000000" w:themeColor="text1"/>
                <w:sz w:val="16"/>
                <w:szCs w:val="16"/>
              </w:rPr>
              <w:t>1</w:t>
            </w:r>
          </w:p>
        </w:tc>
        <w:tc>
          <w:tcPr>
            <w:tcW w:w="226" w:type="pct"/>
            <w:tcBorders>
              <w:top w:val="double" w:sz="4" w:space="0" w:color="auto"/>
            </w:tcBorders>
            <w:shd w:val="clear" w:color="auto" w:fill="auto"/>
            <w:vAlign w:val="center"/>
          </w:tcPr>
          <w:p>
            <w:pPr>
              <w:spacing w:beforeLines="20" w:before="48" w:afterLines="20" w:after="48"/>
              <w:jc w:val="center"/>
              <w:rPr>
                <w:b/>
                <w:noProof/>
                <w:color w:val="000000" w:themeColor="text1"/>
                <w:sz w:val="16"/>
                <w:szCs w:val="16"/>
              </w:rPr>
            </w:pPr>
          </w:p>
        </w:tc>
        <w:tc>
          <w:tcPr>
            <w:tcW w:w="115" w:type="pct"/>
            <w:tcBorders>
              <w:top w:val="double" w:sz="4" w:space="0" w:color="auto"/>
            </w:tcBorders>
            <w:shd w:val="clear" w:color="auto" w:fill="auto"/>
            <w:vAlign w:val="center"/>
          </w:tcPr>
          <w:p>
            <w:pPr>
              <w:spacing w:beforeLines="20" w:before="48" w:afterLines="20" w:after="48"/>
              <w:jc w:val="center"/>
              <w:rPr>
                <w:b/>
                <w:noProof/>
                <w:color w:val="000000" w:themeColor="text1"/>
                <w:sz w:val="16"/>
                <w:szCs w:val="16"/>
              </w:rPr>
            </w:pPr>
          </w:p>
        </w:tc>
        <w:tc>
          <w:tcPr>
            <w:tcW w:w="115" w:type="pct"/>
            <w:tcBorders>
              <w:top w:val="double" w:sz="4" w:space="0" w:color="auto"/>
            </w:tcBorders>
            <w:shd w:val="clear" w:color="auto" w:fill="auto"/>
            <w:vAlign w:val="center"/>
          </w:tcPr>
          <w:p>
            <w:pPr>
              <w:spacing w:beforeLines="20" w:before="48" w:afterLines="20" w:after="48"/>
              <w:jc w:val="center"/>
              <w:rPr>
                <w:b/>
                <w:noProof/>
                <w:color w:val="000000" w:themeColor="text1"/>
                <w:sz w:val="16"/>
                <w:szCs w:val="16"/>
              </w:rPr>
            </w:pPr>
          </w:p>
        </w:tc>
        <w:tc>
          <w:tcPr>
            <w:tcW w:w="115" w:type="pct"/>
            <w:tcBorders>
              <w:top w:val="double" w:sz="4" w:space="0" w:color="auto"/>
            </w:tcBorders>
            <w:shd w:val="clear" w:color="auto" w:fill="auto"/>
            <w:vAlign w:val="center"/>
          </w:tcPr>
          <w:p>
            <w:pPr>
              <w:spacing w:beforeLines="20" w:before="48" w:afterLines="20" w:after="48"/>
              <w:jc w:val="center"/>
              <w:rPr>
                <w:b/>
                <w:noProof/>
                <w:color w:val="000000" w:themeColor="text1"/>
                <w:sz w:val="16"/>
                <w:szCs w:val="16"/>
              </w:rPr>
            </w:pPr>
          </w:p>
        </w:tc>
      </w:tr>
    </w:tbl>
    <w:p>
      <w:pPr>
        <w:pStyle w:val="Text1"/>
        <w:spacing w:before="60" w:after="60"/>
        <w:ind w:left="851"/>
        <w:rPr>
          <w:noProof/>
          <w:color w:val="000000" w:themeColor="text1"/>
          <w:sz w:val="18"/>
          <w:szCs w:val="18"/>
        </w:rPr>
      </w:pPr>
      <w:r>
        <w:rPr>
          <w:b/>
          <w:noProof/>
          <w:color w:val="000000" w:themeColor="text1"/>
          <w:sz w:val="18"/>
          <w:szCs w:val="18"/>
        </w:rPr>
        <w:t>XX</w:t>
      </w:r>
      <w:r>
        <w:rPr>
          <w:noProof/>
          <w:color w:val="000000" w:themeColor="text1"/>
          <w:sz w:val="18"/>
          <w:szCs w:val="18"/>
        </w:rPr>
        <w:t xml:space="preserve"> angiver det berørte politikområde eller budgetafsnit.</w:t>
      </w:r>
    </w:p>
    <w:p>
      <w:pPr>
        <w:pStyle w:val="Text1"/>
        <w:rPr>
          <w:noProof/>
          <w:color w:val="000000" w:themeColor="text1"/>
          <w:sz w:val="18"/>
          <w:szCs w:val="18"/>
        </w:rPr>
      </w:pPr>
      <w:r>
        <w:rPr>
          <w:noProof/>
          <w:color w:val="000000" w:themeColor="text1"/>
          <w:sz w:val="18"/>
        </w:rPr>
        <w:t>Personalebehovet vil blive dækket ved hjælp af det personale, som GD'et allerede har afsat til foranstaltninger, og/eller interne rokader i GD'et, eventuelt suppleret med yderligere bevillinger, som tildeles det ansvarlige GD i forbindelse med den årlige tildelingsprocedure under hensyntagen til de budgetmæssige begrænsninger.</w:t>
      </w:r>
    </w:p>
    <w:p>
      <w:pPr>
        <w:rPr>
          <w:noProof/>
          <w:color w:val="000000" w:themeColor="text1"/>
          <w:sz w:val="20"/>
        </w:rPr>
      </w:pPr>
      <w:r>
        <w:rPr>
          <w:noProof/>
          <w:color w:val="000000" w:themeColor="text1"/>
          <w:sz w:val="20"/>
        </w:rPr>
        <w:t>Opgavebeskrivelse:</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tc>
          <w:tcPr>
            <w:tcW w:w="3240" w:type="dxa"/>
          </w:tcPr>
          <w:p>
            <w:pPr>
              <w:rPr>
                <w:noProof/>
                <w:color w:val="000000" w:themeColor="text1"/>
                <w:sz w:val="20"/>
              </w:rPr>
            </w:pPr>
            <w:r>
              <w:rPr>
                <w:noProof/>
                <w:color w:val="000000" w:themeColor="text1"/>
                <w:sz w:val="20"/>
              </w:rPr>
              <w:t>Tjenestemænd og midlertidigt ansatte</w:t>
            </w:r>
          </w:p>
        </w:tc>
        <w:tc>
          <w:tcPr>
            <w:tcW w:w="7200" w:type="dxa"/>
          </w:tcPr>
          <w:p>
            <w:pPr>
              <w:rPr>
                <w:noProof/>
                <w:color w:val="000000" w:themeColor="text1"/>
                <w:sz w:val="20"/>
              </w:rPr>
            </w:pPr>
            <w:r>
              <w:rPr>
                <w:noProof/>
                <w:color w:val="000000" w:themeColor="text1"/>
                <w:sz w:val="20"/>
              </w:rPr>
              <w:t>Udarbejdelse af årets arbejdsprogram og koordinering heraf med andre tjenestegrene, udarbejdelse af referencerammen for tjenesteydelses- og købskontrakter og opfølgning af udvælgelsesproceduren, sikring af den interinstitutionelle koordinering, udarbejdelse af orienteringer og taler til kommissæren og GD'et, sikre bidrag til pressearbejdet, opfølgning af ex post-evaluering.</w:t>
            </w:r>
          </w:p>
        </w:tc>
      </w:tr>
      <w:tr>
        <w:tc>
          <w:tcPr>
            <w:tcW w:w="3240" w:type="dxa"/>
          </w:tcPr>
          <w:p>
            <w:pPr>
              <w:spacing w:before="60" w:after="60"/>
              <w:rPr>
                <w:noProof/>
                <w:color w:val="000000" w:themeColor="text1"/>
                <w:sz w:val="20"/>
              </w:rPr>
            </w:pPr>
            <w:r>
              <w:rPr>
                <w:noProof/>
                <w:color w:val="000000" w:themeColor="text1"/>
                <w:sz w:val="20"/>
              </w:rPr>
              <w:t>Eksternt personale</w:t>
            </w:r>
          </w:p>
        </w:tc>
        <w:tc>
          <w:tcPr>
            <w:tcW w:w="7200" w:type="dxa"/>
          </w:tcPr>
          <w:p>
            <w:pPr>
              <w:rPr>
                <w:noProof/>
                <w:color w:val="000000" w:themeColor="text1"/>
                <w:sz w:val="20"/>
              </w:rPr>
            </w:pPr>
          </w:p>
        </w:tc>
      </w:tr>
    </w:tbl>
    <w:p>
      <w:pPr>
        <w:rPr>
          <w:noProof/>
          <w:color w:val="000000" w:themeColor="text1"/>
        </w:rPr>
      </w:pPr>
    </w:p>
    <w:p>
      <w:pPr>
        <w:rPr>
          <w:noProof/>
          <w:color w:val="000000" w:themeColor="text1"/>
        </w:rPr>
        <w:sectPr>
          <w:pgSz w:w="11907" w:h="16840"/>
          <w:pgMar w:top="1134" w:right="1418" w:bottom="1134" w:left="1418" w:header="709" w:footer="709" w:gutter="0"/>
          <w:cols w:space="708"/>
          <w:docGrid w:linePitch="360"/>
        </w:sectPr>
      </w:pPr>
    </w:p>
    <w:p>
      <w:pPr>
        <w:pStyle w:val="ManualHeading3"/>
        <w:rPr>
          <w:noProof/>
        </w:rPr>
      </w:pPr>
      <w:r>
        <w:t>3.2.4.</w:t>
      </w:r>
      <w:r>
        <w:tab/>
      </w:r>
      <w:r>
        <w:rPr>
          <w:noProof/>
        </w:rPr>
        <w:t>Forenelighed med indeværende flerårige finansielle ramme</w:t>
      </w:r>
    </w:p>
    <w:p>
      <w:pPr>
        <w:pStyle w:val="ListDash1"/>
        <w:rPr>
          <w:noProof/>
          <w:color w:val="000000" w:themeColor="text1"/>
        </w:rPr>
      </w:pPr>
      <w:r>
        <w:rPr>
          <w:noProof/>
          <w:color w:val="000000" w:themeColor="text1"/>
        </w:rPr>
        <w:t>X</w:t>
      </w:r>
      <w:r>
        <w:rPr>
          <w:noProof/>
          <w:color w:val="000000" w:themeColor="text1"/>
        </w:rPr>
        <w:tab/>
        <w:t>Forslaget/initiativet er foreneligt med indeværende flerårige finansielle ramme.</w:t>
      </w:r>
    </w:p>
    <w:p>
      <w:pPr>
        <w:pStyle w:val="ListDash1"/>
        <w:rPr>
          <w:noProof/>
          <w:color w:val="000000" w:themeColor="text1"/>
        </w:rPr>
      </w:pPr>
      <w:r>
        <w:rPr>
          <w:noProof/>
          <w:color w:val="000000" w:themeColor="text1"/>
        </w:rPr>
        <w:sym w:font="Wingdings" w:char="F0A8"/>
      </w:r>
      <w:r>
        <w:rPr>
          <w:noProof/>
          <w:color w:val="000000" w:themeColor="text1"/>
        </w:rPr>
        <w:tab/>
        <w:t>Forslaget/initiativet kræver omlægning af det relevante udgiftsområde i den flerårige finansielle ramme.</w:t>
      </w:r>
    </w:p>
    <w:p>
      <w:pPr>
        <w:pStyle w:val="Text1"/>
        <w:pBdr>
          <w:top w:val="single" w:sz="4" w:space="1" w:color="auto"/>
          <w:left w:val="single" w:sz="4" w:space="4" w:color="auto"/>
          <w:bottom w:val="single" w:sz="4" w:space="1" w:color="auto"/>
          <w:right w:val="single" w:sz="4" w:space="4" w:color="auto"/>
        </w:pBdr>
        <w:rPr>
          <w:noProof/>
          <w:color w:val="000000" w:themeColor="text1"/>
          <w:sz w:val="20"/>
        </w:rPr>
      </w:pPr>
      <w:r>
        <w:rPr>
          <w:noProof/>
          <w:color w:val="000000" w:themeColor="text1"/>
          <w:sz w:val="20"/>
        </w:rPr>
        <w:t>Der redegøres for omlægningen med angivelse af de berørte budgetposter og beløbenes størrelse</w:t>
      </w:r>
    </w:p>
    <w:p>
      <w:pPr>
        <w:pStyle w:val="ListDash1"/>
        <w:rPr>
          <w:noProof/>
          <w:color w:val="000000" w:themeColor="text1"/>
        </w:rPr>
      </w:pPr>
      <w:r>
        <w:rPr>
          <w:noProof/>
          <w:color w:val="000000" w:themeColor="text1"/>
        </w:rPr>
        <w:sym w:font="Wingdings" w:char="F0A8"/>
      </w:r>
      <w:r>
        <w:rPr>
          <w:noProof/>
          <w:color w:val="000000" w:themeColor="text1"/>
        </w:rPr>
        <w:tab/>
        <w:t>Forslaget/initiativet kræver, at fleksibilitetsinstrumentet anvendes, eller at den flerårige finansielle ramme revideres.</w:t>
      </w:r>
    </w:p>
    <w:p>
      <w:pPr>
        <w:pStyle w:val="Text1"/>
        <w:pBdr>
          <w:top w:val="single" w:sz="4" w:space="1" w:color="auto"/>
          <w:left w:val="single" w:sz="4" w:space="4" w:color="auto"/>
          <w:bottom w:val="single" w:sz="4" w:space="1" w:color="auto"/>
          <w:right w:val="single" w:sz="4" w:space="4" w:color="auto"/>
        </w:pBdr>
        <w:rPr>
          <w:noProof/>
          <w:color w:val="000000" w:themeColor="text1"/>
          <w:sz w:val="20"/>
        </w:rPr>
      </w:pPr>
      <w:r>
        <w:rPr>
          <w:noProof/>
          <w:color w:val="000000" w:themeColor="text1"/>
          <w:sz w:val="20"/>
        </w:rPr>
        <w:t>Der redegøres for behovet med angivelse af de berørte udgiftsområder og budgetposter og beløbenes størrelse.</w:t>
      </w:r>
    </w:p>
    <w:p>
      <w:pPr>
        <w:pStyle w:val="ManualHeading3"/>
        <w:rPr>
          <w:noProof/>
        </w:rPr>
      </w:pPr>
      <w:r>
        <w:t>3.2.5.</w:t>
      </w:r>
      <w:r>
        <w:tab/>
      </w:r>
      <w:r>
        <w:rPr>
          <w:noProof/>
        </w:rPr>
        <w:t>Tredjemands bidrag til finansieringen</w:t>
      </w:r>
    </w:p>
    <w:p>
      <w:pPr>
        <w:pStyle w:val="ListDash1"/>
        <w:rPr>
          <w:noProof/>
          <w:color w:val="000000" w:themeColor="text1"/>
        </w:rPr>
      </w:pPr>
      <w:r>
        <w:rPr>
          <w:noProof/>
          <w:color w:val="000000" w:themeColor="text1"/>
        </w:rPr>
        <w:t>X Forslaget/initiativet indeholder ikke bestemmelser om samfinansiering med tredjemand.</w:t>
      </w:r>
    </w:p>
    <w:p>
      <w:pPr>
        <w:pStyle w:val="ListDash1"/>
        <w:rPr>
          <w:noProof/>
          <w:color w:val="000000" w:themeColor="text1"/>
        </w:rPr>
      </w:pPr>
      <w:r>
        <w:rPr>
          <w:noProof/>
          <w:color w:val="000000" w:themeColor="text1"/>
        </w:rPr>
        <w:t>Forslaget/initiativet indeholder bestemmelser om samfinansiering, jf. følgende overslag:</w:t>
      </w:r>
    </w:p>
    <w:p>
      <w:pPr>
        <w:jc w:val="right"/>
        <w:rPr>
          <w:noProof/>
          <w:color w:val="000000" w:themeColor="text1"/>
          <w:sz w:val="20"/>
        </w:rPr>
      </w:pPr>
      <w:r>
        <w:rPr>
          <w:noProof/>
          <w:color w:val="000000" w:themeColor="text1"/>
          <w:sz w:val="20"/>
        </w:rPr>
        <w:t>Bevillinger i mio. EUR (3 decimaler)</w:t>
      </w:r>
    </w:p>
    <w:tbl>
      <w:tblPr>
        <w:tblW w:w="10246" w:type="dxa"/>
        <w:tblInd w:w="-4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0"/>
        <w:gridCol w:w="964"/>
        <w:gridCol w:w="964"/>
        <w:gridCol w:w="964"/>
        <w:gridCol w:w="964"/>
        <w:gridCol w:w="964"/>
        <w:gridCol w:w="964"/>
        <w:gridCol w:w="964"/>
        <w:gridCol w:w="1158"/>
      </w:tblGrid>
      <w:tr>
        <w:trPr>
          <w:cantSplit/>
        </w:trPr>
        <w:tc>
          <w:tcPr>
            <w:tcW w:w="2340" w:type="dxa"/>
          </w:tcPr>
          <w:p>
            <w:pPr>
              <w:spacing w:before="60" w:after="60"/>
              <w:rPr>
                <w:noProof/>
                <w:color w:val="000000" w:themeColor="text1"/>
                <w:sz w:val="20"/>
              </w:rPr>
            </w:pPr>
          </w:p>
        </w:tc>
        <w:tc>
          <w:tcPr>
            <w:tcW w:w="964" w:type="dxa"/>
            <w:vAlign w:val="center"/>
          </w:tcPr>
          <w:p>
            <w:pPr>
              <w:jc w:val="center"/>
              <w:rPr>
                <w:noProof/>
                <w:color w:val="000000" w:themeColor="text1"/>
                <w:sz w:val="20"/>
              </w:rPr>
            </w:pPr>
            <w:r>
              <w:rPr>
                <w:noProof/>
                <w:color w:val="000000" w:themeColor="text1"/>
                <w:sz w:val="20"/>
              </w:rPr>
              <w:t>År</w:t>
            </w:r>
            <w:r>
              <w:rPr>
                <w:noProof/>
                <w:color w:val="000000" w:themeColor="text1"/>
                <w:sz w:val="22"/>
              </w:rPr>
              <w:br/>
            </w:r>
            <w:r>
              <w:rPr>
                <w:b/>
                <w:noProof/>
                <w:color w:val="000000" w:themeColor="text1"/>
                <w:sz w:val="20"/>
              </w:rPr>
              <w:t>N</w:t>
            </w:r>
          </w:p>
        </w:tc>
        <w:tc>
          <w:tcPr>
            <w:tcW w:w="964" w:type="dxa"/>
            <w:vAlign w:val="center"/>
          </w:tcPr>
          <w:p>
            <w:pPr>
              <w:jc w:val="center"/>
              <w:rPr>
                <w:noProof/>
                <w:color w:val="000000" w:themeColor="text1"/>
                <w:sz w:val="20"/>
              </w:rPr>
            </w:pPr>
            <w:r>
              <w:rPr>
                <w:noProof/>
                <w:color w:val="000000" w:themeColor="text1"/>
                <w:sz w:val="20"/>
              </w:rPr>
              <w:t>År</w:t>
            </w:r>
            <w:r>
              <w:rPr>
                <w:noProof/>
                <w:color w:val="000000" w:themeColor="text1"/>
                <w:sz w:val="22"/>
              </w:rPr>
              <w:br/>
            </w:r>
            <w:r>
              <w:rPr>
                <w:b/>
                <w:noProof/>
                <w:color w:val="000000" w:themeColor="text1"/>
                <w:sz w:val="20"/>
              </w:rPr>
              <w:t>N+1</w:t>
            </w:r>
          </w:p>
        </w:tc>
        <w:tc>
          <w:tcPr>
            <w:tcW w:w="964" w:type="dxa"/>
            <w:vAlign w:val="center"/>
          </w:tcPr>
          <w:p>
            <w:pPr>
              <w:jc w:val="center"/>
              <w:rPr>
                <w:noProof/>
                <w:color w:val="000000" w:themeColor="text1"/>
                <w:sz w:val="20"/>
              </w:rPr>
            </w:pPr>
            <w:r>
              <w:rPr>
                <w:noProof/>
                <w:color w:val="000000" w:themeColor="text1"/>
                <w:sz w:val="20"/>
              </w:rPr>
              <w:t>År</w:t>
            </w:r>
            <w:r>
              <w:rPr>
                <w:noProof/>
                <w:color w:val="000000" w:themeColor="text1"/>
                <w:sz w:val="22"/>
              </w:rPr>
              <w:br/>
            </w:r>
            <w:r>
              <w:rPr>
                <w:b/>
                <w:noProof/>
                <w:color w:val="000000" w:themeColor="text1"/>
                <w:sz w:val="20"/>
              </w:rPr>
              <w:t>N+2</w:t>
            </w:r>
          </w:p>
        </w:tc>
        <w:tc>
          <w:tcPr>
            <w:tcW w:w="964" w:type="dxa"/>
            <w:vAlign w:val="center"/>
          </w:tcPr>
          <w:p>
            <w:pPr>
              <w:jc w:val="center"/>
              <w:rPr>
                <w:noProof/>
                <w:color w:val="000000" w:themeColor="text1"/>
                <w:sz w:val="20"/>
              </w:rPr>
            </w:pPr>
            <w:r>
              <w:rPr>
                <w:noProof/>
                <w:color w:val="000000" w:themeColor="text1"/>
                <w:sz w:val="20"/>
              </w:rPr>
              <w:t>År</w:t>
            </w:r>
            <w:r>
              <w:rPr>
                <w:noProof/>
                <w:color w:val="000000" w:themeColor="text1"/>
                <w:sz w:val="22"/>
              </w:rPr>
              <w:br/>
            </w:r>
            <w:r>
              <w:rPr>
                <w:b/>
                <w:noProof/>
                <w:color w:val="000000" w:themeColor="text1"/>
                <w:sz w:val="20"/>
              </w:rPr>
              <w:t>N+3</w:t>
            </w:r>
          </w:p>
        </w:tc>
        <w:tc>
          <w:tcPr>
            <w:tcW w:w="2892" w:type="dxa"/>
            <w:gridSpan w:val="3"/>
            <w:vAlign w:val="center"/>
          </w:tcPr>
          <w:p>
            <w:pPr>
              <w:jc w:val="center"/>
              <w:rPr>
                <w:b/>
                <w:noProof/>
                <w:color w:val="000000" w:themeColor="text1"/>
                <w:sz w:val="20"/>
              </w:rPr>
            </w:pPr>
            <w:r>
              <w:rPr>
                <w:noProof/>
                <w:color w:val="000000" w:themeColor="text1"/>
                <w:sz w:val="20"/>
              </w:rPr>
              <w:t>Der indsættes flere år, hvis virkningerne varer længere (jf. punkt 1.6)</w:t>
            </w:r>
          </w:p>
        </w:tc>
        <w:tc>
          <w:tcPr>
            <w:tcW w:w="1158" w:type="dxa"/>
            <w:vAlign w:val="center"/>
          </w:tcPr>
          <w:p>
            <w:pPr>
              <w:spacing w:before="60" w:after="60"/>
              <w:jc w:val="center"/>
              <w:rPr>
                <w:noProof/>
                <w:color w:val="000000" w:themeColor="text1"/>
                <w:sz w:val="20"/>
              </w:rPr>
            </w:pPr>
            <w:r>
              <w:rPr>
                <w:noProof/>
                <w:color w:val="000000" w:themeColor="text1"/>
                <w:sz w:val="20"/>
              </w:rPr>
              <w:t>I alt</w:t>
            </w:r>
          </w:p>
        </w:tc>
      </w:tr>
      <w:tr>
        <w:trPr>
          <w:cantSplit/>
        </w:trPr>
        <w:tc>
          <w:tcPr>
            <w:tcW w:w="2340" w:type="dxa"/>
          </w:tcPr>
          <w:p>
            <w:pPr>
              <w:rPr>
                <w:noProof/>
                <w:color w:val="000000" w:themeColor="text1"/>
                <w:sz w:val="22"/>
              </w:rPr>
            </w:pPr>
            <w:r>
              <w:rPr>
                <w:noProof/>
                <w:color w:val="000000" w:themeColor="text1"/>
                <w:sz w:val="20"/>
              </w:rPr>
              <w:t>Organ, som deltager i samfinansieringen (angives)</w:t>
            </w:r>
            <w:r>
              <w:rPr>
                <w:i/>
                <w:noProof/>
                <w:color w:val="000000" w:themeColor="text1"/>
                <w:sz w:val="20"/>
              </w:rPr>
              <w:t xml:space="preserve"> </w:t>
            </w:r>
          </w:p>
        </w:tc>
        <w:tc>
          <w:tcPr>
            <w:tcW w:w="964" w:type="dxa"/>
            <w:vAlign w:val="center"/>
          </w:tcPr>
          <w:p>
            <w:pPr>
              <w:spacing w:before="60" w:after="60"/>
              <w:jc w:val="center"/>
              <w:rPr>
                <w:noProof/>
                <w:color w:val="000000" w:themeColor="text1"/>
                <w:sz w:val="20"/>
              </w:rPr>
            </w:pPr>
          </w:p>
        </w:tc>
        <w:tc>
          <w:tcPr>
            <w:tcW w:w="964" w:type="dxa"/>
            <w:vAlign w:val="center"/>
          </w:tcPr>
          <w:p>
            <w:pPr>
              <w:spacing w:before="60" w:after="60"/>
              <w:jc w:val="center"/>
              <w:rPr>
                <w:noProof/>
                <w:color w:val="000000" w:themeColor="text1"/>
                <w:sz w:val="20"/>
              </w:rPr>
            </w:pPr>
          </w:p>
        </w:tc>
        <w:tc>
          <w:tcPr>
            <w:tcW w:w="964" w:type="dxa"/>
            <w:vAlign w:val="center"/>
          </w:tcPr>
          <w:p>
            <w:pPr>
              <w:spacing w:before="60" w:after="60"/>
              <w:jc w:val="center"/>
              <w:rPr>
                <w:noProof/>
                <w:color w:val="000000" w:themeColor="text1"/>
                <w:sz w:val="20"/>
              </w:rPr>
            </w:pPr>
          </w:p>
        </w:tc>
        <w:tc>
          <w:tcPr>
            <w:tcW w:w="964" w:type="dxa"/>
            <w:vAlign w:val="center"/>
          </w:tcPr>
          <w:p>
            <w:pPr>
              <w:spacing w:before="60" w:after="60"/>
              <w:jc w:val="center"/>
              <w:rPr>
                <w:noProof/>
                <w:color w:val="000000" w:themeColor="text1"/>
                <w:sz w:val="20"/>
              </w:rPr>
            </w:pPr>
          </w:p>
        </w:tc>
        <w:tc>
          <w:tcPr>
            <w:tcW w:w="964" w:type="dxa"/>
            <w:vAlign w:val="center"/>
          </w:tcPr>
          <w:p>
            <w:pPr>
              <w:spacing w:before="60" w:after="60"/>
              <w:jc w:val="center"/>
              <w:rPr>
                <w:noProof/>
                <w:color w:val="000000" w:themeColor="text1"/>
                <w:sz w:val="20"/>
              </w:rPr>
            </w:pPr>
          </w:p>
        </w:tc>
        <w:tc>
          <w:tcPr>
            <w:tcW w:w="964" w:type="dxa"/>
            <w:vAlign w:val="center"/>
          </w:tcPr>
          <w:p>
            <w:pPr>
              <w:spacing w:before="60" w:after="60"/>
              <w:jc w:val="center"/>
              <w:rPr>
                <w:noProof/>
                <w:color w:val="000000" w:themeColor="text1"/>
                <w:sz w:val="20"/>
              </w:rPr>
            </w:pPr>
          </w:p>
        </w:tc>
        <w:tc>
          <w:tcPr>
            <w:tcW w:w="964" w:type="dxa"/>
            <w:vAlign w:val="center"/>
          </w:tcPr>
          <w:p>
            <w:pPr>
              <w:spacing w:before="60" w:after="60"/>
              <w:jc w:val="center"/>
              <w:rPr>
                <w:noProof/>
                <w:color w:val="000000" w:themeColor="text1"/>
                <w:sz w:val="20"/>
              </w:rPr>
            </w:pPr>
          </w:p>
        </w:tc>
        <w:tc>
          <w:tcPr>
            <w:tcW w:w="1158" w:type="dxa"/>
            <w:vAlign w:val="center"/>
          </w:tcPr>
          <w:p>
            <w:pPr>
              <w:spacing w:before="60" w:after="60"/>
              <w:jc w:val="center"/>
              <w:rPr>
                <w:noProof/>
                <w:color w:val="000000" w:themeColor="text1"/>
                <w:sz w:val="20"/>
              </w:rPr>
            </w:pPr>
          </w:p>
        </w:tc>
      </w:tr>
      <w:tr>
        <w:trPr>
          <w:cantSplit/>
        </w:trPr>
        <w:tc>
          <w:tcPr>
            <w:tcW w:w="2340" w:type="dxa"/>
          </w:tcPr>
          <w:p>
            <w:pPr>
              <w:spacing w:before="60" w:after="60"/>
              <w:jc w:val="left"/>
              <w:rPr>
                <w:noProof/>
                <w:color w:val="000000" w:themeColor="text1"/>
                <w:sz w:val="20"/>
              </w:rPr>
            </w:pPr>
            <w:r>
              <w:rPr>
                <w:noProof/>
                <w:color w:val="000000" w:themeColor="text1"/>
                <w:sz w:val="20"/>
              </w:rPr>
              <w:t xml:space="preserve">Samfinansierede bevillinger I ALT </w:t>
            </w:r>
          </w:p>
        </w:tc>
        <w:tc>
          <w:tcPr>
            <w:tcW w:w="964" w:type="dxa"/>
            <w:vAlign w:val="center"/>
          </w:tcPr>
          <w:p>
            <w:pPr>
              <w:spacing w:before="60" w:after="60"/>
              <w:jc w:val="center"/>
              <w:rPr>
                <w:noProof/>
                <w:color w:val="000000" w:themeColor="text1"/>
                <w:sz w:val="20"/>
              </w:rPr>
            </w:pPr>
          </w:p>
        </w:tc>
        <w:tc>
          <w:tcPr>
            <w:tcW w:w="964" w:type="dxa"/>
            <w:vAlign w:val="center"/>
          </w:tcPr>
          <w:p>
            <w:pPr>
              <w:spacing w:before="60" w:after="60"/>
              <w:jc w:val="center"/>
              <w:rPr>
                <w:noProof/>
                <w:color w:val="000000" w:themeColor="text1"/>
                <w:sz w:val="20"/>
              </w:rPr>
            </w:pPr>
          </w:p>
        </w:tc>
        <w:tc>
          <w:tcPr>
            <w:tcW w:w="964" w:type="dxa"/>
            <w:vAlign w:val="center"/>
          </w:tcPr>
          <w:p>
            <w:pPr>
              <w:spacing w:before="60" w:after="60"/>
              <w:jc w:val="center"/>
              <w:rPr>
                <w:noProof/>
                <w:color w:val="000000" w:themeColor="text1"/>
                <w:sz w:val="20"/>
              </w:rPr>
            </w:pPr>
          </w:p>
        </w:tc>
        <w:tc>
          <w:tcPr>
            <w:tcW w:w="964" w:type="dxa"/>
            <w:vAlign w:val="center"/>
          </w:tcPr>
          <w:p>
            <w:pPr>
              <w:spacing w:before="60" w:after="60"/>
              <w:jc w:val="center"/>
              <w:rPr>
                <w:noProof/>
                <w:color w:val="000000" w:themeColor="text1"/>
                <w:sz w:val="20"/>
              </w:rPr>
            </w:pPr>
          </w:p>
        </w:tc>
        <w:tc>
          <w:tcPr>
            <w:tcW w:w="964" w:type="dxa"/>
            <w:vAlign w:val="center"/>
          </w:tcPr>
          <w:p>
            <w:pPr>
              <w:spacing w:before="60" w:after="60"/>
              <w:jc w:val="center"/>
              <w:rPr>
                <w:noProof/>
                <w:color w:val="000000" w:themeColor="text1"/>
                <w:sz w:val="20"/>
              </w:rPr>
            </w:pPr>
          </w:p>
        </w:tc>
        <w:tc>
          <w:tcPr>
            <w:tcW w:w="964" w:type="dxa"/>
            <w:vAlign w:val="center"/>
          </w:tcPr>
          <w:p>
            <w:pPr>
              <w:spacing w:before="60" w:after="60"/>
              <w:jc w:val="center"/>
              <w:rPr>
                <w:noProof/>
                <w:color w:val="000000" w:themeColor="text1"/>
                <w:sz w:val="20"/>
              </w:rPr>
            </w:pPr>
          </w:p>
        </w:tc>
        <w:tc>
          <w:tcPr>
            <w:tcW w:w="964" w:type="dxa"/>
            <w:vAlign w:val="center"/>
          </w:tcPr>
          <w:p>
            <w:pPr>
              <w:spacing w:before="60" w:after="60"/>
              <w:jc w:val="center"/>
              <w:rPr>
                <w:noProof/>
                <w:color w:val="000000" w:themeColor="text1"/>
                <w:sz w:val="20"/>
              </w:rPr>
            </w:pPr>
          </w:p>
        </w:tc>
        <w:tc>
          <w:tcPr>
            <w:tcW w:w="1158" w:type="dxa"/>
            <w:vAlign w:val="center"/>
          </w:tcPr>
          <w:p>
            <w:pPr>
              <w:spacing w:before="60" w:after="60"/>
              <w:jc w:val="center"/>
              <w:rPr>
                <w:noProof/>
                <w:color w:val="000000" w:themeColor="text1"/>
                <w:sz w:val="20"/>
              </w:rPr>
            </w:pPr>
          </w:p>
        </w:tc>
      </w:tr>
    </w:tbl>
    <w:p>
      <w:pPr>
        <w:rPr>
          <w:noProof/>
          <w:color w:val="000000" w:themeColor="text1"/>
        </w:rPr>
      </w:pPr>
      <w:r>
        <w:rPr>
          <w:noProof/>
          <w:color w:val="000000" w:themeColor="text1"/>
        </w:rPr>
        <w:br/>
      </w:r>
    </w:p>
    <w:p>
      <w:pPr>
        <w:pStyle w:val="ManualHeading2"/>
        <w:rPr>
          <w:noProof/>
        </w:rPr>
      </w:pPr>
      <w:r>
        <w:rPr>
          <w:noProof/>
        </w:rPr>
        <w:br w:type="page"/>
      </w:r>
      <w:r>
        <w:t>3.3.</w:t>
      </w:r>
      <w:r>
        <w:tab/>
      </w:r>
      <w:r>
        <w:rPr>
          <w:noProof/>
        </w:rPr>
        <w:t>Anslåede virkninger for indtægterne</w:t>
      </w:r>
    </w:p>
    <w:p>
      <w:pPr>
        <w:pStyle w:val="ListDash1"/>
        <w:rPr>
          <w:noProof/>
          <w:color w:val="000000" w:themeColor="text1"/>
        </w:rPr>
      </w:pPr>
      <w:r>
        <w:rPr>
          <w:noProof/>
          <w:color w:val="000000" w:themeColor="text1"/>
        </w:rPr>
        <w:t>X</w:t>
      </w:r>
      <w:r>
        <w:rPr>
          <w:noProof/>
          <w:color w:val="000000" w:themeColor="text1"/>
        </w:rPr>
        <w:tab/>
        <w:t>Forslaget/initiativet har ingen finansielle virkninger for indtægterne.</w:t>
      </w:r>
    </w:p>
    <w:p>
      <w:pPr>
        <w:pStyle w:val="ListDash1"/>
        <w:rPr>
          <w:noProof/>
          <w:color w:val="000000" w:themeColor="text1"/>
        </w:rPr>
      </w:pPr>
      <w:r>
        <w:rPr>
          <w:noProof/>
          <w:color w:val="000000" w:themeColor="text1"/>
        </w:rPr>
        <w:sym w:font="Wingdings" w:char="F0A8"/>
      </w:r>
      <w:r>
        <w:rPr>
          <w:noProof/>
          <w:color w:val="000000" w:themeColor="text1"/>
        </w:rPr>
        <w:tab/>
        <w:t>Forslaget/initiativet har følgende finansielle virkninger:</w:t>
      </w:r>
    </w:p>
    <w:p>
      <w:pPr>
        <w:pStyle w:val="ListNumberLevel3"/>
        <w:tabs>
          <w:tab w:val="clear" w:pos="2126"/>
        </w:tabs>
        <w:rPr>
          <w:noProof/>
          <w:color w:val="000000" w:themeColor="text1"/>
        </w:rPr>
      </w:pPr>
      <w:r>
        <w:rPr>
          <w:noProof/>
          <w:color w:val="000000" w:themeColor="text1"/>
        </w:rPr>
        <w:sym w:font="Wingdings" w:char="F0A8"/>
      </w:r>
      <w:r>
        <w:rPr>
          <w:noProof/>
          <w:color w:val="000000" w:themeColor="text1"/>
        </w:rPr>
        <w:tab/>
        <w:t>for egne indtægter</w:t>
      </w:r>
    </w:p>
    <w:p>
      <w:pPr>
        <w:pStyle w:val="ListNumberLevel3"/>
        <w:tabs>
          <w:tab w:val="clear" w:pos="2126"/>
        </w:tabs>
        <w:rPr>
          <w:noProof/>
          <w:color w:val="000000" w:themeColor="text1"/>
        </w:rPr>
      </w:pPr>
      <w:r>
        <w:rPr>
          <w:noProof/>
          <w:color w:val="000000" w:themeColor="text1"/>
        </w:rPr>
        <w:sym w:font="Wingdings" w:char="F0A8"/>
      </w:r>
      <w:r>
        <w:rPr>
          <w:noProof/>
          <w:color w:val="000000" w:themeColor="text1"/>
        </w:rPr>
        <w:tab/>
        <w:t>for diverse indtægter</w:t>
      </w:r>
      <w:r>
        <w:rPr>
          <w:noProof/>
        </w:rPr>
        <w:t>.</w:t>
      </w:r>
    </w:p>
    <w:p>
      <w:pPr>
        <w:jc w:val="right"/>
        <w:rPr>
          <w:i/>
          <w:noProof/>
          <w:color w:val="000000" w:themeColor="text1"/>
          <w:sz w:val="20"/>
        </w:rPr>
      </w:pPr>
      <w:r>
        <w:rPr>
          <w:noProof/>
          <w:color w:val="000000" w:themeColor="text1"/>
        </w:rPr>
        <w:t>i mio. EUR (3 decimaler)</w:t>
      </w:r>
    </w:p>
    <w:tbl>
      <w:tblPr>
        <w:tblW w:w="1062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1276"/>
        <w:gridCol w:w="1080"/>
        <w:gridCol w:w="900"/>
        <w:gridCol w:w="900"/>
        <w:gridCol w:w="1080"/>
        <w:gridCol w:w="1080"/>
        <w:gridCol w:w="1080"/>
        <w:gridCol w:w="1080"/>
      </w:tblGrid>
      <w:tr>
        <w:trPr>
          <w:trHeight w:val="388"/>
        </w:trPr>
        <w:tc>
          <w:tcPr>
            <w:tcW w:w="2144" w:type="dxa"/>
            <w:vMerge w:val="restart"/>
            <w:vAlign w:val="center"/>
          </w:tcPr>
          <w:p>
            <w:pPr>
              <w:spacing w:before="40" w:after="40"/>
              <w:rPr>
                <w:noProof/>
                <w:color w:val="000000" w:themeColor="text1"/>
                <w:sz w:val="18"/>
              </w:rPr>
            </w:pPr>
            <w:r>
              <w:rPr>
                <w:noProof/>
                <w:color w:val="000000" w:themeColor="text1"/>
                <w:sz w:val="18"/>
              </w:rPr>
              <w:t>Indtægtspost på budgettet</w:t>
            </w:r>
          </w:p>
        </w:tc>
        <w:tc>
          <w:tcPr>
            <w:tcW w:w="1276" w:type="dxa"/>
            <w:vMerge w:val="restart"/>
            <w:vAlign w:val="center"/>
          </w:tcPr>
          <w:p>
            <w:pPr>
              <w:jc w:val="center"/>
              <w:rPr>
                <w:noProof/>
                <w:color w:val="000000" w:themeColor="text1"/>
                <w:sz w:val="18"/>
              </w:rPr>
            </w:pPr>
            <w:r>
              <w:rPr>
                <w:noProof/>
                <w:color w:val="000000" w:themeColor="text1"/>
                <w:sz w:val="18"/>
              </w:rPr>
              <w:t>Bevillinger til rådighed i indeværende regnskabsår</w:t>
            </w:r>
          </w:p>
        </w:tc>
        <w:tc>
          <w:tcPr>
            <w:tcW w:w="7200" w:type="dxa"/>
            <w:gridSpan w:val="7"/>
            <w:vAlign w:val="center"/>
          </w:tcPr>
          <w:p>
            <w:pPr>
              <w:jc w:val="center"/>
              <w:rPr>
                <w:noProof/>
                <w:color w:val="000000" w:themeColor="text1"/>
                <w:sz w:val="18"/>
              </w:rPr>
            </w:pPr>
            <w:r>
              <w:rPr>
                <w:noProof/>
                <w:color w:val="000000" w:themeColor="text1"/>
                <w:sz w:val="18"/>
              </w:rPr>
              <w:t>Forslagets/initiativets virkninger</w:t>
            </w:r>
            <w:r>
              <w:rPr>
                <w:rStyle w:val="FootnoteReference"/>
                <w:noProof/>
                <w:color w:val="000000" w:themeColor="text1"/>
                <w:sz w:val="18"/>
              </w:rPr>
              <w:footnoteReference w:id="42"/>
            </w:r>
          </w:p>
        </w:tc>
      </w:tr>
      <w:tr>
        <w:trPr>
          <w:trHeight w:val="388"/>
        </w:trPr>
        <w:tc>
          <w:tcPr>
            <w:tcW w:w="2144" w:type="dxa"/>
            <w:vMerge/>
          </w:tcPr>
          <w:p>
            <w:pPr>
              <w:spacing w:before="40" w:after="40"/>
              <w:rPr>
                <w:noProof/>
                <w:color w:val="000000" w:themeColor="text1"/>
                <w:sz w:val="18"/>
              </w:rPr>
            </w:pPr>
          </w:p>
        </w:tc>
        <w:tc>
          <w:tcPr>
            <w:tcW w:w="1276" w:type="dxa"/>
            <w:vMerge/>
          </w:tcPr>
          <w:p>
            <w:pPr>
              <w:spacing w:beforeLines="40" w:before="96" w:afterLines="40" w:after="96"/>
              <w:rPr>
                <w:i/>
                <w:noProof/>
                <w:color w:val="000000" w:themeColor="text1"/>
                <w:sz w:val="18"/>
              </w:rPr>
            </w:pPr>
          </w:p>
        </w:tc>
        <w:tc>
          <w:tcPr>
            <w:tcW w:w="1080" w:type="dxa"/>
            <w:vAlign w:val="center"/>
          </w:tcPr>
          <w:p>
            <w:pPr>
              <w:jc w:val="center"/>
              <w:rPr>
                <w:noProof/>
                <w:color w:val="000000" w:themeColor="text1"/>
                <w:sz w:val="18"/>
              </w:rPr>
            </w:pPr>
            <w:r>
              <w:rPr>
                <w:noProof/>
                <w:color w:val="000000" w:themeColor="text1"/>
                <w:sz w:val="18"/>
              </w:rPr>
              <w:t>År</w:t>
            </w:r>
            <w:r>
              <w:rPr>
                <w:noProof/>
                <w:color w:val="000000" w:themeColor="text1"/>
                <w:sz w:val="22"/>
              </w:rPr>
              <w:br/>
            </w:r>
            <w:r>
              <w:rPr>
                <w:b/>
                <w:noProof/>
                <w:color w:val="000000" w:themeColor="text1"/>
                <w:sz w:val="18"/>
              </w:rPr>
              <w:t>N</w:t>
            </w:r>
          </w:p>
        </w:tc>
        <w:tc>
          <w:tcPr>
            <w:tcW w:w="900" w:type="dxa"/>
            <w:vAlign w:val="center"/>
          </w:tcPr>
          <w:p>
            <w:pPr>
              <w:jc w:val="center"/>
              <w:rPr>
                <w:noProof/>
                <w:color w:val="000000" w:themeColor="text1"/>
                <w:sz w:val="18"/>
              </w:rPr>
            </w:pPr>
            <w:r>
              <w:rPr>
                <w:noProof/>
                <w:color w:val="000000" w:themeColor="text1"/>
                <w:sz w:val="18"/>
              </w:rPr>
              <w:t>År</w:t>
            </w:r>
            <w:r>
              <w:rPr>
                <w:noProof/>
                <w:color w:val="000000" w:themeColor="text1"/>
                <w:sz w:val="22"/>
              </w:rPr>
              <w:br/>
            </w:r>
            <w:r>
              <w:rPr>
                <w:b/>
                <w:noProof/>
                <w:color w:val="000000" w:themeColor="text1"/>
                <w:sz w:val="18"/>
              </w:rPr>
              <w:t>N+1</w:t>
            </w:r>
          </w:p>
        </w:tc>
        <w:tc>
          <w:tcPr>
            <w:tcW w:w="900" w:type="dxa"/>
            <w:vAlign w:val="center"/>
          </w:tcPr>
          <w:p>
            <w:pPr>
              <w:jc w:val="center"/>
              <w:rPr>
                <w:noProof/>
                <w:color w:val="000000" w:themeColor="text1"/>
                <w:sz w:val="18"/>
              </w:rPr>
            </w:pPr>
            <w:r>
              <w:rPr>
                <w:noProof/>
                <w:color w:val="000000" w:themeColor="text1"/>
                <w:sz w:val="18"/>
              </w:rPr>
              <w:t>År</w:t>
            </w:r>
            <w:r>
              <w:rPr>
                <w:noProof/>
                <w:color w:val="000000" w:themeColor="text1"/>
                <w:sz w:val="22"/>
              </w:rPr>
              <w:br/>
            </w:r>
            <w:r>
              <w:rPr>
                <w:b/>
                <w:noProof/>
                <w:color w:val="000000" w:themeColor="text1"/>
                <w:sz w:val="18"/>
              </w:rPr>
              <w:t>N+2</w:t>
            </w:r>
          </w:p>
        </w:tc>
        <w:tc>
          <w:tcPr>
            <w:tcW w:w="1080" w:type="dxa"/>
            <w:vAlign w:val="center"/>
          </w:tcPr>
          <w:p>
            <w:pPr>
              <w:jc w:val="center"/>
              <w:rPr>
                <w:noProof/>
                <w:color w:val="000000" w:themeColor="text1"/>
                <w:sz w:val="18"/>
              </w:rPr>
            </w:pPr>
            <w:r>
              <w:rPr>
                <w:noProof/>
                <w:color w:val="000000" w:themeColor="text1"/>
                <w:sz w:val="18"/>
              </w:rPr>
              <w:t>År</w:t>
            </w:r>
            <w:r>
              <w:rPr>
                <w:noProof/>
                <w:color w:val="000000" w:themeColor="text1"/>
                <w:sz w:val="22"/>
              </w:rPr>
              <w:br/>
            </w:r>
            <w:r>
              <w:rPr>
                <w:b/>
                <w:noProof/>
                <w:color w:val="000000" w:themeColor="text1"/>
                <w:sz w:val="18"/>
              </w:rPr>
              <w:t>N+3</w:t>
            </w:r>
          </w:p>
        </w:tc>
        <w:tc>
          <w:tcPr>
            <w:tcW w:w="3240" w:type="dxa"/>
            <w:gridSpan w:val="3"/>
            <w:vAlign w:val="center"/>
          </w:tcPr>
          <w:p>
            <w:pPr>
              <w:jc w:val="center"/>
              <w:rPr>
                <w:b/>
                <w:noProof/>
                <w:color w:val="000000" w:themeColor="text1"/>
                <w:sz w:val="18"/>
              </w:rPr>
            </w:pPr>
            <w:r>
              <w:rPr>
                <w:noProof/>
                <w:color w:val="000000" w:themeColor="text1"/>
                <w:sz w:val="18"/>
              </w:rPr>
              <w:t>Der indsættes flere år, hvis virkningerne varer længere (jf. punkt 1.6)</w:t>
            </w:r>
          </w:p>
        </w:tc>
      </w:tr>
      <w:tr>
        <w:trPr>
          <w:trHeight w:val="388"/>
        </w:trPr>
        <w:tc>
          <w:tcPr>
            <w:tcW w:w="2144" w:type="dxa"/>
            <w:vAlign w:val="center"/>
          </w:tcPr>
          <w:p>
            <w:pPr>
              <w:spacing w:before="40" w:after="40"/>
              <w:rPr>
                <w:noProof/>
                <w:color w:val="000000" w:themeColor="text1"/>
                <w:sz w:val="18"/>
              </w:rPr>
            </w:pPr>
            <w:r>
              <w:rPr>
                <w:noProof/>
                <w:color w:val="000000" w:themeColor="text1"/>
                <w:sz w:val="18"/>
              </w:rPr>
              <w:t>Artikel………….</w:t>
            </w:r>
          </w:p>
        </w:tc>
        <w:tc>
          <w:tcPr>
            <w:tcW w:w="1276" w:type="dxa"/>
          </w:tcPr>
          <w:p>
            <w:pPr>
              <w:spacing w:beforeLines="40" w:before="96" w:afterLines="40" w:after="96"/>
              <w:jc w:val="center"/>
              <w:rPr>
                <w:i/>
                <w:noProof/>
                <w:color w:val="000000" w:themeColor="text1"/>
                <w:sz w:val="18"/>
              </w:rPr>
            </w:pPr>
          </w:p>
        </w:tc>
        <w:tc>
          <w:tcPr>
            <w:tcW w:w="1080" w:type="dxa"/>
          </w:tcPr>
          <w:p>
            <w:pPr>
              <w:spacing w:beforeLines="40" w:before="96" w:afterLines="40" w:after="96"/>
              <w:jc w:val="center"/>
              <w:rPr>
                <w:noProof/>
                <w:color w:val="000000" w:themeColor="text1"/>
                <w:sz w:val="18"/>
              </w:rPr>
            </w:pPr>
          </w:p>
        </w:tc>
        <w:tc>
          <w:tcPr>
            <w:tcW w:w="900" w:type="dxa"/>
          </w:tcPr>
          <w:p>
            <w:pPr>
              <w:spacing w:beforeLines="40" w:before="96" w:afterLines="40" w:after="96"/>
              <w:jc w:val="center"/>
              <w:rPr>
                <w:noProof/>
                <w:color w:val="000000" w:themeColor="text1"/>
                <w:sz w:val="18"/>
              </w:rPr>
            </w:pPr>
          </w:p>
        </w:tc>
        <w:tc>
          <w:tcPr>
            <w:tcW w:w="900" w:type="dxa"/>
          </w:tcPr>
          <w:p>
            <w:pPr>
              <w:spacing w:beforeLines="40" w:before="96" w:afterLines="40" w:after="96"/>
              <w:jc w:val="center"/>
              <w:rPr>
                <w:noProof/>
                <w:color w:val="000000" w:themeColor="text1"/>
                <w:sz w:val="18"/>
              </w:rPr>
            </w:pPr>
          </w:p>
        </w:tc>
        <w:tc>
          <w:tcPr>
            <w:tcW w:w="1080" w:type="dxa"/>
          </w:tcPr>
          <w:p>
            <w:pPr>
              <w:spacing w:beforeLines="40" w:before="96" w:afterLines="40" w:after="96"/>
              <w:jc w:val="center"/>
              <w:rPr>
                <w:noProof/>
                <w:color w:val="000000" w:themeColor="text1"/>
                <w:sz w:val="18"/>
              </w:rPr>
            </w:pPr>
          </w:p>
        </w:tc>
        <w:tc>
          <w:tcPr>
            <w:tcW w:w="1080" w:type="dxa"/>
          </w:tcPr>
          <w:p>
            <w:pPr>
              <w:spacing w:beforeLines="40" w:before="96" w:afterLines="40" w:after="96"/>
              <w:jc w:val="center"/>
              <w:rPr>
                <w:noProof/>
                <w:color w:val="000000" w:themeColor="text1"/>
                <w:sz w:val="18"/>
              </w:rPr>
            </w:pPr>
          </w:p>
        </w:tc>
        <w:tc>
          <w:tcPr>
            <w:tcW w:w="1080" w:type="dxa"/>
          </w:tcPr>
          <w:p>
            <w:pPr>
              <w:spacing w:beforeLines="40" w:before="96" w:afterLines="40" w:after="96"/>
              <w:jc w:val="center"/>
              <w:rPr>
                <w:noProof/>
                <w:color w:val="000000" w:themeColor="text1"/>
                <w:sz w:val="18"/>
              </w:rPr>
            </w:pPr>
          </w:p>
        </w:tc>
        <w:tc>
          <w:tcPr>
            <w:tcW w:w="1080" w:type="dxa"/>
          </w:tcPr>
          <w:p>
            <w:pPr>
              <w:spacing w:beforeLines="40" w:before="96" w:afterLines="40" w:after="96"/>
              <w:jc w:val="center"/>
              <w:rPr>
                <w:noProof/>
                <w:color w:val="000000" w:themeColor="text1"/>
                <w:sz w:val="18"/>
              </w:rPr>
            </w:pPr>
          </w:p>
        </w:tc>
      </w:tr>
    </w:tbl>
    <w:p>
      <w:pPr>
        <w:pStyle w:val="Text1"/>
        <w:rPr>
          <w:noProof/>
          <w:color w:val="000000" w:themeColor="text1"/>
          <w:sz w:val="20"/>
        </w:rPr>
      </w:pPr>
      <w:r>
        <w:rPr>
          <w:noProof/>
          <w:color w:val="000000" w:themeColor="text1"/>
          <w:sz w:val="20"/>
        </w:rPr>
        <w:t>For diverse indtægter, der er formålsbestemte, angives det, hvilke af budgettets udgiftsposter der påvirkes.</w:t>
      </w:r>
    </w:p>
    <w:p>
      <w:pPr>
        <w:pStyle w:val="Text1"/>
        <w:pBdr>
          <w:top w:val="single" w:sz="4" w:space="1" w:color="auto"/>
          <w:left w:val="single" w:sz="4" w:space="4" w:color="auto"/>
          <w:bottom w:val="single" w:sz="4" w:space="1" w:color="auto"/>
          <w:right w:val="single" w:sz="4" w:space="4" w:color="auto"/>
        </w:pBdr>
        <w:rPr>
          <w:noProof/>
          <w:color w:val="000000" w:themeColor="text1"/>
        </w:rPr>
      </w:pPr>
    </w:p>
    <w:p>
      <w:pPr>
        <w:pStyle w:val="Text1"/>
        <w:rPr>
          <w:noProof/>
          <w:color w:val="000000" w:themeColor="text1"/>
        </w:rPr>
      </w:pPr>
      <w:r>
        <w:rPr>
          <w:noProof/>
          <w:color w:val="000000" w:themeColor="text1"/>
          <w:sz w:val="20"/>
        </w:rPr>
        <w:t>Det oplyses, hvilken metode der er benyttet til at beregne virkningerne for indtægterne.</w:t>
      </w:r>
      <w:r>
        <w:rPr>
          <w:noProof/>
          <w:color w:val="000000" w:themeColor="text1"/>
        </w:rPr>
        <w:t xml:space="preserve"> </w:t>
      </w:r>
    </w:p>
    <w:p>
      <w:pPr>
        <w:pBdr>
          <w:top w:val="nil"/>
          <w:left w:val="nil"/>
          <w:bottom w:val="nil"/>
          <w:right w:val="nil"/>
          <w:between w:val="nil"/>
          <w:bar w:val="nil"/>
        </w:pBdr>
        <w:spacing w:before="0" w:after="240"/>
        <w:rPr>
          <w:noProof/>
        </w:rPr>
      </w:pPr>
    </w:p>
    <w:sectPr>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EUAlbertina">
    <w:altName w:val="EU Albertina"/>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DA</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DA</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DA</w:t>
    </w:r>
    <w:r>
      <w:rPr>
        <w:rFonts w:ascii="Arial" w:hAnsi="Arial" w:cs="Arial"/>
        <w:b/>
        <w:sz w:val="48"/>
      </w:rPr>
      <w:tab/>
    </w:r>
    <w:r>
      <w:fldChar w:fldCharType="begin"/>
    </w:r>
    <w:r>
      <w:instrText xml:space="preserve"> PAGE  \* MERGEFORMAT </w:instrText>
    </w:r>
    <w:r>
      <w:fldChar w:fldCharType="separate"/>
    </w:r>
    <w:r>
      <w:rPr>
        <w:noProof/>
      </w:rPr>
      <w:t>14</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DA</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rPr>
        <w:rFonts w:ascii="Arial" w:hAnsi="Arial" w:cs="Arial"/>
        <w:b/>
        <w:sz w:val="48"/>
      </w:rPr>
    </w:pPr>
    <w:r>
      <w:rPr>
        <w:rFonts w:ascii="Arial" w:hAnsi="Arial" w:cs="Arial"/>
        <w:b/>
        <w:sz w:val="48"/>
      </w:rPr>
      <w:t>DA</w:t>
    </w:r>
    <w:r>
      <w:rPr>
        <w:rFonts w:ascii="Arial" w:hAnsi="Arial" w:cs="Arial"/>
        <w:b/>
        <w:sz w:val="48"/>
      </w:rPr>
      <w:tab/>
    </w:r>
    <w:r>
      <w:fldChar w:fldCharType="begin"/>
    </w:r>
    <w:r>
      <w:instrText xml:space="preserve"> PAGE  \* MERGEFORMAT </w:instrText>
    </w:r>
    <w:r>
      <w:fldChar w:fldCharType="separate"/>
    </w:r>
    <w:r>
      <w:rPr>
        <w:noProof/>
      </w:rPr>
      <w:t>26</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DA</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DA</w:t>
    </w:r>
    <w:r>
      <w:rPr>
        <w:rFonts w:ascii="Arial" w:hAnsi="Arial" w:cs="Arial"/>
        <w:b/>
        <w:sz w:val="48"/>
      </w:rPr>
      <w:tab/>
    </w:r>
    <w:r>
      <w:fldChar w:fldCharType="begin"/>
    </w:r>
    <w:r>
      <w:instrText xml:space="preserve"> PAGE  \* MERGEFORMAT </w:instrText>
    </w:r>
    <w:r>
      <w:fldChar w:fldCharType="separate"/>
    </w:r>
    <w:r>
      <w:rPr>
        <w:noProof/>
      </w:rPr>
      <w:t>31</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DA</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Rådets resolution af 16. november 2007 om en europæisk kulturdagsorden (2007/C 287/01) (EUT C 287 af 29.11.2007, s. 1).</w:t>
      </w:r>
    </w:p>
  </w:footnote>
  <w:footnote w:id="2">
    <w:p>
      <w:pPr>
        <w:pStyle w:val="FootnoteText"/>
      </w:pPr>
      <w:r>
        <w:rPr>
          <w:rStyle w:val="FootnoteReference"/>
        </w:rPr>
        <w:footnoteRef/>
      </w:r>
      <w:r>
        <w:tab/>
        <w:t>Konklusioner vedtaget af Rådet og repræsentanterne for medlemsstaternes regeringer, forsamlet i Rådet, om arbejdsplanen på kulturområdet (2015-2018) (2014/C 463/02).</w:t>
      </w:r>
    </w:p>
  </w:footnote>
  <w:footnote w:id="3">
    <w:p>
      <w:pPr>
        <w:pStyle w:val="FootnoteText"/>
      </w:pPr>
      <w:r>
        <w:rPr>
          <w:rStyle w:val="FootnoteReference"/>
        </w:rPr>
        <w:footnoteRef/>
      </w:r>
      <w:r>
        <w:tab/>
        <w:t>Rådets konklusioner af 21. maj 2014 om kulturarv som en strategisk ressource i et bæredygtigt Europa (2014/C 183/08) (EUT C 183 af 14.6.2014, s. 36).</w:t>
      </w:r>
    </w:p>
  </w:footnote>
  <w:footnote w:id="4">
    <w:p>
      <w:pPr>
        <w:pStyle w:val="FootnoteText"/>
      </w:pPr>
      <w:r>
        <w:rPr>
          <w:rStyle w:val="FootnoteReference"/>
        </w:rPr>
        <w:footnoteRef/>
      </w:r>
      <w:r>
        <w:tab/>
        <w:t>Meddelelse fra Kommissionen til Europa-Parlamentet, Rådet, Det Europæiske Økonomiske og Sociale Udvalg og Regionsudvalget af 22. juli 2014 – På vej mod en integreret tilgang til kulturarv i Europa (COM(2014) 477 final).</w:t>
      </w:r>
    </w:p>
  </w:footnote>
  <w:footnote w:id="5">
    <w:p>
      <w:pPr>
        <w:pStyle w:val="FootnoteText"/>
      </w:pPr>
      <w:r>
        <w:rPr>
          <w:rStyle w:val="FootnoteReference"/>
        </w:rPr>
        <w:footnoteRef/>
      </w:r>
      <w:r>
        <w:tab/>
        <w:t>Det Europæiske Regionsudvalgs udtalelse – På vej mod en integreret tilgang til kulturarv i Europa (2015/C 195/04) (EUT C 195 af 12.6.2015, s. 22).</w:t>
      </w:r>
    </w:p>
  </w:footnote>
  <w:footnote w:id="6">
    <w:p>
      <w:pPr>
        <w:pStyle w:val="FootnoteText"/>
      </w:pPr>
      <w:r>
        <w:rPr>
          <w:rStyle w:val="FootnoteReference"/>
        </w:rPr>
        <w:footnoteRef/>
      </w:r>
      <w:r>
        <w:tab/>
        <w:t>Europa-Parlamentets beslutning af 8. september 2015 – På vej mod en integreret tilgang til kulturarv i Europa (2014/2149(INI)) (P8_TA(2015)0293).</w:t>
      </w:r>
    </w:p>
  </w:footnote>
  <w:footnote w:id="7">
    <w:p>
      <w:pPr>
        <w:pStyle w:val="FootnoteText"/>
      </w:pPr>
      <w:r>
        <w:rPr>
          <w:rStyle w:val="FootnoteReference"/>
        </w:rPr>
        <w:footnoteRef/>
      </w:r>
      <w:r>
        <w:tab/>
        <w:t>Rådets konklusioner om deltagerorienteret forvaltning af kulturarven (2014/C 463/01) (EUT C 463 af 23.12.2014, s. 1).</w:t>
      </w:r>
    </w:p>
  </w:footnote>
  <w:footnote w:id="8">
    <w:p>
      <w:pPr>
        <w:pStyle w:val="FootnoteText"/>
      </w:pPr>
      <w:r>
        <w:rPr>
          <w:rStyle w:val="FootnoteReference"/>
        </w:rPr>
        <w:footnoteRef/>
      </w:r>
      <w:r>
        <w:tab/>
        <w:t>Som det fremhæves i den fælles meddelelse fra Unionens højtstående repræsentant for udenrigsanliggender og sikkerhedspolitik og Kommissionen "En EU-strategi for internationale kulturelle forbindelser" (JOIN(2016) 29 final).</w:t>
      </w:r>
    </w:p>
  </w:footnote>
  <w:footnote w:id="9">
    <w:p>
      <w:pPr>
        <w:pStyle w:val="FootnoteText"/>
      </w:pPr>
      <w:r>
        <w:rPr>
          <w:rStyle w:val="FootnoteReference"/>
        </w:rPr>
        <w:footnoteRef/>
      </w:r>
      <w:r>
        <w:tab/>
        <w:t xml:space="preserve">En alliance af netværk og organisationer på området, som Europa Nostra koordinerer. Alliance 3.3 refererer til artikel 3, stk. 3, i traktaten om Den Europæiske Union (TEU). </w:t>
      </w:r>
    </w:p>
  </w:footnote>
  <w:footnote w:id="10">
    <w:p>
      <w:pPr>
        <w:pStyle w:val="FootnoteText"/>
      </w:pPr>
      <w:r>
        <w:rPr>
          <w:rStyle w:val="FootnoteReference"/>
        </w:rPr>
        <w:footnoteRef/>
      </w:r>
      <w:r>
        <w:tab/>
      </w:r>
      <w:hyperlink r:id="rId1" w:history="1">
        <w:r>
          <w:rPr>
            <w:rStyle w:val="Hyperlink"/>
          </w:rPr>
          <w:t>http://www.sharingheritage.de/en/main/</w:t>
        </w:r>
      </w:hyperlink>
      <w:r>
        <w:t>.</w:t>
      </w:r>
    </w:p>
  </w:footnote>
  <w:footnote w:id="11">
    <w:p>
      <w:pPr>
        <w:pStyle w:val="FootnoteText"/>
      </w:pPr>
      <w:r>
        <w:rPr>
          <w:rStyle w:val="FootnoteReference"/>
        </w:rPr>
        <w:footnoteRef/>
      </w:r>
      <w:r>
        <w:tab/>
      </w:r>
      <w:hyperlink r:id="rId2" w:history="1">
        <w:r>
          <w:rPr>
            <w:rStyle w:val="Hyperlink0"/>
          </w:rPr>
          <w:t>http://ec.europa.eu/culture/news/2015/0612-cultural-heritage-counts_en.htm</w:t>
        </w:r>
      </w:hyperlink>
      <w:r>
        <w:t>.</w:t>
      </w:r>
    </w:p>
  </w:footnote>
  <w:footnote w:id="12">
    <w:p>
      <w:pPr>
        <w:pStyle w:val="FootnoteText"/>
      </w:pPr>
      <w:r>
        <w:rPr>
          <w:rStyle w:val="FootnoteReference"/>
        </w:rPr>
        <w:footnoteRef/>
      </w:r>
      <w:r>
        <w:tab/>
      </w:r>
      <w:hyperlink r:id="rId3" w:history="1">
        <w:r>
          <w:rPr>
            <w:rStyle w:val="Hyperlink0"/>
          </w:rPr>
          <w:t>http://bookshop.europa.eu/en/getting-cultural-heritage-to-work-for-europe-pbKI0  115128/</w:t>
        </w:r>
      </w:hyperlink>
      <w:r>
        <w:t>.</w:t>
      </w:r>
    </w:p>
  </w:footnote>
  <w:footnote w:id="13">
    <w:p>
      <w:pPr>
        <w:pStyle w:val="FootnoteText"/>
      </w:pPr>
      <w:r>
        <w:rPr>
          <w:rStyle w:val="FootnoteReference"/>
        </w:rPr>
        <w:footnoteRef/>
      </w:r>
      <w:r>
        <w:tab/>
      </w:r>
      <w:hyperlink r:id="rId4" w:history="1">
        <w:r>
          <w:rPr>
            <w:rStyle w:val="Hyperlink0"/>
          </w:rPr>
          <w:t>http://www.jpi-culturalheritage.eu/wp-content/uploads/SRA-2014-06.pdf</w:t>
        </w:r>
      </w:hyperlink>
      <w:r>
        <w:t>.</w:t>
      </w:r>
    </w:p>
  </w:footnote>
  <w:footnote w:id="14">
    <w:p>
      <w:pPr>
        <w:pStyle w:val="FootnoteText"/>
        <w:rPr>
          <w:lang w:val="en-GB"/>
        </w:rPr>
      </w:pPr>
      <w:r>
        <w:rPr>
          <w:rStyle w:val="FootnoteReference"/>
        </w:rPr>
        <w:footnoteRef/>
      </w:r>
      <w:r>
        <w:rPr>
          <w:lang w:val="en-GB"/>
        </w:rPr>
        <w:tab/>
      </w:r>
      <w:hyperlink r:id="rId5" w:history="1">
        <w:r>
          <w:rPr>
            <w:rStyle w:val="Hyperlink"/>
            <w:lang w:val="en-GB"/>
          </w:rPr>
          <w:t>http://www.culturalbase.eu</w:t>
        </w:r>
      </w:hyperlink>
      <w:r>
        <w:rPr>
          <w:lang w:val="en-GB"/>
        </w:rPr>
        <w:t>.</w:t>
      </w:r>
    </w:p>
  </w:footnote>
  <w:footnote w:id="15">
    <w:p>
      <w:pPr>
        <w:pStyle w:val="FootnoteText"/>
        <w:rPr>
          <w:lang w:val="en-GB"/>
        </w:rPr>
      </w:pPr>
      <w:r>
        <w:rPr>
          <w:rStyle w:val="FootnoteReference"/>
        </w:rPr>
        <w:footnoteRef/>
      </w:r>
      <w:r>
        <w:rPr>
          <w:lang w:val="en-GB"/>
        </w:rPr>
        <w:tab/>
        <w:t xml:space="preserve">ESFRI, Strategy Report on Research Infrastructures, Roadmap 2016. </w:t>
      </w:r>
    </w:p>
  </w:footnote>
  <w:footnote w:id="16">
    <w:p>
      <w:pPr>
        <w:pStyle w:val="FootnoteText"/>
      </w:pPr>
      <w:r>
        <w:rPr>
          <w:rStyle w:val="FootnoteReference"/>
        </w:rPr>
        <w:footnoteRef/>
      </w:r>
      <w:r>
        <w:tab/>
        <w:t>EUT C , , s. .</w:t>
      </w:r>
    </w:p>
  </w:footnote>
  <w:footnote w:id="17">
    <w:p>
      <w:pPr>
        <w:pStyle w:val="FootnoteText"/>
      </w:pPr>
      <w:r>
        <w:rPr>
          <w:rStyle w:val="FootnoteReference"/>
        </w:rPr>
        <w:footnoteRef/>
      </w:r>
      <w:r>
        <w:tab/>
        <w:t>Meddelelse fra Kommissionen til Europa-Parlamentet, Rådet, Det Europæiske Økonomiske og Sociale Udvalg og Regionsudvalget af 22. juli 2014 – På vej mod en integreret tilgang til kulturarv i Europa (COM(2014) 477 final).</w:t>
      </w:r>
    </w:p>
  </w:footnote>
  <w:footnote w:id="18">
    <w:p>
      <w:pPr>
        <w:pStyle w:val="FootnoteText"/>
      </w:pPr>
      <w:r>
        <w:rPr>
          <w:rStyle w:val="FootnoteReference"/>
        </w:rPr>
        <w:footnoteRef/>
      </w:r>
      <w:r>
        <w:tab/>
        <w:t>Rådets konklusioner af 21. maj 2014 om kulturarv som en strategisk ressource i et bæredygtigt Europa (2014/C 183/08) (EUT C 183 af 14.6.2014, s. 36).</w:t>
      </w:r>
    </w:p>
  </w:footnote>
  <w:footnote w:id="19">
    <w:p>
      <w:pPr>
        <w:pStyle w:val="FootnoteText"/>
      </w:pPr>
      <w:r>
        <w:rPr>
          <w:rStyle w:val="FootnoteReference"/>
        </w:rPr>
        <w:footnoteRef/>
      </w:r>
      <w:r>
        <w:tab/>
        <w:t>Rådets resolution af 16. november 2007 om en europæisk kulturdagsorden (2007/C 287/01) (EUT C 287 af 29.11.2007, s. 1).</w:t>
      </w:r>
    </w:p>
  </w:footnote>
  <w:footnote w:id="20">
    <w:p>
      <w:pPr>
        <w:pStyle w:val="FootnoteText"/>
      </w:pPr>
      <w:r>
        <w:rPr>
          <w:rStyle w:val="FootnoteReference"/>
        </w:rPr>
        <w:footnoteRef/>
      </w:r>
      <w:r>
        <w:tab/>
        <w:t>Konklusioner vedtaget af Rådet og repræsentanterne for medlemsstaternes regeringer, forsamlet i Rådet, om arbejdsplanen på kulturområdet (2015-2018) (2014/C 463/02) (EUT C 463 af 23.12.2014, s. 4).</w:t>
      </w:r>
    </w:p>
  </w:footnote>
  <w:footnote w:id="21">
    <w:p>
      <w:pPr>
        <w:pStyle w:val="FootnoteText"/>
      </w:pPr>
      <w:r>
        <w:rPr>
          <w:rStyle w:val="FootnoteReference"/>
        </w:rPr>
        <w:footnoteRef/>
      </w:r>
      <w:r>
        <w:tab/>
        <w:t>UNESCO's konvention om beskyttelse og fremme af de kulturelle udtryksformers mangfoldighed, 20. oktober 2005 i Paris.</w:t>
      </w:r>
    </w:p>
  </w:footnote>
  <w:footnote w:id="22">
    <w:p>
      <w:pPr>
        <w:pStyle w:val="FootnoteText"/>
      </w:pPr>
      <w:r>
        <w:rPr>
          <w:rStyle w:val="FootnoteReference"/>
        </w:rPr>
        <w:footnoteRef/>
      </w:r>
      <w:r>
        <w:tab/>
        <w:t>FN-resolution vedtaget af FN's Generalforsamling den 25. september 2015 – Ændring af vores samfund: 2030-dagsorden for bæredygtig udvikling.</w:t>
      </w:r>
    </w:p>
  </w:footnote>
  <w:footnote w:id="23">
    <w:p>
      <w:pPr>
        <w:pStyle w:val="FootnoteText"/>
      </w:pPr>
      <w:r>
        <w:rPr>
          <w:rStyle w:val="FootnoteReference"/>
        </w:rPr>
        <w:footnoteRef/>
      </w:r>
      <w:r>
        <w:tab/>
        <w:t>Rådets konklusioner om deltagerorienteret forvaltning af kulturarven (2014/C 463/01) (EUT C 463 af 23.12.2014, s. 1).</w:t>
      </w:r>
    </w:p>
  </w:footnote>
  <w:footnote w:id="24">
    <w:p>
      <w:pPr>
        <w:pStyle w:val="FootnoteText"/>
      </w:pPr>
      <w:r>
        <w:rPr>
          <w:rStyle w:val="FootnoteReference"/>
        </w:rPr>
        <w:footnoteRef/>
      </w:r>
      <w:r>
        <w:tab/>
        <w:t>Europa-Parlamentets beslutning af 8. september 2015 på vej mod en integreret tilgang til kulturarv i Europa (2014/2149(INI)) (P8_TA(2015)0293).</w:t>
      </w:r>
    </w:p>
  </w:footnote>
  <w:footnote w:id="25">
    <w:p>
      <w:pPr>
        <w:pStyle w:val="FootnoteText"/>
      </w:pPr>
      <w:r>
        <w:rPr>
          <w:rStyle w:val="FootnoteReference"/>
        </w:rPr>
        <w:footnoteRef/>
      </w:r>
      <w:r>
        <w:tab/>
        <w:t>Det Europæiske Regionsudvalgs udtalelse – På vej mod en integreret tilgang til kulturarv i Europa (2015/C 195/04) (EUT C 195 af 12.6.2015, s. 22).</w:t>
      </w:r>
    </w:p>
  </w:footnote>
  <w:footnote w:id="26">
    <w:p>
      <w:pPr>
        <w:pStyle w:val="FootnoteText"/>
      </w:pPr>
      <w:r>
        <w:rPr>
          <w:rStyle w:val="FootnoteReference"/>
        </w:rPr>
        <w:footnoteRef/>
      </w:r>
      <w:r>
        <w:tab/>
        <w:t>Som fremhævet i den fælles meddelelse fra Unionens højtstående repræsentant for udenrigsanliggender og sikkerhedspolitik og Kommissionen "En EU-strategi for internationale kulturelle forbindelser" (JOIN(2016) 29 final).</w:t>
      </w:r>
    </w:p>
  </w:footnote>
  <w:footnote w:id="27">
    <w:p>
      <w:pPr>
        <w:pStyle w:val="FootnoteText"/>
        <w:rPr>
          <w:szCs w:val="24"/>
        </w:rPr>
      </w:pPr>
      <w:r>
        <w:rPr>
          <w:rStyle w:val="FootnoteReference"/>
        </w:rPr>
        <w:footnoteRef/>
      </w:r>
      <w:r>
        <w:tab/>
        <w:t>ABM: aktivitetsbaseret ledelse, ABB: aktivitetsbaseret budgetlægning.</w:t>
      </w:r>
    </w:p>
  </w:footnote>
  <w:footnote w:id="28">
    <w:p>
      <w:pPr>
        <w:pStyle w:val="FootnoteText"/>
        <w:rPr>
          <w:szCs w:val="24"/>
        </w:rPr>
      </w:pPr>
      <w:r>
        <w:rPr>
          <w:rStyle w:val="FootnoteReference"/>
        </w:rPr>
        <w:footnoteRef/>
      </w:r>
      <w:r>
        <w:tab/>
        <w:t>Jf. artikel 54, stk. 2, litra a) eller b), i finansforordningen.</w:t>
      </w:r>
    </w:p>
  </w:footnote>
  <w:footnote w:id="29">
    <w:p>
      <w:pPr>
        <w:pStyle w:val="FootnoteText"/>
        <w:rPr>
          <w:szCs w:val="24"/>
        </w:rPr>
      </w:pPr>
      <w:r>
        <w:rPr>
          <w:rStyle w:val="FootnoteReference"/>
        </w:rPr>
        <w:footnoteRef/>
      </w:r>
      <w:r>
        <w:tab/>
        <w:t>Forklaringer vedrørende forvaltningsmåder og henvisninger til finansforordningen findes på webstedet BudgWeb: https://myintracomm.ec.testa.eu/budgweb/EN/man/budgmanag/Pages/budgmanag.aspx.</w:t>
      </w:r>
    </w:p>
  </w:footnote>
  <w:footnote w:id="30">
    <w:p>
      <w:pPr>
        <w:pStyle w:val="FootnoteText"/>
        <w:rPr>
          <w:szCs w:val="24"/>
        </w:rPr>
      </w:pPr>
      <w:r>
        <w:rPr>
          <w:rStyle w:val="FootnoteReference"/>
        </w:rPr>
        <w:footnoteRef/>
      </w:r>
      <w:r>
        <w:tab/>
        <w:t>OB = opdelte bevillinger/IOB = ikkeopdelte bevillinger.</w:t>
      </w:r>
    </w:p>
  </w:footnote>
  <w:footnote w:id="31">
    <w:p>
      <w:pPr>
        <w:pStyle w:val="FootnoteText"/>
        <w:rPr>
          <w:szCs w:val="24"/>
        </w:rPr>
      </w:pPr>
      <w:r>
        <w:rPr>
          <w:rStyle w:val="FootnoteReference"/>
        </w:rPr>
        <w:footnoteRef/>
      </w:r>
      <w:r>
        <w:tab/>
        <w:t xml:space="preserve">EFTA: Den Europæiske Frihandelssammenslutning. </w:t>
      </w:r>
    </w:p>
  </w:footnote>
  <w:footnote w:id="32">
    <w:p>
      <w:pPr>
        <w:pStyle w:val="FootnoteText"/>
        <w:rPr>
          <w:szCs w:val="24"/>
        </w:rPr>
      </w:pPr>
      <w:r>
        <w:rPr>
          <w:rStyle w:val="FootnoteReference"/>
        </w:rPr>
        <w:footnoteRef/>
      </w:r>
      <w:r>
        <w:tab/>
        <w:t>Kandidatlande og efter omstændighederne potentielle kandidatlande på Vestbalkan.</w:t>
      </w:r>
    </w:p>
  </w:footnote>
  <w:footnote w:id="33">
    <w:p>
      <w:pPr>
        <w:pStyle w:val="FootnoteText"/>
        <w:rPr>
          <w:szCs w:val="24"/>
        </w:rPr>
      </w:pPr>
      <w:r>
        <w:rPr>
          <w:rStyle w:val="FootnoteReference"/>
        </w:rPr>
        <w:footnoteRef/>
      </w:r>
      <w:r>
        <w:tab/>
        <w:t>År N er det år, hvor gennemførelsen af forslaget/initiativet begynder.</w:t>
      </w:r>
    </w:p>
  </w:footnote>
  <w:footnote w:id="34">
    <w:p>
      <w:pPr>
        <w:pStyle w:val="FootnoteText"/>
        <w:rPr>
          <w:szCs w:val="24"/>
        </w:rPr>
      </w:pPr>
      <w:r>
        <w:rPr>
          <w:rStyle w:val="FootnoteReference"/>
        </w:rPr>
        <w:footnoteRef/>
      </w:r>
      <w:r>
        <w:tab/>
        <w:t>Teknisk og/eller administrativ bistand og udgifter til støtte for gennemførelsen af EU's programmer og/eller foranstaltninger (tidligere BA-poster), indirekte forskning, direkte forskning.</w:t>
      </w:r>
    </w:p>
  </w:footnote>
  <w:footnote w:id="35">
    <w:p>
      <w:pPr>
        <w:pStyle w:val="FootnoteText"/>
        <w:rPr>
          <w:szCs w:val="24"/>
        </w:rPr>
      </w:pPr>
      <w:r>
        <w:rPr>
          <w:rStyle w:val="FootnoteReference"/>
        </w:rPr>
        <w:footnoteRef/>
      </w:r>
      <w:r>
        <w:tab/>
        <w:t>År N er det år, hvor gennemførelsen af forslaget/initiativet begynder.</w:t>
      </w:r>
    </w:p>
  </w:footnote>
  <w:footnote w:id="36">
    <w:p>
      <w:pPr>
        <w:pStyle w:val="FootnoteText"/>
        <w:rPr>
          <w:szCs w:val="24"/>
        </w:rPr>
      </w:pPr>
      <w:r>
        <w:rPr>
          <w:rStyle w:val="FootnoteReference"/>
        </w:rPr>
        <w:footnoteRef/>
      </w:r>
      <w:r>
        <w:tab/>
        <w:t>Resultater er de produkter og tjenesteydelser, der skal leveres  (f.eks. antal finansierede studenterudvekslinger, antal km bygget vej osv.).</w:t>
      </w:r>
    </w:p>
  </w:footnote>
  <w:footnote w:id="37">
    <w:p>
      <w:pPr>
        <w:pStyle w:val="FootnoteText"/>
        <w:rPr>
          <w:szCs w:val="24"/>
        </w:rPr>
      </w:pPr>
      <w:r>
        <w:rPr>
          <w:rStyle w:val="FootnoteReference"/>
        </w:rPr>
        <w:footnoteRef/>
      </w:r>
      <w:r>
        <w:tab/>
        <w:t xml:space="preserve">Som beskrevet i del 1.4.2. "Specifikke mål…". </w:t>
      </w:r>
    </w:p>
  </w:footnote>
  <w:footnote w:id="38">
    <w:p>
      <w:pPr>
        <w:pStyle w:val="FootnoteText"/>
        <w:rPr>
          <w:szCs w:val="24"/>
        </w:rPr>
      </w:pPr>
      <w:r>
        <w:rPr>
          <w:rStyle w:val="FootnoteReference"/>
        </w:rPr>
        <w:footnoteRef/>
      </w:r>
      <w:r>
        <w:tab/>
        <w:t>År N er det år, hvor gennemførelsen af forslaget/initiativet begynder.</w:t>
      </w:r>
    </w:p>
  </w:footnote>
  <w:footnote w:id="39">
    <w:p>
      <w:pPr>
        <w:pStyle w:val="FootnoteText"/>
        <w:rPr>
          <w:szCs w:val="24"/>
        </w:rPr>
      </w:pPr>
      <w:r>
        <w:rPr>
          <w:rStyle w:val="FootnoteReference"/>
        </w:rPr>
        <w:footnoteRef/>
      </w:r>
      <w:r>
        <w:tab/>
        <w:t>Teknisk og/eller administrativ bistand og udgifter til støtte for gennemførelsen af EU's programmer og/eller foranstaltninger (tidligere BA-poster), indirekte forskning, direkte forskning.</w:t>
      </w:r>
    </w:p>
  </w:footnote>
  <w:footnote w:id="40">
    <w:p>
      <w:pPr>
        <w:pStyle w:val="FootnoteText"/>
        <w:rPr>
          <w:szCs w:val="24"/>
        </w:rPr>
      </w:pPr>
      <w:r>
        <w:rPr>
          <w:rStyle w:val="FootnoteReference"/>
        </w:rPr>
        <w:footnoteRef/>
      </w:r>
      <w:r>
        <w:tab/>
        <w:t xml:space="preserve">KA = kontraktansatte, LA = lokalt ansatte, UNE = udstationerede nationale eksperter, INT = midlertidigt ansatte, JED = junioreksperter ved delegationerne. </w:t>
      </w:r>
    </w:p>
  </w:footnote>
  <w:footnote w:id="41">
    <w:p>
      <w:pPr>
        <w:pStyle w:val="FootnoteText"/>
        <w:rPr>
          <w:szCs w:val="24"/>
        </w:rPr>
      </w:pPr>
      <w:r>
        <w:rPr>
          <w:rStyle w:val="FootnoteReference"/>
        </w:rPr>
        <w:footnoteRef/>
      </w:r>
      <w:r>
        <w:tab/>
        <w:t>Delloft for eksternt personale under aktionsbevillingerne (tidligere BA-poster).</w:t>
      </w:r>
    </w:p>
  </w:footnote>
  <w:footnote w:id="42">
    <w:p>
      <w:pPr>
        <w:pStyle w:val="FootnoteText"/>
        <w:rPr>
          <w:szCs w:val="24"/>
        </w:rPr>
      </w:pPr>
      <w:r>
        <w:rPr>
          <w:rStyle w:val="FootnoteReference"/>
        </w:rPr>
        <w:footnoteRef/>
      </w:r>
      <w:r>
        <w:tab/>
        <w:t>Med hensyn til EU's traditionelle egne indtægter (told, sukkerafgifter) opgives beløbene netto, dvs. bruttobeløb, hvorfra opkrævningsomkostningerne på 25 % er fratrukket.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B1442822"/>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9024251E"/>
    <w:lvl w:ilvl="0">
      <w:start w:val="1"/>
      <w:numFmt w:val="decimal"/>
      <w:pStyle w:val="ListNumber3"/>
      <w:lvlText w:val="%1."/>
      <w:lvlJc w:val="left"/>
      <w:pPr>
        <w:tabs>
          <w:tab w:val="num" w:pos="926"/>
        </w:tabs>
        <w:ind w:left="926" w:hanging="360"/>
      </w:pPr>
    </w:lvl>
  </w:abstractNum>
  <w:abstractNum w:abstractNumId="2">
    <w:nsid w:val="FFFFFF7F"/>
    <w:multiLevelType w:val="singleLevel"/>
    <w:tmpl w:val="BAC487B6"/>
    <w:lvl w:ilvl="0">
      <w:start w:val="1"/>
      <w:numFmt w:val="decimal"/>
      <w:pStyle w:val="ListNumber2"/>
      <w:lvlText w:val="%1."/>
      <w:lvlJc w:val="left"/>
      <w:pPr>
        <w:tabs>
          <w:tab w:val="num" w:pos="643"/>
        </w:tabs>
        <w:ind w:left="643" w:hanging="360"/>
      </w:pPr>
    </w:lvl>
  </w:abstractNum>
  <w:abstractNum w:abstractNumId="3">
    <w:nsid w:val="FFFFFF81"/>
    <w:multiLevelType w:val="singleLevel"/>
    <w:tmpl w:val="38A68C1A"/>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A09645F6"/>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512C8870"/>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1960C650"/>
    <w:lvl w:ilvl="0">
      <w:start w:val="1"/>
      <w:numFmt w:val="decimal"/>
      <w:pStyle w:val="ListNumber"/>
      <w:lvlText w:val="%1."/>
      <w:lvlJc w:val="left"/>
      <w:pPr>
        <w:tabs>
          <w:tab w:val="num" w:pos="360"/>
        </w:tabs>
        <w:ind w:left="360" w:hanging="360"/>
      </w:pPr>
    </w:lvl>
  </w:abstractNum>
  <w:abstractNum w:abstractNumId="7">
    <w:nsid w:val="FFFFFF89"/>
    <w:multiLevelType w:val="singleLevel"/>
    <w:tmpl w:val="ADC264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9">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nsid w:val="358D1B6B"/>
    <w:multiLevelType w:val="hybridMultilevel"/>
    <w:tmpl w:val="FFD05CB6"/>
    <w:styleLink w:val="Stileimportato2"/>
    <w:lvl w:ilvl="0" w:tplc="4242606A">
      <w:start w:val="1"/>
      <w:numFmt w:val="decimal"/>
      <w:lvlText w:val="(%1)"/>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1" w:tplc="5C4E8F6A">
      <w:start w:val="1"/>
      <w:numFmt w:val="decimal"/>
      <w:lvlText w:val="(%2)"/>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2" w:tplc="5D4CC31E">
      <w:start w:val="1"/>
      <w:numFmt w:val="decimal"/>
      <w:lvlText w:val="(%3)"/>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3" w:tplc="FA3C9D78">
      <w:start w:val="1"/>
      <w:numFmt w:val="decimal"/>
      <w:lvlText w:val="(%4)"/>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4" w:tplc="93A0E044">
      <w:start w:val="1"/>
      <w:numFmt w:val="decimal"/>
      <w:lvlText w:val="(%5)"/>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5" w:tplc="3732F2B8">
      <w:start w:val="1"/>
      <w:numFmt w:val="decimal"/>
      <w:lvlText w:val="(%6)"/>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6" w:tplc="0D408D16">
      <w:start w:val="1"/>
      <w:numFmt w:val="decimal"/>
      <w:lvlText w:val="(%7)"/>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7" w:tplc="0C241C22">
      <w:start w:val="1"/>
      <w:numFmt w:val="decimal"/>
      <w:lvlText w:val="(%8)"/>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8" w:tplc="9B86F2D8">
      <w:start w:val="1"/>
      <w:numFmt w:val="decimal"/>
      <w:lvlText w:val="(%9)"/>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8">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9">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nsid w:val="5F700930"/>
    <w:multiLevelType w:val="hybridMultilevel"/>
    <w:tmpl w:val="43347B4A"/>
    <w:styleLink w:val="Stileimportato4"/>
    <w:lvl w:ilvl="0" w:tplc="62A26DC8">
      <w:start w:val="1"/>
      <w:numFmt w:val="decimal"/>
      <w:lvlText w:val="(%1)"/>
      <w:lvlJc w:val="left"/>
      <w:pPr>
        <w:ind w:left="850" w:hanging="850"/>
      </w:pPr>
      <w:rPr>
        <w:rFonts w:hAnsi="Arial Unicode MS"/>
        <w:caps w:val="0"/>
        <w:smallCaps w:val="0"/>
        <w:strike w:val="0"/>
        <w:dstrike w:val="0"/>
        <w:outline w:val="0"/>
        <w:emboss w:val="0"/>
        <w:imprint w:val="0"/>
        <w:spacing w:val="0"/>
        <w:w w:val="100"/>
        <w:kern w:val="0"/>
        <w:position w:val="0"/>
        <w:highlight w:val="none"/>
        <w:vertAlign w:val="baseline"/>
      </w:rPr>
    </w:lvl>
    <w:lvl w:ilvl="1" w:tplc="05AE2482">
      <w:start w:val="1"/>
      <w:numFmt w:val="lowerLetter"/>
      <w:lvlText w:val="(%2)"/>
      <w:lvlJc w:val="left"/>
      <w:pPr>
        <w:ind w:left="850" w:hanging="850"/>
      </w:pPr>
      <w:rPr>
        <w:rFonts w:hAnsi="Arial Unicode MS"/>
        <w:caps w:val="0"/>
        <w:smallCaps w:val="0"/>
        <w:strike w:val="0"/>
        <w:dstrike w:val="0"/>
        <w:outline w:val="0"/>
        <w:emboss w:val="0"/>
        <w:imprint w:val="0"/>
        <w:spacing w:val="0"/>
        <w:w w:val="100"/>
        <w:kern w:val="0"/>
        <w:position w:val="0"/>
        <w:highlight w:val="none"/>
        <w:vertAlign w:val="baseline"/>
      </w:rPr>
    </w:lvl>
    <w:lvl w:ilvl="2" w:tplc="09F45A00">
      <w:start w:val="1"/>
      <w:numFmt w:val="decimal"/>
      <w:lvlText w:val="(%3)"/>
      <w:lvlJc w:val="left"/>
      <w:pPr>
        <w:ind w:left="1417" w:hanging="567"/>
      </w:pPr>
      <w:rPr>
        <w:rFonts w:hAnsi="Arial Unicode MS"/>
        <w:caps w:val="0"/>
        <w:smallCaps w:val="0"/>
        <w:strike w:val="0"/>
        <w:dstrike w:val="0"/>
        <w:outline w:val="0"/>
        <w:emboss w:val="0"/>
        <w:imprint w:val="0"/>
        <w:spacing w:val="0"/>
        <w:w w:val="100"/>
        <w:kern w:val="0"/>
        <w:position w:val="0"/>
        <w:highlight w:val="none"/>
        <w:vertAlign w:val="baseline"/>
      </w:rPr>
    </w:lvl>
    <w:lvl w:ilvl="3" w:tplc="4BC8AD12">
      <w:start w:val="1"/>
      <w:numFmt w:val="lowerLetter"/>
      <w:lvlText w:val="(%4)"/>
      <w:lvlJc w:val="left"/>
      <w:pPr>
        <w:ind w:left="1417" w:hanging="567"/>
      </w:pPr>
      <w:rPr>
        <w:rFonts w:hAnsi="Arial Unicode MS"/>
        <w:caps w:val="0"/>
        <w:smallCaps w:val="0"/>
        <w:strike w:val="0"/>
        <w:dstrike w:val="0"/>
        <w:outline w:val="0"/>
        <w:emboss w:val="0"/>
        <w:imprint w:val="0"/>
        <w:spacing w:val="0"/>
        <w:w w:val="100"/>
        <w:kern w:val="0"/>
        <w:position w:val="0"/>
        <w:highlight w:val="none"/>
        <w:vertAlign w:val="baseline"/>
      </w:rPr>
    </w:lvl>
    <w:lvl w:ilvl="4" w:tplc="3B907EC4">
      <w:start w:val="1"/>
      <w:numFmt w:val="decimal"/>
      <w:lvlText w:val="(%5)"/>
      <w:lvlJc w:val="left"/>
      <w:pPr>
        <w:ind w:left="1984" w:hanging="567"/>
      </w:pPr>
      <w:rPr>
        <w:rFonts w:hAnsi="Arial Unicode MS"/>
        <w:caps w:val="0"/>
        <w:smallCaps w:val="0"/>
        <w:strike w:val="0"/>
        <w:dstrike w:val="0"/>
        <w:outline w:val="0"/>
        <w:emboss w:val="0"/>
        <w:imprint w:val="0"/>
        <w:spacing w:val="0"/>
        <w:w w:val="100"/>
        <w:kern w:val="0"/>
        <w:position w:val="0"/>
        <w:highlight w:val="none"/>
        <w:vertAlign w:val="baseline"/>
      </w:rPr>
    </w:lvl>
    <w:lvl w:ilvl="5" w:tplc="BEA2CD34">
      <w:start w:val="1"/>
      <w:numFmt w:val="lowerLetter"/>
      <w:lvlText w:val="(%6)"/>
      <w:lvlJc w:val="left"/>
      <w:pPr>
        <w:ind w:left="1984" w:hanging="567"/>
      </w:pPr>
      <w:rPr>
        <w:rFonts w:hAnsi="Arial Unicode MS"/>
        <w:caps w:val="0"/>
        <w:smallCaps w:val="0"/>
        <w:strike w:val="0"/>
        <w:dstrike w:val="0"/>
        <w:outline w:val="0"/>
        <w:emboss w:val="0"/>
        <w:imprint w:val="0"/>
        <w:spacing w:val="0"/>
        <w:w w:val="100"/>
        <w:kern w:val="0"/>
        <w:position w:val="0"/>
        <w:highlight w:val="none"/>
        <w:vertAlign w:val="baseline"/>
      </w:rPr>
    </w:lvl>
    <w:lvl w:ilvl="6" w:tplc="EE10698A">
      <w:start w:val="1"/>
      <w:numFmt w:val="decimal"/>
      <w:lvlText w:val="(%7)"/>
      <w:lvlJc w:val="left"/>
      <w:pPr>
        <w:ind w:left="2551" w:hanging="567"/>
      </w:pPr>
      <w:rPr>
        <w:rFonts w:hAnsi="Arial Unicode MS"/>
        <w:caps w:val="0"/>
        <w:smallCaps w:val="0"/>
        <w:strike w:val="0"/>
        <w:dstrike w:val="0"/>
        <w:outline w:val="0"/>
        <w:emboss w:val="0"/>
        <w:imprint w:val="0"/>
        <w:spacing w:val="0"/>
        <w:w w:val="100"/>
        <w:kern w:val="0"/>
        <w:position w:val="0"/>
        <w:highlight w:val="none"/>
        <w:vertAlign w:val="baseline"/>
      </w:rPr>
    </w:lvl>
    <w:lvl w:ilvl="7" w:tplc="61C89A60">
      <w:start w:val="1"/>
      <w:numFmt w:val="lowerLetter"/>
      <w:lvlText w:val="(%8)"/>
      <w:lvlJc w:val="left"/>
      <w:pPr>
        <w:ind w:left="2551" w:hanging="567"/>
      </w:pPr>
      <w:rPr>
        <w:rFonts w:hAnsi="Arial Unicode MS"/>
        <w:caps w:val="0"/>
        <w:smallCaps w:val="0"/>
        <w:strike w:val="0"/>
        <w:dstrike w:val="0"/>
        <w:outline w:val="0"/>
        <w:emboss w:val="0"/>
        <w:imprint w:val="0"/>
        <w:spacing w:val="0"/>
        <w:w w:val="100"/>
        <w:kern w:val="0"/>
        <w:position w:val="0"/>
        <w:highlight w:val="none"/>
        <w:vertAlign w:val="baseline"/>
      </w:rPr>
    </w:lvl>
    <w:lvl w:ilvl="8" w:tplc="F516D676">
      <w:start w:val="1"/>
      <w:numFmt w:val="lowerLetter"/>
      <w:lvlText w:val="(%9)"/>
      <w:lvlJc w:val="left"/>
      <w:pPr>
        <w:ind w:left="3118" w:hanging="56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4">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6">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3"/>
  </w:num>
  <w:num w:numId="2">
    <w:abstractNumId w:val="23"/>
  </w:num>
  <w:num w:numId="3">
    <w:abstractNumId w:val="26"/>
    <w:lvlOverride w:ilvl="0">
      <w:startOverride w:val="1"/>
    </w:lvlOverride>
  </w:num>
  <w:num w:numId="4">
    <w:abstractNumId w:val="7"/>
  </w:num>
  <w:num w:numId="5">
    <w:abstractNumId w:val="5"/>
  </w:num>
  <w:num w:numId="6">
    <w:abstractNumId w:val="4"/>
  </w:num>
  <w:num w:numId="7">
    <w:abstractNumId w:val="3"/>
  </w:num>
  <w:num w:numId="8">
    <w:abstractNumId w:val="6"/>
  </w:num>
  <w:num w:numId="9">
    <w:abstractNumId w:val="2"/>
  </w:num>
  <w:num w:numId="10">
    <w:abstractNumId w:val="1"/>
  </w:num>
  <w:num w:numId="11">
    <w:abstractNumId w:val="0"/>
  </w:num>
  <w:num w:numId="12">
    <w:abstractNumId w:val="22"/>
    <w:lvlOverride w:ilvl="0">
      <w:startOverride w:val="1"/>
    </w:lvlOverride>
  </w:num>
  <w:num w:numId="13">
    <w:abstractNumId w:val="8"/>
  </w:num>
  <w:num w:numId="14">
    <w:abstractNumId w:val="18"/>
  </w:num>
  <w:num w:numId="15">
    <w:abstractNumId w:val="17"/>
  </w:num>
  <w:num w:numId="16">
    <w:abstractNumId w:val="24"/>
  </w:num>
  <w:num w:numId="17">
    <w:abstractNumId w:val="26"/>
  </w:num>
  <w:num w:numId="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num>
  <w:num w:numId="20">
    <w:abstractNumId w:val="14"/>
  </w:num>
  <w:num w:numId="21">
    <w:abstractNumId w:val="25"/>
  </w:num>
  <w:num w:numId="22">
    <w:abstractNumId w:val="12"/>
  </w:num>
  <w:num w:numId="23">
    <w:abstractNumId w:val="15"/>
  </w:num>
  <w:num w:numId="24">
    <w:abstractNumId w:val="10"/>
  </w:num>
  <w:num w:numId="25">
    <w:abstractNumId w:val="24"/>
  </w:num>
  <w:num w:numId="26">
    <w:abstractNumId w:val="9"/>
  </w:num>
  <w:num w:numId="27">
    <w:abstractNumId w:val="16"/>
  </w:num>
  <w:num w:numId="28">
    <w:abstractNumId w:val="20"/>
  </w:num>
  <w:num w:numId="29">
    <w:abstractNumId w:val="21"/>
  </w:num>
  <w:num w:numId="30">
    <w:abstractNumId w:val="11"/>
  </w:num>
  <w:num w:numId="31">
    <w:abstractNumId w:val="19"/>
  </w:num>
  <w:num w:numId="32">
    <w:abstractNumId w:val="26"/>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attachedTemplate r:id="rId1"/>
  <w:revisionView w:markup="0"/>
  <w:defaultTabStop w:val="720"/>
  <w:hyphenationZone w:val="425"/>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08-18 12:13:47"/>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3"/>
    <w:docVar w:name="DQCResult_ModifiedMarkers" w:val="0;0"/>
    <w:docVar w:name="DQCResult_ModifiedNumbering" w:val="0;0"/>
    <w:docVar w:name="DQCResult_Objects" w:val="0;0"/>
    <w:docVar w:name="DQCResult_Sections" w:val="0;0"/>
    <w:docVar w:name="DQCResult_StructureCheck" w:val="0;0"/>
    <w:docVar w:name="DQCResult_SuperfluousWhitespace" w:val="0;16"/>
    <w:docVar w:name="DQCResult_UnknownFonts" w:val="0;0"/>
    <w:docVar w:name="DQCResult_UnknownStyles" w:val="0;19"/>
    <w:docVar w:name="DQCStatus" w:val="Green"/>
    <w:docVar w:name="DQCVersion" w:val="3"/>
    <w:docVar w:name="DQCWithWarnings" w:val="0"/>
    <w:docVar w:name="LW_CONFIDENCE" w:val=" "/>
    <w:docVar w:name="LW_CONST_RESTREINT_UE" w:val="RESTREINT UE"/>
    <w:docVar w:name="LW_CORRIGENDUM" w:val="&lt;UNUSED&gt;"/>
    <w:docVar w:name="LW_COVERPAGE_GUID" w:val="742146FE5A11422E80B222A90765D723"/>
    <w:docVar w:name="LW_CROSSREFERENCE" w:val="&lt;UNUSED&gt;"/>
    <w:docVar w:name="LW_DocType" w:val="COM"/>
    <w:docVar w:name="LW_EMISSION" w:val="30.8.2016"/>
    <w:docVar w:name="LW_EMISSION_ISODATE" w:val="2016-08-30"/>
    <w:docVar w:name="LW_EMISSION_LOCATION" w:val="BRX"/>
    <w:docVar w:name="LW_EMISSION_PREFIX" w:val="Bruxelles, den "/>
    <w:docVar w:name="LW_EMISSION_SUFFIX" w:val=" "/>
    <w:docVar w:name="LW_ID_DOCMODEL" w:val="SJ-025"/>
    <w:docVar w:name="LW_ID_DOCSIGNATURE" w:val="SJ-025"/>
    <w:docVar w:name="LW_ID_DOCSTRUCTURE" w:val="COM/PL/ORG"/>
    <w:docVar w:name="LW_ID_DOCTYPE" w:val="SJ-025"/>
    <w:docVar w:name="LW_ID_STATUT" w:val="SJ-025"/>
    <w:docVar w:name="LW_INTERETEEE.CP" w:val="&lt;UNUSED&gt;"/>
    <w:docVar w:name="LW_LANGUE" w:val="DA"/>
    <w:docVar w:name="LW_MARKING" w:val="&lt;UNUSED&gt;"/>
    <w:docVar w:name="LW_NOM.INST" w:val="EUROPA-KOMMISSIONEN"/>
    <w:docVar w:name="LW_NOM.INST_JOINTDOC" w:val="&lt;EMPTY&gt;"/>
    <w:docVar w:name="LW_PART_NBR" w:val="1"/>
    <w:docVar w:name="LW_PART_NBR_TOTAL" w:val="1"/>
    <w:docVar w:name="LW_REF.II.NEW.CP" w:val="COD"/>
    <w:docVar w:name="LW_REF.II.NEW.CP_NUMBER" w:val="0259"/>
    <w:docVar w:name="LW_REF.II.NEW.CP_YEAR" w:val="2016"/>
    <w:docVar w:name="LW_REF.INST.NEW" w:val="COM"/>
    <w:docVar w:name="LW_REF.INST.NEW_ADOPTED" w:val="final"/>
    <w:docVar w:name="LW_REF.INST.NEW_TEXT" w:val="(2016) 543"/>
    <w:docVar w:name="LW_REF.INTERNE" w:val="&lt;UNUSED&gt;"/>
    <w:docVar w:name="LW_SOUS.TITRE.OBJ.CP" w:val="&lt;UNUSED&gt;"/>
    <w:docVar w:name="LW_STATUT.CP" w:val="Forslag til"/>
    <w:docVar w:name="LW_SUPERTITRE" w:val="&lt;UNUSED&gt;"/>
    <w:docVar w:name="LW_TITRE.OBJ.CP" w:val="om et europæisk år for kulturarv"/>
    <w:docVar w:name="LW_TYPE.DOC.CP" w:val="EUROPA-PARLAMENTETS OG RÅDETS AFGØRELSE"/>
  </w:docVar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2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5"/>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rpo">
    <w:name w:val="Corpo"/>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lang w:eastAsia="en-GB"/>
    </w:rPr>
  </w:style>
  <w:style w:type="paragraph" w:styleId="CommentText">
    <w:name w:val="annotation text"/>
    <w:basedOn w:val="Normal"/>
    <w:link w:val="CommentTextChar"/>
    <w:uiPriority w:val="99"/>
    <w:semiHidden/>
    <w:unhideWhenUsed/>
    <w:pPr>
      <w:pBdr>
        <w:top w:val="nil"/>
        <w:left w:val="nil"/>
        <w:bottom w:val="nil"/>
        <w:right w:val="nil"/>
        <w:between w:val="nil"/>
        <w:bar w:val="nil"/>
      </w:pBdr>
      <w:spacing w:before="0" w:after="0"/>
      <w:jc w:val="left"/>
    </w:pPr>
    <w:rPr>
      <w:rFonts w:eastAsia="Arial Unicode MS"/>
      <w:sz w:val="20"/>
      <w:szCs w:val="20"/>
      <w:bdr w:val="nil"/>
    </w:rPr>
  </w:style>
  <w:style w:type="character" w:customStyle="1" w:styleId="CommentTextChar">
    <w:name w:val="Comment Text Char"/>
    <w:basedOn w:val="DefaultParagraphFont"/>
    <w:link w:val="CommentText"/>
    <w:uiPriority w:val="99"/>
    <w:semiHidden/>
    <w:rPr>
      <w:rFonts w:ascii="Times New Roman" w:eastAsia="Arial Unicode MS" w:hAnsi="Times New Roman" w:cs="Times New Roman"/>
      <w:sz w:val="20"/>
      <w:szCs w:val="20"/>
      <w:bdr w:val="nil"/>
      <w:lang w:val="da-DK"/>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da-DK"/>
    </w:rPr>
  </w:style>
  <w:style w:type="character" w:styleId="Hyperlink">
    <w:name w:val="Hyperlink"/>
    <w:rPr>
      <w:u w:val="single"/>
    </w:rPr>
  </w:style>
  <w:style w:type="character" w:customStyle="1" w:styleId="Hyperlink0">
    <w:name w:val="Hyperlink.0"/>
    <w:basedOn w:val="DefaultParagraphFont"/>
    <w:rPr>
      <w:color w:val="0000FF"/>
      <w:u w:val="single" w:color="0000FF"/>
      <w:lang w:val="da-DK"/>
    </w:rPr>
  </w:style>
  <w:style w:type="numbering" w:customStyle="1" w:styleId="Stileimportato2">
    <w:name w:val="Stile importato 2"/>
    <w:pPr>
      <w:numPr>
        <w:numId w:val="1"/>
      </w:numPr>
    </w:pPr>
  </w:style>
  <w:style w:type="paragraph" w:styleId="ListParagraph">
    <w:name w:val="List Paragraph"/>
    <w:basedOn w:val="Normal"/>
    <w:uiPriority w:val="34"/>
    <w:qFormat/>
    <w:pPr>
      <w:pBdr>
        <w:top w:val="nil"/>
        <w:left w:val="nil"/>
        <w:bottom w:val="nil"/>
        <w:right w:val="nil"/>
        <w:between w:val="nil"/>
        <w:bar w:val="nil"/>
      </w:pBdr>
      <w:spacing w:before="0" w:after="0"/>
      <w:ind w:left="720"/>
      <w:contextualSpacing/>
      <w:jc w:val="left"/>
    </w:pPr>
    <w:rPr>
      <w:rFonts w:eastAsia="Arial Unicode MS"/>
      <w:szCs w:val="24"/>
      <w:bdr w:val="nil"/>
    </w:rPr>
  </w:style>
  <w:style w:type="numbering" w:customStyle="1" w:styleId="Stileimportato4">
    <w:name w:val="Stile importato 4"/>
    <w:pPr>
      <w:numPr>
        <w:numId w:val="2"/>
      </w:numPr>
    </w:p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4"/>
      </w:numPr>
      <w:contextualSpacing/>
    </w:pPr>
  </w:style>
  <w:style w:type="paragraph" w:styleId="ListBullet2">
    <w:name w:val="List Bullet 2"/>
    <w:basedOn w:val="Normal"/>
    <w:uiPriority w:val="99"/>
    <w:semiHidden/>
    <w:unhideWhenUsed/>
    <w:pPr>
      <w:numPr>
        <w:numId w:val="5"/>
      </w:numPr>
      <w:contextualSpacing/>
    </w:pPr>
  </w:style>
  <w:style w:type="paragraph" w:styleId="ListBullet3">
    <w:name w:val="List Bullet 3"/>
    <w:basedOn w:val="Normal"/>
    <w:uiPriority w:val="99"/>
    <w:semiHidden/>
    <w:unhideWhenUsed/>
    <w:pPr>
      <w:numPr>
        <w:numId w:val="6"/>
      </w:numPr>
      <w:contextualSpacing/>
    </w:pPr>
  </w:style>
  <w:style w:type="paragraph" w:styleId="ListBullet4">
    <w:name w:val="List Bullet 4"/>
    <w:basedOn w:val="Normal"/>
    <w:uiPriority w:val="99"/>
    <w:semiHidden/>
    <w:unhideWhenUsed/>
    <w:pPr>
      <w:numPr>
        <w:numId w:val="7"/>
      </w:numPr>
      <w:contextualSpacing/>
    </w:pPr>
  </w:style>
  <w:style w:type="paragraph" w:styleId="ListNumber">
    <w:name w:val="List Number"/>
    <w:basedOn w:val="Normal"/>
    <w:unhideWhenUsed/>
    <w:pPr>
      <w:numPr>
        <w:numId w:val="8"/>
      </w:numPr>
      <w:contextualSpacing/>
    </w:pPr>
  </w:style>
  <w:style w:type="paragraph" w:styleId="ListNumber2">
    <w:name w:val="List Number 2"/>
    <w:basedOn w:val="Normal"/>
    <w:uiPriority w:val="99"/>
    <w:semiHidden/>
    <w:unhideWhenUsed/>
    <w:pPr>
      <w:numPr>
        <w:numId w:val="9"/>
      </w:numPr>
      <w:contextualSpacing/>
    </w:pPr>
  </w:style>
  <w:style w:type="paragraph" w:styleId="ListNumber3">
    <w:name w:val="List Number 3"/>
    <w:basedOn w:val="Normal"/>
    <w:uiPriority w:val="99"/>
    <w:semiHidden/>
    <w:unhideWhenUsed/>
    <w:pPr>
      <w:numPr>
        <w:numId w:val="10"/>
      </w:numPr>
      <w:contextualSpacing/>
    </w:pPr>
  </w:style>
  <w:style w:type="paragraph" w:styleId="ListNumber4">
    <w:name w:val="List Number 4"/>
    <w:basedOn w:val="Normal"/>
    <w:uiPriority w:val="99"/>
    <w:semiHidden/>
    <w:unhideWhenUsed/>
    <w:pPr>
      <w:numPr>
        <w:numId w:val="11"/>
      </w:numPr>
      <w:contextualSpacing/>
    </w:pPr>
  </w:style>
  <w:style w:type="paragraph" w:styleId="CommentSubject">
    <w:name w:val="annotation subject"/>
    <w:basedOn w:val="CommentText"/>
    <w:next w:val="CommentText"/>
    <w:link w:val="CommentSubjectChar"/>
    <w:uiPriority w:val="99"/>
    <w:semiHidden/>
    <w:unhideWhenUsed/>
    <w:pPr>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both"/>
    </w:pPr>
    <w:rPr>
      <w:rFonts w:eastAsiaTheme="minorHAnsi"/>
      <w:b/>
      <w:bCs/>
      <w:bdr w:val="none" w:sz="0" w:space="0" w:color="auto"/>
    </w:rPr>
  </w:style>
  <w:style w:type="character" w:customStyle="1" w:styleId="CommentSubjectChar">
    <w:name w:val="Comment Subject Char"/>
    <w:basedOn w:val="CommentTextChar"/>
    <w:link w:val="CommentSubject"/>
    <w:uiPriority w:val="99"/>
    <w:semiHidden/>
    <w:rPr>
      <w:rFonts w:ascii="Times New Roman" w:eastAsia="Arial Unicode MS" w:hAnsi="Times New Roman" w:cs="Times New Roman"/>
      <w:b/>
      <w:bCs/>
      <w:sz w:val="20"/>
      <w:szCs w:val="20"/>
      <w:bdr w:val="nil"/>
      <w:lang w:val="da-DK"/>
    </w:rPr>
  </w:style>
  <w:style w:type="paragraph" w:customStyle="1" w:styleId="ListBullet1">
    <w:name w:val="List Bullet 1"/>
    <w:basedOn w:val="Normal"/>
    <w:pPr>
      <w:numPr>
        <w:numId w:val="13"/>
      </w:numPr>
    </w:pPr>
    <w:rPr>
      <w:rFonts w:eastAsia="Times New Roman"/>
      <w:lang w:eastAsia="de-DE"/>
    </w:rPr>
  </w:style>
  <w:style w:type="paragraph" w:customStyle="1" w:styleId="ListDash1">
    <w:name w:val="List Dash 1"/>
    <w:basedOn w:val="Normal"/>
    <w:pPr>
      <w:numPr>
        <w:numId w:val="14"/>
      </w:numPr>
    </w:pPr>
    <w:rPr>
      <w:rFonts w:eastAsia="Times New Roman"/>
      <w:lang w:eastAsia="de-DE"/>
    </w:rPr>
  </w:style>
  <w:style w:type="paragraph" w:customStyle="1" w:styleId="ListDash2">
    <w:name w:val="List Dash 2"/>
    <w:basedOn w:val="Normal"/>
    <w:pPr>
      <w:numPr>
        <w:numId w:val="15"/>
      </w:numPr>
    </w:pPr>
    <w:rPr>
      <w:rFonts w:eastAsia="Times New Roman"/>
      <w:lang w:eastAsia="de-DE"/>
    </w:rPr>
  </w:style>
  <w:style w:type="paragraph" w:customStyle="1" w:styleId="ListNumberLevel2">
    <w:name w:val="List Number (Level 2)"/>
    <w:basedOn w:val="Normal"/>
    <w:pPr>
      <w:tabs>
        <w:tab w:val="num" w:pos="1417"/>
      </w:tabs>
      <w:ind w:left="1417" w:hanging="708"/>
    </w:pPr>
    <w:rPr>
      <w:rFonts w:eastAsia="Times New Roman"/>
      <w:lang w:eastAsia="de-DE"/>
    </w:rPr>
  </w:style>
  <w:style w:type="paragraph" w:customStyle="1" w:styleId="ListNumberLevel3">
    <w:name w:val="List Number (Level 3)"/>
    <w:basedOn w:val="Normal"/>
    <w:pPr>
      <w:tabs>
        <w:tab w:val="num" w:pos="2126"/>
      </w:tabs>
      <w:ind w:left="2126" w:hanging="709"/>
    </w:pPr>
    <w:rPr>
      <w:rFonts w:eastAsia="Times New Roman"/>
      <w:lang w:eastAsia="de-DE"/>
    </w:rPr>
  </w:style>
  <w:style w:type="paragraph" w:customStyle="1" w:styleId="ListNumberLevel4">
    <w:name w:val="List Number (Level 4)"/>
    <w:basedOn w:val="Normal"/>
    <w:pPr>
      <w:tabs>
        <w:tab w:val="num" w:pos="2835"/>
      </w:tabs>
      <w:ind w:left="2835" w:hanging="709"/>
    </w:pPr>
    <w:rPr>
      <w:rFonts w:eastAsia="Times New Roman"/>
      <w:lang w:eastAsia="de-DE"/>
    </w:rPr>
  </w:style>
  <w:style w:type="paragraph" w:customStyle="1" w:styleId="Default">
    <w:name w:val="Default"/>
    <w:pPr>
      <w:autoSpaceDE w:val="0"/>
      <w:autoSpaceDN w:val="0"/>
      <w:adjustRightInd w:val="0"/>
      <w:spacing w:after="0" w:line="240" w:lineRule="auto"/>
    </w:pPr>
    <w:rPr>
      <w:rFonts w:ascii="EUAlbertina" w:hAnsi="EUAlbertina" w:cs="EUAlbertina"/>
      <w:color w:val="000000"/>
      <w:sz w:val="24"/>
      <w:szCs w:val="24"/>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9"/>
      </w:numPr>
    </w:pPr>
  </w:style>
  <w:style w:type="paragraph" w:customStyle="1" w:styleId="Tiret1">
    <w:name w:val="Tiret 1"/>
    <w:basedOn w:val="Point1"/>
    <w:pPr>
      <w:numPr>
        <w:numId w:val="20"/>
      </w:numPr>
    </w:pPr>
  </w:style>
  <w:style w:type="paragraph" w:customStyle="1" w:styleId="Tiret2">
    <w:name w:val="Tiret 2"/>
    <w:basedOn w:val="Point2"/>
    <w:pPr>
      <w:numPr>
        <w:numId w:val="21"/>
      </w:numPr>
    </w:pPr>
  </w:style>
  <w:style w:type="paragraph" w:customStyle="1" w:styleId="Tiret3">
    <w:name w:val="Tiret 3"/>
    <w:basedOn w:val="Point3"/>
    <w:pPr>
      <w:numPr>
        <w:numId w:val="22"/>
      </w:numPr>
    </w:pPr>
  </w:style>
  <w:style w:type="paragraph" w:customStyle="1" w:styleId="Tiret4">
    <w:name w:val="Tiret 4"/>
    <w:basedOn w:val="Point4"/>
    <w:pPr>
      <w:numPr>
        <w:numId w:val="2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4"/>
      </w:numPr>
    </w:pPr>
  </w:style>
  <w:style w:type="paragraph" w:customStyle="1" w:styleId="NumPar2">
    <w:name w:val="NumPar 2"/>
    <w:basedOn w:val="Normal"/>
    <w:next w:val="Text1"/>
    <w:pPr>
      <w:numPr>
        <w:ilvl w:val="1"/>
        <w:numId w:val="24"/>
      </w:numPr>
    </w:pPr>
  </w:style>
  <w:style w:type="paragraph" w:customStyle="1" w:styleId="NumPar3">
    <w:name w:val="NumPar 3"/>
    <w:basedOn w:val="Normal"/>
    <w:next w:val="Text1"/>
    <w:pPr>
      <w:numPr>
        <w:ilvl w:val="2"/>
        <w:numId w:val="24"/>
      </w:numPr>
    </w:pPr>
  </w:style>
  <w:style w:type="paragraph" w:customStyle="1" w:styleId="NumPar4">
    <w:name w:val="NumPar 4"/>
    <w:basedOn w:val="Normal"/>
    <w:next w:val="Text1"/>
    <w:pPr>
      <w:numPr>
        <w:ilvl w:val="3"/>
        <w:numId w:val="2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6"/>
      </w:numPr>
    </w:pPr>
  </w:style>
  <w:style w:type="paragraph" w:customStyle="1" w:styleId="Point1number">
    <w:name w:val="Point 1 (number)"/>
    <w:basedOn w:val="Normal"/>
    <w:pPr>
      <w:numPr>
        <w:ilvl w:val="2"/>
        <w:numId w:val="26"/>
      </w:numPr>
    </w:pPr>
  </w:style>
  <w:style w:type="paragraph" w:customStyle="1" w:styleId="Point2number">
    <w:name w:val="Point 2 (number)"/>
    <w:basedOn w:val="Normal"/>
    <w:pPr>
      <w:numPr>
        <w:ilvl w:val="4"/>
        <w:numId w:val="26"/>
      </w:numPr>
    </w:pPr>
  </w:style>
  <w:style w:type="paragraph" w:customStyle="1" w:styleId="Point3number">
    <w:name w:val="Point 3 (number)"/>
    <w:basedOn w:val="Normal"/>
    <w:pPr>
      <w:numPr>
        <w:ilvl w:val="6"/>
        <w:numId w:val="26"/>
      </w:numPr>
    </w:pPr>
  </w:style>
  <w:style w:type="paragraph" w:customStyle="1" w:styleId="Point0letter">
    <w:name w:val="Point 0 (letter)"/>
    <w:basedOn w:val="Normal"/>
    <w:pPr>
      <w:numPr>
        <w:ilvl w:val="1"/>
        <w:numId w:val="26"/>
      </w:numPr>
    </w:pPr>
  </w:style>
  <w:style w:type="paragraph" w:customStyle="1" w:styleId="Point1letter">
    <w:name w:val="Point 1 (letter)"/>
    <w:basedOn w:val="Normal"/>
    <w:pPr>
      <w:numPr>
        <w:ilvl w:val="3"/>
        <w:numId w:val="26"/>
      </w:numPr>
    </w:pPr>
  </w:style>
  <w:style w:type="paragraph" w:customStyle="1" w:styleId="Point2letter">
    <w:name w:val="Point 2 (letter)"/>
    <w:basedOn w:val="Normal"/>
    <w:pPr>
      <w:numPr>
        <w:ilvl w:val="5"/>
        <w:numId w:val="26"/>
      </w:numPr>
    </w:pPr>
  </w:style>
  <w:style w:type="paragraph" w:customStyle="1" w:styleId="Point3letter">
    <w:name w:val="Point 3 (letter)"/>
    <w:basedOn w:val="Normal"/>
    <w:pPr>
      <w:numPr>
        <w:ilvl w:val="7"/>
        <w:numId w:val="26"/>
      </w:numPr>
    </w:pPr>
  </w:style>
  <w:style w:type="paragraph" w:customStyle="1" w:styleId="Point4letter">
    <w:name w:val="Point 4 (letter)"/>
    <w:basedOn w:val="Normal"/>
    <w:pPr>
      <w:numPr>
        <w:ilvl w:val="8"/>
        <w:numId w:val="26"/>
      </w:numPr>
    </w:pPr>
  </w:style>
  <w:style w:type="paragraph" w:customStyle="1" w:styleId="Bullet0">
    <w:name w:val="Bullet 0"/>
    <w:basedOn w:val="Normal"/>
    <w:pPr>
      <w:numPr>
        <w:numId w:val="27"/>
      </w:numPr>
    </w:pPr>
  </w:style>
  <w:style w:type="paragraph" w:customStyle="1" w:styleId="Bullet1">
    <w:name w:val="Bullet 1"/>
    <w:basedOn w:val="Normal"/>
    <w:pPr>
      <w:numPr>
        <w:numId w:val="28"/>
      </w:numPr>
    </w:pPr>
  </w:style>
  <w:style w:type="paragraph" w:customStyle="1" w:styleId="Bullet2">
    <w:name w:val="Bullet 2"/>
    <w:basedOn w:val="Normal"/>
    <w:pPr>
      <w:numPr>
        <w:numId w:val="29"/>
      </w:numPr>
    </w:pPr>
  </w:style>
  <w:style w:type="paragraph" w:customStyle="1" w:styleId="Bullet3">
    <w:name w:val="Bullet 3"/>
    <w:basedOn w:val="Normal"/>
    <w:pPr>
      <w:numPr>
        <w:numId w:val="30"/>
      </w:numPr>
    </w:pPr>
  </w:style>
  <w:style w:type="paragraph" w:customStyle="1" w:styleId="Bullet4">
    <w:name w:val="Bullet 4"/>
    <w:basedOn w:val="Normal"/>
    <w:pPr>
      <w:numPr>
        <w:numId w:val="31"/>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2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5"/>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rpo">
    <w:name w:val="Corpo"/>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lang w:eastAsia="en-GB"/>
    </w:rPr>
  </w:style>
  <w:style w:type="paragraph" w:styleId="CommentText">
    <w:name w:val="annotation text"/>
    <w:basedOn w:val="Normal"/>
    <w:link w:val="CommentTextChar"/>
    <w:uiPriority w:val="99"/>
    <w:semiHidden/>
    <w:unhideWhenUsed/>
    <w:pPr>
      <w:pBdr>
        <w:top w:val="nil"/>
        <w:left w:val="nil"/>
        <w:bottom w:val="nil"/>
        <w:right w:val="nil"/>
        <w:between w:val="nil"/>
        <w:bar w:val="nil"/>
      </w:pBdr>
      <w:spacing w:before="0" w:after="0"/>
      <w:jc w:val="left"/>
    </w:pPr>
    <w:rPr>
      <w:rFonts w:eastAsia="Arial Unicode MS"/>
      <w:sz w:val="20"/>
      <w:szCs w:val="20"/>
      <w:bdr w:val="nil"/>
    </w:rPr>
  </w:style>
  <w:style w:type="character" w:customStyle="1" w:styleId="CommentTextChar">
    <w:name w:val="Comment Text Char"/>
    <w:basedOn w:val="DefaultParagraphFont"/>
    <w:link w:val="CommentText"/>
    <w:uiPriority w:val="99"/>
    <w:semiHidden/>
    <w:rPr>
      <w:rFonts w:ascii="Times New Roman" w:eastAsia="Arial Unicode MS" w:hAnsi="Times New Roman" w:cs="Times New Roman"/>
      <w:sz w:val="20"/>
      <w:szCs w:val="20"/>
      <w:bdr w:val="nil"/>
      <w:lang w:val="da-DK"/>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da-DK"/>
    </w:rPr>
  </w:style>
  <w:style w:type="character" w:styleId="Hyperlink">
    <w:name w:val="Hyperlink"/>
    <w:rPr>
      <w:u w:val="single"/>
    </w:rPr>
  </w:style>
  <w:style w:type="character" w:customStyle="1" w:styleId="Hyperlink0">
    <w:name w:val="Hyperlink.0"/>
    <w:basedOn w:val="DefaultParagraphFont"/>
    <w:rPr>
      <w:color w:val="0000FF"/>
      <w:u w:val="single" w:color="0000FF"/>
      <w:lang w:val="da-DK"/>
    </w:rPr>
  </w:style>
  <w:style w:type="numbering" w:customStyle="1" w:styleId="Stileimportato2">
    <w:name w:val="Stile importato 2"/>
    <w:pPr>
      <w:numPr>
        <w:numId w:val="1"/>
      </w:numPr>
    </w:pPr>
  </w:style>
  <w:style w:type="paragraph" w:styleId="ListParagraph">
    <w:name w:val="List Paragraph"/>
    <w:basedOn w:val="Normal"/>
    <w:uiPriority w:val="34"/>
    <w:qFormat/>
    <w:pPr>
      <w:pBdr>
        <w:top w:val="nil"/>
        <w:left w:val="nil"/>
        <w:bottom w:val="nil"/>
        <w:right w:val="nil"/>
        <w:between w:val="nil"/>
        <w:bar w:val="nil"/>
      </w:pBdr>
      <w:spacing w:before="0" w:after="0"/>
      <w:ind w:left="720"/>
      <w:contextualSpacing/>
      <w:jc w:val="left"/>
    </w:pPr>
    <w:rPr>
      <w:rFonts w:eastAsia="Arial Unicode MS"/>
      <w:szCs w:val="24"/>
      <w:bdr w:val="nil"/>
    </w:rPr>
  </w:style>
  <w:style w:type="numbering" w:customStyle="1" w:styleId="Stileimportato4">
    <w:name w:val="Stile importato 4"/>
    <w:pPr>
      <w:numPr>
        <w:numId w:val="2"/>
      </w:numPr>
    </w:p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4"/>
      </w:numPr>
      <w:contextualSpacing/>
    </w:pPr>
  </w:style>
  <w:style w:type="paragraph" w:styleId="ListBullet2">
    <w:name w:val="List Bullet 2"/>
    <w:basedOn w:val="Normal"/>
    <w:uiPriority w:val="99"/>
    <w:semiHidden/>
    <w:unhideWhenUsed/>
    <w:pPr>
      <w:numPr>
        <w:numId w:val="5"/>
      </w:numPr>
      <w:contextualSpacing/>
    </w:pPr>
  </w:style>
  <w:style w:type="paragraph" w:styleId="ListBullet3">
    <w:name w:val="List Bullet 3"/>
    <w:basedOn w:val="Normal"/>
    <w:uiPriority w:val="99"/>
    <w:semiHidden/>
    <w:unhideWhenUsed/>
    <w:pPr>
      <w:numPr>
        <w:numId w:val="6"/>
      </w:numPr>
      <w:contextualSpacing/>
    </w:pPr>
  </w:style>
  <w:style w:type="paragraph" w:styleId="ListBullet4">
    <w:name w:val="List Bullet 4"/>
    <w:basedOn w:val="Normal"/>
    <w:uiPriority w:val="99"/>
    <w:semiHidden/>
    <w:unhideWhenUsed/>
    <w:pPr>
      <w:numPr>
        <w:numId w:val="7"/>
      </w:numPr>
      <w:contextualSpacing/>
    </w:pPr>
  </w:style>
  <w:style w:type="paragraph" w:styleId="ListNumber">
    <w:name w:val="List Number"/>
    <w:basedOn w:val="Normal"/>
    <w:unhideWhenUsed/>
    <w:pPr>
      <w:numPr>
        <w:numId w:val="8"/>
      </w:numPr>
      <w:contextualSpacing/>
    </w:pPr>
  </w:style>
  <w:style w:type="paragraph" w:styleId="ListNumber2">
    <w:name w:val="List Number 2"/>
    <w:basedOn w:val="Normal"/>
    <w:uiPriority w:val="99"/>
    <w:semiHidden/>
    <w:unhideWhenUsed/>
    <w:pPr>
      <w:numPr>
        <w:numId w:val="9"/>
      </w:numPr>
      <w:contextualSpacing/>
    </w:pPr>
  </w:style>
  <w:style w:type="paragraph" w:styleId="ListNumber3">
    <w:name w:val="List Number 3"/>
    <w:basedOn w:val="Normal"/>
    <w:uiPriority w:val="99"/>
    <w:semiHidden/>
    <w:unhideWhenUsed/>
    <w:pPr>
      <w:numPr>
        <w:numId w:val="10"/>
      </w:numPr>
      <w:contextualSpacing/>
    </w:pPr>
  </w:style>
  <w:style w:type="paragraph" w:styleId="ListNumber4">
    <w:name w:val="List Number 4"/>
    <w:basedOn w:val="Normal"/>
    <w:uiPriority w:val="99"/>
    <w:semiHidden/>
    <w:unhideWhenUsed/>
    <w:pPr>
      <w:numPr>
        <w:numId w:val="11"/>
      </w:numPr>
      <w:contextualSpacing/>
    </w:pPr>
  </w:style>
  <w:style w:type="paragraph" w:styleId="CommentSubject">
    <w:name w:val="annotation subject"/>
    <w:basedOn w:val="CommentText"/>
    <w:next w:val="CommentText"/>
    <w:link w:val="CommentSubjectChar"/>
    <w:uiPriority w:val="99"/>
    <w:semiHidden/>
    <w:unhideWhenUsed/>
    <w:pPr>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both"/>
    </w:pPr>
    <w:rPr>
      <w:rFonts w:eastAsiaTheme="minorHAnsi"/>
      <w:b/>
      <w:bCs/>
      <w:bdr w:val="none" w:sz="0" w:space="0" w:color="auto"/>
    </w:rPr>
  </w:style>
  <w:style w:type="character" w:customStyle="1" w:styleId="CommentSubjectChar">
    <w:name w:val="Comment Subject Char"/>
    <w:basedOn w:val="CommentTextChar"/>
    <w:link w:val="CommentSubject"/>
    <w:uiPriority w:val="99"/>
    <w:semiHidden/>
    <w:rPr>
      <w:rFonts w:ascii="Times New Roman" w:eastAsia="Arial Unicode MS" w:hAnsi="Times New Roman" w:cs="Times New Roman"/>
      <w:b/>
      <w:bCs/>
      <w:sz w:val="20"/>
      <w:szCs w:val="20"/>
      <w:bdr w:val="nil"/>
      <w:lang w:val="da-DK"/>
    </w:rPr>
  </w:style>
  <w:style w:type="paragraph" w:customStyle="1" w:styleId="ListBullet1">
    <w:name w:val="List Bullet 1"/>
    <w:basedOn w:val="Normal"/>
    <w:pPr>
      <w:numPr>
        <w:numId w:val="13"/>
      </w:numPr>
    </w:pPr>
    <w:rPr>
      <w:rFonts w:eastAsia="Times New Roman"/>
      <w:lang w:eastAsia="de-DE"/>
    </w:rPr>
  </w:style>
  <w:style w:type="paragraph" w:customStyle="1" w:styleId="ListDash1">
    <w:name w:val="List Dash 1"/>
    <w:basedOn w:val="Normal"/>
    <w:pPr>
      <w:numPr>
        <w:numId w:val="14"/>
      </w:numPr>
    </w:pPr>
    <w:rPr>
      <w:rFonts w:eastAsia="Times New Roman"/>
      <w:lang w:eastAsia="de-DE"/>
    </w:rPr>
  </w:style>
  <w:style w:type="paragraph" w:customStyle="1" w:styleId="ListDash2">
    <w:name w:val="List Dash 2"/>
    <w:basedOn w:val="Normal"/>
    <w:pPr>
      <w:numPr>
        <w:numId w:val="15"/>
      </w:numPr>
    </w:pPr>
    <w:rPr>
      <w:rFonts w:eastAsia="Times New Roman"/>
      <w:lang w:eastAsia="de-DE"/>
    </w:rPr>
  </w:style>
  <w:style w:type="paragraph" w:customStyle="1" w:styleId="ListNumberLevel2">
    <w:name w:val="List Number (Level 2)"/>
    <w:basedOn w:val="Normal"/>
    <w:pPr>
      <w:tabs>
        <w:tab w:val="num" w:pos="1417"/>
      </w:tabs>
      <w:ind w:left="1417" w:hanging="708"/>
    </w:pPr>
    <w:rPr>
      <w:rFonts w:eastAsia="Times New Roman"/>
      <w:lang w:eastAsia="de-DE"/>
    </w:rPr>
  </w:style>
  <w:style w:type="paragraph" w:customStyle="1" w:styleId="ListNumberLevel3">
    <w:name w:val="List Number (Level 3)"/>
    <w:basedOn w:val="Normal"/>
    <w:pPr>
      <w:tabs>
        <w:tab w:val="num" w:pos="2126"/>
      </w:tabs>
      <w:ind w:left="2126" w:hanging="709"/>
    </w:pPr>
    <w:rPr>
      <w:rFonts w:eastAsia="Times New Roman"/>
      <w:lang w:eastAsia="de-DE"/>
    </w:rPr>
  </w:style>
  <w:style w:type="paragraph" w:customStyle="1" w:styleId="ListNumberLevel4">
    <w:name w:val="List Number (Level 4)"/>
    <w:basedOn w:val="Normal"/>
    <w:pPr>
      <w:tabs>
        <w:tab w:val="num" w:pos="2835"/>
      </w:tabs>
      <w:ind w:left="2835" w:hanging="709"/>
    </w:pPr>
    <w:rPr>
      <w:rFonts w:eastAsia="Times New Roman"/>
      <w:lang w:eastAsia="de-DE"/>
    </w:rPr>
  </w:style>
  <w:style w:type="paragraph" w:customStyle="1" w:styleId="Default">
    <w:name w:val="Default"/>
    <w:pPr>
      <w:autoSpaceDE w:val="0"/>
      <w:autoSpaceDN w:val="0"/>
      <w:adjustRightInd w:val="0"/>
      <w:spacing w:after="0" w:line="240" w:lineRule="auto"/>
    </w:pPr>
    <w:rPr>
      <w:rFonts w:ascii="EUAlbertina" w:hAnsi="EUAlbertina" w:cs="EUAlbertina"/>
      <w:color w:val="000000"/>
      <w:sz w:val="24"/>
      <w:szCs w:val="24"/>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9"/>
      </w:numPr>
    </w:pPr>
  </w:style>
  <w:style w:type="paragraph" w:customStyle="1" w:styleId="Tiret1">
    <w:name w:val="Tiret 1"/>
    <w:basedOn w:val="Point1"/>
    <w:pPr>
      <w:numPr>
        <w:numId w:val="20"/>
      </w:numPr>
    </w:pPr>
  </w:style>
  <w:style w:type="paragraph" w:customStyle="1" w:styleId="Tiret2">
    <w:name w:val="Tiret 2"/>
    <w:basedOn w:val="Point2"/>
    <w:pPr>
      <w:numPr>
        <w:numId w:val="21"/>
      </w:numPr>
    </w:pPr>
  </w:style>
  <w:style w:type="paragraph" w:customStyle="1" w:styleId="Tiret3">
    <w:name w:val="Tiret 3"/>
    <w:basedOn w:val="Point3"/>
    <w:pPr>
      <w:numPr>
        <w:numId w:val="22"/>
      </w:numPr>
    </w:pPr>
  </w:style>
  <w:style w:type="paragraph" w:customStyle="1" w:styleId="Tiret4">
    <w:name w:val="Tiret 4"/>
    <w:basedOn w:val="Point4"/>
    <w:pPr>
      <w:numPr>
        <w:numId w:val="2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4"/>
      </w:numPr>
    </w:pPr>
  </w:style>
  <w:style w:type="paragraph" w:customStyle="1" w:styleId="NumPar2">
    <w:name w:val="NumPar 2"/>
    <w:basedOn w:val="Normal"/>
    <w:next w:val="Text1"/>
    <w:pPr>
      <w:numPr>
        <w:ilvl w:val="1"/>
        <w:numId w:val="24"/>
      </w:numPr>
    </w:pPr>
  </w:style>
  <w:style w:type="paragraph" w:customStyle="1" w:styleId="NumPar3">
    <w:name w:val="NumPar 3"/>
    <w:basedOn w:val="Normal"/>
    <w:next w:val="Text1"/>
    <w:pPr>
      <w:numPr>
        <w:ilvl w:val="2"/>
        <w:numId w:val="24"/>
      </w:numPr>
    </w:pPr>
  </w:style>
  <w:style w:type="paragraph" w:customStyle="1" w:styleId="NumPar4">
    <w:name w:val="NumPar 4"/>
    <w:basedOn w:val="Normal"/>
    <w:next w:val="Text1"/>
    <w:pPr>
      <w:numPr>
        <w:ilvl w:val="3"/>
        <w:numId w:val="2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6"/>
      </w:numPr>
    </w:pPr>
  </w:style>
  <w:style w:type="paragraph" w:customStyle="1" w:styleId="Point1number">
    <w:name w:val="Point 1 (number)"/>
    <w:basedOn w:val="Normal"/>
    <w:pPr>
      <w:numPr>
        <w:ilvl w:val="2"/>
        <w:numId w:val="26"/>
      </w:numPr>
    </w:pPr>
  </w:style>
  <w:style w:type="paragraph" w:customStyle="1" w:styleId="Point2number">
    <w:name w:val="Point 2 (number)"/>
    <w:basedOn w:val="Normal"/>
    <w:pPr>
      <w:numPr>
        <w:ilvl w:val="4"/>
        <w:numId w:val="26"/>
      </w:numPr>
    </w:pPr>
  </w:style>
  <w:style w:type="paragraph" w:customStyle="1" w:styleId="Point3number">
    <w:name w:val="Point 3 (number)"/>
    <w:basedOn w:val="Normal"/>
    <w:pPr>
      <w:numPr>
        <w:ilvl w:val="6"/>
        <w:numId w:val="26"/>
      </w:numPr>
    </w:pPr>
  </w:style>
  <w:style w:type="paragraph" w:customStyle="1" w:styleId="Point0letter">
    <w:name w:val="Point 0 (letter)"/>
    <w:basedOn w:val="Normal"/>
    <w:pPr>
      <w:numPr>
        <w:ilvl w:val="1"/>
        <w:numId w:val="26"/>
      </w:numPr>
    </w:pPr>
  </w:style>
  <w:style w:type="paragraph" w:customStyle="1" w:styleId="Point1letter">
    <w:name w:val="Point 1 (letter)"/>
    <w:basedOn w:val="Normal"/>
    <w:pPr>
      <w:numPr>
        <w:ilvl w:val="3"/>
        <w:numId w:val="26"/>
      </w:numPr>
    </w:pPr>
  </w:style>
  <w:style w:type="paragraph" w:customStyle="1" w:styleId="Point2letter">
    <w:name w:val="Point 2 (letter)"/>
    <w:basedOn w:val="Normal"/>
    <w:pPr>
      <w:numPr>
        <w:ilvl w:val="5"/>
        <w:numId w:val="26"/>
      </w:numPr>
    </w:pPr>
  </w:style>
  <w:style w:type="paragraph" w:customStyle="1" w:styleId="Point3letter">
    <w:name w:val="Point 3 (letter)"/>
    <w:basedOn w:val="Normal"/>
    <w:pPr>
      <w:numPr>
        <w:ilvl w:val="7"/>
        <w:numId w:val="26"/>
      </w:numPr>
    </w:pPr>
  </w:style>
  <w:style w:type="paragraph" w:customStyle="1" w:styleId="Point4letter">
    <w:name w:val="Point 4 (letter)"/>
    <w:basedOn w:val="Normal"/>
    <w:pPr>
      <w:numPr>
        <w:ilvl w:val="8"/>
        <w:numId w:val="26"/>
      </w:numPr>
    </w:pPr>
  </w:style>
  <w:style w:type="paragraph" w:customStyle="1" w:styleId="Bullet0">
    <w:name w:val="Bullet 0"/>
    <w:basedOn w:val="Normal"/>
    <w:pPr>
      <w:numPr>
        <w:numId w:val="27"/>
      </w:numPr>
    </w:pPr>
  </w:style>
  <w:style w:type="paragraph" w:customStyle="1" w:styleId="Bullet1">
    <w:name w:val="Bullet 1"/>
    <w:basedOn w:val="Normal"/>
    <w:pPr>
      <w:numPr>
        <w:numId w:val="28"/>
      </w:numPr>
    </w:pPr>
  </w:style>
  <w:style w:type="paragraph" w:customStyle="1" w:styleId="Bullet2">
    <w:name w:val="Bullet 2"/>
    <w:basedOn w:val="Normal"/>
    <w:pPr>
      <w:numPr>
        <w:numId w:val="29"/>
      </w:numPr>
    </w:pPr>
  </w:style>
  <w:style w:type="paragraph" w:customStyle="1" w:styleId="Bullet3">
    <w:name w:val="Bullet 3"/>
    <w:basedOn w:val="Normal"/>
    <w:pPr>
      <w:numPr>
        <w:numId w:val="30"/>
      </w:numPr>
    </w:pPr>
  </w:style>
  <w:style w:type="paragraph" w:customStyle="1" w:styleId="Bullet4">
    <w:name w:val="Bullet 4"/>
    <w:basedOn w:val="Normal"/>
    <w:pPr>
      <w:numPr>
        <w:numId w:val="31"/>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3.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cc.cec/budg/leg/internal/leg-070_internal_en.html"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eader" Target="header4.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3" Type="http://schemas.openxmlformats.org/officeDocument/2006/relationships/hyperlink" Target="http://bookshop.europa.eu/en/getting-cultural-heritage-to-work-for-europe-pbKI0115128/" TargetMode="External"/><Relationship Id="rId2" Type="http://schemas.openxmlformats.org/officeDocument/2006/relationships/hyperlink" Target="http://ec.europa.eu/culture/news/2015/0612-cultural-heritage-counts_en.htm" TargetMode="External"/><Relationship Id="rId1" Type="http://schemas.openxmlformats.org/officeDocument/2006/relationships/hyperlink" Target="http://www.sharingheritage.de/en/main/" TargetMode="External"/><Relationship Id="rId5" Type="http://schemas.openxmlformats.org/officeDocument/2006/relationships/hyperlink" Target="http://www.culturalbase.eu/" TargetMode="External"/><Relationship Id="rId4" Type="http://schemas.openxmlformats.org/officeDocument/2006/relationships/hyperlink" Target="http://www.jpi-culturalheritage.eu/wp-content/uploads/SRA-2014-06.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ccepting_x0020_institution xmlns="78a0e2ee-3938-4f99-9afb-c9ff7c3200b8">Council</Accepting_x0020_institution>
    <Request_x0020_status xmlns="78a0e2ee-3938-4f99-9afb-c9ff7c3200b8">Accepted</Request_x0020_status>
    <Source xmlns="78a0e2ee-3938-4f99-9afb-c9ff7c3200b8">EN</Source>
    <Target xmlns="78a0e2ee-3938-4f99-9afb-c9ff7c3200b8">DA</Target>
    <Document_x0020_deadline xmlns="78a0e2ee-3938-4f99-9afb-c9ff7c3200b8">2016-07-29T13:00:00+00:00</Document_x0020_deadline>
    <Requesting_x0020_institution xmlns="78a0e2ee-3938-4f99-9afb-c9ff7c3200b8">Commission</Requesting_x0020_institution>
    <Request_x0020_deadline xmlns="78a0e2ee-3938-4f99-9afb-c9ff7c3200b8">2016-07-20T14:00:00+00:00</Request_x0020_deadline>
    <Pages0 xmlns="78a0e2ee-3938-4f99-9afb-c9ff7c3200b8">32.4</Pages0>
    <Task xmlns="78a0e2ee-3938-4f99-9afb-c9ff7c3200b8">Translation</Task>
    <Comments xmlns="78a0e2ee-3938-4f99-9afb-c9ff7c3200b8">Update 20/7: Please note that part 00-01 has been cancelled, but a new version for 00-00 (01-00) has been uploaded.
Attention 18/7:  Two different source documents, both to translate.
Please find attached: 2 originals, 2 reference documents (RET + AL) for both versions + Danish reference document: Paradime for Finansieringsoversigt.
Contact person in unit DA.2.:      Erling Nielsen</Comments>
    <Document_x0020_type xmlns="78a0e2ee-3938-4f99-9afb-c9ff7c3200b8">Target document</Document_x0020_type>
    <Contact_x0020_person xmlns="78a0e2ee-3938-4f99-9afb-c9ff7c3200b8">
      <UserInfo>
        <DisplayName/>
        <AccountId>19</AccountId>
        <AccountType/>
      </UserInfo>
    </Contact_x0020_person>
    <Hidden_x0020_Request_x0020_status xmlns="78a0e2ee-3938-4f99-9afb-c9ff7c3200b8">Requested</Hidden_x0020_Request_x0020_status>
    <ProjNumb xmlns="78a0e2ee-3938-4f99-9afb-c9ff7c3200b8">1156</ProjNumb>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8303773FAFE214889649503D26FB5DA" ma:contentTypeVersion="101" ma:contentTypeDescription="Create a new document." ma:contentTypeScope="" ma:versionID="7d92db883cebc4feecc6e23b483417d0">
  <xsd:schema xmlns:xsd="http://www.w3.org/2001/XMLSchema" xmlns:xs="http://www.w3.org/2001/XMLSchema" xmlns:p="http://schemas.microsoft.com/office/2006/metadata/properties" xmlns:ns2="78a0e2ee-3938-4f99-9afb-c9ff7c3200b8" targetNamespace="http://schemas.microsoft.com/office/2006/metadata/properties" ma:root="true" ma:fieldsID="c3b897371d328deb021f0b09c73453a2" ns2:_="">
    <xsd:import namespace="78a0e2ee-3938-4f99-9afb-c9ff7c3200b8"/>
    <xsd:element name="properties">
      <xsd:complexType>
        <xsd:sequence>
          <xsd:element name="documentManagement">
            <xsd:complexType>
              <xsd:all>
                <xsd:element ref="ns2:Requesting_x0020_institution" minOccurs="0"/>
                <xsd:element ref="ns2:Accepting_x0020_institution" minOccurs="0"/>
                <xsd:element ref="ns2:Task" minOccurs="0"/>
                <xsd:element ref="ns2:Request_x0020_status" minOccurs="0"/>
                <xsd:element ref="ns2:Document_x0020_type"/>
                <xsd:element ref="ns2:Source" minOccurs="0"/>
                <xsd:element ref="ns2:Target" minOccurs="0"/>
                <xsd:element ref="ns2:Pages0" minOccurs="0"/>
                <xsd:element ref="ns2:Request_x0020_deadline" minOccurs="0"/>
                <xsd:element ref="ns2:Document_x0020_deadline" minOccurs="0"/>
                <xsd:element ref="ns2:Contact_x0020_person" minOccurs="0"/>
                <xsd:element ref="ns2:Comments" minOccurs="0"/>
                <xsd:element ref="ns2:Hidden_x0020_Request_x0020_status" minOccurs="0"/>
                <xsd:element ref="ns2:ProjNum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a0e2ee-3938-4f99-9afb-c9ff7c3200b8" elementFormDefault="qualified">
    <xsd:import namespace="http://schemas.microsoft.com/office/2006/documentManagement/types"/>
    <xsd:import namespace="http://schemas.microsoft.com/office/infopath/2007/PartnerControls"/>
    <xsd:element name="Requesting_x0020_institution" ma:index="1" nillable="true" ma:displayName="Requesting institution" ma:format="Dropdown" ma:hidden="true" ma:indexed="true" ma:internalName="Requesting_x0020_institution" ma:readOnly="false">
      <xsd:simpleType>
        <xsd:restriction base="dms:Choice">
          <xsd:enumeration value="Commission"/>
          <xsd:enumeration value="Committees"/>
          <xsd:enumeration value="Council"/>
          <xsd:enumeration value="Court of Auditors"/>
          <xsd:enumeration value="ECB"/>
          <xsd:enumeration value="Parliament"/>
        </xsd:restriction>
      </xsd:simpleType>
    </xsd:element>
    <xsd:element name="Accepting_x0020_institution" ma:index="2" nillable="true" ma:displayName="Accepting institution" ma:format="Dropdown" ma:hidden="true" ma:indexed="true" ma:internalName="Accepting_x0020_institution" ma:readOnly="false">
      <xsd:simpleType>
        <xsd:restriction base="dms:Choice">
          <xsd:enumeration value="Commission"/>
          <xsd:enumeration value="Committees"/>
          <xsd:enumeration value="Council"/>
          <xsd:enumeration value="Court of Auditors"/>
          <xsd:enumeration value="ECB"/>
          <xsd:enumeration value="Parliament"/>
        </xsd:restriction>
      </xsd:simpleType>
    </xsd:element>
    <xsd:element name="Task" ma:index="3" nillable="true" ma:displayName="Task" ma:default="Translation" ma:format="Dropdown" ma:hidden="true" ma:internalName="Task" ma:readOnly="false">
      <xsd:simpleType>
        <xsd:restriction base="dms:Choice">
          <xsd:enumeration value="Translation"/>
          <xsd:enumeration value="Revision"/>
          <xsd:enumeration value="Editing"/>
          <xsd:enumeration value="Quality control"/>
        </xsd:restriction>
      </xsd:simpleType>
    </xsd:element>
    <xsd:element name="Request_x0020_status" ma:index="4" nillable="true" ma:displayName="Request status" ma:default="Requested" ma:format="Dropdown" ma:hidden="true" ma:internalName="Request_x0020_status" ma:readOnly="false">
      <xsd:simpleType>
        <xsd:restriction base="dms:Choice">
          <xsd:enumeration value="Requested"/>
          <xsd:enumeration value="Accepted"/>
          <xsd:enumeration value="Cancelled"/>
          <xsd:enumeration value="Completed"/>
          <xsd:enumeration value="Auto-Closed"/>
        </xsd:restriction>
      </xsd:simpleType>
    </xsd:element>
    <xsd:element name="Document_x0020_type" ma:index="5" ma:displayName="Document type" ma:format="Dropdown" ma:internalName="Document_x0020_type" ma:readOnly="false">
      <xsd:simpleType>
        <xsd:restriction base="dms:Choice">
          <xsd:enumeration value="Source document"/>
          <xsd:enumeration value="Target document"/>
          <xsd:enumeration value="Reference document"/>
          <xsd:enumeration value="New version"/>
          <xsd:enumeration value="New version with Track Changes"/>
        </xsd:restriction>
      </xsd:simpleType>
    </xsd:element>
    <xsd:element name="Source" ma:index="6" nillable="true" ma:displayName="Source" ma:description="Source language" ma:format="Dropdown" ma:hidden="true" ma:indexed="true" ma:internalName="Source" ma:readOnly="false">
      <xsd:simpleType>
        <xsd:restriction base="dms:Choice">
          <xsd:enumeration value="BG"/>
          <xsd:enumeration value="CS"/>
          <xsd:enumeration value="DA"/>
          <xsd:enumeration value="DE"/>
          <xsd:enumeration value="EL"/>
          <xsd:enumeration value="EN"/>
          <xsd:enumeration value="ES"/>
          <xsd:enumeration value="ET"/>
          <xsd:enumeration value="FI"/>
          <xsd:enumeration value="FR"/>
          <xsd:enumeration value="GA"/>
          <xsd:enumeration value="HR"/>
          <xsd:enumeration value="HU"/>
          <xsd:enumeration value="IT"/>
          <xsd:enumeration value="LT"/>
          <xsd:enumeration value="LV"/>
          <xsd:enumeration value="MT"/>
          <xsd:enumeration value="NL"/>
          <xsd:enumeration value="PL"/>
          <xsd:enumeration value="PT"/>
          <xsd:enumeration value="RO"/>
          <xsd:enumeration value="SK"/>
          <xsd:enumeration value="SL"/>
          <xsd:enumeration value="SV"/>
          <xsd:enumeration value="XM"/>
          <xsd:enumeration value="Non-EU"/>
        </xsd:restriction>
      </xsd:simpleType>
    </xsd:element>
    <xsd:element name="Target" ma:index="7" nillable="true" ma:displayName="Target" ma:description="Target language" ma:format="Dropdown" ma:hidden="true" ma:indexed="true" ma:internalName="Target" ma:readOnly="false">
      <xsd:simpleType>
        <xsd:restriction base="dms:Choice">
          <xsd:enumeration value="BG"/>
          <xsd:enumeration value="CS"/>
          <xsd:enumeration value="DA"/>
          <xsd:enumeration value="DE"/>
          <xsd:enumeration value="EL"/>
          <xsd:enumeration value="EN"/>
          <xsd:enumeration value="ES"/>
          <xsd:enumeration value="ET"/>
          <xsd:enumeration value="FI"/>
          <xsd:enumeration value="FR"/>
          <xsd:enumeration value="GA"/>
          <xsd:enumeration value="HR"/>
          <xsd:enumeration value="HU"/>
          <xsd:enumeration value="IT"/>
          <xsd:enumeration value="LT"/>
          <xsd:enumeration value="LV"/>
          <xsd:enumeration value="MT"/>
          <xsd:enumeration value="NL"/>
          <xsd:enumeration value="PL"/>
          <xsd:enumeration value="PT"/>
          <xsd:enumeration value="RO"/>
          <xsd:enumeration value="SK"/>
          <xsd:enumeration value="SL"/>
          <xsd:enumeration value="SV"/>
          <xsd:enumeration value="Non-EU"/>
        </xsd:restriction>
      </xsd:simpleType>
    </xsd:element>
    <xsd:element name="Pages0" ma:index="8" nillable="true" ma:displayName="Pages" ma:decimals="2" ma:description="Number of standard pages. Please use dot (.) as decimal separator" ma:hidden="true" ma:internalName="Pages0" ma:readOnly="false" ma:percentage="FALSE">
      <xsd:simpleType>
        <xsd:restriction base="dms:Number"/>
      </xsd:simpleType>
    </xsd:element>
    <xsd:element name="Request_x0020_deadline" ma:index="9" nillable="true" ma:displayName="Acceptance deadline" ma:description="Deadline for accepting requests" ma:format="DateTime" ma:hidden="true" ma:internalName="Request_x0020_deadline" ma:readOnly="false">
      <xsd:simpleType>
        <xsd:restriction base="dms:DateTime"/>
      </xsd:simpleType>
    </xsd:element>
    <xsd:element name="Document_x0020_deadline" ma:index="10" nillable="true" ma:displayName="Document deadline" ma:description="Deadline for returning document" ma:format="DateTime" ma:hidden="true" ma:internalName="Document_x0020_deadline" ma:readOnly="false">
      <xsd:simpleType>
        <xsd:restriction base="dms:DateTime"/>
      </xsd:simpleType>
    </xsd:element>
    <xsd:element name="Contact_x0020_person" ma:index="11" nillable="true" ma:displayName="Contact person" ma:description="Name of the contact person at the requesting institution" ma:hidden="true" ma:list="UserInfo" ma:SearchPeopleOnly="false" ma:SharePointGroup="0" ma:internalName="Contact_x0020_person"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mments" ma:index="12" nillable="true" ma:displayName="Comments" ma:hidden="true" ma:internalName="Comments" ma:readOnly="false">
      <xsd:simpleType>
        <xsd:restriction base="dms:Note"/>
      </xsd:simpleType>
    </xsd:element>
    <xsd:element name="Hidden_x0020_Request_x0020_status" ma:index="21" nillable="true" ma:displayName="Hidden Request status" ma:default="Requested" ma:format="Dropdown" ma:hidden="true" ma:internalName="Hidden_x0020_Request_x0020_status" ma:readOnly="false">
      <xsd:simpleType>
        <xsd:restriction base="dms:Choice">
          <xsd:enumeration value="Requested"/>
          <xsd:enumeration value="Accepted"/>
          <xsd:enumeration value="Cancelled"/>
          <xsd:enumeration value="Completed"/>
          <xsd:enumeration value="Forecast"/>
          <xsd:enumeration value="Pre-agreement"/>
          <xsd:enumeration value="Auto-Closed"/>
        </xsd:restriction>
      </xsd:simpleType>
    </xsd:element>
    <xsd:element name="ProjNumb" ma:index="26" nillable="true" ma:displayName="ProjNum" ma:description="Please leave it blank, a number will be assigned automatically" ma:hidden="true" ma:internalName="ProjNumb" ma:readOnly="false"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displayName="Document title"/>
        <xsd:element ref="dc:subject" minOccurs="0" maxOccurs="1"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06AFE9-1701-46FE-BD06-2FC98D451353}">
  <ds:schemaRefs>
    <ds:schemaRef ds:uri="http://schemas.microsoft.com/sharepoint/v3/contenttype/forms"/>
  </ds:schemaRefs>
</ds:datastoreItem>
</file>

<file path=customXml/itemProps2.xml><?xml version="1.0" encoding="utf-8"?>
<ds:datastoreItem xmlns:ds="http://schemas.openxmlformats.org/officeDocument/2006/customXml" ds:itemID="{C2ED2BB2-8BF8-4ECD-88A3-40904521850E}">
  <ds:schemaRefs>
    <ds:schemaRef ds:uri="http://purl.org/dc/elements/1.1/"/>
    <ds:schemaRef ds:uri="http://purl.org/dc/dcmitype/"/>
    <ds:schemaRef ds:uri="http://schemas.microsoft.com/office/2006/metadata/properties"/>
    <ds:schemaRef ds:uri="http://purl.org/dc/terms/"/>
    <ds:schemaRef ds:uri="http://schemas.microsoft.com/office/2006/documentManagement/types"/>
    <ds:schemaRef ds:uri="http://schemas.openxmlformats.org/package/2006/metadata/core-properties"/>
    <ds:schemaRef ds:uri="http://schemas.microsoft.com/office/infopath/2007/PartnerControls"/>
    <ds:schemaRef ds:uri="78a0e2ee-3938-4f99-9afb-c9ff7c3200b8"/>
    <ds:schemaRef ds:uri="http://www.w3.org/XML/1998/namespace"/>
  </ds:schemaRefs>
</ds:datastoreItem>
</file>

<file path=customXml/itemProps3.xml><?xml version="1.0" encoding="utf-8"?>
<ds:datastoreItem xmlns:ds="http://schemas.openxmlformats.org/officeDocument/2006/customXml" ds:itemID="{5360DE17-1D97-40C8-9641-D1BF0BC63F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a0e2ee-3938-4f99-9afb-c9ff7c3200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95A1001-7AC4-41B8-90C7-50058FED9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31</Pages>
  <Words>7334</Words>
  <Characters>46133</Characters>
  <Application>Microsoft Office Word</Application>
  <DocSecurity>0</DocSecurity>
  <Lines>1845</Lines>
  <Paragraphs>712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Proposal for a DECISIONOF THE EUROPEAN PARLIAMENT AND OF THE COUNCIL on a European Year of Cultural Heritage +Annex</dc:subject>
  <dc:creator/>
  <cp:lastModifiedBy/>
  <cp:revision>18</cp:revision>
  <cp:lastPrinted>2016-07-20T12:01:00Z</cp:lastPrinted>
  <dcterms:created xsi:type="dcterms:W3CDTF">2016-08-01T11:07:00Z</dcterms:created>
  <dcterms:modified xsi:type="dcterms:W3CDTF">2016-08-18T10:13:00Z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SJ-025</vt:lpwstr>
  </property>
  <property fmtid="{D5CDD505-2E9C-101B-9397-08002B2CF9AE}" pid="10" name="ContentTypeId">
    <vt:lpwstr>0x01010068303773FAFE214889649503D26FB5DA</vt:lpwstr>
  </property>
  <property fmtid="{D5CDD505-2E9C-101B-9397-08002B2CF9AE}" pid="11" name="DQCStatus">
    <vt:lpwstr>Green (DQC version 03)</vt:lpwstr>
  </property>
  <property name="OP_sanitized" fmtid="{D5CDD505-2E9C-101B-9397-08002B2CF9AE}" pid="12">
    <vt:lpwstr>True</vt:lpwstr>
  </property>
</Properties>
</file>