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E56969F54D164C87B640FE271E269011" style="width:450.75pt;height:348.75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code="9"/>
          <w:pgMar w:top="1134" w:right="1417" w:bottom="1134" w:left="1417" w:header="709" w:footer="709" w:gutter="0"/>
          <w:pgNumType w:start="1"/>
          <w:cols w:space="720"/>
          <w:docGrid w:linePitch="360"/>
        </w:sectPr>
      </w:pPr>
    </w:p>
    <w:p>
      <w:pPr>
        <w:rPr>
          <w:noProof/>
        </w:rPr>
      </w:pPr>
      <w:bookmarkStart w:id="1" w:name="_GoBack"/>
      <w:bookmarkEnd w:id="1"/>
    </w:p>
    <w:p>
      <w:pPr>
        <w:pStyle w:val="TOCHeading"/>
        <w:rPr>
          <w:noProof/>
        </w:rPr>
      </w:pPr>
      <w:r>
        <w:rPr>
          <w:noProof/>
        </w:rPr>
        <w:t>Indholdsfortegnelse</w:t>
      </w:r>
    </w:p>
    <w:p>
      <w:pPr>
        <w:pStyle w:val="TOC1"/>
        <w:rPr>
          <w:rFonts w:asciiTheme="minorHAnsi" w:eastAsiaTheme="minorEastAsia" w:hAnsiTheme="minorHAnsi" w:cstheme="minorBidi"/>
          <w:noProof/>
          <w:sz w:val="22"/>
          <w:lang w:val="en-GB" w:eastAsia="en-GB" w:bidi="ar-SA"/>
        </w:rPr>
      </w:pPr>
      <w:r>
        <w:rPr>
          <w:noProof/>
        </w:rPr>
        <w:fldChar w:fldCharType="begin"/>
      </w:r>
      <w:r>
        <w:rPr>
          <w:noProof/>
        </w:rPr>
        <w:instrText xml:space="preserve"> TOC \o "1-3" \h \z \u </w:instrText>
      </w:r>
      <w:r>
        <w:rPr>
          <w:noProof/>
        </w:rPr>
        <w:fldChar w:fldCharType="separate"/>
      </w:r>
      <w:hyperlink w:anchor="_Toc461194987" w:history="1">
        <w:r>
          <w:rPr>
            <w:rStyle w:val="Hyperlink"/>
            <w:b/>
            <w:smallCaps/>
            <w:noProof/>
          </w:rPr>
          <w:t>1.</w:t>
        </w:r>
        <w:r>
          <w:rPr>
            <w:rFonts w:asciiTheme="minorHAnsi" w:eastAsiaTheme="minorEastAsia" w:hAnsiTheme="minorHAnsi" w:cstheme="minorBidi"/>
            <w:noProof/>
            <w:sz w:val="22"/>
            <w:lang w:val="en-GB" w:eastAsia="en-GB" w:bidi="ar-SA"/>
          </w:rPr>
          <w:tab/>
        </w:r>
        <w:r>
          <w:rPr>
            <w:rStyle w:val="Hyperlink"/>
            <w:b/>
            <w:smallCaps/>
            <w:noProof/>
          </w:rPr>
          <w:t>Budgetprocedure</w:t>
        </w:r>
        <w:r>
          <w:rPr>
            <w:noProof/>
            <w:webHidden/>
          </w:rPr>
          <w:tab/>
        </w:r>
        <w:r>
          <w:rPr>
            <w:noProof/>
            <w:webHidden/>
          </w:rPr>
          <w:fldChar w:fldCharType="begin"/>
        </w:r>
        <w:r>
          <w:rPr>
            <w:noProof/>
            <w:webHidden/>
          </w:rPr>
          <w:instrText xml:space="preserve"> PAGEREF _Toc461194987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4988" w:history="1">
        <w:r>
          <w:rPr>
            <w:rStyle w:val="Hyperlink"/>
            <w:b/>
            <w:noProof/>
          </w:rPr>
          <w:t>1.1.</w:t>
        </w:r>
        <w:r>
          <w:rPr>
            <w:rFonts w:asciiTheme="minorHAnsi" w:eastAsiaTheme="minorEastAsia" w:hAnsiTheme="minorHAnsi" w:cstheme="minorBidi"/>
            <w:noProof/>
            <w:sz w:val="22"/>
            <w:lang w:val="en-GB" w:eastAsia="en-GB" w:bidi="ar-SA"/>
          </w:rPr>
          <w:tab/>
        </w:r>
        <w:r>
          <w:rPr>
            <w:rStyle w:val="Hyperlink"/>
            <w:b/>
            <w:noProof/>
          </w:rPr>
          <w:t>Finansiel ramme</w:t>
        </w:r>
        <w:r>
          <w:rPr>
            <w:noProof/>
            <w:webHidden/>
          </w:rPr>
          <w:tab/>
        </w:r>
        <w:r>
          <w:rPr>
            <w:noProof/>
            <w:webHidden/>
          </w:rPr>
          <w:fldChar w:fldCharType="begin"/>
        </w:r>
        <w:r>
          <w:rPr>
            <w:noProof/>
            <w:webHidden/>
          </w:rPr>
          <w:instrText xml:space="preserve"> PAGEREF _Toc461194988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4989" w:history="1">
        <w:r>
          <w:rPr>
            <w:rStyle w:val="Hyperlink"/>
            <w:b/>
            <w:noProof/>
          </w:rPr>
          <w:t>1.2.</w:t>
        </w:r>
        <w:r>
          <w:rPr>
            <w:rFonts w:asciiTheme="minorHAnsi" w:eastAsiaTheme="minorEastAsia" w:hAnsiTheme="minorHAnsi" w:cstheme="minorBidi"/>
            <w:noProof/>
            <w:sz w:val="22"/>
            <w:lang w:val="en-GB" w:eastAsia="en-GB" w:bidi="ar-SA"/>
          </w:rPr>
          <w:tab/>
        </w:r>
        <w:r>
          <w:rPr>
            <w:rStyle w:val="Hyperlink"/>
            <w:b/>
            <w:noProof/>
          </w:rPr>
          <w:t>Budgetforslag 2015</w:t>
        </w:r>
        <w:r>
          <w:rPr>
            <w:noProof/>
            <w:webHidden/>
          </w:rPr>
          <w:tab/>
        </w:r>
        <w:r>
          <w:rPr>
            <w:noProof/>
            <w:webHidden/>
          </w:rPr>
          <w:fldChar w:fldCharType="begin"/>
        </w:r>
        <w:r>
          <w:rPr>
            <w:noProof/>
            <w:webHidden/>
          </w:rPr>
          <w:instrText xml:space="preserve"> PAGEREF _Toc461194989 \h </w:instrText>
        </w:r>
        <w:r>
          <w:rPr>
            <w:noProof/>
            <w:webHidden/>
          </w:rPr>
        </w:r>
        <w:r>
          <w:rPr>
            <w:noProof/>
            <w:webHidden/>
          </w:rPr>
          <w:fldChar w:fldCharType="separate"/>
        </w:r>
        <w:r>
          <w:rPr>
            <w:noProof/>
            <w:webHidden/>
          </w:rPr>
          <w:t>3</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4990" w:history="1">
        <w:r>
          <w:rPr>
            <w:rStyle w:val="Hyperlink"/>
            <w:b/>
            <w:noProof/>
          </w:rPr>
          <w:t>1.3.</w:t>
        </w:r>
        <w:r>
          <w:rPr>
            <w:rFonts w:asciiTheme="minorHAnsi" w:eastAsiaTheme="minorEastAsia" w:hAnsiTheme="minorHAnsi" w:cstheme="minorBidi"/>
            <w:noProof/>
            <w:sz w:val="22"/>
            <w:lang w:val="en-GB" w:eastAsia="en-GB" w:bidi="ar-SA"/>
          </w:rPr>
          <w:tab/>
        </w:r>
        <w:r>
          <w:rPr>
            <w:rStyle w:val="Hyperlink"/>
            <w:b/>
            <w:noProof/>
          </w:rPr>
          <w:t>Vedtagelse af budgettet for 2015</w:t>
        </w:r>
        <w:r>
          <w:rPr>
            <w:noProof/>
            <w:webHidden/>
          </w:rPr>
          <w:tab/>
        </w:r>
        <w:r>
          <w:rPr>
            <w:noProof/>
            <w:webHidden/>
          </w:rPr>
          <w:fldChar w:fldCharType="begin"/>
        </w:r>
        <w:r>
          <w:rPr>
            <w:noProof/>
            <w:webHidden/>
          </w:rPr>
          <w:instrText xml:space="preserve"> PAGEREF _Toc461194990 \h </w:instrText>
        </w:r>
        <w:r>
          <w:rPr>
            <w:noProof/>
            <w:webHidden/>
          </w:rPr>
        </w:r>
        <w:r>
          <w:rPr>
            <w:noProof/>
            <w:webHidden/>
          </w:rPr>
          <w:fldChar w:fldCharType="separate"/>
        </w:r>
        <w:r>
          <w:rPr>
            <w:noProof/>
            <w:webHidden/>
          </w:rPr>
          <w:t>4</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4991" w:history="1">
        <w:r>
          <w:rPr>
            <w:rStyle w:val="Hyperlink"/>
            <w:b/>
            <w:noProof/>
          </w:rPr>
          <w:t>1.4.</w:t>
        </w:r>
        <w:r>
          <w:rPr>
            <w:rFonts w:asciiTheme="minorHAnsi" w:eastAsiaTheme="minorEastAsia" w:hAnsiTheme="minorHAnsi" w:cstheme="minorBidi"/>
            <w:noProof/>
            <w:sz w:val="22"/>
            <w:lang w:val="en-GB" w:eastAsia="en-GB" w:bidi="ar-SA"/>
          </w:rPr>
          <w:tab/>
        </w:r>
        <w:r>
          <w:rPr>
            <w:rStyle w:val="Hyperlink"/>
            <w:b/>
            <w:noProof/>
          </w:rPr>
          <w:t>Vedtagelse af ændringsbudgetter</w:t>
        </w:r>
        <w:r>
          <w:rPr>
            <w:noProof/>
            <w:webHidden/>
          </w:rPr>
          <w:tab/>
        </w:r>
        <w:r>
          <w:rPr>
            <w:noProof/>
            <w:webHidden/>
          </w:rPr>
          <w:fldChar w:fldCharType="begin"/>
        </w:r>
        <w:r>
          <w:rPr>
            <w:noProof/>
            <w:webHidden/>
          </w:rPr>
          <w:instrText xml:space="preserve"> PAGEREF _Toc461194991 \h </w:instrText>
        </w:r>
        <w:r>
          <w:rPr>
            <w:noProof/>
            <w:webHidden/>
          </w:rPr>
        </w:r>
        <w:r>
          <w:rPr>
            <w:noProof/>
            <w:webHidden/>
          </w:rPr>
          <w:fldChar w:fldCharType="separate"/>
        </w:r>
        <w:r>
          <w:rPr>
            <w:noProof/>
            <w:webHidden/>
          </w:rPr>
          <w:t>5</w:t>
        </w:r>
        <w:r>
          <w:rPr>
            <w:noProof/>
            <w:webHidden/>
          </w:rPr>
          <w:fldChar w:fldCharType="end"/>
        </w:r>
      </w:hyperlink>
    </w:p>
    <w:p>
      <w:pPr>
        <w:pStyle w:val="TOC1"/>
        <w:rPr>
          <w:rFonts w:asciiTheme="minorHAnsi" w:eastAsiaTheme="minorEastAsia" w:hAnsiTheme="minorHAnsi" w:cstheme="minorBidi"/>
          <w:noProof/>
          <w:sz w:val="22"/>
          <w:lang w:val="en-GB" w:eastAsia="en-GB" w:bidi="ar-SA"/>
        </w:rPr>
      </w:pPr>
      <w:hyperlink w:anchor="_Toc461194992" w:history="1">
        <w:r>
          <w:rPr>
            <w:rStyle w:val="Hyperlink"/>
            <w:b/>
            <w:smallCaps/>
            <w:noProof/>
          </w:rPr>
          <w:t>2.</w:t>
        </w:r>
        <w:r>
          <w:rPr>
            <w:rFonts w:asciiTheme="minorHAnsi" w:eastAsiaTheme="minorEastAsia" w:hAnsiTheme="minorHAnsi" w:cstheme="minorBidi"/>
            <w:noProof/>
            <w:sz w:val="22"/>
            <w:lang w:val="en-GB" w:eastAsia="en-GB" w:bidi="ar-SA"/>
          </w:rPr>
          <w:tab/>
        </w:r>
        <w:r>
          <w:rPr>
            <w:rStyle w:val="Hyperlink"/>
            <w:b/>
            <w:smallCaps/>
            <w:noProof/>
          </w:rPr>
          <w:t>Forvaltning af bevillinger</w:t>
        </w:r>
        <w:r>
          <w:rPr>
            <w:noProof/>
            <w:webHidden/>
          </w:rPr>
          <w:tab/>
        </w:r>
        <w:r>
          <w:rPr>
            <w:noProof/>
            <w:webHidden/>
          </w:rPr>
          <w:fldChar w:fldCharType="begin"/>
        </w:r>
        <w:r>
          <w:rPr>
            <w:noProof/>
            <w:webHidden/>
          </w:rPr>
          <w:instrText xml:space="preserve"> PAGEREF _Toc461194992 \h </w:instrText>
        </w:r>
        <w:r>
          <w:rPr>
            <w:noProof/>
            <w:webHidden/>
          </w:rPr>
        </w:r>
        <w:r>
          <w:rPr>
            <w:noProof/>
            <w:webHidden/>
          </w:rPr>
          <w:fldChar w:fldCharType="separate"/>
        </w:r>
        <w:r>
          <w:rPr>
            <w:noProof/>
            <w:webHidden/>
          </w:rPr>
          <w:t>6</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4993" w:history="1">
        <w:r>
          <w:rPr>
            <w:rStyle w:val="Hyperlink"/>
            <w:b/>
            <w:noProof/>
          </w:rPr>
          <w:t>2.1.</w:t>
        </w:r>
        <w:r>
          <w:rPr>
            <w:rFonts w:asciiTheme="minorHAnsi" w:eastAsiaTheme="minorEastAsia" w:hAnsiTheme="minorHAnsi" w:cstheme="minorBidi"/>
            <w:noProof/>
            <w:sz w:val="22"/>
            <w:lang w:val="en-GB" w:eastAsia="en-GB" w:bidi="ar-SA"/>
          </w:rPr>
          <w:tab/>
        </w:r>
        <w:r>
          <w:rPr>
            <w:rStyle w:val="Hyperlink"/>
            <w:b/>
            <w:noProof/>
          </w:rPr>
          <w:t>Forvaltning af forpligtelsesbevillinger</w:t>
        </w:r>
        <w:r>
          <w:rPr>
            <w:noProof/>
            <w:webHidden/>
          </w:rPr>
          <w:tab/>
        </w:r>
        <w:r>
          <w:rPr>
            <w:noProof/>
            <w:webHidden/>
          </w:rPr>
          <w:fldChar w:fldCharType="begin"/>
        </w:r>
        <w:r>
          <w:rPr>
            <w:noProof/>
            <w:webHidden/>
          </w:rPr>
          <w:instrText xml:space="preserve"> PAGEREF _Toc461194993 \h </w:instrText>
        </w:r>
        <w:r>
          <w:rPr>
            <w:noProof/>
            <w:webHidden/>
          </w:rPr>
        </w:r>
        <w:r>
          <w:rPr>
            <w:noProof/>
            <w:webHidden/>
          </w:rPr>
          <w:fldChar w:fldCharType="separate"/>
        </w:r>
        <w:r>
          <w:rPr>
            <w:noProof/>
            <w:webHidden/>
          </w:rPr>
          <w:t>6</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4994" w:history="1">
        <w:r>
          <w:rPr>
            <w:rStyle w:val="Hyperlink"/>
            <w:i/>
            <w:noProof/>
          </w:rPr>
          <w:t>2.1.1.</w:t>
        </w:r>
        <w:r>
          <w:rPr>
            <w:rFonts w:asciiTheme="minorHAnsi" w:eastAsiaTheme="minorEastAsia" w:hAnsiTheme="minorHAnsi" w:cstheme="minorBidi"/>
            <w:noProof/>
            <w:sz w:val="22"/>
            <w:lang w:val="en-GB" w:eastAsia="en-GB" w:bidi="ar-SA"/>
          </w:rPr>
          <w:tab/>
        </w:r>
        <w:r>
          <w:rPr>
            <w:rStyle w:val="Hyperlink"/>
            <w:i/>
            <w:noProof/>
          </w:rPr>
          <w:t>ELFUL-programmer til udvikling af landdistrikterne</w:t>
        </w:r>
        <w:r>
          <w:rPr>
            <w:noProof/>
            <w:webHidden/>
          </w:rPr>
          <w:tab/>
        </w:r>
        <w:r>
          <w:rPr>
            <w:noProof/>
            <w:webHidden/>
          </w:rPr>
          <w:fldChar w:fldCharType="begin"/>
        </w:r>
        <w:r>
          <w:rPr>
            <w:noProof/>
            <w:webHidden/>
          </w:rPr>
          <w:instrText xml:space="preserve"> PAGEREF _Toc461194994 \h </w:instrText>
        </w:r>
        <w:r>
          <w:rPr>
            <w:noProof/>
            <w:webHidden/>
          </w:rPr>
        </w:r>
        <w:r>
          <w:rPr>
            <w:noProof/>
            <w:webHidden/>
          </w:rPr>
          <w:fldChar w:fldCharType="separate"/>
        </w:r>
        <w:r>
          <w:rPr>
            <w:noProof/>
            <w:webHidden/>
          </w:rPr>
          <w:t>6</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4995" w:history="1">
        <w:r>
          <w:rPr>
            <w:rStyle w:val="Hyperlink"/>
            <w:i/>
            <w:noProof/>
          </w:rPr>
          <w:t>2.1.2.</w:t>
        </w:r>
        <w:r>
          <w:rPr>
            <w:rFonts w:asciiTheme="minorHAnsi" w:eastAsiaTheme="minorEastAsia" w:hAnsiTheme="minorHAnsi" w:cstheme="minorBidi"/>
            <w:noProof/>
            <w:sz w:val="22"/>
            <w:lang w:val="en-GB" w:eastAsia="en-GB" w:bidi="ar-SA"/>
          </w:rPr>
          <w:tab/>
        </w:r>
        <w:r>
          <w:rPr>
            <w:rStyle w:val="Hyperlink"/>
            <w:i/>
            <w:noProof/>
          </w:rPr>
          <w:t>Teknisk bistand</w:t>
        </w:r>
        <w:r>
          <w:rPr>
            <w:noProof/>
            <w:webHidden/>
          </w:rPr>
          <w:tab/>
        </w:r>
        <w:r>
          <w:rPr>
            <w:noProof/>
            <w:webHidden/>
          </w:rPr>
          <w:fldChar w:fldCharType="begin"/>
        </w:r>
        <w:r>
          <w:rPr>
            <w:noProof/>
            <w:webHidden/>
          </w:rPr>
          <w:instrText xml:space="preserve"> PAGEREF _Toc461194995 \h </w:instrText>
        </w:r>
        <w:r>
          <w:rPr>
            <w:noProof/>
            <w:webHidden/>
          </w:rPr>
        </w:r>
        <w:r>
          <w:rPr>
            <w:noProof/>
            <w:webHidden/>
          </w:rPr>
          <w:fldChar w:fldCharType="separate"/>
        </w:r>
        <w:r>
          <w:rPr>
            <w:noProof/>
            <w:webHidden/>
          </w:rPr>
          <w:t>6</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4996" w:history="1">
        <w:r>
          <w:rPr>
            <w:rStyle w:val="Hyperlink"/>
            <w:b/>
            <w:noProof/>
          </w:rPr>
          <w:t>2.2.</w:t>
        </w:r>
        <w:r>
          <w:rPr>
            <w:rFonts w:asciiTheme="minorHAnsi" w:eastAsiaTheme="minorEastAsia" w:hAnsiTheme="minorHAnsi" w:cstheme="minorBidi"/>
            <w:noProof/>
            <w:sz w:val="22"/>
            <w:lang w:val="en-GB" w:eastAsia="en-GB" w:bidi="ar-SA"/>
          </w:rPr>
          <w:tab/>
        </w:r>
        <w:r>
          <w:rPr>
            <w:rStyle w:val="Hyperlink"/>
            <w:b/>
            <w:noProof/>
          </w:rPr>
          <w:t>Forvaltning af betalingsbevillinger</w:t>
        </w:r>
        <w:r>
          <w:rPr>
            <w:noProof/>
            <w:webHidden/>
          </w:rPr>
          <w:tab/>
        </w:r>
        <w:r>
          <w:rPr>
            <w:noProof/>
            <w:webHidden/>
          </w:rPr>
          <w:fldChar w:fldCharType="begin"/>
        </w:r>
        <w:r>
          <w:rPr>
            <w:noProof/>
            <w:webHidden/>
          </w:rPr>
          <w:instrText xml:space="preserve"> PAGEREF _Toc461194996 \h </w:instrText>
        </w:r>
        <w:r>
          <w:rPr>
            <w:noProof/>
            <w:webHidden/>
          </w:rPr>
        </w:r>
        <w:r>
          <w:rPr>
            <w:noProof/>
            <w:webHidden/>
          </w:rPr>
          <w:fldChar w:fldCharType="separate"/>
        </w:r>
        <w:r>
          <w:rPr>
            <w:noProof/>
            <w:webHidden/>
          </w:rPr>
          <w:t>6</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4997" w:history="1">
        <w:r>
          <w:rPr>
            <w:rStyle w:val="Hyperlink"/>
            <w:i/>
            <w:noProof/>
          </w:rPr>
          <w:t>2.2.1.</w:t>
        </w:r>
        <w:r>
          <w:rPr>
            <w:rFonts w:asciiTheme="minorHAnsi" w:eastAsiaTheme="minorEastAsia" w:hAnsiTheme="minorHAnsi" w:cstheme="minorBidi"/>
            <w:noProof/>
            <w:sz w:val="22"/>
            <w:lang w:val="en-GB" w:eastAsia="en-GB" w:bidi="ar-SA"/>
          </w:rPr>
          <w:tab/>
        </w:r>
        <w:r>
          <w:rPr>
            <w:rStyle w:val="Hyperlink"/>
            <w:i/>
            <w:noProof/>
          </w:rPr>
          <w:t>ELFUL-programmer til udvikling af landdistrikterne</w:t>
        </w:r>
        <w:r>
          <w:rPr>
            <w:noProof/>
            <w:webHidden/>
          </w:rPr>
          <w:tab/>
        </w:r>
        <w:r>
          <w:rPr>
            <w:noProof/>
            <w:webHidden/>
          </w:rPr>
          <w:fldChar w:fldCharType="begin"/>
        </w:r>
        <w:r>
          <w:rPr>
            <w:noProof/>
            <w:webHidden/>
          </w:rPr>
          <w:instrText xml:space="preserve"> PAGEREF _Toc461194997 \h </w:instrText>
        </w:r>
        <w:r>
          <w:rPr>
            <w:noProof/>
            <w:webHidden/>
          </w:rPr>
        </w:r>
        <w:r>
          <w:rPr>
            <w:noProof/>
            <w:webHidden/>
          </w:rPr>
          <w:fldChar w:fldCharType="separate"/>
        </w:r>
        <w:r>
          <w:rPr>
            <w:noProof/>
            <w:webHidden/>
          </w:rPr>
          <w:t>6</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4998" w:history="1">
        <w:r>
          <w:rPr>
            <w:rStyle w:val="Hyperlink"/>
            <w:i/>
            <w:noProof/>
          </w:rPr>
          <w:t>2.2.2.</w:t>
        </w:r>
        <w:r>
          <w:rPr>
            <w:rFonts w:asciiTheme="minorHAnsi" w:eastAsiaTheme="minorEastAsia" w:hAnsiTheme="minorHAnsi" w:cstheme="minorBidi"/>
            <w:noProof/>
            <w:sz w:val="22"/>
            <w:lang w:val="en-GB" w:eastAsia="en-GB" w:bidi="ar-SA"/>
          </w:rPr>
          <w:tab/>
        </w:r>
        <w:r>
          <w:rPr>
            <w:rStyle w:val="Hyperlink"/>
            <w:i/>
            <w:noProof/>
          </w:rPr>
          <w:t>Teknisk bistand</w:t>
        </w:r>
        <w:r>
          <w:rPr>
            <w:noProof/>
            <w:webHidden/>
          </w:rPr>
          <w:tab/>
        </w:r>
        <w:r>
          <w:rPr>
            <w:noProof/>
            <w:webHidden/>
          </w:rPr>
          <w:fldChar w:fldCharType="begin"/>
        </w:r>
        <w:r>
          <w:rPr>
            <w:noProof/>
            <w:webHidden/>
          </w:rPr>
          <w:instrText xml:space="preserve"> PAGEREF _Toc461194998 \h </w:instrText>
        </w:r>
        <w:r>
          <w:rPr>
            <w:noProof/>
            <w:webHidden/>
          </w:rPr>
        </w:r>
        <w:r>
          <w:rPr>
            <w:noProof/>
            <w:webHidden/>
          </w:rPr>
          <w:fldChar w:fldCharType="separate"/>
        </w:r>
        <w:r>
          <w:rPr>
            <w:noProof/>
            <w:webHidden/>
          </w:rPr>
          <w:t>7</w:t>
        </w:r>
        <w:r>
          <w:rPr>
            <w:noProof/>
            <w:webHidden/>
          </w:rPr>
          <w:fldChar w:fldCharType="end"/>
        </w:r>
      </w:hyperlink>
    </w:p>
    <w:p>
      <w:pPr>
        <w:pStyle w:val="TOC1"/>
        <w:rPr>
          <w:rFonts w:asciiTheme="minorHAnsi" w:eastAsiaTheme="minorEastAsia" w:hAnsiTheme="minorHAnsi" w:cstheme="minorBidi"/>
          <w:noProof/>
          <w:sz w:val="22"/>
          <w:lang w:val="en-GB" w:eastAsia="en-GB" w:bidi="ar-SA"/>
        </w:rPr>
      </w:pPr>
      <w:hyperlink w:anchor="_Toc461194999" w:history="1">
        <w:r>
          <w:rPr>
            <w:rStyle w:val="Hyperlink"/>
            <w:b/>
            <w:smallCaps/>
            <w:noProof/>
          </w:rPr>
          <w:t>3.</w:t>
        </w:r>
        <w:r>
          <w:rPr>
            <w:rFonts w:asciiTheme="minorHAnsi" w:eastAsiaTheme="minorEastAsia" w:hAnsiTheme="minorHAnsi" w:cstheme="minorBidi"/>
            <w:noProof/>
            <w:sz w:val="22"/>
            <w:lang w:val="en-GB" w:eastAsia="en-GB" w:bidi="ar-SA"/>
          </w:rPr>
          <w:tab/>
        </w:r>
        <w:r>
          <w:rPr>
            <w:rStyle w:val="Hyperlink"/>
            <w:b/>
            <w:smallCaps/>
            <w:noProof/>
          </w:rPr>
          <w:t>Gennemførelse af ELFUL-budgettet for 2015</w:t>
        </w:r>
        <w:r>
          <w:rPr>
            <w:noProof/>
            <w:webHidden/>
          </w:rPr>
          <w:tab/>
        </w:r>
        <w:r>
          <w:rPr>
            <w:noProof/>
            <w:webHidden/>
          </w:rPr>
          <w:fldChar w:fldCharType="begin"/>
        </w:r>
        <w:r>
          <w:rPr>
            <w:noProof/>
            <w:webHidden/>
          </w:rPr>
          <w:instrText xml:space="preserve"> PAGEREF _Toc461194999 \h </w:instrText>
        </w:r>
        <w:r>
          <w:rPr>
            <w:noProof/>
            <w:webHidden/>
          </w:rPr>
        </w:r>
        <w:r>
          <w:rPr>
            <w:noProof/>
            <w:webHidden/>
          </w:rPr>
          <w:fldChar w:fldCharType="separate"/>
        </w:r>
        <w:r>
          <w:rPr>
            <w:noProof/>
            <w:webHidden/>
          </w:rPr>
          <w:t>7</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5000" w:history="1">
        <w:r>
          <w:rPr>
            <w:rStyle w:val="Hyperlink"/>
            <w:b/>
            <w:noProof/>
          </w:rPr>
          <w:t>3.1.</w:t>
        </w:r>
        <w:r>
          <w:rPr>
            <w:rFonts w:asciiTheme="minorHAnsi" w:eastAsiaTheme="minorEastAsia" w:hAnsiTheme="minorHAnsi" w:cstheme="minorBidi"/>
            <w:noProof/>
            <w:sz w:val="22"/>
            <w:lang w:val="en-GB" w:eastAsia="en-GB" w:bidi="ar-SA"/>
          </w:rPr>
          <w:tab/>
        </w:r>
        <w:r>
          <w:rPr>
            <w:rStyle w:val="Hyperlink"/>
            <w:b/>
            <w:noProof/>
          </w:rPr>
          <w:t>Gennemførelse af forpligtelsesbevillinger</w:t>
        </w:r>
        <w:r>
          <w:rPr>
            <w:noProof/>
            <w:webHidden/>
          </w:rPr>
          <w:tab/>
        </w:r>
        <w:r>
          <w:rPr>
            <w:noProof/>
            <w:webHidden/>
          </w:rPr>
          <w:fldChar w:fldCharType="begin"/>
        </w:r>
        <w:r>
          <w:rPr>
            <w:noProof/>
            <w:webHidden/>
          </w:rPr>
          <w:instrText xml:space="preserve"> PAGEREF _Toc461195000 \h </w:instrText>
        </w:r>
        <w:r>
          <w:rPr>
            <w:noProof/>
            <w:webHidden/>
          </w:rPr>
        </w:r>
        <w:r>
          <w:rPr>
            <w:noProof/>
            <w:webHidden/>
          </w:rPr>
          <w:fldChar w:fldCharType="separate"/>
        </w:r>
        <w:r>
          <w:rPr>
            <w:noProof/>
            <w:webHidden/>
          </w:rPr>
          <w:t>7</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5001" w:history="1">
        <w:r>
          <w:rPr>
            <w:rStyle w:val="Hyperlink"/>
            <w:i/>
            <w:noProof/>
          </w:rPr>
          <w:t>3.1.1.</w:t>
        </w:r>
        <w:r>
          <w:rPr>
            <w:rFonts w:asciiTheme="minorHAnsi" w:eastAsiaTheme="minorEastAsia" w:hAnsiTheme="minorHAnsi" w:cstheme="minorBidi"/>
            <w:noProof/>
            <w:sz w:val="22"/>
            <w:lang w:val="en-GB" w:eastAsia="en-GB" w:bidi="ar-SA"/>
          </w:rPr>
          <w:tab/>
        </w:r>
        <w:r>
          <w:rPr>
            <w:rStyle w:val="Hyperlink"/>
            <w:i/>
            <w:noProof/>
          </w:rPr>
          <w:t>ELFUL-programmer til udvikling af landdistrikterne</w:t>
        </w:r>
        <w:r>
          <w:rPr>
            <w:noProof/>
            <w:webHidden/>
          </w:rPr>
          <w:tab/>
        </w:r>
        <w:r>
          <w:rPr>
            <w:noProof/>
            <w:webHidden/>
          </w:rPr>
          <w:fldChar w:fldCharType="begin"/>
        </w:r>
        <w:r>
          <w:rPr>
            <w:noProof/>
            <w:webHidden/>
          </w:rPr>
          <w:instrText xml:space="preserve"> PAGEREF _Toc461195001 \h </w:instrText>
        </w:r>
        <w:r>
          <w:rPr>
            <w:noProof/>
            <w:webHidden/>
          </w:rPr>
        </w:r>
        <w:r>
          <w:rPr>
            <w:noProof/>
            <w:webHidden/>
          </w:rPr>
          <w:fldChar w:fldCharType="separate"/>
        </w:r>
        <w:r>
          <w:rPr>
            <w:noProof/>
            <w:webHidden/>
          </w:rPr>
          <w:t>7</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5002" w:history="1">
        <w:r>
          <w:rPr>
            <w:rStyle w:val="Hyperlink"/>
            <w:i/>
            <w:noProof/>
          </w:rPr>
          <w:t>3.1.2.</w:t>
        </w:r>
        <w:r>
          <w:rPr>
            <w:rFonts w:asciiTheme="minorHAnsi" w:eastAsiaTheme="minorEastAsia" w:hAnsiTheme="minorHAnsi" w:cstheme="minorBidi"/>
            <w:noProof/>
            <w:sz w:val="22"/>
            <w:lang w:val="en-GB" w:eastAsia="en-GB" w:bidi="ar-SA"/>
          </w:rPr>
          <w:tab/>
        </w:r>
        <w:r>
          <w:rPr>
            <w:rStyle w:val="Hyperlink"/>
            <w:i/>
            <w:noProof/>
          </w:rPr>
          <w:t>Teknisk bistand</w:t>
        </w:r>
        <w:r>
          <w:rPr>
            <w:noProof/>
            <w:webHidden/>
          </w:rPr>
          <w:tab/>
        </w:r>
        <w:r>
          <w:rPr>
            <w:noProof/>
            <w:webHidden/>
          </w:rPr>
          <w:fldChar w:fldCharType="begin"/>
        </w:r>
        <w:r>
          <w:rPr>
            <w:noProof/>
            <w:webHidden/>
          </w:rPr>
          <w:instrText xml:space="preserve"> PAGEREF _Toc461195002 \h </w:instrText>
        </w:r>
        <w:r>
          <w:rPr>
            <w:noProof/>
            <w:webHidden/>
          </w:rPr>
        </w:r>
        <w:r>
          <w:rPr>
            <w:noProof/>
            <w:webHidden/>
          </w:rPr>
          <w:fldChar w:fldCharType="separate"/>
        </w:r>
        <w:r>
          <w:rPr>
            <w:noProof/>
            <w:webHidden/>
          </w:rPr>
          <w:t>8</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5003" w:history="1">
        <w:r>
          <w:rPr>
            <w:rStyle w:val="Hyperlink"/>
            <w:b/>
            <w:noProof/>
          </w:rPr>
          <w:t>3.2.</w:t>
        </w:r>
        <w:r>
          <w:rPr>
            <w:rFonts w:asciiTheme="minorHAnsi" w:eastAsiaTheme="minorEastAsia" w:hAnsiTheme="minorHAnsi" w:cstheme="minorBidi"/>
            <w:noProof/>
            <w:sz w:val="22"/>
            <w:lang w:val="en-GB" w:eastAsia="en-GB" w:bidi="ar-SA"/>
          </w:rPr>
          <w:tab/>
        </w:r>
        <w:r>
          <w:rPr>
            <w:rStyle w:val="Hyperlink"/>
            <w:b/>
            <w:noProof/>
          </w:rPr>
          <w:t>Gennemførelse af betalingsbevillinger</w:t>
        </w:r>
        <w:r>
          <w:rPr>
            <w:noProof/>
            <w:webHidden/>
          </w:rPr>
          <w:tab/>
        </w:r>
        <w:r>
          <w:rPr>
            <w:noProof/>
            <w:webHidden/>
          </w:rPr>
          <w:fldChar w:fldCharType="begin"/>
        </w:r>
        <w:r>
          <w:rPr>
            <w:noProof/>
            <w:webHidden/>
          </w:rPr>
          <w:instrText xml:space="preserve"> PAGEREF _Toc461195003 \h </w:instrText>
        </w:r>
        <w:r>
          <w:rPr>
            <w:noProof/>
            <w:webHidden/>
          </w:rPr>
        </w:r>
        <w:r>
          <w:rPr>
            <w:noProof/>
            <w:webHidden/>
          </w:rPr>
          <w:fldChar w:fldCharType="separate"/>
        </w:r>
        <w:r>
          <w:rPr>
            <w:noProof/>
            <w:webHidden/>
          </w:rPr>
          <w:t>9</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5004" w:history="1">
        <w:r>
          <w:rPr>
            <w:rStyle w:val="Hyperlink"/>
            <w:i/>
            <w:noProof/>
          </w:rPr>
          <w:t>3.2.1.</w:t>
        </w:r>
        <w:r>
          <w:rPr>
            <w:rFonts w:asciiTheme="minorHAnsi" w:eastAsiaTheme="minorEastAsia" w:hAnsiTheme="minorHAnsi" w:cstheme="minorBidi"/>
            <w:noProof/>
            <w:sz w:val="22"/>
            <w:lang w:val="en-GB" w:eastAsia="en-GB" w:bidi="ar-SA"/>
          </w:rPr>
          <w:tab/>
        </w:r>
        <w:r>
          <w:rPr>
            <w:rStyle w:val="Hyperlink"/>
            <w:i/>
            <w:noProof/>
          </w:rPr>
          <w:t>ELFUL-programmer til udvikling af landdistrikterne</w:t>
        </w:r>
        <w:r>
          <w:rPr>
            <w:noProof/>
            <w:webHidden/>
          </w:rPr>
          <w:tab/>
        </w:r>
        <w:r>
          <w:rPr>
            <w:noProof/>
            <w:webHidden/>
          </w:rPr>
          <w:fldChar w:fldCharType="begin"/>
        </w:r>
        <w:r>
          <w:rPr>
            <w:noProof/>
            <w:webHidden/>
          </w:rPr>
          <w:instrText xml:space="preserve"> PAGEREF _Toc461195004 \h </w:instrText>
        </w:r>
        <w:r>
          <w:rPr>
            <w:noProof/>
            <w:webHidden/>
          </w:rPr>
        </w:r>
        <w:r>
          <w:rPr>
            <w:noProof/>
            <w:webHidden/>
          </w:rPr>
          <w:fldChar w:fldCharType="separate"/>
        </w:r>
        <w:r>
          <w:rPr>
            <w:noProof/>
            <w:webHidden/>
          </w:rPr>
          <w:t>9</w:t>
        </w:r>
        <w:r>
          <w:rPr>
            <w:noProof/>
            <w:webHidden/>
          </w:rPr>
          <w:fldChar w:fldCharType="end"/>
        </w:r>
      </w:hyperlink>
    </w:p>
    <w:p>
      <w:pPr>
        <w:pStyle w:val="TOC3"/>
        <w:rPr>
          <w:rFonts w:asciiTheme="minorHAnsi" w:eastAsiaTheme="minorEastAsia" w:hAnsiTheme="minorHAnsi" w:cstheme="minorBidi"/>
          <w:noProof/>
          <w:sz w:val="22"/>
          <w:lang w:val="en-GB" w:eastAsia="en-GB" w:bidi="ar-SA"/>
        </w:rPr>
      </w:pPr>
      <w:hyperlink w:anchor="_Toc461195005" w:history="1">
        <w:r>
          <w:rPr>
            <w:rStyle w:val="Hyperlink"/>
            <w:i/>
            <w:noProof/>
          </w:rPr>
          <w:t>3.2.2.</w:t>
        </w:r>
        <w:r>
          <w:rPr>
            <w:rFonts w:asciiTheme="minorHAnsi" w:eastAsiaTheme="minorEastAsia" w:hAnsiTheme="minorHAnsi" w:cstheme="minorBidi"/>
            <w:noProof/>
            <w:sz w:val="22"/>
            <w:lang w:val="en-GB" w:eastAsia="en-GB" w:bidi="ar-SA"/>
          </w:rPr>
          <w:tab/>
        </w:r>
        <w:r>
          <w:rPr>
            <w:rStyle w:val="Hyperlink"/>
            <w:i/>
            <w:noProof/>
          </w:rPr>
          <w:t>Teknisk bistand</w:t>
        </w:r>
        <w:r>
          <w:rPr>
            <w:noProof/>
            <w:webHidden/>
          </w:rPr>
          <w:tab/>
        </w:r>
        <w:r>
          <w:rPr>
            <w:noProof/>
            <w:webHidden/>
          </w:rPr>
          <w:fldChar w:fldCharType="begin"/>
        </w:r>
        <w:r>
          <w:rPr>
            <w:noProof/>
            <w:webHidden/>
          </w:rPr>
          <w:instrText xml:space="preserve"> PAGEREF _Toc461195005 \h </w:instrText>
        </w:r>
        <w:r>
          <w:rPr>
            <w:noProof/>
            <w:webHidden/>
          </w:rPr>
        </w:r>
        <w:r>
          <w:rPr>
            <w:noProof/>
            <w:webHidden/>
          </w:rPr>
          <w:fldChar w:fldCharType="separate"/>
        </w:r>
        <w:r>
          <w:rPr>
            <w:noProof/>
            <w:webHidden/>
          </w:rPr>
          <w:t>16</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5006" w:history="1">
        <w:r>
          <w:rPr>
            <w:rStyle w:val="Hyperlink"/>
            <w:b/>
            <w:noProof/>
          </w:rPr>
          <w:t>3.3.</w:t>
        </w:r>
        <w:r>
          <w:rPr>
            <w:rFonts w:asciiTheme="minorHAnsi" w:eastAsiaTheme="minorEastAsia" w:hAnsiTheme="minorHAnsi" w:cstheme="minorBidi"/>
            <w:noProof/>
            <w:sz w:val="22"/>
            <w:lang w:val="en-GB" w:eastAsia="en-GB" w:bidi="ar-SA"/>
          </w:rPr>
          <w:tab/>
        </w:r>
        <w:r>
          <w:rPr>
            <w:rStyle w:val="Hyperlink"/>
            <w:b/>
            <w:noProof/>
          </w:rPr>
          <w:t>Analyse af de anmeldte udgifter pr. akse og/eller pr. foranstaltning</w:t>
        </w:r>
        <w:r>
          <w:rPr>
            <w:noProof/>
            <w:webHidden/>
          </w:rPr>
          <w:tab/>
        </w:r>
        <w:r>
          <w:rPr>
            <w:noProof/>
            <w:webHidden/>
          </w:rPr>
          <w:fldChar w:fldCharType="begin"/>
        </w:r>
        <w:r>
          <w:rPr>
            <w:noProof/>
            <w:webHidden/>
          </w:rPr>
          <w:instrText xml:space="preserve"> PAGEREF _Toc461195006 \h </w:instrText>
        </w:r>
        <w:r>
          <w:rPr>
            <w:noProof/>
            <w:webHidden/>
          </w:rPr>
        </w:r>
        <w:r>
          <w:rPr>
            <w:noProof/>
            <w:webHidden/>
          </w:rPr>
          <w:fldChar w:fldCharType="separate"/>
        </w:r>
        <w:r>
          <w:rPr>
            <w:noProof/>
            <w:webHidden/>
          </w:rPr>
          <w:t>16</w:t>
        </w:r>
        <w:r>
          <w:rPr>
            <w:noProof/>
            <w:webHidden/>
          </w:rPr>
          <w:fldChar w:fldCharType="end"/>
        </w:r>
      </w:hyperlink>
    </w:p>
    <w:p>
      <w:pPr>
        <w:pStyle w:val="TOC2"/>
        <w:rPr>
          <w:rFonts w:asciiTheme="minorHAnsi" w:eastAsiaTheme="minorEastAsia" w:hAnsiTheme="minorHAnsi" w:cstheme="minorBidi"/>
          <w:noProof/>
          <w:sz w:val="22"/>
          <w:lang w:val="en-GB" w:eastAsia="en-GB" w:bidi="ar-SA"/>
        </w:rPr>
      </w:pPr>
      <w:hyperlink w:anchor="_Toc461195007" w:history="1">
        <w:r>
          <w:rPr>
            <w:rStyle w:val="Hyperlink"/>
            <w:b/>
            <w:noProof/>
          </w:rPr>
          <w:t>3.4.</w:t>
        </w:r>
        <w:r>
          <w:rPr>
            <w:rFonts w:asciiTheme="minorHAnsi" w:eastAsiaTheme="minorEastAsia" w:hAnsiTheme="minorHAnsi" w:cstheme="minorBidi"/>
            <w:noProof/>
            <w:sz w:val="22"/>
            <w:lang w:val="en-GB" w:eastAsia="en-GB" w:bidi="ar-SA"/>
          </w:rPr>
          <w:tab/>
        </w:r>
        <w:r>
          <w:rPr>
            <w:rStyle w:val="Hyperlink"/>
            <w:b/>
            <w:noProof/>
          </w:rPr>
          <w:t>Gennemførelse af ELFUL-programmer - Programmeringsperiode 2007-2013</w:t>
        </w:r>
        <w:r>
          <w:rPr>
            <w:noProof/>
            <w:webHidden/>
          </w:rPr>
          <w:tab/>
        </w:r>
        <w:r>
          <w:rPr>
            <w:noProof/>
            <w:webHidden/>
          </w:rPr>
          <w:fldChar w:fldCharType="begin"/>
        </w:r>
        <w:r>
          <w:rPr>
            <w:noProof/>
            <w:webHidden/>
          </w:rPr>
          <w:instrText xml:space="preserve"> PAGEREF _Toc461195007 \h </w:instrText>
        </w:r>
        <w:r>
          <w:rPr>
            <w:noProof/>
            <w:webHidden/>
          </w:rPr>
        </w:r>
        <w:r>
          <w:rPr>
            <w:noProof/>
            <w:webHidden/>
          </w:rPr>
          <w:fldChar w:fldCharType="separate"/>
        </w:r>
        <w:r>
          <w:rPr>
            <w:noProof/>
            <w:webHidden/>
          </w:rPr>
          <w:t>20</w:t>
        </w:r>
        <w:r>
          <w:rPr>
            <w:noProof/>
            <w:webHidden/>
          </w:rPr>
          <w:fldChar w:fldCharType="end"/>
        </w:r>
      </w:hyperlink>
    </w:p>
    <w:p>
      <w:pPr>
        <w:pStyle w:val="TOC1"/>
        <w:rPr>
          <w:rFonts w:ascii="Calibri" w:hAnsi="Calibri"/>
          <w:noProof/>
          <w:sz w:val="22"/>
        </w:rPr>
      </w:pPr>
      <w:r>
        <w:rPr>
          <w:noProof/>
        </w:rPr>
        <w:fldChar w:fldCharType="end"/>
      </w:r>
    </w:p>
    <w:p>
      <w:pPr>
        <w:rPr>
          <w:noProof/>
        </w:rPr>
      </w:pPr>
    </w:p>
    <w:p>
      <w:pPr>
        <w:rPr>
          <w:noProof/>
        </w:rPr>
        <w:sectPr>
          <w:headerReference w:type="even" r:id="rId16"/>
          <w:headerReference w:type="default" r:id="rId17"/>
          <w:footerReference w:type="even" r:id="rId18"/>
          <w:footerReference w:type="default" r:id="rId19"/>
          <w:headerReference w:type="first" r:id="rId20"/>
          <w:footerReference w:type="first" r:id="rId21"/>
          <w:pgSz w:w="11907" w:h="16839" w:code="9"/>
          <w:pgMar w:top="1134" w:right="1417" w:bottom="1134" w:left="1417" w:header="709" w:footer="709" w:gutter="0"/>
          <w:pgNumType w:start="2"/>
          <w:cols w:space="708"/>
          <w:docGrid w:linePitch="360"/>
        </w:sectPr>
      </w:pPr>
    </w:p>
    <w:p>
      <w:pPr>
        <w:keepNext/>
        <w:tabs>
          <w:tab w:val="left" w:pos="0"/>
          <w:tab w:val="left" w:pos="10080"/>
        </w:tabs>
        <w:spacing w:before="360" w:after="120" w:line="240" w:lineRule="auto"/>
        <w:ind w:left="850" w:hanging="850"/>
        <w:jc w:val="both"/>
        <w:outlineLvl w:val="0"/>
        <w:rPr>
          <w:rFonts w:ascii="Times New Roman" w:eastAsia="Times New Roman" w:hAnsi="Times New Roman"/>
          <w:b/>
          <w:smallCaps/>
          <w:noProof/>
          <w:sz w:val="24"/>
        </w:rPr>
      </w:pPr>
      <w:bookmarkStart w:id="2" w:name="_Toc331167057"/>
      <w:bookmarkStart w:id="3" w:name="_Toc393127465"/>
      <w:bookmarkStart w:id="4" w:name="_Toc457569404"/>
      <w:bookmarkStart w:id="5" w:name="_Toc461194987"/>
      <w:r>
        <w:rPr>
          <w:rFonts w:ascii="Times New Roman" w:hAnsi="Times New Roman"/>
          <w:b/>
          <w:smallCaps/>
          <w:noProof/>
          <w:sz w:val="24"/>
        </w:rPr>
        <w:t>1.</w:t>
      </w:r>
      <w:r>
        <w:rPr>
          <w:noProof/>
        </w:rPr>
        <w:tab/>
      </w:r>
      <w:r>
        <w:rPr>
          <w:rFonts w:ascii="Times New Roman" w:hAnsi="Times New Roman"/>
          <w:b/>
          <w:smallCaps/>
          <w:noProof/>
          <w:sz w:val="24"/>
        </w:rPr>
        <w:t>Budgetprocedure</w:t>
      </w:r>
      <w:bookmarkEnd w:id="2"/>
      <w:bookmarkEnd w:id="3"/>
      <w:bookmarkEnd w:id="4"/>
      <w:bookmarkEnd w:id="5"/>
    </w:p>
    <w:p>
      <w:pPr>
        <w:keepNext/>
        <w:tabs>
          <w:tab w:val="left" w:pos="0"/>
        </w:tabs>
        <w:spacing w:before="240" w:after="120" w:line="240" w:lineRule="auto"/>
        <w:ind w:left="850" w:hanging="850"/>
        <w:jc w:val="both"/>
        <w:outlineLvl w:val="1"/>
        <w:rPr>
          <w:rFonts w:ascii="Times New Roman" w:eastAsia="Times New Roman" w:hAnsi="Times New Roman"/>
          <w:b/>
          <w:noProof/>
          <w:sz w:val="24"/>
        </w:rPr>
      </w:pPr>
      <w:bookmarkStart w:id="6" w:name="_Toc331167058"/>
      <w:bookmarkStart w:id="7" w:name="_Toc393127466"/>
      <w:bookmarkStart w:id="8" w:name="_Toc457569405"/>
      <w:bookmarkStart w:id="9" w:name="_Toc461194988"/>
      <w:r>
        <w:rPr>
          <w:rFonts w:ascii="Times New Roman" w:hAnsi="Times New Roman"/>
          <w:b/>
          <w:noProof/>
          <w:sz w:val="24"/>
        </w:rPr>
        <w:t>1.1.</w:t>
      </w:r>
      <w:r>
        <w:rPr>
          <w:noProof/>
        </w:rPr>
        <w:tab/>
      </w:r>
      <w:r>
        <w:rPr>
          <w:rFonts w:ascii="Times New Roman" w:hAnsi="Times New Roman"/>
          <w:b/>
          <w:noProof/>
          <w:sz w:val="24"/>
        </w:rPr>
        <w:t>Finansiel ramme</w:t>
      </w:r>
      <w:bookmarkEnd w:id="6"/>
      <w:bookmarkEnd w:id="7"/>
      <w:bookmarkEnd w:id="8"/>
      <w:bookmarkEnd w:id="9"/>
      <w:r>
        <w:rPr>
          <w:rFonts w:ascii="Times New Roman" w:hAnsi="Times New Roman"/>
          <w:b/>
          <w:noProof/>
          <w:sz w:val="24"/>
        </w:rPr>
        <w:t xml:space="preserve"> </w:t>
      </w:r>
    </w:p>
    <w:p>
      <w:pPr>
        <w:spacing w:before="120" w:after="120" w:line="240" w:lineRule="auto"/>
        <w:ind w:left="840" w:right="-49"/>
        <w:jc w:val="both"/>
        <w:rPr>
          <w:rFonts w:ascii="Times New Roman" w:eastAsia="Times New Roman" w:hAnsi="Times New Roman"/>
          <w:noProof/>
          <w:sz w:val="24"/>
        </w:rPr>
      </w:pPr>
      <w:r>
        <w:rPr>
          <w:rFonts w:ascii="Times New Roman" w:hAnsi="Times New Roman"/>
          <w:noProof/>
          <w:sz w:val="24"/>
        </w:rPr>
        <w:t>Udgifterne til udvikling af landdistrikterne i 2015 finansieres over to flerårige finansielle rammer (FFR): 2007-2013 og 2014-2020. Den finansielle ramme for 2014-2020 er fastlagt ved Rådets forordning (EU) nr. 1311/2013. Bevillingerne til udvikling af landdistrikterne og bevillingerne til markedsrelaterede udgifter og direkte betalinger efter den årlige tekniske tilpasning af FFR fremgår af tabel 1.</w:t>
      </w:r>
    </w:p>
    <w:p>
      <w:pPr>
        <w:tabs>
          <w:tab w:val="left" w:pos="0"/>
        </w:tabs>
        <w:spacing w:before="120" w:after="120" w:line="240" w:lineRule="auto"/>
        <w:jc w:val="both"/>
        <w:rPr>
          <w:rFonts w:ascii="Times New Roman" w:eastAsia="Times New Roman" w:hAnsi="Times New Roman"/>
          <w:noProof/>
          <w:sz w:val="24"/>
        </w:rPr>
      </w:pPr>
      <w:bookmarkStart w:id="10" w:name="_Toc331167059"/>
      <w:bookmarkStart w:id="11" w:name="_Toc393127467"/>
    </w:p>
    <w:p>
      <w:pPr>
        <w:tabs>
          <w:tab w:val="left" w:pos="0"/>
        </w:tabs>
        <w:spacing w:before="120" w:after="120" w:line="240" w:lineRule="auto"/>
        <w:jc w:val="both"/>
        <w:rPr>
          <w:rFonts w:ascii="Times New Roman" w:eastAsia="Times New Roman" w:hAnsi="Times New Roman"/>
          <w:noProof/>
          <w:sz w:val="24"/>
        </w:rPr>
      </w:pPr>
      <w:r>
        <w:rPr>
          <w:rFonts w:ascii="Times New Roman" w:hAnsi="Times New Roman"/>
          <w:noProof/>
          <w:sz w:val="24"/>
        </w:rPr>
        <w:t>Tabel 1 – Den finansielle ramme for 2014-2020</w:t>
      </w:r>
    </w:p>
    <w:tbl>
      <w:tblPr>
        <w:tblW w:w="9273" w:type="dxa"/>
        <w:tblLayout w:type="fixed"/>
        <w:tblLook w:val="04A0" w:firstRow="1" w:lastRow="0" w:firstColumn="1" w:lastColumn="0" w:noHBand="0" w:noVBand="1"/>
      </w:tblPr>
      <w:tblGrid>
        <w:gridCol w:w="2857"/>
        <w:gridCol w:w="900"/>
        <w:gridCol w:w="900"/>
        <w:gridCol w:w="900"/>
        <w:gridCol w:w="900"/>
        <w:gridCol w:w="958"/>
        <w:gridCol w:w="958"/>
        <w:gridCol w:w="900"/>
      </w:tblGrid>
      <w:tr>
        <w:trPr>
          <w:trHeight w:val="270"/>
        </w:trPr>
        <w:tc>
          <w:tcPr>
            <w:tcW w:w="2857" w:type="dxa"/>
            <w:tcBorders>
              <w:top w:val="single" w:sz="8" w:space="0" w:color="auto"/>
              <w:left w:val="single" w:sz="8" w:space="0" w:color="auto"/>
              <w:right w:val="single" w:sz="8" w:space="0" w:color="auto"/>
            </w:tcBorders>
            <w:shd w:val="clear" w:color="000000" w:fill="FFFF99"/>
            <w:vAlign w:val="center"/>
          </w:tcPr>
          <w:p>
            <w:pPr>
              <w:spacing w:after="0" w:line="240" w:lineRule="auto"/>
              <w:rPr>
                <w:rFonts w:ascii="Times New Roman" w:eastAsia="Times New Roman" w:hAnsi="Times New Roman"/>
                <w:b/>
                <w:bCs/>
                <w:noProof/>
                <w:sz w:val="20"/>
                <w:szCs w:val="20"/>
              </w:rPr>
            </w:pPr>
            <w:r>
              <w:rPr>
                <w:rFonts w:ascii="Times New Roman" w:hAnsi="Times New Roman"/>
                <w:b/>
                <w:noProof/>
                <w:sz w:val="20"/>
              </w:rPr>
              <w:t>UDGIFTSOMRÅDE 2</w:t>
            </w:r>
          </w:p>
        </w:tc>
        <w:tc>
          <w:tcPr>
            <w:tcW w:w="6416" w:type="dxa"/>
            <w:gridSpan w:val="7"/>
            <w:tcBorders>
              <w:top w:val="single" w:sz="8" w:space="0" w:color="auto"/>
              <w:left w:val="nil"/>
              <w:bottom w:val="nil"/>
              <w:right w:val="single" w:sz="8" w:space="0" w:color="000000"/>
            </w:tcBorders>
            <w:shd w:val="clear" w:color="000000" w:fill="FFFF99"/>
            <w:vAlign w:val="center"/>
          </w:tcPr>
          <w:p>
            <w:pPr>
              <w:spacing w:after="0" w:line="240" w:lineRule="auto"/>
              <w:jc w:val="center"/>
              <w:rPr>
                <w:rFonts w:ascii="Times New Roman" w:eastAsia="Times New Roman" w:hAnsi="Times New Roman"/>
                <w:bCs/>
                <w:noProof/>
                <w:sz w:val="20"/>
                <w:szCs w:val="20"/>
              </w:rPr>
            </w:pPr>
            <w:r>
              <w:rPr>
                <w:rFonts w:ascii="Times New Roman" w:hAnsi="Times New Roman"/>
                <w:noProof/>
                <w:sz w:val="20"/>
              </w:rPr>
              <w:t>(mio. EUR) løbende priser</w:t>
            </w:r>
          </w:p>
        </w:tc>
      </w:tr>
      <w:tr>
        <w:trPr>
          <w:trHeight w:val="510"/>
        </w:trPr>
        <w:tc>
          <w:tcPr>
            <w:tcW w:w="2857" w:type="dxa"/>
            <w:tcBorders>
              <w:top w:val="nil"/>
              <w:left w:val="single" w:sz="8" w:space="0" w:color="auto"/>
              <w:bottom w:val="single" w:sz="4" w:space="0" w:color="auto"/>
              <w:right w:val="single" w:sz="8" w:space="0" w:color="auto"/>
            </w:tcBorders>
            <w:shd w:val="clear" w:color="000000" w:fill="FFFF99"/>
            <w:vAlign w:val="center"/>
          </w:tcPr>
          <w:p>
            <w:pPr>
              <w:spacing w:after="0" w:line="240" w:lineRule="auto"/>
              <w:rPr>
                <w:rFonts w:ascii="Times New Roman" w:eastAsia="Times New Roman" w:hAnsi="Times New Roman"/>
                <w:b/>
                <w:bCs/>
                <w:noProof/>
                <w:sz w:val="18"/>
                <w:szCs w:val="18"/>
              </w:rPr>
            </w:pPr>
            <w:r>
              <w:rPr>
                <w:rFonts w:ascii="Times New Roman" w:hAnsi="Times New Roman"/>
                <w:b/>
                <w:noProof/>
                <w:sz w:val="18"/>
              </w:rPr>
              <w:t>Bæredygtig vækst: naturressourcer</w:t>
            </w:r>
          </w:p>
        </w:tc>
        <w:tc>
          <w:tcPr>
            <w:tcW w:w="900"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2014</w:t>
            </w:r>
          </w:p>
        </w:tc>
        <w:tc>
          <w:tcPr>
            <w:tcW w:w="900"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2015</w:t>
            </w:r>
          </w:p>
        </w:tc>
        <w:tc>
          <w:tcPr>
            <w:tcW w:w="900"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2016</w:t>
            </w:r>
          </w:p>
        </w:tc>
        <w:tc>
          <w:tcPr>
            <w:tcW w:w="900"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2017</w:t>
            </w:r>
          </w:p>
        </w:tc>
        <w:tc>
          <w:tcPr>
            <w:tcW w:w="958"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2018</w:t>
            </w:r>
          </w:p>
        </w:tc>
        <w:tc>
          <w:tcPr>
            <w:tcW w:w="958"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2019</w:t>
            </w:r>
          </w:p>
        </w:tc>
        <w:tc>
          <w:tcPr>
            <w:tcW w:w="900" w:type="dxa"/>
            <w:tcBorders>
              <w:top w:val="single" w:sz="8" w:space="0" w:color="auto"/>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2020</w:t>
            </w:r>
          </w:p>
        </w:tc>
      </w:tr>
      <w:tr>
        <w:trPr>
          <w:trHeight w:val="375"/>
        </w:trPr>
        <w:tc>
          <w:tcPr>
            <w:tcW w:w="2857" w:type="dxa"/>
            <w:tcBorders>
              <w:top w:val="single" w:sz="4" w:space="0" w:color="auto"/>
              <w:left w:val="single" w:sz="8" w:space="0" w:color="auto"/>
              <w:bottom w:val="dotted" w:sz="4" w:space="0" w:color="auto"/>
              <w:right w:val="single" w:sz="8" w:space="0" w:color="auto"/>
            </w:tcBorders>
            <w:shd w:val="clear" w:color="auto" w:fill="auto"/>
            <w:vAlign w:val="center"/>
          </w:tcPr>
          <w:p>
            <w:pPr>
              <w:spacing w:after="0" w:line="240" w:lineRule="auto"/>
              <w:rPr>
                <w:rFonts w:ascii="Times New Roman" w:eastAsia="Times New Roman" w:hAnsi="Times New Roman"/>
                <w:b/>
                <w:bCs/>
                <w:noProof/>
                <w:sz w:val="18"/>
                <w:szCs w:val="18"/>
              </w:rPr>
            </w:pPr>
            <w:r>
              <w:rPr>
                <w:rFonts w:ascii="Times New Roman" w:hAnsi="Times New Roman"/>
                <w:b/>
                <w:noProof/>
                <w:sz w:val="18"/>
              </w:rPr>
              <w:t xml:space="preserve">I ALT </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49 857</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64 692</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64 262</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60 191</w:t>
            </w:r>
          </w:p>
        </w:tc>
        <w:tc>
          <w:tcPr>
            <w:tcW w:w="958"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60 267</w:t>
            </w:r>
          </w:p>
        </w:tc>
        <w:tc>
          <w:tcPr>
            <w:tcW w:w="958"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60 344</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60 421</w:t>
            </w:r>
          </w:p>
        </w:tc>
      </w:tr>
      <w:tr>
        <w:trPr>
          <w:trHeight w:val="255"/>
        </w:trPr>
        <w:tc>
          <w:tcPr>
            <w:tcW w:w="9273" w:type="dxa"/>
            <w:gridSpan w:val="8"/>
            <w:tcBorders>
              <w:top w:val="dotted" w:sz="4" w:space="0" w:color="auto"/>
              <w:left w:val="single" w:sz="8" w:space="0" w:color="auto"/>
              <w:bottom w:val="dotted" w:sz="4" w:space="0" w:color="auto"/>
              <w:right w:val="single" w:sz="8" w:space="0" w:color="000000"/>
            </w:tcBorders>
            <w:shd w:val="clear" w:color="auto" w:fill="auto"/>
            <w:vAlign w:val="center"/>
          </w:tcPr>
          <w:p>
            <w:pPr>
              <w:spacing w:after="0" w:line="240" w:lineRule="auto"/>
              <w:jc w:val="both"/>
              <w:rPr>
                <w:rFonts w:ascii="Times New Roman" w:eastAsia="Times New Roman" w:hAnsi="Times New Roman"/>
                <w:noProof/>
                <w:sz w:val="18"/>
                <w:szCs w:val="18"/>
              </w:rPr>
            </w:pPr>
            <w:r>
              <w:rPr>
                <w:rFonts w:ascii="Times New Roman" w:hAnsi="Times New Roman"/>
                <w:noProof/>
                <w:sz w:val="18"/>
              </w:rPr>
              <w:t>heraf:</w:t>
            </w:r>
          </w:p>
        </w:tc>
      </w:tr>
      <w:tr>
        <w:trPr>
          <w:trHeight w:val="540"/>
        </w:trPr>
        <w:tc>
          <w:tcPr>
            <w:tcW w:w="2857" w:type="dxa"/>
            <w:tcBorders>
              <w:top w:val="nil"/>
              <w:left w:val="single" w:sz="8" w:space="0" w:color="auto"/>
              <w:bottom w:val="dotted" w:sz="4" w:space="0" w:color="auto"/>
              <w:right w:val="single" w:sz="8" w:space="0" w:color="auto"/>
            </w:tcBorders>
            <w:shd w:val="clear" w:color="auto" w:fill="auto"/>
            <w:vAlign w:val="center"/>
          </w:tcPr>
          <w:p>
            <w:pPr>
              <w:spacing w:after="0" w:line="240" w:lineRule="auto"/>
              <w:rPr>
                <w:rFonts w:ascii="Times New Roman" w:eastAsia="Times New Roman" w:hAnsi="Times New Roman"/>
                <w:noProof/>
                <w:sz w:val="18"/>
                <w:szCs w:val="18"/>
              </w:rPr>
            </w:pPr>
            <w:r>
              <w:rPr>
                <w:rFonts w:ascii="Times New Roman" w:hAnsi="Times New Roman"/>
                <w:noProof/>
                <w:sz w:val="18"/>
              </w:rPr>
              <w:t xml:space="preserve">- Udvikling af landdistrikter </w:t>
            </w:r>
            <w:r>
              <w:rPr>
                <w:rFonts w:ascii="Times New Roman" w:hAnsi="Times New Roman"/>
                <w:noProof/>
                <w:vertAlign w:val="superscript"/>
              </w:rPr>
              <w:t>a), b), c), d), e)</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5 299</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18 184</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18 684</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14 371</w:t>
            </w:r>
          </w:p>
        </w:tc>
        <w:tc>
          <w:tcPr>
            <w:tcW w:w="958"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14 381</w:t>
            </w:r>
          </w:p>
        </w:tc>
        <w:tc>
          <w:tcPr>
            <w:tcW w:w="958"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14 330</w:t>
            </w:r>
          </w:p>
        </w:tc>
        <w:tc>
          <w:tcPr>
            <w:tcW w:w="900" w:type="dxa"/>
            <w:tcBorders>
              <w:top w:val="nil"/>
              <w:left w:val="nil"/>
              <w:bottom w:val="dotted" w:sz="4"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14 333</w:t>
            </w:r>
          </w:p>
        </w:tc>
      </w:tr>
      <w:tr>
        <w:trPr>
          <w:trHeight w:val="630"/>
        </w:trPr>
        <w:tc>
          <w:tcPr>
            <w:tcW w:w="2857" w:type="dxa"/>
            <w:tcBorders>
              <w:top w:val="nil"/>
              <w:left w:val="single" w:sz="8" w:space="0" w:color="auto"/>
              <w:bottom w:val="single" w:sz="8" w:space="0" w:color="auto"/>
              <w:right w:val="single" w:sz="8" w:space="0" w:color="auto"/>
            </w:tcBorders>
            <w:shd w:val="clear" w:color="auto" w:fill="auto"/>
            <w:vAlign w:val="center"/>
          </w:tcPr>
          <w:p>
            <w:pPr>
              <w:spacing w:after="0" w:line="240" w:lineRule="auto"/>
              <w:rPr>
                <w:rFonts w:ascii="Times New Roman" w:eastAsia="Times New Roman" w:hAnsi="Times New Roman"/>
                <w:noProof/>
                <w:sz w:val="18"/>
                <w:szCs w:val="18"/>
              </w:rPr>
            </w:pPr>
            <w:r>
              <w:rPr>
                <w:rFonts w:ascii="Times New Roman" w:hAnsi="Times New Roman"/>
                <w:noProof/>
                <w:sz w:val="18"/>
              </w:rPr>
              <w:t xml:space="preserve">- Markedsrelaterede udgifter og direkte betalinger </w:t>
            </w:r>
            <w:r>
              <w:rPr>
                <w:rFonts w:ascii="Times New Roman" w:hAnsi="Times New Roman"/>
                <w:noProof/>
                <w:vertAlign w:val="superscript"/>
              </w:rPr>
              <w:t>a), b), c), d)</w:t>
            </w:r>
          </w:p>
        </w:tc>
        <w:tc>
          <w:tcPr>
            <w:tcW w:w="900"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43 778</w:t>
            </w:r>
          </w:p>
        </w:tc>
        <w:tc>
          <w:tcPr>
            <w:tcW w:w="900"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44 190</w:t>
            </w:r>
          </w:p>
        </w:tc>
        <w:tc>
          <w:tcPr>
            <w:tcW w:w="900"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43 950</w:t>
            </w:r>
          </w:p>
        </w:tc>
        <w:tc>
          <w:tcPr>
            <w:tcW w:w="900"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44 146</w:t>
            </w:r>
          </w:p>
        </w:tc>
        <w:tc>
          <w:tcPr>
            <w:tcW w:w="958"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44 162</w:t>
            </w:r>
          </w:p>
        </w:tc>
        <w:tc>
          <w:tcPr>
            <w:tcW w:w="958"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44 241</w:t>
            </w:r>
          </w:p>
        </w:tc>
        <w:tc>
          <w:tcPr>
            <w:tcW w:w="900" w:type="dxa"/>
            <w:tcBorders>
              <w:top w:val="nil"/>
              <w:left w:val="nil"/>
              <w:bottom w:val="single" w:sz="8" w:space="0" w:color="auto"/>
              <w:right w:val="single" w:sz="8" w:space="0" w:color="auto"/>
            </w:tcBorders>
            <w:shd w:val="clear" w:color="auto" w:fill="auto"/>
            <w:vAlign w:val="center"/>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44 263</w:t>
            </w:r>
          </w:p>
        </w:tc>
      </w:tr>
      <w:tr>
        <w:trPr>
          <w:trHeight w:val="255"/>
        </w:trPr>
        <w:tc>
          <w:tcPr>
            <w:tcW w:w="2857"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00"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00"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00"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00"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58"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58"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c>
          <w:tcPr>
            <w:tcW w:w="900" w:type="dxa"/>
            <w:tcBorders>
              <w:top w:val="nil"/>
              <w:left w:val="nil"/>
              <w:bottom w:val="nil"/>
              <w:right w:val="nil"/>
            </w:tcBorders>
            <w:shd w:val="clear" w:color="auto" w:fill="auto"/>
            <w:noWrap/>
            <w:vAlign w:val="bottom"/>
          </w:tcPr>
          <w:p>
            <w:pPr>
              <w:spacing w:after="0" w:line="240" w:lineRule="auto"/>
              <w:rPr>
                <w:rFonts w:ascii="Arial" w:eastAsia="Times New Roman" w:hAnsi="Arial" w:cs="Arial"/>
                <w:noProof/>
                <w:sz w:val="20"/>
                <w:szCs w:val="20"/>
              </w:rPr>
            </w:pPr>
          </w:p>
        </w:tc>
      </w:tr>
      <w:tr>
        <w:trPr>
          <w:trHeight w:val="255"/>
        </w:trPr>
        <w:tc>
          <w:tcPr>
            <w:tcW w:w="9273" w:type="dxa"/>
            <w:gridSpan w:val="8"/>
            <w:tcBorders>
              <w:top w:val="nil"/>
              <w:left w:val="nil"/>
              <w:bottom w:val="nil"/>
              <w:right w:val="nil"/>
            </w:tcBorders>
            <w:shd w:val="clear" w:color="auto" w:fill="auto"/>
            <w:noWrap/>
            <w:vAlign w:val="bottom"/>
          </w:tcPr>
          <w:p>
            <w:pPr>
              <w:spacing w:after="0" w:line="240" w:lineRule="auto"/>
              <w:jc w:val="both"/>
              <w:rPr>
                <w:rFonts w:ascii="Times New Roman" w:eastAsia="Times New Roman" w:hAnsi="Times New Roman"/>
                <w:noProof/>
                <w:sz w:val="18"/>
                <w:szCs w:val="18"/>
              </w:rPr>
            </w:pPr>
            <w:r>
              <w:rPr>
                <w:rFonts w:ascii="Times New Roman" w:hAnsi="Times New Roman"/>
                <w:noProof/>
                <w:sz w:val="18"/>
              </w:rPr>
              <w:t>a) Efter en nettooverførsel på 351,9 mio. EUR mellem EGFL og ELFUL for regnskabsåret 2014 (se nærmere i note f).</w:t>
            </w:r>
          </w:p>
          <w:p>
            <w:pPr>
              <w:spacing w:after="0" w:line="240" w:lineRule="auto"/>
              <w:jc w:val="both"/>
              <w:rPr>
                <w:rFonts w:ascii="Times New Roman" w:eastAsia="Times New Roman" w:hAnsi="Times New Roman"/>
                <w:noProof/>
                <w:sz w:val="18"/>
                <w:szCs w:val="18"/>
              </w:rPr>
            </w:pPr>
          </w:p>
        </w:tc>
      </w:tr>
      <w:tr>
        <w:trPr>
          <w:trHeight w:val="255"/>
        </w:trPr>
        <w:tc>
          <w:tcPr>
            <w:tcW w:w="9273" w:type="dxa"/>
            <w:gridSpan w:val="8"/>
            <w:tcBorders>
              <w:top w:val="nil"/>
              <w:left w:val="nil"/>
              <w:bottom w:val="nil"/>
              <w:right w:val="nil"/>
            </w:tcBorders>
            <w:shd w:val="clear" w:color="auto" w:fill="auto"/>
            <w:noWrap/>
            <w:vAlign w:val="bottom"/>
          </w:tcPr>
          <w:p>
            <w:pPr>
              <w:spacing w:after="0" w:line="240" w:lineRule="auto"/>
              <w:jc w:val="both"/>
              <w:rPr>
                <w:rFonts w:ascii="Times New Roman" w:eastAsia="Times New Roman" w:hAnsi="Times New Roman"/>
                <w:noProof/>
                <w:sz w:val="18"/>
                <w:szCs w:val="18"/>
              </w:rPr>
            </w:pPr>
            <w:r>
              <w:rPr>
                <w:rFonts w:ascii="Times New Roman" w:hAnsi="Times New Roman"/>
                <w:noProof/>
                <w:sz w:val="18"/>
              </w:rPr>
              <w:t>b) Efter en nettooverførsel på 51,6 mio. EUR mellem EGFL og ELFUL for regnskabsåret 2015 (se nærmere i note f).</w:t>
            </w:r>
          </w:p>
          <w:p>
            <w:pPr>
              <w:spacing w:after="0" w:line="240" w:lineRule="auto"/>
              <w:jc w:val="both"/>
              <w:rPr>
                <w:rFonts w:ascii="Times New Roman" w:eastAsia="Times New Roman" w:hAnsi="Times New Roman"/>
                <w:noProof/>
                <w:sz w:val="18"/>
                <w:szCs w:val="18"/>
              </w:rPr>
            </w:pPr>
          </w:p>
        </w:tc>
      </w:tr>
      <w:tr>
        <w:trPr>
          <w:trHeight w:val="255"/>
        </w:trPr>
        <w:tc>
          <w:tcPr>
            <w:tcW w:w="9273" w:type="dxa"/>
            <w:gridSpan w:val="8"/>
            <w:tcBorders>
              <w:top w:val="nil"/>
              <w:left w:val="nil"/>
              <w:bottom w:val="nil"/>
              <w:right w:val="nil"/>
            </w:tcBorders>
            <w:shd w:val="clear" w:color="auto" w:fill="auto"/>
            <w:noWrap/>
            <w:vAlign w:val="bottom"/>
          </w:tcPr>
          <w:p>
            <w:pPr>
              <w:spacing w:after="0" w:line="240" w:lineRule="auto"/>
              <w:jc w:val="both"/>
              <w:rPr>
                <w:rFonts w:ascii="Times New Roman" w:eastAsia="Times New Roman" w:hAnsi="Times New Roman"/>
                <w:noProof/>
                <w:sz w:val="18"/>
                <w:szCs w:val="18"/>
              </w:rPr>
            </w:pPr>
            <w:r>
              <w:rPr>
                <w:rFonts w:ascii="Times New Roman" w:hAnsi="Times New Roman"/>
                <w:noProof/>
                <w:sz w:val="18"/>
              </w:rPr>
              <w:t xml:space="preserve">c) Efter en nettooverførsel på 28 mio. EUR mellem EGFL og ELFUL for regnskabsårene 2014-2020 (se nærmere i note f). </w:t>
            </w:r>
          </w:p>
          <w:p>
            <w:pPr>
              <w:spacing w:after="0" w:line="240" w:lineRule="auto"/>
              <w:jc w:val="both"/>
              <w:rPr>
                <w:rFonts w:ascii="Times New Roman" w:eastAsia="Times New Roman" w:hAnsi="Times New Roman"/>
                <w:noProof/>
                <w:sz w:val="18"/>
                <w:szCs w:val="18"/>
              </w:rPr>
            </w:pPr>
          </w:p>
        </w:tc>
      </w:tr>
      <w:tr>
        <w:trPr>
          <w:trHeight w:val="255"/>
        </w:trPr>
        <w:tc>
          <w:tcPr>
            <w:tcW w:w="9273" w:type="dxa"/>
            <w:gridSpan w:val="8"/>
            <w:tcBorders>
              <w:top w:val="nil"/>
              <w:left w:val="nil"/>
              <w:bottom w:val="nil"/>
              <w:right w:val="nil"/>
            </w:tcBorders>
            <w:shd w:val="clear" w:color="auto" w:fill="auto"/>
            <w:noWrap/>
            <w:vAlign w:val="bottom"/>
          </w:tcPr>
          <w:p>
            <w:pPr>
              <w:spacing w:after="0" w:line="240" w:lineRule="auto"/>
              <w:jc w:val="both"/>
              <w:rPr>
                <w:rFonts w:ascii="Times New Roman" w:eastAsia="Times New Roman" w:hAnsi="Times New Roman"/>
                <w:noProof/>
                <w:sz w:val="18"/>
                <w:szCs w:val="18"/>
              </w:rPr>
            </w:pPr>
            <w:r>
              <w:rPr>
                <w:rFonts w:ascii="Times New Roman" w:hAnsi="Times New Roman"/>
                <w:noProof/>
                <w:sz w:val="18"/>
              </w:rPr>
              <w:t>d) Efter en nettooverførsel på 3 577,2 mio. EUR mellem EGFL og ELFUL for regnskabsårene 2015-2020 (se nærmere i note f).</w:t>
            </w:r>
          </w:p>
          <w:p>
            <w:pPr>
              <w:spacing w:after="0" w:line="240" w:lineRule="auto"/>
              <w:jc w:val="both"/>
              <w:rPr>
                <w:rFonts w:ascii="Times New Roman" w:eastAsia="Times New Roman" w:hAnsi="Times New Roman"/>
                <w:noProof/>
                <w:sz w:val="18"/>
                <w:szCs w:val="18"/>
              </w:rPr>
            </w:pPr>
          </w:p>
        </w:tc>
      </w:tr>
      <w:tr>
        <w:trPr>
          <w:trHeight w:val="255"/>
        </w:trPr>
        <w:tc>
          <w:tcPr>
            <w:tcW w:w="9273" w:type="dxa"/>
            <w:gridSpan w:val="8"/>
            <w:tcBorders>
              <w:top w:val="nil"/>
              <w:left w:val="nil"/>
              <w:bottom w:val="nil"/>
              <w:right w:val="nil"/>
            </w:tcBorders>
            <w:shd w:val="clear" w:color="auto" w:fill="auto"/>
            <w:noWrap/>
            <w:vAlign w:val="bottom"/>
          </w:tcPr>
          <w:p>
            <w:pPr>
              <w:pStyle w:val="Default"/>
              <w:rPr>
                <w:rFonts w:ascii="Times New Roman" w:eastAsia="Times New Roman" w:hAnsi="Times New Roman"/>
                <w:noProof/>
                <w:sz w:val="18"/>
                <w:szCs w:val="18"/>
              </w:rPr>
            </w:pPr>
            <w:r>
              <w:rPr>
                <w:rFonts w:ascii="Times New Roman" w:hAnsi="Times New Roman"/>
                <w:noProof/>
                <w:sz w:val="18"/>
              </w:rPr>
              <w:t>e) Efter omprogrammeringen af ELFUL-bevillingerne i 2014 under anvendelse af FFR-forordningens artikel 19 (forordning (EU) nr. 1311/2013) blev et samlet beløb på 8 705 mio. EUR, som blev fratrukket bevillingerne i 2014, ligeligt fordelt på 2015- og 2016-bevillinger.</w:t>
            </w:r>
          </w:p>
        </w:tc>
      </w:tr>
      <w:tr>
        <w:trPr>
          <w:trHeight w:val="255"/>
        </w:trPr>
        <w:tc>
          <w:tcPr>
            <w:tcW w:w="9273" w:type="dxa"/>
            <w:gridSpan w:val="8"/>
            <w:tcBorders>
              <w:top w:val="nil"/>
              <w:left w:val="nil"/>
              <w:bottom w:val="nil"/>
              <w:right w:val="nil"/>
            </w:tcBorders>
            <w:shd w:val="clear" w:color="auto" w:fill="auto"/>
            <w:noWrap/>
            <w:vAlign w:val="bottom"/>
          </w:tcPr>
          <w:p>
            <w:pPr>
              <w:spacing w:after="0" w:line="240" w:lineRule="auto"/>
              <w:jc w:val="both"/>
              <w:rPr>
                <w:rFonts w:ascii="Times New Roman" w:eastAsia="Times New Roman" w:hAnsi="Times New Roman"/>
                <w:noProof/>
                <w:sz w:val="18"/>
                <w:szCs w:val="18"/>
              </w:rPr>
            </w:pPr>
          </w:p>
          <w:p>
            <w:pPr>
              <w:spacing w:after="0" w:line="240" w:lineRule="auto"/>
              <w:jc w:val="both"/>
              <w:rPr>
                <w:rFonts w:ascii="Times New Roman" w:eastAsia="Times New Roman" w:hAnsi="Times New Roman"/>
                <w:noProof/>
                <w:sz w:val="18"/>
                <w:szCs w:val="18"/>
              </w:rPr>
            </w:pPr>
            <w:r>
              <w:rPr>
                <w:rFonts w:ascii="Times New Roman" w:hAnsi="Times New Roman"/>
                <w:noProof/>
                <w:sz w:val="18"/>
              </w:rPr>
              <w:t>f) De overførsler til udvikling af landdistrikterne (ELFUL), der er nævnt i note a)-d) ovenfor, omfatter: en årlig overførsel på 4 mio. EUR i hele perioden 2014-2020 fra bomuldssektoren (EL) på grundlag af artikel 66, stk. 1, i forordning (EU) nr. 1307/2013, en overførsel på 296,3 mio. EUR, som var fastsat til frivillig tilpasning for regnskabsåret 2014 (UK), på grundlag af artikel 10b og 10c, stk. 2, i forordning (EF) nr. 73/2009, en årlig overførsel på 51,6 mio. EUR for ikke-anvendte beløb i regnskabsårene 2014 og 2015 (SE og DE) på grundlag af artikel 136 og 136b i forordning (EF) nr. 73/2009 samt 3 577,2 mio. EUR for nedsættelse af betalinger og fleksibilitet mellem søjlerne på grundlag af artikel 7, stk. 2, og artikel 14, stk. 1, i forordning (EU) nr. 1307/2013.</w:t>
            </w:r>
          </w:p>
          <w:p>
            <w:pPr>
              <w:spacing w:after="0" w:line="240" w:lineRule="auto"/>
              <w:jc w:val="both"/>
              <w:rPr>
                <w:rFonts w:ascii="Times New Roman" w:eastAsia="Times New Roman" w:hAnsi="Times New Roman"/>
                <w:noProof/>
                <w:sz w:val="18"/>
                <w:szCs w:val="18"/>
              </w:rPr>
            </w:pPr>
          </w:p>
        </w:tc>
      </w:tr>
    </w:tbl>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12" w:name="_Toc457569406"/>
      <w:bookmarkStart w:id="13" w:name="_Toc461194989"/>
      <w:r>
        <w:rPr>
          <w:rFonts w:ascii="Times New Roman" w:hAnsi="Times New Roman"/>
          <w:b/>
          <w:noProof/>
          <w:sz w:val="24"/>
        </w:rPr>
        <w:t>1.2.</w:t>
      </w:r>
      <w:r>
        <w:rPr>
          <w:noProof/>
        </w:rPr>
        <w:tab/>
      </w:r>
      <w:r>
        <w:rPr>
          <w:rFonts w:ascii="Times New Roman" w:hAnsi="Times New Roman"/>
          <w:b/>
          <w:noProof/>
          <w:sz w:val="24"/>
        </w:rPr>
        <w:t>Budgetforslag 2015</w:t>
      </w:r>
      <w:bookmarkEnd w:id="10"/>
      <w:bookmarkEnd w:id="11"/>
      <w:bookmarkEnd w:id="12"/>
      <w:bookmarkEnd w:id="13"/>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Budgetforslaget for 2015 blev vedtaget af Kommissionen og forelagt budgetmyndigheden den 24. juni 2014.</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Budgetforslaget for Den Europæiske Landbrugsfond for Udvikling af Landdistrikterne (ELFUL) under udgiftsområde 2 i den finansielle ramme for 2007-2013 androg i alt 6 144 mio. EUR i betalingsbevillinger.</w:t>
      </w:r>
      <w:bookmarkStart w:id="14" w:name="OLE_LINK6"/>
      <w:r>
        <w:rPr>
          <w:rFonts w:ascii="Times New Roman" w:hAnsi="Times New Roman"/>
          <w:noProof/>
          <w:sz w:val="24"/>
        </w:rPr>
        <w:t xml:space="preserve"> Der blev ikke anmodet om forpligtelsesbevillinger til 2015, eftersom den tidligere programmeringsperiode ophørte i 2013. Med hensyn til den nye programmeringsperiode 2014-2020 androg budgetforslaget for 2015 13 819 mio. EUR i forpligtelsesbevillinger og 5 499 mio. EUR i betalingsbevillinger.</w:t>
      </w:r>
    </w:p>
    <w:p>
      <w:pPr>
        <w:spacing w:before="120" w:after="120" w:line="240" w:lineRule="auto"/>
        <w:ind w:left="850"/>
        <w:jc w:val="both"/>
        <w:rPr>
          <w:rFonts w:ascii="Times New Roman" w:eastAsia="Times New Roman" w:hAnsi="Times New Roman"/>
          <w:noProof/>
          <w:sz w:val="24"/>
        </w:rPr>
      </w:pPr>
    </w:p>
    <w:p>
      <w:pPr>
        <w:spacing w:before="120" w:after="120" w:line="240" w:lineRule="auto"/>
        <w:ind w:left="850"/>
        <w:jc w:val="both"/>
        <w:rPr>
          <w:rFonts w:ascii="Times New Roman" w:eastAsia="Times New Roman" w:hAnsi="Times New Roman"/>
          <w:noProof/>
          <w:sz w:val="24"/>
        </w:rPr>
      </w:pPr>
      <w:r>
        <w:rPr>
          <w:rFonts w:ascii="Times New Roman" w:hAnsi="Times New Roman"/>
          <w:noProof/>
          <w:sz w:val="24"/>
        </w:rPr>
        <w:t>Tabel 2</w:t>
      </w:r>
    </w:p>
    <w:tbl>
      <w:tblPr>
        <w:tblW w:w="816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920"/>
        <w:gridCol w:w="1920"/>
      </w:tblGrid>
      <w:tr>
        <w:trPr>
          <w:trHeight w:val="464"/>
        </w:trPr>
        <w:tc>
          <w:tcPr>
            <w:tcW w:w="8160" w:type="dxa"/>
            <w:gridSpan w:val="3"/>
            <w:tcBorders>
              <w:bottom w:val="single" w:sz="4" w:space="0" w:color="auto"/>
            </w:tcBorders>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Budgetforslag 2015</w:t>
            </w:r>
          </w:p>
        </w:tc>
      </w:tr>
      <w:tr>
        <w:trPr>
          <w:trHeight w:val="763"/>
        </w:trPr>
        <w:tc>
          <w:tcPr>
            <w:tcW w:w="4320" w:type="dxa"/>
            <w:tcBorders>
              <w:bottom w:val="single" w:sz="4" w:space="0" w:color="auto"/>
            </w:tcBorders>
            <w:shd w:val="clear" w:color="auto" w:fill="FFFF99"/>
            <w:vAlign w:val="center"/>
          </w:tcPr>
          <w:p>
            <w:pPr>
              <w:autoSpaceDE w:val="0"/>
              <w:autoSpaceDN w:val="0"/>
              <w:adjustRightInd w:val="0"/>
              <w:spacing w:after="0" w:line="240" w:lineRule="auto"/>
              <w:rPr>
                <w:rFonts w:ascii="Times New Roman" w:eastAsia="Times New Roman" w:hAnsi="Times New Roman"/>
                <w:b/>
                <w:noProof/>
              </w:rPr>
            </w:pPr>
            <w:r>
              <w:rPr>
                <w:rFonts w:ascii="Times New Roman" w:hAnsi="Times New Roman"/>
                <w:b/>
                <w:noProof/>
              </w:rPr>
              <w:t>Budgetkonto</w:t>
            </w:r>
          </w:p>
        </w:tc>
        <w:tc>
          <w:tcPr>
            <w:tcW w:w="1920" w:type="dxa"/>
            <w:tcBorders>
              <w:bottom w:val="single" w:sz="4" w:space="0" w:color="auto"/>
            </w:tcBorders>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Forpligtelses-bevillinger</w:t>
            </w:r>
            <w:r>
              <w:rPr>
                <w:rFonts w:ascii="Times New Roman" w:eastAsia="Times New Roman" w:hAnsi="Times New Roman"/>
                <w:b/>
                <w:noProof/>
              </w:rPr>
              <w:br/>
            </w:r>
            <w:r>
              <w:rPr>
                <w:rFonts w:ascii="Times New Roman" w:hAnsi="Times New Roman"/>
                <w:noProof/>
                <w:sz w:val="18"/>
              </w:rPr>
              <w:t>(EUR)</w:t>
            </w:r>
          </w:p>
        </w:tc>
        <w:tc>
          <w:tcPr>
            <w:tcW w:w="1920" w:type="dxa"/>
            <w:tcBorders>
              <w:bottom w:val="single" w:sz="4" w:space="0" w:color="auto"/>
            </w:tcBorders>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Betalings-bevillinger</w:t>
            </w:r>
            <w:r>
              <w:rPr>
                <w:rFonts w:ascii="Times New Roman" w:eastAsia="Times New Roman" w:hAnsi="Times New Roman"/>
                <w:b/>
                <w:noProof/>
              </w:rPr>
              <w:br/>
            </w:r>
            <w:r>
              <w:rPr>
                <w:rFonts w:ascii="Times New Roman" w:hAnsi="Times New Roman"/>
                <w:noProof/>
                <w:sz w:val="18"/>
              </w:rPr>
              <w:t>(EUR)</w:t>
            </w:r>
          </w:p>
        </w:tc>
      </w:tr>
      <w:tr>
        <w:trPr>
          <w:trHeight w:val="416"/>
        </w:trPr>
        <w:tc>
          <w:tcPr>
            <w:tcW w:w="8160" w:type="dxa"/>
            <w:gridSpan w:val="3"/>
            <w:shd w:val="clear" w:color="auto" w:fill="auto"/>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2007-2013</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 xml:space="preserve">05.040501 (landdistriktsprogrammer) </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6 143 583 000</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05.040502 (operationel teknisk bistand)</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w:t>
            </w:r>
          </w:p>
        </w:tc>
      </w:tr>
      <w:tr>
        <w:trPr>
          <w:trHeight w:val="296"/>
        </w:trPr>
        <w:tc>
          <w:tcPr>
            <w:tcW w:w="8160" w:type="dxa"/>
            <w:gridSpan w:val="3"/>
            <w:shd w:val="clear" w:color="auto" w:fill="auto"/>
            <w:vAlign w:val="center"/>
          </w:tcPr>
          <w:p>
            <w:pPr>
              <w:autoSpaceDE w:val="0"/>
              <w:autoSpaceDN w:val="0"/>
              <w:adjustRightInd w:val="0"/>
              <w:spacing w:before="100" w:after="100" w:line="240" w:lineRule="auto"/>
              <w:jc w:val="center"/>
              <w:rPr>
                <w:noProof/>
              </w:rPr>
            </w:pPr>
            <w:r>
              <w:rPr>
                <w:rFonts w:ascii="Times New Roman" w:hAnsi="Times New Roman"/>
                <w:b/>
                <w:noProof/>
              </w:rPr>
              <w:t>2014-2020</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05.046001 (landdistriktsprogrammer)</w:t>
            </w:r>
          </w:p>
        </w:tc>
        <w:tc>
          <w:tcPr>
            <w:tcW w:w="1920" w:type="dxa"/>
            <w:shd w:val="clear" w:color="auto" w:fill="auto"/>
            <w:vAlign w:val="center"/>
          </w:tcPr>
          <w:p>
            <w:pPr>
              <w:autoSpaceDE w:val="0"/>
              <w:autoSpaceDN w:val="0"/>
              <w:adjustRightInd w:val="0"/>
              <w:spacing w:before="100" w:after="100" w:line="240" w:lineRule="auto"/>
              <w:jc w:val="right"/>
              <w:rPr>
                <w:noProof/>
              </w:rPr>
            </w:pPr>
            <w:r>
              <w:rPr>
                <w:rFonts w:ascii="Times New Roman" w:hAnsi="Times New Roman"/>
                <w:noProof/>
              </w:rPr>
              <w:t>13 796 873 677</w:t>
            </w:r>
          </w:p>
        </w:tc>
        <w:tc>
          <w:tcPr>
            <w:tcW w:w="1920" w:type="dxa"/>
            <w:shd w:val="clear" w:color="auto" w:fill="auto"/>
            <w:vAlign w:val="center"/>
          </w:tcPr>
          <w:p>
            <w:pPr>
              <w:autoSpaceDE w:val="0"/>
              <w:autoSpaceDN w:val="0"/>
              <w:adjustRightInd w:val="0"/>
              <w:spacing w:before="100" w:after="100" w:line="240" w:lineRule="auto"/>
              <w:jc w:val="right"/>
              <w:rPr>
                <w:noProof/>
              </w:rPr>
            </w:pPr>
            <w:r>
              <w:rPr>
                <w:rFonts w:ascii="Times New Roman" w:hAnsi="Times New Roman"/>
                <w:noProof/>
              </w:rPr>
              <w:t>5 478 000 000</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05.046002 (operationel teknisk bistand)</w:t>
            </w:r>
          </w:p>
        </w:tc>
        <w:tc>
          <w:tcPr>
            <w:tcW w:w="1920" w:type="dxa"/>
            <w:shd w:val="clear" w:color="auto" w:fill="auto"/>
            <w:vAlign w:val="center"/>
          </w:tcPr>
          <w:p>
            <w:pPr>
              <w:autoSpaceDE w:val="0"/>
              <w:autoSpaceDN w:val="0"/>
              <w:adjustRightInd w:val="0"/>
              <w:spacing w:before="100" w:after="100" w:line="240" w:lineRule="auto"/>
              <w:jc w:val="right"/>
              <w:rPr>
                <w:noProof/>
              </w:rPr>
            </w:pPr>
            <w:r>
              <w:rPr>
                <w:rFonts w:ascii="Times New Roman" w:hAnsi="Times New Roman"/>
                <w:noProof/>
              </w:rPr>
              <w:t>22 292 400</w:t>
            </w:r>
          </w:p>
        </w:tc>
        <w:tc>
          <w:tcPr>
            <w:tcW w:w="1920" w:type="dxa"/>
            <w:shd w:val="clear" w:color="auto" w:fill="auto"/>
            <w:vAlign w:val="center"/>
          </w:tcPr>
          <w:p>
            <w:pPr>
              <w:autoSpaceDE w:val="0"/>
              <w:autoSpaceDN w:val="0"/>
              <w:adjustRightInd w:val="0"/>
              <w:spacing w:before="100" w:after="100" w:line="240" w:lineRule="auto"/>
              <w:jc w:val="right"/>
              <w:rPr>
                <w:noProof/>
              </w:rPr>
            </w:pPr>
            <w:r>
              <w:rPr>
                <w:rFonts w:ascii="Times New Roman" w:hAnsi="Times New Roman"/>
                <w:noProof/>
              </w:rPr>
              <w:t>20 621 000</w:t>
            </w:r>
          </w:p>
        </w:tc>
      </w:tr>
      <w:bookmarkEnd w:id="14"/>
    </w:tbl>
    <w:p>
      <w:pPr>
        <w:spacing w:before="120" w:after="120" w:line="240" w:lineRule="auto"/>
        <w:ind w:left="850" w:right="749"/>
        <w:jc w:val="both"/>
        <w:rPr>
          <w:rFonts w:ascii="Times New Roman" w:eastAsia="Times New Roman" w:hAnsi="Times New Roman"/>
          <w:noProof/>
          <w:sz w:val="24"/>
        </w:rPr>
      </w:pP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Rådet vedtog sin holdning til budgetforslaget for 2015 den 2. september 2014, og Europa-Parlamentet vedtog sin holdning den 22. oktober 2014. Forligsudvalget blev indkaldt, men det var ikke muligt at forene Europa-Parlamentets og Rådets holdning inden for fristen. Da der ikke kunne nås til enighed i Forligsudvalget, fremlagde Kommissionen et nyt forslag til budget for 2015 den 27. november 2014. Det nye budgetforslag omfattede en nedsættelse på 262 mio. EUR i betalingsbevillingerne til ELFUL i forhold til det oprindelige budgetforslag. Denne nedsættelse vedrørte begge programmeringsperioder (138 mio. EUR for den tidligere periode og 124 mio. EUR for den nye). Budgettet for 2015 blev endeligt vedtaget den 17. december 2014 og indeholdt en yderligere nedsættelse af betalingsbevillingerne på 218 mio. EUR, fordelt på 115 mio. EUR for den tidligere programmeringsperiode og 103 mio. EUR for den nye periode.</w:t>
      </w:r>
    </w:p>
    <w:p>
      <w:pPr>
        <w:spacing w:before="120" w:after="120" w:line="240" w:lineRule="auto"/>
        <w:ind w:left="850" w:right="71"/>
        <w:jc w:val="both"/>
        <w:rPr>
          <w:rFonts w:ascii="Times New Roman" w:eastAsia="Times New Roman" w:hAnsi="Times New Roman"/>
          <w:noProof/>
          <w:sz w:val="24"/>
        </w:rPr>
      </w:pPr>
    </w:p>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15" w:name="_Toc331167061"/>
      <w:bookmarkStart w:id="16" w:name="_Toc393127468"/>
      <w:bookmarkStart w:id="17" w:name="_Toc457569407"/>
      <w:bookmarkStart w:id="18" w:name="_Toc461194990"/>
      <w:r>
        <w:rPr>
          <w:rFonts w:ascii="Times New Roman" w:hAnsi="Times New Roman"/>
          <w:b/>
          <w:noProof/>
          <w:sz w:val="24"/>
        </w:rPr>
        <w:t>1.3.</w:t>
      </w:r>
      <w:r>
        <w:rPr>
          <w:noProof/>
        </w:rPr>
        <w:tab/>
      </w:r>
      <w:r>
        <w:rPr>
          <w:rFonts w:ascii="Times New Roman" w:hAnsi="Times New Roman"/>
          <w:b/>
          <w:noProof/>
          <w:sz w:val="24"/>
        </w:rPr>
        <w:t>Vedtagelse af budgettet for 2015</w:t>
      </w:r>
      <w:bookmarkEnd w:id="15"/>
      <w:bookmarkEnd w:id="16"/>
      <w:bookmarkEnd w:id="17"/>
      <w:bookmarkEnd w:id="18"/>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I budgettet for 2015, som blev vedtaget den 17. december 2015, var der afsat 5 890 mio. EUR i betalingsbevillinger og 13 819 mio. EUR i forpligtelsesbevillinger til ELFUL under kapitel 05 04 for programmeringsperioden 2007-2013, mens der for programmeringsperioden 2014-2020 var afsat 5 272 mio. EUR i betalingsbevillinger.</w:t>
      </w:r>
    </w:p>
    <w:p>
      <w:pPr>
        <w:spacing w:before="120" w:after="120" w:line="240" w:lineRule="auto"/>
        <w:ind w:left="850" w:right="71"/>
        <w:jc w:val="both"/>
        <w:rPr>
          <w:rFonts w:ascii="Times New Roman" w:eastAsia="Times New Roman" w:hAnsi="Times New Roman"/>
          <w:noProof/>
          <w:sz w:val="24"/>
        </w:rPr>
      </w:pPr>
      <w:r>
        <w:rPr>
          <w:noProof/>
        </w:rPr>
        <w:br w:type="page"/>
      </w:r>
      <w:bookmarkStart w:id="19" w:name="OLE_LINK7"/>
      <w:r>
        <w:rPr>
          <w:rFonts w:ascii="Times New Roman" w:hAnsi="Times New Roman"/>
          <w:noProof/>
          <w:sz w:val="24"/>
        </w:rPr>
        <w:t>Tabel 3</w:t>
      </w:r>
    </w:p>
    <w:tbl>
      <w:tblPr>
        <w:tblW w:w="8148"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8"/>
        <w:gridCol w:w="1780"/>
        <w:gridCol w:w="20"/>
        <w:gridCol w:w="2020"/>
      </w:tblGrid>
      <w:tr>
        <w:trPr>
          <w:trHeight w:val="763"/>
        </w:trPr>
        <w:tc>
          <w:tcPr>
            <w:tcW w:w="8148" w:type="dxa"/>
            <w:gridSpan w:val="4"/>
            <w:shd w:val="clear" w:color="auto" w:fill="FFFF99"/>
            <w:vAlign w:val="center"/>
          </w:tcPr>
          <w:p>
            <w:pPr>
              <w:keepNext/>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Vedtaget budget 2015</w:t>
            </w:r>
          </w:p>
        </w:tc>
      </w:tr>
      <w:tr>
        <w:trPr>
          <w:trHeight w:val="763"/>
        </w:trPr>
        <w:tc>
          <w:tcPr>
            <w:tcW w:w="4328" w:type="dxa"/>
            <w:tcBorders>
              <w:bottom w:val="single" w:sz="4" w:space="0" w:color="auto"/>
            </w:tcBorders>
            <w:shd w:val="clear" w:color="auto" w:fill="FFFF99"/>
            <w:vAlign w:val="center"/>
          </w:tcPr>
          <w:p>
            <w:pPr>
              <w:autoSpaceDE w:val="0"/>
              <w:autoSpaceDN w:val="0"/>
              <w:adjustRightInd w:val="0"/>
              <w:spacing w:after="0" w:line="240" w:lineRule="auto"/>
              <w:rPr>
                <w:rFonts w:ascii="Times New Roman" w:eastAsia="Times New Roman" w:hAnsi="Times New Roman"/>
                <w:b/>
                <w:noProof/>
              </w:rPr>
            </w:pPr>
            <w:r>
              <w:rPr>
                <w:rFonts w:ascii="Times New Roman" w:hAnsi="Times New Roman"/>
                <w:b/>
                <w:noProof/>
              </w:rPr>
              <w:t>Budgetkonto</w:t>
            </w:r>
          </w:p>
        </w:tc>
        <w:tc>
          <w:tcPr>
            <w:tcW w:w="1780" w:type="dxa"/>
            <w:tcBorders>
              <w:bottom w:val="single" w:sz="4" w:space="0" w:color="auto"/>
            </w:tcBorders>
            <w:shd w:val="clear" w:color="auto" w:fill="FFFF99"/>
            <w:vAlign w:val="center"/>
          </w:tcPr>
          <w:p>
            <w:pPr>
              <w:keepNext/>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Forpligtelses-bevillinger</w:t>
            </w:r>
            <w:r>
              <w:rPr>
                <w:rFonts w:ascii="Times New Roman" w:eastAsia="Times New Roman" w:hAnsi="Times New Roman"/>
                <w:b/>
                <w:noProof/>
              </w:rPr>
              <w:br/>
            </w:r>
            <w:r>
              <w:rPr>
                <w:rFonts w:ascii="Times New Roman" w:hAnsi="Times New Roman"/>
                <w:noProof/>
                <w:sz w:val="18"/>
              </w:rPr>
              <w:t>(EUR)</w:t>
            </w:r>
          </w:p>
        </w:tc>
        <w:tc>
          <w:tcPr>
            <w:tcW w:w="2040" w:type="dxa"/>
            <w:gridSpan w:val="2"/>
            <w:tcBorders>
              <w:bottom w:val="single" w:sz="4" w:space="0" w:color="auto"/>
            </w:tcBorders>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Betalings-bevillinger</w:t>
            </w:r>
            <w:r>
              <w:rPr>
                <w:rFonts w:ascii="Times New Roman" w:eastAsia="Times New Roman" w:hAnsi="Times New Roman"/>
                <w:b/>
                <w:noProof/>
              </w:rPr>
              <w:br/>
            </w:r>
            <w:r>
              <w:rPr>
                <w:rFonts w:ascii="Times New Roman" w:hAnsi="Times New Roman"/>
                <w:noProof/>
                <w:sz w:val="18"/>
              </w:rPr>
              <w:t>(EUR)</w:t>
            </w:r>
          </w:p>
        </w:tc>
      </w:tr>
      <w:tr>
        <w:trPr>
          <w:trHeight w:val="452"/>
        </w:trPr>
        <w:tc>
          <w:tcPr>
            <w:tcW w:w="8148" w:type="dxa"/>
            <w:gridSpan w:val="4"/>
            <w:shd w:val="clear" w:color="auto" w:fill="auto"/>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2007-2013</w:t>
            </w:r>
          </w:p>
        </w:tc>
      </w:tr>
      <w:tr>
        <w:tc>
          <w:tcPr>
            <w:tcW w:w="4328"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 xml:space="preserve">05.040501 (landdistriktsprogrammer) </w:t>
            </w:r>
          </w:p>
        </w:tc>
        <w:tc>
          <w:tcPr>
            <w:tcW w:w="1780" w:type="dxa"/>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 xml:space="preserve">- </w:t>
            </w:r>
          </w:p>
        </w:tc>
        <w:tc>
          <w:tcPr>
            <w:tcW w:w="2040" w:type="dxa"/>
            <w:gridSpan w:val="2"/>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5 890 339 551</w:t>
            </w:r>
          </w:p>
        </w:tc>
      </w:tr>
      <w:tr>
        <w:tc>
          <w:tcPr>
            <w:tcW w:w="4328"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05.040502 (operationel teknisk bistand)</w:t>
            </w:r>
          </w:p>
        </w:tc>
        <w:tc>
          <w:tcPr>
            <w:tcW w:w="1780" w:type="dxa"/>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 xml:space="preserve">- </w:t>
            </w:r>
          </w:p>
        </w:tc>
        <w:tc>
          <w:tcPr>
            <w:tcW w:w="2040" w:type="dxa"/>
            <w:gridSpan w:val="2"/>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w:t>
            </w:r>
          </w:p>
        </w:tc>
      </w:tr>
      <w:tr>
        <w:tc>
          <w:tcPr>
            <w:tcW w:w="8148" w:type="dxa"/>
            <w:gridSpan w:val="4"/>
            <w:shd w:val="clear" w:color="auto" w:fill="auto"/>
            <w:vAlign w:val="center"/>
          </w:tcPr>
          <w:p>
            <w:pPr>
              <w:autoSpaceDE w:val="0"/>
              <w:autoSpaceDN w:val="0"/>
              <w:adjustRightInd w:val="0"/>
              <w:spacing w:before="100" w:after="100" w:line="240" w:lineRule="auto"/>
              <w:jc w:val="center"/>
              <w:rPr>
                <w:rFonts w:ascii="Times New Roman" w:eastAsia="Times New Roman" w:hAnsi="Times New Roman"/>
                <w:noProof/>
              </w:rPr>
            </w:pPr>
            <w:r>
              <w:rPr>
                <w:rFonts w:ascii="Times New Roman" w:hAnsi="Times New Roman"/>
                <w:b/>
                <w:noProof/>
              </w:rPr>
              <w:t>2014-2020</w:t>
            </w:r>
          </w:p>
        </w:tc>
      </w:tr>
      <w:tr>
        <w:tc>
          <w:tcPr>
            <w:tcW w:w="4328"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05.046001 (landdistriktsprogrammer)</w:t>
            </w:r>
          </w:p>
        </w:tc>
        <w:tc>
          <w:tcPr>
            <w:tcW w:w="1800" w:type="dxa"/>
            <w:gridSpan w:val="2"/>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13 796 873 677</w:t>
            </w:r>
          </w:p>
        </w:tc>
        <w:tc>
          <w:tcPr>
            <w:tcW w:w="20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5 252 192 422</w:t>
            </w:r>
          </w:p>
        </w:tc>
      </w:tr>
      <w:tr>
        <w:tc>
          <w:tcPr>
            <w:tcW w:w="4328"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05.046002 (operationel teknisk bistand)</w:t>
            </w:r>
          </w:p>
        </w:tc>
        <w:tc>
          <w:tcPr>
            <w:tcW w:w="1800" w:type="dxa"/>
            <w:gridSpan w:val="2"/>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22 292 400</w:t>
            </w:r>
          </w:p>
        </w:tc>
        <w:tc>
          <w:tcPr>
            <w:tcW w:w="20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19 770 986</w:t>
            </w:r>
          </w:p>
        </w:tc>
      </w:tr>
    </w:tbl>
    <w:p>
      <w:pPr>
        <w:spacing w:before="120" w:after="120" w:line="240" w:lineRule="auto"/>
        <w:ind w:left="850"/>
        <w:jc w:val="both"/>
        <w:rPr>
          <w:rFonts w:ascii="Times New Roman" w:eastAsia="Times New Roman" w:hAnsi="Times New Roman"/>
          <w:noProof/>
          <w:sz w:val="24"/>
        </w:rPr>
      </w:pPr>
      <w:bookmarkStart w:id="20" w:name="_Toc331167062"/>
      <w:bookmarkEnd w:id="19"/>
    </w:p>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21" w:name="_Toc393127469"/>
      <w:bookmarkStart w:id="22" w:name="_Toc457569408"/>
      <w:bookmarkStart w:id="23" w:name="_Toc461194991"/>
      <w:r>
        <w:rPr>
          <w:rFonts w:ascii="Times New Roman" w:hAnsi="Times New Roman"/>
          <w:b/>
          <w:noProof/>
          <w:sz w:val="24"/>
        </w:rPr>
        <w:t>1.4.</w:t>
      </w:r>
      <w:r>
        <w:rPr>
          <w:noProof/>
        </w:rPr>
        <w:tab/>
      </w:r>
      <w:r>
        <w:rPr>
          <w:rFonts w:ascii="Times New Roman" w:hAnsi="Times New Roman"/>
          <w:b/>
          <w:noProof/>
          <w:sz w:val="24"/>
        </w:rPr>
        <w:t>Vedtagelse af ændringsbudgetter</w:t>
      </w:r>
      <w:bookmarkEnd w:id="21"/>
      <w:bookmarkEnd w:id="22"/>
      <w:bookmarkEnd w:id="23"/>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Den 28. april 2015 blev ændringsbudget nr. 1 vedtaget. Herved blev forpligtelsesbevillingerne til landdistriktsprogrammer 2014-2020 øget med 4,4 mia. EUR, hvilket afspejler omprogrammeringen af ELFUL-bevillingerne for 2014 efter anvendelsen af artikel 19 i forordning (EU) nr. 1311/2013. Med ændringsbudget nr. 7, som blev vedtaget den 14. oktober 2015, blev forpligtelsesbevillingerne til posten for teknisk bistand for ELFUL 2014-2020 nedbragt med 6,5 mio. EUR.</w:t>
      </w:r>
    </w:p>
    <w:p>
      <w:pPr>
        <w:spacing w:before="120" w:after="120" w:line="240" w:lineRule="auto"/>
        <w:ind w:left="850"/>
        <w:jc w:val="both"/>
        <w:rPr>
          <w:rFonts w:ascii="Times New Roman" w:eastAsia="Times New Roman" w:hAnsi="Times New Roman"/>
          <w:noProof/>
          <w:sz w:val="24"/>
        </w:rPr>
      </w:pPr>
    </w:p>
    <w:p>
      <w:pPr>
        <w:spacing w:before="120" w:after="120" w:line="240" w:lineRule="auto"/>
        <w:ind w:left="850"/>
        <w:jc w:val="both"/>
        <w:rPr>
          <w:rFonts w:ascii="Times New Roman" w:eastAsia="Times New Roman" w:hAnsi="Times New Roman"/>
          <w:noProof/>
          <w:sz w:val="24"/>
        </w:rPr>
      </w:pPr>
      <w:r>
        <w:rPr>
          <w:rFonts w:ascii="Times New Roman" w:hAnsi="Times New Roman"/>
          <w:noProof/>
          <w:sz w:val="24"/>
        </w:rPr>
        <w:t>Tabel 4</w:t>
      </w:r>
    </w:p>
    <w:tbl>
      <w:tblPr>
        <w:tblW w:w="8160"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8"/>
        <w:gridCol w:w="2416"/>
        <w:gridCol w:w="2086"/>
      </w:tblGrid>
      <w:tr>
        <w:trPr>
          <w:trHeight w:val="536"/>
        </w:trPr>
        <w:tc>
          <w:tcPr>
            <w:tcW w:w="8160" w:type="dxa"/>
            <w:gridSpan w:val="3"/>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Budgettet for 2015 efter ændringsbudget nr. 1 og 7</w:t>
            </w:r>
          </w:p>
        </w:tc>
      </w:tr>
      <w:tr>
        <w:trPr>
          <w:trHeight w:val="763"/>
        </w:trPr>
        <w:tc>
          <w:tcPr>
            <w:tcW w:w="4320" w:type="dxa"/>
            <w:tcBorders>
              <w:bottom w:val="single" w:sz="4" w:space="0" w:color="auto"/>
            </w:tcBorders>
            <w:shd w:val="clear" w:color="auto" w:fill="FFFF99"/>
            <w:vAlign w:val="center"/>
          </w:tcPr>
          <w:p>
            <w:pPr>
              <w:autoSpaceDE w:val="0"/>
              <w:autoSpaceDN w:val="0"/>
              <w:adjustRightInd w:val="0"/>
              <w:spacing w:after="0" w:line="240" w:lineRule="auto"/>
              <w:rPr>
                <w:rFonts w:ascii="Times New Roman" w:eastAsia="Times New Roman" w:hAnsi="Times New Roman"/>
                <w:b/>
                <w:noProof/>
              </w:rPr>
            </w:pPr>
            <w:r>
              <w:rPr>
                <w:rFonts w:ascii="Times New Roman" w:hAnsi="Times New Roman"/>
                <w:b/>
                <w:noProof/>
              </w:rPr>
              <w:t>Budgetkonto</w:t>
            </w:r>
          </w:p>
        </w:tc>
        <w:tc>
          <w:tcPr>
            <w:tcW w:w="1920" w:type="dxa"/>
            <w:tcBorders>
              <w:bottom w:val="single" w:sz="4" w:space="0" w:color="auto"/>
            </w:tcBorders>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Forpligtelsesbevillinger</w:t>
            </w:r>
            <w:r>
              <w:rPr>
                <w:rFonts w:ascii="Times New Roman" w:eastAsia="Times New Roman" w:hAnsi="Times New Roman"/>
                <w:b/>
                <w:noProof/>
              </w:rPr>
              <w:br/>
            </w:r>
            <w:r>
              <w:rPr>
                <w:rFonts w:ascii="Times New Roman" w:hAnsi="Times New Roman"/>
                <w:noProof/>
                <w:sz w:val="18"/>
              </w:rPr>
              <w:t>(EUR)</w:t>
            </w:r>
          </w:p>
        </w:tc>
        <w:tc>
          <w:tcPr>
            <w:tcW w:w="1920" w:type="dxa"/>
            <w:tcBorders>
              <w:bottom w:val="single" w:sz="4" w:space="0" w:color="auto"/>
            </w:tcBorders>
            <w:shd w:val="clear" w:color="auto" w:fill="FFFF99"/>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Betalingsbevillinger</w:t>
            </w:r>
            <w:r>
              <w:rPr>
                <w:rFonts w:ascii="Times New Roman" w:eastAsia="Times New Roman" w:hAnsi="Times New Roman"/>
                <w:b/>
                <w:noProof/>
              </w:rPr>
              <w:br/>
            </w:r>
            <w:r>
              <w:rPr>
                <w:rFonts w:ascii="Times New Roman" w:hAnsi="Times New Roman"/>
                <w:noProof/>
                <w:sz w:val="18"/>
              </w:rPr>
              <w:t>(EUR)</w:t>
            </w:r>
          </w:p>
        </w:tc>
      </w:tr>
      <w:tr>
        <w:trPr>
          <w:trHeight w:val="452"/>
        </w:trPr>
        <w:tc>
          <w:tcPr>
            <w:tcW w:w="8160" w:type="dxa"/>
            <w:gridSpan w:val="3"/>
            <w:shd w:val="clear" w:color="auto" w:fill="auto"/>
            <w:vAlign w:val="center"/>
          </w:tcPr>
          <w:p>
            <w:pPr>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2007-2013</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 xml:space="preserve">05.040501 (landdistriktsprogrammer) </w:t>
            </w:r>
          </w:p>
        </w:tc>
        <w:tc>
          <w:tcPr>
            <w:tcW w:w="1920" w:type="dxa"/>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 xml:space="preserve">- </w:t>
            </w:r>
          </w:p>
        </w:tc>
        <w:tc>
          <w:tcPr>
            <w:tcW w:w="1920" w:type="dxa"/>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5 890 339 551</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05.040502 (operationel teknisk bistand)</w:t>
            </w:r>
          </w:p>
        </w:tc>
        <w:tc>
          <w:tcPr>
            <w:tcW w:w="1920" w:type="dxa"/>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 xml:space="preserve">- </w:t>
            </w:r>
          </w:p>
        </w:tc>
        <w:tc>
          <w:tcPr>
            <w:tcW w:w="1920" w:type="dxa"/>
            <w:shd w:val="clear" w:color="auto" w:fill="auto"/>
          </w:tcPr>
          <w:p>
            <w:pPr>
              <w:autoSpaceDE w:val="0"/>
              <w:autoSpaceDN w:val="0"/>
              <w:adjustRightInd w:val="0"/>
              <w:spacing w:before="100" w:after="100" w:line="240" w:lineRule="auto"/>
              <w:jc w:val="right"/>
              <w:rPr>
                <w:rFonts w:ascii="Times New Roman" w:eastAsia="Times New Roman" w:hAnsi="Times New Roman"/>
                <w:noProof/>
              </w:rPr>
            </w:pPr>
            <w:r>
              <w:rPr>
                <w:rFonts w:ascii="Times New Roman" w:hAnsi="Times New Roman"/>
                <w:noProof/>
              </w:rPr>
              <w:t>-</w:t>
            </w:r>
          </w:p>
        </w:tc>
      </w:tr>
      <w:tr>
        <w:tc>
          <w:tcPr>
            <w:tcW w:w="8160" w:type="dxa"/>
            <w:gridSpan w:val="3"/>
            <w:shd w:val="clear" w:color="auto" w:fill="auto"/>
            <w:vAlign w:val="center"/>
          </w:tcPr>
          <w:p>
            <w:pPr>
              <w:autoSpaceDE w:val="0"/>
              <w:autoSpaceDN w:val="0"/>
              <w:adjustRightInd w:val="0"/>
              <w:spacing w:before="100" w:after="100" w:line="240" w:lineRule="auto"/>
              <w:jc w:val="center"/>
              <w:rPr>
                <w:rFonts w:ascii="Times New Roman" w:eastAsia="Times New Roman" w:hAnsi="Times New Roman"/>
                <w:noProof/>
              </w:rPr>
            </w:pPr>
            <w:r>
              <w:rPr>
                <w:rFonts w:ascii="Times New Roman" w:hAnsi="Times New Roman"/>
                <w:b/>
                <w:noProof/>
              </w:rPr>
              <w:t>2014-2020</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05.046001 (landdistriktsprogrammer)</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18 149 536 729</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5 252 192 422</w:t>
            </w:r>
          </w:p>
        </w:tc>
      </w:tr>
      <w:tr>
        <w:tc>
          <w:tcPr>
            <w:tcW w:w="4320" w:type="dxa"/>
            <w:shd w:val="clear" w:color="auto" w:fill="auto"/>
            <w:vAlign w:val="center"/>
          </w:tcPr>
          <w:p>
            <w:pPr>
              <w:autoSpaceDE w:val="0"/>
              <w:autoSpaceDN w:val="0"/>
              <w:adjustRightInd w:val="0"/>
              <w:spacing w:before="100" w:after="100" w:line="240" w:lineRule="auto"/>
              <w:rPr>
                <w:rFonts w:ascii="Times New Roman" w:eastAsia="Times New Roman" w:hAnsi="Times New Roman"/>
                <w:noProof/>
              </w:rPr>
            </w:pPr>
            <w:r>
              <w:rPr>
                <w:rFonts w:ascii="Times New Roman" w:hAnsi="Times New Roman"/>
                <w:noProof/>
              </w:rPr>
              <w:t>05.046002 (operationel teknisk bistand)</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15 792 400</w:t>
            </w:r>
          </w:p>
        </w:tc>
        <w:tc>
          <w:tcPr>
            <w:tcW w:w="1920" w:type="dxa"/>
            <w:shd w:val="clear" w:color="auto" w:fill="auto"/>
            <w:vAlign w:val="center"/>
          </w:tcPr>
          <w:p>
            <w:pPr>
              <w:autoSpaceDE w:val="0"/>
              <w:autoSpaceDN w:val="0"/>
              <w:adjustRightInd w:val="0"/>
              <w:spacing w:before="100" w:after="100" w:line="240" w:lineRule="auto"/>
              <w:jc w:val="right"/>
              <w:rPr>
                <w:rFonts w:ascii="Times New Roman" w:eastAsia="Times New Roman" w:hAnsi="Times New Roman"/>
                <w:noProof/>
                <w:highlight w:val="yellow"/>
              </w:rPr>
            </w:pPr>
            <w:r>
              <w:rPr>
                <w:rFonts w:ascii="Times New Roman" w:hAnsi="Times New Roman"/>
                <w:noProof/>
              </w:rPr>
              <w:t>19 770 986</w:t>
            </w:r>
          </w:p>
        </w:tc>
      </w:tr>
    </w:tbl>
    <w:p>
      <w:pPr>
        <w:spacing w:before="120" w:after="120" w:line="240" w:lineRule="auto"/>
        <w:ind w:left="850"/>
        <w:jc w:val="both"/>
        <w:rPr>
          <w:rFonts w:ascii="Times New Roman" w:eastAsia="Times New Roman" w:hAnsi="Times New Roman"/>
          <w:noProof/>
          <w:sz w:val="24"/>
          <w:highlight w:val="yellow"/>
        </w:rPr>
      </w:pPr>
    </w:p>
    <w:p>
      <w:pPr>
        <w:keepNext/>
        <w:tabs>
          <w:tab w:val="left" w:pos="850"/>
        </w:tabs>
        <w:spacing w:before="360" w:after="120" w:line="240" w:lineRule="auto"/>
        <w:ind w:left="850" w:hanging="850"/>
        <w:jc w:val="both"/>
        <w:outlineLvl w:val="0"/>
        <w:rPr>
          <w:rFonts w:ascii="Times New Roman" w:eastAsia="Times New Roman" w:hAnsi="Times New Roman"/>
          <w:b/>
          <w:smallCaps/>
          <w:noProof/>
          <w:sz w:val="24"/>
        </w:rPr>
      </w:pPr>
      <w:bookmarkStart w:id="24" w:name="_Toc393127470"/>
      <w:bookmarkStart w:id="25" w:name="_Toc457569409"/>
      <w:bookmarkStart w:id="26" w:name="_Toc461194992"/>
      <w:r>
        <w:rPr>
          <w:rFonts w:ascii="Times New Roman" w:hAnsi="Times New Roman"/>
          <w:b/>
          <w:smallCaps/>
          <w:noProof/>
          <w:sz w:val="24"/>
        </w:rPr>
        <w:t>2.</w:t>
      </w:r>
      <w:r>
        <w:rPr>
          <w:noProof/>
        </w:rPr>
        <w:tab/>
      </w:r>
      <w:r>
        <w:rPr>
          <w:rFonts w:ascii="Times New Roman" w:hAnsi="Times New Roman"/>
          <w:b/>
          <w:smallCaps/>
          <w:noProof/>
          <w:sz w:val="24"/>
        </w:rPr>
        <w:t>Forvaltning af bevillinger</w:t>
      </w:r>
      <w:bookmarkEnd w:id="20"/>
      <w:bookmarkEnd w:id="24"/>
      <w:bookmarkEnd w:id="25"/>
      <w:bookmarkEnd w:id="26"/>
    </w:p>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27" w:name="_Toc331167063"/>
      <w:bookmarkStart w:id="28" w:name="_Toc393127471"/>
      <w:bookmarkStart w:id="29" w:name="_Toc457569410"/>
      <w:bookmarkStart w:id="30" w:name="_Toc461194993"/>
      <w:r>
        <w:rPr>
          <w:rFonts w:ascii="Times New Roman" w:hAnsi="Times New Roman"/>
          <w:b/>
          <w:noProof/>
          <w:sz w:val="24"/>
        </w:rPr>
        <w:t>2.1.</w:t>
      </w:r>
      <w:r>
        <w:rPr>
          <w:noProof/>
        </w:rPr>
        <w:tab/>
      </w:r>
      <w:r>
        <w:rPr>
          <w:rFonts w:ascii="Times New Roman" w:hAnsi="Times New Roman"/>
          <w:b/>
          <w:noProof/>
          <w:sz w:val="24"/>
        </w:rPr>
        <w:t>Forvaltning af forpligtelsesbevillinger</w:t>
      </w:r>
      <w:bookmarkEnd w:id="27"/>
      <w:bookmarkEnd w:id="28"/>
      <w:bookmarkEnd w:id="29"/>
      <w:bookmarkEnd w:id="30"/>
    </w:p>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31" w:name="_Toc331167064"/>
      <w:bookmarkStart w:id="32" w:name="_Toc393127472"/>
      <w:bookmarkStart w:id="33" w:name="_Toc457569411"/>
      <w:bookmarkStart w:id="34" w:name="_Toc461194994"/>
      <w:r>
        <w:rPr>
          <w:rFonts w:ascii="Times New Roman" w:hAnsi="Times New Roman"/>
          <w:i/>
          <w:noProof/>
          <w:sz w:val="24"/>
        </w:rPr>
        <w:t>2.1.1.</w:t>
      </w:r>
      <w:r>
        <w:rPr>
          <w:noProof/>
        </w:rPr>
        <w:tab/>
      </w:r>
      <w:r>
        <w:rPr>
          <w:rFonts w:ascii="Times New Roman" w:hAnsi="Times New Roman"/>
          <w:i/>
          <w:noProof/>
          <w:sz w:val="24"/>
        </w:rPr>
        <w:t>ELFUL-programmer til udvikling af landdistrikterne</w:t>
      </w:r>
      <w:bookmarkEnd w:id="31"/>
      <w:bookmarkEnd w:id="32"/>
      <w:bookmarkEnd w:id="33"/>
      <w:bookmarkEnd w:id="34"/>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Budgettet for 2015 indeholdt ingen forpligtelsesbevillinger til ELFUL til 2007-2013-programmer.</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Med hensyn til programmeringsperioden 2014-2020 indeholdt budgettet for 2015 13 797 mio. EUR til ELFUL. Med ændringsbudget nr. 1 blev der tilført yderligere 4 353 mio. EUR. Som følge af den sene vedtagelse af programmer blev der desuden fremført 1 970 mio. EUR fra 2014 til 2015. Samlet set androg de disponible forpligtelsesbevillinger i 2015 20 120 mio. EUR.</w:t>
      </w:r>
    </w:p>
    <w:p>
      <w:pPr>
        <w:spacing w:before="120" w:after="120" w:line="240" w:lineRule="auto"/>
        <w:ind w:left="850"/>
        <w:jc w:val="both"/>
        <w:rPr>
          <w:rFonts w:ascii="Times New Roman" w:eastAsia="Times New Roman" w:hAnsi="Times New Roman"/>
          <w:b/>
          <w:noProof/>
          <w:sz w:val="24"/>
        </w:rPr>
      </w:pPr>
    </w:p>
    <w:p>
      <w:pPr>
        <w:keepNext/>
        <w:keepLines/>
        <w:spacing w:before="120" w:after="120" w:line="240" w:lineRule="auto"/>
        <w:ind w:left="850"/>
        <w:jc w:val="both"/>
        <w:rPr>
          <w:rFonts w:ascii="Times New Roman" w:eastAsia="Times New Roman" w:hAnsi="Times New Roman"/>
          <w:noProof/>
          <w:sz w:val="24"/>
        </w:rPr>
      </w:pPr>
      <w:bookmarkStart w:id="35" w:name="OLE_LINK8"/>
      <w:r>
        <w:rPr>
          <w:rFonts w:ascii="Times New Roman" w:hAnsi="Times New Roman"/>
          <w:noProof/>
          <w:sz w:val="24"/>
        </w:rPr>
        <w:t>Tabel 5</w:t>
      </w:r>
    </w:p>
    <w:tbl>
      <w:tblPr>
        <w:tblW w:w="834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1920"/>
        <w:gridCol w:w="1861"/>
      </w:tblGrid>
      <w:tr>
        <w:trPr>
          <w:trHeight w:val="763"/>
        </w:trPr>
        <w:tc>
          <w:tcPr>
            <w:tcW w:w="4560" w:type="dxa"/>
            <w:shd w:val="clear" w:color="auto" w:fill="FFFF99"/>
            <w:vAlign w:val="center"/>
          </w:tcPr>
          <w:p>
            <w:pPr>
              <w:keepNext/>
              <w:keepLines/>
              <w:autoSpaceDE w:val="0"/>
              <w:autoSpaceDN w:val="0"/>
              <w:adjustRightInd w:val="0"/>
              <w:spacing w:before="120" w:after="0" w:line="240" w:lineRule="auto"/>
              <w:jc w:val="center"/>
              <w:rPr>
                <w:rFonts w:ascii="Times New Roman" w:eastAsia="Times New Roman" w:hAnsi="Times New Roman"/>
                <w:b/>
                <w:noProof/>
              </w:rPr>
            </w:pPr>
            <w:r>
              <w:rPr>
                <w:rFonts w:ascii="Times New Roman" w:hAnsi="Times New Roman"/>
                <w:b/>
                <w:noProof/>
              </w:rPr>
              <w:t>Forvaltning af forpligtelsesbevillinger i 2015 – ELFUL</w:t>
            </w:r>
          </w:p>
        </w:tc>
        <w:tc>
          <w:tcPr>
            <w:tcW w:w="1920" w:type="dxa"/>
            <w:shd w:val="clear" w:color="auto" w:fill="FFFF99"/>
            <w:vAlign w:val="center"/>
          </w:tcPr>
          <w:p>
            <w:pPr>
              <w:keepNext/>
              <w:keepLines/>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Budgetkonto</w:t>
            </w:r>
          </w:p>
          <w:p>
            <w:pPr>
              <w:keepNext/>
              <w:keepLines/>
              <w:autoSpaceDE w:val="0"/>
              <w:autoSpaceDN w:val="0"/>
              <w:adjustRightInd w:val="0"/>
              <w:spacing w:after="0" w:line="240" w:lineRule="auto"/>
              <w:jc w:val="center"/>
              <w:rPr>
                <w:rFonts w:ascii="Times New Roman" w:eastAsia="Times New Roman" w:hAnsi="Times New Roman"/>
                <w:b/>
                <w:noProof/>
                <w:sz w:val="20"/>
              </w:rPr>
            </w:pPr>
            <w:r>
              <w:rPr>
                <w:rFonts w:ascii="Times New Roman" w:hAnsi="Times New Roman"/>
                <w:b/>
                <w:noProof/>
                <w:sz w:val="20"/>
              </w:rPr>
              <w:t>05.040501</w:t>
            </w:r>
          </w:p>
          <w:p>
            <w:pPr>
              <w:keepNext/>
              <w:keepLines/>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sz w:val="20"/>
              </w:rPr>
              <w:t>(EUR)</w:t>
            </w:r>
          </w:p>
        </w:tc>
        <w:tc>
          <w:tcPr>
            <w:tcW w:w="1861" w:type="dxa"/>
            <w:shd w:val="clear" w:color="auto" w:fill="FFFF99"/>
          </w:tcPr>
          <w:p>
            <w:pPr>
              <w:keepNext/>
              <w:keepLines/>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rPr>
              <w:t>Budgetkonto</w:t>
            </w:r>
          </w:p>
          <w:p>
            <w:pPr>
              <w:keepNext/>
              <w:keepLines/>
              <w:autoSpaceDE w:val="0"/>
              <w:autoSpaceDN w:val="0"/>
              <w:adjustRightInd w:val="0"/>
              <w:spacing w:after="0" w:line="240" w:lineRule="auto"/>
              <w:jc w:val="center"/>
              <w:rPr>
                <w:rFonts w:ascii="Times New Roman" w:eastAsia="Times New Roman" w:hAnsi="Times New Roman"/>
                <w:b/>
                <w:noProof/>
                <w:sz w:val="20"/>
              </w:rPr>
            </w:pPr>
            <w:r>
              <w:rPr>
                <w:rFonts w:ascii="Times New Roman" w:hAnsi="Times New Roman"/>
                <w:b/>
                <w:noProof/>
                <w:sz w:val="20"/>
              </w:rPr>
              <w:t>05.046001</w:t>
            </w:r>
          </w:p>
          <w:p>
            <w:pPr>
              <w:keepNext/>
              <w:keepLines/>
              <w:autoSpaceDE w:val="0"/>
              <w:autoSpaceDN w:val="0"/>
              <w:adjustRightInd w:val="0"/>
              <w:spacing w:after="0" w:line="240" w:lineRule="auto"/>
              <w:jc w:val="center"/>
              <w:rPr>
                <w:rFonts w:ascii="Times New Roman" w:eastAsia="Times New Roman" w:hAnsi="Times New Roman"/>
                <w:b/>
                <w:noProof/>
              </w:rPr>
            </w:pPr>
            <w:r>
              <w:rPr>
                <w:rFonts w:ascii="Times New Roman" w:hAnsi="Times New Roman"/>
                <w:b/>
                <w:noProof/>
                <w:sz w:val="20"/>
              </w:rPr>
              <w:t>(EUR)</w:t>
            </w:r>
          </w:p>
        </w:tc>
      </w:tr>
      <w:tr>
        <w:tc>
          <w:tcPr>
            <w:tcW w:w="4560" w:type="dxa"/>
            <w:shd w:val="clear" w:color="auto" w:fill="auto"/>
            <w:vAlign w:val="center"/>
          </w:tcPr>
          <w:p>
            <w:pPr>
              <w:keepNext/>
              <w:keepLines/>
              <w:autoSpaceDE w:val="0"/>
              <w:autoSpaceDN w:val="0"/>
              <w:adjustRightInd w:val="0"/>
              <w:spacing w:before="120" w:after="0" w:line="240" w:lineRule="auto"/>
              <w:rPr>
                <w:rFonts w:ascii="Times New Roman" w:eastAsia="Times New Roman" w:hAnsi="Times New Roman"/>
                <w:noProof/>
              </w:rPr>
            </w:pPr>
            <w:r>
              <w:rPr>
                <w:rFonts w:ascii="Times New Roman" w:hAnsi="Times New Roman"/>
                <w:noProof/>
              </w:rPr>
              <w:t>Bevillinger primo 2015</w:t>
            </w:r>
          </w:p>
        </w:tc>
        <w:tc>
          <w:tcPr>
            <w:tcW w:w="1920" w:type="dxa"/>
            <w:shd w:val="clear" w:color="auto" w:fill="auto"/>
            <w:vAlign w:val="center"/>
          </w:tcPr>
          <w:p>
            <w:pPr>
              <w:keepNext/>
              <w:keepLines/>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w:t>
            </w:r>
          </w:p>
        </w:tc>
        <w:tc>
          <w:tcPr>
            <w:tcW w:w="1861" w:type="dxa"/>
          </w:tcPr>
          <w:p>
            <w:pPr>
              <w:keepNext/>
              <w:keepLines/>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13 796 873 677</w:t>
            </w:r>
          </w:p>
        </w:tc>
      </w:tr>
      <w:tr>
        <w:tc>
          <w:tcPr>
            <w:tcW w:w="4560" w:type="dxa"/>
            <w:shd w:val="clear" w:color="auto" w:fill="auto"/>
            <w:vAlign w:val="center"/>
          </w:tcPr>
          <w:p>
            <w:pPr>
              <w:autoSpaceDE w:val="0"/>
              <w:autoSpaceDN w:val="0"/>
              <w:adjustRightInd w:val="0"/>
              <w:spacing w:before="120" w:after="0" w:line="240" w:lineRule="auto"/>
              <w:rPr>
                <w:rFonts w:ascii="Times New Roman" w:eastAsia="Times New Roman" w:hAnsi="Times New Roman"/>
                <w:noProof/>
              </w:rPr>
            </w:pPr>
            <w:r>
              <w:rPr>
                <w:rFonts w:ascii="Times New Roman" w:hAnsi="Times New Roman"/>
                <w:noProof/>
              </w:rPr>
              <w:t>Fremført fra 2014</w:t>
            </w:r>
          </w:p>
        </w:tc>
        <w:tc>
          <w:tcPr>
            <w:tcW w:w="1920" w:type="dxa"/>
            <w:shd w:val="clear" w:color="auto" w:fill="auto"/>
            <w:vAlign w:val="center"/>
          </w:tcPr>
          <w:p>
            <w:pPr>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w:t>
            </w:r>
          </w:p>
        </w:tc>
        <w:tc>
          <w:tcPr>
            <w:tcW w:w="1861" w:type="dxa"/>
          </w:tcPr>
          <w:p>
            <w:pPr>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1 970 095 304</w:t>
            </w:r>
          </w:p>
        </w:tc>
      </w:tr>
      <w:tr>
        <w:tc>
          <w:tcPr>
            <w:tcW w:w="4560" w:type="dxa"/>
            <w:shd w:val="clear" w:color="auto" w:fill="auto"/>
            <w:vAlign w:val="center"/>
          </w:tcPr>
          <w:p>
            <w:pPr>
              <w:autoSpaceDE w:val="0"/>
              <w:autoSpaceDN w:val="0"/>
              <w:adjustRightInd w:val="0"/>
              <w:spacing w:before="120" w:after="0" w:line="240" w:lineRule="auto"/>
              <w:rPr>
                <w:rFonts w:ascii="Times New Roman" w:eastAsia="Times New Roman" w:hAnsi="Times New Roman"/>
                <w:noProof/>
              </w:rPr>
            </w:pPr>
            <w:r>
              <w:rPr>
                <w:rFonts w:ascii="Times New Roman" w:hAnsi="Times New Roman"/>
                <w:noProof/>
              </w:rPr>
              <w:t>Ændringsbudget nr. 1</w:t>
            </w:r>
          </w:p>
        </w:tc>
        <w:tc>
          <w:tcPr>
            <w:tcW w:w="1920" w:type="dxa"/>
            <w:shd w:val="clear" w:color="auto" w:fill="auto"/>
            <w:vAlign w:val="center"/>
          </w:tcPr>
          <w:p>
            <w:pPr>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w:t>
            </w:r>
          </w:p>
        </w:tc>
        <w:tc>
          <w:tcPr>
            <w:tcW w:w="1861" w:type="dxa"/>
          </w:tcPr>
          <w:p>
            <w:pPr>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4 352 663 052</w:t>
            </w:r>
          </w:p>
        </w:tc>
      </w:tr>
      <w:tr>
        <w:tc>
          <w:tcPr>
            <w:tcW w:w="4560" w:type="dxa"/>
            <w:shd w:val="clear" w:color="auto" w:fill="auto"/>
            <w:vAlign w:val="center"/>
          </w:tcPr>
          <w:p>
            <w:pPr>
              <w:autoSpaceDE w:val="0"/>
              <w:autoSpaceDN w:val="0"/>
              <w:adjustRightInd w:val="0"/>
              <w:spacing w:before="120" w:after="0" w:line="240" w:lineRule="auto"/>
              <w:rPr>
                <w:rFonts w:ascii="Times New Roman" w:eastAsia="Times New Roman" w:hAnsi="Times New Roman"/>
                <w:b/>
                <w:noProof/>
              </w:rPr>
            </w:pPr>
            <w:r>
              <w:rPr>
                <w:rFonts w:ascii="Times New Roman" w:hAnsi="Times New Roman"/>
                <w:b/>
                <w:noProof/>
              </w:rPr>
              <w:t>Disponible bevillinger i 2015</w:t>
            </w:r>
          </w:p>
        </w:tc>
        <w:tc>
          <w:tcPr>
            <w:tcW w:w="1920" w:type="dxa"/>
            <w:shd w:val="clear" w:color="auto" w:fill="auto"/>
          </w:tcPr>
          <w:p>
            <w:pPr>
              <w:autoSpaceDE w:val="0"/>
              <w:autoSpaceDN w:val="0"/>
              <w:adjustRightInd w:val="0"/>
              <w:spacing w:before="120" w:after="0" w:line="240" w:lineRule="auto"/>
              <w:jc w:val="right"/>
              <w:rPr>
                <w:rFonts w:ascii="Times New Roman" w:eastAsia="Times New Roman" w:hAnsi="Times New Roman"/>
                <w:b/>
                <w:noProof/>
              </w:rPr>
            </w:pPr>
            <w:r>
              <w:rPr>
                <w:rFonts w:ascii="Times New Roman" w:hAnsi="Times New Roman"/>
                <w:b/>
                <w:noProof/>
              </w:rPr>
              <w:t>-</w:t>
            </w:r>
          </w:p>
        </w:tc>
        <w:tc>
          <w:tcPr>
            <w:tcW w:w="1861" w:type="dxa"/>
          </w:tcPr>
          <w:p>
            <w:pPr>
              <w:autoSpaceDE w:val="0"/>
              <w:autoSpaceDN w:val="0"/>
              <w:adjustRightInd w:val="0"/>
              <w:spacing w:before="120" w:after="0" w:line="240" w:lineRule="auto"/>
              <w:jc w:val="right"/>
              <w:rPr>
                <w:rFonts w:ascii="Times New Roman" w:eastAsia="Times New Roman" w:hAnsi="Times New Roman"/>
                <w:b/>
                <w:noProof/>
              </w:rPr>
            </w:pPr>
            <w:r>
              <w:rPr>
                <w:rFonts w:ascii="Times New Roman" w:hAnsi="Times New Roman"/>
                <w:b/>
                <w:noProof/>
              </w:rPr>
              <w:t>20 119 632 033</w:t>
            </w:r>
          </w:p>
        </w:tc>
      </w:tr>
      <w:tr>
        <w:tc>
          <w:tcPr>
            <w:tcW w:w="4560" w:type="dxa"/>
            <w:shd w:val="clear" w:color="auto" w:fill="auto"/>
            <w:vAlign w:val="center"/>
          </w:tcPr>
          <w:p>
            <w:pPr>
              <w:autoSpaceDE w:val="0"/>
              <w:autoSpaceDN w:val="0"/>
              <w:adjustRightInd w:val="0"/>
              <w:spacing w:before="120" w:after="0" w:line="240" w:lineRule="auto"/>
              <w:rPr>
                <w:rFonts w:ascii="Times New Roman" w:eastAsia="Times New Roman" w:hAnsi="Times New Roman"/>
                <w:noProof/>
              </w:rPr>
            </w:pPr>
            <w:r>
              <w:rPr>
                <w:rFonts w:ascii="Times New Roman" w:hAnsi="Times New Roman"/>
                <w:noProof/>
              </w:rPr>
              <w:t>Anvendte bevillinger i 2015</w:t>
            </w:r>
          </w:p>
        </w:tc>
        <w:tc>
          <w:tcPr>
            <w:tcW w:w="1920" w:type="dxa"/>
            <w:shd w:val="clear" w:color="auto" w:fill="auto"/>
          </w:tcPr>
          <w:p>
            <w:pPr>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w:t>
            </w:r>
          </w:p>
        </w:tc>
        <w:tc>
          <w:tcPr>
            <w:tcW w:w="1861" w:type="dxa"/>
          </w:tcPr>
          <w:p>
            <w:pPr>
              <w:autoSpaceDE w:val="0"/>
              <w:autoSpaceDN w:val="0"/>
              <w:adjustRightInd w:val="0"/>
              <w:spacing w:before="120" w:after="0" w:line="240" w:lineRule="auto"/>
              <w:jc w:val="right"/>
              <w:rPr>
                <w:rFonts w:ascii="Times New Roman" w:eastAsia="Times New Roman" w:hAnsi="Times New Roman"/>
                <w:noProof/>
              </w:rPr>
            </w:pPr>
            <w:r>
              <w:rPr>
                <w:rFonts w:ascii="Times New Roman" w:hAnsi="Times New Roman"/>
                <w:noProof/>
              </w:rPr>
              <w:t>20 119 632 033</w:t>
            </w:r>
          </w:p>
        </w:tc>
      </w:tr>
    </w:tbl>
    <w:p>
      <w:pPr>
        <w:spacing w:before="120" w:after="120" w:line="240" w:lineRule="auto"/>
        <w:ind w:left="850"/>
        <w:jc w:val="both"/>
        <w:rPr>
          <w:rFonts w:ascii="Times New Roman" w:eastAsia="Times New Roman" w:hAnsi="Times New Roman"/>
          <w:noProof/>
          <w:sz w:val="24"/>
        </w:rPr>
      </w:pPr>
      <w:bookmarkStart w:id="36" w:name="_Toc331167065"/>
      <w:bookmarkStart w:id="37" w:name="_Toc393127473"/>
      <w:bookmarkEnd w:id="35"/>
    </w:p>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38" w:name="_Toc457569412"/>
      <w:bookmarkStart w:id="39" w:name="_Toc461194995"/>
      <w:r>
        <w:rPr>
          <w:rFonts w:ascii="Times New Roman" w:hAnsi="Times New Roman"/>
          <w:i/>
          <w:noProof/>
          <w:sz w:val="24"/>
        </w:rPr>
        <w:t>2.1.2.</w:t>
      </w:r>
      <w:r>
        <w:rPr>
          <w:noProof/>
        </w:rPr>
        <w:tab/>
      </w:r>
      <w:r>
        <w:rPr>
          <w:rFonts w:ascii="Times New Roman" w:hAnsi="Times New Roman"/>
          <w:i/>
          <w:noProof/>
          <w:sz w:val="24"/>
        </w:rPr>
        <w:t>Teknisk bistand</w:t>
      </w:r>
      <w:bookmarkEnd w:id="36"/>
      <w:bookmarkEnd w:id="37"/>
      <w:bookmarkEnd w:id="38"/>
      <w:bookmarkEnd w:id="39"/>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 xml:space="preserve">I henhold til artikel 51, stk. 1, i forordning (EU) nr. 1305/2013 kan ELFUL, på Kommissionens initiativ, anvende op til 0,25 % af sin årlige tildeling til at finansiere aktioner vedrørende teknisk bistand. I budgettet for 2015 var det oprindelige disponible beløb til dette formål 22,3 mio. EUR. Med ændringsbudget nr. 7 blev dette beløb nedsat med 6,5 mio. EUR, hvorefter der var 15,8 mio. EUR tilbage på budgettet. </w:t>
      </w:r>
    </w:p>
    <w:p>
      <w:pPr>
        <w:spacing w:before="120" w:after="120" w:line="240" w:lineRule="auto"/>
        <w:ind w:left="850"/>
        <w:jc w:val="both"/>
        <w:rPr>
          <w:rFonts w:ascii="Times New Roman" w:eastAsia="Times New Roman" w:hAnsi="Times New Roman"/>
          <w:noProof/>
          <w:sz w:val="24"/>
        </w:rPr>
      </w:pPr>
    </w:p>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40" w:name="_Toc331167066"/>
      <w:bookmarkStart w:id="41" w:name="_Toc393127474"/>
      <w:bookmarkStart w:id="42" w:name="_Toc457569413"/>
      <w:bookmarkStart w:id="43" w:name="_Toc461194996"/>
      <w:r>
        <w:rPr>
          <w:rFonts w:ascii="Times New Roman" w:hAnsi="Times New Roman"/>
          <w:b/>
          <w:noProof/>
          <w:sz w:val="24"/>
        </w:rPr>
        <w:t>2.2.</w:t>
      </w:r>
      <w:r>
        <w:rPr>
          <w:noProof/>
        </w:rPr>
        <w:tab/>
      </w:r>
      <w:r>
        <w:rPr>
          <w:rFonts w:ascii="Times New Roman" w:hAnsi="Times New Roman"/>
          <w:b/>
          <w:noProof/>
          <w:sz w:val="24"/>
        </w:rPr>
        <w:t>Forvaltning af betalingsbevillinger</w:t>
      </w:r>
      <w:bookmarkEnd w:id="40"/>
      <w:bookmarkEnd w:id="41"/>
      <w:bookmarkEnd w:id="42"/>
      <w:bookmarkEnd w:id="43"/>
    </w:p>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44" w:name="_Toc331167067"/>
      <w:bookmarkStart w:id="45" w:name="_Toc393127475"/>
      <w:bookmarkStart w:id="46" w:name="_Toc457569414"/>
      <w:bookmarkStart w:id="47" w:name="_Toc461194997"/>
      <w:r>
        <w:rPr>
          <w:rFonts w:ascii="Times New Roman" w:hAnsi="Times New Roman"/>
          <w:i/>
          <w:noProof/>
          <w:sz w:val="24"/>
        </w:rPr>
        <w:t>2.2.1.</w:t>
      </w:r>
      <w:r>
        <w:rPr>
          <w:noProof/>
        </w:rPr>
        <w:tab/>
      </w:r>
      <w:r>
        <w:rPr>
          <w:rFonts w:ascii="Times New Roman" w:hAnsi="Times New Roman"/>
          <w:i/>
          <w:noProof/>
          <w:sz w:val="24"/>
        </w:rPr>
        <w:t>ELFUL-programmer til udvikling af landdistrikterne</w:t>
      </w:r>
      <w:bookmarkEnd w:id="44"/>
      <w:bookmarkEnd w:id="45"/>
      <w:bookmarkEnd w:id="46"/>
      <w:bookmarkEnd w:id="47"/>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Betalingsbevillingerne i det vedtagne budget for 2015 for programperioden 2007-2013 androg 5 890 mio. EUR. Derudover androg de disponible formålsbestemte indtægter, som enten var fremført fra 2014 eller inddrevet i løbet af året, 310,0 mio. EUR. Betalingsbevillingerne blev ved starten af året nedsat med 4 mio. EUR for at dække akutte behov relateret til koordination og strategi vedrørende landbrug og udvikling af landdistrikter. I løbet af året viste overvågningen af budgetgennemførelsen og analysen af de overslag, der blev indgivet af medlemsstaterne, at der var yderligere behov. Dette yderligere behov blev delvist dækket med en overførsel fra posten for teknisk bistand for 2014-2020 (2,1 mio. EUR), anvendelsen af formålsbestemte indtægter (287,3 mio. EUR) og en overførsel ved årets udgang (288,5 mio. EUR). Samlet set androg de disponible betalingsbevillinger i 2015 6 487 mio. EUR.  Heraf blev der automatisk fremført 22,7 mio. EUR i formålsbestemte indtægter til 2016.</w:t>
      </w:r>
    </w:p>
    <w:p>
      <w:pPr>
        <w:spacing w:before="120" w:after="120" w:line="240" w:lineRule="auto"/>
        <w:ind w:left="851" w:right="71"/>
        <w:jc w:val="both"/>
        <w:rPr>
          <w:rFonts w:ascii="Times New Roman" w:eastAsia="Times New Roman" w:hAnsi="Times New Roman"/>
          <w:noProof/>
          <w:sz w:val="24"/>
        </w:rPr>
      </w:pPr>
      <w:r>
        <w:rPr>
          <w:rFonts w:ascii="Times New Roman" w:hAnsi="Times New Roman"/>
          <w:noProof/>
          <w:sz w:val="24"/>
        </w:rPr>
        <w:t xml:space="preserve">Betalingsbevillingerne i det vedtagne budget for programmeringsperioden 2014-2020 androg 5 252 mio. EUR. </w:t>
      </w:r>
    </w:p>
    <w:p>
      <w:pPr>
        <w:keepNext/>
        <w:keepLines/>
        <w:spacing w:before="120" w:after="120" w:line="240" w:lineRule="auto"/>
        <w:ind w:left="850"/>
        <w:jc w:val="both"/>
        <w:rPr>
          <w:rFonts w:ascii="Times New Roman" w:eastAsia="Times New Roman" w:hAnsi="Times New Roman"/>
          <w:noProof/>
          <w:sz w:val="24"/>
        </w:rPr>
      </w:pPr>
      <w:bookmarkStart w:id="48" w:name="OLE_LINK9"/>
      <w:r>
        <w:rPr>
          <w:rFonts w:ascii="Times New Roman" w:hAnsi="Times New Roman"/>
          <w:noProof/>
          <w:sz w:val="24"/>
        </w:rPr>
        <w:t>Tabel 6</w:t>
      </w:r>
    </w:p>
    <w:tbl>
      <w:tblPr>
        <w:tblW w:w="8040" w:type="dxa"/>
        <w:tblInd w:w="948" w:type="dxa"/>
        <w:tblLook w:val="04A0" w:firstRow="1" w:lastRow="0" w:firstColumn="1" w:lastColumn="0" w:noHBand="0" w:noVBand="1"/>
      </w:tblPr>
      <w:tblGrid>
        <w:gridCol w:w="5640"/>
        <w:gridCol w:w="2400"/>
      </w:tblGrid>
      <w:tr>
        <w:trPr>
          <w:trHeight w:val="430"/>
        </w:trPr>
        <w:tc>
          <w:tcPr>
            <w:tcW w:w="8040"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pPr>
              <w:keepNext/>
              <w:keepLines/>
              <w:spacing w:before="120" w:after="0" w:line="240" w:lineRule="auto"/>
              <w:jc w:val="center"/>
              <w:rPr>
                <w:rFonts w:ascii="Times New Roman" w:eastAsia="Times New Roman" w:hAnsi="Times New Roman"/>
                <w:b/>
                <w:bCs/>
                <w:noProof/>
              </w:rPr>
            </w:pPr>
            <w:r>
              <w:rPr>
                <w:rFonts w:ascii="Times New Roman" w:hAnsi="Times New Roman"/>
                <w:b/>
                <w:noProof/>
              </w:rPr>
              <w:t>Forvaltning af betalingsbevillinger i 2015</w:t>
            </w:r>
          </w:p>
          <w:p>
            <w:pPr>
              <w:keepNext/>
              <w:keepLines/>
              <w:spacing w:after="120" w:line="240" w:lineRule="auto"/>
              <w:jc w:val="center"/>
              <w:rPr>
                <w:rFonts w:ascii="Times New Roman" w:eastAsia="Times New Roman" w:hAnsi="Times New Roman"/>
                <w:b/>
                <w:bCs/>
                <w:noProof/>
              </w:rPr>
            </w:pPr>
            <w:r>
              <w:rPr>
                <w:rFonts w:ascii="Times New Roman" w:hAnsi="Times New Roman"/>
                <w:b/>
                <w:noProof/>
              </w:rPr>
              <w:t>(EUR)</w:t>
            </w:r>
          </w:p>
        </w:tc>
      </w:tr>
      <w:tr>
        <w:trPr>
          <w:trHeight w:val="176"/>
        </w:trPr>
        <w:tc>
          <w:tcPr>
            <w:tcW w:w="80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120" w:line="240" w:lineRule="auto"/>
              <w:jc w:val="center"/>
              <w:rPr>
                <w:rFonts w:ascii="Times New Roman" w:eastAsia="Times New Roman" w:hAnsi="Times New Roman"/>
                <w:noProof/>
              </w:rPr>
            </w:pPr>
          </w:p>
        </w:tc>
      </w:tr>
      <w:tr>
        <w:trPr>
          <w:trHeight w:val="706"/>
        </w:trPr>
        <w:tc>
          <w:tcPr>
            <w:tcW w:w="8040" w:type="dxa"/>
            <w:gridSpan w:val="2"/>
            <w:tcBorders>
              <w:top w:val="single" w:sz="4" w:space="0" w:color="auto"/>
              <w:left w:val="single" w:sz="4" w:space="0" w:color="auto"/>
              <w:bottom w:val="single" w:sz="4" w:space="0" w:color="auto"/>
              <w:right w:val="single" w:sz="4" w:space="0" w:color="auto"/>
            </w:tcBorders>
            <w:shd w:val="clear" w:color="000000" w:fill="FFFF99"/>
            <w:vAlign w:val="center"/>
          </w:tcPr>
          <w:p>
            <w:pPr>
              <w:keepNext/>
              <w:keepLines/>
              <w:spacing w:after="0" w:line="240" w:lineRule="auto"/>
              <w:jc w:val="center"/>
              <w:rPr>
                <w:rFonts w:ascii="Times New Roman" w:eastAsia="Times New Roman" w:hAnsi="Times New Roman"/>
                <w:b/>
                <w:bCs/>
                <w:noProof/>
              </w:rPr>
            </w:pPr>
            <w:r>
              <w:rPr>
                <w:rFonts w:ascii="Times New Roman" w:hAnsi="Times New Roman"/>
                <w:b/>
                <w:noProof/>
              </w:rPr>
              <w:t>ELFUL (2007-2013)</w:t>
            </w:r>
          </w:p>
          <w:p>
            <w:pPr>
              <w:keepNext/>
              <w:keepLines/>
              <w:spacing w:after="0" w:line="240" w:lineRule="auto"/>
              <w:jc w:val="center"/>
              <w:rPr>
                <w:rFonts w:ascii="Times New Roman" w:eastAsia="Times New Roman" w:hAnsi="Times New Roman"/>
                <w:b/>
                <w:bCs/>
                <w:noProof/>
              </w:rPr>
            </w:pPr>
            <w:r>
              <w:rPr>
                <w:rFonts w:ascii="Times New Roman" w:hAnsi="Times New Roman"/>
                <w:b/>
                <w:noProof/>
              </w:rPr>
              <w:t>Budgetkonto - 05.040501</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hideMark/>
          </w:tcPr>
          <w:p>
            <w:pPr>
              <w:keepNext/>
              <w:keepLines/>
              <w:spacing w:after="0" w:line="240" w:lineRule="auto"/>
              <w:rPr>
                <w:rFonts w:ascii="Times New Roman" w:eastAsia="Times New Roman" w:hAnsi="Times New Roman"/>
                <w:noProof/>
              </w:rPr>
            </w:pPr>
            <w:r>
              <w:rPr>
                <w:rFonts w:ascii="Times New Roman" w:hAnsi="Times New Roman"/>
                <w:noProof/>
              </w:rPr>
              <w:t>Bevillinger primo 2015</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pPr>
              <w:keepNext/>
              <w:keepLines/>
              <w:spacing w:after="0" w:line="240" w:lineRule="auto"/>
              <w:jc w:val="right"/>
              <w:rPr>
                <w:rFonts w:ascii="Times New Roman" w:eastAsia="Times New Roman" w:hAnsi="Times New Roman"/>
                <w:noProof/>
              </w:rPr>
            </w:pPr>
            <w:r>
              <w:rPr>
                <w:rFonts w:ascii="Times New Roman" w:hAnsi="Times New Roman"/>
                <w:noProof/>
              </w:rPr>
              <w:t>5 890 339 551</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rPr>
                <w:rFonts w:ascii="Times New Roman" w:eastAsia="Times New Roman" w:hAnsi="Times New Roman"/>
                <w:noProof/>
              </w:rPr>
            </w:pPr>
            <w:r>
              <w:rPr>
                <w:rFonts w:ascii="Times New Roman" w:hAnsi="Times New Roman"/>
                <w:noProof/>
              </w:rPr>
              <w:t>Overførsel til akutte behov</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jc w:val="right"/>
              <w:rPr>
                <w:rFonts w:ascii="Times New Roman" w:eastAsia="Times New Roman" w:hAnsi="Times New Roman"/>
                <w:noProof/>
              </w:rPr>
            </w:pPr>
            <w:r>
              <w:rPr>
                <w:rFonts w:ascii="Times New Roman" w:hAnsi="Times New Roman"/>
                <w:noProof/>
              </w:rPr>
              <w:t>-4 000 000</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rPr>
                <w:rFonts w:ascii="Times New Roman" w:eastAsia="Times New Roman" w:hAnsi="Times New Roman"/>
                <w:noProof/>
              </w:rPr>
            </w:pPr>
            <w:r>
              <w:rPr>
                <w:rFonts w:ascii="Times New Roman" w:hAnsi="Times New Roman"/>
                <w:noProof/>
              </w:rPr>
              <w:t>Formålsbestemte indtægter fremført fra 2014</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jc w:val="right"/>
              <w:rPr>
                <w:rFonts w:ascii="Times New Roman" w:eastAsia="Times New Roman" w:hAnsi="Times New Roman"/>
                <w:noProof/>
              </w:rPr>
            </w:pPr>
            <w:r>
              <w:rPr>
                <w:rFonts w:ascii="Times New Roman" w:hAnsi="Times New Roman"/>
                <w:noProof/>
              </w:rPr>
              <w:t>68 843 782</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hideMark/>
          </w:tcPr>
          <w:p>
            <w:pPr>
              <w:keepNext/>
              <w:keepLines/>
              <w:spacing w:after="0" w:line="240" w:lineRule="auto"/>
              <w:rPr>
                <w:rFonts w:ascii="Times New Roman" w:eastAsia="Times New Roman" w:hAnsi="Times New Roman"/>
                <w:noProof/>
              </w:rPr>
            </w:pPr>
            <w:r>
              <w:rPr>
                <w:rFonts w:ascii="Times New Roman" w:hAnsi="Times New Roman"/>
                <w:noProof/>
              </w:rPr>
              <w:t>Inddrevne formålsbestemte indtægter i 2015</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pPr>
              <w:keepNext/>
              <w:keepLines/>
              <w:spacing w:after="0" w:line="240" w:lineRule="auto"/>
              <w:jc w:val="right"/>
              <w:rPr>
                <w:rFonts w:ascii="Times New Roman" w:eastAsia="Times New Roman" w:hAnsi="Times New Roman"/>
                <w:noProof/>
              </w:rPr>
            </w:pPr>
            <w:r>
              <w:rPr>
                <w:rFonts w:ascii="Times New Roman" w:hAnsi="Times New Roman"/>
                <w:noProof/>
              </w:rPr>
              <w:t>241 194 023</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rPr>
                <w:rFonts w:ascii="Times New Roman" w:eastAsia="Times New Roman" w:hAnsi="Times New Roman"/>
                <w:noProof/>
              </w:rPr>
            </w:pPr>
            <w:r>
              <w:rPr>
                <w:rFonts w:ascii="Times New Roman" w:hAnsi="Times New Roman"/>
                <w:noProof/>
              </w:rPr>
              <w:t>Overførsler fra posten for teknisk bistand for ELFUL 2014-2020</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jc w:val="right"/>
              <w:rPr>
                <w:rFonts w:ascii="Times New Roman" w:eastAsia="Times New Roman" w:hAnsi="Times New Roman"/>
                <w:noProof/>
              </w:rPr>
            </w:pPr>
            <w:r>
              <w:rPr>
                <w:rFonts w:ascii="Times New Roman" w:hAnsi="Times New Roman"/>
                <w:noProof/>
              </w:rPr>
              <w:t>2 134 784</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rPr>
                <w:rFonts w:ascii="Times New Roman" w:eastAsia="Times New Roman" w:hAnsi="Times New Roman"/>
                <w:noProof/>
              </w:rPr>
            </w:pPr>
            <w:r>
              <w:rPr>
                <w:rFonts w:ascii="Times New Roman" w:hAnsi="Times New Roman"/>
                <w:noProof/>
              </w:rPr>
              <w:t>Overførsel ved årets udgang</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jc w:val="right"/>
              <w:rPr>
                <w:rFonts w:ascii="Times New Roman" w:eastAsia="Times New Roman" w:hAnsi="Times New Roman"/>
                <w:noProof/>
              </w:rPr>
            </w:pPr>
            <w:r>
              <w:rPr>
                <w:rFonts w:ascii="Times New Roman" w:hAnsi="Times New Roman"/>
                <w:noProof/>
              </w:rPr>
              <w:t>288 483 924</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hideMark/>
          </w:tcPr>
          <w:p>
            <w:pPr>
              <w:keepNext/>
              <w:keepLines/>
              <w:spacing w:after="0" w:line="240" w:lineRule="auto"/>
              <w:rPr>
                <w:rFonts w:ascii="Times New Roman" w:eastAsia="Times New Roman" w:hAnsi="Times New Roman"/>
                <w:b/>
                <w:noProof/>
              </w:rPr>
            </w:pPr>
            <w:r>
              <w:rPr>
                <w:rFonts w:ascii="Times New Roman" w:hAnsi="Times New Roman"/>
                <w:b/>
                <w:noProof/>
              </w:rPr>
              <w:t>Disponible bevillinger i 2015</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pPr>
              <w:keepNext/>
              <w:keepLines/>
              <w:spacing w:after="0" w:line="240" w:lineRule="auto"/>
              <w:jc w:val="right"/>
              <w:rPr>
                <w:rFonts w:ascii="Times New Roman" w:eastAsia="Times New Roman" w:hAnsi="Times New Roman"/>
                <w:b/>
                <w:noProof/>
              </w:rPr>
            </w:pPr>
            <w:r>
              <w:rPr>
                <w:rFonts w:ascii="Times New Roman" w:hAnsi="Times New Roman"/>
                <w:b/>
                <w:noProof/>
              </w:rPr>
              <w:t>6 486 996 064</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rPr>
                <w:rFonts w:ascii="Times New Roman" w:eastAsia="Times New Roman" w:hAnsi="Times New Roman"/>
                <w:noProof/>
              </w:rPr>
            </w:pPr>
            <w:r>
              <w:rPr>
                <w:rFonts w:ascii="Times New Roman" w:hAnsi="Times New Roman"/>
                <w:noProof/>
              </w:rPr>
              <w:t>Anvendte bevillinger i 2015</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keepNext/>
              <w:keepLines/>
              <w:spacing w:after="0" w:line="240" w:lineRule="auto"/>
              <w:jc w:val="right"/>
              <w:rPr>
                <w:rFonts w:ascii="Times New Roman" w:eastAsia="Times New Roman" w:hAnsi="Times New Roman"/>
                <w:noProof/>
              </w:rPr>
            </w:pPr>
            <w:r>
              <w:rPr>
                <w:rFonts w:ascii="Times New Roman" w:hAnsi="Times New Roman"/>
                <w:noProof/>
              </w:rPr>
              <w:t>6 464 298 560</w:t>
            </w:r>
          </w:p>
        </w:tc>
      </w:tr>
      <w:tr>
        <w:trPr>
          <w:trHeight w:val="315"/>
        </w:trPr>
        <w:tc>
          <w:tcPr>
            <w:tcW w:w="8040" w:type="dxa"/>
            <w:gridSpan w:val="2"/>
            <w:tcBorders>
              <w:top w:val="single" w:sz="4" w:space="0" w:color="auto"/>
              <w:left w:val="single" w:sz="4" w:space="0" w:color="auto"/>
              <w:bottom w:val="single" w:sz="4" w:space="0" w:color="auto"/>
              <w:right w:val="single" w:sz="4" w:space="0" w:color="auto"/>
            </w:tcBorders>
            <w:shd w:val="pct60" w:color="FFFF00" w:fill="auto"/>
            <w:vAlign w:val="center"/>
          </w:tcPr>
          <w:p>
            <w:pPr>
              <w:spacing w:before="120" w:after="0" w:line="240" w:lineRule="auto"/>
              <w:jc w:val="center"/>
              <w:rPr>
                <w:rFonts w:ascii="Times New Roman" w:eastAsia="Times New Roman" w:hAnsi="Times New Roman"/>
                <w:b/>
                <w:bCs/>
                <w:noProof/>
              </w:rPr>
            </w:pPr>
            <w:r>
              <w:rPr>
                <w:rFonts w:ascii="Times New Roman" w:hAnsi="Times New Roman"/>
                <w:b/>
                <w:noProof/>
              </w:rPr>
              <w:t>ELFUL (2014-2020)</w:t>
            </w:r>
          </w:p>
          <w:p>
            <w:pPr>
              <w:spacing w:after="120" w:line="240" w:lineRule="auto"/>
              <w:jc w:val="center"/>
              <w:rPr>
                <w:rFonts w:ascii="Times New Roman" w:eastAsia="Times New Roman" w:hAnsi="Times New Roman"/>
                <w:b/>
                <w:bCs/>
                <w:noProof/>
              </w:rPr>
            </w:pPr>
            <w:r>
              <w:rPr>
                <w:rFonts w:ascii="Times New Roman" w:hAnsi="Times New Roman"/>
                <w:b/>
                <w:noProof/>
              </w:rPr>
              <w:t>Budgetkonto - 05.046001</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spacing w:after="0" w:line="240" w:lineRule="auto"/>
              <w:rPr>
                <w:rFonts w:ascii="Times New Roman" w:eastAsia="Times New Roman" w:hAnsi="Times New Roman"/>
                <w:b/>
                <w:noProof/>
              </w:rPr>
            </w:pPr>
            <w:r>
              <w:rPr>
                <w:rFonts w:ascii="Times New Roman" w:hAnsi="Times New Roman"/>
                <w:b/>
                <w:noProof/>
              </w:rPr>
              <w:t>Disponible bevillinger i 2015</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spacing w:after="0" w:line="240" w:lineRule="auto"/>
              <w:jc w:val="right"/>
              <w:rPr>
                <w:rFonts w:ascii="Times New Roman" w:eastAsia="Times New Roman" w:hAnsi="Times New Roman"/>
                <w:b/>
                <w:noProof/>
              </w:rPr>
            </w:pPr>
            <w:r>
              <w:rPr>
                <w:rFonts w:ascii="Times New Roman" w:hAnsi="Times New Roman"/>
                <w:b/>
                <w:noProof/>
              </w:rPr>
              <w:t>5 252 192 422</w:t>
            </w:r>
          </w:p>
        </w:tc>
      </w:tr>
      <w:tr>
        <w:trPr>
          <w:trHeight w:val="315"/>
        </w:trPr>
        <w:tc>
          <w:tcPr>
            <w:tcW w:w="5640" w:type="dxa"/>
            <w:tcBorders>
              <w:top w:val="single" w:sz="4" w:space="0" w:color="auto"/>
              <w:left w:val="single" w:sz="4" w:space="0" w:color="auto"/>
              <w:bottom w:val="single" w:sz="4" w:space="0" w:color="auto"/>
              <w:right w:val="single" w:sz="4" w:space="0" w:color="auto"/>
            </w:tcBorders>
            <w:shd w:val="clear" w:color="auto" w:fill="auto"/>
            <w:vAlign w:val="center"/>
          </w:tcPr>
          <w:p>
            <w:pPr>
              <w:spacing w:after="0" w:line="240" w:lineRule="auto"/>
              <w:rPr>
                <w:rFonts w:ascii="Times New Roman" w:eastAsia="Times New Roman" w:hAnsi="Times New Roman"/>
                <w:noProof/>
              </w:rPr>
            </w:pPr>
            <w:r>
              <w:rPr>
                <w:rFonts w:ascii="Times New Roman" w:hAnsi="Times New Roman"/>
                <w:noProof/>
              </w:rPr>
              <w:t>Anvendte bevillinger i 2015</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pPr>
              <w:spacing w:after="0" w:line="240" w:lineRule="auto"/>
              <w:jc w:val="right"/>
              <w:rPr>
                <w:rFonts w:ascii="Times New Roman" w:eastAsia="Times New Roman" w:hAnsi="Times New Roman"/>
                <w:noProof/>
              </w:rPr>
            </w:pPr>
            <w:r>
              <w:rPr>
                <w:rFonts w:ascii="Times New Roman" w:hAnsi="Times New Roman"/>
                <w:noProof/>
              </w:rPr>
              <w:t>5 252 192 422</w:t>
            </w:r>
          </w:p>
        </w:tc>
      </w:tr>
    </w:tbl>
    <w:p>
      <w:pPr>
        <w:spacing w:before="120" w:after="120" w:line="240" w:lineRule="auto"/>
        <w:ind w:left="850"/>
        <w:jc w:val="both"/>
        <w:rPr>
          <w:rFonts w:ascii="Times New Roman" w:eastAsia="Times New Roman" w:hAnsi="Times New Roman"/>
          <w:noProof/>
          <w:sz w:val="24"/>
        </w:rPr>
      </w:pPr>
    </w:p>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49" w:name="_Toc331167068"/>
      <w:bookmarkStart w:id="50" w:name="_Toc393127476"/>
      <w:bookmarkStart w:id="51" w:name="_Toc457569415"/>
      <w:bookmarkStart w:id="52" w:name="_Toc461194998"/>
      <w:bookmarkEnd w:id="48"/>
      <w:r>
        <w:rPr>
          <w:rFonts w:ascii="Times New Roman" w:hAnsi="Times New Roman"/>
          <w:i/>
          <w:noProof/>
          <w:sz w:val="24"/>
        </w:rPr>
        <w:t>2.2.2.</w:t>
      </w:r>
      <w:r>
        <w:rPr>
          <w:noProof/>
        </w:rPr>
        <w:tab/>
      </w:r>
      <w:r>
        <w:rPr>
          <w:rFonts w:ascii="Times New Roman" w:hAnsi="Times New Roman"/>
          <w:i/>
          <w:noProof/>
          <w:sz w:val="24"/>
        </w:rPr>
        <w:t>Teknisk bistand</w:t>
      </w:r>
      <w:bookmarkEnd w:id="49"/>
      <w:bookmarkEnd w:id="50"/>
      <w:bookmarkEnd w:id="51"/>
      <w:bookmarkEnd w:id="52"/>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I 2015 androg de samlede betalingsbevillinger 19,8 mio. EUR. Derudover blev der fremført 0,2 mio. EUR fra 2014 til at dække udestående behov for 2007-2013 på post 05.040502. De samlede betalinger androg 8,9 mio. EUR, mens der blev omfordelt 8,8 mio. EUR gennem interne overførsler til at styrke programmer fra perioden 2000-2006 og perioden 2007-2013.</w:t>
      </w:r>
    </w:p>
    <w:p>
      <w:pPr>
        <w:keepNext/>
        <w:tabs>
          <w:tab w:val="left" w:pos="850"/>
        </w:tabs>
        <w:spacing w:before="360" w:after="120" w:line="240" w:lineRule="auto"/>
        <w:ind w:left="850" w:right="749" w:hanging="850"/>
        <w:jc w:val="both"/>
        <w:outlineLvl w:val="0"/>
        <w:rPr>
          <w:rFonts w:ascii="Times New Roman" w:eastAsia="Times New Roman" w:hAnsi="Times New Roman"/>
          <w:b/>
          <w:smallCaps/>
          <w:noProof/>
          <w:sz w:val="24"/>
        </w:rPr>
      </w:pPr>
      <w:bookmarkStart w:id="53" w:name="_Toc331167069"/>
      <w:bookmarkStart w:id="54" w:name="_Toc393127477"/>
      <w:bookmarkStart w:id="55" w:name="_Toc457569416"/>
      <w:bookmarkStart w:id="56" w:name="_Toc461194999"/>
      <w:r>
        <w:rPr>
          <w:rFonts w:ascii="Times New Roman" w:hAnsi="Times New Roman"/>
          <w:b/>
          <w:smallCaps/>
          <w:noProof/>
          <w:sz w:val="24"/>
        </w:rPr>
        <w:t>3.</w:t>
      </w:r>
      <w:r>
        <w:rPr>
          <w:noProof/>
        </w:rPr>
        <w:tab/>
      </w:r>
      <w:r>
        <w:rPr>
          <w:rFonts w:ascii="Times New Roman" w:hAnsi="Times New Roman"/>
          <w:b/>
          <w:smallCaps/>
          <w:noProof/>
          <w:sz w:val="24"/>
        </w:rPr>
        <w:t>Gennemførelse af ELFUL-budgettet for 2015</w:t>
      </w:r>
      <w:bookmarkEnd w:id="53"/>
      <w:bookmarkEnd w:id="54"/>
      <w:bookmarkEnd w:id="55"/>
      <w:bookmarkEnd w:id="56"/>
    </w:p>
    <w:p>
      <w:pPr>
        <w:keepNext/>
        <w:tabs>
          <w:tab w:val="left" w:pos="850"/>
        </w:tabs>
        <w:spacing w:before="240" w:after="120" w:line="240" w:lineRule="auto"/>
        <w:ind w:left="850" w:right="749" w:hanging="850"/>
        <w:jc w:val="both"/>
        <w:outlineLvl w:val="1"/>
        <w:rPr>
          <w:rFonts w:ascii="Times New Roman" w:eastAsia="Times New Roman" w:hAnsi="Times New Roman"/>
          <w:b/>
          <w:noProof/>
          <w:sz w:val="24"/>
        </w:rPr>
      </w:pPr>
      <w:bookmarkStart w:id="57" w:name="_Toc331167071"/>
      <w:bookmarkStart w:id="58" w:name="_Toc393127479"/>
      <w:bookmarkStart w:id="59" w:name="_Toc457569417"/>
      <w:bookmarkStart w:id="60" w:name="_Toc461195000"/>
      <w:r>
        <w:rPr>
          <w:rFonts w:ascii="Times New Roman" w:hAnsi="Times New Roman"/>
          <w:b/>
          <w:noProof/>
          <w:sz w:val="24"/>
        </w:rPr>
        <w:t>3.1.</w:t>
      </w:r>
      <w:r>
        <w:rPr>
          <w:noProof/>
        </w:rPr>
        <w:tab/>
      </w:r>
      <w:r>
        <w:rPr>
          <w:rFonts w:ascii="Times New Roman" w:hAnsi="Times New Roman"/>
          <w:b/>
          <w:noProof/>
          <w:sz w:val="24"/>
        </w:rPr>
        <w:t>Gennemførelse af forpligtelsesbevillinger</w:t>
      </w:r>
      <w:bookmarkEnd w:id="57"/>
      <w:bookmarkEnd w:id="58"/>
      <w:bookmarkEnd w:id="59"/>
      <w:bookmarkEnd w:id="60"/>
    </w:p>
    <w:p>
      <w:pPr>
        <w:keepNext/>
        <w:tabs>
          <w:tab w:val="left" w:pos="850"/>
        </w:tabs>
        <w:spacing w:before="240" w:after="120" w:line="240" w:lineRule="auto"/>
        <w:ind w:left="850" w:right="749" w:hanging="850"/>
        <w:jc w:val="both"/>
        <w:outlineLvl w:val="2"/>
        <w:rPr>
          <w:rFonts w:ascii="Times New Roman" w:eastAsia="Times New Roman" w:hAnsi="Times New Roman"/>
          <w:i/>
          <w:noProof/>
          <w:sz w:val="24"/>
        </w:rPr>
      </w:pPr>
      <w:bookmarkStart w:id="61" w:name="_Toc331167072"/>
      <w:bookmarkStart w:id="62" w:name="_Toc393127480"/>
      <w:bookmarkStart w:id="63" w:name="_Toc457569418"/>
      <w:bookmarkStart w:id="64" w:name="_Toc461195001"/>
      <w:r>
        <w:rPr>
          <w:rFonts w:ascii="Times New Roman" w:hAnsi="Times New Roman"/>
          <w:i/>
          <w:noProof/>
          <w:sz w:val="24"/>
        </w:rPr>
        <w:t>3.1.1.</w:t>
      </w:r>
      <w:r>
        <w:rPr>
          <w:noProof/>
        </w:rPr>
        <w:tab/>
      </w:r>
      <w:r>
        <w:rPr>
          <w:rFonts w:ascii="Times New Roman" w:hAnsi="Times New Roman"/>
          <w:i/>
          <w:noProof/>
          <w:sz w:val="24"/>
        </w:rPr>
        <w:t>ELFUL-programmer til udvikling af landdistrikterne</w:t>
      </w:r>
      <w:bookmarkEnd w:id="61"/>
      <w:bookmarkEnd w:id="62"/>
      <w:bookmarkEnd w:id="63"/>
      <w:bookmarkEnd w:id="64"/>
    </w:p>
    <w:p>
      <w:pPr>
        <w:spacing w:before="120" w:after="240" w:line="240" w:lineRule="auto"/>
        <w:ind w:left="850" w:right="71"/>
        <w:jc w:val="both"/>
        <w:rPr>
          <w:rFonts w:ascii="Times New Roman" w:eastAsia="Times New Roman" w:hAnsi="Times New Roman"/>
          <w:noProof/>
          <w:sz w:val="24"/>
        </w:rPr>
      </w:pPr>
      <w:r>
        <w:rPr>
          <w:rFonts w:ascii="Times New Roman" w:hAnsi="Times New Roman"/>
          <w:noProof/>
          <w:sz w:val="24"/>
        </w:rPr>
        <w:t>I 2015 var der kun afsat forpligtelsesbevillinger til ELFUL-programmer for perioden 2014-2020, som i alt androg 20 120 mio. EUR. Der blev indgået forpligtelser for hele beløbet. I tabel 7 vises bevillingerne for hver medlemsstat som fastsat i forordning (EU) nr. 1305/2013 af 17. december 2013 som ændret ved Kommissionens delegerede forordning (EU) 2015/791 af 27. april 2015 (dvs. inklusive omprogrammeringen), de beløb, der blev fremført fra 2014 til 2015 samt de beløb, der blev indgået forpligtelser for i 2015.</w:t>
      </w:r>
    </w:p>
    <w:p>
      <w:pPr>
        <w:spacing w:before="120" w:after="120" w:line="240" w:lineRule="auto"/>
        <w:ind w:left="850"/>
        <w:jc w:val="both"/>
        <w:rPr>
          <w:rFonts w:ascii="Times New Roman" w:eastAsia="Times New Roman" w:hAnsi="Times New Roman"/>
          <w:noProof/>
          <w:sz w:val="24"/>
        </w:rPr>
      </w:pPr>
      <w:bookmarkStart w:id="65" w:name="OLE_LINK10"/>
      <w:r>
        <w:rPr>
          <w:rFonts w:ascii="Times New Roman" w:hAnsi="Times New Roman"/>
          <w:noProof/>
          <w:sz w:val="24"/>
        </w:rPr>
        <w:t>Tabel 7</w:t>
      </w:r>
    </w:p>
    <w:tbl>
      <w:tblPr>
        <w:tblW w:w="7810" w:type="dxa"/>
        <w:tblInd w:w="642" w:type="dxa"/>
        <w:tblLook w:val="04A0" w:firstRow="1" w:lastRow="0" w:firstColumn="1" w:lastColumn="0" w:noHBand="0" w:noVBand="1"/>
      </w:tblPr>
      <w:tblGrid>
        <w:gridCol w:w="960"/>
        <w:gridCol w:w="2146"/>
        <w:gridCol w:w="2304"/>
        <w:gridCol w:w="2400"/>
      </w:tblGrid>
      <w:tr>
        <w:trPr>
          <w:trHeight w:val="562"/>
        </w:trPr>
        <w:tc>
          <w:tcPr>
            <w:tcW w:w="7810" w:type="dxa"/>
            <w:gridSpan w:val="4"/>
            <w:tcBorders>
              <w:top w:val="single" w:sz="4" w:space="0" w:color="auto"/>
              <w:left w:val="single" w:sz="4" w:space="0" w:color="auto"/>
              <w:bottom w:val="single" w:sz="4" w:space="0" w:color="auto"/>
              <w:right w:val="single" w:sz="4" w:space="0" w:color="auto"/>
            </w:tcBorders>
            <w:shd w:val="clear" w:color="000000" w:fill="FFFF99"/>
            <w:vAlign w:val="center"/>
            <w:hideMark/>
          </w:tcPr>
          <w:p>
            <w:pPr>
              <w:spacing w:after="0" w:line="240" w:lineRule="auto"/>
              <w:rPr>
                <w:rFonts w:ascii="Times New Roman" w:eastAsia="Times New Roman" w:hAnsi="Times New Roman"/>
                <w:b/>
                <w:bCs/>
                <w:i/>
                <w:iCs/>
                <w:noProof/>
              </w:rPr>
            </w:pPr>
            <w:r>
              <w:rPr>
                <w:rFonts w:ascii="Times New Roman" w:hAnsi="Times New Roman"/>
                <w:b/>
                <w:i/>
                <w:noProof/>
              </w:rPr>
              <w:t>Forordning (EU) nr. 1305/2013 (som ændret) i forhold til beløb, der var indgået forpligtelser for ved udgangen af 2015</w:t>
            </w:r>
          </w:p>
        </w:tc>
      </w:tr>
      <w:tr>
        <w:trPr>
          <w:trHeight w:val="270"/>
        </w:trPr>
        <w:tc>
          <w:tcPr>
            <w:tcW w:w="3106" w:type="dxa"/>
            <w:gridSpan w:val="2"/>
            <w:tcBorders>
              <w:top w:val="single" w:sz="4" w:space="0" w:color="auto"/>
              <w:left w:val="single" w:sz="8" w:space="0" w:color="auto"/>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Budgetkonto: 05.046001</w:t>
            </w:r>
          </w:p>
        </w:tc>
        <w:tc>
          <w:tcPr>
            <w:tcW w:w="2304" w:type="dxa"/>
            <w:tcBorders>
              <w:top w:val="single" w:sz="4" w:space="0" w:color="auto"/>
              <w:left w:val="nil"/>
              <w:bottom w:val="single" w:sz="8" w:space="0" w:color="auto"/>
              <w:right w:val="nil"/>
            </w:tcBorders>
            <w:shd w:val="clear" w:color="auto" w:fill="auto"/>
            <w:noWrap/>
            <w:vAlign w:val="center"/>
            <w:hideMark/>
          </w:tcPr>
          <w:p>
            <w:pPr>
              <w:spacing w:after="0" w:line="240" w:lineRule="auto"/>
              <w:rPr>
                <w:rFonts w:ascii="Times New Roman" w:eastAsia="Times New Roman" w:hAnsi="Times New Roman"/>
                <w:noProof/>
                <w:sz w:val="20"/>
                <w:szCs w:val="20"/>
              </w:rPr>
            </w:pPr>
          </w:p>
        </w:tc>
        <w:tc>
          <w:tcPr>
            <w:tcW w:w="2400" w:type="dxa"/>
            <w:tcBorders>
              <w:top w:val="single" w:sz="4" w:space="0" w:color="auto"/>
              <w:left w:val="nil"/>
              <w:bottom w:val="single" w:sz="8" w:space="0" w:color="auto"/>
              <w:right w:val="single" w:sz="8" w:space="0" w:color="auto"/>
            </w:tcBorders>
            <w:shd w:val="clear" w:color="auto" w:fill="auto"/>
            <w:vAlign w:val="center"/>
            <w:hideMark/>
          </w:tcPr>
          <w:p>
            <w:pPr>
              <w:spacing w:after="0" w:line="240" w:lineRule="auto"/>
              <w:jc w:val="center"/>
              <w:rPr>
                <w:rFonts w:ascii="Times New Roman" w:eastAsia="Times New Roman" w:hAnsi="Times New Roman"/>
                <w:i/>
                <w:iCs/>
                <w:noProof/>
                <w:sz w:val="20"/>
                <w:szCs w:val="20"/>
              </w:rPr>
            </w:pPr>
            <w:r>
              <w:rPr>
                <w:rFonts w:ascii="Times New Roman" w:hAnsi="Times New Roman"/>
                <w:i/>
                <w:noProof/>
                <w:sz w:val="20"/>
              </w:rPr>
              <w:t>(EUR)</w:t>
            </w:r>
          </w:p>
        </w:tc>
      </w:tr>
      <w:tr>
        <w:trPr>
          <w:trHeight w:val="778"/>
        </w:trPr>
        <w:tc>
          <w:tcPr>
            <w:tcW w:w="960" w:type="dxa"/>
            <w:tcBorders>
              <w:top w:val="single" w:sz="8" w:space="0" w:color="auto"/>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MS</w:t>
            </w:r>
          </w:p>
        </w:tc>
        <w:tc>
          <w:tcPr>
            <w:tcW w:w="2146" w:type="dxa"/>
            <w:tcBorders>
              <w:top w:val="single" w:sz="8" w:space="0" w:color="auto"/>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 xml:space="preserve">Forordning (EU) </w:t>
            </w:r>
            <w:r>
              <w:rPr>
                <w:rFonts w:ascii="Times New Roman" w:hAnsi="Times New Roman"/>
                <w:b/>
                <w:noProof/>
                <w:sz w:val="20"/>
              </w:rPr>
              <w:br/>
              <w:t>nr. 1305/2013</w:t>
            </w:r>
            <w:r>
              <w:rPr>
                <w:rFonts w:ascii="Times New Roman" w:eastAsia="Times New Roman" w:hAnsi="Times New Roman"/>
                <w:b/>
                <w:bCs/>
                <w:noProof/>
                <w:sz w:val="20"/>
                <w:szCs w:val="20"/>
              </w:rPr>
              <w:br/>
            </w:r>
            <w:r>
              <w:rPr>
                <w:rFonts w:ascii="Times New Roman" w:hAnsi="Times New Roman"/>
                <w:b/>
                <w:noProof/>
                <w:sz w:val="20"/>
              </w:rPr>
              <w:t>2015-bevillinger</w:t>
            </w:r>
          </w:p>
        </w:tc>
        <w:tc>
          <w:tcPr>
            <w:tcW w:w="2304" w:type="dxa"/>
            <w:tcBorders>
              <w:top w:val="single" w:sz="8" w:space="0" w:color="auto"/>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Beløb fremført til forpligtelse i 2015</w:t>
            </w:r>
          </w:p>
        </w:tc>
        <w:tc>
          <w:tcPr>
            <w:tcW w:w="2400" w:type="dxa"/>
            <w:tcBorders>
              <w:top w:val="single" w:sz="8" w:space="0" w:color="auto"/>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Beløb, der blev indgået forpligtelser for i 2015</w:t>
            </w:r>
          </w:p>
        </w:tc>
      </w:tr>
      <w:tr>
        <w:trPr>
          <w:trHeight w:val="270"/>
        </w:trPr>
        <w:tc>
          <w:tcPr>
            <w:tcW w:w="960" w:type="dxa"/>
            <w:tcBorders>
              <w:top w:val="single" w:sz="8" w:space="0" w:color="auto"/>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p>
        </w:tc>
        <w:tc>
          <w:tcPr>
            <w:tcW w:w="2146" w:type="dxa"/>
            <w:tcBorders>
              <w:top w:val="single" w:sz="8" w:space="0" w:color="auto"/>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(a)</w:t>
            </w:r>
          </w:p>
        </w:tc>
        <w:tc>
          <w:tcPr>
            <w:tcW w:w="2304" w:type="dxa"/>
            <w:tcBorders>
              <w:top w:val="single" w:sz="8" w:space="0" w:color="auto"/>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(b)</w:t>
            </w:r>
          </w:p>
        </w:tc>
        <w:tc>
          <w:tcPr>
            <w:tcW w:w="2400" w:type="dxa"/>
            <w:tcBorders>
              <w:top w:val="single" w:sz="8" w:space="0" w:color="auto"/>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(c=a+b)</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AT</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559 329 914</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559 329 914</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BE</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97 243 257</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40 855 562</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138 098 819</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BG</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502 807 341</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502 807 341</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CY</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28 341 472</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28 341 472</w:t>
            </w:r>
          </w:p>
        </w:tc>
      </w:tr>
      <w:tr>
        <w:trPr>
          <w:trHeight w:val="20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CZ</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470 143 771</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470 143 771</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DE</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1 498 240 410</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429 631 210</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1 927 871 620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DK</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90 168 920</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90 168 920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EE</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103 651 030</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103 626 144</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207 277 174</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ES</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1 780 169 908</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1 780 169 908</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FI</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336 933 734</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2 918 336</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339 852 070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FR</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2 336 138 618</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4 353 019</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2 340 491 637</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GR</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907 059 608</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907 059 608</w:t>
            </w:r>
          </w:p>
        </w:tc>
      </w:tr>
      <w:tr>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HR</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w:eastAsia="Times New Roman" w:hAnsi="Times" w:cs="Calibri"/>
                <w:noProof/>
              </w:rPr>
            </w:pPr>
            <w:r>
              <w:rPr>
                <w:rFonts w:ascii="Times" w:hAnsi="Times"/>
                <w:noProof/>
              </w:rPr>
              <w:t>448 426 250</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448 426 250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HU</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742 851 235</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742 851 235</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IE</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469 633 941</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469 633 941</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IT</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2 223 480 180</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2 223 480 180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LT</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230 412 316</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230 392 975</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460 805 291</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LU</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21 385 468</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21 385 468</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LV</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150 968 424</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138 327 376</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289 295 800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MT</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20 905 107</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20 905 107</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NL</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87 003 509</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87 118 078</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174 121 587</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PL</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1 175 590 560</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1 175 590 560</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PT</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577 895 019</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67 508 413</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645 403 432</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RO</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1 723 260 662</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1 723 260 662</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SE</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386 944 025</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386 944 025</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SI</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119 006 876</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118 678 072</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237 684 948</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SK</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213 101 979</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271 154 575</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484 256 554</w:t>
            </w:r>
          </w:p>
        </w:tc>
      </w:tr>
      <w:tr>
        <w:trPr>
          <w:trHeight w:val="27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8"/>
                <w:szCs w:val="18"/>
              </w:rPr>
            </w:pPr>
            <w:r>
              <w:rPr>
                <w:rFonts w:ascii="Times New Roman" w:hAnsi="Times New Roman"/>
                <w:noProof/>
                <w:sz w:val="18"/>
              </w:rPr>
              <w:t>UK</w:t>
            </w:r>
          </w:p>
        </w:tc>
        <w:tc>
          <w:tcPr>
            <w:tcW w:w="21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848 443 195</w:t>
            </w:r>
          </w:p>
        </w:tc>
        <w:tc>
          <w:tcPr>
            <w:tcW w:w="2304"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475 531 544</w:t>
            </w:r>
          </w:p>
        </w:tc>
        <w:tc>
          <w:tcPr>
            <w:tcW w:w="240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1 323 974 739</w:t>
            </w:r>
          </w:p>
        </w:tc>
      </w:tr>
      <w:tr>
        <w:trPr>
          <w:trHeight w:val="270"/>
        </w:trPr>
        <w:tc>
          <w:tcPr>
            <w:tcW w:w="96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I alt</w:t>
            </w:r>
          </w:p>
        </w:tc>
        <w:tc>
          <w:tcPr>
            <w:tcW w:w="2146"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18 149 536 729</w:t>
            </w:r>
          </w:p>
        </w:tc>
        <w:tc>
          <w:tcPr>
            <w:tcW w:w="2304" w:type="dxa"/>
            <w:tcBorders>
              <w:top w:val="nil"/>
              <w:left w:val="nil"/>
              <w:bottom w:val="single" w:sz="8" w:space="0" w:color="auto"/>
              <w:right w:val="single" w:sz="8" w:space="0" w:color="auto"/>
            </w:tcBorders>
            <w:shd w:val="clear" w:color="000000" w:fill="FFFF99"/>
            <w:noWrap/>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1 970 095 304</w:t>
            </w:r>
          </w:p>
        </w:tc>
        <w:tc>
          <w:tcPr>
            <w:tcW w:w="2400" w:type="dxa"/>
            <w:tcBorders>
              <w:top w:val="nil"/>
              <w:left w:val="nil"/>
              <w:bottom w:val="single" w:sz="8" w:space="0" w:color="auto"/>
              <w:right w:val="single" w:sz="8" w:space="0" w:color="auto"/>
            </w:tcBorders>
            <w:shd w:val="clear" w:color="000000" w:fill="FFFF99"/>
            <w:noWrap/>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20 119 632 033</w:t>
            </w:r>
          </w:p>
        </w:tc>
      </w:tr>
    </w:tbl>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66" w:name="_Toc331167073"/>
      <w:bookmarkStart w:id="67" w:name="_Toc393127481"/>
      <w:bookmarkStart w:id="68" w:name="_Toc457569419"/>
      <w:bookmarkStart w:id="69" w:name="_Toc461195002"/>
      <w:bookmarkEnd w:id="65"/>
      <w:r>
        <w:rPr>
          <w:rFonts w:ascii="Times New Roman" w:hAnsi="Times New Roman"/>
          <w:i/>
          <w:noProof/>
          <w:sz w:val="24"/>
        </w:rPr>
        <w:t>3.1.2.</w:t>
      </w:r>
      <w:r>
        <w:rPr>
          <w:noProof/>
        </w:rPr>
        <w:tab/>
      </w:r>
      <w:r>
        <w:rPr>
          <w:rFonts w:ascii="Times New Roman" w:hAnsi="Times New Roman"/>
          <w:i/>
          <w:noProof/>
          <w:sz w:val="24"/>
        </w:rPr>
        <w:t>Teknisk bistand</w:t>
      </w:r>
      <w:bookmarkEnd w:id="66"/>
      <w:bookmarkEnd w:id="67"/>
      <w:bookmarkEnd w:id="68"/>
      <w:bookmarkEnd w:id="69"/>
    </w:p>
    <w:p>
      <w:pPr>
        <w:spacing w:before="120" w:after="240" w:line="240" w:lineRule="auto"/>
        <w:ind w:left="851" w:right="71"/>
        <w:jc w:val="both"/>
        <w:rPr>
          <w:rFonts w:ascii="Times New Roman" w:eastAsia="Times New Roman" w:hAnsi="Times New Roman"/>
          <w:noProof/>
          <w:sz w:val="24"/>
        </w:rPr>
      </w:pPr>
      <w:r>
        <w:rPr>
          <w:rFonts w:ascii="Times New Roman" w:hAnsi="Times New Roman"/>
          <w:noProof/>
          <w:sz w:val="24"/>
        </w:rPr>
        <w:t>Tabel 8 viser udnyttelsen af disponible forpligtelsesbevillinger til teknisk bistand i 2015. Størstedelen vedrører det europæiske netværk for udvikling af landdistrikter.</w:t>
      </w:r>
    </w:p>
    <w:p>
      <w:pPr>
        <w:keepNext/>
        <w:keepLines/>
        <w:spacing w:before="120" w:after="120" w:line="240" w:lineRule="auto"/>
        <w:ind w:left="850"/>
        <w:jc w:val="both"/>
        <w:rPr>
          <w:rFonts w:ascii="Times New Roman" w:eastAsia="Times New Roman" w:hAnsi="Times New Roman"/>
          <w:noProof/>
          <w:sz w:val="24"/>
        </w:rPr>
      </w:pPr>
      <w:bookmarkStart w:id="70" w:name="OLE_LINK11"/>
      <w:r>
        <w:rPr>
          <w:noProof/>
        </w:rPr>
        <w:br w:type="page"/>
      </w:r>
      <w:r>
        <w:rPr>
          <w:rFonts w:ascii="Times New Roman" w:hAnsi="Times New Roman"/>
          <w:noProof/>
          <w:sz w:val="24"/>
        </w:rPr>
        <w:t>Tabel 8</w:t>
      </w:r>
    </w:p>
    <w:tbl>
      <w:tblPr>
        <w:tblW w:w="8160" w:type="dxa"/>
        <w:tblInd w:w="948" w:type="dxa"/>
        <w:tblLook w:val="04A0" w:firstRow="1" w:lastRow="0" w:firstColumn="1" w:lastColumn="0" w:noHBand="0" w:noVBand="1"/>
      </w:tblPr>
      <w:tblGrid>
        <w:gridCol w:w="5640"/>
        <w:gridCol w:w="2520"/>
      </w:tblGrid>
      <w:tr>
        <w:trPr>
          <w:trHeight w:val="570"/>
        </w:trPr>
        <w:tc>
          <w:tcPr>
            <w:tcW w:w="8160" w:type="dxa"/>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bookmarkEnd w:id="70"/>
          <w:p>
            <w:pPr>
              <w:spacing w:after="0" w:line="240" w:lineRule="auto"/>
              <w:rPr>
                <w:rFonts w:ascii="Times New Roman" w:eastAsia="Times New Roman" w:hAnsi="Times New Roman"/>
                <w:b/>
                <w:bCs/>
                <w:i/>
                <w:iCs/>
                <w:noProof/>
              </w:rPr>
            </w:pPr>
            <w:r>
              <w:rPr>
                <w:rFonts w:ascii="Times New Roman" w:hAnsi="Times New Roman"/>
                <w:b/>
                <w:i/>
                <w:noProof/>
              </w:rPr>
              <w:t>Teknisk bistand – gennemførelse af forpligtelsesbevillinger</w:t>
            </w:r>
          </w:p>
        </w:tc>
      </w:tr>
      <w:tr>
        <w:trPr>
          <w:trHeight w:val="270"/>
        </w:trPr>
        <w:tc>
          <w:tcPr>
            <w:tcW w:w="5640" w:type="dxa"/>
            <w:tcBorders>
              <w:top w:val="nil"/>
              <w:left w:val="single" w:sz="4" w:space="0" w:color="auto"/>
              <w:bottom w:val="single" w:sz="4" w:space="0" w:color="auto"/>
            </w:tcBorders>
            <w:shd w:val="clear" w:color="auto" w:fill="auto"/>
            <w:noWrap/>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Budgetkonto: 05.046002</w:t>
            </w:r>
          </w:p>
        </w:tc>
        <w:tc>
          <w:tcPr>
            <w:tcW w:w="2520" w:type="dxa"/>
            <w:tcBorders>
              <w:top w:val="nil"/>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i/>
                <w:iCs/>
                <w:noProof/>
                <w:sz w:val="20"/>
                <w:szCs w:val="20"/>
              </w:rPr>
            </w:pPr>
            <w:r>
              <w:rPr>
                <w:rFonts w:ascii="Times New Roman" w:hAnsi="Times New Roman"/>
                <w:i/>
                <w:noProof/>
                <w:sz w:val="20"/>
              </w:rPr>
              <w:t xml:space="preserve"> (EUR) </w:t>
            </w:r>
          </w:p>
        </w:tc>
      </w:tr>
      <w:tr>
        <w:trPr>
          <w:trHeight w:val="525"/>
        </w:trPr>
        <w:tc>
          <w:tcPr>
            <w:tcW w:w="5640" w:type="dxa"/>
            <w:tcBorders>
              <w:top w:val="single" w:sz="4" w:space="0" w:color="auto"/>
              <w:left w:val="single" w:sz="4" w:space="0" w:color="auto"/>
              <w:bottom w:val="single" w:sz="4" w:space="0" w:color="auto"/>
              <w:right w:val="single" w:sz="4"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Beskrivelse</w:t>
            </w:r>
          </w:p>
        </w:tc>
        <w:tc>
          <w:tcPr>
            <w:tcW w:w="2520" w:type="dxa"/>
            <w:tcBorders>
              <w:top w:val="nil"/>
              <w:left w:val="nil"/>
              <w:bottom w:val="single" w:sz="4" w:space="0" w:color="auto"/>
              <w:right w:val="single" w:sz="4"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 xml:space="preserve">Beløb, der blev indgået forpligtelser for </w:t>
            </w:r>
          </w:p>
        </w:tc>
      </w:tr>
      <w:tr>
        <w:trPr>
          <w:trHeight w:val="525"/>
        </w:trPr>
        <w:tc>
          <w:tcPr>
            <w:tcW w:w="564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xml:space="preserve">Det europæiske netværk for landdistriktudvikling </w:t>
            </w:r>
          </w:p>
        </w:tc>
        <w:tc>
          <w:tcPr>
            <w:tcW w:w="2520" w:type="dxa"/>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5 199 163</w:t>
            </w:r>
          </w:p>
        </w:tc>
      </w:tr>
      <w:tr>
        <w:trPr>
          <w:trHeight w:val="284"/>
        </w:trPr>
        <w:tc>
          <w:tcPr>
            <w:tcW w:w="564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xml:space="preserve">Europæiske innovationspartnerskaber </w:t>
            </w:r>
          </w:p>
        </w:tc>
        <w:tc>
          <w:tcPr>
            <w:tcW w:w="2520" w:type="dxa"/>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2 567 966</w:t>
            </w:r>
          </w:p>
        </w:tc>
      </w:tr>
      <w:tr>
        <w:trPr>
          <w:trHeight w:val="270"/>
        </w:trPr>
        <w:tc>
          <w:tcPr>
            <w:tcW w:w="564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Informationsteknologi</w:t>
            </w:r>
          </w:p>
        </w:tc>
        <w:tc>
          <w:tcPr>
            <w:tcW w:w="2520" w:type="dxa"/>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2 381 032</w:t>
            </w:r>
          </w:p>
        </w:tc>
      </w:tr>
      <w:tr>
        <w:trPr>
          <w:trHeight w:val="525"/>
        </w:trPr>
        <w:tc>
          <w:tcPr>
            <w:tcW w:w="564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xml:space="preserve">Det europæiske evalueringsnetværk </w:t>
            </w:r>
          </w:p>
        </w:tc>
        <w:tc>
          <w:tcPr>
            <w:tcW w:w="2520" w:type="dxa"/>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1 845 650</w:t>
            </w:r>
          </w:p>
        </w:tc>
      </w:tr>
      <w:tr>
        <w:trPr>
          <w:trHeight w:val="270"/>
        </w:trPr>
        <w:tc>
          <w:tcPr>
            <w:tcW w:w="564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Arrangementer</w:t>
            </w:r>
          </w:p>
        </w:tc>
        <w:tc>
          <w:tcPr>
            <w:tcW w:w="2520" w:type="dxa"/>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366 780</w:t>
            </w:r>
          </w:p>
        </w:tc>
      </w:tr>
      <w:tr>
        <w:trPr>
          <w:trHeight w:val="270"/>
        </w:trPr>
        <w:tc>
          <w:tcPr>
            <w:tcW w:w="5640" w:type="dxa"/>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Revision og kontrol</w:t>
            </w:r>
          </w:p>
        </w:tc>
        <w:tc>
          <w:tcPr>
            <w:tcW w:w="2520" w:type="dxa"/>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159 900</w:t>
            </w:r>
          </w:p>
        </w:tc>
      </w:tr>
      <w:tr>
        <w:trPr>
          <w:trHeight w:val="525"/>
        </w:trPr>
        <w:tc>
          <w:tcPr>
            <w:tcW w:w="5640" w:type="dxa"/>
            <w:tcBorders>
              <w:top w:val="nil"/>
              <w:left w:val="single" w:sz="4" w:space="0" w:color="auto"/>
              <w:bottom w:val="single" w:sz="4" w:space="0" w:color="auto"/>
              <w:right w:val="single" w:sz="4" w:space="0" w:color="auto"/>
            </w:tcBorders>
            <w:shd w:val="clear" w:color="000000" w:fill="FFFF99"/>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I alt</w:t>
            </w:r>
          </w:p>
        </w:tc>
        <w:tc>
          <w:tcPr>
            <w:tcW w:w="2520" w:type="dxa"/>
            <w:tcBorders>
              <w:top w:val="nil"/>
              <w:left w:val="nil"/>
              <w:bottom w:val="single" w:sz="4" w:space="0" w:color="auto"/>
              <w:right w:val="single" w:sz="4" w:space="0" w:color="auto"/>
            </w:tcBorders>
            <w:shd w:val="clear" w:color="000000" w:fill="FFFF99"/>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12 520 491</w:t>
            </w:r>
          </w:p>
        </w:tc>
      </w:tr>
    </w:tbl>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71" w:name="_Toc331167074"/>
      <w:bookmarkStart w:id="72" w:name="_Toc393127482"/>
      <w:bookmarkStart w:id="73" w:name="_Toc457569420"/>
      <w:bookmarkStart w:id="74" w:name="_Toc461195003"/>
      <w:r>
        <w:rPr>
          <w:rFonts w:ascii="Times New Roman" w:hAnsi="Times New Roman"/>
          <w:b/>
          <w:noProof/>
          <w:sz w:val="24"/>
        </w:rPr>
        <w:t>3.2.</w:t>
      </w:r>
      <w:r>
        <w:rPr>
          <w:noProof/>
        </w:rPr>
        <w:tab/>
      </w:r>
      <w:r>
        <w:rPr>
          <w:rFonts w:ascii="Times New Roman" w:hAnsi="Times New Roman"/>
          <w:b/>
          <w:noProof/>
          <w:sz w:val="24"/>
        </w:rPr>
        <w:t>Gennemførelse af betalingsbevillinger</w:t>
      </w:r>
      <w:bookmarkEnd w:id="71"/>
      <w:bookmarkEnd w:id="72"/>
      <w:bookmarkEnd w:id="73"/>
      <w:bookmarkEnd w:id="74"/>
    </w:p>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75" w:name="_Toc331167075"/>
      <w:bookmarkStart w:id="76" w:name="_Toc393127483"/>
      <w:bookmarkStart w:id="77" w:name="_Toc457569421"/>
      <w:bookmarkStart w:id="78" w:name="_Toc461195004"/>
      <w:r>
        <w:rPr>
          <w:rFonts w:ascii="Times New Roman" w:hAnsi="Times New Roman"/>
          <w:i/>
          <w:noProof/>
          <w:sz w:val="24"/>
        </w:rPr>
        <w:t>3.2.1.</w:t>
      </w:r>
      <w:r>
        <w:rPr>
          <w:noProof/>
        </w:rPr>
        <w:tab/>
      </w:r>
      <w:r>
        <w:rPr>
          <w:rFonts w:ascii="Times New Roman" w:hAnsi="Times New Roman"/>
          <w:i/>
          <w:noProof/>
          <w:sz w:val="24"/>
        </w:rPr>
        <w:t>ELFUL-programmer til udvikling af landdistrikterne</w:t>
      </w:r>
      <w:bookmarkEnd w:id="75"/>
      <w:bookmarkEnd w:id="76"/>
      <w:bookmarkEnd w:id="77"/>
      <w:bookmarkEnd w:id="78"/>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 xml:space="preserve">For programmeringsperioden 2007-2013 blev alle de disponible betalingsbevillinger i budgettet (5 890 mio. EUR) udnyttet, med undtagelse af 4 mio. EUR, som blev overført først på året. Der blev gennemført betalinger for yderligere 577,9 mio. EUR med bevillinger fra teknisk bistand, formålsbestemte indtægter og en overførsel ved årets udgang. Ved udgangen af 2015 androg det samlede beløb til ELFUL for programmeringsperioden 2007-2013 6 464 mio. EUR. Alligevel var der ved udgangen af 2015 et betalingsefterslæb på 223 mio. EUR, som skulle betales i begyndelsen af 2016 med 2016-betalingsbevillinger. Der var taget højde for en betydelig del af dette efterslæb i budgettet for 2016. </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Hvad angår programmeringsperioden 2014-2020 blev alle betalingsbevillingerne anvendt (5 252 mio. EUR), heraf 1 945 mio. EUR til forfinansiering. Ved udgangen af 2015 var der et betalingsefterslæb på 462 mio. EUR, som blev betalt i begyndelsen af 2016 med 2016-betalingsbevillinger. Der var taget højde for en betydelig del af efterslæbet i budgettet for 2016.</w:t>
      </w:r>
    </w:p>
    <w:p>
      <w:pPr>
        <w:spacing w:before="120" w:after="120" w:line="240" w:lineRule="auto"/>
        <w:ind w:left="851" w:right="71"/>
        <w:jc w:val="both"/>
        <w:rPr>
          <w:rFonts w:ascii="Times New Roman" w:eastAsia="Times New Roman" w:hAnsi="Times New Roman"/>
          <w:noProof/>
          <w:sz w:val="24"/>
        </w:rPr>
      </w:pPr>
      <w:r>
        <w:rPr>
          <w:noProof/>
        </w:rPr>
        <w:br w:type="page"/>
      </w:r>
      <w:r>
        <w:rPr>
          <w:rFonts w:ascii="Times New Roman" w:hAnsi="Times New Roman"/>
          <w:noProof/>
          <w:sz w:val="24"/>
        </w:rPr>
        <w:t>Tabel 9 viser fordelingen af betalinger i 2015 på anmeldelsesperioder:</w:t>
      </w:r>
    </w:p>
    <w:p>
      <w:pPr>
        <w:pStyle w:val="Text1"/>
        <w:ind w:right="749"/>
        <w:rPr>
          <w:noProof/>
        </w:rPr>
      </w:pPr>
      <w:bookmarkStart w:id="79" w:name="OLE_LINK12"/>
      <w:r>
        <w:rPr>
          <w:noProof/>
        </w:rPr>
        <w:t>Tabel 9</w:t>
      </w:r>
    </w:p>
    <w:tbl>
      <w:tblPr>
        <w:tblW w:w="8160" w:type="dxa"/>
        <w:tblInd w:w="948" w:type="dxa"/>
        <w:tblLayout w:type="fixed"/>
        <w:tblLook w:val="04A0" w:firstRow="1" w:lastRow="0" w:firstColumn="1" w:lastColumn="0" w:noHBand="0" w:noVBand="1"/>
      </w:tblPr>
      <w:tblGrid>
        <w:gridCol w:w="4680"/>
        <w:gridCol w:w="1680"/>
        <w:gridCol w:w="1800"/>
      </w:tblGrid>
      <w:tr>
        <w:trPr>
          <w:trHeight w:val="810"/>
        </w:trPr>
        <w:tc>
          <w:tcPr>
            <w:tcW w:w="4680" w:type="dxa"/>
            <w:tcBorders>
              <w:top w:val="single" w:sz="8" w:space="0" w:color="auto"/>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i/>
                <w:iCs/>
                <w:noProof/>
              </w:rPr>
            </w:pPr>
            <w:r>
              <w:rPr>
                <w:rFonts w:ascii="Times New Roman" w:hAnsi="Times New Roman"/>
                <w:b/>
                <w:i/>
                <w:noProof/>
              </w:rPr>
              <w:t>Betalinger i 2015 til landdistriktsprogrammer under ELFUL (mio. EUR)</w:t>
            </w:r>
          </w:p>
        </w:tc>
        <w:tc>
          <w:tcPr>
            <w:tcW w:w="1680" w:type="dxa"/>
            <w:tcBorders>
              <w:top w:val="single" w:sz="8" w:space="0" w:color="auto"/>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i/>
                <w:iCs/>
                <w:noProof/>
              </w:rPr>
            </w:pPr>
            <w:r>
              <w:rPr>
                <w:rFonts w:ascii="Times New Roman" w:hAnsi="Times New Roman"/>
                <w:b/>
                <w:i/>
                <w:noProof/>
              </w:rPr>
              <w:t>2007-2013</w:t>
            </w:r>
          </w:p>
        </w:tc>
        <w:tc>
          <w:tcPr>
            <w:tcW w:w="1800" w:type="dxa"/>
            <w:tcBorders>
              <w:top w:val="single" w:sz="8" w:space="0" w:color="auto"/>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i/>
                <w:iCs/>
                <w:noProof/>
              </w:rPr>
            </w:pPr>
            <w:r>
              <w:rPr>
                <w:rFonts w:ascii="Times New Roman" w:hAnsi="Times New Roman"/>
                <w:b/>
                <w:i/>
                <w:noProof/>
              </w:rPr>
              <w:t>2014-2020</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Konto 05.040501</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Konto 05.046001</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Refusion af betalingsanmodninger før 4. kv. 2014</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2,08</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Refusion af betalingsanmodninger, 4. kv. 2014</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3 985,15</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818,18</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Refusion af betalingsanmodninger, 1. kv. 2015</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1 045,92</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810,43</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Refusion af betalingsanmodninger, 2. kv. 2015</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809,27</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1 280,04</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Refusion af betalingsanmodninger, 3. kv. 2015</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621,87</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398,30</w:t>
            </w:r>
          </w:p>
        </w:tc>
      </w:tr>
      <w:tr>
        <w:trPr>
          <w:trHeight w:val="270"/>
        </w:trPr>
        <w:tc>
          <w:tcPr>
            <w:tcW w:w="4680" w:type="dxa"/>
            <w:tcBorders>
              <w:top w:val="nil"/>
              <w:left w:val="single" w:sz="8" w:space="0" w:color="auto"/>
              <w:bottom w:val="single" w:sz="8" w:space="0" w:color="auto"/>
              <w:right w:val="single" w:sz="8"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Forfinansiering 2014-2020</w:t>
            </w:r>
          </w:p>
        </w:tc>
        <w:tc>
          <w:tcPr>
            <w:tcW w:w="168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0,00</w:t>
            </w:r>
          </w:p>
        </w:tc>
        <w:tc>
          <w:tcPr>
            <w:tcW w:w="1800" w:type="dxa"/>
            <w:tcBorders>
              <w:top w:val="nil"/>
              <w:left w:val="nil"/>
              <w:bottom w:val="single" w:sz="8" w:space="0" w:color="auto"/>
              <w:right w:val="single" w:sz="8"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1 945,25</w:t>
            </w:r>
          </w:p>
        </w:tc>
      </w:tr>
      <w:tr>
        <w:trPr>
          <w:trHeight w:val="270"/>
        </w:trPr>
        <w:tc>
          <w:tcPr>
            <w:tcW w:w="4680" w:type="dxa"/>
            <w:tcBorders>
              <w:top w:val="nil"/>
              <w:left w:val="single" w:sz="8" w:space="0" w:color="auto"/>
              <w:bottom w:val="single" w:sz="8" w:space="0" w:color="auto"/>
              <w:right w:val="single" w:sz="8" w:space="0" w:color="auto"/>
            </w:tcBorders>
            <w:shd w:val="clear" w:color="000000" w:fill="FFFF99"/>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I alt 2015</w:t>
            </w:r>
          </w:p>
        </w:tc>
        <w:tc>
          <w:tcPr>
            <w:tcW w:w="168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6 464,30</w:t>
            </w:r>
          </w:p>
        </w:tc>
        <w:tc>
          <w:tcPr>
            <w:tcW w:w="180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5 252,19</w:t>
            </w:r>
          </w:p>
        </w:tc>
      </w:tr>
    </w:tbl>
    <w:bookmarkEnd w:id="79"/>
    <w:p>
      <w:pPr>
        <w:spacing w:before="120" w:after="120" w:line="240" w:lineRule="auto"/>
        <w:ind w:left="850" w:right="71"/>
        <w:jc w:val="both"/>
        <w:rPr>
          <w:rFonts w:ascii="Times New Roman" w:eastAsia="Times New Roman" w:hAnsi="Times New Roman"/>
          <w:noProof/>
          <w:color w:val="000000"/>
          <w:sz w:val="24"/>
        </w:rPr>
      </w:pPr>
      <w:r>
        <w:rPr>
          <w:rFonts w:ascii="Times New Roman" w:hAnsi="Times New Roman"/>
          <w:noProof/>
          <w:color w:val="000000"/>
          <w:sz w:val="24"/>
        </w:rPr>
        <w:t xml:space="preserve">Det månedlige forbrug af betalingsbevillinger i årets løb (januar til december 2015) fremgår af nedenstående figur. </w:t>
      </w:r>
    </w:p>
    <w:p>
      <w:pPr>
        <w:spacing w:before="120" w:after="120" w:line="240" w:lineRule="auto"/>
        <w:ind w:left="840"/>
        <w:jc w:val="both"/>
        <w:rPr>
          <w:rFonts w:ascii="Times New Roman" w:eastAsia="Times New Roman" w:hAnsi="Times New Roman"/>
          <w:noProof/>
          <w:color w:val="000000"/>
          <w:sz w:val="24"/>
        </w:rPr>
      </w:pPr>
    </w:p>
    <w:p>
      <w:pPr>
        <w:spacing w:before="120" w:after="120" w:line="240" w:lineRule="auto"/>
        <w:ind w:left="840" w:right="749"/>
        <w:jc w:val="both"/>
        <w:rPr>
          <w:rFonts w:ascii="Times New Roman" w:eastAsia="Times New Roman" w:hAnsi="Times New Roman"/>
          <w:noProof/>
          <w:color w:val="000000"/>
          <w:sz w:val="24"/>
        </w:rPr>
      </w:pPr>
      <w:r>
        <w:rPr>
          <w:rFonts w:ascii="Times New Roman" w:hAnsi="Times New Roman"/>
          <w:noProof/>
          <w:color w:val="000000"/>
          <w:sz w:val="24"/>
        </w:rPr>
        <w:t>Figur 1</w:t>
      </w:r>
    </w:p>
    <w:p>
      <w:pPr>
        <w:spacing w:before="120" w:after="120" w:line="240" w:lineRule="auto"/>
        <w:ind w:left="850" w:right="71"/>
        <w:jc w:val="both"/>
        <w:rPr>
          <w:rFonts w:ascii="Times New Roman" w:eastAsia="Times New Roman" w:hAnsi="Times New Roman"/>
          <w:noProof/>
          <w:sz w:val="24"/>
        </w:rPr>
      </w:pPr>
      <w:r>
        <w:rPr>
          <w:noProof/>
          <w:lang w:val="en-US" w:eastAsia="en-US" w:bidi="ar-SA"/>
        </w:rPr>
        <w:drawing>
          <wp:inline distT="0" distB="0" distL="0" distR="0">
            <wp:extent cx="5761990" cy="3933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1990" cy="3933190"/>
                    </a:xfrm>
                    <a:prstGeom prst="rect">
                      <a:avLst/>
                    </a:prstGeom>
                    <a:noFill/>
                    <a:ln>
                      <a:noFill/>
                    </a:ln>
                  </pic:spPr>
                </pic:pic>
              </a:graphicData>
            </a:graphic>
          </wp:inline>
        </w:drawing>
      </w:r>
    </w:p>
    <w:p>
      <w:pPr>
        <w:spacing w:before="120" w:after="120" w:line="240" w:lineRule="auto"/>
        <w:ind w:left="850" w:right="71"/>
        <w:jc w:val="both"/>
        <w:rPr>
          <w:rFonts w:ascii="Times New Roman" w:eastAsia="Times New Roman" w:hAnsi="Times New Roman"/>
          <w:noProof/>
          <w:sz w:val="24"/>
        </w:rPr>
      </w:pP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 xml:space="preserve">I tabel 10a og 10b vises en opdeling pr. medlemsstat og pr. anmeldelsesperiode af de beløb, som Kommissionen har udbetalt i budgetåret 2015. </w:t>
      </w:r>
    </w:p>
    <w:p>
      <w:pPr>
        <w:spacing w:before="120" w:after="120" w:line="240" w:lineRule="auto"/>
        <w:ind w:left="850" w:right="71"/>
        <w:jc w:val="both"/>
        <w:rPr>
          <w:rFonts w:ascii="Times New Roman" w:eastAsia="Times New Roman" w:hAnsi="Times New Roman"/>
          <w:noProof/>
          <w:sz w:val="24"/>
        </w:rPr>
      </w:pPr>
    </w:p>
    <w:p>
      <w:pPr>
        <w:spacing w:after="0" w:line="240" w:lineRule="auto"/>
        <w:rPr>
          <w:rFonts w:ascii="Times New Roman" w:hAnsi="Times New Roman"/>
          <w:noProof/>
          <w:sz w:val="24"/>
        </w:rPr>
      </w:pPr>
      <w:bookmarkStart w:id="80" w:name="OLE_LINK14"/>
      <w:r>
        <w:rPr>
          <w:rFonts w:ascii="Times New Roman" w:hAnsi="Times New Roman"/>
          <w:noProof/>
          <w:sz w:val="24"/>
        </w:rPr>
        <w:br w:type="page"/>
      </w:r>
    </w:p>
    <w:p>
      <w:pPr>
        <w:spacing w:before="120" w:after="120" w:line="240" w:lineRule="auto"/>
        <w:ind w:left="850"/>
        <w:jc w:val="both"/>
        <w:rPr>
          <w:rFonts w:ascii="Times New Roman" w:eastAsia="Times New Roman" w:hAnsi="Times New Roman"/>
          <w:noProof/>
          <w:sz w:val="24"/>
        </w:rPr>
      </w:pPr>
      <w:r>
        <w:rPr>
          <w:rFonts w:ascii="Times New Roman" w:hAnsi="Times New Roman"/>
          <w:noProof/>
          <w:sz w:val="24"/>
        </w:rPr>
        <w:t>Tabel 10a</w:t>
      </w:r>
    </w:p>
    <w:tbl>
      <w:tblPr>
        <w:tblW w:w="8760" w:type="dxa"/>
        <w:tblInd w:w="108" w:type="dxa"/>
        <w:tblLook w:val="04A0" w:firstRow="1" w:lastRow="0" w:firstColumn="1" w:lastColumn="0" w:noHBand="0" w:noVBand="1"/>
      </w:tblPr>
      <w:tblGrid>
        <w:gridCol w:w="960"/>
        <w:gridCol w:w="1200"/>
        <w:gridCol w:w="1320"/>
        <w:gridCol w:w="1320"/>
        <w:gridCol w:w="1200"/>
        <w:gridCol w:w="1320"/>
        <w:gridCol w:w="1440"/>
      </w:tblGrid>
      <w:tr>
        <w:trPr>
          <w:trHeight w:val="270"/>
        </w:trPr>
        <w:tc>
          <w:tcPr>
            <w:tcW w:w="8760" w:type="dxa"/>
            <w:gridSpan w:val="7"/>
            <w:tcBorders>
              <w:top w:val="single" w:sz="4" w:space="0" w:color="auto"/>
              <w:left w:val="single" w:sz="8" w:space="0" w:color="auto"/>
              <w:bottom w:val="single" w:sz="8" w:space="0" w:color="auto"/>
              <w:right w:val="single" w:sz="8" w:space="0" w:color="auto"/>
            </w:tcBorders>
            <w:shd w:val="clear" w:color="000000" w:fill="FFFF99"/>
            <w:vAlign w:val="center"/>
          </w:tcPr>
          <w:p>
            <w:pPr>
              <w:spacing w:after="0" w:line="240" w:lineRule="auto"/>
              <w:rPr>
                <w:rFonts w:ascii="Times New Roman" w:eastAsia="Times New Roman" w:hAnsi="Times New Roman"/>
                <w:b/>
                <w:bCs/>
                <w:noProof/>
                <w:color w:val="000000"/>
                <w:sz w:val="18"/>
                <w:szCs w:val="18"/>
              </w:rPr>
            </w:pPr>
            <w:r>
              <w:rPr>
                <w:rFonts w:ascii="Times New Roman" w:hAnsi="Times New Roman"/>
                <w:b/>
                <w:noProof/>
                <w:sz w:val="20"/>
              </w:rPr>
              <w:t>Betalinger foretaget i perioden 1.1.2015 og 31.12.2015</w:t>
            </w:r>
          </w:p>
        </w:tc>
      </w:tr>
      <w:tr>
        <w:trPr>
          <w:trHeight w:val="270"/>
        </w:trPr>
        <w:tc>
          <w:tcPr>
            <w:tcW w:w="8760" w:type="dxa"/>
            <w:gridSpan w:val="7"/>
            <w:tcBorders>
              <w:top w:val="nil"/>
              <w:left w:val="single" w:sz="8" w:space="0" w:color="auto"/>
              <w:bottom w:val="single" w:sz="8" w:space="0" w:color="auto"/>
              <w:right w:val="single" w:sz="8" w:space="0" w:color="auto"/>
            </w:tcBorders>
            <w:shd w:val="clear" w:color="000000" w:fill="FFFF99"/>
            <w:vAlign w:val="center"/>
          </w:tcPr>
          <w:p>
            <w:pPr>
              <w:spacing w:after="0" w:line="240" w:lineRule="auto"/>
              <w:rPr>
                <w:rFonts w:ascii="Times New Roman" w:eastAsia="Times New Roman" w:hAnsi="Times New Roman"/>
                <w:b/>
                <w:bCs/>
                <w:noProof/>
                <w:sz w:val="20"/>
                <w:szCs w:val="20"/>
              </w:rPr>
            </w:pPr>
            <w:r>
              <w:rPr>
                <w:rFonts w:ascii="Times New Roman" w:hAnsi="Times New Roman"/>
                <w:b/>
                <w:noProof/>
                <w:sz w:val="20"/>
              </w:rPr>
              <w:t xml:space="preserve">ELFUL 2007-2013 - Budgetkonto 05.040501                                                                              </w:t>
            </w:r>
            <w:r>
              <w:rPr>
                <w:rFonts w:ascii="Times New Roman" w:hAnsi="Times New Roman"/>
                <w:b/>
                <w:i/>
                <w:noProof/>
                <w:sz w:val="20"/>
              </w:rPr>
              <w:t>(EUR)</w:t>
            </w:r>
          </w:p>
        </w:tc>
      </w:tr>
      <w:tr>
        <w:trPr>
          <w:trHeight w:val="270"/>
        </w:trPr>
        <w:tc>
          <w:tcPr>
            <w:tcW w:w="960" w:type="dxa"/>
            <w:tcBorders>
              <w:top w:val="nil"/>
              <w:left w:val="single" w:sz="8" w:space="0" w:color="auto"/>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MS</w:t>
            </w:r>
          </w:p>
        </w:tc>
        <w:tc>
          <w:tcPr>
            <w:tcW w:w="1200" w:type="dxa"/>
            <w:tcBorders>
              <w:top w:val="nil"/>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Før 4. kv. 2014</w:t>
            </w:r>
          </w:p>
        </w:tc>
        <w:tc>
          <w:tcPr>
            <w:tcW w:w="1320" w:type="dxa"/>
            <w:tcBorders>
              <w:top w:val="nil"/>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4. kv. 2014</w:t>
            </w:r>
          </w:p>
        </w:tc>
        <w:tc>
          <w:tcPr>
            <w:tcW w:w="1320" w:type="dxa"/>
            <w:tcBorders>
              <w:top w:val="nil"/>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1. kv. 2015</w:t>
            </w:r>
          </w:p>
        </w:tc>
        <w:tc>
          <w:tcPr>
            <w:tcW w:w="1200" w:type="dxa"/>
            <w:tcBorders>
              <w:top w:val="nil"/>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2. kv. 2015</w:t>
            </w:r>
          </w:p>
        </w:tc>
        <w:tc>
          <w:tcPr>
            <w:tcW w:w="1320" w:type="dxa"/>
            <w:tcBorders>
              <w:top w:val="nil"/>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3. kv. 2015</w:t>
            </w:r>
          </w:p>
        </w:tc>
        <w:tc>
          <w:tcPr>
            <w:tcW w:w="1440" w:type="dxa"/>
            <w:tcBorders>
              <w:top w:val="nil"/>
              <w:left w:val="nil"/>
              <w:bottom w:val="single" w:sz="8" w:space="0" w:color="auto"/>
              <w:right w:val="single" w:sz="8" w:space="0" w:color="auto"/>
            </w:tcBorders>
            <w:shd w:val="clear" w:color="000000" w:fill="FFFF99"/>
            <w:vAlign w:val="center"/>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 alt</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1 694 050</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1 056 900</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2 609 070</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5 360 020</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BG</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294 046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236 318 435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25 736 473</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42 602 808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99 558 664</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404 510 426</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CY</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9 530 654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5 208 307</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2 067 221</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1 474 246</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18 280 429</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235 588 057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25 872 235</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20 096 549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6 330 891</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287 887 731</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DK</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26 046 915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18 590 881</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11 905 900</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4 183 878</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60 727 573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ES</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18 561</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582 164 052</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94 073 366</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139 691 713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137 387 200</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953 334 892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FR</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136 557 869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59 554 263</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29 641 236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14 112 065</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239 865 433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GR</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405 763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269 682 804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48 819 773</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27 215 212</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32 985 751</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379 109 303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HU</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234 090 677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148 002 282</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382 092 959</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1 364 264 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765 795 904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104 439 114</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200 203 209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71 544 857</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1 143 347 348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18 276 608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17 935 424</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1 903 952</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38 115 984</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MT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4 505 949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786 777</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2 541 006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756 998</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8 590 730</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NL</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10 583 063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10 583 063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PL</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597 590 917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385 580 897</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187 427 206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1 170 599 020</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18 342 924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5 553 460</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4 365 266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2 777 867</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31 039 518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RO</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798 629 707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79 633 176</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132 032 601</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247 328 834</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1 257 624 319</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SK</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21 761 919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8 198 579</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29 960 498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UK</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17 991 974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16 881 228</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6 872 407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1 523 703</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43 269 312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 alt</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2 082 633</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3 985 152 478</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1 045 923 138</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809 271 405</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621 868 906</w:t>
            </w:r>
          </w:p>
        </w:tc>
        <w:tc>
          <w:tcPr>
            <w:tcW w:w="144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6 464 298 560</w:t>
            </w:r>
          </w:p>
        </w:tc>
      </w:tr>
    </w:tbl>
    <w:p>
      <w:pPr>
        <w:spacing w:before="120" w:after="120" w:line="240" w:lineRule="auto"/>
        <w:ind w:left="850"/>
        <w:jc w:val="both"/>
        <w:rPr>
          <w:rFonts w:ascii="Times New Roman" w:eastAsia="Times New Roman" w:hAnsi="Times New Roman"/>
          <w:noProof/>
          <w:sz w:val="24"/>
        </w:rPr>
      </w:pPr>
    </w:p>
    <w:p>
      <w:pPr>
        <w:spacing w:before="120" w:after="120" w:line="240" w:lineRule="auto"/>
        <w:ind w:left="850"/>
        <w:jc w:val="both"/>
        <w:rPr>
          <w:rFonts w:ascii="Times New Roman" w:eastAsia="Times New Roman" w:hAnsi="Times New Roman"/>
          <w:noProof/>
          <w:sz w:val="24"/>
        </w:rPr>
      </w:pPr>
      <w:r>
        <w:rPr>
          <w:noProof/>
        </w:rPr>
        <w:br w:type="page"/>
      </w:r>
      <w:r>
        <w:rPr>
          <w:rFonts w:ascii="Times New Roman" w:hAnsi="Times New Roman"/>
          <w:noProof/>
          <w:sz w:val="24"/>
        </w:rPr>
        <w:t>Tabel 10b</w:t>
      </w:r>
    </w:p>
    <w:tbl>
      <w:tblPr>
        <w:tblW w:w="8760" w:type="dxa"/>
        <w:tblInd w:w="162" w:type="dxa"/>
        <w:tblLook w:val="04A0" w:firstRow="1" w:lastRow="0" w:firstColumn="1" w:lastColumn="0" w:noHBand="0" w:noVBand="1"/>
      </w:tblPr>
      <w:tblGrid>
        <w:gridCol w:w="960"/>
        <w:gridCol w:w="1200"/>
        <w:gridCol w:w="1320"/>
        <w:gridCol w:w="1320"/>
        <w:gridCol w:w="1200"/>
        <w:gridCol w:w="1416"/>
        <w:gridCol w:w="1440"/>
      </w:tblGrid>
      <w:tr>
        <w:trPr>
          <w:trHeight w:val="270"/>
        </w:trPr>
        <w:tc>
          <w:tcPr>
            <w:tcW w:w="8760" w:type="dxa"/>
            <w:gridSpan w:val="7"/>
            <w:tcBorders>
              <w:top w:val="single" w:sz="8" w:space="0" w:color="auto"/>
              <w:left w:val="single" w:sz="8" w:space="0" w:color="auto"/>
              <w:bottom w:val="single" w:sz="8" w:space="0" w:color="auto"/>
              <w:right w:val="single" w:sz="8" w:space="0" w:color="000000"/>
            </w:tcBorders>
            <w:shd w:val="clear" w:color="000000" w:fill="FFFF99"/>
            <w:noWrap/>
            <w:vAlign w:val="center"/>
            <w:hideMark/>
          </w:tcPr>
          <w:bookmarkEnd w:id="80"/>
          <w:p>
            <w:pPr>
              <w:spacing w:after="0" w:line="240" w:lineRule="auto"/>
              <w:rPr>
                <w:rFonts w:ascii="Times New Roman" w:eastAsia="Times New Roman" w:hAnsi="Times New Roman"/>
                <w:b/>
                <w:bCs/>
                <w:noProof/>
                <w:sz w:val="20"/>
                <w:szCs w:val="20"/>
              </w:rPr>
            </w:pPr>
            <w:r>
              <w:rPr>
                <w:rFonts w:ascii="Times New Roman" w:hAnsi="Times New Roman"/>
                <w:b/>
                <w:noProof/>
                <w:sz w:val="20"/>
              </w:rPr>
              <w:t xml:space="preserve">Betalinger foretaget i perioden 1.1.2015 og 31.12.2015 </w:t>
            </w:r>
          </w:p>
        </w:tc>
      </w:tr>
      <w:tr>
        <w:trPr>
          <w:trHeight w:val="285"/>
        </w:trPr>
        <w:tc>
          <w:tcPr>
            <w:tcW w:w="6000" w:type="dxa"/>
            <w:gridSpan w:val="5"/>
            <w:tcBorders>
              <w:top w:val="single" w:sz="8" w:space="0" w:color="auto"/>
              <w:left w:val="single" w:sz="8" w:space="0" w:color="auto"/>
              <w:bottom w:val="single" w:sz="8" w:space="0" w:color="auto"/>
              <w:right w:val="nil"/>
            </w:tcBorders>
            <w:shd w:val="clear" w:color="000000" w:fill="FFFF99"/>
            <w:noWrap/>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ELFUL 2014-2020 - Budgetkonto 05.046001</w:t>
            </w:r>
          </w:p>
        </w:tc>
        <w:tc>
          <w:tcPr>
            <w:tcW w:w="1320" w:type="dxa"/>
            <w:tcBorders>
              <w:top w:val="nil"/>
              <w:left w:val="nil"/>
              <w:bottom w:val="single" w:sz="8" w:space="0" w:color="auto"/>
              <w:right w:val="nil"/>
            </w:tcBorders>
            <w:shd w:val="clear" w:color="000000" w:fill="FFFF99"/>
            <w:noWrap/>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w:t>
            </w:r>
          </w:p>
        </w:tc>
        <w:tc>
          <w:tcPr>
            <w:tcW w:w="14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i/>
                <w:iCs/>
                <w:noProof/>
                <w:sz w:val="20"/>
                <w:szCs w:val="20"/>
              </w:rPr>
            </w:pPr>
            <w:r>
              <w:rPr>
                <w:rFonts w:ascii="Times New Roman" w:hAnsi="Times New Roman"/>
                <w:b/>
                <w:i/>
                <w:noProof/>
                <w:sz w:val="20"/>
              </w:rPr>
              <w:t>(EUR)</w:t>
            </w:r>
          </w:p>
        </w:tc>
      </w:tr>
      <w:tr>
        <w:trPr>
          <w:trHeight w:val="495"/>
        </w:trPr>
        <w:tc>
          <w:tcPr>
            <w:tcW w:w="960" w:type="dxa"/>
            <w:tcBorders>
              <w:top w:val="nil"/>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MS</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4. kv. 2014</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1. kv. 2015</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2. kv. 2015</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 xml:space="preserve"> 3. kv. 2015</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Forfinansiering</w:t>
            </w:r>
          </w:p>
        </w:tc>
        <w:tc>
          <w:tcPr>
            <w:tcW w:w="144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 alt</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AT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284 992 317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96 213 465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156 122</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39 375 520</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420 737 424</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12 409 662</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45 217 237</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3 328 948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12 955 955</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73 911 803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BG</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47 334 339</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47 334 339</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CY</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3 967 331</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3 967 331</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CZ</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184 302 819</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3 319 045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46 113 480</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233 735 344</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13 236 207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144 343 005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100 854 171</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12 087 339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171 219 696</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441 740 417</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DK</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1 025 347</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678 813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6 294 007</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7 998 168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27 613 880</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596 956</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2 832 080</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16 466 831</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47 509 747</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ES</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3 134 546</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9 616 116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207 434 721</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220 185 382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FI</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310 320 627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2 514 375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36 814 213</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32 869 513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24 011 173</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406 529 902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FR</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129 178 250</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216 183 789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227 696 885</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573 058 924</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GR</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141 548 754</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141 548 754</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HR</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54 069 633</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265 601</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40 524 450</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94 859 683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HU</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68 613 290</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68 613 290</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292 954 816</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34 180 723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54 764 804</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381 900 343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7 578 868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208 887 615</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216 466 483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28 493 708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9 135 426</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785 089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32 261 765</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70 675 988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LU</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12 200 302</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9 338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2 011 492</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14 221 132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LV</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49 756 283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1 853 434</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1 729 447</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21 512 076</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74 851 240</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MT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1 946 538</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1 946 538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NL</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25 547 376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1 428 281</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645 996</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12 146 107</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39 767 761</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PL</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100 405 931</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73 954 934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85 982 808</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260 343 673</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PT</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109 223 113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13 813 538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60 197 270</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43 362 393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47 698 857</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274 295 171</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RO</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243 839 892</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243 839 892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SE</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140 428 835</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294 808</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34 911 305</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175 634 948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SI</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29 137 393</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796 103</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16 756 996</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46 690 492</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SK</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56 705 005</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4 501 672</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460 674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30 905 457</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92 572 808</w:t>
            </w:r>
          </w:p>
        </w:tc>
      </w:tr>
      <w:tr>
        <w:trPr>
          <w:trHeight w:val="270"/>
        </w:trPr>
        <w:tc>
          <w:tcPr>
            <w:tcW w:w="96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UK</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 </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279 060 319</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172 856 524</w:t>
            </w:r>
          </w:p>
        </w:tc>
        <w:tc>
          <w:tcPr>
            <w:tcW w:w="12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27 271 274</w:t>
            </w:r>
          </w:p>
        </w:tc>
        <w:tc>
          <w:tcPr>
            <w:tcW w:w="132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98 067 330</w:t>
            </w:r>
          </w:p>
        </w:tc>
        <w:tc>
          <w:tcPr>
            <w:tcW w:w="144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577 255 447</w:t>
            </w:r>
          </w:p>
        </w:tc>
      </w:tr>
      <w:tr>
        <w:trPr>
          <w:trHeight w:val="270"/>
        </w:trPr>
        <w:tc>
          <w:tcPr>
            <w:tcW w:w="960" w:type="dxa"/>
            <w:tcBorders>
              <w:top w:val="nil"/>
              <w:left w:val="single" w:sz="8" w:space="0" w:color="auto"/>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 alt</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818 178 194</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810 425 550</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1 280 043 247</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398 295 956</w:t>
            </w:r>
          </w:p>
        </w:tc>
        <w:tc>
          <w:tcPr>
            <w:tcW w:w="132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1 945 249 474</w:t>
            </w:r>
          </w:p>
        </w:tc>
        <w:tc>
          <w:tcPr>
            <w:tcW w:w="1440" w:type="dxa"/>
            <w:tcBorders>
              <w:top w:val="nil"/>
              <w:left w:val="nil"/>
              <w:bottom w:val="single" w:sz="8" w:space="0" w:color="auto"/>
              <w:right w:val="single" w:sz="8" w:space="0" w:color="auto"/>
            </w:tcBorders>
            <w:shd w:val="clear" w:color="000000" w:fill="FFFF99"/>
            <w:vAlign w:val="center"/>
            <w:hideMark/>
          </w:tcPr>
          <w:p>
            <w:pPr>
              <w:spacing w:after="0" w:line="240" w:lineRule="auto"/>
              <w:jc w:val="right"/>
              <w:rPr>
                <w:rFonts w:ascii="Times New Roman" w:eastAsia="Times New Roman" w:hAnsi="Times New Roman"/>
                <w:b/>
                <w:bCs/>
                <w:noProof/>
                <w:color w:val="000000"/>
                <w:sz w:val="18"/>
                <w:szCs w:val="18"/>
              </w:rPr>
            </w:pPr>
            <w:r>
              <w:rPr>
                <w:rFonts w:ascii="Times New Roman" w:hAnsi="Times New Roman"/>
                <w:b/>
                <w:noProof/>
                <w:color w:val="000000"/>
                <w:sz w:val="18"/>
              </w:rPr>
              <w:t>5 252 192 422</w:t>
            </w:r>
          </w:p>
        </w:tc>
      </w:tr>
    </w:tbl>
    <w:p>
      <w:pPr>
        <w:spacing w:before="120" w:after="120" w:line="240" w:lineRule="auto"/>
        <w:ind w:left="850"/>
        <w:jc w:val="both"/>
        <w:rPr>
          <w:rFonts w:ascii="Times New Roman" w:eastAsia="Times New Roman" w:hAnsi="Times New Roman"/>
          <w:noProof/>
          <w:sz w:val="24"/>
        </w:rPr>
      </w:pPr>
    </w:p>
    <w:p>
      <w:pPr>
        <w:spacing w:before="120" w:after="120" w:line="240" w:lineRule="auto"/>
        <w:ind w:left="850" w:right="71"/>
        <w:jc w:val="both"/>
        <w:rPr>
          <w:rFonts w:ascii="Times New Roman" w:eastAsia="Times New Roman" w:hAnsi="Times New Roman"/>
          <w:noProof/>
          <w:sz w:val="24"/>
        </w:rPr>
      </w:pP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I tabel 11a og 11b sammenlignes for hver medlemsstat de i 2015 gennemførte ELFUL-betalinger med betalingerne i 2014. De samlede betalinger til ELFUL-perioden 2007-2013 faldt med 41 % (6,5 mia. EUR mod 10,9 mia. EUR). Samtidig steg betalingerne til ELFUL-perioden 2014-2020 betydeligt i forhold til 2014 (5,3 mia. EUR mod 0,2 mia. EUR), hvilket afspejler, at der i 2014 kun var vedtaget 9 landdistriktsprogrammer.</w:t>
      </w:r>
    </w:p>
    <w:p>
      <w:pPr>
        <w:spacing w:before="120" w:after="120" w:line="240" w:lineRule="auto"/>
        <w:ind w:left="850"/>
        <w:jc w:val="both"/>
        <w:rPr>
          <w:rFonts w:ascii="Times New Roman" w:eastAsia="Times New Roman" w:hAnsi="Times New Roman"/>
          <w:noProof/>
          <w:sz w:val="24"/>
        </w:rPr>
      </w:pPr>
      <w:bookmarkStart w:id="81" w:name="OLE_LINK15"/>
    </w:p>
    <w:p>
      <w:pPr>
        <w:spacing w:before="120" w:after="120" w:line="240" w:lineRule="auto"/>
        <w:ind w:left="850"/>
        <w:jc w:val="both"/>
        <w:rPr>
          <w:rFonts w:ascii="Times New Roman" w:eastAsia="Times New Roman" w:hAnsi="Times New Roman"/>
          <w:noProof/>
          <w:sz w:val="24"/>
        </w:rPr>
        <w:sectPr>
          <w:headerReference w:type="even" r:id="rId23"/>
          <w:headerReference w:type="default" r:id="rId24"/>
          <w:footerReference w:type="even" r:id="rId25"/>
          <w:footerReference w:type="default" r:id="rId26"/>
          <w:headerReference w:type="first" r:id="rId27"/>
          <w:footerReference w:type="first" r:id="rId28"/>
          <w:pgSz w:w="11907" w:h="16839" w:code="9"/>
          <w:pgMar w:top="1134" w:right="1418" w:bottom="1134" w:left="1418" w:header="709" w:footer="709" w:gutter="0"/>
          <w:cols w:space="708"/>
          <w:docGrid w:linePitch="360"/>
        </w:sectPr>
      </w:pPr>
    </w:p>
    <w:p>
      <w:pPr>
        <w:spacing w:after="0" w:line="240" w:lineRule="auto"/>
        <w:ind w:left="850"/>
        <w:jc w:val="both"/>
        <w:rPr>
          <w:rFonts w:ascii="Times New Roman" w:eastAsia="Times New Roman" w:hAnsi="Times New Roman"/>
          <w:noProof/>
          <w:sz w:val="24"/>
        </w:rPr>
      </w:pPr>
      <w:r>
        <w:rPr>
          <w:rFonts w:ascii="Times New Roman" w:hAnsi="Times New Roman"/>
          <w:noProof/>
          <w:sz w:val="24"/>
        </w:rPr>
        <w:t>Tabel 11a</w:t>
      </w:r>
    </w:p>
    <w:tbl>
      <w:tblPr>
        <w:tblW w:w="13407" w:type="dxa"/>
        <w:tblInd w:w="741" w:type="dxa"/>
        <w:tblLook w:val="04A0" w:firstRow="1" w:lastRow="0" w:firstColumn="1" w:lastColumn="0" w:noHBand="0" w:noVBand="1"/>
      </w:tblPr>
      <w:tblGrid>
        <w:gridCol w:w="627"/>
        <w:gridCol w:w="1860"/>
        <w:gridCol w:w="1440"/>
        <w:gridCol w:w="1680"/>
        <w:gridCol w:w="1800"/>
        <w:gridCol w:w="1440"/>
        <w:gridCol w:w="1440"/>
        <w:gridCol w:w="1680"/>
        <w:gridCol w:w="116"/>
        <w:gridCol w:w="1324"/>
      </w:tblGrid>
      <w:tr>
        <w:trPr>
          <w:trHeight w:val="207"/>
        </w:trPr>
        <w:tc>
          <w:tcPr>
            <w:tcW w:w="10287" w:type="dxa"/>
            <w:gridSpan w:val="7"/>
            <w:vMerge w:val="restart"/>
            <w:tcBorders>
              <w:top w:val="single" w:sz="8" w:space="0" w:color="auto"/>
              <w:left w:val="single" w:sz="8" w:space="0" w:color="auto"/>
              <w:bottom w:val="single" w:sz="8" w:space="0" w:color="000000"/>
              <w:right w:val="nil"/>
            </w:tcBorders>
            <w:shd w:val="clear" w:color="000000" w:fill="FFFF99"/>
            <w:noWrap/>
            <w:vAlign w:val="center"/>
            <w:hideMark/>
          </w:tcPr>
          <w:bookmarkEnd w:id="81"/>
          <w:p>
            <w:pPr>
              <w:spacing w:after="0" w:line="240" w:lineRule="auto"/>
              <w:rPr>
                <w:rFonts w:ascii="Times New Roman" w:eastAsia="Times New Roman" w:hAnsi="Times New Roman"/>
                <w:b/>
                <w:bCs/>
                <w:noProof/>
                <w:sz w:val="18"/>
                <w:szCs w:val="18"/>
              </w:rPr>
            </w:pPr>
            <w:r>
              <w:rPr>
                <w:rFonts w:ascii="Times New Roman" w:hAnsi="Times New Roman"/>
                <w:b/>
                <w:noProof/>
                <w:sz w:val="18"/>
              </w:rPr>
              <w:t xml:space="preserve">Betalinger til medlemsstater - sammenligning af 2015 og 2014 - </w:t>
            </w:r>
            <w:r>
              <w:rPr>
                <w:rFonts w:ascii="Times New Roman" w:hAnsi="Times New Roman"/>
                <w:b/>
                <w:noProof/>
                <w:sz w:val="18"/>
                <w:u w:val="single"/>
              </w:rPr>
              <w:t>ELFUL 2007-2013</w:t>
            </w:r>
          </w:p>
        </w:tc>
        <w:tc>
          <w:tcPr>
            <w:tcW w:w="1796" w:type="dxa"/>
            <w:gridSpan w:val="2"/>
            <w:vMerge w:val="restart"/>
            <w:tcBorders>
              <w:top w:val="single" w:sz="8" w:space="0" w:color="auto"/>
              <w:left w:val="nil"/>
              <w:bottom w:val="single" w:sz="8" w:space="0" w:color="000000"/>
              <w:right w:val="nil"/>
            </w:tcBorders>
            <w:shd w:val="clear" w:color="000000" w:fill="FFFF99"/>
            <w:noWrap/>
            <w:vAlign w:val="center"/>
            <w:hideMark/>
          </w:tcPr>
          <w:p>
            <w:pPr>
              <w:spacing w:after="0" w:line="240" w:lineRule="auto"/>
              <w:jc w:val="center"/>
              <w:rPr>
                <w:rFonts w:ascii="Times New Roman" w:eastAsia="Times New Roman" w:hAnsi="Times New Roman"/>
                <w:b/>
                <w:bCs/>
                <w:i/>
                <w:iCs/>
                <w:noProof/>
                <w:sz w:val="18"/>
                <w:szCs w:val="18"/>
              </w:rPr>
            </w:pPr>
            <w:r>
              <w:rPr>
                <w:rFonts w:ascii="Times New Roman" w:hAnsi="Times New Roman"/>
                <w:b/>
                <w:i/>
                <w:noProof/>
                <w:sz w:val="18"/>
              </w:rPr>
              <w:t>(EUR)</w:t>
            </w:r>
          </w:p>
        </w:tc>
        <w:tc>
          <w:tcPr>
            <w:tcW w:w="1324" w:type="dxa"/>
            <w:vMerge w:val="restart"/>
            <w:tcBorders>
              <w:top w:val="single" w:sz="8" w:space="0" w:color="auto"/>
              <w:left w:val="nil"/>
              <w:bottom w:val="single" w:sz="8" w:space="0" w:color="000000"/>
              <w:right w:val="single" w:sz="8" w:space="0" w:color="auto"/>
            </w:tcBorders>
            <w:shd w:val="clear" w:color="000000" w:fill="FFFF99"/>
            <w:noWrap/>
            <w:vAlign w:val="center"/>
            <w:hideMark/>
          </w:tcPr>
          <w:p>
            <w:pPr>
              <w:spacing w:after="0" w:line="240" w:lineRule="auto"/>
              <w:rPr>
                <w:rFonts w:ascii="Times New Roman" w:eastAsia="Times New Roman" w:hAnsi="Times New Roman"/>
                <w:noProof/>
                <w:sz w:val="18"/>
                <w:szCs w:val="18"/>
              </w:rPr>
            </w:pPr>
            <w:r>
              <w:rPr>
                <w:rFonts w:ascii="Times New Roman" w:hAnsi="Times New Roman"/>
                <w:noProof/>
                <w:sz w:val="18"/>
              </w:rPr>
              <w:t> </w:t>
            </w:r>
          </w:p>
        </w:tc>
      </w:tr>
      <w:tr>
        <w:trPr>
          <w:trHeight w:val="207"/>
        </w:trPr>
        <w:tc>
          <w:tcPr>
            <w:tcW w:w="10287" w:type="dxa"/>
            <w:gridSpan w:val="7"/>
            <w:vMerge/>
            <w:tcBorders>
              <w:top w:val="single" w:sz="8" w:space="0" w:color="auto"/>
              <w:left w:val="single" w:sz="8" w:space="0" w:color="auto"/>
              <w:bottom w:val="single" w:sz="8" w:space="0" w:color="000000"/>
              <w:right w:val="nil"/>
            </w:tcBorders>
            <w:vAlign w:val="center"/>
            <w:hideMark/>
          </w:tcPr>
          <w:p>
            <w:pPr>
              <w:spacing w:after="0" w:line="240" w:lineRule="auto"/>
              <w:rPr>
                <w:rFonts w:ascii="Times New Roman" w:eastAsia="Times New Roman" w:hAnsi="Times New Roman"/>
                <w:b/>
                <w:bCs/>
                <w:noProof/>
                <w:sz w:val="18"/>
                <w:szCs w:val="18"/>
              </w:rPr>
            </w:pPr>
          </w:p>
        </w:tc>
        <w:tc>
          <w:tcPr>
            <w:tcW w:w="1796" w:type="dxa"/>
            <w:gridSpan w:val="2"/>
            <w:vMerge/>
            <w:tcBorders>
              <w:top w:val="single" w:sz="8" w:space="0" w:color="auto"/>
              <w:left w:val="nil"/>
              <w:bottom w:val="single" w:sz="8" w:space="0" w:color="000000"/>
              <w:right w:val="nil"/>
            </w:tcBorders>
            <w:vAlign w:val="center"/>
            <w:hideMark/>
          </w:tcPr>
          <w:p>
            <w:pPr>
              <w:spacing w:after="0" w:line="240" w:lineRule="auto"/>
              <w:rPr>
                <w:rFonts w:ascii="Times New Roman" w:eastAsia="Times New Roman" w:hAnsi="Times New Roman"/>
                <w:b/>
                <w:bCs/>
                <w:i/>
                <w:iCs/>
                <w:noProof/>
                <w:sz w:val="18"/>
                <w:szCs w:val="18"/>
              </w:rPr>
            </w:pPr>
          </w:p>
        </w:tc>
        <w:tc>
          <w:tcPr>
            <w:tcW w:w="1324" w:type="dxa"/>
            <w:vMerge/>
            <w:tcBorders>
              <w:top w:val="single" w:sz="8" w:space="0" w:color="auto"/>
              <w:left w:val="nil"/>
              <w:bottom w:val="single" w:sz="8" w:space="0" w:color="000000"/>
              <w:right w:val="single" w:sz="8" w:space="0" w:color="auto"/>
            </w:tcBorders>
            <w:vAlign w:val="center"/>
            <w:hideMark/>
          </w:tcPr>
          <w:p>
            <w:pPr>
              <w:spacing w:after="0" w:line="240" w:lineRule="auto"/>
              <w:rPr>
                <w:rFonts w:ascii="Times New Roman" w:eastAsia="Times New Roman" w:hAnsi="Times New Roman"/>
                <w:noProof/>
                <w:sz w:val="18"/>
                <w:szCs w:val="18"/>
              </w:rPr>
            </w:pPr>
          </w:p>
        </w:tc>
      </w:tr>
      <w:tr>
        <w:trPr>
          <w:trHeight w:val="270"/>
        </w:trPr>
        <w:tc>
          <w:tcPr>
            <w:tcW w:w="627" w:type="dxa"/>
            <w:vMerge w:val="restart"/>
            <w:tcBorders>
              <w:top w:val="nil"/>
              <w:left w:val="single" w:sz="8" w:space="0" w:color="auto"/>
              <w:bottom w:val="single" w:sz="8" w:space="0" w:color="000000"/>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MS</w:t>
            </w:r>
          </w:p>
        </w:tc>
        <w:tc>
          <w:tcPr>
            <w:tcW w:w="4980" w:type="dxa"/>
            <w:gridSpan w:val="3"/>
            <w:tcBorders>
              <w:top w:val="single" w:sz="8" w:space="0" w:color="auto"/>
              <w:left w:val="nil"/>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2014</w:t>
            </w:r>
          </w:p>
        </w:tc>
        <w:tc>
          <w:tcPr>
            <w:tcW w:w="4680" w:type="dxa"/>
            <w:gridSpan w:val="3"/>
            <w:tcBorders>
              <w:top w:val="single" w:sz="8" w:space="0" w:color="auto"/>
              <w:left w:val="nil"/>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2015</w:t>
            </w:r>
          </w:p>
        </w:tc>
        <w:tc>
          <w:tcPr>
            <w:tcW w:w="3120" w:type="dxa"/>
            <w:gridSpan w:val="3"/>
            <w:tcBorders>
              <w:top w:val="single" w:sz="8" w:space="0" w:color="auto"/>
              <w:left w:val="nil"/>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Forskel 2015 og 2014</w:t>
            </w:r>
          </w:p>
        </w:tc>
      </w:tr>
      <w:tr>
        <w:trPr>
          <w:trHeight w:val="270"/>
        </w:trPr>
        <w:tc>
          <w:tcPr>
            <w:tcW w:w="627" w:type="dxa"/>
            <w:vMerge/>
            <w:tcBorders>
              <w:top w:val="nil"/>
              <w:left w:val="single" w:sz="8" w:space="0" w:color="auto"/>
              <w:bottom w:val="single" w:sz="8" w:space="0" w:color="000000"/>
              <w:right w:val="single" w:sz="8" w:space="0" w:color="auto"/>
            </w:tcBorders>
            <w:vAlign w:val="center"/>
            <w:hideMark/>
          </w:tcPr>
          <w:p>
            <w:pPr>
              <w:spacing w:after="0" w:line="240" w:lineRule="auto"/>
              <w:rPr>
                <w:rFonts w:ascii="Times New Roman" w:eastAsia="Times New Roman" w:hAnsi="Times New Roman"/>
                <w:b/>
                <w:bCs/>
                <w:noProof/>
                <w:sz w:val="18"/>
                <w:szCs w:val="18"/>
              </w:rPr>
            </w:pPr>
          </w:p>
        </w:tc>
        <w:tc>
          <w:tcPr>
            <w:tcW w:w="1860" w:type="dxa"/>
            <w:tcBorders>
              <w:top w:val="nil"/>
              <w:left w:val="nil"/>
              <w:bottom w:val="single" w:sz="8" w:space="0" w:color="auto"/>
              <w:right w:val="nil"/>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Mellemliggende betalinger</w:t>
            </w:r>
          </w:p>
        </w:tc>
        <w:tc>
          <w:tcPr>
            <w:tcW w:w="144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Forfinansiering</w:t>
            </w:r>
          </w:p>
        </w:tc>
        <w:tc>
          <w:tcPr>
            <w:tcW w:w="168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I alt</w:t>
            </w:r>
          </w:p>
        </w:tc>
        <w:tc>
          <w:tcPr>
            <w:tcW w:w="1800" w:type="dxa"/>
            <w:tcBorders>
              <w:top w:val="nil"/>
              <w:left w:val="nil"/>
              <w:bottom w:val="single" w:sz="8" w:space="0" w:color="auto"/>
              <w:right w:val="nil"/>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Mellemliggende betalinger</w:t>
            </w:r>
          </w:p>
        </w:tc>
        <w:tc>
          <w:tcPr>
            <w:tcW w:w="144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Forfinansiering</w:t>
            </w:r>
          </w:p>
        </w:tc>
        <w:tc>
          <w:tcPr>
            <w:tcW w:w="1440" w:type="dxa"/>
            <w:tcBorders>
              <w:top w:val="nil"/>
              <w:left w:val="nil"/>
              <w:bottom w:val="single" w:sz="8" w:space="0" w:color="auto"/>
              <w:right w:val="nil"/>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I alt</w:t>
            </w:r>
          </w:p>
        </w:tc>
        <w:tc>
          <w:tcPr>
            <w:tcW w:w="168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(EUR)</w:t>
            </w:r>
          </w:p>
        </w:tc>
        <w:tc>
          <w:tcPr>
            <w:tcW w:w="1440" w:type="dxa"/>
            <w:gridSpan w:val="2"/>
            <w:tcBorders>
              <w:top w:val="nil"/>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AT</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244 873 999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244 873 999</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-244 873 999</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BE</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16 628 109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16 628 109</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5 360 020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5 360 020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-11 268 088</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-67,77 %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BG</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393 750 627</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393 750 627</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404 510 426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404 510 426</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10 759 799</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2,73 %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CY</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22 898 351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22 898 351</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18 280 429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18 280 429</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-4 617 922</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-20,17 %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CZ</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283 248 060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283 248 060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-283 248 060</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DE</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917 307 316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917 307 316</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287 887 731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287 887 731</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-629 419 585</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-68,62 %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DK</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83 307 265</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83 307 265</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60 727 573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60 727 573</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-22 579 691</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-27,10 %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EE</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62 135 652</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62 135 652</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-62 135 652</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ES</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964 188 641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964 188 641</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953 334 892</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953 334 892</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-10 853 749</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-1,13 %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FI</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56 934 909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56 934 909</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-56 934 909</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FR</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798 152 731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798 152 731</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239 865 433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239 865 433</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-558 287 298</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-69,95 %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GR</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549 164 613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549 164 613</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379 109 303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379 109 303</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-170 055 310</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-30,97 %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HR</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HU</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550 351 068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550 351 068</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382 092 959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382 092 959</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-168 258 109</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-30,57 %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IE</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IT</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1 204 033 199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1 204 033 199</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1 143 347 348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1 143 347 348</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-60 685 850</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-5,04 %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LT</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232 381 211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232 381 211</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38 115 984</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38 115 984</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-194 265 227</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-83,60 %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LU</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1 287 916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1 287 916</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-1 287 916</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LV</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58 786 443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58 786 443</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-58 786 443</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MT</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11 410 988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11 410 988</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8 590 730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8 590 730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-2 820 258</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-24,72 %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NL</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111 016 078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111 016 078</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10 583 063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10 583 063</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-100 433 015</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-90,47 %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PL</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1 700 773 103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1 700 773 103</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1 170 599 020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1 170 599 020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-530 174 083</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-31,17 %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PT</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683 122 011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683 122 011</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31 039 518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31 039 518</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-652 082 493</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-95,46 %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RO</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822 842 472</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822 842 472</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1 257 624 319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1 257 624 319</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434 781 847</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52,84 %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SE</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221 274 236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221 274 236</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-221 274 236</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SI</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118 091 451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118 091 451</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-118 091 451</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-100,00 %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SK</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148 345 380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148 345 380</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29 960 498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29 960 498</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-118 384 881</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-79,80 %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UK</w:t>
            </w:r>
          </w:p>
        </w:tc>
        <w:tc>
          <w:tcPr>
            <w:tcW w:w="186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691 044 486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691 044 486</w:t>
            </w:r>
          </w:p>
        </w:tc>
        <w:tc>
          <w:tcPr>
            <w:tcW w:w="1800" w:type="dxa"/>
            <w:tcBorders>
              <w:top w:val="nil"/>
              <w:left w:val="nil"/>
              <w:bottom w:val="single" w:sz="8" w:space="0" w:color="auto"/>
              <w:right w:val="single" w:sz="8" w:space="0" w:color="auto"/>
            </w:tcBorders>
            <w:shd w:val="clear" w:color="000000" w:fill="FFFFFF"/>
            <w:vAlign w:val="center"/>
            <w:hideMark/>
          </w:tcPr>
          <w:p>
            <w:pPr>
              <w:spacing w:after="0" w:line="240" w:lineRule="auto"/>
              <w:jc w:val="right"/>
              <w:rPr>
                <w:rFonts w:ascii="Times New Roman" w:eastAsia="Times New Roman" w:hAnsi="Times New Roman"/>
                <w:noProof/>
                <w:color w:val="000000"/>
                <w:sz w:val="18"/>
                <w:szCs w:val="18"/>
              </w:rPr>
            </w:pPr>
            <w:r>
              <w:rPr>
                <w:rFonts w:ascii="Times New Roman" w:hAnsi="Times New Roman"/>
                <w:noProof/>
                <w:color w:val="000000"/>
                <w:sz w:val="18"/>
              </w:rPr>
              <w:t>43 269 312</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43 269 312</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-647 775 173</w:t>
            </w:r>
          </w:p>
        </w:tc>
        <w:tc>
          <w:tcPr>
            <w:tcW w:w="1440"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-93,74 %</w:t>
            </w:r>
          </w:p>
        </w:tc>
      </w:tr>
      <w:tr>
        <w:trPr>
          <w:trHeight w:val="270"/>
        </w:trPr>
        <w:tc>
          <w:tcPr>
            <w:tcW w:w="627"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I alt</w:t>
            </w:r>
          </w:p>
        </w:tc>
        <w:tc>
          <w:tcPr>
            <w:tcW w:w="186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10 947 350 314</w:t>
            </w:r>
          </w:p>
        </w:tc>
        <w:tc>
          <w:tcPr>
            <w:tcW w:w="14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0</w:t>
            </w:r>
          </w:p>
        </w:tc>
        <w:tc>
          <w:tcPr>
            <w:tcW w:w="168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10 947 350 314</w:t>
            </w:r>
          </w:p>
        </w:tc>
        <w:tc>
          <w:tcPr>
            <w:tcW w:w="180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6 464 298 560</w:t>
            </w:r>
          </w:p>
        </w:tc>
        <w:tc>
          <w:tcPr>
            <w:tcW w:w="14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0</w:t>
            </w:r>
          </w:p>
        </w:tc>
        <w:tc>
          <w:tcPr>
            <w:tcW w:w="14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6 464 298 560</w:t>
            </w:r>
          </w:p>
        </w:tc>
        <w:tc>
          <w:tcPr>
            <w:tcW w:w="168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-4 483 051 754</w:t>
            </w:r>
          </w:p>
        </w:tc>
        <w:tc>
          <w:tcPr>
            <w:tcW w:w="1440" w:type="dxa"/>
            <w:gridSpan w:val="2"/>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-40,95 %</w:t>
            </w:r>
          </w:p>
        </w:tc>
      </w:tr>
    </w:tbl>
    <w:p>
      <w:pPr>
        <w:spacing w:after="0" w:line="240" w:lineRule="auto"/>
        <w:ind w:left="850"/>
        <w:jc w:val="both"/>
        <w:rPr>
          <w:rFonts w:ascii="Times New Roman" w:hAnsi="Times New Roman"/>
          <w:noProof/>
          <w:sz w:val="24"/>
        </w:rPr>
      </w:pPr>
    </w:p>
    <w:p>
      <w:pPr>
        <w:spacing w:after="0" w:line="240" w:lineRule="auto"/>
        <w:ind w:left="850"/>
        <w:jc w:val="both"/>
        <w:rPr>
          <w:rFonts w:ascii="Times New Roman" w:eastAsia="Times New Roman" w:hAnsi="Times New Roman"/>
          <w:noProof/>
          <w:sz w:val="24"/>
        </w:rPr>
      </w:pPr>
      <w:r>
        <w:rPr>
          <w:rFonts w:ascii="Times New Roman" w:hAnsi="Times New Roman"/>
          <w:noProof/>
          <w:sz w:val="24"/>
        </w:rPr>
        <w:t>Tabel 11b</w:t>
      </w:r>
    </w:p>
    <w:tbl>
      <w:tblPr>
        <w:tblW w:w="13413" w:type="dxa"/>
        <w:tblInd w:w="741" w:type="dxa"/>
        <w:tblLook w:val="04A0" w:firstRow="1" w:lastRow="0" w:firstColumn="1" w:lastColumn="0" w:noHBand="0" w:noVBand="1"/>
      </w:tblPr>
      <w:tblGrid>
        <w:gridCol w:w="730"/>
        <w:gridCol w:w="1757"/>
        <w:gridCol w:w="1440"/>
        <w:gridCol w:w="1680"/>
        <w:gridCol w:w="1800"/>
        <w:gridCol w:w="1440"/>
        <w:gridCol w:w="1446"/>
        <w:gridCol w:w="1529"/>
        <w:gridCol w:w="145"/>
        <w:gridCol w:w="1446"/>
      </w:tblGrid>
      <w:tr>
        <w:trPr>
          <w:trHeight w:val="207"/>
        </w:trPr>
        <w:tc>
          <w:tcPr>
            <w:tcW w:w="10293" w:type="dxa"/>
            <w:gridSpan w:val="7"/>
            <w:vMerge w:val="restart"/>
            <w:tcBorders>
              <w:top w:val="single" w:sz="8" w:space="0" w:color="auto"/>
              <w:left w:val="single" w:sz="8" w:space="0" w:color="auto"/>
              <w:bottom w:val="single" w:sz="8" w:space="0" w:color="000000"/>
              <w:right w:val="nil"/>
            </w:tcBorders>
            <w:shd w:val="clear" w:color="000000" w:fill="FFFF99"/>
            <w:noWrap/>
            <w:vAlign w:val="center"/>
            <w:hideMark/>
          </w:tcPr>
          <w:p>
            <w:pPr>
              <w:spacing w:after="0" w:line="240" w:lineRule="auto"/>
              <w:rPr>
                <w:rFonts w:ascii="Times New Roman" w:eastAsia="Times New Roman" w:hAnsi="Times New Roman"/>
                <w:b/>
                <w:bCs/>
                <w:noProof/>
                <w:sz w:val="18"/>
                <w:szCs w:val="18"/>
              </w:rPr>
            </w:pPr>
            <w:r>
              <w:rPr>
                <w:rFonts w:ascii="Times New Roman" w:hAnsi="Times New Roman"/>
                <w:b/>
                <w:noProof/>
                <w:sz w:val="18"/>
              </w:rPr>
              <w:t xml:space="preserve">Betalinger til medlemsstater - sammenligning af 2015 og 2014 - </w:t>
            </w:r>
            <w:r>
              <w:rPr>
                <w:rFonts w:ascii="Times New Roman" w:hAnsi="Times New Roman"/>
                <w:b/>
                <w:noProof/>
                <w:sz w:val="18"/>
                <w:u w:val="single"/>
              </w:rPr>
              <w:t>ELFUL 2014-2020</w:t>
            </w:r>
          </w:p>
        </w:tc>
        <w:tc>
          <w:tcPr>
            <w:tcW w:w="1529" w:type="dxa"/>
            <w:vMerge w:val="restart"/>
            <w:tcBorders>
              <w:top w:val="single" w:sz="8" w:space="0" w:color="auto"/>
              <w:left w:val="nil"/>
              <w:bottom w:val="single" w:sz="8" w:space="0" w:color="000000"/>
              <w:right w:val="nil"/>
            </w:tcBorders>
            <w:shd w:val="clear" w:color="000000" w:fill="FFFF99"/>
            <w:noWrap/>
            <w:vAlign w:val="center"/>
            <w:hideMark/>
          </w:tcPr>
          <w:p>
            <w:pPr>
              <w:spacing w:after="0" w:line="240" w:lineRule="auto"/>
              <w:jc w:val="center"/>
              <w:rPr>
                <w:rFonts w:ascii="Times New Roman" w:eastAsia="Times New Roman" w:hAnsi="Times New Roman"/>
                <w:b/>
                <w:bCs/>
                <w:i/>
                <w:iCs/>
                <w:noProof/>
                <w:sz w:val="18"/>
                <w:szCs w:val="18"/>
              </w:rPr>
            </w:pPr>
            <w:r>
              <w:rPr>
                <w:rFonts w:ascii="Times New Roman" w:hAnsi="Times New Roman"/>
                <w:b/>
                <w:i/>
                <w:noProof/>
                <w:sz w:val="18"/>
              </w:rPr>
              <w:t>(EUR)</w:t>
            </w:r>
          </w:p>
        </w:tc>
        <w:tc>
          <w:tcPr>
            <w:tcW w:w="1591" w:type="dxa"/>
            <w:gridSpan w:val="2"/>
            <w:vMerge w:val="restart"/>
            <w:tcBorders>
              <w:top w:val="single" w:sz="8" w:space="0" w:color="auto"/>
              <w:left w:val="nil"/>
              <w:bottom w:val="single" w:sz="8" w:space="0" w:color="000000"/>
              <w:right w:val="single" w:sz="8" w:space="0" w:color="auto"/>
            </w:tcBorders>
            <w:shd w:val="clear" w:color="000000" w:fill="FFFF99"/>
            <w:noWrap/>
            <w:vAlign w:val="center"/>
            <w:hideMark/>
          </w:tcPr>
          <w:p>
            <w:pPr>
              <w:spacing w:after="0" w:line="240" w:lineRule="auto"/>
              <w:rPr>
                <w:rFonts w:ascii="Times New Roman" w:eastAsia="Times New Roman" w:hAnsi="Times New Roman"/>
                <w:noProof/>
                <w:sz w:val="18"/>
                <w:szCs w:val="18"/>
              </w:rPr>
            </w:pPr>
            <w:r>
              <w:rPr>
                <w:rFonts w:ascii="Times New Roman" w:hAnsi="Times New Roman"/>
                <w:noProof/>
                <w:sz w:val="18"/>
              </w:rPr>
              <w:t> </w:t>
            </w:r>
          </w:p>
        </w:tc>
      </w:tr>
      <w:tr>
        <w:trPr>
          <w:trHeight w:val="270"/>
        </w:trPr>
        <w:tc>
          <w:tcPr>
            <w:tcW w:w="10293" w:type="dxa"/>
            <w:gridSpan w:val="7"/>
            <w:vMerge/>
            <w:tcBorders>
              <w:top w:val="single" w:sz="8" w:space="0" w:color="auto"/>
              <w:left w:val="single" w:sz="8" w:space="0" w:color="auto"/>
              <w:bottom w:val="single" w:sz="8" w:space="0" w:color="000000"/>
              <w:right w:val="nil"/>
            </w:tcBorders>
            <w:vAlign w:val="center"/>
            <w:hideMark/>
          </w:tcPr>
          <w:p>
            <w:pPr>
              <w:spacing w:after="0" w:line="240" w:lineRule="auto"/>
              <w:rPr>
                <w:rFonts w:ascii="Times New Roman" w:eastAsia="Times New Roman" w:hAnsi="Times New Roman"/>
                <w:b/>
                <w:bCs/>
                <w:noProof/>
                <w:sz w:val="18"/>
                <w:szCs w:val="18"/>
              </w:rPr>
            </w:pPr>
          </w:p>
        </w:tc>
        <w:tc>
          <w:tcPr>
            <w:tcW w:w="1529" w:type="dxa"/>
            <w:vMerge/>
            <w:tcBorders>
              <w:top w:val="single" w:sz="8" w:space="0" w:color="auto"/>
              <w:left w:val="nil"/>
              <w:bottom w:val="single" w:sz="8" w:space="0" w:color="000000"/>
              <w:right w:val="nil"/>
            </w:tcBorders>
            <w:vAlign w:val="center"/>
            <w:hideMark/>
          </w:tcPr>
          <w:p>
            <w:pPr>
              <w:spacing w:after="0" w:line="240" w:lineRule="auto"/>
              <w:rPr>
                <w:rFonts w:ascii="Times New Roman" w:eastAsia="Times New Roman" w:hAnsi="Times New Roman"/>
                <w:b/>
                <w:bCs/>
                <w:i/>
                <w:iCs/>
                <w:noProof/>
                <w:sz w:val="18"/>
                <w:szCs w:val="18"/>
              </w:rPr>
            </w:pPr>
          </w:p>
        </w:tc>
        <w:tc>
          <w:tcPr>
            <w:tcW w:w="1591" w:type="dxa"/>
            <w:gridSpan w:val="2"/>
            <w:vMerge/>
            <w:tcBorders>
              <w:top w:val="single" w:sz="8" w:space="0" w:color="auto"/>
              <w:left w:val="nil"/>
              <w:bottom w:val="single" w:sz="8" w:space="0" w:color="000000"/>
              <w:right w:val="single" w:sz="8" w:space="0" w:color="auto"/>
            </w:tcBorders>
            <w:vAlign w:val="center"/>
            <w:hideMark/>
          </w:tcPr>
          <w:p>
            <w:pPr>
              <w:spacing w:after="0" w:line="240" w:lineRule="auto"/>
              <w:rPr>
                <w:rFonts w:ascii="Times New Roman" w:eastAsia="Times New Roman" w:hAnsi="Times New Roman"/>
                <w:noProof/>
                <w:sz w:val="18"/>
                <w:szCs w:val="18"/>
              </w:rPr>
            </w:pPr>
          </w:p>
        </w:tc>
      </w:tr>
      <w:tr>
        <w:trPr>
          <w:trHeight w:val="270"/>
        </w:trPr>
        <w:tc>
          <w:tcPr>
            <w:tcW w:w="730" w:type="dxa"/>
            <w:vMerge w:val="restart"/>
            <w:tcBorders>
              <w:top w:val="nil"/>
              <w:left w:val="single" w:sz="8" w:space="0" w:color="auto"/>
              <w:bottom w:val="single" w:sz="8" w:space="0" w:color="000000"/>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MS</w:t>
            </w:r>
          </w:p>
        </w:tc>
        <w:tc>
          <w:tcPr>
            <w:tcW w:w="4877" w:type="dxa"/>
            <w:gridSpan w:val="3"/>
            <w:tcBorders>
              <w:top w:val="single" w:sz="8" w:space="0" w:color="auto"/>
              <w:left w:val="nil"/>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2014</w:t>
            </w:r>
          </w:p>
        </w:tc>
        <w:tc>
          <w:tcPr>
            <w:tcW w:w="4686" w:type="dxa"/>
            <w:gridSpan w:val="3"/>
            <w:tcBorders>
              <w:top w:val="single" w:sz="8" w:space="0" w:color="auto"/>
              <w:left w:val="nil"/>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2015</w:t>
            </w:r>
          </w:p>
        </w:tc>
        <w:tc>
          <w:tcPr>
            <w:tcW w:w="3120" w:type="dxa"/>
            <w:gridSpan w:val="3"/>
            <w:tcBorders>
              <w:top w:val="single" w:sz="8" w:space="0" w:color="auto"/>
              <w:left w:val="nil"/>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Forskel 2015 og 2014</w:t>
            </w:r>
          </w:p>
        </w:tc>
      </w:tr>
      <w:tr>
        <w:trPr>
          <w:trHeight w:val="270"/>
        </w:trPr>
        <w:tc>
          <w:tcPr>
            <w:tcW w:w="730" w:type="dxa"/>
            <w:vMerge/>
            <w:tcBorders>
              <w:top w:val="nil"/>
              <w:left w:val="single" w:sz="8" w:space="0" w:color="auto"/>
              <w:bottom w:val="single" w:sz="8" w:space="0" w:color="000000"/>
              <w:right w:val="single" w:sz="8" w:space="0" w:color="auto"/>
            </w:tcBorders>
            <w:vAlign w:val="center"/>
            <w:hideMark/>
          </w:tcPr>
          <w:p>
            <w:pPr>
              <w:spacing w:after="0" w:line="240" w:lineRule="auto"/>
              <w:rPr>
                <w:rFonts w:ascii="Times New Roman" w:eastAsia="Times New Roman" w:hAnsi="Times New Roman"/>
                <w:b/>
                <w:bCs/>
                <w:noProof/>
                <w:sz w:val="18"/>
                <w:szCs w:val="18"/>
              </w:rPr>
            </w:pPr>
          </w:p>
        </w:tc>
        <w:tc>
          <w:tcPr>
            <w:tcW w:w="1757" w:type="dxa"/>
            <w:tcBorders>
              <w:top w:val="nil"/>
              <w:left w:val="nil"/>
              <w:bottom w:val="single" w:sz="8" w:space="0" w:color="auto"/>
              <w:right w:val="nil"/>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Mellemliggende betalinger</w:t>
            </w:r>
          </w:p>
        </w:tc>
        <w:tc>
          <w:tcPr>
            <w:tcW w:w="144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Forfinansiering</w:t>
            </w:r>
          </w:p>
        </w:tc>
        <w:tc>
          <w:tcPr>
            <w:tcW w:w="168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I alt</w:t>
            </w:r>
          </w:p>
        </w:tc>
        <w:tc>
          <w:tcPr>
            <w:tcW w:w="1800" w:type="dxa"/>
            <w:tcBorders>
              <w:top w:val="nil"/>
              <w:left w:val="nil"/>
              <w:bottom w:val="single" w:sz="8" w:space="0" w:color="auto"/>
              <w:right w:val="nil"/>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Mellemliggende betalinger</w:t>
            </w:r>
          </w:p>
        </w:tc>
        <w:tc>
          <w:tcPr>
            <w:tcW w:w="144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Forfinansiering</w:t>
            </w:r>
          </w:p>
        </w:tc>
        <w:tc>
          <w:tcPr>
            <w:tcW w:w="1446" w:type="dxa"/>
            <w:tcBorders>
              <w:top w:val="nil"/>
              <w:left w:val="nil"/>
              <w:bottom w:val="single" w:sz="8" w:space="0" w:color="auto"/>
              <w:right w:val="nil"/>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I alt</w:t>
            </w:r>
          </w:p>
        </w:tc>
        <w:tc>
          <w:tcPr>
            <w:tcW w:w="1674" w:type="dxa"/>
            <w:gridSpan w:val="2"/>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(EUR)</w:t>
            </w:r>
          </w:p>
        </w:tc>
        <w:tc>
          <w:tcPr>
            <w:tcW w:w="1446"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AT</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39 375 520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39 375 520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381 361 904</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39 375 520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420 737 424</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381 361 904</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968,53 %</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BE</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60 955 847</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12 955 955</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73 911 803</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73 911 803</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BG</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47 334 339</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47 334 339</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47 334 339</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CY</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3 967 331</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3 967 331</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3 967 331</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CZ</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187 621 864</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46 113 480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233 735 344</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233 735 344</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DE</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15 994 705</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15 994 705</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270 520 722</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171 219 696</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441 740 417</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425 745 712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2661,79 %</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DK</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6 294 007</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6 294 007</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1 704 161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6 294 007</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7 998 168</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1 704 161</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27,08 %</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EE</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31 042 916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16 466 831</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47 509 747</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47 509 747</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ES</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12 750 662</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207 434 721</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220 185 382</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220 185 382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FI</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23 596 993</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23 596 993</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382 518 728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24 011 173</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406 529 902</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382 932 908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1622,80 %</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FR</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345 362 039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227 696 885</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573 058 924</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573 058 924</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GR</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141 548 754</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141 548 754</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141 548 754</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HR</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54 335 233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40 524 450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94 859 683</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94 859 683</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HU</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68 613 290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68 613 290</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68 613 290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IE</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327 135 539</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54 764 804</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381 900 343</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381 900 343</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IT</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7 578 868</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208 887 615</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216 466 483</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216 466 483</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LT</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38 414 223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32 261 765</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70 675 988</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70 675 988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LU</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12 209 640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2 011 492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14 221 132</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14 221 132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LV</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53 339 164</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21 512 076</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74 851 240</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74 851 240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MT</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1 946 538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1 946 538</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1 946 538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NL</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27 621 653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12 146 107</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39 767 761</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39 767 761</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PL</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85 982 808</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85 982 808</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174 360 865</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85 982 808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260 343 673</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174 360 865</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202,79 %</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PT</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53 745 852</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53 745 852</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226 596 314</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47 698 857</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274 295 171</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220 549 318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410,36 %</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RO</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243 839 892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243 839 892</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243 839 892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SE</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140 723 643</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34 911 305</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175 634 948</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175 634 948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SI</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29 933 496</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16 756 996</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46 690 492</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46 690 492</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SK</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61 667 351</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30 905 457</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92 572 808</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92 572 808</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FF"/>
            <w:vAlign w:val="center"/>
            <w:hideMark/>
          </w:tcPr>
          <w:p>
            <w:pPr>
              <w:spacing w:after="0" w:line="240" w:lineRule="auto"/>
              <w:jc w:val="center"/>
              <w:rPr>
                <w:rFonts w:ascii="Times New Roman" w:eastAsia="Times New Roman" w:hAnsi="Times New Roman"/>
                <w:b/>
                <w:bCs/>
                <w:noProof/>
                <w:color w:val="000000"/>
                <w:sz w:val="18"/>
                <w:szCs w:val="18"/>
              </w:rPr>
            </w:pPr>
            <w:r>
              <w:rPr>
                <w:rFonts w:ascii="Times New Roman" w:hAnsi="Times New Roman"/>
                <w:b/>
                <w:noProof/>
                <w:color w:val="000000"/>
                <w:sz w:val="18"/>
              </w:rPr>
              <w:t>UK</w:t>
            </w:r>
          </w:p>
        </w:tc>
        <w:tc>
          <w:tcPr>
            <w:tcW w:w="1757"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6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0</w:t>
            </w:r>
          </w:p>
        </w:tc>
        <w:tc>
          <w:tcPr>
            <w:tcW w:w="18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479 188 117</w:t>
            </w:r>
          </w:p>
        </w:tc>
        <w:tc>
          <w:tcPr>
            <w:tcW w:w="144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98 067 330</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577 255 447</w:t>
            </w:r>
          </w:p>
        </w:tc>
        <w:tc>
          <w:tcPr>
            <w:tcW w:w="1674" w:type="dxa"/>
            <w:gridSpan w:val="2"/>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577 255 447</w:t>
            </w:r>
          </w:p>
        </w:tc>
        <w:tc>
          <w:tcPr>
            <w:tcW w:w="1446"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8"/>
                <w:szCs w:val="18"/>
              </w:rPr>
            </w:pPr>
            <w:r>
              <w:rPr>
                <w:rFonts w:ascii="Times New Roman" w:hAnsi="Times New Roman"/>
                <w:noProof/>
                <w:sz w:val="18"/>
              </w:rPr>
              <w:t>Ikke relevant</w:t>
            </w:r>
          </w:p>
        </w:tc>
      </w:tr>
      <w:tr>
        <w:trPr>
          <w:trHeight w:val="270"/>
        </w:trPr>
        <w:tc>
          <w:tcPr>
            <w:tcW w:w="73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I alt</w:t>
            </w:r>
          </w:p>
        </w:tc>
        <w:tc>
          <w:tcPr>
            <w:tcW w:w="1757"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0</w:t>
            </w:r>
          </w:p>
        </w:tc>
        <w:tc>
          <w:tcPr>
            <w:tcW w:w="14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224 989 886</w:t>
            </w:r>
          </w:p>
        </w:tc>
        <w:tc>
          <w:tcPr>
            <w:tcW w:w="168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224 989 886</w:t>
            </w:r>
          </w:p>
        </w:tc>
        <w:tc>
          <w:tcPr>
            <w:tcW w:w="180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3 306 942 948</w:t>
            </w:r>
          </w:p>
        </w:tc>
        <w:tc>
          <w:tcPr>
            <w:tcW w:w="14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1 945 249 474</w:t>
            </w:r>
          </w:p>
        </w:tc>
        <w:tc>
          <w:tcPr>
            <w:tcW w:w="1446"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5 252 192 422</w:t>
            </w:r>
          </w:p>
        </w:tc>
        <w:tc>
          <w:tcPr>
            <w:tcW w:w="1674" w:type="dxa"/>
            <w:gridSpan w:val="2"/>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5 027 202 536</w:t>
            </w:r>
          </w:p>
        </w:tc>
        <w:tc>
          <w:tcPr>
            <w:tcW w:w="1446"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8"/>
                <w:szCs w:val="18"/>
              </w:rPr>
            </w:pPr>
            <w:r>
              <w:rPr>
                <w:rFonts w:ascii="Times New Roman" w:hAnsi="Times New Roman"/>
                <w:b/>
                <w:noProof/>
                <w:sz w:val="18"/>
              </w:rPr>
              <w:t>2234,41 %</w:t>
            </w:r>
          </w:p>
        </w:tc>
      </w:tr>
    </w:tbl>
    <w:p>
      <w:pPr>
        <w:spacing w:before="120" w:after="120" w:line="240" w:lineRule="auto"/>
        <w:jc w:val="both"/>
        <w:rPr>
          <w:rFonts w:ascii="Times New Roman" w:eastAsia="Times New Roman" w:hAnsi="Times New Roman"/>
          <w:noProof/>
          <w:sz w:val="24"/>
        </w:rPr>
        <w:sectPr>
          <w:headerReference w:type="even" r:id="rId29"/>
          <w:headerReference w:type="default" r:id="rId30"/>
          <w:footerReference w:type="even" r:id="rId31"/>
          <w:footerReference w:type="default" r:id="rId32"/>
          <w:headerReference w:type="first" r:id="rId33"/>
          <w:footerReference w:type="first" r:id="rId34"/>
          <w:pgSz w:w="16839" w:h="11907" w:orient="landscape" w:code="9"/>
          <w:pgMar w:top="600" w:right="1134" w:bottom="1418" w:left="1134" w:header="360" w:footer="0" w:gutter="0"/>
          <w:cols w:space="708"/>
          <w:docGrid w:linePitch="360"/>
        </w:sectPr>
      </w:pPr>
    </w:p>
    <w:p>
      <w:pPr>
        <w:keepNext/>
        <w:tabs>
          <w:tab w:val="left" w:pos="850"/>
        </w:tabs>
        <w:spacing w:before="240" w:after="120" w:line="240" w:lineRule="auto"/>
        <w:ind w:left="850" w:hanging="850"/>
        <w:jc w:val="both"/>
        <w:outlineLvl w:val="2"/>
        <w:rPr>
          <w:rFonts w:ascii="Times New Roman" w:eastAsia="Times New Roman" w:hAnsi="Times New Roman"/>
          <w:i/>
          <w:noProof/>
          <w:sz w:val="24"/>
        </w:rPr>
      </w:pPr>
      <w:bookmarkStart w:id="82" w:name="_Toc331167076"/>
      <w:bookmarkStart w:id="83" w:name="_Toc393127484"/>
      <w:bookmarkStart w:id="84" w:name="_Toc457569422"/>
      <w:bookmarkStart w:id="85" w:name="_Toc461195005"/>
      <w:r>
        <w:rPr>
          <w:rFonts w:ascii="Times New Roman" w:hAnsi="Times New Roman"/>
          <w:i/>
          <w:noProof/>
          <w:sz w:val="24"/>
        </w:rPr>
        <w:t>3.2.2.</w:t>
      </w:r>
      <w:r>
        <w:rPr>
          <w:noProof/>
        </w:rPr>
        <w:tab/>
      </w:r>
      <w:r>
        <w:rPr>
          <w:rFonts w:ascii="Times New Roman" w:hAnsi="Times New Roman"/>
          <w:i/>
          <w:noProof/>
          <w:sz w:val="24"/>
        </w:rPr>
        <w:t>Teknisk bistand</w:t>
      </w:r>
      <w:bookmarkEnd w:id="82"/>
      <w:bookmarkEnd w:id="83"/>
      <w:bookmarkEnd w:id="84"/>
      <w:bookmarkEnd w:id="85"/>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Budgettet for 2015 indeholdt ikke flere betalingsbevillinger til teknisk bistand vedrørende programmeringsperioden 2007-2013. Der blev dog fremført 0,2 mio. EUR til 2014.</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 xml:space="preserve">Med hensyn til programmeringsperioden 2014-2020 androg betalingsbevillingerne til teknisk bistand 19,8 mio. EUR. Nogle af disse bevillinger (8,8 mio. EUR) blev overført til dækning af betalingsbehov relateret til landdistriktsprogrammer under Mål nr. 1 og ELFUL 2007-2013. </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Tabel 12 viser betalingerne efter hovedaktivitet. Hovedparten vedrører det europæiske netværk for udvikling af landdistrikter.</w:t>
      </w:r>
    </w:p>
    <w:p>
      <w:pPr>
        <w:spacing w:before="120" w:after="120" w:line="240" w:lineRule="auto"/>
        <w:ind w:left="850"/>
        <w:jc w:val="both"/>
        <w:rPr>
          <w:rFonts w:ascii="Times New Roman" w:eastAsia="Times New Roman" w:hAnsi="Times New Roman"/>
          <w:noProof/>
          <w:sz w:val="24"/>
        </w:rPr>
      </w:pPr>
      <w:bookmarkStart w:id="86" w:name="OLE_LINK17"/>
      <w:r>
        <w:rPr>
          <w:rFonts w:ascii="Times New Roman" w:hAnsi="Times New Roman"/>
          <w:noProof/>
          <w:sz w:val="24"/>
        </w:rPr>
        <w:t>Tabel 12</w:t>
      </w:r>
    </w:p>
    <w:tbl>
      <w:tblPr>
        <w:tblW w:w="0" w:type="auto"/>
        <w:tblInd w:w="922" w:type="dxa"/>
        <w:tblLook w:val="04A0" w:firstRow="1" w:lastRow="0" w:firstColumn="1" w:lastColumn="0" w:noHBand="0" w:noVBand="1"/>
      </w:tblPr>
      <w:tblGrid>
        <w:gridCol w:w="4171"/>
        <w:gridCol w:w="1389"/>
      </w:tblGrid>
      <w:tr>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000000" w:fill="FFFF99"/>
            <w:vAlign w:val="center"/>
            <w:hideMark/>
          </w:tcPr>
          <w:p>
            <w:pPr>
              <w:spacing w:after="0" w:line="240" w:lineRule="auto"/>
              <w:rPr>
                <w:rFonts w:ascii="Times New Roman" w:eastAsia="Times New Roman" w:hAnsi="Times New Roman"/>
                <w:b/>
                <w:bCs/>
                <w:i/>
                <w:iCs/>
                <w:noProof/>
              </w:rPr>
            </w:pPr>
            <w:r>
              <w:rPr>
                <w:rFonts w:ascii="Times New Roman" w:hAnsi="Times New Roman"/>
                <w:b/>
                <w:i/>
                <w:noProof/>
              </w:rPr>
              <w:t>Teknisk bistand – gennemførelse af betalingsbevillinger</w:t>
            </w:r>
          </w:p>
        </w:tc>
      </w:tr>
      <w:tr>
        <w:trPr>
          <w:trHeight w:val="270"/>
        </w:trPr>
        <w:tc>
          <w:tcPr>
            <w:tcW w:w="0" w:type="auto"/>
            <w:tcBorders>
              <w:top w:val="nil"/>
              <w:left w:val="single" w:sz="4" w:space="0" w:color="auto"/>
              <w:bottom w:val="single" w:sz="4" w:space="0" w:color="auto"/>
              <w:right w:val="nil"/>
            </w:tcBorders>
            <w:shd w:val="clear" w:color="auto" w:fill="auto"/>
            <w:noWrap/>
            <w:vAlign w:val="center"/>
            <w:hideMark/>
          </w:tcPr>
          <w:p>
            <w:pPr>
              <w:spacing w:after="0" w:line="240" w:lineRule="auto"/>
              <w:rPr>
                <w:rFonts w:ascii="Times New Roman" w:eastAsia="Times New Roman" w:hAnsi="Times New Roman"/>
                <w:b/>
                <w:bCs/>
                <w:noProo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i/>
                <w:iCs/>
                <w:noProof/>
                <w:sz w:val="20"/>
                <w:szCs w:val="20"/>
              </w:rPr>
            </w:pPr>
          </w:p>
        </w:tc>
      </w:tr>
      <w:tr>
        <w:trPr>
          <w:trHeight w:val="270"/>
        </w:trPr>
        <w:tc>
          <w:tcPr>
            <w:tcW w:w="0" w:type="auto"/>
            <w:tcBorders>
              <w:top w:val="nil"/>
              <w:left w:val="single" w:sz="4" w:space="0" w:color="auto"/>
              <w:bottom w:val="single" w:sz="4" w:space="0" w:color="auto"/>
              <w:right w:val="single" w:sz="4"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Beskrivelse</w:t>
            </w:r>
          </w:p>
        </w:tc>
        <w:tc>
          <w:tcPr>
            <w:tcW w:w="0" w:type="auto"/>
            <w:tcBorders>
              <w:top w:val="nil"/>
              <w:left w:val="nil"/>
              <w:bottom w:val="single" w:sz="4" w:space="0" w:color="auto"/>
              <w:right w:val="single" w:sz="4" w:space="0" w:color="auto"/>
            </w:tcBorders>
            <w:shd w:val="clear" w:color="000000" w:fill="FFFF99"/>
            <w:vAlign w:val="center"/>
            <w:hideMark/>
          </w:tcPr>
          <w:p>
            <w:pPr>
              <w:spacing w:after="0" w:line="240" w:lineRule="auto"/>
              <w:jc w:val="center"/>
              <w:rPr>
                <w:rFonts w:ascii="Times New Roman" w:eastAsia="Times New Roman" w:hAnsi="Times New Roman"/>
                <w:b/>
                <w:bCs/>
                <w:noProof/>
                <w:sz w:val="20"/>
                <w:szCs w:val="20"/>
              </w:rPr>
            </w:pPr>
            <w:r>
              <w:rPr>
                <w:rFonts w:ascii="Times New Roman" w:hAnsi="Times New Roman"/>
                <w:b/>
                <w:noProof/>
                <w:sz w:val="20"/>
              </w:rPr>
              <w:t xml:space="preserve">Afholdt beløb </w:t>
            </w:r>
          </w:p>
        </w:tc>
      </w:tr>
      <w:tr>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rPr>
                <w:rFonts w:ascii="Times New Roman" w:eastAsia="Times New Roman" w:hAnsi="Times New Roman"/>
                <w:b/>
                <w:bCs/>
                <w:noProof/>
                <w:sz w:val="24"/>
                <w:szCs w:val="24"/>
              </w:rPr>
            </w:pPr>
            <w:r>
              <w:rPr>
                <w:rFonts w:ascii="Times New Roman" w:hAnsi="Times New Roman"/>
                <w:b/>
                <w:noProof/>
                <w:sz w:val="24"/>
              </w:rPr>
              <w:t>Budgetkonto: 05.040502</w:t>
            </w:r>
          </w:p>
        </w:tc>
        <w:tc>
          <w:tcPr>
            <w:tcW w:w="0" w:type="auto"/>
            <w:tcBorders>
              <w:top w:val="nil"/>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i/>
                <w:iCs/>
                <w:noProof/>
                <w:sz w:val="20"/>
                <w:szCs w:val="20"/>
              </w:rPr>
            </w:pPr>
            <w:r>
              <w:rPr>
                <w:rFonts w:ascii="Times New Roman" w:hAnsi="Times New Roman"/>
                <w:i/>
                <w:noProof/>
                <w:sz w:val="20"/>
              </w:rPr>
              <w:t xml:space="preserve">(EUR) </w:t>
            </w:r>
          </w:p>
        </w:tc>
      </w:tr>
      <w:tr>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Informationsteknologi</w:t>
            </w:r>
          </w:p>
        </w:tc>
        <w:tc>
          <w:tcPr>
            <w:tcW w:w="0" w:type="auto"/>
            <w:tcBorders>
              <w:top w:val="nil"/>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154 655</w:t>
            </w:r>
          </w:p>
        </w:tc>
      </w:tr>
      <w:tr>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I alt: 05.040502</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154 655</w:t>
            </w:r>
          </w:p>
        </w:tc>
      </w:tr>
      <w:tr>
        <w:trPr>
          <w:trHeight w:val="270"/>
        </w:trPr>
        <w:tc>
          <w:tcPr>
            <w:tcW w:w="0" w:type="auto"/>
            <w:tcBorders>
              <w:top w:val="nil"/>
              <w:left w:val="single" w:sz="4" w:space="0" w:color="auto"/>
              <w:bottom w:val="single" w:sz="4" w:space="0" w:color="auto"/>
              <w:right w:val="nil"/>
            </w:tcBorders>
            <w:shd w:val="clear" w:color="auto" w:fill="auto"/>
            <w:noWrap/>
            <w:vAlign w:val="center"/>
            <w:hideMark/>
          </w:tcPr>
          <w:p>
            <w:pPr>
              <w:spacing w:after="0" w:line="240" w:lineRule="auto"/>
              <w:rPr>
                <w:rFonts w:ascii="Times New Roman" w:eastAsia="Times New Roman" w:hAnsi="Times New Roman"/>
                <w:b/>
                <w:bCs/>
                <w:noProof/>
                <w:sz w:val="20"/>
                <w:szCs w:val="20"/>
              </w:rPr>
            </w:pPr>
          </w:p>
        </w:tc>
        <w:tc>
          <w:tcPr>
            <w:tcW w:w="0" w:type="auto"/>
            <w:tcBorders>
              <w:top w:val="nil"/>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i/>
                <w:iCs/>
                <w:noProof/>
                <w:sz w:val="20"/>
                <w:szCs w:val="20"/>
              </w:rPr>
            </w:pPr>
          </w:p>
        </w:tc>
      </w:tr>
      <w:tr>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pPr>
              <w:spacing w:after="0" w:line="240" w:lineRule="auto"/>
              <w:rPr>
                <w:rFonts w:ascii="Times New Roman" w:eastAsia="Times New Roman" w:hAnsi="Times New Roman"/>
                <w:b/>
                <w:bCs/>
                <w:noProof/>
                <w:sz w:val="24"/>
                <w:szCs w:val="24"/>
              </w:rPr>
            </w:pPr>
            <w:r>
              <w:rPr>
                <w:rFonts w:ascii="Times New Roman" w:hAnsi="Times New Roman"/>
                <w:b/>
                <w:noProof/>
                <w:sz w:val="24"/>
              </w:rPr>
              <w:t>Budgetkonto: 05.046002</w:t>
            </w:r>
          </w:p>
        </w:tc>
        <w:tc>
          <w:tcPr>
            <w:tcW w:w="0" w:type="auto"/>
            <w:tcBorders>
              <w:top w:val="nil"/>
              <w:left w:val="nil"/>
              <w:bottom w:val="single" w:sz="4" w:space="0" w:color="auto"/>
              <w:right w:val="single" w:sz="4" w:space="0" w:color="auto"/>
            </w:tcBorders>
            <w:shd w:val="clear" w:color="auto" w:fill="auto"/>
            <w:noWrap/>
            <w:vAlign w:val="center"/>
            <w:hideMark/>
          </w:tcPr>
          <w:p>
            <w:pPr>
              <w:spacing w:after="0" w:line="240" w:lineRule="auto"/>
              <w:jc w:val="right"/>
              <w:rPr>
                <w:rFonts w:ascii="Times New Roman" w:eastAsia="Times New Roman" w:hAnsi="Times New Roman"/>
                <w:i/>
                <w:iCs/>
                <w:noProof/>
                <w:sz w:val="20"/>
                <w:szCs w:val="20"/>
              </w:rPr>
            </w:pPr>
            <w:r>
              <w:rPr>
                <w:rFonts w:ascii="Times New Roman" w:hAnsi="Times New Roman"/>
                <w:i/>
                <w:noProof/>
                <w:sz w:val="20"/>
              </w:rPr>
              <w:t xml:space="preserve">(EUR) </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xml:space="preserve">Det europæiske netværk for landdistriktudvikling </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3 379 803</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Europæiske innovationspartnerskaber</w:t>
            </w:r>
            <w:r>
              <w:rPr>
                <w:rFonts w:ascii="Times New Roman" w:hAnsi="Times New Roman"/>
                <w:noProof/>
              </w:rPr>
              <w:t xml:space="preserve"> </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2 102 856</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Informationsteknologi</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1 701 673</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 xml:space="preserve">Det europæiske evalueringsnetværk </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1 156 864</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Arrangementer</w:t>
            </w:r>
          </w:p>
        </w:tc>
        <w:tc>
          <w:tcPr>
            <w:tcW w:w="0" w:type="auto"/>
            <w:tcBorders>
              <w:top w:val="nil"/>
              <w:left w:val="nil"/>
              <w:bottom w:val="single" w:sz="4" w:space="0" w:color="auto"/>
              <w:right w:val="single" w:sz="4" w:space="0" w:color="auto"/>
            </w:tcBorders>
            <w:shd w:val="clear" w:color="000000" w:fill="FFFFFF"/>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295 482</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noProof/>
                <w:sz w:val="20"/>
                <w:szCs w:val="20"/>
              </w:rPr>
            </w:pPr>
            <w:r>
              <w:rPr>
                <w:rFonts w:ascii="Times New Roman" w:hAnsi="Times New Roman"/>
                <w:noProof/>
                <w:sz w:val="20"/>
              </w:rPr>
              <w:t>Beskyttelse af EU-symboler</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noProof/>
                <w:sz w:val="20"/>
                <w:szCs w:val="20"/>
              </w:rPr>
            </w:pPr>
            <w:r>
              <w:rPr>
                <w:rFonts w:ascii="Times New Roman" w:hAnsi="Times New Roman"/>
                <w:noProof/>
                <w:sz w:val="20"/>
              </w:rPr>
              <w:t>150 000</w:t>
            </w:r>
          </w:p>
        </w:tc>
      </w:tr>
      <w:tr>
        <w:trPr>
          <w:trHeight w:val="294"/>
        </w:trPr>
        <w:tc>
          <w:tcPr>
            <w:tcW w:w="0" w:type="auto"/>
            <w:tcBorders>
              <w:top w:val="nil"/>
              <w:left w:val="single" w:sz="4" w:space="0" w:color="auto"/>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I alt: 05.0406002</w:t>
            </w:r>
          </w:p>
        </w:tc>
        <w:tc>
          <w:tcPr>
            <w:tcW w:w="0" w:type="auto"/>
            <w:tcBorders>
              <w:top w:val="nil"/>
              <w:left w:val="nil"/>
              <w:bottom w:val="single" w:sz="4" w:space="0" w:color="auto"/>
              <w:right w:val="single" w:sz="4" w:space="0" w:color="auto"/>
            </w:tcBorders>
            <w:shd w:val="clear" w:color="auto" w:fill="auto"/>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8 786 679</w:t>
            </w:r>
          </w:p>
        </w:tc>
      </w:tr>
      <w:tr>
        <w:trPr>
          <w:trHeight w:val="294"/>
        </w:trPr>
        <w:tc>
          <w:tcPr>
            <w:tcW w:w="0" w:type="auto"/>
            <w:tcBorders>
              <w:top w:val="nil"/>
              <w:left w:val="single" w:sz="4" w:space="0" w:color="auto"/>
              <w:bottom w:val="nil"/>
              <w:right w:val="nil"/>
            </w:tcBorders>
            <w:shd w:val="clear" w:color="auto" w:fill="auto"/>
            <w:noWrap/>
            <w:vAlign w:val="bottom"/>
            <w:hideMark/>
          </w:tcPr>
          <w:p>
            <w:pPr>
              <w:spacing w:after="0" w:line="240" w:lineRule="auto"/>
              <w:rPr>
                <w:rFonts w:ascii="Arial" w:eastAsia="Times New Roman" w:hAnsi="Arial" w:cs="Arial"/>
                <w:noProof/>
                <w:sz w:val="20"/>
                <w:szCs w:val="20"/>
              </w:rPr>
            </w:pPr>
          </w:p>
        </w:tc>
        <w:tc>
          <w:tcPr>
            <w:tcW w:w="0" w:type="auto"/>
            <w:tcBorders>
              <w:top w:val="nil"/>
              <w:left w:val="nil"/>
              <w:bottom w:val="nil"/>
              <w:right w:val="single" w:sz="4" w:space="0" w:color="auto"/>
            </w:tcBorders>
            <w:shd w:val="clear" w:color="auto" w:fill="auto"/>
            <w:noWrap/>
            <w:vAlign w:val="bottom"/>
            <w:hideMark/>
          </w:tcPr>
          <w:p>
            <w:pPr>
              <w:spacing w:after="0" w:line="240" w:lineRule="auto"/>
              <w:rPr>
                <w:rFonts w:ascii="Arial" w:eastAsia="Times New Roman" w:hAnsi="Arial" w:cs="Arial"/>
                <w:noProof/>
                <w:sz w:val="20"/>
                <w:szCs w:val="20"/>
              </w:rPr>
            </w:pPr>
          </w:p>
        </w:tc>
      </w:tr>
      <w:tr>
        <w:trPr>
          <w:trHeight w:val="270"/>
        </w:trPr>
        <w:tc>
          <w:tcPr>
            <w:tcW w:w="0" w:type="auto"/>
            <w:tcBorders>
              <w:top w:val="single" w:sz="4" w:space="0" w:color="auto"/>
              <w:left w:val="single" w:sz="4" w:space="0" w:color="auto"/>
              <w:bottom w:val="single" w:sz="4" w:space="0" w:color="auto"/>
              <w:right w:val="single" w:sz="4" w:space="0" w:color="auto"/>
            </w:tcBorders>
            <w:shd w:val="clear" w:color="000000" w:fill="FFFF99"/>
            <w:vAlign w:val="center"/>
            <w:hideMark/>
          </w:tcPr>
          <w:p>
            <w:pPr>
              <w:spacing w:after="0" w:line="240" w:lineRule="auto"/>
              <w:rPr>
                <w:rFonts w:ascii="Times New Roman" w:eastAsia="Times New Roman" w:hAnsi="Times New Roman"/>
                <w:b/>
                <w:bCs/>
                <w:noProof/>
                <w:sz w:val="20"/>
                <w:szCs w:val="20"/>
              </w:rPr>
            </w:pPr>
            <w:r>
              <w:rPr>
                <w:rFonts w:ascii="Times New Roman" w:hAnsi="Times New Roman"/>
                <w:b/>
                <w:noProof/>
                <w:sz w:val="20"/>
              </w:rPr>
              <w:t>Teknisk bistand i alt</w:t>
            </w:r>
          </w:p>
        </w:tc>
        <w:tc>
          <w:tcPr>
            <w:tcW w:w="0" w:type="auto"/>
            <w:tcBorders>
              <w:top w:val="single" w:sz="4" w:space="0" w:color="auto"/>
              <w:left w:val="nil"/>
              <w:bottom w:val="single" w:sz="4" w:space="0" w:color="auto"/>
              <w:right w:val="single" w:sz="4" w:space="0" w:color="auto"/>
            </w:tcBorders>
            <w:shd w:val="clear" w:color="000000" w:fill="FFFF99"/>
            <w:vAlign w:val="center"/>
            <w:hideMark/>
          </w:tcPr>
          <w:p>
            <w:pPr>
              <w:spacing w:after="0" w:line="240" w:lineRule="auto"/>
              <w:jc w:val="right"/>
              <w:rPr>
                <w:rFonts w:ascii="Times New Roman" w:eastAsia="Times New Roman" w:hAnsi="Times New Roman"/>
                <w:b/>
                <w:bCs/>
                <w:noProof/>
                <w:sz w:val="20"/>
                <w:szCs w:val="20"/>
              </w:rPr>
            </w:pPr>
            <w:r>
              <w:rPr>
                <w:rFonts w:ascii="Times New Roman" w:hAnsi="Times New Roman"/>
                <w:b/>
                <w:noProof/>
                <w:sz w:val="20"/>
              </w:rPr>
              <w:t>8 941 334</w:t>
            </w:r>
          </w:p>
        </w:tc>
      </w:tr>
    </w:tbl>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87" w:name="_Toc331167077"/>
      <w:bookmarkStart w:id="88" w:name="_Toc393127485"/>
      <w:bookmarkStart w:id="89" w:name="_Toc457569423"/>
      <w:bookmarkStart w:id="90" w:name="_Toc461195006"/>
      <w:bookmarkEnd w:id="86"/>
      <w:r>
        <w:rPr>
          <w:rFonts w:ascii="Times New Roman" w:hAnsi="Times New Roman"/>
          <w:b/>
          <w:noProof/>
          <w:sz w:val="24"/>
        </w:rPr>
        <w:t>3.3.</w:t>
      </w:r>
      <w:r>
        <w:rPr>
          <w:noProof/>
        </w:rPr>
        <w:tab/>
      </w:r>
      <w:r>
        <w:rPr>
          <w:rFonts w:ascii="Times New Roman" w:hAnsi="Times New Roman"/>
          <w:b/>
          <w:noProof/>
          <w:sz w:val="24"/>
        </w:rPr>
        <w:t>Analyse af de anmeldte udgifter pr. akse og/eller pr. foranstaltning</w:t>
      </w:r>
      <w:bookmarkEnd w:id="87"/>
      <w:bookmarkEnd w:id="88"/>
      <w:bookmarkEnd w:id="89"/>
      <w:bookmarkEnd w:id="90"/>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Tabel 13a og 13b viser de anmeldte betalingsanmodninger pr. medlemsstat og pr. akse/foranstaltning for landdistriktsudvikling i 2015 (4. kv. 2014 til 3. kv. 2015), de kumulerede anmeldte udgifter fra programmernes start samt finansieringsplanerne for ELFUL-programmerne.</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 xml:space="preserve">I 2015 er udgifterne til ELFUL-programperioden 2007-2013 koncentreret i akse 1 (37,1 %) efterfulgt af akse 2 med 31,4 %, akse 3 med 16,5 % og akse 4 med 12,8 %. Sammenlignet med de foregående år kan der konstateres et betydeligt fald i andelen under akse 2 til fordel for akse 1, 3 og 4. Det bekræfter tendensen i retning af en forventet ensretning mellem den faktiske gennemførelse og programmeringen pr. akse, selv om udgiftsfordelingen pr. 3. kv. 2015 stadig afviger fra fordelingen i finansieringsplanerne (31,6 %, 46,7 %, 12,6 % og 5,9 % for henholdsvis akse 1, 2, 3 og 4). </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 xml:space="preserve">Akse 2-foranstaltningerne vedrører hovedsageligt årlige betalinger (f.eks. landbrugsmiljøforanstaltninger), mens akse 1 og 3 og i mindre omfang akse 4 hovedsageligt vedrører flerårige foranstaltninger, som kræver længere godkendelses- og gennemførelsesprocedurer (f.eks. investeringsprojekter). </w:t>
      </w:r>
    </w:p>
    <w:p>
      <w:pPr>
        <w:spacing w:before="120" w:after="120" w:line="240" w:lineRule="auto"/>
        <w:ind w:left="850" w:right="71"/>
        <w:jc w:val="both"/>
        <w:rPr>
          <w:rFonts w:ascii="Times New Roman" w:eastAsia="Times New Roman" w:hAnsi="Times New Roman"/>
          <w:noProof/>
          <w:sz w:val="24"/>
        </w:rPr>
      </w:pPr>
      <w:r>
        <w:rPr>
          <w:rFonts w:ascii="Times New Roman" w:hAnsi="Times New Roman"/>
          <w:noProof/>
          <w:sz w:val="24"/>
        </w:rPr>
        <w:t>Udgifterne i 2015 til ELFUL-programmeringsperioden 2014-2020 er primært koncentreret i foranstaltning 13 (betalinger til områder med naturbetingede begrænsninger) og foranstaltning 10 (miljø- og klimavenligt landbrug).</w:t>
      </w:r>
    </w:p>
    <w:p>
      <w:pPr>
        <w:spacing w:before="120" w:after="0" w:line="240" w:lineRule="auto"/>
        <w:jc w:val="both"/>
        <w:rPr>
          <w:rFonts w:ascii="Times New Roman" w:eastAsia="Times New Roman" w:hAnsi="Times New Roman"/>
          <w:noProof/>
          <w:sz w:val="24"/>
        </w:rPr>
      </w:pPr>
      <w:r>
        <w:rPr>
          <w:noProof/>
        </w:rPr>
        <w:br w:type="page"/>
      </w:r>
      <w:bookmarkStart w:id="91" w:name="OLE_LINK18"/>
      <w:r>
        <w:rPr>
          <w:rFonts w:ascii="Times New Roman" w:hAnsi="Times New Roman"/>
          <w:noProof/>
          <w:sz w:val="24"/>
        </w:rPr>
        <w:t>Tabel 13a</w:t>
      </w:r>
    </w:p>
    <w:tbl>
      <w:tblPr>
        <w:tblW w:w="9370" w:type="dxa"/>
        <w:tblInd w:w="98" w:type="dxa"/>
        <w:tblLayout w:type="fixed"/>
        <w:tblLook w:val="04A0" w:firstRow="1" w:lastRow="0" w:firstColumn="1" w:lastColumn="0" w:noHBand="0" w:noVBand="1"/>
      </w:tblPr>
      <w:tblGrid>
        <w:gridCol w:w="3490"/>
        <w:gridCol w:w="1080"/>
        <w:gridCol w:w="840"/>
        <w:gridCol w:w="1080"/>
        <w:gridCol w:w="840"/>
        <w:gridCol w:w="1200"/>
        <w:gridCol w:w="840"/>
      </w:tblGrid>
      <w:tr>
        <w:trPr>
          <w:trHeight w:val="255"/>
        </w:trPr>
        <w:tc>
          <w:tcPr>
            <w:tcW w:w="9370" w:type="dxa"/>
            <w:gridSpan w:val="7"/>
            <w:tcBorders>
              <w:top w:val="single" w:sz="8" w:space="0" w:color="auto"/>
              <w:left w:val="single" w:sz="8" w:space="0" w:color="auto"/>
              <w:bottom w:val="nil"/>
              <w:right w:val="single" w:sz="8" w:space="0" w:color="000000"/>
            </w:tcBorders>
            <w:shd w:val="clear" w:color="000000" w:fill="FFCC99"/>
            <w:noWrap/>
            <w:vAlign w:val="center"/>
            <w:hideMark/>
          </w:tcPr>
          <w:p>
            <w:pPr>
              <w:spacing w:after="0" w:line="240" w:lineRule="auto"/>
              <w:jc w:val="center"/>
              <w:rPr>
                <w:rFonts w:ascii="Times New Roman" w:eastAsia="Times New Roman" w:hAnsi="Times New Roman"/>
                <w:b/>
                <w:bCs/>
                <w:noProof/>
                <w:sz w:val="18"/>
                <w:szCs w:val="18"/>
              </w:rPr>
            </w:pPr>
            <w:bookmarkStart w:id="92" w:name="_Toc331167078"/>
            <w:bookmarkEnd w:id="91"/>
            <w:r>
              <w:rPr>
                <w:rFonts w:ascii="Times New Roman" w:hAnsi="Times New Roman"/>
                <w:b/>
                <w:noProof/>
                <w:sz w:val="18"/>
              </w:rPr>
              <w:t xml:space="preserve">Anmeldte ELFUL-udgifter 2015 (4. kv. 2014 til 3. kv. 2015) og samlede kumulerede udgifter (4. kv. 2006 til 3. kv. 2015) </w:t>
            </w:r>
          </w:p>
        </w:tc>
      </w:tr>
      <w:tr>
        <w:trPr>
          <w:trHeight w:val="270"/>
        </w:trPr>
        <w:tc>
          <w:tcPr>
            <w:tcW w:w="9370" w:type="dxa"/>
            <w:gridSpan w:val="7"/>
            <w:tcBorders>
              <w:top w:val="nil"/>
              <w:left w:val="single" w:sz="8" w:space="0" w:color="auto"/>
              <w:bottom w:val="single" w:sz="8" w:space="0" w:color="auto"/>
              <w:right w:val="single" w:sz="8" w:space="0" w:color="000000"/>
            </w:tcBorders>
            <w:shd w:val="clear" w:color="000000" w:fill="FFCC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 xml:space="preserve">sammenholdt med finansieringsplanerne – </w:t>
            </w:r>
            <w:r>
              <w:rPr>
                <w:rFonts w:ascii="Times New Roman" w:hAnsi="Times New Roman"/>
                <w:b/>
                <w:noProof/>
                <w:sz w:val="18"/>
                <w:u w:val="single"/>
              </w:rPr>
              <w:t>ELFUL 2007-2013</w:t>
            </w:r>
          </w:p>
        </w:tc>
      </w:tr>
      <w:tr>
        <w:trPr>
          <w:trHeight w:val="630"/>
        </w:trPr>
        <w:tc>
          <w:tcPr>
            <w:tcW w:w="349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 </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Anmeldte udgifter 2015 (4. kv. 2014 til 3. kv. 2015)</w:t>
            </w:r>
          </w:p>
        </w:tc>
        <w:tc>
          <w:tcPr>
            <w:tcW w:w="1920" w:type="dxa"/>
            <w:gridSpan w:val="2"/>
            <w:tcBorders>
              <w:top w:val="single" w:sz="8" w:space="0" w:color="auto"/>
              <w:left w:val="nil"/>
              <w:bottom w:val="single" w:sz="8" w:space="0" w:color="auto"/>
              <w:right w:val="single" w:sz="8" w:space="0" w:color="000000"/>
            </w:tcBorders>
            <w:shd w:val="clear" w:color="auto" w:fill="auto"/>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Kumulerede anmeldte udgifter (4. kv. 2006 til 3. kv. 2015)</w:t>
            </w:r>
          </w:p>
        </w:tc>
        <w:tc>
          <w:tcPr>
            <w:tcW w:w="2040" w:type="dxa"/>
            <w:gridSpan w:val="2"/>
            <w:tcBorders>
              <w:top w:val="single" w:sz="8" w:space="0" w:color="auto"/>
              <w:left w:val="nil"/>
              <w:bottom w:val="single" w:sz="8" w:space="0" w:color="auto"/>
              <w:right w:val="single" w:sz="8" w:space="0" w:color="000000"/>
            </w:tcBorders>
            <w:shd w:val="clear" w:color="auto" w:fill="auto"/>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Finansieringsplaner 2007-2013</w:t>
            </w:r>
          </w:p>
        </w:tc>
      </w:tr>
      <w:tr>
        <w:trPr>
          <w:trHeight w:val="435"/>
        </w:trPr>
        <w:tc>
          <w:tcPr>
            <w:tcW w:w="3490" w:type="dxa"/>
            <w:tcBorders>
              <w:top w:val="nil"/>
              <w:left w:val="single" w:sz="8" w:space="0" w:color="auto"/>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ELFUL-akse/-foranstaltning</w:t>
            </w:r>
          </w:p>
        </w:tc>
        <w:tc>
          <w:tcPr>
            <w:tcW w:w="108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 xml:space="preserve"> (mio. EUR)</w:t>
            </w:r>
          </w:p>
        </w:tc>
        <w:tc>
          <w:tcPr>
            <w:tcW w:w="84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w:t>
            </w:r>
          </w:p>
        </w:tc>
        <w:tc>
          <w:tcPr>
            <w:tcW w:w="108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 xml:space="preserve"> (mio. EUR)</w:t>
            </w:r>
          </w:p>
        </w:tc>
        <w:tc>
          <w:tcPr>
            <w:tcW w:w="84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w:t>
            </w:r>
          </w:p>
        </w:tc>
        <w:tc>
          <w:tcPr>
            <w:tcW w:w="120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 xml:space="preserve"> (mio. EUR)</w:t>
            </w:r>
          </w:p>
        </w:tc>
        <w:tc>
          <w:tcPr>
            <w:tcW w:w="840" w:type="dxa"/>
            <w:tcBorders>
              <w:top w:val="nil"/>
              <w:left w:val="nil"/>
              <w:bottom w:val="single" w:sz="8" w:space="0" w:color="auto"/>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111 Aktioner for erhvervsuddannelse og info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132,1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787,1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0,9 %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902,3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0,9 %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112 Unge landbrugeres etablering</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540,1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5,0 %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2 922,5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3,3 %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3 310,8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3,4 %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113 Førtidspensionering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200,5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1,9 %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2 587,4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2,9 %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2 593,8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2,7 %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114 Anvendelse af rådgivningstjenester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18,4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129,6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139,4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115 Oprettelse af drifts-, vikar- og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30,5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33,8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121 Modernisering af landbrugsbedrifter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1 447,5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13,4 %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11 037,0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12,4 %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11 828,7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12,2 %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122 Forbedring af skovenes økonomiske værdi</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46,8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0,4 %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302,2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324,1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123 Forøgelse af landbrugs- og skovbrugsprodukters værdi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583,8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5,4 %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4 094,6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4,6 %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4 643,0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4,8 %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124 Samarbejde om udvikling af nye produkter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47,1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0,4 %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205,6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252,5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125 Infrastruktur af betydning for udviklingen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722,3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6,7 %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3 840,2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4,3 %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4 366,9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4,5 %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126 Genoprettelse af landbrugets produktionspotentiale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135,0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1,3 %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612,1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0,7 %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652,9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0,7 %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131 Opfyldelse af regler baseret på EF…</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62,0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64,1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132 Landbrugeres deltagelse i ordninger for fødevarekvalitet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88,3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99,4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133 Oplysningskampagner og salgsfremstød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26,6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116,5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131,3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141 Delvis selvforsynende landbrug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50,3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0,5 %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744,1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0,8 %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792,2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0,8 %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142 Producentsammenslutninger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36,9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224,4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250,7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143 Direkte betalinger (BG + RO)</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15,7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r>
      <w:tr>
        <w:trPr>
          <w:trHeight w:val="270"/>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144 Bedrifter under omstrukturering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180,7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190,0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r>
      <w:tr>
        <w:trPr>
          <w:trHeight w:val="270"/>
        </w:trPr>
        <w:tc>
          <w:tcPr>
            <w:tcW w:w="3490"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Akse 1</w:t>
            </w:r>
          </w:p>
        </w:tc>
        <w:tc>
          <w:tcPr>
            <w:tcW w:w="108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3 999,3</w:t>
            </w:r>
          </w:p>
        </w:tc>
        <w:tc>
          <w:tcPr>
            <w:tcW w:w="84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37,1 %</w:t>
            </w:r>
          </w:p>
        </w:tc>
        <w:tc>
          <w:tcPr>
            <w:tcW w:w="108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27 974,1</w:t>
            </w:r>
          </w:p>
        </w:tc>
        <w:tc>
          <w:tcPr>
            <w:tcW w:w="84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31,5 %</w:t>
            </w:r>
          </w:p>
        </w:tc>
        <w:tc>
          <w:tcPr>
            <w:tcW w:w="120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30 591,8</w:t>
            </w:r>
          </w:p>
        </w:tc>
        <w:tc>
          <w:tcPr>
            <w:tcW w:w="84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31,6 %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211 Betalinger for naturbetingede ulemper til landbrugere i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331,2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7 210,0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8,1 %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7 128,0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7,4 %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212 Betalinger til landbrugere i andre områder med ulemper…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462,3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4,3 %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7 593,5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8,6 %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8 062,5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8,3 %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213 Natura 2000-betalinger og betalinger i forbindelse med...</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44,0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0,4 %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254,3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272,6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0,3 %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214 Betalinger for miljøvenligt landbrug</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1 618,9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15,0 %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23 155,2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26,1 %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23 845,5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24,6 %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215 Betalinger for dyrevelfærd</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258,1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2,4 %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899,9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1,0 %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1 040,6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216 Ikke-produktive investeringer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120,9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580,8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0,7 %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656,4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0,7 %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221 Første skovrejsning på landbrugsarealer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133,2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1 543,7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1,7 %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1 584,4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1,6 %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222 Første etablering af skovbrugssystemer på…</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223 Første skovrejsning på ikke-landbrugsarealer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22,2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160,6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176,1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224 Natura 2000-betalinger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12,7</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62,5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69,6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225 Betalinger for miljøvenligt skovbrug</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62,0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79,4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226 Genetablering af potentialet i skovbruget og…</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248,0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2,3 %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1 393,3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1,6 %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1 603,3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1,7 %</w:t>
            </w:r>
          </w:p>
        </w:tc>
      </w:tr>
      <w:tr>
        <w:trPr>
          <w:trHeight w:val="270"/>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227 Ikke-produktive investeringer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119,1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623,5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0,7 %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738,5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0,8 %</w:t>
            </w:r>
          </w:p>
        </w:tc>
      </w:tr>
      <w:tr>
        <w:trPr>
          <w:trHeight w:val="270"/>
        </w:trPr>
        <w:tc>
          <w:tcPr>
            <w:tcW w:w="3490"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Akse 2</w:t>
            </w:r>
          </w:p>
        </w:tc>
        <w:tc>
          <w:tcPr>
            <w:tcW w:w="108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3 379,04</w:t>
            </w:r>
          </w:p>
        </w:tc>
        <w:tc>
          <w:tcPr>
            <w:tcW w:w="84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31,4 %</w:t>
            </w:r>
          </w:p>
        </w:tc>
        <w:tc>
          <w:tcPr>
            <w:tcW w:w="108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43 540,65</w:t>
            </w:r>
          </w:p>
        </w:tc>
        <w:tc>
          <w:tcPr>
            <w:tcW w:w="84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49,1 %</w:t>
            </w:r>
          </w:p>
        </w:tc>
        <w:tc>
          <w:tcPr>
            <w:tcW w:w="120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45 259,23</w:t>
            </w:r>
          </w:p>
        </w:tc>
        <w:tc>
          <w:tcPr>
            <w:tcW w:w="840" w:type="dxa"/>
            <w:tcBorders>
              <w:top w:val="single" w:sz="8" w:space="0" w:color="auto"/>
              <w:left w:val="nil"/>
              <w:bottom w:val="single" w:sz="8" w:space="0" w:color="auto"/>
              <w:right w:val="single" w:sz="8" w:space="0" w:color="auto"/>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46,7 %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311 Diversificering til ikke-landbrugsaktiviteter</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137,3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1,3 %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1 004,1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1 110,5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312 Oprettelse og udvikling af virksomheder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224,9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1 318,9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1,5 %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1 570,0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1,6 %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313 Fremme af turismen</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168,5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1,6 %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791,9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0,9 %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1 112,0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1,1 %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321 Basale tjenester for erhvervslivet og befolkningen i landdistrikterne</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673,8</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6,3 %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3 160,9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3,6 %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3 745,6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3,9 %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322 Fornyelse og udvikling af landsbyer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332,9</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3,1 %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3 035,2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3,4 %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3 327,0</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3,4 %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323 Bevarelse og opgradering af natur- og kulturværdien i landdistrikterne</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206,3</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1,9 %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1 069,1</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1 194,2</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1,2 %</w:t>
            </w:r>
          </w:p>
        </w:tc>
      </w:tr>
      <w:tr>
        <w:trPr>
          <w:trHeight w:val="255"/>
        </w:trPr>
        <w:tc>
          <w:tcPr>
            <w:tcW w:w="3490" w:type="dxa"/>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331 Uddannelse og information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17,6</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08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89,5</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96,4</w:t>
            </w:r>
          </w:p>
        </w:tc>
        <w:tc>
          <w:tcPr>
            <w:tcW w:w="840" w:type="dxa"/>
            <w:tcBorders>
              <w:top w:val="nil"/>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70"/>
        </w:trPr>
        <w:tc>
          <w:tcPr>
            <w:tcW w:w="3490" w:type="dxa"/>
            <w:tcBorders>
              <w:top w:val="nil"/>
              <w:left w:val="single" w:sz="8" w:space="0" w:color="auto"/>
              <w:bottom w:val="single" w:sz="4"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341 Kompetenceudvikling, informationskampagne og gennemførelse </w:t>
            </w:r>
          </w:p>
        </w:tc>
        <w:tc>
          <w:tcPr>
            <w:tcW w:w="108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12,6</w:t>
            </w:r>
          </w:p>
        </w:tc>
        <w:tc>
          <w:tcPr>
            <w:tcW w:w="84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08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96,1</w:t>
            </w:r>
          </w:p>
        </w:tc>
        <w:tc>
          <w:tcPr>
            <w:tcW w:w="84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101,0</w:t>
            </w:r>
          </w:p>
        </w:tc>
        <w:tc>
          <w:tcPr>
            <w:tcW w:w="84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3490" w:type="dxa"/>
            <w:tcBorders>
              <w:top w:val="single" w:sz="4" w:space="0" w:color="auto"/>
              <w:left w:val="single" w:sz="8" w:space="0" w:color="auto"/>
              <w:bottom w:val="single" w:sz="4" w:space="0" w:color="auto"/>
              <w:right w:val="single" w:sz="8" w:space="0" w:color="auto"/>
            </w:tcBorders>
            <w:shd w:val="clear" w:color="auto" w:fill="FFFF99"/>
            <w:noWrap/>
            <w:vAlign w:val="center"/>
          </w:tcPr>
          <w:p>
            <w:pPr>
              <w:spacing w:after="0" w:line="240" w:lineRule="auto"/>
              <w:rPr>
                <w:rFonts w:ascii="Times New Roman" w:eastAsia="Times New Roman" w:hAnsi="Times New Roman"/>
                <w:b/>
                <w:bCs/>
                <w:noProof/>
                <w:sz w:val="16"/>
                <w:szCs w:val="16"/>
              </w:rPr>
            </w:pPr>
            <w:r>
              <w:rPr>
                <w:rFonts w:ascii="Times New Roman" w:hAnsi="Times New Roman"/>
                <w:b/>
                <w:noProof/>
                <w:sz w:val="16"/>
              </w:rPr>
              <w:t>Akse 3</w:t>
            </w:r>
          </w:p>
        </w:tc>
        <w:tc>
          <w:tcPr>
            <w:tcW w:w="1080" w:type="dxa"/>
            <w:tcBorders>
              <w:top w:val="single" w:sz="4" w:space="0" w:color="auto"/>
              <w:left w:val="nil"/>
              <w:bottom w:val="single" w:sz="4" w:space="0" w:color="auto"/>
              <w:right w:val="single" w:sz="8" w:space="0" w:color="auto"/>
            </w:tcBorders>
            <w:shd w:val="clear" w:color="auto" w:fill="FFFF99"/>
            <w:noWrap/>
            <w:vAlign w:val="center"/>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1 773,85</w:t>
            </w:r>
          </w:p>
        </w:tc>
        <w:tc>
          <w:tcPr>
            <w:tcW w:w="840" w:type="dxa"/>
            <w:tcBorders>
              <w:top w:val="single" w:sz="4" w:space="0" w:color="auto"/>
              <w:left w:val="nil"/>
              <w:bottom w:val="single" w:sz="4" w:space="0" w:color="auto"/>
              <w:right w:val="single" w:sz="8" w:space="0" w:color="auto"/>
            </w:tcBorders>
            <w:shd w:val="clear" w:color="auto" w:fill="FFFF99"/>
            <w:noWrap/>
            <w:vAlign w:val="center"/>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16,5 %</w:t>
            </w:r>
          </w:p>
        </w:tc>
        <w:tc>
          <w:tcPr>
            <w:tcW w:w="1080" w:type="dxa"/>
            <w:tcBorders>
              <w:top w:val="single" w:sz="4" w:space="0" w:color="auto"/>
              <w:left w:val="nil"/>
              <w:bottom w:val="single" w:sz="4" w:space="0" w:color="auto"/>
              <w:right w:val="single" w:sz="8" w:space="0" w:color="auto"/>
            </w:tcBorders>
            <w:shd w:val="clear" w:color="auto" w:fill="FFFF99"/>
            <w:noWrap/>
            <w:vAlign w:val="center"/>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10 565,8</w:t>
            </w:r>
          </w:p>
        </w:tc>
        <w:tc>
          <w:tcPr>
            <w:tcW w:w="840" w:type="dxa"/>
            <w:tcBorders>
              <w:top w:val="single" w:sz="4" w:space="0" w:color="auto"/>
              <w:left w:val="nil"/>
              <w:bottom w:val="single" w:sz="4" w:space="0" w:color="auto"/>
              <w:right w:val="single" w:sz="8" w:space="0" w:color="auto"/>
            </w:tcBorders>
            <w:shd w:val="clear" w:color="auto" w:fill="FFFF99"/>
            <w:noWrap/>
            <w:vAlign w:val="center"/>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11,9 %</w:t>
            </w:r>
          </w:p>
        </w:tc>
        <w:tc>
          <w:tcPr>
            <w:tcW w:w="1200" w:type="dxa"/>
            <w:tcBorders>
              <w:top w:val="single" w:sz="4" w:space="0" w:color="auto"/>
              <w:left w:val="nil"/>
              <w:bottom w:val="single" w:sz="4" w:space="0" w:color="auto"/>
              <w:right w:val="single" w:sz="8" w:space="0" w:color="auto"/>
            </w:tcBorders>
            <w:shd w:val="clear" w:color="auto" w:fill="FFFF99"/>
            <w:noWrap/>
            <w:vAlign w:val="center"/>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12 256,8</w:t>
            </w:r>
          </w:p>
        </w:tc>
        <w:tc>
          <w:tcPr>
            <w:tcW w:w="840" w:type="dxa"/>
            <w:tcBorders>
              <w:top w:val="single" w:sz="4" w:space="0" w:color="auto"/>
              <w:left w:val="nil"/>
              <w:bottom w:val="single" w:sz="4" w:space="0" w:color="auto"/>
              <w:right w:val="single" w:sz="8" w:space="0" w:color="auto"/>
            </w:tcBorders>
            <w:shd w:val="clear" w:color="auto" w:fill="FFFF99"/>
            <w:noWrap/>
            <w:vAlign w:val="center"/>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12,6 %</w:t>
            </w:r>
          </w:p>
        </w:tc>
      </w:tr>
      <w:tr>
        <w:trPr>
          <w:trHeight w:val="270"/>
        </w:trPr>
        <w:tc>
          <w:tcPr>
            <w:tcW w:w="3490" w:type="dxa"/>
            <w:tcBorders>
              <w:top w:val="single" w:sz="4" w:space="0" w:color="auto"/>
              <w:left w:val="single" w:sz="8" w:space="0" w:color="auto"/>
              <w:bottom w:val="nil"/>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411 Gennemførelse af lokale udviklingsstrategier</w:t>
            </w:r>
          </w:p>
        </w:tc>
        <w:tc>
          <w:tcPr>
            <w:tcW w:w="1080" w:type="dxa"/>
            <w:tcBorders>
              <w:top w:val="single" w:sz="4" w:space="0" w:color="auto"/>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140,0</w:t>
            </w:r>
          </w:p>
        </w:tc>
        <w:tc>
          <w:tcPr>
            <w:tcW w:w="840" w:type="dxa"/>
            <w:tcBorders>
              <w:top w:val="single" w:sz="4" w:space="0" w:color="auto"/>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1,3 %</w:t>
            </w:r>
          </w:p>
        </w:tc>
        <w:tc>
          <w:tcPr>
            <w:tcW w:w="1080" w:type="dxa"/>
            <w:tcBorders>
              <w:top w:val="single" w:sz="4" w:space="0" w:color="auto"/>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391,3</w:t>
            </w:r>
          </w:p>
        </w:tc>
        <w:tc>
          <w:tcPr>
            <w:tcW w:w="840" w:type="dxa"/>
            <w:tcBorders>
              <w:top w:val="single" w:sz="4" w:space="0" w:color="auto"/>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0,4 %</w:t>
            </w:r>
          </w:p>
        </w:tc>
        <w:tc>
          <w:tcPr>
            <w:tcW w:w="1200" w:type="dxa"/>
            <w:tcBorders>
              <w:top w:val="single" w:sz="4" w:space="0" w:color="auto"/>
              <w:left w:val="nil"/>
              <w:bottom w:val="nil"/>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505,2</w:t>
            </w:r>
          </w:p>
        </w:tc>
        <w:tc>
          <w:tcPr>
            <w:tcW w:w="840" w:type="dxa"/>
            <w:tcBorders>
              <w:top w:val="single" w:sz="4" w:space="0" w:color="auto"/>
              <w:left w:val="nil"/>
              <w:bottom w:val="nil"/>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0,5 %</w:t>
            </w:r>
          </w:p>
        </w:tc>
      </w:tr>
      <w:tr>
        <w:trPr>
          <w:trHeight w:val="270"/>
        </w:trPr>
        <w:tc>
          <w:tcPr>
            <w:tcW w:w="34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412 Gennemførelse af lokale udviklingsstrategier</w:t>
            </w:r>
          </w:p>
        </w:tc>
        <w:tc>
          <w:tcPr>
            <w:tcW w:w="1080" w:type="dxa"/>
            <w:tcBorders>
              <w:top w:val="single" w:sz="8" w:space="0" w:color="000000"/>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16,6</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c>
          <w:tcPr>
            <w:tcW w:w="1080" w:type="dxa"/>
            <w:tcBorders>
              <w:top w:val="single" w:sz="8" w:space="0" w:color="000000"/>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51,4</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single" w:sz="8" w:space="0" w:color="000000"/>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73,8</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r>
      <w:tr>
        <w:trPr>
          <w:trHeight w:val="270"/>
        </w:trPr>
        <w:tc>
          <w:tcPr>
            <w:tcW w:w="3490" w:type="dxa"/>
            <w:tcBorders>
              <w:top w:val="nil"/>
              <w:left w:val="single" w:sz="8" w:space="0" w:color="auto"/>
              <w:bottom w:val="single" w:sz="4"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413 Gennemførelse af lokale udviklingsstrategier</w:t>
            </w:r>
          </w:p>
        </w:tc>
        <w:tc>
          <w:tcPr>
            <w:tcW w:w="108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1 034,3</w:t>
            </w:r>
          </w:p>
        </w:tc>
        <w:tc>
          <w:tcPr>
            <w:tcW w:w="84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9,6 %</w:t>
            </w:r>
          </w:p>
        </w:tc>
        <w:tc>
          <w:tcPr>
            <w:tcW w:w="108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3 520,6</w:t>
            </w:r>
          </w:p>
        </w:tc>
        <w:tc>
          <w:tcPr>
            <w:tcW w:w="84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4,0 %</w:t>
            </w:r>
          </w:p>
        </w:tc>
        <w:tc>
          <w:tcPr>
            <w:tcW w:w="120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4 059,9</w:t>
            </w:r>
          </w:p>
        </w:tc>
        <w:tc>
          <w:tcPr>
            <w:tcW w:w="840" w:type="dxa"/>
            <w:tcBorders>
              <w:top w:val="nil"/>
              <w:left w:val="nil"/>
              <w:bottom w:val="single" w:sz="4"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4,2 %</w:t>
            </w:r>
          </w:p>
        </w:tc>
      </w:tr>
      <w:tr>
        <w:trPr>
          <w:trHeight w:val="270"/>
        </w:trPr>
        <w:tc>
          <w:tcPr>
            <w:tcW w:w="349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421 Gennemførelse af samarbejdsprojekter </w:t>
            </w:r>
          </w:p>
        </w:tc>
        <w:tc>
          <w:tcPr>
            <w:tcW w:w="1080" w:type="dxa"/>
            <w:tcBorders>
              <w:top w:val="single" w:sz="4" w:space="0" w:color="auto"/>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57,9</w:t>
            </w:r>
          </w:p>
        </w:tc>
        <w:tc>
          <w:tcPr>
            <w:tcW w:w="840" w:type="dxa"/>
            <w:tcBorders>
              <w:top w:val="single" w:sz="4"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0,5 %</w:t>
            </w:r>
          </w:p>
        </w:tc>
        <w:tc>
          <w:tcPr>
            <w:tcW w:w="1080" w:type="dxa"/>
            <w:tcBorders>
              <w:top w:val="single" w:sz="4" w:space="0" w:color="auto"/>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131,7</w:t>
            </w:r>
          </w:p>
        </w:tc>
        <w:tc>
          <w:tcPr>
            <w:tcW w:w="840" w:type="dxa"/>
            <w:tcBorders>
              <w:top w:val="single" w:sz="4"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0,1 %</w:t>
            </w:r>
          </w:p>
        </w:tc>
        <w:tc>
          <w:tcPr>
            <w:tcW w:w="1200" w:type="dxa"/>
            <w:tcBorders>
              <w:top w:val="single" w:sz="4" w:space="0" w:color="auto"/>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189,9</w:t>
            </w:r>
          </w:p>
        </w:tc>
        <w:tc>
          <w:tcPr>
            <w:tcW w:w="840" w:type="dxa"/>
            <w:tcBorders>
              <w:top w:val="single" w:sz="4"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0,2 %</w:t>
            </w:r>
          </w:p>
        </w:tc>
      </w:tr>
      <w:tr>
        <w:trPr>
          <w:trHeight w:val="270"/>
        </w:trPr>
        <w:tc>
          <w:tcPr>
            <w:tcW w:w="34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noProof/>
                <w:sz w:val="16"/>
                <w:szCs w:val="16"/>
              </w:rPr>
            </w:pPr>
            <w:r>
              <w:rPr>
                <w:rFonts w:ascii="Times New Roman" w:hAnsi="Times New Roman"/>
                <w:noProof/>
                <w:sz w:val="16"/>
              </w:rPr>
              <w:t>431 Den lokale aktionsgruppes drift, kompetenceudvikling</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126,6</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1,2 %</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826,8</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0,9 %</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928,6</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1,0 %</w:t>
            </w:r>
          </w:p>
        </w:tc>
      </w:tr>
      <w:tr>
        <w:trPr>
          <w:trHeight w:val="270"/>
        </w:trPr>
        <w:tc>
          <w:tcPr>
            <w:tcW w:w="3490" w:type="dxa"/>
            <w:tcBorders>
              <w:top w:val="nil"/>
              <w:left w:val="single" w:sz="8" w:space="0" w:color="auto"/>
              <w:bottom w:val="single" w:sz="8" w:space="0" w:color="auto"/>
              <w:right w:val="single" w:sz="8" w:space="0" w:color="auto"/>
            </w:tcBorders>
            <w:shd w:val="clear" w:color="auto" w:fill="FFFF99"/>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Akse 4</w:t>
            </w:r>
          </w:p>
        </w:tc>
        <w:tc>
          <w:tcPr>
            <w:tcW w:w="1080" w:type="dxa"/>
            <w:tcBorders>
              <w:top w:val="nil"/>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1 375,3</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12,8 %</w:t>
            </w:r>
          </w:p>
        </w:tc>
        <w:tc>
          <w:tcPr>
            <w:tcW w:w="1080" w:type="dxa"/>
            <w:tcBorders>
              <w:top w:val="nil"/>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4 921,8</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5,5 %</w:t>
            </w:r>
          </w:p>
        </w:tc>
        <w:tc>
          <w:tcPr>
            <w:tcW w:w="1200" w:type="dxa"/>
            <w:tcBorders>
              <w:top w:val="nil"/>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5 757,4</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5,9 %</w:t>
            </w:r>
          </w:p>
        </w:tc>
      </w:tr>
      <w:tr>
        <w:trPr>
          <w:trHeight w:val="270"/>
        </w:trPr>
        <w:tc>
          <w:tcPr>
            <w:tcW w:w="349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511 Teknisk bistand</w:t>
            </w:r>
          </w:p>
        </w:tc>
        <w:tc>
          <w:tcPr>
            <w:tcW w:w="10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bCs/>
                <w:noProof/>
                <w:sz w:val="16"/>
                <w:szCs w:val="16"/>
              </w:rPr>
            </w:pPr>
            <w:r>
              <w:rPr>
                <w:rFonts w:ascii="Times New Roman" w:hAnsi="Times New Roman"/>
                <w:noProof/>
                <w:sz w:val="16"/>
              </w:rPr>
              <w:t>247,4</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2,3 %</w:t>
            </w:r>
          </w:p>
        </w:tc>
        <w:tc>
          <w:tcPr>
            <w:tcW w:w="10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bCs/>
                <w:noProof/>
                <w:sz w:val="16"/>
                <w:szCs w:val="16"/>
              </w:rPr>
            </w:pPr>
            <w:r>
              <w:rPr>
                <w:rFonts w:ascii="Times New Roman" w:hAnsi="Times New Roman"/>
                <w:noProof/>
                <w:sz w:val="16"/>
              </w:rPr>
              <w:t>1 301,1</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1,5 %</w:t>
            </w:r>
          </w:p>
        </w:tc>
        <w:tc>
          <w:tcPr>
            <w:tcW w:w="12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bCs/>
                <w:noProof/>
                <w:sz w:val="16"/>
                <w:szCs w:val="16"/>
              </w:rPr>
            </w:pPr>
            <w:r>
              <w:rPr>
                <w:rFonts w:ascii="Times New Roman" w:hAnsi="Times New Roman"/>
                <w:noProof/>
                <w:sz w:val="16"/>
              </w:rPr>
              <w:t>1 531,1</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1,6 %</w:t>
            </w:r>
          </w:p>
        </w:tc>
      </w:tr>
      <w:tr>
        <w:trPr>
          <w:trHeight w:val="270"/>
        </w:trPr>
        <w:tc>
          <w:tcPr>
            <w:tcW w:w="3490" w:type="dxa"/>
            <w:tcBorders>
              <w:top w:val="nil"/>
              <w:left w:val="single" w:sz="8" w:space="0" w:color="auto"/>
              <w:bottom w:val="single" w:sz="8" w:space="0" w:color="auto"/>
              <w:right w:val="single" w:sz="8" w:space="0" w:color="auto"/>
            </w:tcBorders>
            <w:shd w:val="clear" w:color="auto" w:fill="auto"/>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611 Direkte betalinger (BG + RO)</w:t>
            </w:r>
          </w:p>
        </w:tc>
        <w:tc>
          <w:tcPr>
            <w:tcW w:w="10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bCs/>
                <w:noProof/>
                <w:sz w:val="16"/>
                <w:szCs w:val="16"/>
              </w:rPr>
            </w:pPr>
            <w:r>
              <w:rPr>
                <w:rFonts w:ascii="Times New Roman" w:hAnsi="Times New Roman"/>
                <w:noProof/>
                <w:sz w:val="16"/>
              </w:rPr>
              <w:t>-0,2</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0,0 %</w:t>
            </w:r>
          </w:p>
        </w:tc>
        <w:tc>
          <w:tcPr>
            <w:tcW w:w="108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bCs/>
                <w:noProof/>
                <w:sz w:val="16"/>
                <w:szCs w:val="16"/>
              </w:rPr>
            </w:pPr>
            <w:r>
              <w:rPr>
                <w:rFonts w:ascii="Times New Roman" w:hAnsi="Times New Roman"/>
                <w:noProof/>
                <w:sz w:val="16"/>
              </w:rPr>
              <w:t>436,4</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0,5 %</w:t>
            </w:r>
          </w:p>
        </w:tc>
        <w:tc>
          <w:tcPr>
            <w:tcW w:w="1200" w:type="dxa"/>
            <w:tcBorders>
              <w:top w:val="nil"/>
              <w:left w:val="nil"/>
              <w:bottom w:val="single" w:sz="8" w:space="0" w:color="auto"/>
              <w:right w:val="single" w:sz="8" w:space="0" w:color="auto"/>
            </w:tcBorders>
            <w:shd w:val="clear" w:color="auto" w:fill="auto"/>
            <w:noWrap/>
            <w:vAlign w:val="center"/>
            <w:hideMark/>
          </w:tcPr>
          <w:p>
            <w:pPr>
              <w:spacing w:after="0" w:line="240" w:lineRule="auto"/>
              <w:jc w:val="right"/>
              <w:rPr>
                <w:rFonts w:ascii="Times New Roman" w:eastAsia="Times New Roman" w:hAnsi="Times New Roman"/>
                <w:bCs/>
                <w:noProof/>
                <w:sz w:val="16"/>
                <w:szCs w:val="16"/>
              </w:rPr>
            </w:pPr>
            <w:r>
              <w:rPr>
                <w:rFonts w:ascii="Times New Roman" w:hAnsi="Times New Roman"/>
                <w:noProof/>
                <w:sz w:val="16"/>
              </w:rPr>
              <w:t>1 531,1</w:t>
            </w:r>
          </w:p>
        </w:tc>
        <w:tc>
          <w:tcPr>
            <w:tcW w:w="840" w:type="dxa"/>
            <w:tcBorders>
              <w:top w:val="single" w:sz="8" w:space="0" w:color="auto"/>
              <w:left w:val="nil"/>
              <w:bottom w:val="single" w:sz="8" w:space="0" w:color="auto"/>
              <w:right w:val="single" w:sz="8" w:space="0" w:color="auto"/>
            </w:tcBorders>
            <w:shd w:val="clear" w:color="auto" w:fill="auto"/>
            <w:noWrap/>
            <w:vAlign w:val="center"/>
            <w:hideMark/>
          </w:tcPr>
          <w:p>
            <w:pPr>
              <w:spacing w:after="0" w:line="240" w:lineRule="auto"/>
              <w:jc w:val="center"/>
              <w:rPr>
                <w:rFonts w:ascii="Times New Roman" w:eastAsia="Times New Roman" w:hAnsi="Times New Roman"/>
                <w:noProof/>
                <w:sz w:val="16"/>
                <w:szCs w:val="16"/>
              </w:rPr>
            </w:pPr>
            <w:r>
              <w:rPr>
                <w:rFonts w:ascii="Times New Roman" w:hAnsi="Times New Roman"/>
                <w:noProof/>
                <w:sz w:val="16"/>
              </w:rPr>
              <w:t>1,6 %</w:t>
            </w:r>
          </w:p>
        </w:tc>
      </w:tr>
      <w:tr>
        <w:trPr>
          <w:trHeight w:val="270"/>
        </w:trPr>
        <w:tc>
          <w:tcPr>
            <w:tcW w:w="3490" w:type="dxa"/>
            <w:tcBorders>
              <w:top w:val="nil"/>
              <w:left w:val="single" w:sz="8" w:space="0" w:color="auto"/>
              <w:bottom w:val="single" w:sz="8" w:space="0" w:color="auto"/>
              <w:right w:val="single" w:sz="8" w:space="0" w:color="auto"/>
            </w:tcBorders>
            <w:shd w:val="clear" w:color="auto" w:fill="FFFF99"/>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I alt</w:t>
            </w:r>
          </w:p>
        </w:tc>
        <w:tc>
          <w:tcPr>
            <w:tcW w:w="1080" w:type="dxa"/>
            <w:tcBorders>
              <w:top w:val="nil"/>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10 774,6</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100,0 %</w:t>
            </w:r>
          </w:p>
        </w:tc>
        <w:tc>
          <w:tcPr>
            <w:tcW w:w="1080" w:type="dxa"/>
            <w:tcBorders>
              <w:top w:val="nil"/>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88 739,9</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100,0 %</w:t>
            </w:r>
          </w:p>
        </w:tc>
        <w:tc>
          <w:tcPr>
            <w:tcW w:w="1200" w:type="dxa"/>
            <w:tcBorders>
              <w:top w:val="nil"/>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95 833,8</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100,0 %</w:t>
            </w:r>
          </w:p>
        </w:tc>
      </w:tr>
    </w:tbl>
    <w:p>
      <w:pPr>
        <w:spacing w:before="120" w:after="120" w:line="240" w:lineRule="auto"/>
        <w:ind w:left="850"/>
        <w:jc w:val="both"/>
        <w:rPr>
          <w:rFonts w:ascii="Times New Roman" w:eastAsia="Times New Roman" w:hAnsi="Times New Roman"/>
          <w:noProof/>
          <w:sz w:val="20"/>
          <w:szCs w:val="20"/>
        </w:rPr>
      </w:pPr>
    </w:p>
    <w:p>
      <w:pPr>
        <w:spacing w:before="120" w:after="0" w:line="240" w:lineRule="auto"/>
        <w:jc w:val="both"/>
        <w:rPr>
          <w:rFonts w:ascii="Times New Roman" w:eastAsia="Times New Roman" w:hAnsi="Times New Roman"/>
          <w:noProof/>
          <w:sz w:val="24"/>
        </w:rPr>
      </w:pPr>
      <w:r>
        <w:rPr>
          <w:rFonts w:ascii="Times New Roman" w:hAnsi="Times New Roman"/>
          <w:noProof/>
          <w:sz w:val="24"/>
        </w:rPr>
        <w:t>Tabel 13b</w:t>
      </w:r>
    </w:p>
    <w:tbl>
      <w:tblPr>
        <w:tblW w:w="9370" w:type="dxa"/>
        <w:tblInd w:w="98" w:type="dxa"/>
        <w:tblLayout w:type="fixed"/>
        <w:tblLook w:val="04A0" w:firstRow="1" w:lastRow="0" w:firstColumn="1" w:lastColumn="0" w:noHBand="0" w:noVBand="1"/>
      </w:tblPr>
      <w:tblGrid>
        <w:gridCol w:w="1286"/>
        <w:gridCol w:w="2564"/>
        <w:gridCol w:w="840"/>
        <w:gridCol w:w="840"/>
        <w:gridCol w:w="960"/>
        <w:gridCol w:w="1080"/>
        <w:gridCol w:w="960"/>
        <w:gridCol w:w="840"/>
      </w:tblGrid>
      <w:tr>
        <w:trPr>
          <w:trHeight w:val="255"/>
        </w:trPr>
        <w:tc>
          <w:tcPr>
            <w:tcW w:w="9370" w:type="dxa"/>
            <w:gridSpan w:val="8"/>
            <w:tcBorders>
              <w:top w:val="single" w:sz="8" w:space="0" w:color="auto"/>
              <w:left w:val="single" w:sz="8" w:space="0" w:color="auto"/>
              <w:bottom w:val="nil"/>
              <w:right w:val="single" w:sz="8" w:space="0" w:color="000000"/>
            </w:tcBorders>
            <w:shd w:val="clear" w:color="000000" w:fill="FFCC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 xml:space="preserve">Anmeldte ELFUL-udgifter 2015 (4. kv. 2014 til 3. kv. 2015) og samlede kumulerede udgifter (4. kv. 2014 til 3. kv. 2015) </w:t>
            </w:r>
          </w:p>
        </w:tc>
      </w:tr>
      <w:tr>
        <w:trPr>
          <w:trHeight w:val="270"/>
        </w:trPr>
        <w:tc>
          <w:tcPr>
            <w:tcW w:w="9370" w:type="dxa"/>
            <w:gridSpan w:val="8"/>
            <w:tcBorders>
              <w:top w:val="nil"/>
              <w:left w:val="single" w:sz="8" w:space="0" w:color="auto"/>
              <w:bottom w:val="single" w:sz="8" w:space="0" w:color="auto"/>
              <w:right w:val="single" w:sz="8" w:space="0" w:color="000000"/>
            </w:tcBorders>
            <w:shd w:val="clear" w:color="000000" w:fill="FFCC99"/>
            <w:noWrap/>
            <w:vAlign w:val="center"/>
            <w:hideMark/>
          </w:tcPr>
          <w:p>
            <w:pPr>
              <w:spacing w:after="0" w:line="240" w:lineRule="auto"/>
              <w:jc w:val="center"/>
              <w:rPr>
                <w:rFonts w:ascii="Times New Roman" w:eastAsia="Times New Roman" w:hAnsi="Times New Roman"/>
                <w:b/>
                <w:bCs/>
                <w:noProof/>
                <w:sz w:val="18"/>
                <w:szCs w:val="18"/>
              </w:rPr>
            </w:pPr>
            <w:r>
              <w:rPr>
                <w:rFonts w:ascii="Times New Roman" w:hAnsi="Times New Roman"/>
                <w:b/>
                <w:noProof/>
                <w:sz w:val="18"/>
              </w:rPr>
              <w:t xml:space="preserve">sammenholdt med finansieringsplanerne – </w:t>
            </w:r>
            <w:r>
              <w:rPr>
                <w:rFonts w:ascii="Times New Roman" w:hAnsi="Times New Roman"/>
                <w:b/>
                <w:noProof/>
                <w:sz w:val="18"/>
                <w:u w:val="single"/>
              </w:rPr>
              <w:t>ELFUL 2014-2020</w:t>
            </w:r>
          </w:p>
        </w:tc>
      </w:tr>
      <w:tr>
        <w:trPr>
          <w:trHeight w:val="660"/>
        </w:trPr>
        <w:tc>
          <w:tcPr>
            <w:tcW w:w="3850" w:type="dxa"/>
            <w:gridSpan w:val="2"/>
            <w:tcBorders>
              <w:top w:val="nil"/>
              <w:left w:val="single" w:sz="8" w:space="0" w:color="auto"/>
              <w:bottom w:val="nil"/>
              <w:right w:val="single" w:sz="8" w:space="0" w:color="auto"/>
            </w:tcBorders>
            <w:shd w:val="clear" w:color="auto" w:fill="auto"/>
            <w:noWrap/>
            <w:vAlign w:val="center"/>
            <w:hideMark/>
          </w:tcPr>
          <w:p>
            <w:pPr>
              <w:spacing w:after="0" w:line="240" w:lineRule="auto"/>
              <w:rPr>
                <w:rFonts w:ascii="Arial" w:eastAsia="Times New Roman" w:hAnsi="Arial" w:cs="Arial"/>
                <w:noProof/>
                <w:sz w:val="20"/>
                <w:szCs w:val="20"/>
              </w:rPr>
            </w:pPr>
            <w:r>
              <w:rPr>
                <w:rFonts w:ascii="Times New Roman" w:hAnsi="Times New Roman"/>
                <w:b/>
                <w:noProof/>
                <w:sz w:val="16"/>
              </w:rPr>
              <w:t> </w:t>
            </w:r>
          </w:p>
        </w:tc>
        <w:tc>
          <w:tcPr>
            <w:tcW w:w="16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Anmeldte udgifter 2015 (4. kv. 2014 til 3. kv. 2015)</w:t>
            </w:r>
          </w:p>
        </w:tc>
        <w:tc>
          <w:tcPr>
            <w:tcW w:w="2040" w:type="dxa"/>
            <w:gridSpan w:val="2"/>
            <w:tcBorders>
              <w:top w:val="single" w:sz="8" w:space="0" w:color="auto"/>
              <w:left w:val="nil"/>
              <w:bottom w:val="single" w:sz="8" w:space="0" w:color="auto"/>
              <w:right w:val="single" w:sz="8" w:space="0" w:color="000000"/>
            </w:tcBorders>
            <w:shd w:val="clear" w:color="auto" w:fill="auto"/>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Kumulerede anmeldte udgifter (4. kv. 2014 til 3. kv. 2015)</w:t>
            </w:r>
          </w:p>
        </w:tc>
        <w:tc>
          <w:tcPr>
            <w:tcW w:w="1800" w:type="dxa"/>
            <w:gridSpan w:val="2"/>
            <w:tcBorders>
              <w:top w:val="single" w:sz="8" w:space="0" w:color="auto"/>
              <w:left w:val="nil"/>
              <w:bottom w:val="single" w:sz="8" w:space="0" w:color="auto"/>
              <w:right w:val="single" w:sz="8" w:space="0" w:color="000000"/>
            </w:tcBorders>
            <w:shd w:val="clear" w:color="auto" w:fill="auto"/>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Finansieringsplaner 2014-2020</w:t>
            </w:r>
          </w:p>
        </w:tc>
      </w:tr>
      <w:tr>
        <w:trPr>
          <w:trHeight w:val="270"/>
        </w:trPr>
        <w:tc>
          <w:tcPr>
            <w:tcW w:w="3850" w:type="dxa"/>
            <w:gridSpan w:val="2"/>
            <w:tcBorders>
              <w:top w:val="single" w:sz="8" w:space="0" w:color="auto"/>
              <w:left w:val="single" w:sz="8" w:space="0" w:color="auto"/>
              <w:bottom w:val="single" w:sz="8" w:space="0" w:color="auto"/>
              <w:right w:val="single" w:sz="8" w:space="0" w:color="000000"/>
            </w:tcBorders>
            <w:shd w:val="clear" w:color="000000" w:fill="FFFF99"/>
            <w:noWrap/>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ELFUL-foranstaltninger</w:t>
            </w:r>
          </w:p>
        </w:tc>
        <w:tc>
          <w:tcPr>
            <w:tcW w:w="840" w:type="dxa"/>
            <w:tcBorders>
              <w:top w:val="nil"/>
              <w:left w:val="nil"/>
              <w:bottom w:val="nil"/>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 xml:space="preserve"> (mio. EUR)</w:t>
            </w:r>
          </w:p>
        </w:tc>
        <w:tc>
          <w:tcPr>
            <w:tcW w:w="840" w:type="dxa"/>
            <w:tcBorders>
              <w:top w:val="nil"/>
              <w:left w:val="nil"/>
              <w:bottom w:val="nil"/>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w:t>
            </w:r>
          </w:p>
        </w:tc>
        <w:tc>
          <w:tcPr>
            <w:tcW w:w="960" w:type="dxa"/>
            <w:tcBorders>
              <w:top w:val="nil"/>
              <w:left w:val="nil"/>
              <w:bottom w:val="nil"/>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 xml:space="preserve"> (mio. EUR)</w:t>
            </w:r>
          </w:p>
        </w:tc>
        <w:tc>
          <w:tcPr>
            <w:tcW w:w="1080" w:type="dxa"/>
            <w:tcBorders>
              <w:top w:val="nil"/>
              <w:left w:val="nil"/>
              <w:bottom w:val="nil"/>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w:t>
            </w:r>
          </w:p>
        </w:tc>
        <w:tc>
          <w:tcPr>
            <w:tcW w:w="960" w:type="dxa"/>
            <w:tcBorders>
              <w:top w:val="nil"/>
              <w:left w:val="nil"/>
              <w:bottom w:val="nil"/>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 xml:space="preserve"> (mio. EUR)</w:t>
            </w:r>
          </w:p>
        </w:tc>
        <w:tc>
          <w:tcPr>
            <w:tcW w:w="840" w:type="dxa"/>
            <w:tcBorders>
              <w:top w:val="nil"/>
              <w:left w:val="nil"/>
              <w:bottom w:val="nil"/>
              <w:right w:val="single" w:sz="8" w:space="0" w:color="auto"/>
            </w:tcBorders>
            <w:shd w:val="clear" w:color="000000" w:fill="FFFF99"/>
            <w:vAlign w:val="center"/>
            <w:hideMark/>
          </w:tcPr>
          <w:p>
            <w:pPr>
              <w:spacing w:after="0" w:line="240" w:lineRule="auto"/>
              <w:jc w:val="center"/>
              <w:rPr>
                <w:rFonts w:ascii="Times New Roman" w:eastAsia="Times New Roman" w:hAnsi="Times New Roman"/>
                <w:b/>
                <w:bCs/>
                <w:noProof/>
                <w:sz w:val="16"/>
                <w:szCs w:val="16"/>
              </w:rPr>
            </w:pPr>
            <w:r>
              <w:rPr>
                <w:rFonts w:ascii="Times New Roman" w:hAnsi="Times New Roman"/>
                <w:b/>
                <w:noProof/>
                <w:sz w:val="16"/>
              </w:rPr>
              <w:t>(%)</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01</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Vidensoverførsel og informationsaktioner</w:t>
            </w:r>
          </w:p>
        </w:tc>
        <w:tc>
          <w:tcPr>
            <w:tcW w:w="840" w:type="dxa"/>
            <w:tcBorders>
              <w:top w:val="single" w:sz="8" w:space="0" w:color="auto"/>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w:t>
            </w:r>
          </w:p>
        </w:tc>
        <w:tc>
          <w:tcPr>
            <w:tcW w:w="840" w:type="dxa"/>
            <w:tcBorders>
              <w:top w:val="single" w:sz="8" w:space="0" w:color="auto"/>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single" w:sz="8" w:space="0" w:color="auto"/>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w:t>
            </w:r>
          </w:p>
        </w:tc>
        <w:tc>
          <w:tcPr>
            <w:tcW w:w="1080" w:type="dxa"/>
            <w:tcBorders>
              <w:top w:val="single" w:sz="8" w:space="0" w:color="auto"/>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single" w:sz="8" w:space="0" w:color="auto"/>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1 158</w:t>
            </w:r>
          </w:p>
        </w:tc>
        <w:tc>
          <w:tcPr>
            <w:tcW w:w="840" w:type="dxa"/>
            <w:tcBorders>
              <w:top w:val="single" w:sz="8" w:space="0" w:color="auto"/>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02</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Rådgivningstjenester, bedriftsforvaltnings- og vikarordninger</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0,7</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0,7</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885</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0,9 %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03</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Kvalitetsordninger for landbrugsprodukter og fødevarer</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381</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0,4 %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04</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Investeringer i fysiske aktiver</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219,7</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5,8 %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219,7</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5,8 %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22 483</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22,7 %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05</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Genopretning af landbrugets produktionspotentiale efter skader som følge af naturkatastrofer og katastrofale hændelser og indførelse af passende forebyggende foranstaltninger</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15,1</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0,4 %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15,1</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0,4 %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956</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1,0 %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06</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Bedrifts- og erhvervsudvikling</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71,4</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1,9 %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71,4</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1,9 %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7 315</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7,4 %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07</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Basale tjenesteydelser og landsbyfornyelse i landdistrikterne</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2,9</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2,9</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6 652</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6,7 %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08</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Investeringer i udvikling af skovarealer og forbedring af skovenes levedygtighed</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80,6</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80,6</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4 610</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4,7 %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09</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Oprettelse af producentsammenslutninger og -organisationer</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477</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0,5 %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10</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Miljø- og klimavenligt landbrug</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1 364,3</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36,2 %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1 364,3</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36,2 %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16 335</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16,5 %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11</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Økologisk landbrug</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216,0</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5,7 %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216,0</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5,7 %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6 290</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6,4 %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12</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Natura 2000 og betalinger i henhold til vandrammedirektivet</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34,7</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0,9 %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34,7</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0,9 %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575</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0,6 %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13</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 xml:space="preserve">Betalinger til områder med naturbetingede eller andre specifikke begrænsninger </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1 540,0</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40,9 %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1 540,0</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40,9 %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16 149</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16,3 %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14</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Dyrevelfærd</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49,0</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49,0</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1,3 %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1 401</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1,4 %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15</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Forpligtelser vedrørende miljø- og klimavenligt skovbrug og skovbevarelse</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2,6</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2,6</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281</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0,3 %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16</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Samarbejde</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1,2</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1 708</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17</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Risikostyring</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5,2</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5,2</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1 706</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1,7 %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18</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Finansiering af supplerende nationale direkte betalinger i Kroatien</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54,6</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1,4 %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54,6</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1,4 %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112</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0,1 %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19</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Støtte til lokaludvikling under Leader — lokaludvikling styret af lokalsamfundet (CLLD)</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9,0</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0,2 %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9,0</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0,2 %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6 878</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7,0 %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20</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Teknisk bistand til medlemsstaterne</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18,3</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0,5 %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18,3</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0,5 %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1 990</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2,0 %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113</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Tidlig pensionering</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80,7</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80,7</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2,1 %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615</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0,6 %</w:t>
            </w:r>
          </w:p>
        </w:tc>
      </w:tr>
      <w:tr>
        <w:trPr>
          <w:trHeight w:val="255"/>
        </w:trPr>
        <w:tc>
          <w:tcPr>
            <w:tcW w:w="1286" w:type="dxa"/>
            <w:tcBorders>
              <w:top w:val="nil"/>
              <w:left w:val="single" w:sz="8" w:space="0" w:color="auto"/>
              <w:bottom w:val="nil"/>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131</w:t>
            </w:r>
          </w:p>
        </w:tc>
        <w:tc>
          <w:tcPr>
            <w:tcW w:w="2564" w:type="dxa"/>
            <w:tcBorders>
              <w:top w:val="nil"/>
              <w:left w:val="nil"/>
              <w:bottom w:val="nil"/>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Opfyldelse af regler baseret på EF-lovgivningen</w:t>
            </w:r>
          </w:p>
        </w:tc>
        <w:tc>
          <w:tcPr>
            <w:tcW w:w="84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w:t>
            </w:r>
          </w:p>
        </w:tc>
        <w:tc>
          <w:tcPr>
            <w:tcW w:w="84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w:t>
            </w:r>
          </w:p>
        </w:tc>
        <w:tc>
          <w:tcPr>
            <w:tcW w:w="1080" w:type="dxa"/>
            <w:tcBorders>
              <w:top w:val="nil"/>
              <w:left w:val="nil"/>
              <w:bottom w:val="nil"/>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w:t>
            </w:r>
          </w:p>
        </w:tc>
        <w:tc>
          <w:tcPr>
            <w:tcW w:w="840" w:type="dxa"/>
            <w:tcBorders>
              <w:top w:val="nil"/>
              <w:left w:val="nil"/>
              <w:bottom w:val="nil"/>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r>
      <w:tr>
        <w:trPr>
          <w:trHeight w:val="270"/>
        </w:trPr>
        <w:tc>
          <w:tcPr>
            <w:tcW w:w="1286" w:type="dxa"/>
            <w:tcBorders>
              <w:top w:val="nil"/>
              <w:left w:val="single" w:sz="8" w:space="0" w:color="auto"/>
              <w:bottom w:val="single" w:sz="8" w:space="0" w:color="auto"/>
              <w:right w:val="single" w:sz="8" w:space="0" w:color="auto"/>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Foranstaltning 341</w:t>
            </w:r>
          </w:p>
        </w:tc>
        <w:tc>
          <w:tcPr>
            <w:tcW w:w="2564" w:type="dxa"/>
            <w:tcBorders>
              <w:top w:val="nil"/>
              <w:left w:val="nil"/>
              <w:bottom w:val="single" w:sz="8" w:space="0" w:color="auto"/>
              <w:right w:val="nil"/>
            </w:tcBorders>
            <w:shd w:val="clear" w:color="auto" w:fill="auto"/>
            <w:noWrap/>
            <w:hideMark/>
          </w:tcPr>
          <w:p>
            <w:pPr>
              <w:spacing w:after="0" w:line="240" w:lineRule="auto"/>
              <w:rPr>
                <w:rFonts w:ascii="Times New Roman" w:eastAsia="Times New Roman" w:hAnsi="Times New Roman"/>
                <w:noProof/>
                <w:sz w:val="16"/>
                <w:szCs w:val="16"/>
              </w:rPr>
            </w:pPr>
            <w:r>
              <w:rPr>
                <w:rFonts w:ascii="Times New Roman" w:hAnsi="Times New Roman"/>
                <w:noProof/>
                <w:sz w:val="16"/>
              </w:rPr>
              <w:t>Kompetenceudvikling, informationskampagne og gennemførelse</w:t>
            </w:r>
          </w:p>
        </w:tc>
        <w:tc>
          <w:tcPr>
            <w:tcW w:w="840" w:type="dxa"/>
            <w:tcBorders>
              <w:top w:val="nil"/>
              <w:left w:val="single" w:sz="8" w:space="0" w:color="auto"/>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w:t>
            </w:r>
          </w:p>
        </w:tc>
        <w:tc>
          <w:tcPr>
            <w:tcW w:w="840" w:type="dxa"/>
            <w:tcBorders>
              <w:top w:val="nil"/>
              <w:left w:val="nil"/>
              <w:bottom w:val="single" w:sz="8" w:space="0" w:color="auto"/>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w:t>
            </w:r>
          </w:p>
        </w:tc>
        <w:tc>
          <w:tcPr>
            <w:tcW w:w="1080" w:type="dxa"/>
            <w:tcBorders>
              <w:top w:val="nil"/>
              <w:left w:val="nil"/>
              <w:bottom w:val="single" w:sz="8" w:space="0" w:color="auto"/>
              <w:right w:val="nil"/>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c>
          <w:tcPr>
            <w:tcW w:w="960" w:type="dxa"/>
            <w:tcBorders>
              <w:top w:val="nil"/>
              <w:left w:val="single" w:sz="8" w:space="0" w:color="auto"/>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w:t>
            </w:r>
          </w:p>
        </w:tc>
        <w:tc>
          <w:tcPr>
            <w:tcW w:w="840" w:type="dxa"/>
            <w:tcBorders>
              <w:top w:val="nil"/>
              <w:left w:val="nil"/>
              <w:bottom w:val="single" w:sz="8" w:space="0" w:color="auto"/>
              <w:right w:val="single" w:sz="8" w:space="0" w:color="auto"/>
            </w:tcBorders>
            <w:shd w:val="clear" w:color="auto" w:fill="auto"/>
            <w:noWrap/>
            <w:hideMark/>
          </w:tcPr>
          <w:p>
            <w:pPr>
              <w:spacing w:after="0" w:line="240" w:lineRule="auto"/>
              <w:jc w:val="right"/>
              <w:rPr>
                <w:rFonts w:ascii="Times New Roman" w:eastAsia="Times New Roman" w:hAnsi="Times New Roman"/>
                <w:noProof/>
                <w:sz w:val="16"/>
                <w:szCs w:val="16"/>
              </w:rPr>
            </w:pPr>
            <w:r>
              <w:rPr>
                <w:rFonts w:ascii="Times New Roman" w:hAnsi="Times New Roman"/>
                <w:noProof/>
                <w:sz w:val="16"/>
              </w:rPr>
              <w:t>0,0 %</w:t>
            </w:r>
          </w:p>
        </w:tc>
      </w:tr>
      <w:tr>
        <w:trPr>
          <w:trHeight w:val="270"/>
        </w:trPr>
        <w:tc>
          <w:tcPr>
            <w:tcW w:w="1286"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pPr>
              <w:spacing w:after="0" w:line="240" w:lineRule="auto"/>
              <w:rPr>
                <w:rFonts w:ascii="Times New Roman" w:eastAsia="Times New Roman" w:hAnsi="Times New Roman"/>
                <w:b/>
                <w:bCs/>
                <w:noProof/>
                <w:sz w:val="16"/>
                <w:szCs w:val="16"/>
              </w:rPr>
            </w:pPr>
            <w:r>
              <w:rPr>
                <w:rFonts w:ascii="Times New Roman" w:hAnsi="Times New Roman"/>
                <w:b/>
                <w:noProof/>
                <w:sz w:val="16"/>
              </w:rPr>
              <w:t>I alt</w:t>
            </w:r>
          </w:p>
        </w:tc>
        <w:tc>
          <w:tcPr>
            <w:tcW w:w="2564" w:type="dxa"/>
            <w:tcBorders>
              <w:top w:val="single" w:sz="8" w:space="0" w:color="auto"/>
              <w:left w:val="nil"/>
              <w:bottom w:val="single" w:sz="8" w:space="0" w:color="auto"/>
              <w:right w:val="single" w:sz="8" w:space="0" w:color="auto"/>
            </w:tcBorders>
            <w:shd w:val="clear" w:color="auto" w:fill="FFFF99"/>
            <w:noWrap/>
            <w:vAlign w:val="bottom"/>
            <w:hideMark/>
          </w:tcPr>
          <w:p>
            <w:pPr>
              <w:spacing w:after="0" w:line="240" w:lineRule="auto"/>
              <w:rPr>
                <w:rFonts w:ascii="Arial" w:eastAsia="Times New Roman" w:hAnsi="Arial" w:cs="Arial"/>
                <w:noProof/>
                <w:sz w:val="20"/>
                <w:szCs w:val="20"/>
              </w:rPr>
            </w:pPr>
            <w:r>
              <w:rPr>
                <w:rFonts w:ascii="Arial" w:hAnsi="Arial"/>
                <w:noProof/>
                <w:sz w:val="20"/>
              </w:rPr>
              <w:t> </w:t>
            </w:r>
          </w:p>
        </w:tc>
        <w:tc>
          <w:tcPr>
            <w:tcW w:w="840" w:type="dxa"/>
            <w:tcBorders>
              <w:top w:val="single" w:sz="8" w:space="0" w:color="auto"/>
              <w:left w:val="nil"/>
              <w:bottom w:val="single" w:sz="8" w:space="0" w:color="auto"/>
              <w:right w:val="single" w:sz="8" w:space="0" w:color="auto"/>
            </w:tcBorders>
            <w:shd w:val="clear" w:color="auto"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3 769</w:t>
            </w:r>
          </w:p>
        </w:tc>
        <w:tc>
          <w:tcPr>
            <w:tcW w:w="8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100,0 %</w:t>
            </w:r>
          </w:p>
        </w:tc>
        <w:tc>
          <w:tcPr>
            <w:tcW w:w="96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3 769</w:t>
            </w:r>
          </w:p>
        </w:tc>
        <w:tc>
          <w:tcPr>
            <w:tcW w:w="108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100,0 %</w:t>
            </w:r>
          </w:p>
        </w:tc>
        <w:tc>
          <w:tcPr>
            <w:tcW w:w="96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98 958</w:t>
            </w:r>
          </w:p>
        </w:tc>
        <w:tc>
          <w:tcPr>
            <w:tcW w:w="840" w:type="dxa"/>
            <w:tcBorders>
              <w:top w:val="nil"/>
              <w:left w:val="nil"/>
              <w:bottom w:val="single" w:sz="8" w:space="0" w:color="auto"/>
              <w:right w:val="single" w:sz="8" w:space="0" w:color="auto"/>
            </w:tcBorders>
            <w:shd w:val="clear" w:color="000000" w:fill="FFFF99"/>
            <w:noWrap/>
            <w:vAlign w:val="center"/>
            <w:hideMark/>
          </w:tcPr>
          <w:p>
            <w:pPr>
              <w:spacing w:after="0" w:line="240" w:lineRule="auto"/>
              <w:jc w:val="right"/>
              <w:rPr>
                <w:rFonts w:ascii="Times New Roman" w:eastAsia="Times New Roman" w:hAnsi="Times New Roman"/>
                <w:b/>
                <w:bCs/>
                <w:noProof/>
                <w:sz w:val="16"/>
                <w:szCs w:val="16"/>
              </w:rPr>
            </w:pPr>
            <w:r>
              <w:rPr>
                <w:rFonts w:ascii="Times New Roman" w:hAnsi="Times New Roman"/>
                <w:b/>
                <w:noProof/>
                <w:sz w:val="16"/>
              </w:rPr>
              <w:t>100,0 %</w:t>
            </w:r>
          </w:p>
        </w:tc>
      </w:tr>
    </w:tbl>
    <w:p>
      <w:pPr>
        <w:spacing w:before="120" w:after="120" w:line="240" w:lineRule="auto"/>
        <w:ind w:left="850"/>
        <w:jc w:val="both"/>
        <w:rPr>
          <w:rFonts w:ascii="Times New Roman" w:eastAsia="Times New Roman" w:hAnsi="Times New Roman"/>
          <w:noProof/>
          <w:sz w:val="20"/>
          <w:szCs w:val="20"/>
        </w:rPr>
      </w:pPr>
      <w:r>
        <w:rPr>
          <w:rFonts w:ascii="Times New Roman" w:hAnsi="Times New Roman"/>
          <w:noProof/>
          <w:sz w:val="20"/>
        </w:rPr>
        <w:t>*Medlemsstaterne anmelder deres udgifter pr. kvartal. For år n indsendes anmeldelser for 4. kv. dog i januar i år n+1. Følgelig går de tilsvarende refusioner fra Kommissionen til medlemsstaterne i år n fra 4. kv. i år n-1 til 3. kv. i år n.</w:t>
      </w:r>
    </w:p>
    <w:p>
      <w:pPr>
        <w:keepNext/>
        <w:tabs>
          <w:tab w:val="left" w:pos="850"/>
        </w:tabs>
        <w:spacing w:before="240" w:after="120" w:line="240" w:lineRule="auto"/>
        <w:ind w:left="850" w:hanging="850"/>
        <w:jc w:val="both"/>
        <w:outlineLvl w:val="1"/>
        <w:rPr>
          <w:rFonts w:ascii="Times New Roman" w:eastAsia="Times New Roman" w:hAnsi="Times New Roman"/>
          <w:b/>
          <w:noProof/>
          <w:sz w:val="24"/>
        </w:rPr>
      </w:pPr>
      <w:bookmarkStart w:id="93" w:name="_Toc393127486"/>
      <w:bookmarkStart w:id="94" w:name="_Toc457569424"/>
      <w:bookmarkStart w:id="95" w:name="_Toc461195007"/>
      <w:r>
        <w:rPr>
          <w:rFonts w:ascii="Times New Roman" w:hAnsi="Times New Roman"/>
          <w:b/>
          <w:noProof/>
          <w:sz w:val="24"/>
        </w:rPr>
        <w:t>3.4.</w:t>
      </w:r>
      <w:r>
        <w:rPr>
          <w:noProof/>
        </w:rPr>
        <w:tab/>
      </w:r>
      <w:r>
        <w:rPr>
          <w:rFonts w:ascii="Times New Roman" w:hAnsi="Times New Roman"/>
          <w:b/>
          <w:noProof/>
          <w:sz w:val="24"/>
        </w:rPr>
        <w:t>Gennemførelse af ELFUL-programmer</w:t>
      </w:r>
      <w:bookmarkEnd w:id="93"/>
      <w:r>
        <w:rPr>
          <w:rFonts w:ascii="Times New Roman" w:hAnsi="Times New Roman"/>
          <w:b/>
          <w:noProof/>
          <w:sz w:val="24"/>
        </w:rPr>
        <w:t xml:space="preserve"> - Programmeringsperiode 2007-2013</w:t>
      </w:r>
      <w:bookmarkEnd w:id="94"/>
      <w:bookmarkEnd w:id="95"/>
    </w:p>
    <w:bookmarkEnd w:id="92"/>
    <w:p>
      <w:pPr>
        <w:spacing w:before="120" w:after="120" w:line="240" w:lineRule="auto"/>
        <w:ind w:left="850"/>
        <w:jc w:val="both"/>
        <w:rPr>
          <w:rFonts w:ascii="Times New Roman" w:eastAsia="Times New Roman" w:hAnsi="Times New Roman"/>
          <w:noProof/>
          <w:sz w:val="24"/>
        </w:rPr>
      </w:pPr>
      <w:r>
        <w:rPr>
          <w:rFonts w:ascii="Times New Roman" w:hAnsi="Times New Roman"/>
          <w:noProof/>
          <w:sz w:val="24"/>
        </w:rPr>
        <w:t>Figur 2 viser den finansielle gennemførelsesgrad for landdistriktsprogrammer fra perioden 2007-2013 pr. medlemsstat: Betalinger fra begyndelsen af programmeringsperioden indtil 2015, inkl. 4. kv. 2015, som refunderes i regnskabsåret 2016, sammenholdt med 2007-2013-forpligtelserne i henhold til finansieringsplanen. Eftersom 2013 var det sidste år, hvor forpligtelserne blev indgået, svarer gennemførelsesgraden til udnyttelsesgraden (betalinger foretaget siden begyndelsen af programmeringsperioden sammenholdt med de samlede tildelinger i 2007-2013). Den gennemsnitlige finansielle ELFUL-gennemførelsesgrad for alle ELFUL-programmerne er på 95 %.</w:t>
      </w:r>
    </w:p>
    <w:p>
      <w:pPr>
        <w:spacing w:before="120" w:after="120" w:line="240" w:lineRule="auto"/>
        <w:ind w:left="850"/>
        <w:jc w:val="both"/>
        <w:rPr>
          <w:rFonts w:ascii="Times New Roman" w:eastAsia="Times New Roman" w:hAnsi="Times New Roman"/>
          <w:noProof/>
          <w:sz w:val="24"/>
        </w:rPr>
      </w:pPr>
      <w:r>
        <w:rPr>
          <w:rFonts w:ascii="Times New Roman" w:hAnsi="Times New Roman"/>
          <w:noProof/>
          <w:sz w:val="24"/>
        </w:rPr>
        <w:t>Figur 2 viser, at næsten alle medlemsstaterne har udnyttet over 95 % af 2007-2013-forpligtelserne.</w:t>
      </w:r>
    </w:p>
    <w:p>
      <w:pPr>
        <w:spacing w:before="120" w:after="120" w:line="240" w:lineRule="auto"/>
        <w:ind w:left="850"/>
        <w:jc w:val="both"/>
        <w:rPr>
          <w:rFonts w:ascii="Times New Roman" w:eastAsia="Times New Roman" w:hAnsi="Times New Roman"/>
          <w:noProof/>
          <w:sz w:val="24"/>
        </w:rPr>
      </w:pPr>
      <w:r>
        <w:rPr>
          <w:rFonts w:ascii="Times New Roman" w:hAnsi="Times New Roman"/>
          <w:noProof/>
          <w:sz w:val="24"/>
        </w:rPr>
        <w:t>Indtil udgangen af 2015 har anvendelsen af reglen 'n+2' medført frigørelser på i alt 410,4 mio. EUR. Dette beløb vedrører årende 2008, 2009, 2010, 2011 og 2012.</w:t>
      </w:r>
    </w:p>
    <w:p>
      <w:pPr>
        <w:spacing w:before="120" w:after="120" w:line="240" w:lineRule="auto"/>
        <w:ind w:left="850"/>
        <w:jc w:val="both"/>
        <w:rPr>
          <w:rFonts w:ascii="Times New Roman" w:eastAsia="Times New Roman" w:hAnsi="Times New Roman"/>
          <w:noProof/>
          <w:sz w:val="24"/>
        </w:rPr>
      </w:pPr>
    </w:p>
    <w:p>
      <w:pPr>
        <w:spacing w:before="120" w:after="120" w:line="240" w:lineRule="auto"/>
        <w:jc w:val="both"/>
        <w:rPr>
          <w:rFonts w:ascii="Times New Roman" w:eastAsia="Times New Roman" w:hAnsi="Times New Roman"/>
          <w:noProof/>
          <w:sz w:val="24"/>
        </w:rPr>
      </w:pPr>
    </w:p>
    <w:p>
      <w:pPr>
        <w:spacing w:before="120" w:after="120" w:line="240" w:lineRule="auto"/>
        <w:rPr>
          <w:rFonts w:ascii="Times New Roman" w:eastAsia="Times New Roman" w:hAnsi="Times New Roman"/>
          <w:noProof/>
          <w:sz w:val="24"/>
        </w:rPr>
        <w:sectPr>
          <w:headerReference w:type="even" r:id="rId35"/>
          <w:headerReference w:type="default" r:id="rId36"/>
          <w:footerReference w:type="even" r:id="rId37"/>
          <w:footerReference w:type="default" r:id="rId38"/>
          <w:headerReference w:type="first" r:id="rId39"/>
          <w:footerReference w:type="first" r:id="rId40"/>
          <w:pgSz w:w="11907" w:h="16839" w:code="9"/>
          <w:pgMar w:top="1134" w:right="1418" w:bottom="1134" w:left="1418" w:header="709" w:footer="709" w:gutter="0"/>
          <w:cols w:space="708"/>
          <w:docGrid w:linePitch="360"/>
        </w:sectPr>
      </w:pPr>
    </w:p>
    <w:p>
      <w:pPr>
        <w:spacing w:before="120" w:after="120" w:line="240" w:lineRule="auto"/>
        <w:jc w:val="both"/>
        <w:rPr>
          <w:noProof/>
        </w:rPr>
      </w:pPr>
      <w:r>
        <w:rPr>
          <w:noProof/>
          <w:lang w:val="en-US" w:eastAsia="en-US" w:bidi="ar-SA"/>
        </w:rPr>
        <w:drawing>
          <wp:inline distT="0" distB="0" distL="0" distR="0">
            <wp:extent cx="7228205" cy="44704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28205" cy="4470400"/>
                    </a:xfrm>
                    <a:prstGeom prst="rect">
                      <a:avLst/>
                    </a:prstGeom>
                    <a:noFill/>
                    <a:ln>
                      <a:noFill/>
                    </a:ln>
                  </pic:spPr>
                </pic:pic>
              </a:graphicData>
            </a:graphic>
          </wp:inline>
        </w:drawing>
      </w:r>
    </w:p>
    <w:sectPr>
      <w:headerReference w:type="even" r:id="rId42"/>
      <w:headerReference w:type="default" r:id="rId43"/>
      <w:footerReference w:type="even" r:id="rId44"/>
      <w:footerReference w:type="default" r:id="rId45"/>
      <w:headerReference w:type="first" r:id="rId46"/>
      <w:footerReference w:type="first" r:id="rId4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15</w:t>
    </w:r>
    <w:r>
      <w:rPr>
        <w:noProof/>
      </w:rPr>
      <w:fldChar w:fldCharType="end"/>
    </w:r>
  </w:p>
  <w:p>
    <w:pPr>
      <w:pStyle w:val="Footer"/>
      <w:rPr>
        <w:sz w:val="16"/>
        <w:szCs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20</w:t>
    </w:r>
    <w:r>
      <w:rPr>
        <w:noProof/>
      </w:rPr>
      <w:fldChar w:fldCharType="end"/>
    </w:r>
  </w:p>
  <w:p>
    <w:pPr>
      <w:pStyle w:val="Footer"/>
      <w:rPr>
        <w:sz w:val="16"/>
        <w:szCs w:val="16"/>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21</w:t>
    </w:r>
    <w:r>
      <w:rPr>
        <w:noProof/>
      </w:rPr>
      <w:fldChar w:fldCharType="end"/>
    </w:r>
  </w:p>
  <w:p>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DA</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rPr>
        <w:noProof/>
      </w:rPr>
      <w:fldChar w:fldCharType="end"/>
    </w:r>
  </w:p>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12</w:t>
    </w:r>
    <w:r>
      <w:rPr>
        <w:noProof/>
      </w:rPr>
      <w:fldChar w:fldCharType="end"/>
    </w:r>
  </w:p>
  <w:p>
    <w:pPr>
      <w:pStyle w:val="Footer"/>
      <w:rPr>
        <w:sz w:val="16"/>
        <w:szCs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16"/>
        <w:szCs w:val="16"/>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16"/>
        <w:szCs w:val="16"/>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rPr>
        <w:sz w:val="16"/>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D5905"/>
    <w:multiLevelType w:val="singleLevel"/>
    <w:tmpl w:val="6CB4B73E"/>
    <w:name w:val="List Bullet 2"/>
    <w:lvl w:ilvl="0">
      <w:start w:val="1"/>
      <w:numFmt w:val="bullet"/>
      <w:lvlRestart w:val="0"/>
      <w:lvlText w:val=""/>
      <w:lvlJc w:val="left"/>
      <w:pPr>
        <w:tabs>
          <w:tab w:val="num" w:pos="1134"/>
        </w:tabs>
        <w:ind w:left="1134" w:hanging="283"/>
      </w:pPr>
      <w:rPr>
        <w:rFonts w:ascii="Symbol" w:hAnsi="Symbol" w:hint="default"/>
      </w:rPr>
    </w:lvl>
  </w:abstractNum>
  <w:abstractNum w:abstractNumId="1">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B3C78B8"/>
    <w:multiLevelType w:val="multilevel"/>
    <w:tmpl w:val="2ED4F4D0"/>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2">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8">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nsid w:val="596D67A1"/>
    <w:multiLevelType w:val="singleLevel"/>
    <w:tmpl w:val="9AC8831A"/>
    <w:name w:val="0,7215801"/>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2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4">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5">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6">
    <w:nsid w:val="62A8042C"/>
    <w:multiLevelType w:val="singleLevel"/>
    <w:tmpl w:val="CCF20C06"/>
    <w:name w:val="0,4528865"/>
    <w:lvl w:ilvl="0">
      <w:start w:val="1"/>
      <w:numFmt w:val="bullet"/>
      <w:lvlRestart w:val="0"/>
      <w:lvlText w:val="–"/>
      <w:lvlJc w:val="left"/>
      <w:pPr>
        <w:tabs>
          <w:tab w:val="num" w:pos="1134"/>
        </w:tabs>
        <w:ind w:left="1134" w:hanging="283"/>
      </w:pPr>
      <w:rPr>
        <w:rFonts w:ascii="Times New Roman" w:hAnsi="Times New Roman" w:cs="Times New Roman"/>
      </w:rPr>
    </w:lvl>
  </w:abstractNum>
  <w:abstractNum w:abstractNumId="27">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nsid w:val="6A6901C1"/>
    <w:multiLevelType w:val="singleLevel"/>
    <w:tmpl w:val="208841AE"/>
    <w:name w:val="Point"/>
    <w:lvl w:ilvl="0">
      <w:start w:val="1"/>
      <w:numFmt w:val="bullet"/>
      <w:lvlRestart w:val="0"/>
      <w:lvlText w:val=""/>
      <w:lvlJc w:val="left"/>
      <w:pPr>
        <w:tabs>
          <w:tab w:val="num" w:pos="1134"/>
        </w:tabs>
        <w:ind w:left="1134" w:hanging="283"/>
      </w:pPr>
      <w:rPr>
        <w:rFonts w:ascii="Symbol" w:hAnsi="Symbol" w:hint="default"/>
      </w:rPr>
    </w:lvl>
  </w:abstractNum>
  <w:abstractNum w:abstractNumId="3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1">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9C96D36"/>
    <w:multiLevelType w:val="multilevel"/>
    <w:tmpl w:val="E2CADEF8"/>
    <w:name w:val="0,0873878"/>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4">
    <w:nsid w:val="7D8820A0"/>
    <w:multiLevelType w:val="singleLevel"/>
    <w:tmpl w:val="54F6C7B4"/>
    <w:name w:val="1,378596E-02"/>
    <w:lvl w:ilvl="0">
      <w:start w:val="1"/>
      <w:numFmt w:val="bullet"/>
      <w:lvlRestart w:val="0"/>
      <w:lvlText w:val="–"/>
      <w:lvlJc w:val="left"/>
      <w:pPr>
        <w:tabs>
          <w:tab w:val="num" w:pos="1134"/>
        </w:tabs>
        <w:ind w:left="1134" w:hanging="283"/>
      </w:pPr>
      <w:rPr>
        <w:rFonts w:ascii="Times New Roman" w:hAnsi="Times New Roman" w:cs="Times New Roman"/>
      </w:rPr>
    </w:lvl>
  </w:abstractNum>
  <w:num w:numId="1">
    <w:abstractNumId w:val="13"/>
    <w:lvlOverride w:ilvl="0">
      <w:startOverride w:val="1"/>
    </w:lvlOverride>
  </w:num>
  <w:num w:numId="2">
    <w:abstractNumId w:val="22"/>
  </w:num>
  <w:num w:numId="3">
    <w:abstractNumId w:val="28"/>
  </w:num>
  <w:num w:numId="4">
    <w:abstractNumId w:val="8"/>
  </w:num>
  <w:num w:numId="5">
    <w:abstractNumId w:val="14"/>
  </w:num>
  <w:num w:numId="6">
    <w:abstractNumId w:val="4"/>
  </w:num>
  <w:num w:numId="7">
    <w:abstractNumId w:val="27"/>
  </w:num>
  <w:num w:numId="8">
    <w:abstractNumId w:val="2"/>
  </w:num>
  <w:num w:numId="9">
    <w:abstractNumId w:val="15"/>
  </w:num>
  <w:num w:numId="10">
    <w:abstractNumId w:val="20"/>
  </w:num>
  <w:num w:numId="11">
    <w:abstractNumId w:val="21"/>
  </w:num>
  <w:num w:numId="12">
    <w:abstractNumId w:val="7"/>
  </w:num>
  <w:num w:numId="13">
    <w:abstractNumId w:val="18"/>
  </w:num>
  <w:num w:numId="14">
    <w:abstractNumId w:val="33"/>
  </w:num>
  <w:num w:numId="15">
    <w:abstractNumId w:val="12"/>
  </w:num>
  <w:num w:numId="16">
    <w:abstractNumId w:val="5"/>
  </w:num>
  <w:num w:numId="17">
    <w:abstractNumId w:val="11"/>
  </w:num>
  <w:num w:numId="18">
    <w:abstractNumId w:val="25"/>
  </w:num>
  <w:num w:numId="19">
    <w:abstractNumId w:val="30"/>
  </w:num>
  <w:num w:numId="20">
    <w:abstractNumId w:val="9"/>
  </w:num>
  <w:num w:numId="21">
    <w:abstractNumId w:val="24"/>
  </w:num>
  <w:num w:numId="22">
    <w:abstractNumId w:val="23"/>
  </w:num>
  <w:num w:numId="23">
    <w:abstractNumId w:val="16"/>
  </w:num>
  <w:num w:numId="24">
    <w:abstractNumId w:val="17"/>
  </w:num>
  <w:num w:numId="25">
    <w:abstractNumId w:val="3"/>
  </w:num>
  <w:num w:numId="26">
    <w:abstractNumId w:val="10"/>
  </w:num>
  <w:num w:numId="27">
    <w:abstractNumId w:val="1"/>
  </w:num>
  <w:num w:numId="28">
    <w:abstractNumId w:val="6"/>
  </w:num>
  <w:num w:numId="29">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revisionView w:markup="0"/>
  <w:defaultTabStop w:val="720"/>
  <w:hyphenationZone w:val="425"/>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E56969F54D164C87B640FE271E269011"/>
    <w:docVar w:name="LW_CROSSREFERENCE" w:val="&lt;UNUSED&gt;"/>
    <w:docVar w:name="LW_DocType" w:val="NORMAL"/>
    <w:docVar w:name="LW_EMISSION" w:val="30.9.2016"/>
    <w:docVar w:name="LW_EMISSION_ISODATE" w:val="2016-09-30"/>
    <w:docVar w:name="LW_EMISSION_LOCATION" w:val="BRX"/>
    <w:docVar w:name="LW_EMISSION_PREFIX" w:val="Bruxelles, den "/>
    <w:docVar w:name="LW_EMISSION_SUFFIX" w:val=" "/>
    <w:docVar w:name="LW_ID_DOCTYPE_NONLW" w:val="CP-006"/>
    <w:docVar w:name="LW_LANGUE" w:val="DA"/>
    <w:docVar w:name="LW_MARKING" w:val="&lt;UNUSED&gt;"/>
    <w:docVar w:name="LW_NOM.INST" w:val="EUROPA-KOMMISSIONEN"/>
    <w:docVar w:name="LW_NOM.INST_JOINTDOC" w:val="&lt;EMPTY&gt;"/>
    <w:docVar w:name="LW_PART_NBR" w:val="1"/>
    <w:docVar w:name="LW_PART_NBR_TOTAL" w:val="1"/>
    <w:docVar w:name="LW_REF.INST.NEW" w:val="COM"/>
    <w:docVar w:name="LW_REF.INST.NEW_ADOPTED" w:val="final"/>
    <w:docVar w:name="LW_REF.INST.NEW_TEXT" w:val="(2016) 632"/>
    <w:docVar w:name="LW_REF.INTERNE" w:val="&lt;UNUSED&gt;"/>
    <w:docVar w:name="LW_SOUS.TITRE.OBJ.CP" w:val="&lt;UNUSED&gt;"/>
    <w:docVar w:name="LW_SUPERTITRE" w:val="&lt;UNUSED&gt;"/>
    <w:docVar w:name="LW_TITRE.OBJ.CP" w:val="9. FINANSBERETNING FRA KOMMISSIONEN TIL EUROPA-PARLAMENTET OG RÅDET _x000b_om DEN EUROPÆISKE LANDBRUGSFOND FOR UDVIKLING AF LANDDISTRIKTERNE (ELFUL)_x000b_REGNSKABSÅRET 2015"/>
    <w:docVar w:name="LW_TYPE.DOC.CP" w:val="RAPPORT FRA KOMMISSIONEN TIL EUROPA-PARLAMENTET OG RÅDE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a-DK" w:eastAsia="da-DK" w:bidi="da-DK"/>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table of figures" w:uiPriority="0"/>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Text1"/>
    <w:link w:val="Heading1Char"/>
    <w:uiPriority w:val="9"/>
    <w:qFormat/>
    <w:pPr>
      <w:keepNext/>
      <w:numPr>
        <w:numId w:val="7"/>
      </w:numPr>
      <w:spacing w:before="360" w:after="120" w:line="240" w:lineRule="auto"/>
      <w:jc w:val="both"/>
      <w:outlineLvl w:val="0"/>
    </w:pPr>
    <w:rPr>
      <w:rFonts w:ascii="Times New Roman" w:eastAsia="Times New Roman" w:hAnsi="Times New Roman"/>
      <w:b/>
      <w:bCs/>
      <w:smallCaps/>
      <w:sz w:val="24"/>
      <w:szCs w:val="28"/>
    </w:rPr>
  </w:style>
  <w:style w:type="paragraph" w:styleId="Heading2">
    <w:name w:val="heading 2"/>
    <w:basedOn w:val="Normal"/>
    <w:next w:val="Text1"/>
    <w:link w:val="Heading2Char"/>
    <w:uiPriority w:val="9"/>
    <w:qFormat/>
    <w:pPr>
      <w:keepNext/>
      <w:numPr>
        <w:ilvl w:val="1"/>
        <w:numId w:val="7"/>
      </w:numPr>
      <w:spacing w:before="120" w:after="120" w:line="240" w:lineRule="auto"/>
      <w:jc w:val="both"/>
      <w:outlineLvl w:val="1"/>
    </w:pPr>
    <w:rPr>
      <w:rFonts w:ascii="Times New Roman" w:eastAsia="Times New Roman" w:hAnsi="Times New Roman"/>
      <w:b/>
      <w:bCs/>
      <w:sz w:val="24"/>
      <w:szCs w:val="26"/>
    </w:rPr>
  </w:style>
  <w:style w:type="paragraph" w:styleId="Heading3">
    <w:name w:val="heading 3"/>
    <w:basedOn w:val="Normal"/>
    <w:next w:val="Text1"/>
    <w:link w:val="Heading3Char"/>
    <w:uiPriority w:val="9"/>
    <w:qFormat/>
    <w:pPr>
      <w:keepNext/>
      <w:numPr>
        <w:ilvl w:val="2"/>
        <w:numId w:val="7"/>
      </w:numPr>
      <w:spacing w:before="120" w:after="120" w:line="240" w:lineRule="auto"/>
      <w:jc w:val="both"/>
      <w:outlineLvl w:val="2"/>
    </w:pPr>
    <w:rPr>
      <w:rFonts w:ascii="Times New Roman" w:eastAsia="Times New Roman" w:hAnsi="Times New Roman"/>
      <w:bCs/>
      <w:i/>
      <w:sz w:val="24"/>
    </w:rPr>
  </w:style>
  <w:style w:type="paragraph" w:styleId="Heading4">
    <w:name w:val="heading 4"/>
    <w:basedOn w:val="Normal"/>
    <w:next w:val="Text1"/>
    <w:link w:val="Heading4Char"/>
    <w:uiPriority w:val="9"/>
    <w:qFormat/>
    <w:pPr>
      <w:keepNext/>
      <w:numPr>
        <w:ilvl w:val="3"/>
        <w:numId w:val="7"/>
      </w:numPr>
      <w:spacing w:before="120" w:after="120" w:line="240" w:lineRule="auto"/>
      <w:jc w:val="both"/>
      <w:outlineLvl w:val="3"/>
    </w:pPr>
    <w:rPr>
      <w:rFonts w:ascii="Times New Roman" w:eastAsia="Times New Roman" w:hAnsi="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b/>
      <w:bCs/>
      <w:smallCaps/>
      <w:sz w:val="24"/>
      <w:szCs w:val="28"/>
    </w:rPr>
  </w:style>
  <w:style w:type="character" w:customStyle="1" w:styleId="Heading2Char">
    <w:name w:val="Heading 2 Char"/>
    <w:link w:val="Heading2"/>
    <w:uiPriority w:val="9"/>
    <w:rPr>
      <w:rFonts w:ascii="Times New Roman" w:eastAsia="Times New Roman" w:hAnsi="Times New Roman"/>
      <w:b/>
      <w:bCs/>
      <w:sz w:val="24"/>
      <w:szCs w:val="26"/>
    </w:rPr>
  </w:style>
  <w:style w:type="character" w:customStyle="1" w:styleId="Heading3Char">
    <w:name w:val="Heading 3 Char"/>
    <w:link w:val="Heading3"/>
    <w:uiPriority w:val="9"/>
    <w:rPr>
      <w:rFonts w:ascii="Times New Roman" w:eastAsia="Times New Roman" w:hAnsi="Times New Roman"/>
      <w:bCs/>
      <w:i/>
      <w:sz w:val="24"/>
      <w:szCs w:val="22"/>
    </w:rPr>
  </w:style>
  <w:style w:type="character" w:customStyle="1" w:styleId="Heading4Char">
    <w:name w:val="Heading 4 Char"/>
    <w:link w:val="Heading4"/>
    <w:uiPriority w:val="9"/>
    <w:rPr>
      <w:rFonts w:ascii="Times New Roman" w:eastAsia="Times New Roman" w:hAnsi="Times New Roman"/>
      <w:bCs/>
      <w:iCs/>
      <w:sz w:val="24"/>
      <w:szCs w:val="22"/>
    </w:rPr>
  </w:style>
  <w:style w:type="numbering" w:customStyle="1" w:styleId="NoList1">
    <w:name w:val="No List1"/>
    <w:next w:val="NoList"/>
    <w:uiPriority w:val="99"/>
    <w:semiHidden/>
    <w:unhideWhenUsed/>
  </w:style>
  <w:style w:type="paragraph" w:styleId="ListNumber">
    <w:name w:val="List Number"/>
    <w:basedOn w:val="Normal"/>
    <w:pPr>
      <w:numPr>
        <w:numId w:val="25"/>
      </w:numPr>
      <w:spacing w:after="240" w:line="240" w:lineRule="auto"/>
      <w:jc w:val="both"/>
    </w:pPr>
    <w:rPr>
      <w:rFonts w:ascii="Times New Roman" w:eastAsia="Times New Roman" w:hAnsi="Times New Roman"/>
      <w:sz w:val="24"/>
      <w:szCs w:val="20"/>
      <w:lang w:eastAsia="en-US" w:bidi="ar-SA"/>
    </w:rPr>
  </w:style>
  <w:style w:type="paragraph" w:customStyle="1" w:styleId="ListBullet1">
    <w:name w:val="List Bullet 1"/>
    <w:basedOn w:val="Text1"/>
    <w:pPr>
      <w:numPr>
        <w:numId w:val="16"/>
      </w:numPr>
      <w:spacing w:before="0" w:after="240"/>
    </w:pPr>
    <w:rPr>
      <w:szCs w:val="20"/>
      <w:lang w:eastAsia="en-US" w:bidi="ar-SA"/>
    </w:rPr>
  </w:style>
  <w:style w:type="paragraph" w:customStyle="1" w:styleId="ListDash1">
    <w:name w:val="List Dash 1"/>
    <w:basedOn w:val="Text1"/>
    <w:pPr>
      <w:numPr>
        <w:numId w:val="21"/>
      </w:numPr>
      <w:spacing w:before="0" w:after="240"/>
    </w:pPr>
    <w:rPr>
      <w:szCs w:val="20"/>
      <w:lang w:eastAsia="en-US" w:bidi="ar-SA"/>
    </w:rPr>
  </w:style>
  <w:style w:type="paragraph" w:customStyle="1" w:styleId="ListDash2">
    <w:name w:val="List Dash 2"/>
    <w:basedOn w:val="Text2"/>
    <w:pPr>
      <w:numPr>
        <w:numId w:val="22"/>
      </w:numPr>
      <w:spacing w:before="0" w:after="240"/>
    </w:pPr>
    <w:rPr>
      <w:szCs w:val="20"/>
      <w:lang w:eastAsia="en-US" w:bidi="ar-SA"/>
    </w:rPr>
  </w:style>
  <w:style w:type="paragraph" w:customStyle="1" w:styleId="ListNumberLevel2">
    <w:name w:val="List Number (Level 2)"/>
    <w:basedOn w:val="Normal"/>
    <w:pPr>
      <w:numPr>
        <w:ilvl w:val="1"/>
        <w:numId w:val="25"/>
      </w:numPr>
      <w:spacing w:after="240" w:line="240" w:lineRule="auto"/>
      <w:jc w:val="both"/>
    </w:pPr>
    <w:rPr>
      <w:rFonts w:ascii="Times New Roman" w:eastAsia="Times New Roman" w:hAnsi="Times New Roman"/>
      <w:sz w:val="24"/>
      <w:szCs w:val="20"/>
      <w:lang w:eastAsia="en-US" w:bidi="ar-SA"/>
    </w:rPr>
  </w:style>
  <w:style w:type="paragraph" w:customStyle="1" w:styleId="ListNumberLevel3">
    <w:name w:val="List Number (Level 3)"/>
    <w:basedOn w:val="Normal"/>
    <w:pPr>
      <w:numPr>
        <w:ilvl w:val="2"/>
        <w:numId w:val="25"/>
      </w:numPr>
      <w:spacing w:after="240" w:line="240" w:lineRule="auto"/>
      <w:jc w:val="both"/>
    </w:pPr>
    <w:rPr>
      <w:rFonts w:ascii="Times New Roman" w:eastAsia="Times New Roman" w:hAnsi="Times New Roman"/>
      <w:sz w:val="24"/>
      <w:szCs w:val="20"/>
      <w:lang w:eastAsia="en-US" w:bidi="ar-SA"/>
    </w:rPr>
  </w:style>
  <w:style w:type="paragraph" w:customStyle="1" w:styleId="ListNumberLevel4">
    <w:name w:val="List Number (Level 4)"/>
    <w:basedOn w:val="Normal"/>
    <w:pPr>
      <w:numPr>
        <w:ilvl w:val="3"/>
        <w:numId w:val="25"/>
      </w:numPr>
      <w:spacing w:after="240" w:line="240" w:lineRule="auto"/>
      <w:jc w:val="both"/>
    </w:pPr>
    <w:rPr>
      <w:rFonts w:ascii="Times New Roman" w:eastAsia="Times New Roman" w:hAnsi="Times New Roman"/>
      <w:sz w:val="24"/>
      <w:szCs w:val="20"/>
      <w:lang w:eastAsia="en-US" w:bidi="ar-SA"/>
    </w:rPr>
  </w:style>
  <w:style w:type="paragraph" w:customStyle="1" w:styleId="Annexetitreacte">
    <w:name w:val="Annexe titre (act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exposglobal">
    <w:name w:val="Annexe titre (exposé global)"/>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fichefinacte">
    <w:name w:val="Annexe titre (fiche fin. acte)"/>
    <w:basedOn w:val="Normal"/>
    <w:next w:val="Normal"/>
    <w:pPr>
      <w:spacing w:before="120" w:after="120" w:line="240" w:lineRule="auto"/>
      <w:jc w:val="center"/>
    </w:pPr>
    <w:rPr>
      <w:rFonts w:ascii="Times New Roman" w:eastAsia="Times New Roman" w:hAnsi="Times New Roman"/>
      <w:b/>
      <w:sz w:val="24"/>
      <w:u w:val="single"/>
    </w:rPr>
  </w:style>
  <w:style w:type="table" w:styleId="TableGrid">
    <w:name w:val="Table Grid"/>
    <w:basedOn w:val="TableNormal"/>
    <w:pPr>
      <w:spacing w:after="24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rFonts w:cs="Times New Roman"/>
      <w:i/>
      <w:iCs/>
      <w:shd w:val="clear" w:color="auto" w:fill="auto"/>
    </w:rPr>
  </w:style>
  <w:style w:type="paragraph" w:styleId="ListNumber2">
    <w:name w:val="List Number 2"/>
    <w:basedOn w:val="Text2"/>
    <w:pPr>
      <w:numPr>
        <w:numId w:val="27"/>
      </w:numPr>
      <w:spacing w:before="0" w:after="240"/>
    </w:pPr>
    <w:rPr>
      <w:szCs w:val="20"/>
      <w:lang w:eastAsia="en-US" w:bidi="ar-SA"/>
    </w:rPr>
  </w:style>
  <w:style w:type="paragraph" w:styleId="ListNumber3">
    <w:name w:val="List Number 3"/>
    <w:basedOn w:val="Text3"/>
    <w:pPr>
      <w:numPr>
        <w:numId w:val="28"/>
      </w:numPr>
      <w:spacing w:before="0" w:after="240"/>
    </w:pPr>
    <w:rPr>
      <w:szCs w:val="20"/>
      <w:lang w:eastAsia="en-US" w:bidi="ar-SA"/>
    </w:rPr>
  </w:style>
  <w:style w:type="paragraph" w:styleId="ListNumber4">
    <w:name w:val="List Number 4"/>
    <w:basedOn w:val="Text4"/>
    <w:pPr>
      <w:numPr>
        <w:numId w:val="29"/>
      </w:numPr>
      <w:spacing w:before="0" w:after="240"/>
    </w:pPr>
    <w:rPr>
      <w:szCs w:val="20"/>
      <w:lang w:eastAsia="en-US" w:bidi="ar-SA"/>
    </w:rPr>
  </w:style>
  <w:style w:type="paragraph" w:customStyle="1" w:styleId="ListNumber1">
    <w:name w:val="List Number 1"/>
    <w:basedOn w:val="Text1"/>
    <w:pPr>
      <w:numPr>
        <w:numId w:val="26"/>
      </w:numPr>
      <w:spacing w:before="0" w:after="240"/>
    </w:pPr>
    <w:rPr>
      <w:szCs w:val="20"/>
      <w:lang w:eastAsia="en-US" w:bidi="ar-SA"/>
    </w:rPr>
  </w:style>
  <w:style w:type="paragraph" w:customStyle="1" w:styleId="ListNumber1Level2">
    <w:name w:val="List Number 1 (Level 2)"/>
    <w:basedOn w:val="Text1"/>
    <w:pPr>
      <w:numPr>
        <w:ilvl w:val="1"/>
        <w:numId w:val="26"/>
      </w:numPr>
      <w:spacing w:before="0" w:after="240"/>
    </w:pPr>
    <w:rPr>
      <w:szCs w:val="20"/>
      <w:lang w:eastAsia="en-US" w:bidi="ar-SA"/>
    </w:rPr>
  </w:style>
  <w:style w:type="paragraph" w:customStyle="1" w:styleId="ListNumber2Level2">
    <w:name w:val="List Number 2 (Level 2)"/>
    <w:basedOn w:val="Text2"/>
    <w:pPr>
      <w:numPr>
        <w:ilvl w:val="1"/>
        <w:numId w:val="27"/>
      </w:numPr>
      <w:spacing w:before="0" w:after="240"/>
    </w:pPr>
    <w:rPr>
      <w:szCs w:val="20"/>
      <w:lang w:eastAsia="en-US" w:bidi="ar-SA"/>
    </w:rPr>
  </w:style>
  <w:style w:type="paragraph" w:customStyle="1" w:styleId="ListNumber3Level2">
    <w:name w:val="List Number 3 (Level 2)"/>
    <w:basedOn w:val="Text3"/>
    <w:pPr>
      <w:numPr>
        <w:ilvl w:val="1"/>
        <w:numId w:val="28"/>
      </w:numPr>
      <w:spacing w:before="0" w:after="240"/>
    </w:pPr>
    <w:rPr>
      <w:szCs w:val="20"/>
      <w:lang w:eastAsia="en-US" w:bidi="ar-SA"/>
    </w:rPr>
  </w:style>
  <w:style w:type="paragraph" w:customStyle="1" w:styleId="ListNumber4Level2">
    <w:name w:val="List Number 4 (Level 2)"/>
    <w:basedOn w:val="Text4"/>
    <w:pPr>
      <w:numPr>
        <w:ilvl w:val="1"/>
        <w:numId w:val="29"/>
      </w:numPr>
      <w:spacing w:before="0" w:after="240"/>
    </w:pPr>
    <w:rPr>
      <w:szCs w:val="20"/>
      <w:lang w:eastAsia="en-US" w:bidi="ar-SA"/>
    </w:rPr>
  </w:style>
  <w:style w:type="paragraph" w:customStyle="1" w:styleId="ListNumber1Level3">
    <w:name w:val="List Number 1 (Level 3)"/>
    <w:basedOn w:val="Text1"/>
    <w:pPr>
      <w:numPr>
        <w:ilvl w:val="2"/>
        <w:numId w:val="26"/>
      </w:numPr>
      <w:spacing w:before="0" w:after="240"/>
    </w:pPr>
    <w:rPr>
      <w:szCs w:val="20"/>
      <w:lang w:eastAsia="en-US" w:bidi="ar-SA"/>
    </w:rPr>
  </w:style>
  <w:style w:type="paragraph" w:customStyle="1" w:styleId="ListNumber2Level3">
    <w:name w:val="List Number 2 (Level 3)"/>
    <w:basedOn w:val="Text2"/>
    <w:pPr>
      <w:numPr>
        <w:ilvl w:val="2"/>
        <w:numId w:val="27"/>
      </w:numPr>
      <w:spacing w:before="0" w:after="240"/>
    </w:pPr>
    <w:rPr>
      <w:szCs w:val="20"/>
      <w:lang w:eastAsia="en-US" w:bidi="ar-SA"/>
    </w:rPr>
  </w:style>
  <w:style w:type="paragraph" w:customStyle="1" w:styleId="ListNumber3Level3">
    <w:name w:val="List Number 3 (Level 3)"/>
    <w:basedOn w:val="Text3"/>
    <w:pPr>
      <w:numPr>
        <w:ilvl w:val="2"/>
        <w:numId w:val="28"/>
      </w:numPr>
      <w:spacing w:before="0" w:after="240"/>
    </w:pPr>
    <w:rPr>
      <w:szCs w:val="20"/>
      <w:lang w:eastAsia="en-US" w:bidi="ar-SA"/>
    </w:rPr>
  </w:style>
  <w:style w:type="paragraph" w:customStyle="1" w:styleId="ListNumber4Level3">
    <w:name w:val="List Number 4 (Level 3)"/>
    <w:basedOn w:val="Text4"/>
    <w:pPr>
      <w:numPr>
        <w:ilvl w:val="2"/>
        <w:numId w:val="29"/>
      </w:numPr>
      <w:spacing w:before="0" w:after="240"/>
    </w:pPr>
    <w:rPr>
      <w:szCs w:val="20"/>
      <w:lang w:eastAsia="en-US" w:bidi="ar-SA"/>
    </w:rPr>
  </w:style>
  <w:style w:type="paragraph" w:customStyle="1" w:styleId="ListNumber1Level4">
    <w:name w:val="List Number 1 (Level 4)"/>
    <w:basedOn w:val="Text1"/>
    <w:pPr>
      <w:numPr>
        <w:ilvl w:val="3"/>
        <w:numId w:val="26"/>
      </w:numPr>
      <w:spacing w:before="0" w:after="240"/>
    </w:pPr>
    <w:rPr>
      <w:szCs w:val="20"/>
      <w:lang w:eastAsia="en-US" w:bidi="ar-SA"/>
    </w:rPr>
  </w:style>
  <w:style w:type="paragraph" w:customStyle="1" w:styleId="ListNumber2Level4">
    <w:name w:val="List Number 2 (Level 4)"/>
    <w:basedOn w:val="Text2"/>
    <w:pPr>
      <w:numPr>
        <w:ilvl w:val="3"/>
        <w:numId w:val="27"/>
      </w:numPr>
      <w:spacing w:before="0" w:after="240"/>
    </w:pPr>
    <w:rPr>
      <w:szCs w:val="20"/>
      <w:lang w:eastAsia="en-US" w:bidi="ar-SA"/>
    </w:rPr>
  </w:style>
  <w:style w:type="paragraph" w:customStyle="1" w:styleId="ListNumber3Level4">
    <w:name w:val="List Number 3 (Level 4)"/>
    <w:basedOn w:val="Text3"/>
    <w:pPr>
      <w:numPr>
        <w:ilvl w:val="3"/>
        <w:numId w:val="28"/>
      </w:numPr>
      <w:spacing w:before="0" w:after="240"/>
    </w:pPr>
    <w:rPr>
      <w:szCs w:val="20"/>
      <w:lang w:eastAsia="en-US" w:bidi="ar-SA"/>
    </w:rPr>
  </w:style>
  <w:style w:type="paragraph" w:customStyle="1" w:styleId="ListNumber4Level4">
    <w:name w:val="List Number 4 (Level 4)"/>
    <w:basedOn w:val="Text4"/>
    <w:pPr>
      <w:numPr>
        <w:ilvl w:val="3"/>
        <w:numId w:val="29"/>
      </w:numPr>
      <w:spacing w:before="0" w:after="240"/>
    </w:pPr>
    <w:rPr>
      <w:szCs w:val="20"/>
      <w:lang w:eastAsia="en-US" w:bidi="ar-SA"/>
    </w:rPr>
  </w:style>
  <w:style w:type="paragraph" w:styleId="ListBullet">
    <w:name w:val="List Bullet"/>
    <w:basedOn w:val="Normal"/>
    <w:pPr>
      <w:numPr>
        <w:numId w:val="15"/>
      </w:numPr>
      <w:spacing w:after="240" w:line="240" w:lineRule="auto"/>
      <w:jc w:val="both"/>
    </w:pPr>
    <w:rPr>
      <w:rFonts w:ascii="Times New Roman" w:eastAsia="Times New Roman" w:hAnsi="Times New Roman"/>
      <w:sz w:val="24"/>
      <w:szCs w:val="20"/>
      <w:lang w:eastAsia="en-US" w:bidi="ar-SA"/>
    </w:rPr>
  </w:style>
  <w:style w:type="paragraph" w:styleId="ListBullet2">
    <w:name w:val="List Bullet 2"/>
    <w:basedOn w:val="Text2"/>
    <w:pPr>
      <w:numPr>
        <w:numId w:val="17"/>
      </w:numPr>
      <w:spacing w:before="0" w:after="240"/>
    </w:pPr>
    <w:rPr>
      <w:szCs w:val="20"/>
      <w:lang w:eastAsia="en-US" w:bidi="ar-SA"/>
    </w:rPr>
  </w:style>
  <w:style w:type="paragraph" w:styleId="ListBullet3">
    <w:name w:val="List Bullet 3"/>
    <w:basedOn w:val="Text3"/>
    <w:pPr>
      <w:numPr>
        <w:numId w:val="18"/>
      </w:numPr>
      <w:spacing w:before="0" w:after="240"/>
    </w:pPr>
    <w:rPr>
      <w:szCs w:val="20"/>
      <w:lang w:eastAsia="en-US" w:bidi="ar-SA"/>
    </w:rPr>
  </w:style>
  <w:style w:type="paragraph" w:styleId="ListBullet4">
    <w:name w:val="List Bullet 4"/>
    <w:basedOn w:val="Text4"/>
    <w:pPr>
      <w:numPr>
        <w:numId w:val="19"/>
      </w:numPr>
      <w:spacing w:before="0" w:after="240"/>
    </w:pPr>
    <w:rPr>
      <w:szCs w:val="20"/>
      <w:lang w:eastAsia="en-US" w:bidi="ar-SA"/>
    </w:rPr>
  </w:style>
  <w:style w:type="paragraph" w:customStyle="1" w:styleId="ListDash">
    <w:name w:val="List Dash"/>
    <w:basedOn w:val="Normal"/>
    <w:pPr>
      <w:numPr>
        <w:numId w:val="20"/>
      </w:numPr>
      <w:spacing w:after="240" w:line="240" w:lineRule="auto"/>
      <w:jc w:val="both"/>
    </w:pPr>
    <w:rPr>
      <w:rFonts w:ascii="Times New Roman" w:eastAsia="Times New Roman" w:hAnsi="Times New Roman"/>
      <w:sz w:val="24"/>
      <w:szCs w:val="20"/>
      <w:lang w:eastAsia="en-US" w:bidi="ar-SA"/>
    </w:rPr>
  </w:style>
  <w:style w:type="paragraph" w:customStyle="1" w:styleId="ListDash3">
    <w:name w:val="List Dash 3"/>
    <w:basedOn w:val="Text3"/>
    <w:pPr>
      <w:numPr>
        <w:numId w:val="23"/>
      </w:numPr>
      <w:spacing w:before="0" w:after="240"/>
    </w:pPr>
    <w:rPr>
      <w:szCs w:val="20"/>
      <w:lang w:eastAsia="en-US" w:bidi="ar-SA"/>
    </w:rPr>
  </w:style>
  <w:style w:type="paragraph" w:customStyle="1" w:styleId="ListDash4">
    <w:name w:val="List Dash 4"/>
    <w:basedOn w:val="Text4"/>
    <w:pPr>
      <w:numPr>
        <w:numId w:val="24"/>
      </w:numPr>
      <w:spacing w:before="0" w:after="240"/>
    </w:pPr>
    <w:rPr>
      <w:szCs w:val="20"/>
      <w:lang w:eastAsia="en-US" w:bidi="ar-SA"/>
    </w:rPr>
  </w:style>
  <w:style w:type="paragraph" w:customStyle="1" w:styleId="Annexetitrefichefinglobale">
    <w:name w:val="Annexe titre (fiche fin. global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globale">
    <w:name w:val="Annexe titre (global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Exposdesmotifstitreglobal">
    <w:name w:val="Exposé des motifs titre (global)"/>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Langueoriginale">
    <w:name w:val="Langue originale"/>
    <w:basedOn w:val="Normal"/>
    <w:next w:val="Phrasefinale"/>
    <w:pPr>
      <w:spacing w:before="360" w:after="120" w:line="240" w:lineRule="auto"/>
      <w:jc w:val="center"/>
    </w:pPr>
    <w:rPr>
      <w:rFonts w:ascii="Times New Roman" w:eastAsia="Times New Roman" w:hAnsi="Times New Roman"/>
      <w:caps/>
      <w:sz w:val="24"/>
    </w:rPr>
  </w:style>
  <w:style w:type="paragraph" w:customStyle="1" w:styleId="Phrasefinale">
    <w:name w:val="Phrase finale"/>
    <w:basedOn w:val="Normal"/>
    <w:next w:val="Normal"/>
    <w:pPr>
      <w:spacing w:before="360" w:after="0" w:line="240" w:lineRule="auto"/>
      <w:jc w:val="center"/>
    </w:pPr>
    <w:rPr>
      <w:rFonts w:ascii="Times New Roman" w:eastAsia="Times New Roman" w:hAnsi="Times New Roman"/>
      <w:sz w:val="24"/>
    </w:rPr>
  </w:style>
  <w:style w:type="paragraph" w:customStyle="1" w:styleId="Prliminairetitre">
    <w:name w:val="Préliminaire titre"/>
    <w:basedOn w:val="Normal"/>
    <w:next w:val="Normal"/>
    <w:pPr>
      <w:spacing w:before="360" w:after="360" w:line="240" w:lineRule="auto"/>
      <w:jc w:val="center"/>
    </w:pPr>
    <w:rPr>
      <w:rFonts w:ascii="Times New Roman" w:eastAsia="Times New Roman" w:hAnsi="Times New Roman"/>
      <w:b/>
      <w:sz w:val="24"/>
    </w:rPr>
  </w:style>
  <w:style w:type="paragraph" w:customStyle="1" w:styleId="Prliminairetype">
    <w:name w:val="Préliminaire type"/>
    <w:basedOn w:val="Normal"/>
    <w:next w:val="Normal"/>
    <w:pPr>
      <w:spacing w:before="360" w:after="0" w:line="240" w:lineRule="auto"/>
      <w:jc w:val="center"/>
    </w:pPr>
    <w:rPr>
      <w:rFonts w:ascii="Times New Roman" w:eastAsia="Times New Roman" w:hAnsi="Times New Roman"/>
      <w:b/>
      <w:sz w:val="24"/>
    </w:rPr>
  </w:style>
  <w:style w:type="paragraph" w:customStyle="1" w:styleId="Rfrenceinstitutionelle">
    <w:name w:val="Référence institutionelle"/>
    <w:basedOn w:val="Normal"/>
    <w:next w:val="Statut"/>
    <w:pPr>
      <w:spacing w:after="240" w:line="240" w:lineRule="auto"/>
      <w:ind w:left="5103"/>
    </w:pPr>
    <w:rPr>
      <w:rFonts w:ascii="Times New Roman" w:eastAsia="Times New Roman" w:hAnsi="Times New Roman"/>
      <w:sz w:val="24"/>
    </w:rPr>
  </w:style>
  <w:style w:type="paragraph" w:customStyle="1" w:styleId="Rfrenceinterinstitutionelle">
    <w:name w:val="Référence interinstitutionelle"/>
    <w:basedOn w:val="Normal"/>
    <w:next w:val="Statut"/>
    <w:pPr>
      <w:spacing w:after="0" w:line="240" w:lineRule="auto"/>
      <w:ind w:left="5103"/>
    </w:pPr>
    <w:rPr>
      <w:rFonts w:ascii="Times New Roman" w:eastAsia="Times New Roman" w:hAnsi="Times New Roman"/>
      <w:sz w:val="24"/>
    </w:rPr>
  </w:style>
  <w:style w:type="paragraph" w:customStyle="1" w:styleId="Rfrenceinterinstitutionelleprliminaire">
    <w:name w:val="Référence interinstitutionelle (préliminaire)"/>
    <w:basedOn w:val="Normal"/>
    <w:next w:val="Normal"/>
    <w:pPr>
      <w:spacing w:after="0" w:line="240" w:lineRule="auto"/>
      <w:ind w:left="5103"/>
    </w:pPr>
    <w:rPr>
      <w:rFonts w:ascii="Times New Roman" w:eastAsia="Times New Roman" w:hAnsi="Times New Roman"/>
      <w:sz w:val="24"/>
    </w:rPr>
  </w:style>
  <w:style w:type="paragraph" w:customStyle="1" w:styleId="Sous-titreobjetprliminaire">
    <w:name w:val="Sous-titre objet (préliminaire)"/>
    <w:basedOn w:val="Normal"/>
    <w:pPr>
      <w:spacing w:after="0" w:line="240" w:lineRule="auto"/>
      <w:jc w:val="center"/>
    </w:pPr>
    <w:rPr>
      <w:rFonts w:ascii="Times New Roman" w:eastAsia="Times New Roman" w:hAnsi="Times New Roman"/>
      <w:b/>
      <w:sz w:val="24"/>
    </w:rPr>
  </w:style>
  <w:style w:type="paragraph" w:customStyle="1" w:styleId="Statutprliminaire">
    <w:name w:val="Statut (préliminaire)"/>
    <w:basedOn w:val="Normal"/>
    <w:next w:val="Normal"/>
    <w:pPr>
      <w:spacing w:before="360" w:after="0" w:line="240" w:lineRule="auto"/>
      <w:jc w:val="center"/>
    </w:pPr>
    <w:rPr>
      <w:rFonts w:ascii="Times New Roman" w:eastAsia="Times New Roman" w:hAnsi="Times New Roman"/>
      <w:sz w:val="24"/>
    </w:rPr>
  </w:style>
  <w:style w:type="paragraph" w:customStyle="1" w:styleId="Titreobjetprliminaire">
    <w:name w:val="Titre objet (préliminaire)"/>
    <w:basedOn w:val="Normal"/>
    <w:next w:val="Normal"/>
    <w:pPr>
      <w:spacing w:before="360" w:after="360" w:line="240" w:lineRule="auto"/>
      <w:jc w:val="center"/>
    </w:pPr>
    <w:rPr>
      <w:rFonts w:ascii="Times New Roman" w:eastAsia="Times New Roman" w:hAnsi="Times New Roman"/>
      <w:b/>
      <w:sz w:val="24"/>
    </w:rPr>
  </w:style>
  <w:style w:type="paragraph" w:customStyle="1" w:styleId="Typedudocumentprliminaire">
    <w:name w:val="Type du document (préliminaire)"/>
    <w:basedOn w:val="Normal"/>
    <w:next w:val="Normal"/>
    <w:pPr>
      <w:spacing w:before="360" w:after="0" w:line="240" w:lineRule="auto"/>
      <w:jc w:val="center"/>
    </w:pPr>
    <w:rPr>
      <w:rFonts w:ascii="Times New Roman" w:eastAsia="Times New Roman" w:hAnsi="Times New Roman"/>
      <w:b/>
      <w:sz w:val="24"/>
    </w:rPr>
  </w:style>
  <w:style w:type="paragraph" w:customStyle="1" w:styleId="Fichefinancirestandardtitre">
    <w:name w:val="Fiche financière (standard)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standardtitreacte">
    <w:name w:val="Fiche financière (standard) titre (act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travailtitre">
    <w:name w:val="Fiche financière (travail)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travailtitreacte">
    <w:name w:val="Fiche financière (travail) titre (act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attributiontitre">
    <w:name w:val="Fiche financière (attribution)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attributiontitreacte">
    <w:name w:val="Fiche financière (attribution) titre (acte)"/>
    <w:basedOn w:val="Normal"/>
    <w:next w:val="Normal"/>
    <w:pPr>
      <w:spacing w:before="120" w:after="120" w:line="240" w:lineRule="auto"/>
      <w:jc w:val="center"/>
    </w:pPr>
    <w:rPr>
      <w:rFonts w:ascii="Times New Roman" w:eastAsia="Times New Roman" w:hAnsi="Times New Roman"/>
      <w:b/>
      <w:sz w:val="24"/>
      <w:u w:val="single"/>
    </w:rPr>
  </w:style>
  <w:style w:type="paragraph" w:styleId="PlainText">
    <w:name w:val="Plain Text"/>
    <w:basedOn w:val="Normal"/>
    <w:link w:val="PlainTextChar"/>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Pr>
      <w:rFonts w:ascii="Courier New" w:eastAsia="Times New Roman" w:hAnsi="Courier New" w:cs="Courier New"/>
    </w:rPr>
  </w:style>
  <w:style w:type="paragraph" w:styleId="BodyTextIndent3">
    <w:name w:val="Body Text Indent 3"/>
    <w:basedOn w:val="Normal"/>
    <w:link w:val="BodyTextIndent3Char"/>
    <w:pPr>
      <w:spacing w:after="120" w:line="240" w:lineRule="auto"/>
      <w:ind w:left="283"/>
      <w:jc w:val="both"/>
    </w:pPr>
    <w:rPr>
      <w:rFonts w:ascii="Times New Roman" w:eastAsia="Times New Roman" w:hAnsi="Times New Roman"/>
      <w:sz w:val="16"/>
      <w:szCs w:val="20"/>
    </w:rPr>
  </w:style>
  <w:style w:type="character" w:customStyle="1" w:styleId="BodyTextIndent3Char">
    <w:name w:val="Body Text Indent 3 Char"/>
    <w:link w:val="BodyTextIndent3"/>
    <w:rPr>
      <w:rFonts w:ascii="Times New Roman" w:eastAsia="Times New Roman" w:hAnsi="Times New Roman"/>
      <w:sz w:val="16"/>
    </w:rPr>
  </w:style>
  <w:style w:type="character" w:customStyle="1" w:styleId="shorttext">
    <w:name w:val="short_text"/>
    <w:rPr>
      <w:shd w:val="clear" w:color="auto" w:fill="auto"/>
    </w:rPr>
  </w:style>
  <w:style w:type="character" w:customStyle="1" w:styleId="hps">
    <w:name w:val="hps"/>
    <w:rPr>
      <w:shd w:val="clear" w:color="auto" w:fill="auto"/>
    </w:rPr>
  </w:style>
  <w:style w:type="character" w:styleId="Hyperlink">
    <w:name w:val="Hyperlink"/>
    <w:uiPriority w:val="99"/>
    <w:rPr>
      <w:color w:val="0000FF"/>
      <w:u w:val="single"/>
      <w:shd w:val="clear" w:color="auto" w:fill="auto"/>
    </w:rPr>
  </w:style>
  <w:style w:type="paragraph" w:styleId="Caption">
    <w:name w:val="caption"/>
    <w:basedOn w:val="Normal"/>
    <w:next w:val="Normal"/>
    <w:qFormat/>
    <w:pPr>
      <w:spacing w:before="120" w:after="120" w:line="240" w:lineRule="auto"/>
      <w:jc w:val="both"/>
    </w:pPr>
    <w:rPr>
      <w:rFonts w:ascii="Times New Roman" w:eastAsia="Times New Roman" w:hAnsi="Times New Roman"/>
      <w:b/>
      <w:bCs/>
      <w:sz w:val="20"/>
      <w:szCs w:val="20"/>
    </w:rPr>
  </w:style>
  <w:style w:type="paragraph" w:styleId="TableofFigures">
    <w:name w:val="table of figures"/>
    <w:basedOn w:val="Normal"/>
    <w:next w:val="Normal"/>
    <w:semiHidden/>
    <w:pPr>
      <w:spacing w:before="120" w:after="120" w:line="240" w:lineRule="auto"/>
      <w:jc w:val="both"/>
    </w:pPr>
    <w:rPr>
      <w:rFonts w:ascii="Times New Roman" w:eastAsia="Times New Roman" w:hAnsi="Times New Roman"/>
      <w:sz w:val="24"/>
    </w:rPr>
  </w:style>
  <w:style w:type="paragraph" w:styleId="CommentText">
    <w:name w:val="annotation text"/>
    <w:basedOn w:val="Normal"/>
    <w:link w:val="CommentTextChar"/>
    <w:semiHidden/>
    <w:pPr>
      <w:spacing w:before="120" w:after="120" w:line="240" w:lineRule="auto"/>
      <w:jc w:val="both"/>
    </w:pPr>
    <w:rPr>
      <w:rFonts w:ascii="Times New Roman" w:eastAsia="Times New Roman" w:hAnsi="Times New Roman"/>
      <w:sz w:val="20"/>
      <w:szCs w:val="20"/>
    </w:rPr>
  </w:style>
  <w:style w:type="character" w:customStyle="1" w:styleId="CommentTextChar">
    <w:name w:val="Comment Text Char"/>
    <w:link w:val="CommentText"/>
    <w:semiHidden/>
    <w:rPr>
      <w:rFonts w:ascii="Times New Roman" w:eastAsia="Times New Roman" w:hAnsi="Times New Roman"/>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Times New Roman" w:eastAsia="Times New Roman" w:hAnsi="Times New Roman"/>
      <w:b/>
      <w:bCs/>
    </w:rPr>
  </w:style>
  <w:style w:type="paragraph" w:styleId="BalloonText">
    <w:name w:val="Balloon Text"/>
    <w:basedOn w:val="Normal"/>
    <w:link w:val="BalloonTextChar"/>
    <w:semiHidden/>
    <w:pPr>
      <w:spacing w:before="120" w:after="120" w:line="240" w:lineRule="auto"/>
      <w:jc w:val="both"/>
    </w:pPr>
    <w:rPr>
      <w:rFonts w:ascii="Tahoma" w:eastAsia="Times New Roman" w:hAnsi="Tahoma" w:cs="Tahoma"/>
      <w:sz w:val="16"/>
      <w:szCs w:val="16"/>
    </w:rPr>
  </w:style>
  <w:style w:type="character" w:customStyle="1" w:styleId="BalloonTextChar">
    <w:name w:val="Balloon Text Char"/>
    <w:link w:val="BalloonText"/>
    <w:semiHidden/>
    <w:rPr>
      <w:rFonts w:ascii="Tahoma" w:eastAsia="Times New Roman" w:hAnsi="Tahoma" w:cs="Tahoma"/>
      <w:sz w:val="16"/>
      <w:szCs w:val="16"/>
    </w:rPr>
  </w:style>
  <w:style w:type="character" w:styleId="CommentReference">
    <w:name w:val="annotation reference"/>
    <w:semiHidden/>
    <w:rPr>
      <w:sz w:val="16"/>
      <w:szCs w:val="16"/>
      <w:shd w:val="clear" w:color="auto" w:fill="auto"/>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eastAsia="Times New Roman" w:hAnsi="Times New Roman"/>
      <w:sz w:val="24"/>
    </w:rPr>
  </w:style>
  <w:style w:type="character" w:customStyle="1" w:styleId="HeaderChar">
    <w:name w:val="Header Char"/>
    <w:link w:val="Header"/>
    <w:uiPriority w:val="99"/>
    <w:rPr>
      <w:rFonts w:ascii="Times New Roman" w:eastAsia="Times New Roman" w:hAnsi="Times New Roman"/>
      <w:sz w:val="24"/>
      <w:szCs w:val="22"/>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eastAsia="Times New Roman" w:hAnsi="Times New Roman"/>
      <w:sz w:val="24"/>
    </w:rPr>
  </w:style>
  <w:style w:type="character" w:customStyle="1" w:styleId="FooterChar">
    <w:name w:val="Footer Char"/>
    <w:link w:val="Footer"/>
    <w:uiPriority w:val="99"/>
    <w:rPr>
      <w:rFonts w:ascii="Times New Roman" w:eastAsia="Times New Roman" w:hAnsi="Times New Roman"/>
      <w:sz w:val="24"/>
      <w:szCs w:val="22"/>
    </w:rPr>
  </w:style>
  <w:style w:type="paragraph" w:styleId="FootnoteText">
    <w:name w:val="footnote text"/>
    <w:basedOn w:val="Normal"/>
    <w:link w:val="FootnoteTextChar"/>
    <w:unhideWhenUsed/>
    <w:pPr>
      <w:spacing w:after="0" w:line="240" w:lineRule="auto"/>
      <w:ind w:left="720" w:hanging="720"/>
      <w:jc w:val="both"/>
    </w:pPr>
    <w:rPr>
      <w:rFonts w:ascii="Times New Roman" w:eastAsia="Times New Roman" w:hAnsi="Times New Roman"/>
      <w:sz w:val="20"/>
      <w:szCs w:val="20"/>
    </w:rPr>
  </w:style>
  <w:style w:type="character" w:customStyle="1" w:styleId="FootnoteTextChar">
    <w:name w:val="Footnote Text Char"/>
    <w:link w:val="FootnoteText"/>
    <w:rPr>
      <w:rFonts w:ascii="Times New Roman" w:eastAsia="Times New Roman" w:hAnsi="Times New Roman"/>
    </w:rPr>
  </w:style>
  <w:style w:type="paragraph" w:styleId="TOCHeading">
    <w:name w:val="TOC Heading"/>
    <w:basedOn w:val="Normal"/>
    <w:next w:val="Normal"/>
    <w:qFormat/>
    <w:pPr>
      <w:keepNext/>
      <w:spacing w:before="240" w:after="240" w:line="240" w:lineRule="auto"/>
      <w:jc w:val="center"/>
    </w:pPr>
    <w:rPr>
      <w:rFonts w:ascii="Times New Roman" w:eastAsia="Times New Roman" w:hAnsi="Times New Roman"/>
      <w:b/>
      <w:sz w:val="24"/>
      <w:szCs w:val="20"/>
      <w:lang w:eastAsia="en-US" w:bidi="ar-SA"/>
    </w:rPr>
  </w:style>
  <w:style w:type="paragraph" w:styleId="TOC1">
    <w:name w:val="toc 1"/>
    <w:basedOn w:val="Normal"/>
    <w:next w:val="Normal"/>
    <w:uiPriority w:val="39"/>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2">
    <w:name w:val="toc 2"/>
    <w:basedOn w:val="Normal"/>
    <w:next w:val="Normal"/>
    <w:uiPriority w:val="39"/>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3">
    <w:name w:val="toc 3"/>
    <w:basedOn w:val="Normal"/>
    <w:next w:val="Normal"/>
    <w:uiPriority w:val="39"/>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4">
    <w:name w:val="toc 4"/>
    <w:basedOn w:val="Normal"/>
    <w:next w:val="Normal"/>
    <w:uiPriority w:val="39"/>
    <w:semiHidden/>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5">
    <w:name w:val="toc 5"/>
    <w:basedOn w:val="Normal"/>
    <w:next w:val="Normal"/>
    <w:semiHidden/>
    <w:pPr>
      <w:tabs>
        <w:tab w:val="right" w:leader="dot" w:pos="8641"/>
      </w:tabs>
      <w:spacing w:before="240" w:after="120" w:line="240" w:lineRule="auto"/>
      <w:ind w:right="720"/>
      <w:jc w:val="both"/>
    </w:pPr>
    <w:rPr>
      <w:rFonts w:ascii="Times New Roman" w:eastAsia="Times New Roman" w:hAnsi="Times New Roman"/>
      <w:caps/>
      <w:sz w:val="24"/>
      <w:szCs w:val="20"/>
      <w:lang w:eastAsia="en-US" w:bidi="ar-SA"/>
    </w:rPr>
  </w:style>
  <w:style w:type="paragraph" w:styleId="TOC6">
    <w:name w:val="toc 6"/>
    <w:basedOn w:val="Normal"/>
    <w:next w:val="Normal"/>
    <w:uiPriority w:val="39"/>
    <w:semiHidden/>
    <w:unhideWhenUsed/>
    <w:pPr>
      <w:tabs>
        <w:tab w:val="right" w:leader="dot" w:pos="9071"/>
      </w:tabs>
      <w:spacing w:before="240" w:after="120" w:line="240" w:lineRule="auto"/>
    </w:pPr>
    <w:rPr>
      <w:rFonts w:ascii="Times New Roman" w:eastAsia="Times New Roman" w:hAnsi="Times New Roman"/>
      <w:sz w:val="24"/>
    </w:rPr>
  </w:style>
  <w:style w:type="paragraph" w:styleId="TOC7">
    <w:name w:val="toc 7"/>
    <w:basedOn w:val="Normal"/>
    <w:next w:val="Normal"/>
    <w:uiPriority w:val="39"/>
    <w:semiHidden/>
    <w:unhideWhenUsed/>
    <w:pPr>
      <w:tabs>
        <w:tab w:val="right" w:leader="dot" w:pos="9071"/>
      </w:tabs>
      <w:spacing w:before="180" w:after="120" w:line="240" w:lineRule="auto"/>
    </w:pPr>
    <w:rPr>
      <w:rFonts w:ascii="Times New Roman" w:eastAsia="Times New Roman" w:hAnsi="Times New Roman"/>
      <w:sz w:val="24"/>
    </w:rPr>
  </w:style>
  <w:style w:type="paragraph" w:styleId="TOC8">
    <w:name w:val="toc 8"/>
    <w:basedOn w:val="Normal"/>
    <w:next w:val="Normal"/>
    <w:uiPriority w:val="39"/>
    <w:semiHidden/>
    <w:unhideWhenUsed/>
    <w:pPr>
      <w:tabs>
        <w:tab w:val="right" w:leader="dot" w:pos="9071"/>
      </w:tabs>
      <w:spacing w:before="120" w:after="120" w:line="240" w:lineRule="auto"/>
    </w:pPr>
    <w:rPr>
      <w:rFonts w:ascii="Times New Roman" w:eastAsia="Times New Roman" w:hAnsi="Times New Roman"/>
      <w:sz w:val="24"/>
    </w:rPr>
  </w:style>
  <w:style w:type="paragraph" w:styleId="TOC9">
    <w:name w:val="toc 9"/>
    <w:basedOn w:val="Normal"/>
    <w:next w:val="Normal"/>
    <w:uiPriority w:val="39"/>
    <w:semiHidden/>
    <w:unhideWhenUsed/>
    <w:pPr>
      <w:tabs>
        <w:tab w:val="right" w:leader="dot" w:pos="9071"/>
      </w:tabs>
      <w:spacing w:before="120" w:after="120" w:line="240" w:lineRule="auto"/>
      <w:jc w:val="both"/>
    </w:pPr>
    <w:rPr>
      <w:rFonts w:ascii="Times New Roman" w:eastAsia="Times New Roman" w:hAnsi="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eastAsia="Times New Roman" w:hAnsi="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eastAsia="Times New Roman" w:hAnsi="Times New Roman"/>
      <w:sz w:val="24"/>
    </w:rPr>
  </w:style>
  <w:style w:type="character" w:styleId="FootnoteReference">
    <w:name w:val="footnote reference"/>
    <w:uiPriority w:val="99"/>
    <w:semiHidden/>
    <w:unhideWhenUsed/>
    <w:rPr>
      <w:shd w:val="clear" w:color="auto" w:fill="auto"/>
      <w:vertAlign w:val="superscript"/>
    </w:rPr>
  </w:style>
  <w:style w:type="paragraph" w:customStyle="1" w:styleId="Text1">
    <w:name w:val="Text 1"/>
    <w:basedOn w:val="Normal"/>
    <w:link w:val="Text1Char"/>
    <w:pPr>
      <w:spacing w:before="120" w:after="120" w:line="240" w:lineRule="auto"/>
      <w:ind w:left="850"/>
      <w:jc w:val="both"/>
    </w:pPr>
    <w:rPr>
      <w:rFonts w:ascii="Times New Roman" w:eastAsia="Times New Roman" w:hAnsi="Times New Roman"/>
      <w:sz w:val="24"/>
    </w:rPr>
  </w:style>
  <w:style w:type="paragraph" w:customStyle="1" w:styleId="Text2">
    <w:name w:val="Text 2"/>
    <w:basedOn w:val="Normal"/>
    <w:pPr>
      <w:spacing w:before="120" w:after="120" w:line="240" w:lineRule="auto"/>
      <w:ind w:left="1417"/>
      <w:jc w:val="both"/>
    </w:pPr>
    <w:rPr>
      <w:rFonts w:ascii="Times New Roman" w:eastAsia="Times New Roman" w:hAnsi="Times New Roman"/>
      <w:sz w:val="24"/>
    </w:rPr>
  </w:style>
  <w:style w:type="paragraph" w:customStyle="1" w:styleId="Text3">
    <w:name w:val="Text 3"/>
    <w:basedOn w:val="Normal"/>
    <w:pPr>
      <w:spacing w:before="120" w:after="120" w:line="240" w:lineRule="auto"/>
      <w:ind w:left="1984"/>
      <w:jc w:val="both"/>
    </w:pPr>
    <w:rPr>
      <w:rFonts w:ascii="Times New Roman" w:eastAsia="Times New Roman" w:hAnsi="Times New Roman"/>
      <w:sz w:val="24"/>
    </w:rPr>
  </w:style>
  <w:style w:type="paragraph" w:customStyle="1" w:styleId="Text4">
    <w:name w:val="Text 4"/>
    <w:basedOn w:val="Normal"/>
    <w:pPr>
      <w:spacing w:before="120" w:after="120" w:line="240" w:lineRule="auto"/>
      <w:ind w:left="2551"/>
      <w:jc w:val="both"/>
    </w:pPr>
    <w:rPr>
      <w:rFonts w:ascii="Times New Roman" w:eastAsia="Times New Roman" w:hAnsi="Times New Roman"/>
      <w:sz w:val="24"/>
    </w:rPr>
  </w:style>
  <w:style w:type="paragraph" w:customStyle="1" w:styleId="NormalCentered">
    <w:name w:val="Normal Centered"/>
    <w:basedOn w:val="Normal"/>
    <w:pPr>
      <w:spacing w:before="120" w:after="120" w:line="240" w:lineRule="auto"/>
      <w:jc w:val="center"/>
    </w:pPr>
    <w:rPr>
      <w:rFonts w:ascii="Times New Roman" w:eastAsia="Times New Roman" w:hAnsi="Times New Roman"/>
      <w:sz w:val="24"/>
    </w:rPr>
  </w:style>
  <w:style w:type="paragraph" w:customStyle="1" w:styleId="NormalLeft">
    <w:name w:val="Normal Left"/>
    <w:basedOn w:val="Normal"/>
    <w:pPr>
      <w:spacing w:before="120" w:after="120" w:line="240" w:lineRule="auto"/>
    </w:pPr>
    <w:rPr>
      <w:rFonts w:ascii="Times New Roman" w:eastAsia="Times New Roman" w:hAnsi="Times New Roman"/>
      <w:sz w:val="24"/>
    </w:rPr>
  </w:style>
  <w:style w:type="paragraph" w:customStyle="1" w:styleId="NormalRight">
    <w:name w:val="Normal Right"/>
    <w:basedOn w:val="Normal"/>
    <w:pPr>
      <w:spacing w:before="120" w:after="120" w:line="240" w:lineRule="auto"/>
      <w:jc w:val="right"/>
    </w:pPr>
    <w:rPr>
      <w:rFonts w:ascii="Times New Roman" w:eastAsia="Times New Roman" w:hAnsi="Times New Roman"/>
      <w:sz w:val="24"/>
    </w:rPr>
  </w:style>
  <w:style w:type="paragraph" w:customStyle="1" w:styleId="QuotedText">
    <w:name w:val="Quoted Text"/>
    <w:basedOn w:val="Normal"/>
    <w:pPr>
      <w:spacing w:before="120" w:after="120" w:line="240" w:lineRule="auto"/>
      <w:ind w:left="1417"/>
      <w:jc w:val="both"/>
    </w:pPr>
    <w:rPr>
      <w:rFonts w:ascii="Times New Roman" w:eastAsia="Times New Roman" w:hAnsi="Times New Roman"/>
      <w:sz w:val="24"/>
    </w:rPr>
  </w:style>
  <w:style w:type="paragraph" w:customStyle="1" w:styleId="Point0">
    <w:name w:val="Point 0"/>
    <w:basedOn w:val="Normal"/>
    <w:pPr>
      <w:spacing w:before="120" w:after="120" w:line="240" w:lineRule="auto"/>
      <w:ind w:left="850" w:hanging="850"/>
      <w:jc w:val="both"/>
    </w:pPr>
    <w:rPr>
      <w:rFonts w:ascii="Times New Roman" w:eastAsia="Times New Roman" w:hAnsi="Times New Roman"/>
      <w:sz w:val="24"/>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sz w:val="24"/>
    </w:rPr>
  </w:style>
  <w:style w:type="paragraph" w:customStyle="1" w:styleId="Point2">
    <w:name w:val="Point 2"/>
    <w:basedOn w:val="Normal"/>
    <w:pPr>
      <w:spacing w:before="120" w:after="120" w:line="240" w:lineRule="auto"/>
      <w:ind w:left="1984" w:hanging="567"/>
      <w:jc w:val="both"/>
    </w:pPr>
    <w:rPr>
      <w:rFonts w:ascii="Times New Roman" w:eastAsia="Times New Roman" w:hAnsi="Times New Roman"/>
      <w:sz w:val="24"/>
    </w:rPr>
  </w:style>
  <w:style w:type="paragraph" w:customStyle="1" w:styleId="Point3">
    <w:name w:val="Point 3"/>
    <w:basedOn w:val="Normal"/>
    <w:pPr>
      <w:spacing w:before="120" w:after="120" w:line="240" w:lineRule="auto"/>
      <w:ind w:left="2551" w:hanging="567"/>
      <w:jc w:val="both"/>
    </w:pPr>
    <w:rPr>
      <w:rFonts w:ascii="Times New Roman" w:eastAsia="Times New Roman" w:hAnsi="Times New Roman"/>
      <w:sz w:val="24"/>
    </w:rPr>
  </w:style>
  <w:style w:type="paragraph" w:customStyle="1" w:styleId="Point4">
    <w:name w:val="Point 4"/>
    <w:basedOn w:val="Normal"/>
    <w:pPr>
      <w:spacing w:before="120" w:after="120" w:line="240" w:lineRule="auto"/>
      <w:ind w:left="3118" w:hanging="567"/>
      <w:jc w:val="both"/>
    </w:pPr>
    <w:rPr>
      <w:rFonts w:ascii="Times New Roman" w:eastAsia="Times New Roman" w:hAnsi="Times New Roman"/>
      <w:sz w:val="24"/>
    </w:rPr>
  </w:style>
  <w:style w:type="paragraph" w:customStyle="1" w:styleId="Tiret0">
    <w:name w:val="Tiret 0"/>
    <w:basedOn w:val="Point0"/>
    <w:pPr>
      <w:numPr>
        <w:numId w:val="2"/>
      </w:numPr>
    </w:pPr>
  </w:style>
  <w:style w:type="paragraph" w:customStyle="1" w:styleId="Tiret1">
    <w:name w:val="Tiret 1"/>
    <w:basedOn w:val="Point1"/>
    <w:pPr>
      <w:numPr>
        <w:numId w:val="1"/>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spacing w:before="120" w:after="120" w:line="240" w:lineRule="auto"/>
      <w:ind w:left="1417" w:hanging="1417"/>
      <w:jc w:val="both"/>
    </w:pPr>
    <w:rPr>
      <w:rFonts w:ascii="Times New Roman" w:eastAsia="Times New Roman" w:hAnsi="Times New Roman"/>
      <w:sz w:val="24"/>
    </w:rPr>
  </w:style>
  <w:style w:type="paragraph" w:customStyle="1" w:styleId="PointDouble1">
    <w:name w:val="PointDouble 1"/>
    <w:basedOn w:val="Normal"/>
    <w:pPr>
      <w:tabs>
        <w:tab w:val="left" w:pos="1417"/>
      </w:tabs>
      <w:spacing w:before="120" w:after="120" w:line="240" w:lineRule="auto"/>
      <w:ind w:left="1984" w:hanging="1134"/>
      <w:jc w:val="both"/>
    </w:pPr>
    <w:rPr>
      <w:rFonts w:ascii="Times New Roman" w:eastAsia="Times New Roman" w:hAnsi="Times New Roman"/>
      <w:sz w:val="24"/>
    </w:rPr>
  </w:style>
  <w:style w:type="paragraph" w:customStyle="1" w:styleId="PointDouble2">
    <w:name w:val="PointDouble 2"/>
    <w:basedOn w:val="Normal"/>
    <w:pPr>
      <w:tabs>
        <w:tab w:val="left" w:pos="1984"/>
      </w:tabs>
      <w:spacing w:before="120" w:after="120" w:line="240" w:lineRule="auto"/>
      <w:ind w:left="2551" w:hanging="1134"/>
      <w:jc w:val="both"/>
    </w:pPr>
    <w:rPr>
      <w:rFonts w:ascii="Times New Roman" w:eastAsia="Times New Roman" w:hAnsi="Times New Roman"/>
      <w:sz w:val="24"/>
    </w:rPr>
  </w:style>
  <w:style w:type="paragraph" w:customStyle="1" w:styleId="PointDouble3">
    <w:name w:val="PointDouble 3"/>
    <w:basedOn w:val="Normal"/>
    <w:pPr>
      <w:tabs>
        <w:tab w:val="left" w:pos="2551"/>
      </w:tabs>
      <w:spacing w:before="120" w:after="120" w:line="240" w:lineRule="auto"/>
      <w:ind w:left="3118" w:hanging="1134"/>
      <w:jc w:val="both"/>
    </w:pPr>
    <w:rPr>
      <w:rFonts w:ascii="Times New Roman" w:eastAsia="Times New Roman" w:hAnsi="Times New Roman"/>
      <w:sz w:val="24"/>
    </w:rPr>
  </w:style>
  <w:style w:type="paragraph" w:customStyle="1" w:styleId="PointDouble4">
    <w:name w:val="PointDouble 4"/>
    <w:basedOn w:val="Normal"/>
    <w:pPr>
      <w:tabs>
        <w:tab w:val="left" w:pos="3118"/>
      </w:tabs>
      <w:spacing w:before="120" w:after="120" w:line="240" w:lineRule="auto"/>
      <w:ind w:left="3685" w:hanging="1134"/>
      <w:jc w:val="both"/>
    </w:pPr>
    <w:rPr>
      <w:rFonts w:ascii="Times New Roman" w:eastAsia="Times New Roman" w:hAnsi="Times New Roman"/>
      <w:sz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ascii="Times New Roman" w:eastAsia="Times New Roman" w:hAnsi="Times New Roman"/>
      <w:sz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ascii="Times New Roman" w:eastAsia="Times New Roman" w:hAnsi="Times New Roman"/>
      <w:sz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ascii="Times New Roman" w:eastAsia="Times New Roman" w:hAnsi="Times New Roman"/>
      <w:sz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ascii="Times New Roman" w:eastAsia="Times New Roman" w:hAnsi="Times New Roman"/>
      <w:sz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ascii="Times New Roman" w:eastAsia="Times New Roman" w:hAnsi="Times New Roman"/>
      <w:sz w:val="24"/>
    </w:rPr>
  </w:style>
  <w:style w:type="paragraph" w:customStyle="1" w:styleId="NumPar1">
    <w:name w:val="NumPar 1"/>
    <w:basedOn w:val="Normal"/>
    <w:next w:val="Text1"/>
    <w:pPr>
      <w:numPr>
        <w:numId w:val="6"/>
      </w:numPr>
      <w:spacing w:before="120" w:after="120" w:line="240" w:lineRule="auto"/>
      <w:jc w:val="both"/>
    </w:pPr>
    <w:rPr>
      <w:rFonts w:ascii="Times New Roman" w:eastAsia="Times New Roman" w:hAnsi="Times New Roman"/>
      <w:sz w:val="24"/>
    </w:rPr>
  </w:style>
  <w:style w:type="paragraph" w:customStyle="1" w:styleId="NumPar2">
    <w:name w:val="NumPar 2"/>
    <w:basedOn w:val="Normal"/>
    <w:next w:val="Text1"/>
    <w:pPr>
      <w:numPr>
        <w:ilvl w:val="1"/>
        <w:numId w:val="6"/>
      </w:numPr>
      <w:spacing w:before="120" w:after="120" w:line="240" w:lineRule="auto"/>
      <w:jc w:val="both"/>
    </w:pPr>
    <w:rPr>
      <w:rFonts w:ascii="Times New Roman" w:eastAsia="Times New Roman" w:hAnsi="Times New Roman"/>
      <w:sz w:val="24"/>
    </w:rPr>
  </w:style>
  <w:style w:type="paragraph" w:customStyle="1" w:styleId="NumPar3">
    <w:name w:val="NumPar 3"/>
    <w:basedOn w:val="Normal"/>
    <w:next w:val="Text1"/>
    <w:pPr>
      <w:numPr>
        <w:ilvl w:val="2"/>
        <w:numId w:val="6"/>
      </w:numPr>
      <w:spacing w:before="120" w:after="120" w:line="240" w:lineRule="auto"/>
      <w:jc w:val="both"/>
    </w:pPr>
    <w:rPr>
      <w:rFonts w:ascii="Times New Roman" w:eastAsia="Times New Roman" w:hAnsi="Times New Roman"/>
      <w:sz w:val="24"/>
    </w:rPr>
  </w:style>
  <w:style w:type="paragraph" w:customStyle="1" w:styleId="NumPar4">
    <w:name w:val="NumPar 4"/>
    <w:basedOn w:val="Normal"/>
    <w:next w:val="Text1"/>
    <w:pPr>
      <w:numPr>
        <w:ilvl w:val="3"/>
        <w:numId w:val="6"/>
      </w:numPr>
      <w:spacing w:before="120" w:after="120" w:line="240" w:lineRule="auto"/>
      <w:jc w:val="both"/>
    </w:pPr>
    <w:rPr>
      <w:rFonts w:ascii="Times New Roman" w:eastAsia="Times New Roman" w:hAnsi="Times New Roman"/>
      <w:sz w:val="24"/>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ManualNumPar2">
    <w:name w:val="Manual NumPar 2"/>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ManualNumPar3">
    <w:name w:val="Manual NumPar 3"/>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ManualNumPar4">
    <w:name w:val="Manual NumPar 4"/>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QuotedNumPar">
    <w:name w:val="Quoted NumPar"/>
    <w:basedOn w:val="Normal"/>
    <w:pPr>
      <w:spacing w:before="120" w:after="120" w:line="240" w:lineRule="auto"/>
      <w:ind w:left="1417" w:hanging="567"/>
      <w:jc w:val="both"/>
    </w:pPr>
    <w:rPr>
      <w:rFonts w:ascii="Times New Roman" w:eastAsia="Times New Roman" w:hAnsi="Times New Roman"/>
      <w:sz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ascii="Times New Roman" w:eastAsia="Times New Roman" w:hAnsi="Times New Roman"/>
      <w:b/>
      <w:smallCaps/>
      <w:sz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ascii="Times New Roman" w:eastAsia="Times New Roman" w:hAnsi="Times New Roman"/>
      <w:b/>
      <w:sz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i/>
      <w:sz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ascii="Times New Roman" w:eastAsia="Times New Roman" w:hAnsi="Times New Roman"/>
      <w:sz w:val="24"/>
    </w:rPr>
  </w:style>
  <w:style w:type="paragraph" w:customStyle="1" w:styleId="ChapterTitle">
    <w:name w:val="ChapterTitle"/>
    <w:basedOn w:val="Normal"/>
    <w:next w:val="Normal"/>
    <w:pPr>
      <w:keepNext/>
      <w:spacing w:before="120" w:after="360" w:line="240" w:lineRule="auto"/>
      <w:jc w:val="center"/>
    </w:pPr>
    <w:rPr>
      <w:rFonts w:ascii="Times New Roman" w:eastAsia="Times New Roman" w:hAnsi="Times New Roman"/>
      <w:b/>
      <w:sz w:val="32"/>
    </w:rPr>
  </w:style>
  <w:style w:type="paragraph" w:customStyle="1" w:styleId="PartTitle">
    <w:name w:val="PartTitle"/>
    <w:basedOn w:val="Normal"/>
    <w:next w:val="ChapterTitle"/>
    <w:pPr>
      <w:keepNext/>
      <w:pageBreakBefore/>
      <w:spacing w:before="120" w:after="360" w:line="240" w:lineRule="auto"/>
      <w:jc w:val="center"/>
    </w:pPr>
    <w:rPr>
      <w:rFonts w:ascii="Times New Roman" w:eastAsia="Times New Roman" w:hAnsi="Times New Roman"/>
      <w:b/>
      <w:sz w:val="36"/>
    </w:rPr>
  </w:style>
  <w:style w:type="paragraph" w:customStyle="1" w:styleId="SectionTitle">
    <w:name w:val="SectionTitle"/>
    <w:basedOn w:val="Normal"/>
    <w:next w:val="Heading1"/>
    <w:pPr>
      <w:keepNext/>
      <w:spacing w:before="120" w:after="360" w:line="240" w:lineRule="auto"/>
      <w:jc w:val="center"/>
    </w:pPr>
    <w:rPr>
      <w:rFonts w:ascii="Times New Roman" w:eastAsia="Times New Roman" w:hAnsi="Times New Roman"/>
      <w:b/>
      <w:smallCaps/>
      <w:sz w:val="28"/>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b/>
      <w:sz w:val="24"/>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Point0number">
    <w:name w:val="Point 0 (number)"/>
    <w:basedOn w:val="Normal"/>
    <w:pPr>
      <w:numPr>
        <w:numId w:val="8"/>
      </w:numPr>
      <w:spacing w:before="120" w:after="120" w:line="240" w:lineRule="auto"/>
      <w:jc w:val="both"/>
    </w:pPr>
    <w:rPr>
      <w:rFonts w:ascii="Times New Roman" w:eastAsia="Times New Roman" w:hAnsi="Times New Roman"/>
      <w:sz w:val="24"/>
    </w:rPr>
  </w:style>
  <w:style w:type="paragraph" w:customStyle="1" w:styleId="Point1number">
    <w:name w:val="Point 1 (number)"/>
    <w:basedOn w:val="Normal"/>
    <w:pPr>
      <w:numPr>
        <w:ilvl w:val="2"/>
        <w:numId w:val="8"/>
      </w:numPr>
      <w:spacing w:before="120" w:after="120" w:line="240" w:lineRule="auto"/>
      <w:jc w:val="both"/>
    </w:pPr>
    <w:rPr>
      <w:rFonts w:ascii="Times New Roman" w:eastAsia="Times New Roman" w:hAnsi="Times New Roman"/>
      <w:sz w:val="24"/>
    </w:rPr>
  </w:style>
  <w:style w:type="paragraph" w:customStyle="1" w:styleId="Point2number">
    <w:name w:val="Point 2 (number)"/>
    <w:basedOn w:val="Normal"/>
    <w:pPr>
      <w:numPr>
        <w:ilvl w:val="4"/>
        <w:numId w:val="8"/>
      </w:numPr>
      <w:spacing w:before="120" w:after="120" w:line="240" w:lineRule="auto"/>
      <w:jc w:val="both"/>
    </w:pPr>
    <w:rPr>
      <w:rFonts w:ascii="Times New Roman" w:eastAsia="Times New Roman" w:hAnsi="Times New Roman"/>
      <w:sz w:val="24"/>
    </w:rPr>
  </w:style>
  <w:style w:type="paragraph" w:customStyle="1" w:styleId="Point3number">
    <w:name w:val="Point 3 (number)"/>
    <w:basedOn w:val="Normal"/>
    <w:pPr>
      <w:numPr>
        <w:ilvl w:val="6"/>
        <w:numId w:val="8"/>
      </w:numPr>
      <w:spacing w:before="120" w:after="120" w:line="240" w:lineRule="auto"/>
      <w:jc w:val="both"/>
    </w:pPr>
    <w:rPr>
      <w:rFonts w:ascii="Times New Roman" w:eastAsia="Times New Roman" w:hAnsi="Times New Roman"/>
      <w:sz w:val="24"/>
    </w:rPr>
  </w:style>
  <w:style w:type="paragraph" w:customStyle="1" w:styleId="Point0letter">
    <w:name w:val="Point 0 (letter)"/>
    <w:basedOn w:val="Normal"/>
    <w:pPr>
      <w:numPr>
        <w:ilvl w:val="1"/>
        <w:numId w:val="8"/>
      </w:numPr>
      <w:spacing w:before="120" w:after="120" w:line="240" w:lineRule="auto"/>
      <w:jc w:val="both"/>
    </w:pPr>
    <w:rPr>
      <w:rFonts w:ascii="Times New Roman" w:eastAsia="Times New Roman" w:hAnsi="Times New Roman"/>
      <w:sz w:val="24"/>
    </w:rPr>
  </w:style>
  <w:style w:type="paragraph" w:customStyle="1" w:styleId="Point1letter">
    <w:name w:val="Point 1 (letter)"/>
    <w:basedOn w:val="Normal"/>
    <w:pPr>
      <w:numPr>
        <w:ilvl w:val="3"/>
        <w:numId w:val="8"/>
      </w:numPr>
      <w:spacing w:before="120" w:after="120" w:line="240" w:lineRule="auto"/>
      <w:jc w:val="both"/>
    </w:pPr>
    <w:rPr>
      <w:rFonts w:ascii="Times New Roman" w:eastAsia="Times New Roman" w:hAnsi="Times New Roman"/>
      <w:sz w:val="24"/>
    </w:rPr>
  </w:style>
  <w:style w:type="paragraph" w:customStyle="1" w:styleId="Point2letter">
    <w:name w:val="Point 2 (letter)"/>
    <w:basedOn w:val="Normal"/>
    <w:pPr>
      <w:numPr>
        <w:ilvl w:val="5"/>
        <w:numId w:val="8"/>
      </w:numPr>
      <w:spacing w:before="120" w:after="120" w:line="240" w:lineRule="auto"/>
      <w:jc w:val="both"/>
    </w:pPr>
    <w:rPr>
      <w:rFonts w:ascii="Times New Roman" w:eastAsia="Times New Roman" w:hAnsi="Times New Roman"/>
      <w:sz w:val="24"/>
    </w:rPr>
  </w:style>
  <w:style w:type="paragraph" w:customStyle="1" w:styleId="Point3letter">
    <w:name w:val="Point 3 (letter)"/>
    <w:basedOn w:val="Normal"/>
    <w:pPr>
      <w:numPr>
        <w:ilvl w:val="7"/>
        <w:numId w:val="8"/>
      </w:numPr>
      <w:spacing w:before="120" w:after="120" w:line="240" w:lineRule="auto"/>
      <w:jc w:val="both"/>
    </w:pPr>
    <w:rPr>
      <w:rFonts w:ascii="Times New Roman" w:eastAsia="Times New Roman" w:hAnsi="Times New Roman"/>
      <w:sz w:val="24"/>
    </w:rPr>
  </w:style>
  <w:style w:type="paragraph" w:customStyle="1" w:styleId="Point4letter">
    <w:name w:val="Point 4 (letter)"/>
    <w:basedOn w:val="Normal"/>
    <w:pPr>
      <w:numPr>
        <w:ilvl w:val="8"/>
        <w:numId w:val="8"/>
      </w:numPr>
      <w:spacing w:before="120" w:after="120" w:line="240" w:lineRule="auto"/>
      <w:jc w:val="both"/>
    </w:pPr>
    <w:rPr>
      <w:rFonts w:ascii="Times New Roman" w:eastAsia="Times New Roman" w:hAnsi="Times New Roman"/>
      <w:sz w:val="24"/>
    </w:rPr>
  </w:style>
  <w:style w:type="paragraph" w:customStyle="1" w:styleId="Bullet0">
    <w:name w:val="Bullet 0"/>
    <w:basedOn w:val="Normal"/>
    <w:pPr>
      <w:numPr>
        <w:numId w:val="9"/>
      </w:numPr>
      <w:spacing w:before="120" w:after="120" w:line="240" w:lineRule="auto"/>
      <w:jc w:val="both"/>
    </w:pPr>
    <w:rPr>
      <w:rFonts w:ascii="Times New Roman" w:eastAsia="Times New Roman" w:hAnsi="Times New Roman"/>
      <w:sz w:val="24"/>
    </w:rPr>
  </w:style>
  <w:style w:type="paragraph" w:customStyle="1" w:styleId="Bullet1">
    <w:name w:val="Bullet 1"/>
    <w:basedOn w:val="Normal"/>
    <w:pPr>
      <w:numPr>
        <w:numId w:val="10"/>
      </w:numPr>
      <w:spacing w:before="120" w:after="120" w:line="240" w:lineRule="auto"/>
      <w:jc w:val="both"/>
    </w:pPr>
    <w:rPr>
      <w:rFonts w:ascii="Times New Roman" w:eastAsia="Times New Roman" w:hAnsi="Times New Roman"/>
      <w:sz w:val="24"/>
    </w:rPr>
  </w:style>
  <w:style w:type="paragraph" w:customStyle="1" w:styleId="Bullet2">
    <w:name w:val="Bullet 2"/>
    <w:basedOn w:val="Normal"/>
    <w:pPr>
      <w:numPr>
        <w:numId w:val="11"/>
      </w:numPr>
      <w:spacing w:before="120" w:after="120" w:line="240" w:lineRule="auto"/>
      <w:jc w:val="both"/>
    </w:pPr>
    <w:rPr>
      <w:rFonts w:ascii="Times New Roman" w:eastAsia="Times New Roman" w:hAnsi="Times New Roman"/>
      <w:sz w:val="24"/>
    </w:rPr>
  </w:style>
  <w:style w:type="paragraph" w:customStyle="1" w:styleId="Bullet3">
    <w:name w:val="Bullet 3"/>
    <w:basedOn w:val="Normal"/>
    <w:pPr>
      <w:numPr>
        <w:numId w:val="12"/>
      </w:numPr>
      <w:spacing w:before="120" w:after="120" w:line="240" w:lineRule="auto"/>
      <w:jc w:val="both"/>
    </w:pPr>
    <w:rPr>
      <w:rFonts w:ascii="Times New Roman" w:eastAsia="Times New Roman" w:hAnsi="Times New Roman"/>
      <w:sz w:val="24"/>
    </w:rPr>
  </w:style>
  <w:style w:type="paragraph" w:customStyle="1" w:styleId="Bullet4">
    <w:name w:val="Bullet 4"/>
    <w:basedOn w:val="Normal"/>
    <w:pPr>
      <w:numPr>
        <w:numId w:val="13"/>
      </w:numPr>
      <w:spacing w:before="120" w:after="120" w:line="240" w:lineRule="auto"/>
      <w:jc w:val="both"/>
    </w:pPr>
    <w:rPr>
      <w:rFonts w:ascii="Times New Roman" w:eastAsia="Times New Roman" w:hAnsi="Times New Roman"/>
      <w:sz w:val="24"/>
    </w:rPr>
  </w:style>
  <w:style w:type="paragraph" w:customStyle="1" w:styleId="Annexetitreexpos">
    <w:name w:val="Annexe titre (exposé)"/>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
    <w:name w:val="Annexe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fichefinancire">
    <w:name w:val="Annexe titre (fiche financiè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pplicationdirecte">
    <w:name w:val="Application directe"/>
    <w:basedOn w:val="Normal"/>
    <w:next w:val="Fait"/>
    <w:pPr>
      <w:spacing w:before="480" w:after="120" w:line="240" w:lineRule="auto"/>
      <w:jc w:val="both"/>
    </w:pPr>
    <w:rPr>
      <w:rFonts w:ascii="Times New Roman" w:eastAsia="Times New Roman" w:hAnsi="Times New Roman"/>
      <w:sz w:val="24"/>
    </w:rPr>
  </w:style>
  <w:style w:type="paragraph" w:customStyle="1" w:styleId="Avertissementtitre">
    <w:name w:val="Avertissement titre"/>
    <w:basedOn w:val="Normal"/>
    <w:next w:val="Normal"/>
    <w:pPr>
      <w:keepNext/>
      <w:spacing w:before="480" w:after="120" w:line="240" w:lineRule="auto"/>
      <w:jc w:val="both"/>
    </w:pPr>
    <w:rPr>
      <w:rFonts w:ascii="Times New Roman" w:eastAsia="Times New Roman" w:hAnsi="Times New Roman"/>
      <w:sz w:val="24"/>
      <w:u w:val="single"/>
    </w:rPr>
  </w:style>
  <w:style w:type="paragraph" w:customStyle="1" w:styleId="Confidence">
    <w:name w:val="Confidence"/>
    <w:basedOn w:val="Normal"/>
    <w:next w:val="Normal"/>
    <w:pPr>
      <w:spacing w:before="360" w:after="120" w:line="240" w:lineRule="auto"/>
      <w:jc w:val="center"/>
    </w:pPr>
    <w:rPr>
      <w:rFonts w:ascii="Times New Roman" w:eastAsia="Times New Roman" w:hAnsi="Times New Roman"/>
      <w:sz w:val="24"/>
    </w:rPr>
  </w:style>
  <w:style w:type="paragraph" w:customStyle="1" w:styleId="Confidentialit">
    <w:name w:val="Confidentialité"/>
    <w:basedOn w:val="Normal"/>
    <w:next w:val="TypedudocumentPagedecouverture"/>
    <w:pPr>
      <w:spacing w:before="240" w:after="240" w:line="240" w:lineRule="auto"/>
      <w:ind w:left="5103"/>
    </w:pPr>
    <w:rPr>
      <w:rFonts w:ascii="Times New Roman" w:eastAsia="Times New Roman" w:hAnsi="Times New Roman"/>
      <w:i/>
      <w:sz w:val="32"/>
    </w:rPr>
  </w:style>
  <w:style w:type="paragraph" w:customStyle="1" w:styleId="Considrant">
    <w:name w:val="Considérant"/>
    <w:basedOn w:val="Normal"/>
    <w:pPr>
      <w:numPr>
        <w:numId w:val="14"/>
      </w:numPr>
      <w:spacing w:before="120" w:after="120" w:line="240" w:lineRule="auto"/>
      <w:jc w:val="both"/>
    </w:pPr>
    <w:rPr>
      <w:rFonts w:ascii="Times New Roman" w:eastAsia="Times New Roman" w:hAnsi="Times New Roman"/>
      <w:sz w:val="24"/>
    </w:rPr>
  </w:style>
  <w:style w:type="paragraph" w:customStyle="1" w:styleId="Corrigendum">
    <w:name w:val="Corrigendum"/>
    <w:basedOn w:val="Normal"/>
    <w:next w:val="Normal"/>
    <w:pPr>
      <w:spacing w:after="240" w:line="240" w:lineRule="auto"/>
    </w:pPr>
    <w:rPr>
      <w:rFonts w:ascii="Times New Roman" w:eastAsia="Times New Roman" w:hAnsi="Times New Roman"/>
      <w:sz w:val="24"/>
    </w:rPr>
  </w:style>
  <w:style w:type="paragraph" w:customStyle="1" w:styleId="Datedadoption">
    <w:name w:val="Date d'adoption"/>
    <w:basedOn w:val="Normal"/>
    <w:next w:val="Titreobjet"/>
    <w:pPr>
      <w:spacing w:before="360" w:after="0" w:line="240" w:lineRule="auto"/>
      <w:jc w:val="center"/>
    </w:pPr>
    <w:rPr>
      <w:rFonts w:ascii="Times New Roman" w:eastAsia="Times New Roman" w:hAnsi="Times New Roman"/>
      <w:b/>
      <w:sz w:val="24"/>
    </w:rPr>
  </w:style>
  <w:style w:type="paragraph" w:customStyle="1" w:styleId="Emission">
    <w:name w:val="Emission"/>
    <w:basedOn w:val="Normal"/>
    <w:next w:val="Rfrenceinstitutionnelle"/>
    <w:pPr>
      <w:spacing w:after="0" w:line="240" w:lineRule="auto"/>
      <w:ind w:left="5103"/>
    </w:pPr>
    <w:rPr>
      <w:rFonts w:ascii="Times New Roman" w:eastAsia="Times New Roman" w:hAnsi="Times New Roman"/>
      <w:sz w:val="24"/>
    </w:rPr>
  </w:style>
  <w:style w:type="paragraph" w:customStyle="1" w:styleId="Exposdesmotifstitre">
    <w:name w:val="Exposé des motifs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ait">
    <w:name w:val="Fait à"/>
    <w:basedOn w:val="Normal"/>
    <w:next w:val="Institutionquisigne"/>
    <w:pPr>
      <w:keepNext/>
      <w:spacing w:before="120" w:after="0" w:line="240" w:lineRule="auto"/>
      <w:jc w:val="both"/>
    </w:pPr>
    <w:rPr>
      <w:rFonts w:ascii="Times New Roman" w:eastAsia="Times New Roman" w:hAnsi="Times New Roman"/>
      <w:sz w:val="24"/>
    </w:rPr>
  </w:style>
  <w:style w:type="paragraph" w:customStyle="1" w:styleId="Formuledadoption">
    <w:name w:val="Formule d'adoption"/>
    <w:basedOn w:val="Normal"/>
    <w:next w:val="Titrearticle"/>
    <w:pPr>
      <w:keepNext/>
      <w:spacing w:before="120" w:after="120" w:line="240" w:lineRule="auto"/>
      <w:jc w:val="both"/>
    </w:pPr>
    <w:rPr>
      <w:rFonts w:ascii="Times New Roman" w:eastAsia="Times New Roman" w:hAnsi="Times New Roman"/>
      <w:sz w:val="24"/>
    </w:rPr>
  </w:style>
  <w:style w:type="paragraph" w:customStyle="1" w:styleId="Institutionquiagit">
    <w:name w:val="Institution qui agit"/>
    <w:basedOn w:val="Normal"/>
    <w:next w:val="Normal"/>
    <w:pPr>
      <w:keepNext/>
      <w:spacing w:before="600" w:after="120" w:line="240" w:lineRule="auto"/>
      <w:jc w:val="both"/>
    </w:pPr>
    <w:rPr>
      <w:rFonts w:ascii="Times New Roman" w:eastAsia="Times New Roman" w:hAnsi="Times New Roman"/>
      <w:sz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ascii="Times New Roman" w:eastAsia="Times New Roman" w:hAnsi="Times New Roman"/>
      <w:i/>
      <w:sz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ascii="Times New Roman" w:eastAsia="Times New Roman" w:hAnsi="Times New Roman"/>
      <w:b/>
      <w:caps/>
      <w:sz w:val="24"/>
    </w:rPr>
  </w:style>
  <w:style w:type="paragraph" w:customStyle="1" w:styleId="ManualConsidrant">
    <w:name w:val="Manual Considérant"/>
    <w:basedOn w:val="Normal"/>
    <w:pPr>
      <w:spacing w:before="120" w:after="120" w:line="240" w:lineRule="auto"/>
      <w:ind w:left="709" w:hanging="709"/>
      <w:jc w:val="both"/>
    </w:pPr>
    <w:rPr>
      <w:rFonts w:ascii="Times New Roman" w:eastAsia="Times New Roman" w:hAnsi="Times New Roman"/>
      <w:sz w:val="24"/>
    </w:rPr>
  </w:style>
  <w:style w:type="paragraph" w:customStyle="1" w:styleId="Nomdelinstitution">
    <w:name w:val="Nom de l'institution"/>
    <w:basedOn w:val="Normal"/>
    <w:next w:val="Emission"/>
    <w:pPr>
      <w:spacing w:after="0" w:line="240" w:lineRule="auto"/>
    </w:pPr>
    <w:rPr>
      <w:rFonts w:ascii="Arial" w:eastAsia="Times New Roman" w:hAnsi="Arial" w:cs="Arial"/>
      <w:sz w:val="24"/>
    </w:rPr>
  </w:style>
  <w:style w:type="paragraph" w:customStyle="1" w:styleId="Personnequisigne">
    <w:name w:val="Personne qui signe"/>
    <w:basedOn w:val="Normal"/>
    <w:next w:val="Institutionquisigne"/>
    <w:pPr>
      <w:tabs>
        <w:tab w:val="left" w:pos="4252"/>
      </w:tabs>
      <w:spacing w:after="0" w:line="240" w:lineRule="auto"/>
    </w:pPr>
    <w:rPr>
      <w:rFonts w:ascii="Times New Roman" w:eastAsia="Times New Roman" w:hAnsi="Times New Roman"/>
      <w:i/>
      <w:sz w:val="24"/>
    </w:rPr>
  </w:style>
  <w:style w:type="paragraph" w:customStyle="1" w:styleId="Rfrenceinstitutionnelle">
    <w:name w:val="Référence institutionnelle"/>
    <w:basedOn w:val="Normal"/>
    <w:next w:val="Confidentialit"/>
    <w:pPr>
      <w:spacing w:after="240" w:line="240" w:lineRule="auto"/>
      <w:ind w:left="5103"/>
    </w:pPr>
    <w:rPr>
      <w:rFonts w:ascii="Times New Roman" w:eastAsia="Times New Roman" w:hAnsi="Times New Roman"/>
      <w:sz w:val="24"/>
    </w:rPr>
  </w:style>
  <w:style w:type="paragraph" w:customStyle="1" w:styleId="Rfrenceinterinstitutionnelle">
    <w:name w:val="Référence interinstitutionnelle"/>
    <w:basedOn w:val="Normal"/>
    <w:next w:val="Statut"/>
    <w:pPr>
      <w:spacing w:after="0" w:line="240" w:lineRule="auto"/>
      <w:ind w:left="5103"/>
    </w:pPr>
    <w:rPr>
      <w:rFonts w:ascii="Times New Roman" w:eastAsia="Times New Roman" w:hAnsi="Times New Roman"/>
      <w:sz w:val="24"/>
    </w:rPr>
  </w:style>
  <w:style w:type="paragraph" w:customStyle="1" w:styleId="Rfrenceinterne">
    <w:name w:val="Référence interne"/>
    <w:basedOn w:val="Normal"/>
    <w:next w:val="Rfrenceinterinstitutionnelle"/>
    <w:pPr>
      <w:spacing w:after="0" w:line="240" w:lineRule="auto"/>
      <w:ind w:left="5103"/>
    </w:pPr>
    <w:rPr>
      <w:rFonts w:ascii="Times New Roman" w:eastAsia="Times New Roman" w:hAnsi="Times New Roman"/>
      <w:sz w:val="24"/>
    </w:rPr>
  </w:style>
  <w:style w:type="paragraph" w:customStyle="1" w:styleId="Sous-titreobjet">
    <w:name w:val="Sous-titre objet"/>
    <w:basedOn w:val="Normal"/>
    <w:pPr>
      <w:spacing w:after="0" w:line="240" w:lineRule="auto"/>
      <w:jc w:val="center"/>
    </w:pPr>
    <w:rPr>
      <w:rFonts w:ascii="Times New Roman" w:eastAsia="Times New Roman" w:hAnsi="Times New Roman"/>
      <w:b/>
      <w:sz w:val="24"/>
    </w:rPr>
  </w:style>
  <w:style w:type="paragraph" w:customStyle="1" w:styleId="Statut">
    <w:name w:val="Statut"/>
    <w:basedOn w:val="Normal"/>
    <w:next w:val="Typedudocument"/>
    <w:pPr>
      <w:spacing w:before="360" w:after="0" w:line="240" w:lineRule="auto"/>
      <w:jc w:val="center"/>
    </w:pPr>
    <w:rPr>
      <w:rFonts w:ascii="Times New Roman" w:eastAsia="Times New Roman" w:hAnsi="Times New Roman"/>
      <w:sz w:val="24"/>
    </w:rPr>
  </w:style>
  <w:style w:type="paragraph" w:customStyle="1" w:styleId="Titrearticle">
    <w:name w:val="Titre article"/>
    <w:basedOn w:val="Normal"/>
    <w:next w:val="Normal"/>
    <w:pPr>
      <w:keepNext/>
      <w:spacing w:before="360" w:after="120" w:line="240" w:lineRule="auto"/>
      <w:jc w:val="center"/>
    </w:pPr>
    <w:rPr>
      <w:rFonts w:ascii="Times New Roman" w:eastAsia="Times New Roman" w:hAnsi="Times New Roman"/>
      <w:i/>
      <w:sz w:val="24"/>
    </w:rPr>
  </w:style>
  <w:style w:type="paragraph" w:customStyle="1" w:styleId="Titreobjet">
    <w:name w:val="Titre objet"/>
    <w:basedOn w:val="Normal"/>
    <w:next w:val="Sous-titreobjet"/>
    <w:pPr>
      <w:spacing w:before="360" w:after="360" w:line="240" w:lineRule="auto"/>
      <w:jc w:val="center"/>
    </w:pPr>
    <w:rPr>
      <w:rFonts w:ascii="Times New Roman" w:eastAsia="Times New Roman" w:hAnsi="Times New Roman"/>
      <w:b/>
      <w:sz w:val="24"/>
    </w:rPr>
  </w:style>
  <w:style w:type="paragraph" w:customStyle="1" w:styleId="Typedudocument">
    <w:name w:val="Type du document"/>
    <w:basedOn w:val="Normal"/>
    <w:next w:val="Titreobjet"/>
    <w:pPr>
      <w:spacing w:before="360" w:after="0" w:line="240" w:lineRule="auto"/>
      <w:jc w:val="center"/>
    </w:pPr>
    <w:rPr>
      <w:rFonts w:ascii="Times New Roman" w:eastAsia="Times New Roman" w:hAnsi="Times New Roman"/>
      <w:b/>
      <w:sz w:val="24"/>
    </w:rPr>
  </w:style>
  <w:style w:type="character" w:customStyle="1" w:styleId="Added">
    <w:name w:val="Added"/>
    <w:rPr>
      <w:b/>
      <w:u w:val="single"/>
      <w:shd w:val="clear" w:color="auto" w:fill="auto"/>
    </w:rPr>
  </w:style>
  <w:style w:type="character" w:customStyle="1" w:styleId="Deleted">
    <w:name w:val="Deleted"/>
    <w:rPr>
      <w:strike/>
      <w:dstrike w:val="0"/>
      <w:shd w:val="clear" w:color="auto" w:fill="auto"/>
    </w:rPr>
  </w:style>
  <w:style w:type="paragraph" w:customStyle="1" w:styleId="Address">
    <w:name w:val="Address"/>
    <w:basedOn w:val="Normal"/>
    <w:next w:val="Normal"/>
    <w:pPr>
      <w:keepLines/>
      <w:spacing w:before="120" w:after="120" w:line="360" w:lineRule="auto"/>
      <w:ind w:left="3402"/>
    </w:pPr>
    <w:rPr>
      <w:rFonts w:ascii="Times New Roman" w:eastAsia="Times New Roman" w:hAnsi="Times New Roman"/>
      <w:sz w:val="24"/>
    </w:rPr>
  </w:style>
  <w:style w:type="paragraph" w:customStyle="1" w:styleId="Objetexterne">
    <w:name w:val="Objet externe"/>
    <w:basedOn w:val="Normal"/>
    <w:next w:val="Normal"/>
    <w:pPr>
      <w:spacing w:before="120" w:after="120" w:line="240" w:lineRule="auto"/>
      <w:jc w:val="both"/>
    </w:pPr>
    <w:rPr>
      <w:rFonts w:ascii="Times New Roman" w:eastAsia="Times New Roman" w:hAnsi="Times New Roman"/>
      <w:i/>
      <w:caps/>
      <w:sz w:val="24"/>
    </w:rPr>
  </w:style>
  <w:style w:type="paragraph" w:customStyle="1" w:styleId="Pagedecouverture">
    <w:name w:val="Page de couverture"/>
    <w:basedOn w:val="Normal"/>
    <w:next w:val="Normal"/>
    <w:pPr>
      <w:spacing w:after="0" w:line="240" w:lineRule="auto"/>
      <w:jc w:val="both"/>
    </w:pPr>
    <w:rPr>
      <w:rFonts w:ascii="Times New Roman" w:eastAsia="Times New Roman" w:hAnsi="Times New Roman"/>
      <w:sz w:val="24"/>
    </w:rPr>
  </w:style>
  <w:style w:type="paragraph" w:customStyle="1" w:styleId="Supertitre">
    <w:name w:val="Supertitre"/>
    <w:basedOn w:val="Normal"/>
    <w:next w:val="Normal"/>
    <w:pPr>
      <w:spacing w:after="600" w:line="240" w:lineRule="auto"/>
      <w:jc w:val="center"/>
    </w:pPr>
    <w:rPr>
      <w:rFonts w:ascii="Times New Roman" w:eastAsia="Times New Roman" w:hAnsi="Times New Roman"/>
      <w:b/>
      <w:sz w:val="24"/>
    </w:rPr>
  </w:style>
  <w:style w:type="paragraph" w:customStyle="1" w:styleId="Languesfaisantfoi">
    <w:name w:val="Langues faisant foi"/>
    <w:basedOn w:val="Normal"/>
    <w:next w:val="Normal"/>
    <w:pPr>
      <w:spacing w:before="360" w:after="0" w:line="240" w:lineRule="auto"/>
      <w:jc w:val="center"/>
    </w:pPr>
    <w:rPr>
      <w:rFonts w:ascii="Times New Roman" w:eastAsia="Times New Roman" w:hAnsi="Times New Roman"/>
      <w:sz w:val="24"/>
    </w:rPr>
  </w:style>
  <w:style w:type="paragraph" w:customStyle="1" w:styleId="Rfrencecroise">
    <w:name w:val="Référence croisée"/>
    <w:basedOn w:val="Normal"/>
    <w:pPr>
      <w:spacing w:after="0" w:line="240" w:lineRule="auto"/>
      <w:jc w:val="center"/>
    </w:pPr>
    <w:rPr>
      <w:rFonts w:ascii="Times New Roman" w:eastAsia="Times New Roman" w:hAnsi="Times New Roman"/>
      <w:sz w:val="24"/>
    </w:rPr>
  </w:style>
  <w:style w:type="paragraph" w:customStyle="1" w:styleId="Fichefinanciretitre">
    <w:name w:val="Fiche financière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after="240" w:line="240" w:lineRule="auto"/>
      <w:ind w:left="5103"/>
    </w:pPr>
    <w:rPr>
      <w:rFonts w:ascii="Times New Roman" w:eastAsia="Times New Roman" w:hAnsi="Times New Roman"/>
      <w:sz w:val="24"/>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after="240" w:line="240" w:lineRule="auto"/>
      <w:jc w:val="center"/>
    </w:pPr>
    <w:rPr>
      <w:rFonts w:ascii="Times New Roman" w:eastAsia="Times New Roman" w:hAnsi="Times New Roman"/>
      <w:b/>
      <w:i/>
      <w:sz w:val="24"/>
    </w:rPr>
  </w:style>
  <w:style w:type="paragraph" w:customStyle="1" w:styleId="Typeacteprincipal">
    <w:name w:val="Type acte principal"/>
    <w:basedOn w:val="Normal"/>
    <w:next w:val="Objetacteprincipal"/>
    <w:pPr>
      <w:spacing w:after="240" w:line="240" w:lineRule="auto"/>
      <w:jc w:val="center"/>
    </w:pPr>
    <w:rPr>
      <w:rFonts w:ascii="Times New Roman" w:eastAsia="Times New Roman" w:hAnsi="Times New Roman"/>
      <w:b/>
      <w:sz w:val="24"/>
    </w:rPr>
  </w:style>
  <w:style w:type="paragraph" w:customStyle="1" w:styleId="Objetacteprincipal">
    <w:name w:val="Objet acte principal"/>
    <w:basedOn w:val="Normal"/>
    <w:next w:val="Titrearticle"/>
    <w:pPr>
      <w:spacing w:after="360" w:line="240" w:lineRule="auto"/>
      <w:jc w:val="center"/>
    </w:pPr>
    <w:rPr>
      <w:rFonts w:ascii="Times New Roman" w:eastAsia="Times New Roman" w:hAnsi="Times New Roman"/>
      <w:b/>
      <w:sz w:val="24"/>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line="240" w:lineRule="auto"/>
      <w:jc w:val="center"/>
    </w:pPr>
    <w:rPr>
      <w:rFonts w:ascii="Times New Roman" w:eastAsia="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rPr>
  </w:style>
  <w:style w:type="paragraph" w:styleId="Revision">
    <w:name w:val="Revision"/>
    <w:hidden/>
    <w:uiPriority w:val="99"/>
    <w:semiHidden/>
    <w:rPr>
      <w:sz w:val="22"/>
      <w:szCs w:val="22"/>
    </w:rPr>
  </w:style>
  <w:style w:type="character" w:customStyle="1" w:styleId="Text1Char">
    <w:name w:val="Text 1 Char"/>
    <w:link w:val="Text1"/>
    <w:locked/>
    <w:rPr>
      <w:rFonts w:ascii="Times New Roman" w:eastAsia="Times New Roman" w:hAnsi="Times New Roman"/>
      <w:sz w:val="24"/>
      <w:szCs w:val="22"/>
    </w:rPr>
  </w:style>
  <w:style w:type="paragraph" w:customStyle="1" w:styleId="Contact">
    <w:name w:val="Contact"/>
    <w:basedOn w:val="Normal"/>
    <w:next w:val="Normal"/>
    <w:pPr>
      <w:spacing w:after="480" w:line="240" w:lineRule="auto"/>
      <w:ind w:left="567" w:hanging="567"/>
    </w:pPr>
    <w:rPr>
      <w:rFonts w:ascii="Times New Roman" w:eastAsia="Times New Roman" w:hAnsi="Times New Roman"/>
      <w:sz w:val="24"/>
      <w:szCs w:val="20"/>
      <w:lang w:eastAsia="en-US" w:bidi="ar-SA"/>
    </w:rPr>
  </w:style>
  <w:style w:type="paragraph" w:customStyle="1" w:styleId="Default">
    <w:name w:val="Default"/>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3">
    <w:name w:val="CM3"/>
    <w:basedOn w:val="Default"/>
    <w:next w:val="Default"/>
    <w:uiPriority w:val="99"/>
    <w:rPr>
      <w:rFonts w:cs="Times New Roman"/>
      <w:color w:val="auto"/>
    </w:rPr>
  </w:style>
  <w:style w:type="paragraph" w:customStyle="1" w:styleId="CM4">
    <w:name w:val="CM4"/>
    <w:basedOn w:val="Default"/>
    <w:next w:val="Default"/>
    <w:uiPriority w:val="99"/>
    <w:rPr>
      <w:rFonts w:cs="Times New Roman"/>
      <w:color w:val="auto"/>
    </w:rPr>
  </w:style>
  <w:style w:type="character" w:styleId="Strong">
    <w:name w:val="Strong"/>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a-DK" w:eastAsia="da-DK" w:bidi="da-DK"/>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table of figures" w:uiPriority="0"/>
    <w:lsdException w:name="annotation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Text1"/>
    <w:link w:val="Heading1Char"/>
    <w:uiPriority w:val="9"/>
    <w:qFormat/>
    <w:pPr>
      <w:keepNext/>
      <w:numPr>
        <w:numId w:val="7"/>
      </w:numPr>
      <w:spacing w:before="360" w:after="120" w:line="240" w:lineRule="auto"/>
      <w:jc w:val="both"/>
      <w:outlineLvl w:val="0"/>
    </w:pPr>
    <w:rPr>
      <w:rFonts w:ascii="Times New Roman" w:eastAsia="Times New Roman" w:hAnsi="Times New Roman"/>
      <w:b/>
      <w:bCs/>
      <w:smallCaps/>
      <w:sz w:val="24"/>
      <w:szCs w:val="28"/>
    </w:rPr>
  </w:style>
  <w:style w:type="paragraph" w:styleId="Heading2">
    <w:name w:val="heading 2"/>
    <w:basedOn w:val="Normal"/>
    <w:next w:val="Text1"/>
    <w:link w:val="Heading2Char"/>
    <w:uiPriority w:val="9"/>
    <w:qFormat/>
    <w:pPr>
      <w:keepNext/>
      <w:numPr>
        <w:ilvl w:val="1"/>
        <w:numId w:val="7"/>
      </w:numPr>
      <w:spacing w:before="120" w:after="120" w:line="240" w:lineRule="auto"/>
      <w:jc w:val="both"/>
      <w:outlineLvl w:val="1"/>
    </w:pPr>
    <w:rPr>
      <w:rFonts w:ascii="Times New Roman" w:eastAsia="Times New Roman" w:hAnsi="Times New Roman"/>
      <w:b/>
      <w:bCs/>
      <w:sz w:val="24"/>
      <w:szCs w:val="26"/>
    </w:rPr>
  </w:style>
  <w:style w:type="paragraph" w:styleId="Heading3">
    <w:name w:val="heading 3"/>
    <w:basedOn w:val="Normal"/>
    <w:next w:val="Text1"/>
    <w:link w:val="Heading3Char"/>
    <w:uiPriority w:val="9"/>
    <w:qFormat/>
    <w:pPr>
      <w:keepNext/>
      <w:numPr>
        <w:ilvl w:val="2"/>
        <w:numId w:val="7"/>
      </w:numPr>
      <w:spacing w:before="120" w:after="120" w:line="240" w:lineRule="auto"/>
      <w:jc w:val="both"/>
      <w:outlineLvl w:val="2"/>
    </w:pPr>
    <w:rPr>
      <w:rFonts w:ascii="Times New Roman" w:eastAsia="Times New Roman" w:hAnsi="Times New Roman"/>
      <w:bCs/>
      <w:i/>
      <w:sz w:val="24"/>
    </w:rPr>
  </w:style>
  <w:style w:type="paragraph" w:styleId="Heading4">
    <w:name w:val="heading 4"/>
    <w:basedOn w:val="Normal"/>
    <w:next w:val="Text1"/>
    <w:link w:val="Heading4Char"/>
    <w:uiPriority w:val="9"/>
    <w:qFormat/>
    <w:pPr>
      <w:keepNext/>
      <w:numPr>
        <w:ilvl w:val="3"/>
        <w:numId w:val="7"/>
      </w:numPr>
      <w:spacing w:before="120" w:after="120" w:line="240" w:lineRule="auto"/>
      <w:jc w:val="both"/>
      <w:outlineLvl w:val="3"/>
    </w:pPr>
    <w:rPr>
      <w:rFonts w:ascii="Times New Roman" w:eastAsia="Times New Roman" w:hAnsi="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b/>
      <w:bCs/>
      <w:smallCaps/>
      <w:sz w:val="24"/>
      <w:szCs w:val="28"/>
    </w:rPr>
  </w:style>
  <w:style w:type="character" w:customStyle="1" w:styleId="Heading2Char">
    <w:name w:val="Heading 2 Char"/>
    <w:link w:val="Heading2"/>
    <w:uiPriority w:val="9"/>
    <w:rPr>
      <w:rFonts w:ascii="Times New Roman" w:eastAsia="Times New Roman" w:hAnsi="Times New Roman"/>
      <w:b/>
      <w:bCs/>
      <w:sz w:val="24"/>
      <w:szCs w:val="26"/>
    </w:rPr>
  </w:style>
  <w:style w:type="character" w:customStyle="1" w:styleId="Heading3Char">
    <w:name w:val="Heading 3 Char"/>
    <w:link w:val="Heading3"/>
    <w:uiPriority w:val="9"/>
    <w:rPr>
      <w:rFonts w:ascii="Times New Roman" w:eastAsia="Times New Roman" w:hAnsi="Times New Roman"/>
      <w:bCs/>
      <w:i/>
      <w:sz w:val="24"/>
      <w:szCs w:val="22"/>
    </w:rPr>
  </w:style>
  <w:style w:type="character" w:customStyle="1" w:styleId="Heading4Char">
    <w:name w:val="Heading 4 Char"/>
    <w:link w:val="Heading4"/>
    <w:uiPriority w:val="9"/>
    <w:rPr>
      <w:rFonts w:ascii="Times New Roman" w:eastAsia="Times New Roman" w:hAnsi="Times New Roman"/>
      <w:bCs/>
      <w:iCs/>
      <w:sz w:val="24"/>
      <w:szCs w:val="22"/>
    </w:rPr>
  </w:style>
  <w:style w:type="numbering" w:customStyle="1" w:styleId="NoList1">
    <w:name w:val="No List1"/>
    <w:next w:val="NoList"/>
    <w:uiPriority w:val="99"/>
    <w:semiHidden/>
    <w:unhideWhenUsed/>
  </w:style>
  <w:style w:type="paragraph" w:styleId="ListNumber">
    <w:name w:val="List Number"/>
    <w:basedOn w:val="Normal"/>
    <w:pPr>
      <w:numPr>
        <w:numId w:val="25"/>
      </w:numPr>
      <w:spacing w:after="240" w:line="240" w:lineRule="auto"/>
      <w:jc w:val="both"/>
    </w:pPr>
    <w:rPr>
      <w:rFonts w:ascii="Times New Roman" w:eastAsia="Times New Roman" w:hAnsi="Times New Roman"/>
      <w:sz w:val="24"/>
      <w:szCs w:val="20"/>
      <w:lang w:eastAsia="en-US" w:bidi="ar-SA"/>
    </w:rPr>
  </w:style>
  <w:style w:type="paragraph" w:customStyle="1" w:styleId="ListBullet1">
    <w:name w:val="List Bullet 1"/>
    <w:basedOn w:val="Text1"/>
    <w:pPr>
      <w:numPr>
        <w:numId w:val="16"/>
      </w:numPr>
      <w:spacing w:before="0" w:after="240"/>
    </w:pPr>
    <w:rPr>
      <w:szCs w:val="20"/>
      <w:lang w:eastAsia="en-US" w:bidi="ar-SA"/>
    </w:rPr>
  </w:style>
  <w:style w:type="paragraph" w:customStyle="1" w:styleId="ListDash1">
    <w:name w:val="List Dash 1"/>
    <w:basedOn w:val="Text1"/>
    <w:pPr>
      <w:numPr>
        <w:numId w:val="21"/>
      </w:numPr>
      <w:spacing w:before="0" w:after="240"/>
    </w:pPr>
    <w:rPr>
      <w:szCs w:val="20"/>
      <w:lang w:eastAsia="en-US" w:bidi="ar-SA"/>
    </w:rPr>
  </w:style>
  <w:style w:type="paragraph" w:customStyle="1" w:styleId="ListDash2">
    <w:name w:val="List Dash 2"/>
    <w:basedOn w:val="Text2"/>
    <w:pPr>
      <w:numPr>
        <w:numId w:val="22"/>
      </w:numPr>
      <w:spacing w:before="0" w:after="240"/>
    </w:pPr>
    <w:rPr>
      <w:szCs w:val="20"/>
      <w:lang w:eastAsia="en-US" w:bidi="ar-SA"/>
    </w:rPr>
  </w:style>
  <w:style w:type="paragraph" w:customStyle="1" w:styleId="ListNumberLevel2">
    <w:name w:val="List Number (Level 2)"/>
    <w:basedOn w:val="Normal"/>
    <w:pPr>
      <w:numPr>
        <w:ilvl w:val="1"/>
        <w:numId w:val="25"/>
      </w:numPr>
      <w:spacing w:after="240" w:line="240" w:lineRule="auto"/>
      <w:jc w:val="both"/>
    </w:pPr>
    <w:rPr>
      <w:rFonts w:ascii="Times New Roman" w:eastAsia="Times New Roman" w:hAnsi="Times New Roman"/>
      <w:sz w:val="24"/>
      <w:szCs w:val="20"/>
      <w:lang w:eastAsia="en-US" w:bidi="ar-SA"/>
    </w:rPr>
  </w:style>
  <w:style w:type="paragraph" w:customStyle="1" w:styleId="ListNumberLevel3">
    <w:name w:val="List Number (Level 3)"/>
    <w:basedOn w:val="Normal"/>
    <w:pPr>
      <w:numPr>
        <w:ilvl w:val="2"/>
        <w:numId w:val="25"/>
      </w:numPr>
      <w:spacing w:after="240" w:line="240" w:lineRule="auto"/>
      <w:jc w:val="both"/>
    </w:pPr>
    <w:rPr>
      <w:rFonts w:ascii="Times New Roman" w:eastAsia="Times New Roman" w:hAnsi="Times New Roman"/>
      <w:sz w:val="24"/>
      <w:szCs w:val="20"/>
      <w:lang w:eastAsia="en-US" w:bidi="ar-SA"/>
    </w:rPr>
  </w:style>
  <w:style w:type="paragraph" w:customStyle="1" w:styleId="ListNumberLevel4">
    <w:name w:val="List Number (Level 4)"/>
    <w:basedOn w:val="Normal"/>
    <w:pPr>
      <w:numPr>
        <w:ilvl w:val="3"/>
        <w:numId w:val="25"/>
      </w:numPr>
      <w:spacing w:after="240" w:line="240" w:lineRule="auto"/>
      <w:jc w:val="both"/>
    </w:pPr>
    <w:rPr>
      <w:rFonts w:ascii="Times New Roman" w:eastAsia="Times New Roman" w:hAnsi="Times New Roman"/>
      <w:sz w:val="24"/>
      <w:szCs w:val="20"/>
      <w:lang w:eastAsia="en-US" w:bidi="ar-SA"/>
    </w:rPr>
  </w:style>
  <w:style w:type="paragraph" w:customStyle="1" w:styleId="Annexetitreacte">
    <w:name w:val="Annexe titre (act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exposglobal">
    <w:name w:val="Annexe titre (exposé global)"/>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fichefinacte">
    <w:name w:val="Annexe titre (fiche fin. acte)"/>
    <w:basedOn w:val="Normal"/>
    <w:next w:val="Normal"/>
    <w:pPr>
      <w:spacing w:before="120" w:after="120" w:line="240" w:lineRule="auto"/>
      <w:jc w:val="center"/>
    </w:pPr>
    <w:rPr>
      <w:rFonts w:ascii="Times New Roman" w:eastAsia="Times New Roman" w:hAnsi="Times New Roman"/>
      <w:b/>
      <w:sz w:val="24"/>
      <w:u w:val="single"/>
    </w:rPr>
  </w:style>
  <w:style w:type="table" w:styleId="TableGrid">
    <w:name w:val="Table Grid"/>
    <w:basedOn w:val="TableNormal"/>
    <w:pPr>
      <w:spacing w:after="24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rFonts w:cs="Times New Roman"/>
      <w:i/>
      <w:iCs/>
      <w:shd w:val="clear" w:color="auto" w:fill="auto"/>
    </w:rPr>
  </w:style>
  <w:style w:type="paragraph" w:styleId="ListNumber2">
    <w:name w:val="List Number 2"/>
    <w:basedOn w:val="Text2"/>
    <w:pPr>
      <w:numPr>
        <w:numId w:val="27"/>
      </w:numPr>
      <w:spacing w:before="0" w:after="240"/>
    </w:pPr>
    <w:rPr>
      <w:szCs w:val="20"/>
      <w:lang w:eastAsia="en-US" w:bidi="ar-SA"/>
    </w:rPr>
  </w:style>
  <w:style w:type="paragraph" w:styleId="ListNumber3">
    <w:name w:val="List Number 3"/>
    <w:basedOn w:val="Text3"/>
    <w:pPr>
      <w:numPr>
        <w:numId w:val="28"/>
      </w:numPr>
      <w:spacing w:before="0" w:after="240"/>
    </w:pPr>
    <w:rPr>
      <w:szCs w:val="20"/>
      <w:lang w:eastAsia="en-US" w:bidi="ar-SA"/>
    </w:rPr>
  </w:style>
  <w:style w:type="paragraph" w:styleId="ListNumber4">
    <w:name w:val="List Number 4"/>
    <w:basedOn w:val="Text4"/>
    <w:pPr>
      <w:numPr>
        <w:numId w:val="29"/>
      </w:numPr>
      <w:spacing w:before="0" w:after="240"/>
    </w:pPr>
    <w:rPr>
      <w:szCs w:val="20"/>
      <w:lang w:eastAsia="en-US" w:bidi="ar-SA"/>
    </w:rPr>
  </w:style>
  <w:style w:type="paragraph" w:customStyle="1" w:styleId="ListNumber1">
    <w:name w:val="List Number 1"/>
    <w:basedOn w:val="Text1"/>
    <w:pPr>
      <w:numPr>
        <w:numId w:val="26"/>
      </w:numPr>
      <w:spacing w:before="0" w:after="240"/>
    </w:pPr>
    <w:rPr>
      <w:szCs w:val="20"/>
      <w:lang w:eastAsia="en-US" w:bidi="ar-SA"/>
    </w:rPr>
  </w:style>
  <w:style w:type="paragraph" w:customStyle="1" w:styleId="ListNumber1Level2">
    <w:name w:val="List Number 1 (Level 2)"/>
    <w:basedOn w:val="Text1"/>
    <w:pPr>
      <w:numPr>
        <w:ilvl w:val="1"/>
        <w:numId w:val="26"/>
      </w:numPr>
      <w:spacing w:before="0" w:after="240"/>
    </w:pPr>
    <w:rPr>
      <w:szCs w:val="20"/>
      <w:lang w:eastAsia="en-US" w:bidi="ar-SA"/>
    </w:rPr>
  </w:style>
  <w:style w:type="paragraph" w:customStyle="1" w:styleId="ListNumber2Level2">
    <w:name w:val="List Number 2 (Level 2)"/>
    <w:basedOn w:val="Text2"/>
    <w:pPr>
      <w:numPr>
        <w:ilvl w:val="1"/>
        <w:numId w:val="27"/>
      </w:numPr>
      <w:spacing w:before="0" w:after="240"/>
    </w:pPr>
    <w:rPr>
      <w:szCs w:val="20"/>
      <w:lang w:eastAsia="en-US" w:bidi="ar-SA"/>
    </w:rPr>
  </w:style>
  <w:style w:type="paragraph" w:customStyle="1" w:styleId="ListNumber3Level2">
    <w:name w:val="List Number 3 (Level 2)"/>
    <w:basedOn w:val="Text3"/>
    <w:pPr>
      <w:numPr>
        <w:ilvl w:val="1"/>
        <w:numId w:val="28"/>
      </w:numPr>
      <w:spacing w:before="0" w:after="240"/>
    </w:pPr>
    <w:rPr>
      <w:szCs w:val="20"/>
      <w:lang w:eastAsia="en-US" w:bidi="ar-SA"/>
    </w:rPr>
  </w:style>
  <w:style w:type="paragraph" w:customStyle="1" w:styleId="ListNumber4Level2">
    <w:name w:val="List Number 4 (Level 2)"/>
    <w:basedOn w:val="Text4"/>
    <w:pPr>
      <w:numPr>
        <w:ilvl w:val="1"/>
        <w:numId w:val="29"/>
      </w:numPr>
      <w:spacing w:before="0" w:after="240"/>
    </w:pPr>
    <w:rPr>
      <w:szCs w:val="20"/>
      <w:lang w:eastAsia="en-US" w:bidi="ar-SA"/>
    </w:rPr>
  </w:style>
  <w:style w:type="paragraph" w:customStyle="1" w:styleId="ListNumber1Level3">
    <w:name w:val="List Number 1 (Level 3)"/>
    <w:basedOn w:val="Text1"/>
    <w:pPr>
      <w:numPr>
        <w:ilvl w:val="2"/>
        <w:numId w:val="26"/>
      </w:numPr>
      <w:spacing w:before="0" w:after="240"/>
    </w:pPr>
    <w:rPr>
      <w:szCs w:val="20"/>
      <w:lang w:eastAsia="en-US" w:bidi="ar-SA"/>
    </w:rPr>
  </w:style>
  <w:style w:type="paragraph" w:customStyle="1" w:styleId="ListNumber2Level3">
    <w:name w:val="List Number 2 (Level 3)"/>
    <w:basedOn w:val="Text2"/>
    <w:pPr>
      <w:numPr>
        <w:ilvl w:val="2"/>
        <w:numId w:val="27"/>
      </w:numPr>
      <w:spacing w:before="0" w:after="240"/>
    </w:pPr>
    <w:rPr>
      <w:szCs w:val="20"/>
      <w:lang w:eastAsia="en-US" w:bidi="ar-SA"/>
    </w:rPr>
  </w:style>
  <w:style w:type="paragraph" w:customStyle="1" w:styleId="ListNumber3Level3">
    <w:name w:val="List Number 3 (Level 3)"/>
    <w:basedOn w:val="Text3"/>
    <w:pPr>
      <w:numPr>
        <w:ilvl w:val="2"/>
        <w:numId w:val="28"/>
      </w:numPr>
      <w:spacing w:before="0" w:after="240"/>
    </w:pPr>
    <w:rPr>
      <w:szCs w:val="20"/>
      <w:lang w:eastAsia="en-US" w:bidi="ar-SA"/>
    </w:rPr>
  </w:style>
  <w:style w:type="paragraph" w:customStyle="1" w:styleId="ListNumber4Level3">
    <w:name w:val="List Number 4 (Level 3)"/>
    <w:basedOn w:val="Text4"/>
    <w:pPr>
      <w:numPr>
        <w:ilvl w:val="2"/>
        <w:numId w:val="29"/>
      </w:numPr>
      <w:spacing w:before="0" w:after="240"/>
    </w:pPr>
    <w:rPr>
      <w:szCs w:val="20"/>
      <w:lang w:eastAsia="en-US" w:bidi="ar-SA"/>
    </w:rPr>
  </w:style>
  <w:style w:type="paragraph" w:customStyle="1" w:styleId="ListNumber1Level4">
    <w:name w:val="List Number 1 (Level 4)"/>
    <w:basedOn w:val="Text1"/>
    <w:pPr>
      <w:numPr>
        <w:ilvl w:val="3"/>
        <w:numId w:val="26"/>
      </w:numPr>
      <w:spacing w:before="0" w:after="240"/>
    </w:pPr>
    <w:rPr>
      <w:szCs w:val="20"/>
      <w:lang w:eastAsia="en-US" w:bidi="ar-SA"/>
    </w:rPr>
  </w:style>
  <w:style w:type="paragraph" w:customStyle="1" w:styleId="ListNumber2Level4">
    <w:name w:val="List Number 2 (Level 4)"/>
    <w:basedOn w:val="Text2"/>
    <w:pPr>
      <w:numPr>
        <w:ilvl w:val="3"/>
        <w:numId w:val="27"/>
      </w:numPr>
      <w:spacing w:before="0" w:after="240"/>
    </w:pPr>
    <w:rPr>
      <w:szCs w:val="20"/>
      <w:lang w:eastAsia="en-US" w:bidi="ar-SA"/>
    </w:rPr>
  </w:style>
  <w:style w:type="paragraph" w:customStyle="1" w:styleId="ListNumber3Level4">
    <w:name w:val="List Number 3 (Level 4)"/>
    <w:basedOn w:val="Text3"/>
    <w:pPr>
      <w:numPr>
        <w:ilvl w:val="3"/>
        <w:numId w:val="28"/>
      </w:numPr>
      <w:spacing w:before="0" w:after="240"/>
    </w:pPr>
    <w:rPr>
      <w:szCs w:val="20"/>
      <w:lang w:eastAsia="en-US" w:bidi="ar-SA"/>
    </w:rPr>
  </w:style>
  <w:style w:type="paragraph" w:customStyle="1" w:styleId="ListNumber4Level4">
    <w:name w:val="List Number 4 (Level 4)"/>
    <w:basedOn w:val="Text4"/>
    <w:pPr>
      <w:numPr>
        <w:ilvl w:val="3"/>
        <w:numId w:val="29"/>
      </w:numPr>
      <w:spacing w:before="0" w:after="240"/>
    </w:pPr>
    <w:rPr>
      <w:szCs w:val="20"/>
      <w:lang w:eastAsia="en-US" w:bidi="ar-SA"/>
    </w:rPr>
  </w:style>
  <w:style w:type="paragraph" w:styleId="ListBullet">
    <w:name w:val="List Bullet"/>
    <w:basedOn w:val="Normal"/>
    <w:pPr>
      <w:numPr>
        <w:numId w:val="15"/>
      </w:numPr>
      <w:spacing w:after="240" w:line="240" w:lineRule="auto"/>
      <w:jc w:val="both"/>
    </w:pPr>
    <w:rPr>
      <w:rFonts w:ascii="Times New Roman" w:eastAsia="Times New Roman" w:hAnsi="Times New Roman"/>
      <w:sz w:val="24"/>
      <w:szCs w:val="20"/>
      <w:lang w:eastAsia="en-US" w:bidi="ar-SA"/>
    </w:rPr>
  </w:style>
  <w:style w:type="paragraph" w:styleId="ListBullet2">
    <w:name w:val="List Bullet 2"/>
    <w:basedOn w:val="Text2"/>
    <w:pPr>
      <w:numPr>
        <w:numId w:val="17"/>
      </w:numPr>
      <w:spacing w:before="0" w:after="240"/>
    </w:pPr>
    <w:rPr>
      <w:szCs w:val="20"/>
      <w:lang w:eastAsia="en-US" w:bidi="ar-SA"/>
    </w:rPr>
  </w:style>
  <w:style w:type="paragraph" w:styleId="ListBullet3">
    <w:name w:val="List Bullet 3"/>
    <w:basedOn w:val="Text3"/>
    <w:pPr>
      <w:numPr>
        <w:numId w:val="18"/>
      </w:numPr>
      <w:spacing w:before="0" w:after="240"/>
    </w:pPr>
    <w:rPr>
      <w:szCs w:val="20"/>
      <w:lang w:eastAsia="en-US" w:bidi="ar-SA"/>
    </w:rPr>
  </w:style>
  <w:style w:type="paragraph" w:styleId="ListBullet4">
    <w:name w:val="List Bullet 4"/>
    <w:basedOn w:val="Text4"/>
    <w:pPr>
      <w:numPr>
        <w:numId w:val="19"/>
      </w:numPr>
      <w:spacing w:before="0" w:after="240"/>
    </w:pPr>
    <w:rPr>
      <w:szCs w:val="20"/>
      <w:lang w:eastAsia="en-US" w:bidi="ar-SA"/>
    </w:rPr>
  </w:style>
  <w:style w:type="paragraph" w:customStyle="1" w:styleId="ListDash">
    <w:name w:val="List Dash"/>
    <w:basedOn w:val="Normal"/>
    <w:pPr>
      <w:numPr>
        <w:numId w:val="20"/>
      </w:numPr>
      <w:spacing w:after="240" w:line="240" w:lineRule="auto"/>
      <w:jc w:val="both"/>
    </w:pPr>
    <w:rPr>
      <w:rFonts w:ascii="Times New Roman" w:eastAsia="Times New Roman" w:hAnsi="Times New Roman"/>
      <w:sz w:val="24"/>
      <w:szCs w:val="20"/>
      <w:lang w:eastAsia="en-US" w:bidi="ar-SA"/>
    </w:rPr>
  </w:style>
  <w:style w:type="paragraph" w:customStyle="1" w:styleId="ListDash3">
    <w:name w:val="List Dash 3"/>
    <w:basedOn w:val="Text3"/>
    <w:pPr>
      <w:numPr>
        <w:numId w:val="23"/>
      </w:numPr>
      <w:spacing w:before="0" w:after="240"/>
    </w:pPr>
    <w:rPr>
      <w:szCs w:val="20"/>
      <w:lang w:eastAsia="en-US" w:bidi="ar-SA"/>
    </w:rPr>
  </w:style>
  <w:style w:type="paragraph" w:customStyle="1" w:styleId="ListDash4">
    <w:name w:val="List Dash 4"/>
    <w:basedOn w:val="Text4"/>
    <w:pPr>
      <w:numPr>
        <w:numId w:val="24"/>
      </w:numPr>
      <w:spacing w:before="0" w:after="240"/>
    </w:pPr>
    <w:rPr>
      <w:szCs w:val="20"/>
      <w:lang w:eastAsia="en-US" w:bidi="ar-SA"/>
    </w:rPr>
  </w:style>
  <w:style w:type="paragraph" w:customStyle="1" w:styleId="Annexetitrefichefinglobale">
    <w:name w:val="Annexe titre (fiche fin. global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globale">
    <w:name w:val="Annexe titre (global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Exposdesmotifstitreglobal">
    <w:name w:val="Exposé des motifs titre (global)"/>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Langueoriginale">
    <w:name w:val="Langue originale"/>
    <w:basedOn w:val="Normal"/>
    <w:next w:val="Phrasefinale"/>
    <w:pPr>
      <w:spacing w:before="360" w:after="120" w:line="240" w:lineRule="auto"/>
      <w:jc w:val="center"/>
    </w:pPr>
    <w:rPr>
      <w:rFonts w:ascii="Times New Roman" w:eastAsia="Times New Roman" w:hAnsi="Times New Roman"/>
      <w:caps/>
      <w:sz w:val="24"/>
    </w:rPr>
  </w:style>
  <w:style w:type="paragraph" w:customStyle="1" w:styleId="Phrasefinale">
    <w:name w:val="Phrase finale"/>
    <w:basedOn w:val="Normal"/>
    <w:next w:val="Normal"/>
    <w:pPr>
      <w:spacing w:before="360" w:after="0" w:line="240" w:lineRule="auto"/>
      <w:jc w:val="center"/>
    </w:pPr>
    <w:rPr>
      <w:rFonts w:ascii="Times New Roman" w:eastAsia="Times New Roman" w:hAnsi="Times New Roman"/>
      <w:sz w:val="24"/>
    </w:rPr>
  </w:style>
  <w:style w:type="paragraph" w:customStyle="1" w:styleId="Prliminairetitre">
    <w:name w:val="Préliminaire titre"/>
    <w:basedOn w:val="Normal"/>
    <w:next w:val="Normal"/>
    <w:pPr>
      <w:spacing w:before="360" w:after="360" w:line="240" w:lineRule="auto"/>
      <w:jc w:val="center"/>
    </w:pPr>
    <w:rPr>
      <w:rFonts w:ascii="Times New Roman" w:eastAsia="Times New Roman" w:hAnsi="Times New Roman"/>
      <w:b/>
      <w:sz w:val="24"/>
    </w:rPr>
  </w:style>
  <w:style w:type="paragraph" w:customStyle="1" w:styleId="Prliminairetype">
    <w:name w:val="Préliminaire type"/>
    <w:basedOn w:val="Normal"/>
    <w:next w:val="Normal"/>
    <w:pPr>
      <w:spacing w:before="360" w:after="0" w:line="240" w:lineRule="auto"/>
      <w:jc w:val="center"/>
    </w:pPr>
    <w:rPr>
      <w:rFonts w:ascii="Times New Roman" w:eastAsia="Times New Roman" w:hAnsi="Times New Roman"/>
      <w:b/>
      <w:sz w:val="24"/>
    </w:rPr>
  </w:style>
  <w:style w:type="paragraph" w:customStyle="1" w:styleId="Rfrenceinstitutionelle">
    <w:name w:val="Référence institutionelle"/>
    <w:basedOn w:val="Normal"/>
    <w:next w:val="Statut"/>
    <w:pPr>
      <w:spacing w:after="240" w:line="240" w:lineRule="auto"/>
      <w:ind w:left="5103"/>
    </w:pPr>
    <w:rPr>
      <w:rFonts w:ascii="Times New Roman" w:eastAsia="Times New Roman" w:hAnsi="Times New Roman"/>
      <w:sz w:val="24"/>
    </w:rPr>
  </w:style>
  <w:style w:type="paragraph" w:customStyle="1" w:styleId="Rfrenceinterinstitutionelle">
    <w:name w:val="Référence interinstitutionelle"/>
    <w:basedOn w:val="Normal"/>
    <w:next w:val="Statut"/>
    <w:pPr>
      <w:spacing w:after="0" w:line="240" w:lineRule="auto"/>
      <w:ind w:left="5103"/>
    </w:pPr>
    <w:rPr>
      <w:rFonts w:ascii="Times New Roman" w:eastAsia="Times New Roman" w:hAnsi="Times New Roman"/>
      <w:sz w:val="24"/>
    </w:rPr>
  </w:style>
  <w:style w:type="paragraph" w:customStyle="1" w:styleId="Rfrenceinterinstitutionelleprliminaire">
    <w:name w:val="Référence interinstitutionelle (préliminaire)"/>
    <w:basedOn w:val="Normal"/>
    <w:next w:val="Normal"/>
    <w:pPr>
      <w:spacing w:after="0" w:line="240" w:lineRule="auto"/>
      <w:ind w:left="5103"/>
    </w:pPr>
    <w:rPr>
      <w:rFonts w:ascii="Times New Roman" w:eastAsia="Times New Roman" w:hAnsi="Times New Roman"/>
      <w:sz w:val="24"/>
    </w:rPr>
  </w:style>
  <w:style w:type="paragraph" w:customStyle="1" w:styleId="Sous-titreobjetprliminaire">
    <w:name w:val="Sous-titre objet (préliminaire)"/>
    <w:basedOn w:val="Normal"/>
    <w:pPr>
      <w:spacing w:after="0" w:line="240" w:lineRule="auto"/>
      <w:jc w:val="center"/>
    </w:pPr>
    <w:rPr>
      <w:rFonts w:ascii="Times New Roman" w:eastAsia="Times New Roman" w:hAnsi="Times New Roman"/>
      <w:b/>
      <w:sz w:val="24"/>
    </w:rPr>
  </w:style>
  <w:style w:type="paragraph" w:customStyle="1" w:styleId="Statutprliminaire">
    <w:name w:val="Statut (préliminaire)"/>
    <w:basedOn w:val="Normal"/>
    <w:next w:val="Normal"/>
    <w:pPr>
      <w:spacing w:before="360" w:after="0" w:line="240" w:lineRule="auto"/>
      <w:jc w:val="center"/>
    </w:pPr>
    <w:rPr>
      <w:rFonts w:ascii="Times New Roman" w:eastAsia="Times New Roman" w:hAnsi="Times New Roman"/>
      <w:sz w:val="24"/>
    </w:rPr>
  </w:style>
  <w:style w:type="paragraph" w:customStyle="1" w:styleId="Titreobjetprliminaire">
    <w:name w:val="Titre objet (préliminaire)"/>
    <w:basedOn w:val="Normal"/>
    <w:next w:val="Normal"/>
    <w:pPr>
      <w:spacing w:before="360" w:after="360" w:line="240" w:lineRule="auto"/>
      <w:jc w:val="center"/>
    </w:pPr>
    <w:rPr>
      <w:rFonts w:ascii="Times New Roman" w:eastAsia="Times New Roman" w:hAnsi="Times New Roman"/>
      <w:b/>
      <w:sz w:val="24"/>
    </w:rPr>
  </w:style>
  <w:style w:type="paragraph" w:customStyle="1" w:styleId="Typedudocumentprliminaire">
    <w:name w:val="Type du document (préliminaire)"/>
    <w:basedOn w:val="Normal"/>
    <w:next w:val="Normal"/>
    <w:pPr>
      <w:spacing w:before="360" w:after="0" w:line="240" w:lineRule="auto"/>
      <w:jc w:val="center"/>
    </w:pPr>
    <w:rPr>
      <w:rFonts w:ascii="Times New Roman" w:eastAsia="Times New Roman" w:hAnsi="Times New Roman"/>
      <w:b/>
      <w:sz w:val="24"/>
    </w:rPr>
  </w:style>
  <w:style w:type="paragraph" w:customStyle="1" w:styleId="Fichefinancirestandardtitre">
    <w:name w:val="Fiche financière (standard)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standardtitreacte">
    <w:name w:val="Fiche financière (standard) titre (act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travailtitre">
    <w:name w:val="Fiche financière (travail)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travailtitreacte">
    <w:name w:val="Fiche financière (travail) titre (act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attributiontitre">
    <w:name w:val="Fiche financière (attribution)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ichefinancireattributiontitreacte">
    <w:name w:val="Fiche financière (attribution) titre (acte)"/>
    <w:basedOn w:val="Normal"/>
    <w:next w:val="Normal"/>
    <w:pPr>
      <w:spacing w:before="120" w:after="120" w:line="240" w:lineRule="auto"/>
      <w:jc w:val="center"/>
    </w:pPr>
    <w:rPr>
      <w:rFonts w:ascii="Times New Roman" w:eastAsia="Times New Roman" w:hAnsi="Times New Roman"/>
      <w:b/>
      <w:sz w:val="24"/>
      <w:u w:val="single"/>
    </w:rPr>
  </w:style>
  <w:style w:type="paragraph" w:styleId="PlainText">
    <w:name w:val="Plain Text"/>
    <w:basedOn w:val="Normal"/>
    <w:link w:val="PlainTextChar"/>
    <w:pPr>
      <w:spacing w:after="0" w:line="240" w:lineRule="auto"/>
    </w:pPr>
    <w:rPr>
      <w:rFonts w:ascii="Courier New" w:eastAsia="Times New Roman" w:hAnsi="Courier New" w:cs="Courier New"/>
      <w:sz w:val="20"/>
      <w:szCs w:val="20"/>
    </w:rPr>
  </w:style>
  <w:style w:type="character" w:customStyle="1" w:styleId="PlainTextChar">
    <w:name w:val="Plain Text Char"/>
    <w:link w:val="PlainText"/>
    <w:rPr>
      <w:rFonts w:ascii="Courier New" w:eastAsia="Times New Roman" w:hAnsi="Courier New" w:cs="Courier New"/>
    </w:rPr>
  </w:style>
  <w:style w:type="paragraph" w:styleId="BodyTextIndent3">
    <w:name w:val="Body Text Indent 3"/>
    <w:basedOn w:val="Normal"/>
    <w:link w:val="BodyTextIndent3Char"/>
    <w:pPr>
      <w:spacing w:after="120" w:line="240" w:lineRule="auto"/>
      <w:ind w:left="283"/>
      <w:jc w:val="both"/>
    </w:pPr>
    <w:rPr>
      <w:rFonts w:ascii="Times New Roman" w:eastAsia="Times New Roman" w:hAnsi="Times New Roman"/>
      <w:sz w:val="16"/>
      <w:szCs w:val="20"/>
    </w:rPr>
  </w:style>
  <w:style w:type="character" w:customStyle="1" w:styleId="BodyTextIndent3Char">
    <w:name w:val="Body Text Indent 3 Char"/>
    <w:link w:val="BodyTextIndent3"/>
    <w:rPr>
      <w:rFonts w:ascii="Times New Roman" w:eastAsia="Times New Roman" w:hAnsi="Times New Roman"/>
      <w:sz w:val="16"/>
    </w:rPr>
  </w:style>
  <w:style w:type="character" w:customStyle="1" w:styleId="shorttext">
    <w:name w:val="short_text"/>
    <w:rPr>
      <w:shd w:val="clear" w:color="auto" w:fill="auto"/>
    </w:rPr>
  </w:style>
  <w:style w:type="character" w:customStyle="1" w:styleId="hps">
    <w:name w:val="hps"/>
    <w:rPr>
      <w:shd w:val="clear" w:color="auto" w:fill="auto"/>
    </w:rPr>
  </w:style>
  <w:style w:type="character" w:styleId="Hyperlink">
    <w:name w:val="Hyperlink"/>
    <w:uiPriority w:val="99"/>
    <w:rPr>
      <w:color w:val="0000FF"/>
      <w:u w:val="single"/>
      <w:shd w:val="clear" w:color="auto" w:fill="auto"/>
    </w:rPr>
  </w:style>
  <w:style w:type="paragraph" w:styleId="Caption">
    <w:name w:val="caption"/>
    <w:basedOn w:val="Normal"/>
    <w:next w:val="Normal"/>
    <w:qFormat/>
    <w:pPr>
      <w:spacing w:before="120" w:after="120" w:line="240" w:lineRule="auto"/>
      <w:jc w:val="both"/>
    </w:pPr>
    <w:rPr>
      <w:rFonts w:ascii="Times New Roman" w:eastAsia="Times New Roman" w:hAnsi="Times New Roman"/>
      <w:b/>
      <w:bCs/>
      <w:sz w:val="20"/>
      <w:szCs w:val="20"/>
    </w:rPr>
  </w:style>
  <w:style w:type="paragraph" w:styleId="TableofFigures">
    <w:name w:val="table of figures"/>
    <w:basedOn w:val="Normal"/>
    <w:next w:val="Normal"/>
    <w:semiHidden/>
    <w:pPr>
      <w:spacing w:before="120" w:after="120" w:line="240" w:lineRule="auto"/>
      <w:jc w:val="both"/>
    </w:pPr>
    <w:rPr>
      <w:rFonts w:ascii="Times New Roman" w:eastAsia="Times New Roman" w:hAnsi="Times New Roman"/>
      <w:sz w:val="24"/>
    </w:rPr>
  </w:style>
  <w:style w:type="paragraph" w:styleId="CommentText">
    <w:name w:val="annotation text"/>
    <w:basedOn w:val="Normal"/>
    <w:link w:val="CommentTextChar"/>
    <w:semiHidden/>
    <w:pPr>
      <w:spacing w:before="120" w:after="120" w:line="240" w:lineRule="auto"/>
      <w:jc w:val="both"/>
    </w:pPr>
    <w:rPr>
      <w:rFonts w:ascii="Times New Roman" w:eastAsia="Times New Roman" w:hAnsi="Times New Roman"/>
      <w:sz w:val="20"/>
      <w:szCs w:val="20"/>
    </w:rPr>
  </w:style>
  <w:style w:type="character" w:customStyle="1" w:styleId="CommentTextChar">
    <w:name w:val="Comment Text Char"/>
    <w:link w:val="CommentText"/>
    <w:semiHidden/>
    <w:rPr>
      <w:rFonts w:ascii="Times New Roman" w:eastAsia="Times New Roman" w:hAnsi="Times New Roman"/>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Times New Roman" w:eastAsia="Times New Roman" w:hAnsi="Times New Roman"/>
      <w:b/>
      <w:bCs/>
    </w:rPr>
  </w:style>
  <w:style w:type="paragraph" w:styleId="BalloonText">
    <w:name w:val="Balloon Text"/>
    <w:basedOn w:val="Normal"/>
    <w:link w:val="BalloonTextChar"/>
    <w:semiHidden/>
    <w:pPr>
      <w:spacing w:before="120" w:after="120" w:line="240" w:lineRule="auto"/>
      <w:jc w:val="both"/>
    </w:pPr>
    <w:rPr>
      <w:rFonts w:ascii="Tahoma" w:eastAsia="Times New Roman" w:hAnsi="Tahoma" w:cs="Tahoma"/>
      <w:sz w:val="16"/>
      <w:szCs w:val="16"/>
    </w:rPr>
  </w:style>
  <w:style w:type="character" w:customStyle="1" w:styleId="BalloonTextChar">
    <w:name w:val="Balloon Text Char"/>
    <w:link w:val="BalloonText"/>
    <w:semiHidden/>
    <w:rPr>
      <w:rFonts w:ascii="Tahoma" w:eastAsia="Times New Roman" w:hAnsi="Tahoma" w:cs="Tahoma"/>
      <w:sz w:val="16"/>
      <w:szCs w:val="16"/>
    </w:rPr>
  </w:style>
  <w:style w:type="character" w:styleId="CommentReference">
    <w:name w:val="annotation reference"/>
    <w:semiHidden/>
    <w:rPr>
      <w:sz w:val="16"/>
      <w:szCs w:val="16"/>
      <w:shd w:val="clear" w:color="auto" w:fill="auto"/>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eastAsia="Times New Roman" w:hAnsi="Times New Roman"/>
      <w:sz w:val="24"/>
    </w:rPr>
  </w:style>
  <w:style w:type="character" w:customStyle="1" w:styleId="HeaderChar">
    <w:name w:val="Header Char"/>
    <w:link w:val="Header"/>
    <w:uiPriority w:val="99"/>
    <w:rPr>
      <w:rFonts w:ascii="Times New Roman" w:eastAsia="Times New Roman" w:hAnsi="Times New Roman"/>
      <w:sz w:val="24"/>
      <w:szCs w:val="22"/>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eastAsia="Times New Roman" w:hAnsi="Times New Roman"/>
      <w:sz w:val="24"/>
    </w:rPr>
  </w:style>
  <w:style w:type="character" w:customStyle="1" w:styleId="FooterChar">
    <w:name w:val="Footer Char"/>
    <w:link w:val="Footer"/>
    <w:uiPriority w:val="99"/>
    <w:rPr>
      <w:rFonts w:ascii="Times New Roman" w:eastAsia="Times New Roman" w:hAnsi="Times New Roman"/>
      <w:sz w:val="24"/>
      <w:szCs w:val="22"/>
    </w:rPr>
  </w:style>
  <w:style w:type="paragraph" w:styleId="FootnoteText">
    <w:name w:val="footnote text"/>
    <w:basedOn w:val="Normal"/>
    <w:link w:val="FootnoteTextChar"/>
    <w:unhideWhenUsed/>
    <w:pPr>
      <w:spacing w:after="0" w:line="240" w:lineRule="auto"/>
      <w:ind w:left="720" w:hanging="720"/>
      <w:jc w:val="both"/>
    </w:pPr>
    <w:rPr>
      <w:rFonts w:ascii="Times New Roman" w:eastAsia="Times New Roman" w:hAnsi="Times New Roman"/>
      <w:sz w:val="20"/>
      <w:szCs w:val="20"/>
    </w:rPr>
  </w:style>
  <w:style w:type="character" w:customStyle="1" w:styleId="FootnoteTextChar">
    <w:name w:val="Footnote Text Char"/>
    <w:link w:val="FootnoteText"/>
    <w:rPr>
      <w:rFonts w:ascii="Times New Roman" w:eastAsia="Times New Roman" w:hAnsi="Times New Roman"/>
    </w:rPr>
  </w:style>
  <w:style w:type="paragraph" w:styleId="TOCHeading">
    <w:name w:val="TOC Heading"/>
    <w:basedOn w:val="Normal"/>
    <w:next w:val="Normal"/>
    <w:qFormat/>
    <w:pPr>
      <w:keepNext/>
      <w:spacing w:before="240" w:after="240" w:line="240" w:lineRule="auto"/>
      <w:jc w:val="center"/>
    </w:pPr>
    <w:rPr>
      <w:rFonts w:ascii="Times New Roman" w:eastAsia="Times New Roman" w:hAnsi="Times New Roman"/>
      <w:b/>
      <w:sz w:val="24"/>
      <w:szCs w:val="20"/>
      <w:lang w:eastAsia="en-US" w:bidi="ar-SA"/>
    </w:rPr>
  </w:style>
  <w:style w:type="paragraph" w:styleId="TOC1">
    <w:name w:val="toc 1"/>
    <w:basedOn w:val="Normal"/>
    <w:next w:val="Normal"/>
    <w:uiPriority w:val="39"/>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2">
    <w:name w:val="toc 2"/>
    <w:basedOn w:val="Normal"/>
    <w:next w:val="Normal"/>
    <w:uiPriority w:val="39"/>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3">
    <w:name w:val="toc 3"/>
    <w:basedOn w:val="Normal"/>
    <w:next w:val="Normal"/>
    <w:uiPriority w:val="39"/>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4">
    <w:name w:val="toc 4"/>
    <w:basedOn w:val="Normal"/>
    <w:next w:val="Normal"/>
    <w:uiPriority w:val="39"/>
    <w:semiHidden/>
    <w:unhideWhenUsed/>
    <w:pPr>
      <w:tabs>
        <w:tab w:val="right" w:leader="dot" w:pos="9071"/>
      </w:tabs>
      <w:spacing w:before="60" w:after="120" w:line="240" w:lineRule="auto"/>
      <w:ind w:left="850" w:hanging="850"/>
    </w:pPr>
    <w:rPr>
      <w:rFonts w:ascii="Times New Roman" w:eastAsia="Times New Roman" w:hAnsi="Times New Roman"/>
      <w:sz w:val="24"/>
    </w:rPr>
  </w:style>
  <w:style w:type="paragraph" w:styleId="TOC5">
    <w:name w:val="toc 5"/>
    <w:basedOn w:val="Normal"/>
    <w:next w:val="Normal"/>
    <w:semiHidden/>
    <w:pPr>
      <w:tabs>
        <w:tab w:val="right" w:leader="dot" w:pos="8641"/>
      </w:tabs>
      <w:spacing w:before="240" w:after="120" w:line="240" w:lineRule="auto"/>
      <w:ind w:right="720"/>
      <w:jc w:val="both"/>
    </w:pPr>
    <w:rPr>
      <w:rFonts w:ascii="Times New Roman" w:eastAsia="Times New Roman" w:hAnsi="Times New Roman"/>
      <w:caps/>
      <w:sz w:val="24"/>
      <w:szCs w:val="20"/>
      <w:lang w:eastAsia="en-US" w:bidi="ar-SA"/>
    </w:rPr>
  </w:style>
  <w:style w:type="paragraph" w:styleId="TOC6">
    <w:name w:val="toc 6"/>
    <w:basedOn w:val="Normal"/>
    <w:next w:val="Normal"/>
    <w:uiPriority w:val="39"/>
    <w:semiHidden/>
    <w:unhideWhenUsed/>
    <w:pPr>
      <w:tabs>
        <w:tab w:val="right" w:leader="dot" w:pos="9071"/>
      </w:tabs>
      <w:spacing w:before="240" w:after="120" w:line="240" w:lineRule="auto"/>
    </w:pPr>
    <w:rPr>
      <w:rFonts w:ascii="Times New Roman" w:eastAsia="Times New Roman" w:hAnsi="Times New Roman"/>
      <w:sz w:val="24"/>
    </w:rPr>
  </w:style>
  <w:style w:type="paragraph" w:styleId="TOC7">
    <w:name w:val="toc 7"/>
    <w:basedOn w:val="Normal"/>
    <w:next w:val="Normal"/>
    <w:uiPriority w:val="39"/>
    <w:semiHidden/>
    <w:unhideWhenUsed/>
    <w:pPr>
      <w:tabs>
        <w:tab w:val="right" w:leader="dot" w:pos="9071"/>
      </w:tabs>
      <w:spacing w:before="180" w:after="120" w:line="240" w:lineRule="auto"/>
    </w:pPr>
    <w:rPr>
      <w:rFonts w:ascii="Times New Roman" w:eastAsia="Times New Roman" w:hAnsi="Times New Roman"/>
      <w:sz w:val="24"/>
    </w:rPr>
  </w:style>
  <w:style w:type="paragraph" w:styleId="TOC8">
    <w:name w:val="toc 8"/>
    <w:basedOn w:val="Normal"/>
    <w:next w:val="Normal"/>
    <w:uiPriority w:val="39"/>
    <w:semiHidden/>
    <w:unhideWhenUsed/>
    <w:pPr>
      <w:tabs>
        <w:tab w:val="right" w:leader="dot" w:pos="9071"/>
      </w:tabs>
      <w:spacing w:before="120" w:after="120" w:line="240" w:lineRule="auto"/>
    </w:pPr>
    <w:rPr>
      <w:rFonts w:ascii="Times New Roman" w:eastAsia="Times New Roman" w:hAnsi="Times New Roman"/>
      <w:sz w:val="24"/>
    </w:rPr>
  </w:style>
  <w:style w:type="paragraph" w:styleId="TOC9">
    <w:name w:val="toc 9"/>
    <w:basedOn w:val="Normal"/>
    <w:next w:val="Normal"/>
    <w:uiPriority w:val="39"/>
    <w:semiHidden/>
    <w:unhideWhenUsed/>
    <w:pPr>
      <w:tabs>
        <w:tab w:val="right" w:leader="dot" w:pos="9071"/>
      </w:tabs>
      <w:spacing w:before="120" w:after="120" w:line="240" w:lineRule="auto"/>
      <w:jc w:val="both"/>
    </w:pPr>
    <w:rPr>
      <w:rFonts w:ascii="Times New Roman" w:eastAsia="Times New Roman" w:hAnsi="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eastAsia="Times New Roman" w:hAnsi="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eastAsia="Times New Roman" w:hAnsi="Times New Roman"/>
      <w:sz w:val="24"/>
    </w:rPr>
  </w:style>
  <w:style w:type="character" w:styleId="FootnoteReference">
    <w:name w:val="footnote reference"/>
    <w:uiPriority w:val="99"/>
    <w:semiHidden/>
    <w:unhideWhenUsed/>
    <w:rPr>
      <w:shd w:val="clear" w:color="auto" w:fill="auto"/>
      <w:vertAlign w:val="superscript"/>
    </w:rPr>
  </w:style>
  <w:style w:type="paragraph" w:customStyle="1" w:styleId="Text1">
    <w:name w:val="Text 1"/>
    <w:basedOn w:val="Normal"/>
    <w:link w:val="Text1Char"/>
    <w:pPr>
      <w:spacing w:before="120" w:after="120" w:line="240" w:lineRule="auto"/>
      <w:ind w:left="850"/>
      <w:jc w:val="both"/>
    </w:pPr>
    <w:rPr>
      <w:rFonts w:ascii="Times New Roman" w:eastAsia="Times New Roman" w:hAnsi="Times New Roman"/>
      <w:sz w:val="24"/>
    </w:rPr>
  </w:style>
  <w:style w:type="paragraph" w:customStyle="1" w:styleId="Text2">
    <w:name w:val="Text 2"/>
    <w:basedOn w:val="Normal"/>
    <w:pPr>
      <w:spacing w:before="120" w:after="120" w:line="240" w:lineRule="auto"/>
      <w:ind w:left="1417"/>
      <w:jc w:val="both"/>
    </w:pPr>
    <w:rPr>
      <w:rFonts w:ascii="Times New Roman" w:eastAsia="Times New Roman" w:hAnsi="Times New Roman"/>
      <w:sz w:val="24"/>
    </w:rPr>
  </w:style>
  <w:style w:type="paragraph" w:customStyle="1" w:styleId="Text3">
    <w:name w:val="Text 3"/>
    <w:basedOn w:val="Normal"/>
    <w:pPr>
      <w:spacing w:before="120" w:after="120" w:line="240" w:lineRule="auto"/>
      <w:ind w:left="1984"/>
      <w:jc w:val="both"/>
    </w:pPr>
    <w:rPr>
      <w:rFonts w:ascii="Times New Roman" w:eastAsia="Times New Roman" w:hAnsi="Times New Roman"/>
      <w:sz w:val="24"/>
    </w:rPr>
  </w:style>
  <w:style w:type="paragraph" w:customStyle="1" w:styleId="Text4">
    <w:name w:val="Text 4"/>
    <w:basedOn w:val="Normal"/>
    <w:pPr>
      <w:spacing w:before="120" w:after="120" w:line="240" w:lineRule="auto"/>
      <w:ind w:left="2551"/>
      <w:jc w:val="both"/>
    </w:pPr>
    <w:rPr>
      <w:rFonts w:ascii="Times New Roman" w:eastAsia="Times New Roman" w:hAnsi="Times New Roman"/>
      <w:sz w:val="24"/>
    </w:rPr>
  </w:style>
  <w:style w:type="paragraph" w:customStyle="1" w:styleId="NormalCentered">
    <w:name w:val="Normal Centered"/>
    <w:basedOn w:val="Normal"/>
    <w:pPr>
      <w:spacing w:before="120" w:after="120" w:line="240" w:lineRule="auto"/>
      <w:jc w:val="center"/>
    </w:pPr>
    <w:rPr>
      <w:rFonts w:ascii="Times New Roman" w:eastAsia="Times New Roman" w:hAnsi="Times New Roman"/>
      <w:sz w:val="24"/>
    </w:rPr>
  </w:style>
  <w:style w:type="paragraph" w:customStyle="1" w:styleId="NormalLeft">
    <w:name w:val="Normal Left"/>
    <w:basedOn w:val="Normal"/>
    <w:pPr>
      <w:spacing w:before="120" w:after="120" w:line="240" w:lineRule="auto"/>
    </w:pPr>
    <w:rPr>
      <w:rFonts w:ascii="Times New Roman" w:eastAsia="Times New Roman" w:hAnsi="Times New Roman"/>
      <w:sz w:val="24"/>
    </w:rPr>
  </w:style>
  <w:style w:type="paragraph" w:customStyle="1" w:styleId="NormalRight">
    <w:name w:val="Normal Right"/>
    <w:basedOn w:val="Normal"/>
    <w:pPr>
      <w:spacing w:before="120" w:after="120" w:line="240" w:lineRule="auto"/>
      <w:jc w:val="right"/>
    </w:pPr>
    <w:rPr>
      <w:rFonts w:ascii="Times New Roman" w:eastAsia="Times New Roman" w:hAnsi="Times New Roman"/>
      <w:sz w:val="24"/>
    </w:rPr>
  </w:style>
  <w:style w:type="paragraph" w:customStyle="1" w:styleId="QuotedText">
    <w:name w:val="Quoted Text"/>
    <w:basedOn w:val="Normal"/>
    <w:pPr>
      <w:spacing w:before="120" w:after="120" w:line="240" w:lineRule="auto"/>
      <w:ind w:left="1417"/>
      <w:jc w:val="both"/>
    </w:pPr>
    <w:rPr>
      <w:rFonts w:ascii="Times New Roman" w:eastAsia="Times New Roman" w:hAnsi="Times New Roman"/>
      <w:sz w:val="24"/>
    </w:rPr>
  </w:style>
  <w:style w:type="paragraph" w:customStyle="1" w:styleId="Point0">
    <w:name w:val="Point 0"/>
    <w:basedOn w:val="Normal"/>
    <w:pPr>
      <w:spacing w:before="120" w:after="120" w:line="240" w:lineRule="auto"/>
      <w:ind w:left="850" w:hanging="850"/>
      <w:jc w:val="both"/>
    </w:pPr>
    <w:rPr>
      <w:rFonts w:ascii="Times New Roman" w:eastAsia="Times New Roman" w:hAnsi="Times New Roman"/>
      <w:sz w:val="24"/>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sz w:val="24"/>
    </w:rPr>
  </w:style>
  <w:style w:type="paragraph" w:customStyle="1" w:styleId="Point2">
    <w:name w:val="Point 2"/>
    <w:basedOn w:val="Normal"/>
    <w:pPr>
      <w:spacing w:before="120" w:after="120" w:line="240" w:lineRule="auto"/>
      <w:ind w:left="1984" w:hanging="567"/>
      <w:jc w:val="both"/>
    </w:pPr>
    <w:rPr>
      <w:rFonts w:ascii="Times New Roman" w:eastAsia="Times New Roman" w:hAnsi="Times New Roman"/>
      <w:sz w:val="24"/>
    </w:rPr>
  </w:style>
  <w:style w:type="paragraph" w:customStyle="1" w:styleId="Point3">
    <w:name w:val="Point 3"/>
    <w:basedOn w:val="Normal"/>
    <w:pPr>
      <w:spacing w:before="120" w:after="120" w:line="240" w:lineRule="auto"/>
      <w:ind w:left="2551" w:hanging="567"/>
      <w:jc w:val="both"/>
    </w:pPr>
    <w:rPr>
      <w:rFonts w:ascii="Times New Roman" w:eastAsia="Times New Roman" w:hAnsi="Times New Roman"/>
      <w:sz w:val="24"/>
    </w:rPr>
  </w:style>
  <w:style w:type="paragraph" w:customStyle="1" w:styleId="Point4">
    <w:name w:val="Point 4"/>
    <w:basedOn w:val="Normal"/>
    <w:pPr>
      <w:spacing w:before="120" w:after="120" w:line="240" w:lineRule="auto"/>
      <w:ind w:left="3118" w:hanging="567"/>
      <w:jc w:val="both"/>
    </w:pPr>
    <w:rPr>
      <w:rFonts w:ascii="Times New Roman" w:eastAsia="Times New Roman" w:hAnsi="Times New Roman"/>
      <w:sz w:val="24"/>
    </w:rPr>
  </w:style>
  <w:style w:type="paragraph" w:customStyle="1" w:styleId="Tiret0">
    <w:name w:val="Tiret 0"/>
    <w:basedOn w:val="Point0"/>
    <w:pPr>
      <w:numPr>
        <w:numId w:val="2"/>
      </w:numPr>
    </w:pPr>
  </w:style>
  <w:style w:type="paragraph" w:customStyle="1" w:styleId="Tiret1">
    <w:name w:val="Tiret 1"/>
    <w:basedOn w:val="Point1"/>
    <w:pPr>
      <w:numPr>
        <w:numId w:val="1"/>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spacing w:before="120" w:after="120" w:line="240" w:lineRule="auto"/>
      <w:ind w:left="1417" w:hanging="1417"/>
      <w:jc w:val="both"/>
    </w:pPr>
    <w:rPr>
      <w:rFonts w:ascii="Times New Roman" w:eastAsia="Times New Roman" w:hAnsi="Times New Roman"/>
      <w:sz w:val="24"/>
    </w:rPr>
  </w:style>
  <w:style w:type="paragraph" w:customStyle="1" w:styleId="PointDouble1">
    <w:name w:val="PointDouble 1"/>
    <w:basedOn w:val="Normal"/>
    <w:pPr>
      <w:tabs>
        <w:tab w:val="left" w:pos="1417"/>
      </w:tabs>
      <w:spacing w:before="120" w:after="120" w:line="240" w:lineRule="auto"/>
      <w:ind w:left="1984" w:hanging="1134"/>
      <w:jc w:val="both"/>
    </w:pPr>
    <w:rPr>
      <w:rFonts w:ascii="Times New Roman" w:eastAsia="Times New Roman" w:hAnsi="Times New Roman"/>
      <w:sz w:val="24"/>
    </w:rPr>
  </w:style>
  <w:style w:type="paragraph" w:customStyle="1" w:styleId="PointDouble2">
    <w:name w:val="PointDouble 2"/>
    <w:basedOn w:val="Normal"/>
    <w:pPr>
      <w:tabs>
        <w:tab w:val="left" w:pos="1984"/>
      </w:tabs>
      <w:spacing w:before="120" w:after="120" w:line="240" w:lineRule="auto"/>
      <w:ind w:left="2551" w:hanging="1134"/>
      <w:jc w:val="both"/>
    </w:pPr>
    <w:rPr>
      <w:rFonts w:ascii="Times New Roman" w:eastAsia="Times New Roman" w:hAnsi="Times New Roman"/>
      <w:sz w:val="24"/>
    </w:rPr>
  </w:style>
  <w:style w:type="paragraph" w:customStyle="1" w:styleId="PointDouble3">
    <w:name w:val="PointDouble 3"/>
    <w:basedOn w:val="Normal"/>
    <w:pPr>
      <w:tabs>
        <w:tab w:val="left" w:pos="2551"/>
      </w:tabs>
      <w:spacing w:before="120" w:after="120" w:line="240" w:lineRule="auto"/>
      <w:ind w:left="3118" w:hanging="1134"/>
      <w:jc w:val="both"/>
    </w:pPr>
    <w:rPr>
      <w:rFonts w:ascii="Times New Roman" w:eastAsia="Times New Roman" w:hAnsi="Times New Roman"/>
      <w:sz w:val="24"/>
    </w:rPr>
  </w:style>
  <w:style w:type="paragraph" w:customStyle="1" w:styleId="PointDouble4">
    <w:name w:val="PointDouble 4"/>
    <w:basedOn w:val="Normal"/>
    <w:pPr>
      <w:tabs>
        <w:tab w:val="left" w:pos="3118"/>
      </w:tabs>
      <w:spacing w:before="120" w:after="120" w:line="240" w:lineRule="auto"/>
      <w:ind w:left="3685" w:hanging="1134"/>
      <w:jc w:val="both"/>
    </w:pPr>
    <w:rPr>
      <w:rFonts w:ascii="Times New Roman" w:eastAsia="Times New Roman" w:hAnsi="Times New Roman"/>
      <w:sz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ascii="Times New Roman" w:eastAsia="Times New Roman" w:hAnsi="Times New Roman"/>
      <w:sz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ascii="Times New Roman" w:eastAsia="Times New Roman" w:hAnsi="Times New Roman"/>
      <w:sz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ascii="Times New Roman" w:eastAsia="Times New Roman" w:hAnsi="Times New Roman"/>
      <w:sz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ascii="Times New Roman" w:eastAsia="Times New Roman" w:hAnsi="Times New Roman"/>
      <w:sz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ascii="Times New Roman" w:eastAsia="Times New Roman" w:hAnsi="Times New Roman"/>
      <w:sz w:val="24"/>
    </w:rPr>
  </w:style>
  <w:style w:type="paragraph" w:customStyle="1" w:styleId="NumPar1">
    <w:name w:val="NumPar 1"/>
    <w:basedOn w:val="Normal"/>
    <w:next w:val="Text1"/>
    <w:pPr>
      <w:numPr>
        <w:numId w:val="6"/>
      </w:numPr>
      <w:spacing w:before="120" w:after="120" w:line="240" w:lineRule="auto"/>
      <w:jc w:val="both"/>
    </w:pPr>
    <w:rPr>
      <w:rFonts w:ascii="Times New Roman" w:eastAsia="Times New Roman" w:hAnsi="Times New Roman"/>
      <w:sz w:val="24"/>
    </w:rPr>
  </w:style>
  <w:style w:type="paragraph" w:customStyle="1" w:styleId="NumPar2">
    <w:name w:val="NumPar 2"/>
    <w:basedOn w:val="Normal"/>
    <w:next w:val="Text1"/>
    <w:pPr>
      <w:numPr>
        <w:ilvl w:val="1"/>
        <w:numId w:val="6"/>
      </w:numPr>
      <w:spacing w:before="120" w:after="120" w:line="240" w:lineRule="auto"/>
      <w:jc w:val="both"/>
    </w:pPr>
    <w:rPr>
      <w:rFonts w:ascii="Times New Roman" w:eastAsia="Times New Roman" w:hAnsi="Times New Roman"/>
      <w:sz w:val="24"/>
    </w:rPr>
  </w:style>
  <w:style w:type="paragraph" w:customStyle="1" w:styleId="NumPar3">
    <w:name w:val="NumPar 3"/>
    <w:basedOn w:val="Normal"/>
    <w:next w:val="Text1"/>
    <w:pPr>
      <w:numPr>
        <w:ilvl w:val="2"/>
        <w:numId w:val="6"/>
      </w:numPr>
      <w:spacing w:before="120" w:after="120" w:line="240" w:lineRule="auto"/>
      <w:jc w:val="both"/>
    </w:pPr>
    <w:rPr>
      <w:rFonts w:ascii="Times New Roman" w:eastAsia="Times New Roman" w:hAnsi="Times New Roman"/>
      <w:sz w:val="24"/>
    </w:rPr>
  </w:style>
  <w:style w:type="paragraph" w:customStyle="1" w:styleId="NumPar4">
    <w:name w:val="NumPar 4"/>
    <w:basedOn w:val="Normal"/>
    <w:next w:val="Text1"/>
    <w:pPr>
      <w:numPr>
        <w:ilvl w:val="3"/>
        <w:numId w:val="6"/>
      </w:numPr>
      <w:spacing w:before="120" w:after="120" w:line="240" w:lineRule="auto"/>
      <w:jc w:val="both"/>
    </w:pPr>
    <w:rPr>
      <w:rFonts w:ascii="Times New Roman" w:eastAsia="Times New Roman" w:hAnsi="Times New Roman"/>
      <w:sz w:val="24"/>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ManualNumPar2">
    <w:name w:val="Manual NumPar 2"/>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ManualNumPar3">
    <w:name w:val="Manual NumPar 3"/>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ManualNumPar4">
    <w:name w:val="Manual NumPar 4"/>
    <w:basedOn w:val="Normal"/>
    <w:next w:val="Text1"/>
    <w:pPr>
      <w:spacing w:before="120" w:after="120" w:line="240" w:lineRule="auto"/>
      <w:ind w:left="850" w:hanging="850"/>
      <w:jc w:val="both"/>
    </w:pPr>
    <w:rPr>
      <w:rFonts w:ascii="Times New Roman" w:eastAsia="Times New Roman" w:hAnsi="Times New Roman"/>
      <w:sz w:val="24"/>
    </w:rPr>
  </w:style>
  <w:style w:type="paragraph" w:customStyle="1" w:styleId="QuotedNumPar">
    <w:name w:val="Quoted NumPar"/>
    <w:basedOn w:val="Normal"/>
    <w:pPr>
      <w:spacing w:before="120" w:after="120" w:line="240" w:lineRule="auto"/>
      <w:ind w:left="1417" w:hanging="567"/>
      <w:jc w:val="both"/>
    </w:pPr>
    <w:rPr>
      <w:rFonts w:ascii="Times New Roman" w:eastAsia="Times New Roman" w:hAnsi="Times New Roman"/>
      <w:sz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ascii="Times New Roman" w:eastAsia="Times New Roman" w:hAnsi="Times New Roman"/>
      <w:b/>
      <w:smallCaps/>
      <w:sz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ascii="Times New Roman" w:eastAsia="Times New Roman" w:hAnsi="Times New Roman"/>
      <w:b/>
      <w:sz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i/>
      <w:sz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ascii="Times New Roman" w:eastAsia="Times New Roman" w:hAnsi="Times New Roman"/>
      <w:sz w:val="24"/>
    </w:rPr>
  </w:style>
  <w:style w:type="paragraph" w:customStyle="1" w:styleId="ChapterTitle">
    <w:name w:val="ChapterTitle"/>
    <w:basedOn w:val="Normal"/>
    <w:next w:val="Normal"/>
    <w:pPr>
      <w:keepNext/>
      <w:spacing w:before="120" w:after="360" w:line="240" w:lineRule="auto"/>
      <w:jc w:val="center"/>
    </w:pPr>
    <w:rPr>
      <w:rFonts w:ascii="Times New Roman" w:eastAsia="Times New Roman" w:hAnsi="Times New Roman"/>
      <w:b/>
      <w:sz w:val="32"/>
    </w:rPr>
  </w:style>
  <w:style w:type="paragraph" w:customStyle="1" w:styleId="PartTitle">
    <w:name w:val="PartTitle"/>
    <w:basedOn w:val="Normal"/>
    <w:next w:val="ChapterTitle"/>
    <w:pPr>
      <w:keepNext/>
      <w:pageBreakBefore/>
      <w:spacing w:before="120" w:after="360" w:line="240" w:lineRule="auto"/>
      <w:jc w:val="center"/>
    </w:pPr>
    <w:rPr>
      <w:rFonts w:ascii="Times New Roman" w:eastAsia="Times New Roman" w:hAnsi="Times New Roman"/>
      <w:b/>
      <w:sz w:val="36"/>
    </w:rPr>
  </w:style>
  <w:style w:type="paragraph" w:customStyle="1" w:styleId="SectionTitle">
    <w:name w:val="SectionTitle"/>
    <w:basedOn w:val="Normal"/>
    <w:next w:val="Heading1"/>
    <w:pPr>
      <w:keepNext/>
      <w:spacing w:before="120" w:after="360" w:line="240" w:lineRule="auto"/>
      <w:jc w:val="center"/>
    </w:pPr>
    <w:rPr>
      <w:rFonts w:ascii="Times New Roman" w:eastAsia="Times New Roman" w:hAnsi="Times New Roman"/>
      <w:b/>
      <w:smallCaps/>
      <w:sz w:val="28"/>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b/>
      <w:sz w:val="24"/>
    </w:rPr>
  </w:style>
  <w:style w:type="character" w:customStyle="1" w:styleId="Marker">
    <w:name w:val="Marker"/>
    <w:rPr>
      <w:color w:val="0000FF"/>
      <w:shd w:val="clear" w:color="auto" w:fill="auto"/>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customStyle="1" w:styleId="Point0number">
    <w:name w:val="Point 0 (number)"/>
    <w:basedOn w:val="Normal"/>
    <w:pPr>
      <w:numPr>
        <w:numId w:val="8"/>
      </w:numPr>
      <w:spacing w:before="120" w:after="120" w:line="240" w:lineRule="auto"/>
      <w:jc w:val="both"/>
    </w:pPr>
    <w:rPr>
      <w:rFonts w:ascii="Times New Roman" w:eastAsia="Times New Roman" w:hAnsi="Times New Roman"/>
      <w:sz w:val="24"/>
    </w:rPr>
  </w:style>
  <w:style w:type="paragraph" w:customStyle="1" w:styleId="Point1number">
    <w:name w:val="Point 1 (number)"/>
    <w:basedOn w:val="Normal"/>
    <w:pPr>
      <w:numPr>
        <w:ilvl w:val="2"/>
        <w:numId w:val="8"/>
      </w:numPr>
      <w:spacing w:before="120" w:after="120" w:line="240" w:lineRule="auto"/>
      <w:jc w:val="both"/>
    </w:pPr>
    <w:rPr>
      <w:rFonts w:ascii="Times New Roman" w:eastAsia="Times New Roman" w:hAnsi="Times New Roman"/>
      <w:sz w:val="24"/>
    </w:rPr>
  </w:style>
  <w:style w:type="paragraph" w:customStyle="1" w:styleId="Point2number">
    <w:name w:val="Point 2 (number)"/>
    <w:basedOn w:val="Normal"/>
    <w:pPr>
      <w:numPr>
        <w:ilvl w:val="4"/>
        <w:numId w:val="8"/>
      </w:numPr>
      <w:spacing w:before="120" w:after="120" w:line="240" w:lineRule="auto"/>
      <w:jc w:val="both"/>
    </w:pPr>
    <w:rPr>
      <w:rFonts w:ascii="Times New Roman" w:eastAsia="Times New Roman" w:hAnsi="Times New Roman"/>
      <w:sz w:val="24"/>
    </w:rPr>
  </w:style>
  <w:style w:type="paragraph" w:customStyle="1" w:styleId="Point3number">
    <w:name w:val="Point 3 (number)"/>
    <w:basedOn w:val="Normal"/>
    <w:pPr>
      <w:numPr>
        <w:ilvl w:val="6"/>
        <w:numId w:val="8"/>
      </w:numPr>
      <w:spacing w:before="120" w:after="120" w:line="240" w:lineRule="auto"/>
      <w:jc w:val="both"/>
    </w:pPr>
    <w:rPr>
      <w:rFonts w:ascii="Times New Roman" w:eastAsia="Times New Roman" w:hAnsi="Times New Roman"/>
      <w:sz w:val="24"/>
    </w:rPr>
  </w:style>
  <w:style w:type="paragraph" w:customStyle="1" w:styleId="Point0letter">
    <w:name w:val="Point 0 (letter)"/>
    <w:basedOn w:val="Normal"/>
    <w:pPr>
      <w:numPr>
        <w:ilvl w:val="1"/>
        <w:numId w:val="8"/>
      </w:numPr>
      <w:spacing w:before="120" w:after="120" w:line="240" w:lineRule="auto"/>
      <w:jc w:val="both"/>
    </w:pPr>
    <w:rPr>
      <w:rFonts w:ascii="Times New Roman" w:eastAsia="Times New Roman" w:hAnsi="Times New Roman"/>
      <w:sz w:val="24"/>
    </w:rPr>
  </w:style>
  <w:style w:type="paragraph" w:customStyle="1" w:styleId="Point1letter">
    <w:name w:val="Point 1 (letter)"/>
    <w:basedOn w:val="Normal"/>
    <w:pPr>
      <w:numPr>
        <w:ilvl w:val="3"/>
        <w:numId w:val="8"/>
      </w:numPr>
      <w:spacing w:before="120" w:after="120" w:line="240" w:lineRule="auto"/>
      <w:jc w:val="both"/>
    </w:pPr>
    <w:rPr>
      <w:rFonts w:ascii="Times New Roman" w:eastAsia="Times New Roman" w:hAnsi="Times New Roman"/>
      <w:sz w:val="24"/>
    </w:rPr>
  </w:style>
  <w:style w:type="paragraph" w:customStyle="1" w:styleId="Point2letter">
    <w:name w:val="Point 2 (letter)"/>
    <w:basedOn w:val="Normal"/>
    <w:pPr>
      <w:numPr>
        <w:ilvl w:val="5"/>
        <w:numId w:val="8"/>
      </w:numPr>
      <w:spacing w:before="120" w:after="120" w:line="240" w:lineRule="auto"/>
      <w:jc w:val="both"/>
    </w:pPr>
    <w:rPr>
      <w:rFonts w:ascii="Times New Roman" w:eastAsia="Times New Roman" w:hAnsi="Times New Roman"/>
      <w:sz w:val="24"/>
    </w:rPr>
  </w:style>
  <w:style w:type="paragraph" w:customStyle="1" w:styleId="Point3letter">
    <w:name w:val="Point 3 (letter)"/>
    <w:basedOn w:val="Normal"/>
    <w:pPr>
      <w:numPr>
        <w:ilvl w:val="7"/>
        <w:numId w:val="8"/>
      </w:numPr>
      <w:spacing w:before="120" w:after="120" w:line="240" w:lineRule="auto"/>
      <w:jc w:val="both"/>
    </w:pPr>
    <w:rPr>
      <w:rFonts w:ascii="Times New Roman" w:eastAsia="Times New Roman" w:hAnsi="Times New Roman"/>
      <w:sz w:val="24"/>
    </w:rPr>
  </w:style>
  <w:style w:type="paragraph" w:customStyle="1" w:styleId="Point4letter">
    <w:name w:val="Point 4 (letter)"/>
    <w:basedOn w:val="Normal"/>
    <w:pPr>
      <w:numPr>
        <w:ilvl w:val="8"/>
        <w:numId w:val="8"/>
      </w:numPr>
      <w:spacing w:before="120" w:after="120" w:line="240" w:lineRule="auto"/>
      <w:jc w:val="both"/>
    </w:pPr>
    <w:rPr>
      <w:rFonts w:ascii="Times New Roman" w:eastAsia="Times New Roman" w:hAnsi="Times New Roman"/>
      <w:sz w:val="24"/>
    </w:rPr>
  </w:style>
  <w:style w:type="paragraph" w:customStyle="1" w:styleId="Bullet0">
    <w:name w:val="Bullet 0"/>
    <w:basedOn w:val="Normal"/>
    <w:pPr>
      <w:numPr>
        <w:numId w:val="9"/>
      </w:numPr>
      <w:spacing w:before="120" w:after="120" w:line="240" w:lineRule="auto"/>
      <w:jc w:val="both"/>
    </w:pPr>
    <w:rPr>
      <w:rFonts w:ascii="Times New Roman" w:eastAsia="Times New Roman" w:hAnsi="Times New Roman"/>
      <w:sz w:val="24"/>
    </w:rPr>
  </w:style>
  <w:style w:type="paragraph" w:customStyle="1" w:styleId="Bullet1">
    <w:name w:val="Bullet 1"/>
    <w:basedOn w:val="Normal"/>
    <w:pPr>
      <w:numPr>
        <w:numId w:val="10"/>
      </w:numPr>
      <w:spacing w:before="120" w:after="120" w:line="240" w:lineRule="auto"/>
      <w:jc w:val="both"/>
    </w:pPr>
    <w:rPr>
      <w:rFonts w:ascii="Times New Roman" w:eastAsia="Times New Roman" w:hAnsi="Times New Roman"/>
      <w:sz w:val="24"/>
    </w:rPr>
  </w:style>
  <w:style w:type="paragraph" w:customStyle="1" w:styleId="Bullet2">
    <w:name w:val="Bullet 2"/>
    <w:basedOn w:val="Normal"/>
    <w:pPr>
      <w:numPr>
        <w:numId w:val="11"/>
      </w:numPr>
      <w:spacing w:before="120" w:after="120" w:line="240" w:lineRule="auto"/>
      <w:jc w:val="both"/>
    </w:pPr>
    <w:rPr>
      <w:rFonts w:ascii="Times New Roman" w:eastAsia="Times New Roman" w:hAnsi="Times New Roman"/>
      <w:sz w:val="24"/>
    </w:rPr>
  </w:style>
  <w:style w:type="paragraph" w:customStyle="1" w:styleId="Bullet3">
    <w:name w:val="Bullet 3"/>
    <w:basedOn w:val="Normal"/>
    <w:pPr>
      <w:numPr>
        <w:numId w:val="12"/>
      </w:numPr>
      <w:spacing w:before="120" w:after="120" w:line="240" w:lineRule="auto"/>
      <w:jc w:val="both"/>
    </w:pPr>
    <w:rPr>
      <w:rFonts w:ascii="Times New Roman" w:eastAsia="Times New Roman" w:hAnsi="Times New Roman"/>
      <w:sz w:val="24"/>
    </w:rPr>
  </w:style>
  <w:style w:type="paragraph" w:customStyle="1" w:styleId="Bullet4">
    <w:name w:val="Bullet 4"/>
    <w:basedOn w:val="Normal"/>
    <w:pPr>
      <w:numPr>
        <w:numId w:val="13"/>
      </w:numPr>
      <w:spacing w:before="120" w:after="120" w:line="240" w:lineRule="auto"/>
      <w:jc w:val="both"/>
    </w:pPr>
    <w:rPr>
      <w:rFonts w:ascii="Times New Roman" w:eastAsia="Times New Roman" w:hAnsi="Times New Roman"/>
      <w:sz w:val="24"/>
    </w:rPr>
  </w:style>
  <w:style w:type="paragraph" w:customStyle="1" w:styleId="Annexetitreexpos">
    <w:name w:val="Annexe titre (exposé)"/>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
    <w:name w:val="Annexe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nnexetitrefichefinancire">
    <w:name w:val="Annexe titre (fiche financiè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Applicationdirecte">
    <w:name w:val="Application directe"/>
    <w:basedOn w:val="Normal"/>
    <w:next w:val="Fait"/>
    <w:pPr>
      <w:spacing w:before="480" w:after="120" w:line="240" w:lineRule="auto"/>
      <w:jc w:val="both"/>
    </w:pPr>
    <w:rPr>
      <w:rFonts w:ascii="Times New Roman" w:eastAsia="Times New Roman" w:hAnsi="Times New Roman"/>
      <w:sz w:val="24"/>
    </w:rPr>
  </w:style>
  <w:style w:type="paragraph" w:customStyle="1" w:styleId="Avertissementtitre">
    <w:name w:val="Avertissement titre"/>
    <w:basedOn w:val="Normal"/>
    <w:next w:val="Normal"/>
    <w:pPr>
      <w:keepNext/>
      <w:spacing w:before="480" w:after="120" w:line="240" w:lineRule="auto"/>
      <w:jc w:val="both"/>
    </w:pPr>
    <w:rPr>
      <w:rFonts w:ascii="Times New Roman" w:eastAsia="Times New Roman" w:hAnsi="Times New Roman"/>
      <w:sz w:val="24"/>
      <w:u w:val="single"/>
    </w:rPr>
  </w:style>
  <w:style w:type="paragraph" w:customStyle="1" w:styleId="Confidence">
    <w:name w:val="Confidence"/>
    <w:basedOn w:val="Normal"/>
    <w:next w:val="Normal"/>
    <w:pPr>
      <w:spacing w:before="360" w:after="120" w:line="240" w:lineRule="auto"/>
      <w:jc w:val="center"/>
    </w:pPr>
    <w:rPr>
      <w:rFonts w:ascii="Times New Roman" w:eastAsia="Times New Roman" w:hAnsi="Times New Roman"/>
      <w:sz w:val="24"/>
    </w:rPr>
  </w:style>
  <w:style w:type="paragraph" w:customStyle="1" w:styleId="Confidentialit">
    <w:name w:val="Confidentialité"/>
    <w:basedOn w:val="Normal"/>
    <w:next w:val="TypedudocumentPagedecouverture"/>
    <w:pPr>
      <w:spacing w:before="240" w:after="240" w:line="240" w:lineRule="auto"/>
      <w:ind w:left="5103"/>
    </w:pPr>
    <w:rPr>
      <w:rFonts w:ascii="Times New Roman" w:eastAsia="Times New Roman" w:hAnsi="Times New Roman"/>
      <w:i/>
      <w:sz w:val="32"/>
    </w:rPr>
  </w:style>
  <w:style w:type="paragraph" w:customStyle="1" w:styleId="Considrant">
    <w:name w:val="Considérant"/>
    <w:basedOn w:val="Normal"/>
    <w:pPr>
      <w:numPr>
        <w:numId w:val="14"/>
      </w:numPr>
      <w:spacing w:before="120" w:after="120" w:line="240" w:lineRule="auto"/>
      <w:jc w:val="both"/>
    </w:pPr>
    <w:rPr>
      <w:rFonts w:ascii="Times New Roman" w:eastAsia="Times New Roman" w:hAnsi="Times New Roman"/>
      <w:sz w:val="24"/>
    </w:rPr>
  </w:style>
  <w:style w:type="paragraph" w:customStyle="1" w:styleId="Corrigendum">
    <w:name w:val="Corrigendum"/>
    <w:basedOn w:val="Normal"/>
    <w:next w:val="Normal"/>
    <w:pPr>
      <w:spacing w:after="240" w:line="240" w:lineRule="auto"/>
    </w:pPr>
    <w:rPr>
      <w:rFonts w:ascii="Times New Roman" w:eastAsia="Times New Roman" w:hAnsi="Times New Roman"/>
      <w:sz w:val="24"/>
    </w:rPr>
  </w:style>
  <w:style w:type="paragraph" w:customStyle="1" w:styleId="Datedadoption">
    <w:name w:val="Date d'adoption"/>
    <w:basedOn w:val="Normal"/>
    <w:next w:val="Titreobjet"/>
    <w:pPr>
      <w:spacing w:before="360" w:after="0" w:line="240" w:lineRule="auto"/>
      <w:jc w:val="center"/>
    </w:pPr>
    <w:rPr>
      <w:rFonts w:ascii="Times New Roman" w:eastAsia="Times New Roman" w:hAnsi="Times New Roman"/>
      <w:b/>
      <w:sz w:val="24"/>
    </w:rPr>
  </w:style>
  <w:style w:type="paragraph" w:customStyle="1" w:styleId="Emission">
    <w:name w:val="Emission"/>
    <w:basedOn w:val="Normal"/>
    <w:next w:val="Rfrenceinstitutionnelle"/>
    <w:pPr>
      <w:spacing w:after="0" w:line="240" w:lineRule="auto"/>
      <w:ind w:left="5103"/>
    </w:pPr>
    <w:rPr>
      <w:rFonts w:ascii="Times New Roman" w:eastAsia="Times New Roman" w:hAnsi="Times New Roman"/>
      <w:sz w:val="24"/>
    </w:rPr>
  </w:style>
  <w:style w:type="paragraph" w:customStyle="1" w:styleId="Exposdesmotifstitre">
    <w:name w:val="Exposé des motifs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Fait">
    <w:name w:val="Fait à"/>
    <w:basedOn w:val="Normal"/>
    <w:next w:val="Institutionquisigne"/>
    <w:pPr>
      <w:keepNext/>
      <w:spacing w:before="120" w:after="0" w:line="240" w:lineRule="auto"/>
      <w:jc w:val="both"/>
    </w:pPr>
    <w:rPr>
      <w:rFonts w:ascii="Times New Roman" w:eastAsia="Times New Roman" w:hAnsi="Times New Roman"/>
      <w:sz w:val="24"/>
    </w:rPr>
  </w:style>
  <w:style w:type="paragraph" w:customStyle="1" w:styleId="Formuledadoption">
    <w:name w:val="Formule d'adoption"/>
    <w:basedOn w:val="Normal"/>
    <w:next w:val="Titrearticle"/>
    <w:pPr>
      <w:keepNext/>
      <w:spacing w:before="120" w:after="120" w:line="240" w:lineRule="auto"/>
      <w:jc w:val="both"/>
    </w:pPr>
    <w:rPr>
      <w:rFonts w:ascii="Times New Roman" w:eastAsia="Times New Roman" w:hAnsi="Times New Roman"/>
      <w:sz w:val="24"/>
    </w:rPr>
  </w:style>
  <w:style w:type="paragraph" w:customStyle="1" w:styleId="Institutionquiagit">
    <w:name w:val="Institution qui agit"/>
    <w:basedOn w:val="Normal"/>
    <w:next w:val="Normal"/>
    <w:pPr>
      <w:keepNext/>
      <w:spacing w:before="600" w:after="120" w:line="240" w:lineRule="auto"/>
      <w:jc w:val="both"/>
    </w:pPr>
    <w:rPr>
      <w:rFonts w:ascii="Times New Roman" w:eastAsia="Times New Roman" w:hAnsi="Times New Roman"/>
      <w:sz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ascii="Times New Roman" w:eastAsia="Times New Roman" w:hAnsi="Times New Roman"/>
      <w:i/>
      <w:sz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ascii="Times New Roman" w:eastAsia="Times New Roman" w:hAnsi="Times New Roman"/>
      <w:b/>
      <w:caps/>
      <w:sz w:val="24"/>
    </w:rPr>
  </w:style>
  <w:style w:type="paragraph" w:customStyle="1" w:styleId="ManualConsidrant">
    <w:name w:val="Manual Considérant"/>
    <w:basedOn w:val="Normal"/>
    <w:pPr>
      <w:spacing w:before="120" w:after="120" w:line="240" w:lineRule="auto"/>
      <w:ind w:left="709" w:hanging="709"/>
      <w:jc w:val="both"/>
    </w:pPr>
    <w:rPr>
      <w:rFonts w:ascii="Times New Roman" w:eastAsia="Times New Roman" w:hAnsi="Times New Roman"/>
      <w:sz w:val="24"/>
    </w:rPr>
  </w:style>
  <w:style w:type="paragraph" w:customStyle="1" w:styleId="Nomdelinstitution">
    <w:name w:val="Nom de l'institution"/>
    <w:basedOn w:val="Normal"/>
    <w:next w:val="Emission"/>
    <w:pPr>
      <w:spacing w:after="0" w:line="240" w:lineRule="auto"/>
    </w:pPr>
    <w:rPr>
      <w:rFonts w:ascii="Arial" w:eastAsia="Times New Roman" w:hAnsi="Arial" w:cs="Arial"/>
      <w:sz w:val="24"/>
    </w:rPr>
  </w:style>
  <w:style w:type="paragraph" w:customStyle="1" w:styleId="Personnequisigne">
    <w:name w:val="Personne qui signe"/>
    <w:basedOn w:val="Normal"/>
    <w:next w:val="Institutionquisigne"/>
    <w:pPr>
      <w:tabs>
        <w:tab w:val="left" w:pos="4252"/>
      </w:tabs>
      <w:spacing w:after="0" w:line="240" w:lineRule="auto"/>
    </w:pPr>
    <w:rPr>
      <w:rFonts w:ascii="Times New Roman" w:eastAsia="Times New Roman" w:hAnsi="Times New Roman"/>
      <w:i/>
      <w:sz w:val="24"/>
    </w:rPr>
  </w:style>
  <w:style w:type="paragraph" w:customStyle="1" w:styleId="Rfrenceinstitutionnelle">
    <w:name w:val="Référence institutionnelle"/>
    <w:basedOn w:val="Normal"/>
    <w:next w:val="Confidentialit"/>
    <w:pPr>
      <w:spacing w:after="240" w:line="240" w:lineRule="auto"/>
      <w:ind w:left="5103"/>
    </w:pPr>
    <w:rPr>
      <w:rFonts w:ascii="Times New Roman" w:eastAsia="Times New Roman" w:hAnsi="Times New Roman"/>
      <w:sz w:val="24"/>
    </w:rPr>
  </w:style>
  <w:style w:type="paragraph" w:customStyle="1" w:styleId="Rfrenceinterinstitutionnelle">
    <w:name w:val="Référence interinstitutionnelle"/>
    <w:basedOn w:val="Normal"/>
    <w:next w:val="Statut"/>
    <w:pPr>
      <w:spacing w:after="0" w:line="240" w:lineRule="auto"/>
      <w:ind w:left="5103"/>
    </w:pPr>
    <w:rPr>
      <w:rFonts w:ascii="Times New Roman" w:eastAsia="Times New Roman" w:hAnsi="Times New Roman"/>
      <w:sz w:val="24"/>
    </w:rPr>
  </w:style>
  <w:style w:type="paragraph" w:customStyle="1" w:styleId="Rfrenceinterne">
    <w:name w:val="Référence interne"/>
    <w:basedOn w:val="Normal"/>
    <w:next w:val="Rfrenceinterinstitutionnelle"/>
    <w:pPr>
      <w:spacing w:after="0" w:line="240" w:lineRule="auto"/>
      <w:ind w:left="5103"/>
    </w:pPr>
    <w:rPr>
      <w:rFonts w:ascii="Times New Roman" w:eastAsia="Times New Roman" w:hAnsi="Times New Roman"/>
      <w:sz w:val="24"/>
    </w:rPr>
  </w:style>
  <w:style w:type="paragraph" w:customStyle="1" w:styleId="Sous-titreobjet">
    <w:name w:val="Sous-titre objet"/>
    <w:basedOn w:val="Normal"/>
    <w:pPr>
      <w:spacing w:after="0" w:line="240" w:lineRule="auto"/>
      <w:jc w:val="center"/>
    </w:pPr>
    <w:rPr>
      <w:rFonts w:ascii="Times New Roman" w:eastAsia="Times New Roman" w:hAnsi="Times New Roman"/>
      <w:b/>
      <w:sz w:val="24"/>
    </w:rPr>
  </w:style>
  <w:style w:type="paragraph" w:customStyle="1" w:styleId="Statut">
    <w:name w:val="Statut"/>
    <w:basedOn w:val="Normal"/>
    <w:next w:val="Typedudocument"/>
    <w:pPr>
      <w:spacing w:before="360" w:after="0" w:line="240" w:lineRule="auto"/>
      <w:jc w:val="center"/>
    </w:pPr>
    <w:rPr>
      <w:rFonts w:ascii="Times New Roman" w:eastAsia="Times New Roman" w:hAnsi="Times New Roman"/>
      <w:sz w:val="24"/>
    </w:rPr>
  </w:style>
  <w:style w:type="paragraph" w:customStyle="1" w:styleId="Titrearticle">
    <w:name w:val="Titre article"/>
    <w:basedOn w:val="Normal"/>
    <w:next w:val="Normal"/>
    <w:pPr>
      <w:keepNext/>
      <w:spacing w:before="360" w:after="120" w:line="240" w:lineRule="auto"/>
      <w:jc w:val="center"/>
    </w:pPr>
    <w:rPr>
      <w:rFonts w:ascii="Times New Roman" w:eastAsia="Times New Roman" w:hAnsi="Times New Roman"/>
      <w:i/>
      <w:sz w:val="24"/>
    </w:rPr>
  </w:style>
  <w:style w:type="paragraph" w:customStyle="1" w:styleId="Titreobjet">
    <w:name w:val="Titre objet"/>
    <w:basedOn w:val="Normal"/>
    <w:next w:val="Sous-titreobjet"/>
    <w:pPr>
      <w:spacing w:before="360" w:after="360" w:line="240" w:lineRule="auto"/>
      <w:jc w:val="center"/>
    </w:pPr>
    <w:rPr>
      <w:rFonts w:ascii="Times New Roman" w:eastAsia="Times New Roman" w:hAnsi="Times New Roman"/>
      <w:b/>
      <w:sz w:val="24"/>
    </w:rPr>
  </w:style>
  <w:style w:type="paragraph" w:customStyle="1" w:styleId="Typedudocument">
    <w:name w:val="Type du document"/>
    <w:basedOn w:val="Normal"/>
    <w:next w:val="Titreobjet"/>
    <w:pPr>
      <w:spacing w:before="360" w:after="0" w:line="240" w:lineRule="auto"/>
      <w:jc w:val="center"/>
    </w:pPr>
    <w:rPr>
      <w:rFonts w:ascii="Times New Roman" w:eastAsia="Times New Roman" w:hAnsi="Times New Roman"/>
      <w:b/>
      <w:sz w:val="24"/>
    </w:rPr>
  </w:style>
  <w:style w:type="character" w:customStyle="1" w:styleId="Added">
    <w:name w:val="Added"/>
    <w:rPr>
      <w:b/>
      <w:u w:val="single"/>
      <w:shd w:val="clear" w:color="auto" w:fill="auto"/>
    </w:rPr>
  </w:style>
  <w:style w:type="character" w:customStyle="1" w:styleId="Deleted">
    <w:name w:val="Deleted"/>
    <w:rPr>
      <w:strike/>
      <w:dstrike w:val="0"/>
      <w:shd w:val="clear" w:color="auto" w:fill="auto"/>
    </w:rPr>
  </w:style>
  <w:style w:type="paragraph" w:customStyle="1" w:styleId="Address">
    <w:name w:val="Address"/>
    <w:basedOn w:val="Normal"/>
    <w:next w:val="Normal"/>
    <w:pPr>
      <w:keepLines/>
      <w:spacing w:before="120" w:after="120" w:line="360" w:lineRule="auto"/>
      <w:ind w:left="3402"/>
    </w:pPr>
    <w:rPr>
      <w:rFonts w:ascii="Times New Roman" w:eastAsia="Times New Roman" w:hAnsi="Times New Roman"/>
      <w:sz w:val="24"/>
    </w:rPr>
  </w:style>
  <w:style w:type="paragraph" w:customStyle="1" w:styleId="Objetexterne">
    <w:name w:val="Objet externe"/>
    <w:basedOn w:val="Normal"/>
    <w:next w:val="Normal"/>
    <w:pPr>
      <w:spacing w:before="120" w:after="120" w:line="240" w:lineRule="auto"/>
      <w:jc w:val="both"/>
    </w:pPr>
    <w:rPr>
      <w:rFonts w:ascii="Times New Roman" w:eastAsia="Times New Roman" w:hAnsi="Times New Roman"/>
      <w:i/>
      <w:caps/>
      <w:sz w:val="24"/>
    </w:rPr>
  </w:style>
  <w:style w:type="paragraph" w:customStyle="1" w:styleId="Pagedecouverture">
    <w:name w:val="Page de couverture"/>
    <w:basedOn w:val="Normal"/>
    <w:next w:val="Normal"/>
    <w:pPr>
      <w:spacing w:after="0" w:line="240" w:lineRule="auto"/>
      <w:jc w:val="both"/>
    </w:pPr>
    <w:rPr>
      <w:rFonts w:ascii="Times New Roman" w:eastAsia="Times New Roman" w:hAnsi="Times New Roman"/>
      <w:sz w:val="24"/>
    </w:rPr>
  </w:style>
  <w:style w:type="paragraph" w:customStyle="1" w:styleId="Supertitre">
    <w:name w:val="Supertitre"/>
    <w:basedOn w:val="Normal"/>
    <w:next w:val="Normal"/>
    <w:pPr>
      <w:spacing w:after="600" w:line="240" w:lineRule="auto"/>
      <w:jc w:val="center"/>
    </w:pPr>
    <w:rPr>
      <w:rFonts w:ascii="Times New Roman" w:eastAsia="Times New Roman" w:hAnsi="Times New Roman"/>
      <w:b/>
      <w:sz w:val="24"/>
    </w:rPr>
  </w:style>
  <w:style w:type="paragraph" w:customStyle="1" w:styleId="Languesfaisantfoi">
    <w:name w:val="Langues faisant foi"/>
    <w:basedOn w:val="Normal"/>
    <w:next w:val="Normal"/>
    <w:pPr>
      <w:spacing w:before="360" w:after="0" w:line="240" w:lineRule="auto"/>
      <w:jc w:val="center"/>
    </w:pPr>
    <w:rPr>
      <w:rFonts w:ascii="Times New Roman" w:eastAsia="Times New Roman" w:hAnsi="Times New Roman"/>
      <w:sz w:val="24"/>
    </w:rPr>
  </w:style>
  <w:style w:type="paragraph" w:customStyle="1" w:styleId="Rfrencecroise">
    <w:name w:val="Référence croisée"/>
    <w:basedOn w:val="Normal"/>
    <w:pPr>
      <w:spacing w:after="0" w:line="240" w:lineRule="auto"/>
      <w:jc w:val="center"/>
    </w:pPr>
    <w:rPr>
      <w:rFonts w:ascii="Times New Roman" w:eastAsia="Times New Roman" w:hAnsi="Times New Roman"/>
      <w:sz w:val="24"/>
    </w:rPr>
  </w:style>
  <w:style w:type="paragraph" w:customStyle="1" w:styleId="Fichefinanciretitre">
    <w:name w:val="Fiche financière titre"/>
    <w:basedOn w:val="Normal"/>
    <w:next w:val="Normal"/>
    <w:pPr>
      <w:spacing w:before="120" w:after="120" w:line="240" w:lineRule="auto"/>
      <w:jc w:val="center"/>
    </w:pPr>
    <w:rPr>
      <w:rFonts w:ascii="Times New Roman" w:eastAsia="Times New Roman" w:hAnsi="Times New Roman"/>
      <w:b/>
      <w:sz w:val="24"/>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after="240" w:line="240" w:lineRule="auto"/>
      <w:ind w:left="5103"/>
    </w:pPr>
    <w:rPr>
      <w:rFonts w:ascii="Times New Roman" w:eastAsia="Times New Roman" w:hAnsi="Times New Roman"/>
      <w:sz w:val="24"/>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after="240" w:line="240" w:lineRule="auto"/>
      <w:jc w:val="center"/>
    </w:pPr>
    <w:rPr>
      <w:rFonts w:ascii="Times New Roman" w:eastAsia="Times New Roman" w:hAnsi="Times New Roman"/>
      <w:b/>
      <w:i/>
      <w:sz w:val="24"/>
    </w:rPr>
  </w:style>
  <w:style w:type="paragraph" w:customStyle="1" w:styleId="Typeacteprincipal">
    <w:name w:val="Type acte principal"/>
    <w:basedOn w:val="Normal"/>
    <w:next w:val="Objetacteprincipal"/>
    <w:pPr>
      <w:spacing w:after="240" w:line="240" w:lineRule="auto"/>
      <w:jc w:val="center"/>
    </w:pPr>
    <w:rPr>
      <w:rFonts w:ascii="Times New Roman" w:eastAsia="Times New Roman" w:hAnsi="Times New Roman"/>
      <w:b/>
      <w:sz w:val="24"/>
    </w:rPr>
  </w:style>
  <w:style w:type="paragraph" w:customStyle="1" w:styleId="Objetacteprincipal">
    <w:name w:val="Objet acte principal"/>
    <w:basedOn w:val="Normal"/>
    <w:next w:val="Titrearticle"/>
    <w:pPr>
      <w:spacing w:after="360" w:line="240" w:lineRule="auto"/>
      <w:jc w:val="center"/>
    </w:pPr>
    <w:rPr>
      <w:rFonts w:ascii="Times New Roman" w:eastAsia="Times New Roman" w:hAnsi="Times New Roman"/>
      <w:b/>
      <w:sz w:val="24"/>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line="240" w:lineRule="auto"/>
      <w:jc w:val="center"/>
    </w:pPr>
    <w:rPr>
      <w:rFonts w:ascii="Times New Roman" w:eastAsia="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rPr>
  </w:style>
  <w:style w:type="character" w:customStyle="1" w:styleId="FooterCoverPageChar">
    <w:name w:val="Footer Cover Page Char"/>
    <w:link w:val="FooterCoverPage"/>
    <w:rPr>
      <w:rFonts w:ascii="Times New Roman" w:hAnsi="Times New Roman"/>
      <w:sz w:val="24"/>
      <w:szCs w:val="2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rPr>
  </w:style>
  <w:style w:type="character" w:customStyle="1" w:styleId="HeaderCoverPageChar">
    <w:name w:val="Header Cover Page Char"/>
    <w:link w:val="HeaderCoverPage"/>
    <w:rPr>
      <w:rFonts w:ascii="Times New Roman" w:hAnsi="Times New Roman"/>
      <w:sz w:val="24"/>
      <w:szCs w:val="22"/>
    </w:rPr>
  </w:style>
  <w:style w:type="paragraph" w:styleId="Revision">
    <w:name w:val="Revision"/>
    <w:hidden/>
    <w:uiPriority w:val="99"/>
    <w:semiHidden/>
    <w:rPr>
      <w:sz w:val="22"/>
      <w:szCs w:val="22"/>
    </w:rPr>
  </w:style>
  <w:style w:type="character" w:customStyle="1" w:styleId="Text1Char">
    <w:name w:val="Text 1 Char"/>
    <w:link w:val="Text1"/>
    <w:locked/>
    <w:rPr>
      <w:rFonts w:ascii="Times New Roman" w:eastAsia="Times New Roman" w:hAnsi="Times New Roman"/>
      <w:sz w:val="24"/>
      <w:szCs w:val="22"/>
    </w:rPr>
  </w:style>
  <w:style w:type="paragraph" w:customStyle="1" w:styleId="Contact">
    <w:name w:val="Contact"/>
    <w:basedOn w:val="Normal"/>
    <w:next w:val="Normal"/>
    <w:pPr>
      <w:spacing w:after="480" w:line="240" w:lineRule="auto"/>
      <w:ind w:left="567" w:hanging="567"/>
    </w:pPr>
    <w:rPr>
      <w:rFonts w:ascii="Times New Roman" w:eastAsia="Times New Roman" w:hAnsi="Times New Roman"/>
      <w:sz w:val="24"/>
      <w:szCs w:val="20"/>
      <w:lang w:eastAsia="en-US" w:bidi="ar-SA"/>
    </w:rPr>
  </w:style>
  <w:style w:type="paragraph" w:customStyle="1" w:styleId="Default">
    <w:name w:val="Default"/>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3">
    <w:name w:val="CM3"/>
    <w:basedOn w:val="Default"/>
    <w:next w:val="Default"/>
    <w:uiPriority w:val="99"/>
    <w:rPr>
      <w:rFonts w:cs="Times New Roman"/>
      <w:color w:val="auto"/>
    </w:rPr>
  </w:style>
  <w:style w:type="paragraph" w:customStyle="1" w:styleId="CM4">
    <w:name w:val="CM4"/>
    <w:basedOn w:val="Default"/>
    <w:next w:val="Default"/>
    <w:uiPriority w:val="99"/>
    <w:rPr>
      <w:rFonts w:cs="Times New Roman"/>
      <w:color w:val="auto"/>
    </w:rPr>
  </w:style>
  <w:style w:type="character" w:styleId="Strong">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0005">
      <w:bodyDiv w:val="1"/>
      <w:marLeft w:val="0"/>
      <w:marRight w:val="0"/>
      <w:marTop w:val="0"/>
      <w:marBottom w:val="0"/>
      <w:divBdr>
        <w:top w:val="none" w:sz="0" w:space="0" w:color="auto"/>
        <w:left w:val="none" w:sz="0" w:space="0" w:color="auto"/>
        <w:bottom w:val="none" w:sz="0" w:space="0" w:color="auto"/>
        <w:right w:val="none" w:sz="0" w:space="0" w:color="auto"/>
      </w:divBdr>
    </w:div>
    <w:div w:id="57746921">
      <w:bodyDiv w:val="1"/>
      <w:marLeft w:val="0"/>
      <w:marRight w:val="0"/>
      <w:marTop w:val="0"/>
      <w:marBottom w:val="0"/>
      <w:divBdr>
        <w:top w:val="none" w:sz="0" w:space="0" w:color="auto"/>
        <w:left w:val="none" w:sz="0" w:space="0" w:color="auto"/>
        <w:bottom w:val="none" w:sz="0" w:space="0" w:color="auto"/>
        <w:right w:val="none" w:sz="0" w:space="0" w:color="auto"/>
      </w:divBdr>
    </w:div>
    <w:div w:id="89620424">
      <w:bodyDiv w:val="1"/>
      <w:marLeft w:val="0"/>
      <w:marRight w:val="0"/>
      <w:marTop w:val="0"/>
      <w:marBottom w:val="0"/>
      <w:divBdr>
        <w:top w:val="none" w:sz="0" w:space="0" w:color="auto"/>
        <w:left w:val="none" w:sz="0" w:space="0" w:color="auto"/>
        <w:bottom w:val="none" w:sz="0" w:space="0" w:color="auto"/>
        <w:right w:val="none" w:sz="0" w:space="0" w:color="auto"/>
      </w:divBdr>
    </w:div>
    <w:div w:id="230584177">
      <w:bodyDiv w:val="1"/>
      <w:marLeft w:val="0"/>
      <w:marRight w:val="0"/>
      <w:marTop w:val="0"/>
      <w:marBottom w:val="0"/>
      <w:divBdr>
        <w:top w:val="none" w:sz="0" w:space="0" w:color="auto"/>
        <w:left w:val="none" w:sz="0" w:space="0" w:color="auto"/>
        <w:bottom w:val="none" w:sz="0" w:space="0" w:color="auto"/>
        <w:right w:val="none" w:sz="0" w:space="0" w:color="auto"/>
      </w:divBdr>
    </w:div>
    <w:div w:id="232088436">
      <w:bodyDiv w:val="1"/>
      <w:marLeft w:val="0"/>
      <w:marRight w:val="0"/>
      <w:marTop w:val="0"/>
      <w:marBottom w:val="0"/>
      <w:divBdr>
        <w:top w:val="none" w:sz="0" w:space="0" w:color="auto"/>
        <w:left w:val="none" w:sz="0" w:space="0" w:color="auto"/>
        <w:bottom w:val="none" w:sz="0" w:space="0" w:color="auto"/>
        <w:right w:val="none" w:sz="0" w:space="0" w:color="auto"/>
      </w:divBdr>
    </w:div>
    <w:div w:id="288627254">
      <w:bodyDiv w:val="1"/>
      <w:marLeft w:val="0"/>
      <w:marRight w:val="0"/>
      <w:marTop w:val="0"/>
      <w:marBottom w:val="0"/>
      <w:divBdr>
        <w:top w:val="none" w:sz="0" w:space="0" w:color="auto"/>
        <w:left w:val="none" w:sz="0" w:space="0" w:color="auto"/>
        <w:bottom w:val="none" w:sz="0" w:space="0" w:color="auto"/>
        <w:right w:val="none" w:sz="0" w:space="0" w:color="auto"/>
      </w:divBdr>
    </w:div>
    <w:div w:id="344330042">
      <w:bodyDiv w:val="1"/>
      <w:marLeft w:val="0"/>
      <w:marRight w:val="0"/>
      <w:marTop w:val="0"/>
      <w:marBottom w:val="0"/>
      <w:divBdr>
        <w:top w:val="none" w:sz="0" w:space="0" w:color="auto"/>
        <w:left w:val="none" w:sz="0" w:space="0" w:color="auto"/>
        <w:bottom w:val="none" w:sz="0" w:space="0" w:color="auto"/>
        <w:right w:val="none" w:sz="0" w:space="0" w:color="auto"/>
      </w:divBdr>
    </w:div>
    <w:div w:id="526061196">
      <w:bodyDiv w:val="1"/>
      <w:marLeft w:val="0"/>
      <w:marRight w:val="0"/>
      <w:marTop w:val="0"/>
      <w:marBottom w:val="0"/>
      <w:divBdr>
        <w:top w:val="none" w:sz="0" w:space="0" w:color="auto"/>
        <w:left w:val="none" w:sz="0" w:space="0" w:color="auto"/>
        <w:bottom w:val="none" w:sz="0" w:space="0" w:color="auto"/>
        <w:right w:val="none" w:sz="0" w:space="0" w:color="auto"/>
      </w:divBdr>
    </w:div>
    <w:div w:id="526068619">
      <w:bodyDiv w:val="1"/>
      <w:marLeft w:val="0"/>
      <w:marRight w:val="0"/>
      <w:marTop w:val="0"/>
      <w:marBottom w:val="0"/>
      <w:divBdr>
        <w:top w:val="none" w:sz="0" w:space="0" w:color="auto"/>
        <w:left w:val="none" w:sz="0" w:space="0" w:color="auto"/>
        <w:bottom w:val="none" w:sz="0" w:space="0" w:color="auto"/>
        <w:right w:val="none" w:sz="0" w:space="0" w:color="auto"/>
      </w:divBdr>
    </w:div>
    <w:div w:id="736437301">
      <w:bodyDiv w:val="1"/>
      <w:marLeft w:val="0"/>
      <w:marRight w:val="0"/>
      <w:marTop w:val="0"/>
      <w:marBottom w:val="0"/>
      <w:divBdr>
        <w:top w:val="none" w:sz="0" w:space="0" w:color="auto"/>
        <w:left w:val="none" w:sz="0" w:space="0" w:color="auto"/>
        <w:bottom w:val="none" w:sz="0" w:space="0" w:color="auto"/>
        <w:right w:val="none" w:sz="0" w:space="0" w:color="auto"/>
      </w:divBdr>
    </w:div>
    <w:div w:id="742799920">
      <w:bodyDiv w:val="1"/>
      <w:marLeft w:val="0"/>
      <w:marRight w:val="0"/>
      <w:marTop w:val="0"/>
      <w:marBottom w:val="0"/>
      <w:divBdr>
        <w:top w:val="none" w:sz="0" w:space="0" w:color="auto"/>
        <w:left w:val="none" w:sz="0" w:space="0" w:color="auto"/>
        <w:bottom w:val="none" w:sz="0" w:space="0" w:color="auto"/>
        <w:right w:val="none" w:sz="0" w:space="0" w:color="auto"/>
      </w:divBdr>
    </w:div>
    <w:div w:id="746150139">
      <w:bodyDiv w:val="1"/>
      <w:marLeft w:val="0"/>
      <w:marRight w:val="0"/>
      <w:marTop w:val="0"/>
      <w:marBottom w:val="0"/>
      <w:divBdr>
        <w:top w:val="none" w:sz="0" w:space="0" w:color="auto"/>
        <w:left w:val="none" w:sz="0" w:space="0" w:color="auto"/>
        <w:bottom w:val="none" w:sz="0" w:space="0" w:color="auto"/>
        <w:right w:val="none" w:sz="0" w:space="0" w:color="auto"/>
      </w:divBdr>
    </w:div>
    <w:div w:id="772557418">
      <w:bodyDiv w:val="1"/>
      <w:marLeft w:val="0"/>
      <w:marRight w:val="0"/>
      <w:marTop w:val="0"/>
      <w:marBottom w:val="0"/>
      <w:divBdr>
        <w:top w:val="none" w:sz="0" w:space="0" w:color="auto"/>
        <w:left w:val="none" w:sz="0" w:space="0" w:color="auto"/>
        <w:bottom w:val="none" w:sz="0" w:space="0" w:color="auto"/>
        <w:right w:val="none" w:sz="0" w:space="0" w:color="auto"/>
      </w:divBdr>
    </w:div>
    <w:div w:id="774903897">
      <w:bodyDiv w:val="1"/>
      <w:marLeft w:val="0"/>
      <w:marRight w:val="0"/>
      <w:marTop w:val="0"/>
      <w:marBottom w:val="0"/>
      <w:divBdr>
        <w:top w:val="none" w:sz="0" w:space="0" w:color="auto"/>
        <w:left w:val="none" w:sz="0" w:space="0" w:color="auto"/>
        <w:bottom w:val="none" w:sz="0" w:space="0" w:color="auto"/>
        <w:right w:val="none" w:sz="0" w:space="0" w:color="auto"/>
      </w:divBdr>
    </w:div>
    <w:div w:id="824054861">
      <w:bodyDiv w:val="1"/>
      <w:marLeft w:val="0"/>
      <w:marRight w:val="0"/>
      <w:marTop w:val="0"/>
      <w:marBottom w:val="0"/>
      <w:divBdr>
        <w:top w:val="none" w:sz="0" w:space="0" w:color="auto"/>
        <w:left w:val="none" w:sz="0" w:space="0" w:color="auto"/>
        <w:bottom w:val="none" w:sz="0" w:space="0" w:color="auto"/>
        <w:right w:val="none" w:sz="0" w:space="0" w:color="auto"/>
      </w:divBdr>
    </w:div>
    <w:div w:id="889069503">
      <w:bodyDiv w:val="1"/>
      <w:marLeft w:val="0"/>
      <w:marRight w:val="0"/>
      <w:marTop w:val="0"/>
      <w:marBottom w:val="0"/>
      <w:divBdr>
        <w:top w:val="none" w:sz="0" w:space="0" w:color="auto"/>
        <w:left w:val="none" w:sz="0" w:space="0" w:color="auto"/>
        <w:bottom w:val="none" w:sz="0" w:space="0" w:color="auto"/>
        <w:right w:val="none" w:sz="0" w:space="0" w:color="auto"/>
      </w:divBdr>
    </w:div>
    <w:div w:id="1065105355">
      <w:bodyDiv w:val="1"/>
      <w:marLeft w:val="0"/>
      <w:marRight w:val="0"/>
      <w:marTop w:val="0"/>
      <w:marBottom w:val="0"/>
      <w:divBdr>
        <w:top w:val="none" w:sz="0" w:space="0" w:color="auto"/>
        <w:left w:val="none" w:sz="0" w:space="0" w:color="auto"/>
        <w:bottom w:val="none" w:sz="0" w:space="0" w:color="auto"/>
        <w:right w:val="none" w:sz="0" w:space="0" w:color="auto"/>
      </w:divBdr>
    </w:div>
    <w:div w:id="1104810222">
      <w:bodyDiv w:val="1"/>
      <w:marLeft w:val="0"/>
      <w:marRight w:val="0"/>
      <w:marTop w:val="0"/>
      <w:marBottom w:val="0"/>
      <w:divBdr>
        <w:top w:val="none" w:sz="0" w:space="0" w:color="auto"/>
        <w:left w:val="none" w:sz="0" w:space="0" w:color="auto"/>
        <w:bottom w:val="none" w:sz="0" w:space="0" w:color="auto"/>
        <w:right w:val="none" w:sz="0" w:space="0" w:color="auto"/>
      </w:divBdr>
    </w:div>
    <w:div w:id="1179542234">
      <w:bodyDiv w:val="1"/>
      <w:marLeft w:val="0"/>
      <w:marRight w:val="0"/>
      <w:marTop w:val="0"/>
      <w:marBottom w:val="0"/>
      <w:divBdr>
        <w:top w:val="none" w:sz="0" w:space="0" w:color="auto"/>
        <w:left w:val="none" w:sz="0" w:space="0" w:color="auto"/>
        <w:bottom w:val="none" w:sz="0" w:space="0" w:color="auto"/>
        <w:right w:val="none" w:sz="0" w:space="0" w:color="auto"/>
      </w:divBdr>
    </w:div>
    <w:div w:id="1190029536">
      <w:bodyDiv w:val="1"/>
      <w:marLeft w:val="0"/>
      <w:marRight w:val="0"/>
      <w:marTop w:val="0"/>
      <w:marBottom w:val="0"/>
      <w:divBdr>
        <w:top w:val="none" w:sz="0" w:space="0" w:color="auto"/>
        <w:left w:val="none" w:sz="0" w:space="0" w:color="auto"/>
        <w:bottom w:val="none" w:sz="0" w:space="0" w:color="auto"/>
        <w:right w:val="none" w:sz="0" w:space="0" w:color="auto"/>
      </w:divBdr>
    </w:div>
    <w:div w:id="1325818863">
      <w:bodyDiv w:val="1"/>
      <w:marLeft w:val="0"/>
      <w:marRight w:val="0"/>
      <w:marTop w:val="0"/>
      <w:marBottom w:val="0"/>
      <w:divBdr>
        <w:top w:val="none" w:sz="0" w:space="0" w:color="auto"/>
        <w:left w:val="none" w:sz="0" w:space="0" w:color="auto"/>
        <w:bottom w:val="none" w:sz="0" w:space="0" w:color="auto"/>
        <w:right w:val="none" w:sz="0" w:space="0" w:color="auto"/>
      </w:divBdr>
    </w:div>
    <w:div w:id="1354109431">
      <w:bodyDiv w:val="1"/>
      <w:marLeft w:val="0"/>
      <w:marRight w:val="0"/>
      <w:marTop w:val="0"/>
      <w:marBottom w:val="0"/>
      <w:divBdr>
        <w:top w:val="none" w:sz="0" w:space="0" w:color="auto"/>
        <w:left w:val="none" w:sz="0" w:space="0" w:color="auto"/>
        <w:bottom w:val="none" w:sz="0" w:space="0" w:color="auto"/>
        <w:right w:val="none" w:sz="0" w:space="0" w:color="auto"/>
      </w:divBdr>
    </w:div>
    <w:div w:id="1372345142">
      <w:bodyDiv w:val="1"/>
      <w:marLeft w:val="0"/>
      <w:marRight w:val="0"/>
      <w:marTop w:val="0"/>
      <w:marBottom w:val="0"/>
      <w:divBdr>
        <w:top w:val="none" w:sz="0" w:space="0" w:color="auto"/>
        <w:left w:val="none" w:sz="0" w:space="0" w:color="auto"/>
        <w:bottom w:val="none" w:sz="0" w:space="0" w:color="auto"/>
        <w:right w:val="none" w:sz="0" w:space="0" w:color="auto"/>
      </w:divBdr>
    </w:div>
    <w:div w:id="1538005148">
      <w:bodyDiv w:val="1"/>
      <w:marLeft w:val="0"/>
      <w:marRight w:val="0"/>
      <w:marTop w:val="0"/>
      <w:marBottom w:val="0"/>
      <w:divBdr>
        <w:top w:val="none" w:sz="0" w:space="0" w:color="auto"/>
        <w:left w:val="none" w:sz="0" w:space="0" w:color="auto"/>
        <w:bottom w:val="none" w:sz="0" w:space="0" w:color="auto"/>
        <w:right w:val="none" w:sz="0" w:space="0" w:color="auto"/>
      </w:divBdr>
    </w:div>
    <w:div w:id="1622609434">
      <w:bodyDiv w:val="1"/>
      <w:marLeft w:val="0"/>
      <w:marRight w:val="0"/>
      <w:marTop w:val="0"/>
      <w:marBottom w:val="0"/>
      <w:divBdr>
        <w:top w:val="none" w:sz="0" w:space="0" w:color="auto"/>
        <w:left w:val="none" w:sz="0" w:space="0" w:color="auto"/>
        <w:bottom w:val="none" w:sz="0" w:space="0" w:color="auto"/>
        <w:right w:val="none" w:sz="0" w:space="0" w:color="auto"/>
      </w:divBdr>
    </w:div>
    <w:div w:id="1659728628">
      <w:bodyDiv w:val="1"/>
      <w:marLeft w:val="0"/>
      <w:marRight w:val="0"/>
      <w:marTop w:val="0"/>
      <w:marBottom w:val="0"/>
      <w:divBdr>
        <w:top w:val="none" w:sz="0" w:space="0" w:color="auto"/>
        <w:left w:val="none" w:sz="0" w:space="0" w:color="auto"/>
        <w:bottom w:val="none" w:sz="0" w:space="0" w:color="auto"/>
        <w:right w:val="none" w:sz="0" w:space="0" w:color="auto"/>
      </w:divBdr>
    </w:div>
    <w:div w:id="1741518366">
      <w:bodyDiv w:val="1"/>
      <w:marLeft w:val="0"/>
      <w:marRight w:val="0"/>
      <w:marTop w:val="0"/>
      <w:marBottom w:val="0"/>
      <w:divBdr>
        <w:top w:val="none" w:sz="0" w:space="0" w:color="auto"/>
        <w:left w:val="none" w:sz="0" w:space="0" w:color="auto"/>
        <w:bottom w:val="none" w:sz="0" w:space="0" w:color="auto"/>
        <w:right w:val="none" w:sz="0" w:space="0" w:color="auto"/>
      </w:divBdr>
    </w:div>
    <w:div w:id="1867711935">
      <w:bodyDiv w:val="1"/>
      <w:marLeft w:val="0"/>
      <w:marRight w:val="0"/>
      <w:marTop w:val="0"/>
      <w:marBottom w:val="0"/>
      <w:divBdr>
        <w:top w:val="none" w:sz="0" w:space="0" w:color="auto"/>
        <w:left w:val="none" w:sz="0" w:space="0" w:color="auto"/>
        <w:bottom w:val="none" w:sz="0" w:space="0" w:color="auto"/>
        <w:right w:val="none" w:sz="0" w:space="0" w:color="auto"/>
      </w:divBdr>
    </w:div>
    <w:div w:id="1888374777">
      <w:bodyDiv w:val="1"/>
      <w:marLeft w:val="0"/>
      <w:marRight w:val="0"/>
      <w:marTop w:val="0"/>
      <w:marBottom w:val="0"/>
      <w:divBdr>
        <w:top w:val="none" w:sz="0" w:space="0" w:color="auto"/>
        <w:left w:val="none" w:sz="0" w:space="0" w:color="auto"/>
        <w:bottom w:val="none" w:sz="0" w:space="0" w:color="auto"/>
        <w:right w:val="none" w:sz="0" w:space="0" w:color="auto"/>
      </w:divBdr>
    </w:div>
    <w:div w:id="1914316164">
      <w:bodyDiv w:val="1"/>
      <w:marLeft w:val="0"/>
      <w:marRight w:val="0"/>
      <w:marTop w:val="0"/>
      <w:marBottom w:val="0"/>
      <w:divBdr>
        <w:top w:val="none" w:sz="0" w:space="0" w:color="auto"/>
        <w:left w:val="none" w:sz="0" w:space="0" w:color="auto"/>
        <w:bottom w:val="none" w:sz="0" w:space="0" w:color="auto"/>
        <w:right w:val="none" w:sz="0" w:space="0" w:color="auto"/>
      </w:divBdr>
    </w:div>
    <w:div w:id="1941063620">
      <w:bodyDiv w:val="1"/>
      <w:marLeft w:val="0"/>
      <w:marRight w:val="0"/>
      <w:marTop w:val="0"/>
      <w:marBottom w:val="0"/>
      <w:divBdr>
        <w:top w:val="none" w:sz="0" w:space="0" w:color="auto"/>
        <w:left w:val="none" w:sz="0" w:space="0" w:color="auto"/>
        <w:bottom w:val="none" w:sz="0" w:space="0" w:color="auto"/>
        <w:right w:val="none" w:sz="0" w:space="0" w:color="auto"/>
      </w:divBdr>
    </w:div>
    <w:div w:id="2045985606">
      <w:bodyDiv w:val="1"/>
      <w:marLeft w:val="0"/>
      <w:marRight w:val="0"/>
      <w:marTop w:val="0"/>
      <w:marBottom w:val="0"/>
      <w:divBdr>
        <w:top w:val="none" w:sz="0" w:space="0" w:color="auto"/>
        <w:left w:val="none" w:sz="0" w:space="0" w:color="auto"/>
        <w:bottom w:val="none" w:sz="0" w:space="0" w:color="auto"/>
        <w:right w:val="none" w:sz="0" w:space="0" w:color="auto"/>
      </w:divBdr>
    </w:div>
    <w:div w:id="2046366012">
      <w:bodyDiv w:val="1"/>
      <w:marLeft w:val="0"/>
      <w:marRight w:val="0"/>
      <w:marTop w:val="0"/>
      <w:marBottom w:val="0"/>
      <w:divBdr>
        <w:top w:val="none" w:sz="0" w:space="0" w:color="auto"/>
        <w:left w:val="none" w:sz="0" w:space="0" w:color="auto"/>
        <w:bottom w:val="none" w:sz="0" w:space="0" w:color="auto"/>
        <w:right w:val="none" w:sz="0" w:space="0" w:color="auto"/>
      </w:divBdr>
    </w:div>
    <w:div w:id="208086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header" Target="header16.xml"/><Relationship Id="rId47" Type="http://schemas.openxmlformats.org/officeDocument/2006/relationships/footer" Target="foot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4" Type="http://schemas.openxmlformats.org/officeDocument/2006/relationships/footer" Target="footer16.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8BC5-6764-4F4D-967A-F61B835B6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7</TotalTime>
  <Pages>21</Pages>
  <Words>6466</Words>
  <Characters>29101</Characters>
  <Application>Microsoft Office Word</Application>
  <DocSecurity>0</DocSecurity>
  <Lines>2425</Lines>
  <Paragraphs>2222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33345</CharactersWithSpaces>
  <SharedDoc>false</SharedDoc>
  <HLinks>
    <vt:vector size="126" baseType="variant">
      <vt:variant>
        <vt:i4>1835057</vt:i4>
      </vt:variant>
      <vt:variant>
        <vt:i4>122</vt:i4>
      </vt:variant>
      <vt:variant>
        <vt:i4>0</vt:i4>
      </vt:variant>
      <vt:variant>
        <vt:i4>5</vt:i4>
      </vt:variant>
      <vt:variant>
        <vt:lpwstr/>
      </vt:variant>
      <vt:variant>
        <vt:lpwstr>_Toc457569424</vt:lpwstr>
      </vt:variant>
      <vt:variant>
        <vt:i4>1835057</vt:i4>
      </vt:variant>
      <vt:variant>
        <vt:i4>116</vt:i4>
      </vt:variant>
      <vt:variant>
        <vt:i4>0</vt:i4>
      </vt:variant>
      <vt:variant>
        <vt:i4>5</vt:i4>
      </vt:variant>
      <vt:variant>
        <vt:lpwstr/>
      </vt:variant>
      <vt:variant>
        <vt:lpwstr>_Toc457569423</vt:lpwstr>
      </vt:variant>
      <vt:variant>
        <vt:i4>1835057</vt:i4>
      </vt:variant>
      <vt:variant>
        <vt:i4>110</vt:i4>
      </vt:variant>
      <vt:variant>
        <vt:i4>0</vt:i4>
      </vt:variant>
      <vt:variant>
        <vt:i4>5</vt:i4>
      </vt:variant>
      <vt:variant>
        <vt:lpwstr/>
      </vt:variant>
      <vt:variant>
        <vt:lpwstr>_Toc457569422</vt:lpwstr>
      </vt:variant>
      <vt:variant>
        <vt:i4>1835057</vt:i4>
      </vt:variant>
      <vt:variant>
        <vt:i4>104</vt:i4>
      </vt:variant>
      <vt:variant>
        <vt:i4>0</vt:i4>
      </vt:variant>
      <vt:variant>
        <vt:i4>5</vt:i4>
      </vt:variant>
      <vt:variant>
        <vt:lpwstr/>
      </vt:variant>
      <vt:variant>
        <vt:lpwstr>_Toc457569421</vt:lpwstr>
      </vt:variant>
      <vt:variant>
        <vt:i4>1835057</vt:i4>
      </vt:variant>
      <vt:variant>
        <vt:i4>98</vt:i4>
      </vt:variant>
      <vt:variant>
        <vt:i4>0</vt:i4>
      </vt:variant>
      <vt:variant>
        <vt:i4>5</vt:i4>
      </vt:variant>
      <vt:variant>
        <vt:lpwstr/>
      </vt:variant>
      <vt:variant>
        <vt:lpwstr>_Toc457569420</vt:lpwstr>
      </vt:variant>
      <vt:variant>
        <vt:i4>2031665</vt:i4>
      </vt:variant>
      <vt:variant>
        <vt:i4>92</vt:i4>
      </vt:variant>
      <vt:variant>
        <vt:i4>0</vt:i4>
      </vt:variant>
      <vt:variant>
        <vt:i4>5</vt:i4>
      </vt:variant>
      <vt:variant>
        <vt:lpwstr/>
      </vt:variant>
      <vt:variant>
        <vt:lpwstr>_Toc457569419</vt:lpwstr>
      </vt:variant>
      <vt:variant>
        <vt:i4>2031665</vt:i4>
      </vt:variant>
      <vt:variant>
        <vt:i4>86</vt:i4>
      </vt:variant>
      <vt:variant>
        <vt:i4>0</vt:i4>
      </vt:variant>
      <vt:variant>
        <vt:i4>5</vt:i4>
      </vt:variant>
      <vt:variant>
        <vt:lpwstr/>
      </vt:variant>
      <vt:variant>
        <vt:lpwstr>_Toc457569418</vt:lpwstr>
      </vt:variant>
      <vt:variant>
        <vt:i4>2031665</vt:i4>
      </vt:variant>
      <vt:variant>
        <vt:i4>80</vt:i4>
      </vt:variant>
      <vt:variant>
        <vt:i4>0</vt:i4>
      </vt:variant>
      <vt:variant>
        <vt:i4>5</vt:i4>
      </vt:variant>
      <vt:variant>
        <vt:lpwstr/>
      </vt:variant>
      <vt:variant>
        <vt:lpwstr>_Toc457569417</vt:lpwstr>
      </vt:variant>
      <vt:variant>
        <vt:i4>2031665</vt:i4>
      </vt:variant>
      <vt:variant>
        <vt:i4>74</vt:i4>
      </vt:variant>
      <vt:variant>
        <vt:i4>0</vt:i4>
      </vt:variant>
      <vt:variant>
        <vt:i4>5</vt:i4>
      </vt:variant>
      <vt:variant>
        <vt:lpwstr/>
      </vt:variant>
      <vt:variant>
        <vt:lpwstr>_Toc457569416</vt:lpwstr>
      </vt:variant>
      <vt:variant>
        <vt:i4>2031665</vt:i4>
      </vt:variant>
      <vt:variant>
        <vt:i4>68</vt:i4>
      </vt:variant>
      <vt:variant>
        <vt:i4>0</vt:i4>
      </vt:variant>
      <vt:variant>
        <vt:i4>5</vt:i4>
      </vt:variant>
      <vt:variant>
        <vt:lpwstr/>
      </vt:variant>
      <vt:variant>
        <vt:lpwstr>_Toc457569415</vt:lpwstr>
      </vt:variant>
      <vt:variant>
        <vt:i4>2031665</vt:i4>
      </vt:variant>
      <vt:variant>
        <vt:i4>62</vt:i4>
      </vt:variant>
      <vt:variant>
        <vt:i4>0</vt:i4>
      </vt:variant>
      <vt:variant>
        <vt:i4>5</vt:i4>
      </vt:variant>
      <vt:variant>
        <vt:lpwstr/>
      </vt:variant>
      <vt:variant>
        <vt:lpwstr>_Toc457569414</vt:lpwstr>
      </vt:variant>
      <vt:variant>
        <vt:i4>2031665</vt:i4>
      </vt:variant>
      <vt:variant>
        <vt:i4>56</vt:i4>
      </vt:variant>
      <vt:variant>
        <vt:i4>0</vt:i4>
      </vt:variant>
      <vt:variant>
        <vt:i4>5</vt:i4>
      </vt:variant>
      <vt:variant>
        <vt:lpwstr/>
      </vt:variant>
      <vt:variant>
        <vt:lpwstr>_Toc457569413</vt:lpwstr>
      </vt:variant>
      <vt:variant>
        <vt:i4>2031665</vt:i4>
      </vt:variant>
      <vt:variant>
        <vt:i4>50</vt:i4>
      </vt:variant>
      <vt:variant>
        <vt:i4>0</vt:i4>
      </vt:variant>
      <vt:variant>
        <vt:i4>5</vt:i4>
      </vt:variant>
      <vt:variant>
        <vt:lpwstr/>
      </vt:variant>
      <vt:variant>
        <vt:lpwstr>_Toc457569412</vt:lpwstr>
      </vt:variant>
      <vt:variant>
        <vt:i4>2031665</vt:i4>
      </vt:variant>
      <vt:variant>
        <vt:i4>44</vt:i4>
      </vt:variant>
      <vt:variant>
        <vt:i4>0</vt:i4>
      </vt:variant>
      <vt:variant>
        <vt:i4>5</vt:i4>
      </vt:variant>
      <vt:variant>
        <vt:lpwstr/>
      </vt:variant>
      <vt:variant>
        <vt:lpwstr>_Toc457569411</vt:lpwstr>
      </vt:variant>
      <vt:variant>
        <vt:i4>2031665</vt:i4>
      </vt:variant>
      <vt:variant>
        <vt:i4>38</vt:i4>
      </vt:variant>
      <vt:variant>
        <vt:i4>0</vt:i4>
      </vt:variant>
      <vt:variant>
        <vt:i4>5</vt:i4>
      </vt:variant>
      <vt:variant>
        <vt:lpwstr/>
      </vt:variant>
      <vt:variant>
        <vt:lpwstr>_Toc457569410</vt:lpwstr>
      </vt:variant>
      <vt:variant>
        <vt:i4>1966129</vt:i4>
      </vt:variant>
      <vt:variant>
        <vt:i4>32</vt:i4>
      </vt:variant>
      <vt:variant>
        <vt:i4>0</vt:i4>
      </vt:variant>
      <vt:variant>
        <vt:i4>5</vt:i4>
      </vt:variant>
      <vt:variant>
        <vt:lpwstr/>
      </vt:variant>
      <vt:variant>
        <vt:lpwstr>_Toc457569409</vt:lpwstr>
      </vt:variant>
      <vt:variant>
        <vt:i4>1966129</vt:i4>
      </vt:variant>
      <vt:variant>
        <vt:i4>26</vt:i4>
      </vt:variant>
      <vt:variant>
        <vt:i4>0</vt:i4>
      </vt:variant>
      <vt:variant>
        <vt:i4>5</vt:i4>
      </vt:variant>
      <vt:variant>
        <vt:lpwstr/>
      </vt:variant>
      <vt:variant>
        <vt:lpwstr>_Toc457569408</vt:lpwstr>
      </vt:variant>
      <vt:variant>
        <vt:i4>1966129</vt:i4>
      </vt:variant>
      <vt:variant>
        <vt:i4>20</vt:i4>
      </vt:variant>
      <vt:variant>
        <vt:i4>0</vt:i4>
      </vt:variant>
      <vt:variant>
        <vt:i4>5</vt:i4>
      </vt:variant>
      <vt:variant>
        <vt:lpwstr/>
      </vt:variant>
      <vt:variant>
        <vt:lpwstr>_Toc457569407</vt:lpwstr>
      </vt:variant>
      <vt:variant>
        <vt:i4>1966129</vt:i4>
      </vt:variant>
      <vt:variant>
        <vt:i4>14</vt:i4>
      </vt:variant>
      <vt:variant>
        <vt:i4>0</vt:i4>
      </vt:variant>
      <vt:variant>
        <vt:i4>5</vt:i4>
      </vt:variant>
      <vt:variant>
        <vt:lpwstr/>
      </vt:variant>
      <vt:variant>
        <vt:lpwstr>_Toc457569406</vt:lpwstr>
      </vt:variant>
      <vt:variant>
        <vt:i4>1966129</vt:i4>
      </vt:variant>
      <vt:variant>
        <vt:i4>8</vt:i4>
      </vt:variant>
      <vt:variant>
        <vt:i4>0</vt:i4>
      </vt:variant>
      <vt:variant>
        <vt:i4>5</vt:i4>
      </vt:variant>
      <vt:variant>
        <vt:lpwstr/>
      </vt:variant>
      <vt:variant>
        <vt:lpwstr>_Toc457569405</vt:lpwstr>
      </vt:variant>
      <vt:variant>
        <vt:i4>1966129</vt:i4>
      </vt:variant>
      <vt:variant>
        <vt:i4>2</vt:i4>
      </vt:variant>
      <vt:variant>
        <vt:i4>0</vt:i4>
      </vt:variant>
      <vt:variant>
        <vt:i4>5</vt:i4>
      </vt:variant>
      <vt:variant>
        <vt:lpwstr/>
      </vt:variant>
      <vt:variant>
        <vt:lpwstr>_Toc457569404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20</cp:revision>
  <cp:lastPrinted>2016-07-29T13:23:00Z</cp:lastPrinted>
  <dcterms:created xsi:type="dcterms:W3CDTF">2016-09-16T06:53:00Z</dcterms:created>
  <dcterms:modified xsi:type="dcterms:W3CDTF">2016-09-23T07:56:00Z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ELDocType">
    <vt:lpwstr>REP.DOT</vt:lpwstr>
  </property>
  <property fmtid="{D5CDD505-2E9C-101B-9397-08002B2CF9AE}" pid="6" name="Created using">
    <vt:lpwstr>3.0</vt:lpwstr>
  </property>
  <property fmtid="{D5CDD505-2E9C-101B-9397-08002B2CF9AE}" pid="7" name="Last edited using">
    <vt:lpwstr>EL </vt:lpwstr>
  </property>
  <property fmtid="{D5CDD505-2E9C-101B-9397-08002B2CF9AE}" pid="8" name="DocStatus">
    <vt:lpwstr>Green</vt:lpwstr>
  </property>
  <property name="OP_sanitized" fmtid="{D5CDD505-2E9C-101B-9397-08002B2CF9AE}" pid="9">
    <vt:lpwstr>True</vt:lpwstr>
  </property>
</Properties>
</file>