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387E703349A447F96CBB95E326EA37E"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RAPPORT FRA KOMMISSIONEN TIL EUROPA-PARLAMENTET OG</w:t>
      </w:r>
    </w:p>
    <w:p>
      <w:pPr>
        <w:spacing w:line="240" w:lineRule="auto"/>
        <w:jc w:val="center"/>
        <w:rPr>
          <w:rFonts w:ascii="Times New Roman" w:hAnsi="Times New Roman"/>
          <w:b/>
          <w:noProof/>
          <w:sz w:val="24"/>
          <w:szCs w:val="24"/>
        </w:rPr>
      </w:pPr>
      <w:r>
        <w:rPr>
          <w:rFonts w:ascii="Times New Roman" w:hAnsi="Times New Roman"/>
          <w:b/>
          <w:noProof/>
          <w:sz w:val="24"/>
        </w:rPr>
        <w:t>RÅDET</w:t>
      </w:r>
    </w:p>
    <w:p>
      <w:pPr>
        <w:jc w:val="center"/>
        <w:rPr>
          <w:rFonts w:ascii="Times New Roman" w:hAnsi="Times New Roman"/>
          <w:b/>
          <w:noProof/>
          <w:sz w:val="24"/>
          <w:szCs w:val="24"/>
        </w:rPr>
      </w:pPr>
      <w:r>
        <w:rPr>
          <w:rFonts w:ascii="Times New Roman" w:hAnsi="Times New Roman"/>
          <w:b/>
          <w:noProof/>
          <w:sz w:val="24"/>
        </w:rPr>
        <w:t>om Kommissionens udøvelse af de beføjelser til at vedtage delegerede retsakter, der er tillagt den ved Europa-Parlamentets og Rådets forordning (EU) nr. 692/2011 om europæiske statistikker om turisme</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INDLEDNING</w:t>
      </w:r>
    </w:p>
    <w:p>
      <w:pPr>
        <w:jc w:val="both"/>
        <w:rPr>
          <w:rFonts w:ascii="Times New Roman" w:hAnsi="Times New Roman"/>
          <w:noProof/>
          <w:sz w:val="24"/>
          <w:szCs w:val="24"/>
        </w:rPr>
      </w:pPr>
      <w:r>
        <w:rPr>
          <w:rFonts w:ascii="Times New Roman" w:hAnsi="Times New Roman"/>
          <w:noProof/>
          <w:sz w:val="24"/>
        </w:rPr>
        <w:t>Der blev ved Europa-Parlamentets og Rådets forordning (EU) nr. 692/2011</w:t>
      </w:r>
      <w:r>
        <w:rPr>
          <w:rStyle w:val="FootnoteReference"/>
          <w:noProof/>
        </w:rPr>
        <w:footnoteReference w:id="1"/>
      </w:r>
      <w:r>
        <w:rPr>
          <w:rFonts w:ascii="Times New Roman" w:hAnsi="Times New Roman"/>
          <w:noProof/>
          <w:sz w:val="24"/>
        </w:rPr>
        <w:t xml:space="preserve"> etableret en fælles ramme for systematisk udvikling, udarbejdelse og formidling af europæiske statistikker om turisme i Den Europæiske Union. Den afspejlede de ændringer, der er sket i karakteren af turismeøkonomien og turisternes adfærd, siden Rådets direktiv 95/57/EF</w:t>
      </w:r>
      <w:r>
        <w:rPr>
          <w:rStyle w:val="FootnoteReference"/>
          <w:rFonts w:ascii="Times New Roman" w:hAnsi="Times New Roman"/>
          <w:noProof/>
          <w:sz w:val="24"/>
        </w:rPr>
        <w:footnoteReference w:id="2"/>
      </w:r>
      <w:r>
        <w:rPr>
          <w:rFonts w:ascii="Times New Roman" w:hAnsi="Times New Roman"/>
          <w:noProof/>
          <w:sz w:val="24"/>
        </w:rPr>
        <w:t xml:space="preserve"> trådte i kraft, og var en reaktion på de ændringer i brugernes behov, der følger heraf. </w:t>
      </w:r>
    </w:p>
    <w:p>
      <w:pPr>
        <w:jc w:val="both"/>
        <w:rPr>
          <w:rFonts w:ascii="Times New Roman" w:hAnsi="Times New Roman"/>
          <w:noProof/>
          <w:sz w:val="24"/>
          <w:szCs w:val="24"/>
        </w:rPr>
      </w:pPr>
      <w:r>
        <w:rPr>
          <w:rFonts w:ascii="Times New Roman" w:hAnsi="Times New Roman"/>
          <w:noProof/>
          <w:sz w:val="24"/>
        </w:rPr>
        <w:t>Forordning (EU) nr. 692/2011 giver Kommissionen beføjelser til at vedtage delegerede retsakter vedrørende:</w:t>
      </w:r>
    </w:p>
    <w:p>
      <w:pPr>
        <w:pStyle w:val="ListParagraph"/>
        <w:numPr>
          <w:ilvl w:val="0"/>
          <w:numId w:val="2"/>
        </w:numPr>
        <w:jc w:val="both"/>
        <w:rPr>
          <w:rFonts w:ascii="Times New Roman" w:hAnsi="Times New Roman"/>
          <w:noProof/>
          <w:sz w:val="24"/>
          <w:szCs w:val="24"/>
        </w:rPr>
      </w:pPr>
      <w:r>
        <w:rPr>
          <w:rFonts w:ascii="Times New Roman" w:hAnsi="Times New Roman"/>
          <w:noProof/>
          <w:sz w:val="24"/>
        </w:rPr>
        <w:t>ændring af definitionerne med henblik på at tilpasse disse definitioner til ændringer i internationale definitioner (artikel 2, stk. 2)</w:t>
      </w:r>
    </w:p>
    <w:p>
      <w:pPr>
        <w:numPr>
          <w:ilvl w:val="0"/>
          <w:numId w:val="2"/>
        </w:numPr>
        <w:ind w:left="714" w:hanging="357"/>
        <w:jc w:val="both"/>
        <w:rPr>
          <w:rFonts w:ascii="Times New Roman" w:hAnsi="Times New Roman"/>
          <w:noProof/>
          <w:sz w:val="24"/>
          <w:szCs w:val="24"/>
        </w:rPr>
      </w:pPr>
      <w:r>
        <w:rPr>
          <w:rFonts w:ascii="Times New Roman" w:hAnsi="Times New Roman"/>
          <w:noProof/>
          <w:sz w:val="24"/>
        </w:rPr>
        <w:t>ændring af fremsendelsesfristerne for data for at tage hensyn til den økonomiske, sociale eller tekniske udvikling (artikel 9, stk. 5) og</w:t>
      </w:r>
    </w:p>
    <w:p>
      <w:pPr>
        <w:pStyle w:val="ListParagraph"/>
        <w:numPr>
          <w:ilvl w:val="0"/>
          <w:numId w:val="2"/>
        </w:numPr>
        <w:jc w:val="both"/>
        <w:rPr>
          <w:rFonts w:ascii="Times New Roman" w:hAnsi="Times New Roman"/>
          <w:noProof/>
          <w:sz w:val="24"/>
          <w:szCs w:val="24"/>
        </w:rPr>
      </w:pPr>
      <w:r>
        <w:rPr>
          <w:rFonts w:ascii="Times New Roman" w:hAnsi="Times New Roman"/>
          <w:noProof/>
          <w:sz w:val="24"/>
        </w:rPr>
        <w:t>tilpasning af bilagene for at tage hensyn til den økonomiske, sociale eller tekniske udvikling. Dog kan Kommissionen ikke ændre bestemmelser i bilaget om de krævede datas frivillige karakter og begrænsningen af dataindsamlingen (artikel 3, stk. 2).</w:t>
      </w:r>
    </w:p>
    <w:p>
      <w:pPr>
        <w:jc w:val="both"/>
        <w:rPr>
          <w:rFonts w:ascii="Times New Roman" w:hAnsi="Times New Roman"/>
          <w:noProof/>
          <w:color w:val="FF0000"/>
          <w:sz w:val="24"/>
          <w:szCs w:val="24"/>
        </w:rPr>
      </w:pPr>
      <w:r>
        <w:rPr>
          <w:rFonts w:ascii="Times New Roman" w:hAnsi="Times New Roman"/>
          <w:noProof/>
          <w:sz w:val="24"/>
        </w:rPr>
        <w:t xml:space="preserve">Ved forordning (EU) nr. 692/2011 understreges yderligere betydningen af, at Kommissionen gennemfører relevante høringer under sit forberedende arbejde, herunder på ekspertniveau, inden den udøver sine beføjelser. </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RETSGRUNDLAG</w:t>
      </w:r>
    </w:p>
    <w:p>
      <w:pPr>
        <w:jc w:val="both"/>
        <w:rPr>
          <w:rFonts w:ascii="Times New Roman" w:hAnsi="Times New Roman"/>
          <w:noProof/>
          <w:sz w:val="24"/>
          <w:szCs w:val="24"/>
        </w:rPr>
      </w:pPr>
      <w:r>
        <w:rPr>
          <w:rFonts w:ascii="Times New Roman" w:hAnsi="Times New Roman"/>
          <w:noProof/>
          <w:sz w:val="24"/>
        </w:rPr>
        <w:t>Denne rapport forelægges i henhold til artikel 11, stk. 2, i forordning (EU) nr. 692/2011. I henhold til denne bestemmelse tillægges Kommissionen beføjelser til at vedtage delegerede retsakter for en periode på fem år fra den 11. august 2011, og den skal senest ni måneder inden udløbet af femårsperioden udarbejde en rapport vedrørende delegationen af beføjelser.</w:t>
      </w: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UDØVELSE AF DE DELEGEREDE BEFØJELSER</w:t>
      </w:r>
    </w:p>
    <w:p>
      <w:pPr>
        <w:jc w:val="both"/>
        <w:rPr>
          <w:rFonts w:ascii="Times New Roman" w:hAnsi="Times New Roman"/>
          <w:noProof/>
          <w:color w:val="FF0000"/>
          <w:sz w:val="24"/>
          <w:szCs w:val="24"/>
        </w:rPr>
      </w:pPr>
      <w:r>
        <w:rPr>
          <w:rFonts w:ascii="Times New Roman" w:hAnsi="Times New Roman"/>
          <w:noProof/>
          <w:sz w:val="24"/>
        </w:rPr>
        <w:lastRenderedPageBreak/>
        <w:t>Siden forordning (EU) nr. 692/2011 trådte i kraft, har Kommissionen vedtaget en delegeret retsakt, nemlig Kommissionens delegerede forordning (EU) nr. 253/2013</w:t>
      </w:r>
      <w:r>
        <w:rPr>
          <w:rStyle w:val="FootnoteReference"/>
          <w:rFonts w:ascii="Times New Roman" w:hAnsi="Times New Roman"/>
          <w:noProof/>
          <w:sz w:val="24"/>
        </w:rPr>
        <w:footnoteReference w:id="3"/>
      </w:r>
      <w:r>
        <w:rPr>
          <w:rFonts w:ascii="Times New Roman" w:hAnsi="Times New Roman"/>
          <w:noProof/>
          <w:sz w:val="24"/>
        </w:rPr>
        <w:t xml:space="preserve">.  Ved denne forordning blev visse definitioner i forbindelse med niveauer for fuldført uddannelse ændret med henblik på at afspejle ændringer i International Standard Classification of Education (ISCED). </w:t>
      </w:r>
    </w:p>
    <w:p>
      <w:pPr>
        <w:jc w:val="both"/>
        <w:rPr>
          <w:rFonts w:ascii="Times New Roman" w:hAnsi="Times New Roman"/>
          <w:noProof/>
          <w:sz w:val="24"/>
          <w:szCs w:val="24"/>
        </w:rPr>
      </w:pPr>
      <w:r>
        <w:rPr>
          <w:rFonts w:ascii="Times New Roman" w:hAnsi="Times New Roman"/>
          <w:noProof/>
          <w:sz w:val="24"/>
        </w:rPr>
        <w:t>Det blev anset for nødvendigt at udøve beføjelserne på grund af revisionen af International Standard Classification of Education (ISCED), der blev vedtaget af UNESCO (De Forenede Nationers Organisation for Uddannelse, Videnskab og Kultur) på dens 36. Generalkonference i november 2011. I henhold til artikel 2, stk. 2, i forordning (EU) nr. 692/2011 kan Kommissionen vedtage delegerede retsakter vedrørende tilpasning af definitioner, der anvendes i EU-statistikker, til ændringer i internationale definitioner.</w:t>
      </w:r>
    </w:p>
    <w:p>
      <w:pPr>
        <w:jc w:val="both"/>
        <w:rPr>
          <w:rFonts w:ascii="Times New Roman" w:hAnsi="Times New Roman"/>
          <w:noProof/>
          <w:sz w:val="24"/>
          <w:szCs w:val="24"/>
        </w:rPr>
      </w:pPr>
      <w:r>
        <w:rPr>
          <w:rFonts w:ascii="Times New Roman" w:hAnsi="Times New Roman"/>
          <w:noProof/>
          <w:sz w:val="24"/>
        </w:rPr>
        <w:t>Ved Kommissionens delegerede forordning (EU) nr. 253/2013 blev der foretaget følgende ændringer af bilag II til forordning (EU) nr. 692/2011:</w:t>
      </w:r>
    </w:p>
    <w:p>
      <w:pPr>
        <w:numPr>
          <w:ilvl w:val="0"/>
          <w:numId w:val="2"/>
        </w:numPr>
        <w:ind w:left="714" w:hanging="357"/>
        <w:jc w:val="both"/>
        <w:rPr>
          <w:rFonts w:ascii="Times New Roman" w:hAnsi="Times New Roman"/>
          <w:noProof/>
          <w:sz w:val="24"/>
          <w:szCs w:val="24"/>
        </w:rPr>
      </w:pPr>
      <w:r>
        <w:rPr>
          <w:rFonts w:ascii="Times New Roman" w:hAnsi="Times New Roman"/>
          <w:noProof/>
          <w:sz w:val="24"/>
        </w:rPr>
        <w:t>Alle henvisninger til variablen eller den socioøkonomiske opdeling "uddannelsesniveau" blev ændret til "højeste fuldførte uddannelse".</w:t>
      </w:r>
    </w:p>
    <w:p>
      <w:pPr>
        <w:numPr>
          <w:ilvl w:val="0"/>
          <w:numId w:val="2"/>
        </w:numPr>
        <w:ind w:left="714" w:hanging="357"/>
        <w:jc w:val="both"/>
        <w:rPr>
          <w:rFonts w:ascii="Times New Roman" w:hAnsi="Times New Roman"/>
          <w:noProof/>
          <w:sz w:val="24"/>
          <w:szCs w:val="24"/>
        </w:rPr>
      </w:pPr>
      <w:r>
        <w:rPr>
          <w:rFonts w:ascii="Times New Roman" w:hAnsi="Times New Roman"/>
          <w:noProof/>
          <w:sz w:val="24"/>
        </w:rPr>
        <w:t xml:space="preserve">Alle henvisninger til kategorierne "lavt niveau (ISCED 0, 1 eller 2), mellemniveau (ISCED 3 eller 4), højt niveau (ISCED 5 eller 6)" blev ændret til "første sekundærtrin eller derunder, andet sekundærtrin og postsekundær undervisning (bortset fra videregående uddannelse), videregående uddannelse". </w:t>
      </w:r>
    </w:p>
    <w:p>
      <w:pPr>
        <w:jc w:val="both"/>
        <w:rPr>
          <w:rFonts w:ascii="Times New Roman" w:hAnsi="Times New Roman"/>
          <w:noProof/>
          <w:sz w:val="24"/>
          <w:szCs w:val="24"/>
        </w:rPr>
      </w:pPr>
      <w:r>
        <w:rPr>
          <w:rFonts w:ascii="Times New Roman" w:hAnsi="Times New Roman"/>
          <w:noProof/>
          <w:sz w:val="24"/>
        </w:rPr>
        <w:t>Ændringerne finder anvendelse fra den 1. januar 2014.</w:t>
      </w:r>
    </w:p>
    <w:p>
      <w:pPr>
        <w:jc w:val="both"/>
        <w:rPr>
          <w:rFonts w:ascii="Times New Roman" w:hAnsi="Times New Roman"/>
          <w:noProof/>
          <w:sz w:val="24"/>
          <w:szCs w:val="24"/>
        </w:rPr>
      </w:pPr>
      <w:r>
        <w:rPr>
          <w:rFonts w:ascii="Times New Roman" w:hAnsi="Times New Roman"/>
          <w:noProof/>
          <w:sz w:val="24"/>
        </w:rPr>
        <w:t>Kommissionen gennemførte høringer af eksperter, herunder nationale eksperter i turismestatistikker, vedrørende udkastet til den delegerede retsakt på teknisk niveau (juni 2012) og direktørniveau (juli 2012). Udkastet til Kommissionens delegerede retsakt blev forelagt for generaldirektørerne for de nationale statistiske kontorer i EU i november 2012.</w:t>
      </w:r>
    </w:p>
    <w:p>
      <w:pPr>
        <w:jc w:val="both"/>
        <w:rPr>
          <w:rFonts w:ascii="Times New Roman" w:hAnsi="Times New Roman"/>
          <w:noProof/>
          <w:sz w:val="24"/>
          <w:szCs w:val="24"/>
        </w:rPr>
      </w:pPr>
      <w:r>
        <w:rPr>
          <w:rFonts w:ascii="Times New Roman" w:hAnsi="Times New Roman"/>
          <w:noProof/>
          <w:sz w:val="24"/>
        </w:rPr>
        <w:t xml:space="preserve">Kommissionen vedtog den delegerede forordning den 15. januar 2013 og underrettede Europa-Parlamentet og Rådet. Hverken Europa-Parlamentet eller Rådet gjorde indsigelse mod den delegerede forordning inden for fristen på to måneder. Ved udløbet af perioden på to måneder blev den delegerede forordning offentliggjort i </w:t>
      </w:r>
      <w:r>
        <w:rPr>
          <w:rFonts w:ascii="Times New Roman" w:hAnsi="Times New Roman"/>
          <w:i/>
          <w:noProof/>
          <w:sz w:val="24"/>
        </w:rPr>
        <w:t>Den Europæiske Unions Tidende</w:t>
      </w:r>
      <w:r>
        <w:rPr>
          <w:rFonts w:ascii="Times New Roman" w:hAnsi="Times New Roman"/>
          <w:noProof/>
          <w:sz w:val="24"/>
        </w:rPr>
        <w:t xml:space="preserve"> den 21. marts 2013 og har fundet anvendelse siden den 1. januar 2014. </w:t>
      </w:r>
    </w:p>
    <w:p>
      <w:pPr>
        <w:jc w:val="both"/>
        <w:rPr>
          <w:rFonts w:ascii="Times New Roman" w:hAnsi="Times New Roman"/>
          <w:noProof/>
          <w:sz w:val="24"/>
          <w:szCs w:val="24"/>
        </w:rPr>
      </w:pPr>
      <w:r>
        <w:rPr>
          <w:rFonts w:ascii="Times New Roman" w:hAnsi="Times New Roman"/>
          <w:noProof/>
          <w:sz w:val="24"/>
        </w:rPr>
        <w:t>Selv om der i de dem år, der er gået, siden forordningen trådte i kraft, ikke er opstået behov for at vedtage delegerede retsakter vedrørende ændring af fremsendelsesfristerne for data eller vedrørende ændring af bilagene for at tage hensyn til den økonomiske, sociale eller tekniske udvikling, er beføjelserne fortsat relevante.</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KONKLUSION</w:t>
      </w:r>
    </w:p>
    <w:p>
      <w:pPr>
        <w:jc w:val="both"/>
        <w:rPr>
          <w:rFonts w:ascii="Times New Roman" w:hAnsi="Times New Roman"/>
          <w:noProof/>
          <w:sz w:val="24"/>
          <w:szCs w:val="24"/>
        </w:rPr>
      </w:pPr>
      <w:r>
        <w:rPr>
          <w:rFonts w:ascii="Times New Roman" w:hAnsi="Times New Roman"/>
          <w:noProof/>
          <w:sz w:val="24"/>
        </w:rPr>
        <w:t>Kommissionen har udøvet sine delegerede beføjelser korrekt og opfordrer Europa-Parlamentet og Rådet til at tage denne rapport til efterretning.</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13" w:hanging="113"/>
        <w:rPr>
          <w:rFonts w:ascii="Times New Roman" w:hAnsi="Times New Roman"/>
        </w:rPr>
      </w:pPr>
      <w:r>
        <w:rPr>
          <w:rStyle w:val="FootnoteReference"/>
          <w:rFonts w:ascii="Times New Roman" w:hAnsi="Times New Roman"/>
        </w:rPr>
        <w:footnoteRef/>
      </w:r>
      <w:r>
        <w:rPr>
          <w:rFonts w:ascii="Times New Roman" w:hAnsi="Times New Roman"/>
        </w:rPr>
        <w:t xml:space="preserve"> Europa-Parlamentets og Rådets forordning (EU) nr. 692/2011 af 6. juli 2011 om europæiske statistikker om turisme og om ophævelse af Rådets direktiv 95/57/EF (EUT L 192 af 22.7.2011, s. 17).</w:t>
      </w:r>
    </w:p>
  </w:footnote>
  <w:footnote w:id="2">
    <w:p>
      <w:pPr>
        <w:pStyle w:val="FootnoteText"/>
        <w:ind w:left="113" w:hanging="113"/>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Rådets direktiv 95/57/EF af 23. november 1995 om indsamling af statistiske oplysninger vedrørende turisme (EFT L 291 af 6.12.1995, s. 32).</w:t>
      </w:r>
    </w:p>
  </w:footnote>
  <w:footnote w:id="3">
    <w:p>
      <w:pPr>
        <w:ind w:left="113" w:hanging="113"/>
        <w:jc w:val="both"/>
        <w:rPr>
          <w:rFonts w:ascii="Times New Roman" w:hAnsi="Times New Roman"/>
          <w:sz w:val="20"/>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 xml:space="preserve">Kommissionens delegerede forordning (EU) nr. 253/2013 af 15. januar 2013 om ændring af bilag II til Europa-Parlamentets og Rådets forordning (EU) nr. 692/2011 for så vidt angår tilpasninger som følge af revisionen af International Standard Classification of Education ISCED i tilknytning til de variabler og opdelinger, der skal indberettes (EUT L 79 af 21.3.2013, s.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2ECB"/>
    <w:multiLevelType w:val="hybridMultilevel"/>
    <w:tmpl w:val="DBDA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D68F3"/>
    <w:multiLevelType w:val="hybridMultilevel"/>
    <w:tmpl w:val="1FD8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38419C"/>
    <w:multiLevelType w:val="hybridMultilevel"/>
    <w:tmpl w:val="7520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F387E703349A447F96CBB95E326EA37E"/>
    <w:docVar w:name="LW_CROSSREFERENCE" w:val="&lt;UNUSED&gt;"/>
    <w:docVar w:name="LW_DocType" w:val="NORMAL"/>
    <w:docVar w:name="LW_EMISSION" w:val="20.1.2016"/>
    <w:docVar w:name="LW_EMISSION_ISODATE" w:val="2016-01-20"/>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4"/>
    <w:docVar w:name="LW_REF.INTERNE" w:val="&lt;UNUSED&gt;"/>
    <w:docVar w:name="LW_SOUS.TITRE.OBJ.CP" w:val="&lt;UNUSED&gt;"/>
    <w:docVar w:name="LW_SUPERTITRE" w:val="&lt;UNUSED&gt;"/>
    <w:docVar w:name="LW_TITRE.OBJ.CP" w:val="om Kommissionens udøvelse af de beføjelser til at vedtage delegerede retsakter, der er tillagt den ved Europa-Parlamentets og Rådets forordning (EU) nr. 692/2011 om europæiske statistikker om turisme"/>
    <w:docVar w:name="LW_TYPE.DOC.CP" w:val="RAPPORT FRA KOMMISSIONEN TIL EUROPA-PARLAMENTET OG RÅDET"/>
    <w:docVar w:name="Stamp" w:val="\\dossiers.dgt.cec.eu.int\dossiers\ESTAT\ESTAT-2015-10437\ESTAT-2015-10437-00-00-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da-D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lang w:val="da-DK"/>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lang w:val="da-DK"/>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FootnoteText">
    <w:name w:val="footnote text"/>
    <w:basedOn w:val="Normal"/>
    <w:uiPriority w:val="99"/>
    <w:semiHidden/>
    <w:unhideWhenUsed/>
    <w:rPr>
      <w:sz w:val="20"/>
      <w:szCs w:val="20"/>
    </w:rPr>
  </w:style>
  <w:style w:type="character" w:customStyle="1" w:styleId="FootnoteTextChar">
    <w:name w:val="Footnote Text Char"/>
    <w:uiPriority w:val="99"/>
    <w:semiHidden/>
    <w:rPr>
      <w:rFonts w:ascii="Calibri" w:eastAsia="Calibri" w:hAnsi="Calibri" w:cs="Times New Roman"/>
      <w:sz w:val="20"/>
      <w:szCs w:val="20"/>
      <w:lang w:val="da-DK"/>
    </w:rPr>
  </w:style>
  <w:style w:type="character" w:styleId="FootnoteReference">
    <w:name w:val="footnote reference"/>
    <w:semiHidden/>
    <w:rPr>
      <w:shd w:val="clear" w:color="auto" w:fill="auto"/>
      <w:vertAlign w:val="superscript"/>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F4CEE-E4AB-4567-A468-C22F7156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657</Words>
  <Characters>4087</Characters>
  <Application>Microsoft Office Word</Application>
  <DocSecurity>0</DocSecurity>
  <Lines>68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16</cp:revision>
  <dcterms:created xsi:type="dcterms:W3CDTF">2016-01-11T13:32:00Z</dcterms:created>
  <dcterms:modified xsi:type="dcterms:W3CDTF">2016-01-14T12:02:00Z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