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header9.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3.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9"/>
      </w:tblGrid>
      <w:tr w:rsidR="00574C9B" w:rsidRPr="005F5AE6" w14:paraId="4B18B74B" w14:textId="77777777" w:rsidTr="008E4CC5">
        <w:trPr>
          <w:jc w:val="center"/>
        </w:trPr>
        <w:tc>
          <w:tcPr>
            <w:tcW w:w="5000" w:type="pct"/>
            <w:vAlign w:val="center"/>
          </w:tcPr>
          <w:p w14:paraId="4B8F14AB" w14:textId="68F262D8" w:rsidR="00574C9B" w:rsidRPr="005F5AE6" w:rsidRDefault="00574C9B" w:rsidP="006125A1">
            <w:pPr>
              <w:jc w:val="center"/>
              <w:rPr>
                <w:b/>
                <w:sz w:val="72"/>
                <w:szCs w:val="72"/>
              </w:rPr>
            </w:pPr>
            <w:r>
              <w:rPr>
                <w:b/>
                <w:sz w:val="72"/>
              </w:rPr>
              <w:t>STANOVISKO</w:t>
            </w:r>
          </w:p>
        </w:tc>
      </w:tr>
      <w:tr w:rsidR="00574C9B" w:rsidRPr="005F5AE6" w14:paraId="428F80C1" w14:textId="77777777" w:rsidTr="008E4CC5">
        <w:trPr>
          <w:trHeight w:val="567"/>
          <w:jc w:val="center"/>
        </w:trPr>
        <w:tc>
          <w:tcPr>
            <w:tcW w:w="5000" w:type="pct"/>
            <w:vAlign w:val="center"/>
          </w:tcPr>
          <w:p w14:paraId="0E3C838D" w14:textId="032541F6" w:rsidR="00574C9B" w:rsidRPr="005F5AE6" w:rsidRDefault="00574C9B" w:rsidP="006125A1">
            <w:pPr>
              <w:jc w:val="center"/>
              <w:rPr>
                <w:sz w:val="24"/>
                <w:szCs w:val="24"/>
              </w:rPr>
            </w:pPr>
            <w:r>
              <w:rPr>
                <w:sz w:val="24"/>
              </w:rPr>
              <w:t>Evropského hospodářského</w:t>
            </w:r>
            <w:r w:rsidR="00476DA8">
              <w:rPr>
                <w:sz w:val="24"/>
              </w:rPr>
              <w:t xml:space="preserve"> a </w:t>
            </w:r>
            <w:r>
              <w:rPr>
                <w:sz w:val="24"/>
              </w:rPr>
              <w:t>sociálního výboru</w:t>
            </w:r>
          </w:p>
        </w:tc>
      </w:tr>
      <w:tr w:rsidR="00574C9B" w:rsidRPr="005F5AE6" w14:paraId="5FCA7EB1" w14:textId="77777777" w:rsidTr="008E4CC5">
        <w:trPr>
          <w:jc w:val="center"/>
        </w:trPr>
        <w:tc>
          <w:tcPr>
            <w:tcW w:w="5000" w:type="pct"/>
            <w:vAlign w:val="center"/>
          </w:tcPr>
          <w:p w14:paraId="164B3F5D" w14:textId="127D6C86" w:rsidR="00574C9B" w:rsidRPr="005F5AE6" w:rsidRDefault="00DE601C" w:rsidP="006125A1">
            <w:pPr>
              <w:jc w:val="center"/>
              <w:rPr>
                <w:b/>
                <w:sz w:val="44"/>
                <w:szCs w:val="44"/>
              </w:rPr>
            </w:pPr>
            <w:r>
              <w:rPr>
                <w:b/>
                <w:sz w:val="44"/>
              </w:rPr>
              <w:t>Souhrnný balíček týkající se chemických látek</w:t>
            </w:r>
          </w:p>
        </w:tc>
      </w:tr>
      <w:tr w:rsidR="00574C9B" w:rsidRPr="005F5AE6" w14:paraId="0A2CA787" w14:textId="77777777" w:rsidTr="008E4CC5">
        <w:trPr>
          <w:jc w:val="center"/>
        </w:trPr>
        <w:tc>
          <w:tcPr>
            <w:tcW w:w="5000" w:type="pct"/>
            <w:vAlign w:val="center"/>
          </w:tcPr>
          <w:p w14:paraId="766B3712" w14:textId="77777777" w:rsidR="00574C9B" w:rsidRPr="005F5AE6" w:rsidRDefault="00574C9B" w:rsidP="006125A1">
            <w:pPr>
              <w:overflowPunct w:val="0"/>
              <w:autoSpaceDE w:val="0"/>
              <w:autoSpaceDN w:val="0"/>
              <w:adjustRightInd w:val="0"/>
              <w:jc w:val="center"/>
              <w:textAlignment w:val="baseline"/>
              <w:rPr>
                <w:b/>
                <w:position w:val="24"/>
                <w:sz w:val="24"/>
                <w:szCs w:val="24"/>
              </w:rPr>
            </w:pPr>
            <w:r>
              <w:rPr>
                <w:sz w:val="24"/>
              </w:rPr>
              <w:t>_____________</w:t>
            </w:r>
          </w:p>
        </w:tc>
      </w:tr>
      <w:tr w:rsidR="00574C9B" w:rsidRPr="00F41294" w14:paraId="651BE820" w14:textId="77777777" w:rsidTr="008E4CC5">
        <w:trPr>
          <w:jc w:val="center"/>
        </w:trPr>
        <w:tc>
          <w:tcPr>
            <w:tcW w:w="5000" w:type="pct"/>
            <w:vAlign w:val="center"/>
          </w:tcPr>
          <w:p w14:paraId="1B14B009" w14:textId="65B8BDE2" w:rsidR="00C76215" w:rsidRPr="00B417F6" w:rsidRDefault="00C76215" w:rsidP="00C76215">
            <w:pPr>
              <w:jc w:val="center"/>
              <w:rPr>
                <w:b/>
                <w:bCs/>
                <w:sz w:val="24"/>
                <w:szCs w:val="24"/>
              </w:rPr>
            </w:pPr>
            <w:r>
              <w:rPr>
                <w:b/>
                <w:sz w:val="24"/>
              </w:rPr>
              <w:t>Návrh nařízení Evropského parlamentu</w:t>
            </w:r>
            <w:r w:rsidR="00476DA8">
              <w:rPr>
                <w:b/>
                <w:sz w:val="24"/>
              </w:rPr>
              <w:t xml:space="preserve"> a </w:t>
            </w:r>
            <w:r>
              <w:rPr>
                <w:b/>
                <w:sz w:val="24"/>
              </w:rPr>
              <w:t>Rady, kterým se mění nařízení (EU) 2024/2865, pokud jde</w:t>
            </w:r>
            <w:r w:rsidR="00476DA8">
              <w:rPr>
                <w:b/>
                <w:sz w:val="24"/>
              </w:rPr>
              <w:t xml:space="preserve"> o </w:t>
            </w:r>
            <w:r>
              <w:rPr>
                <w:b/>
                <w:sz w:val="24"/>
              </w:rPr>
              <w:t>data použitelnosti</w:t>
            </w:r>
            <w:r w:rsidR="00476DA8">
              <w:rPr>
                <w:b/>
                <w:sz w:val="24"/>
              </w:rPr>
              <w:t xml:space="preserve"> a </w:t>
            </w:r>
            <w:r>
              <w:rPr>
                <w:b/>
                <w:sz w:val="24"/>
              </w:rPr>
              <w:t>přechodná ustanovení</w:t>
            </w:r>
          </w:p>
          <w:p w14:paraId="03B20B23" w14:textId="77777777" w:rsidR="00C76215" w:rsidRPr="00B417F6" w:rsidRDefault="00C76215" w:rsidP="00C76215">
            <w:pPr>
              <w:jc w:val="center"/>
              <w:rPr>
                <w:b/>
                <w:bCs/>
                <w:sz w:val="24"/>
                <w:szCs w:val="24"/>
              </w:rPr>
            </w:pPr>
            <w:r>
              <w:rPr>
                <w:b/>
                <w:sz w:val="24"/>
              </w:rPr>
              <w:t>a</w:t>
            </w:r>
          </w:p>
          <w:p w14:paraId="6061E43A" w14:textId="3033605A" w:rsidR="00C76215" w:rsidRPr="00B417F6" w:rsidRDefault="00C76215" w:rsidP="00C76215">
            <w:pPr>
              <w:jc w:val="center"/>
              <w:rPr>
                <w:b/>
                <w:bCs/>
                <w:sz w:val="24"/>
                <w:szCs w:val="24"/>
              </w:rPr>
            </w:pPr>
            <w:r>
              <w:rPr>
                <w:b/>
                <w:sz w:val="24"/>
              </w:rPr>
              <w:t>Návrh nařízení Evropského parlamentu</w:t>
            </w:r>
            <w:r w:rsidR="00476DA8">
              <w:rPr>
                <w:b/>
                <w:sz w:val="24"/>
              </w:rPr>
              <w:t xml:space="preserve"> a </w:t>
            </w:r>
            <w:r>
              <w:rPr>
                <w:b/>
                <w:sz w:val="24"/>
              </w:rPr>
              <w:t>Rady, kterým se mění nařízení (ES) č. 1272/2008, (ES) č. 1223/2009</w:t>
            </w:r>
            <w:r w:rsidR="00476DA8">
              <w:rPr>
                <w:b/>
                <w:sz w:val="24"/>
              </w:rPr>
              <w:t xml:space="preserve"> a </w:t>
            </w:r>
            <w:r>
              <w:rPr>
                <w:b/>
                <w:sz w:val="24"/>
              </w:rPr>
              <w:t>(EU) 2019/1009, pokud jde</w:t>
            </w:r>
            <w:r w:rsidR="00476DA8">
              <w:rPr>
                <w:b/>
                <w:sz w:val="24"/>
              </w:rPr>
              <w:t xml:space="preserve"> o </w:t>
            </w:r>
            <w:r>
              <w:rPr>
                <w:b/>
                <w:sz w:val="24"/>
              </w:rPr>
              <w:t>zjednodušení některých požadavků</w:t>
            </w:r>
            <w:r w:rsidR="00476DA8">
              <w:rPr>
                <w:b/>
                <w:sz w:val="24"/>
              </w:rPr>
              <w:t xml:space="preserve"> a </w:t>
            </w:r>
            <w:r>
              <w:rPr>
                <w:b/>
                <w:sz w:val="24"/>
              </w:rPr>
              <w:t>postupů týkajících se chemických výrobků</w:t>
            </w:r>
          </w:p>
          <w:p w14:paraId="34C58A43" w14:textId="35C6DC80" w:rsidR="00C76215" w:rsidRPr="00476DA8" w:rsidRDefault="00C76215" w:rsidP="00C76215">
            <w:pPr>
              <w:jc w:val="center"/>
            </w:pPr>
            <w:r w:rsidRPr="00476DA8">
              <w:t>(COM(2025) 526 final – 2025/0526 (COD))</w:t>
            </w:r>
          </w:p>
          <w:p w14:paraId="6E238E6D" w14:textId="0304AAB9" w:rsidR="00574C9B" w:rsidRPr="00A43C80" w:rsidRDefault="00C76215" w:rsidP="00C76215">
            <w:pPr>
              <w:jc w:val="center"/>
              <w:rPr>
                <w:sz w:val="24"/>
                <w:szCs w:val="24"/>
              </w:rPr>
            </w:pPr>
            <w:r w:rsidRPr="00476DA8">
              <w:t>(COM(2025) 531 final – 2025/0531 (COD))</w:t>
            </w:r>
          </w:p>
        </w:tc>
      </w:tr>
      <w:tr w:rsidR="00574C9B" w:rsidRPr="00F41294" w14:paraId="295584EE" w14:textId="77777777" w:rsidTr="008E4CC5">
        <w:trPr>
          <w:jc w:val="center"/>
        </w:trPr>
        <w:tc>
          <w:tcPr>
            <w:tcW w:w="5000" w:type="pct"/>
            <w:vAlign w:val="center"/>
          </w:tcPr>
          <w:p w14:paraId="7AA50FA1" w14:textId="21B61F57" w:rsidR="00574C9B" w:rsidRPr="00F41294" w:rsidRDefault="00574C9B" w:rsidP="006125A1">
            <w:pPr>
              <w:jc w:val="center"/>
              <w:rPr>
                <w:sz w:val="24"/>
                <w:szCs w:val="24"/>
                <w:lang w:val="en-GB"/>
              </w:rPr>
            </w:pPr>
          </w:p>
        </w:tc>
      </w:tr>
      <w:tr w:rsidR="00574C9B" w:rsidRPr="005F5AE6" w14:paraId="41F47321" w14:textId="77777777" w:rsidTr="008E4CC5">
        <w:trPr>
          <w:jc w:val="center"/>
        </w:trPr>
        <w:tc>
          <w:tcPr>
            <w:tcW w:w="5000" w:type="pct"/>
            <w:vAlign w:val="center"/>
          </w:tcPr>
          <w:p w14:paraId="50D97899" w14:textId="65163460" w:rsidR="00574C9B" w:rsidRPr="00F14C2D" w:rsidRDefault="00C76215" w:rsidP="006125A1">
            <w:pPr>
              <w:jc w:val="center"/>
              <w:rPr>
                <w:b/>
                <w:sz w:val="24"/>
                <w:szCs w:val="24"/>
              </w:rPr>
            </w:pPr>
            <w:r>
              <w:rPr>
                <w:b/>
                <w:sz w:val="24"/>
              </w:rPr>
              <w:t>NAT/964</w:t>
            </w:r>
          </w:p>
        </w:tc>
      </w:tr>
      <w:tr w:rsidR="00574C9B" w:rsidRPr="005F5AE6" w14:paraId="2110FDEB" w14:textId="77777777" w:rsidTr="008E4CC5">
        <w:trPr>
          <w:jc w:val="center"/>
        </w:trPr>
        <w:tc>
          <w:tcPr>
            <w:tcW w:w="5000" w:type="pct"/>
            <w:vAlign w:val="center"/>
          </w:tcPr>
          <w:p w14:paraId="59F181E4" w14:textId="77777777" w:rsidR="00574C9B" w:rsidRPr="00F14C2D" w:rsidRDefault="00574C9B" w:rsidP="006125A1">
            <w:pPr>
              <w:jc w:val="center"/>
              <w:rPr>
                <w:sz w:val="24"/>
                <w:szCs w:val="24"/>
                <w:lang w:val="en-GB"/>
              </w:rPr>
            </w:pPr>
          </w:p>
        </w:tc>
      </w:tr>
      <w:tr w:rsidR="00574C9B" w:rsidRPr="005F5AE6" w14:paraId="5DF7EBEA" w14:textId="77777777" w:rsidTr="008E4CC5">
        <w:trPr>
          <w:jc w:val="center"/>
        </w:trPr>
        <w:tc>
          <w:tcPr>
            <w:tcW w:w="5000" w:type="pct"/>
            <w:vAlign w:val="center"/>
          </w:tcPr>
          <w:p w14:paraId="23E9DE0A" w14:textId="1FE4376C" w:rsidR="00574C9B" w:rsidRPr="00F14C2D" w:rsidRDefault="00574C9B" w:rsidP="006125A1">
            <w:pPr>
              <w:jc w:val="center"/>
              <w:rPr>
                <w:sz w:val="24"/>
                <w:szCs w:val="24"/>
              </w:rPr>
            </w:pPr>
            <w:r>
              <w:rPr>
                <w:sz w:val="24"/>
              </w:rPr>
              <w:t xml:space="preserve">Hlavní zpravodaj: </w:t>
            </w:r>
            <w:r>
              <w:rPr>
                <w:b/>
                <w:sz w:val="24"/>
              </w:rPr>
              <w:t>John COMER</w:t>
            </w:r>
          </w:p>
        </w:tc>
      </w:tr>
    </w:tbl>
    <w:p w14:paraId="0B225863" w14:textId="77777777" w:rsidR="00574C9B" w:rsidRPr="005F5AE6" w:rsidRDefault="00574C9B" w:rsidP="00574C9B">
      <w:r>
        <w:rPr>
          <w:noProof/>
          <w:sz w:val="20"/>
        </w:rPr>
        <mc:AlternateContent>
          <mc:Choice Requires="wps">
            <w:drawing>
              <wp:anchor distT="0" distB="0" distL="114300" distR="114300" simplePos="0" relativeHeight="251657216" behindDoc="1" locked="0" layoutInCell="0" allowOverlap="1" wp14:anchorId="3735E109" wp14:editId="3357AC0E">
                <wp:simplePos x="0" y="0"/>
                <wp:positionH relativeFrom="rightMargin">
                  <wp:posOffset>-201930</wp:posOffset>
                </wp:positionH>
                <wp:positionV relativeFrom="page">
                  <wp:posOffset>9486900</wp:posOffset>
                </wp:positionV>
                <wp:extent cx="741600" cy="432000"/>
                <wp:effectExtent l="0" t="0" r="0" b="635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43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B00903" w14:textId="77777777" w:rsidR="00574C9B" w:rsidRDefault="00574C9B" w:rsidP="00574C9B">
                            <w:pPr>
                              <w:jc w:val="center"/>
                            </w:pPr>
                            <w:r>
                              <w:rPr>
                                <w:rFonts w:ascii="Arial" w:hAnsi="Arial"/>
                                <w:b/>
                                <w:sz w:val="48"/>
                              </w:rPr>
                              <w:t>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35E109" id="_x0000_t202" coordsize="21600,21600" o:spt="202" path="m,l,21600r21600,l21600,xe">
                <v:stroke joinstyle="miter"/>
                <v:path gradientshapeok="t" o:connecttype="rect"/>
              </v:shapetype>
              <v:shape id="Text Box 17" o:spid="_x0000_s1026" type="#_x0000_t202" style="position:absolute;left:0;text-align:left;margin-left:-15.9pt;margin-top:747pt;width:58.4pt;height:34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" o:allowincell="f" filled="f" stroked="f">
                <v:textbox>
                  <w:txbxContent>
                    <w:p w14:paraId="03B00903" w14:textId="77777777" w:rsidR="00574C9B" w:rsidRDefault="00574C9B" w:rsidP="00574C9B">
                      <w:pPr>
                        <w:jc w:val="center"/>
                      </w:pPr>
                      <w:r>
                        <w:rPr>
                          <w:rFonts w:ascii="Arial" w:hAnsi="Arial"/>
                          <w:b/>
                          <w:sz w:val="48"/>
                        </w:rPr>
                        <w:t>CS</w:t>
                      </w:r>
                    </w:p>
                  </w:txbxContent>
                </v:textbox>
                <w10:wrap anchorx="margin" anchory="page"/>
              </v:shape>
            </w:pict>
          </mc:Fallback>
        </mc:AlternateContent>
      </w:r>
    </w:p>
    <w:p w14:paraId="3FA5826A" w14:textId="77777777" w:rsidR="00574C9B" w:rsidRPr="005F5AE6" w:rsidRDefault="00574C9B" w:rsidP="00574C9B">
      <w:pPr>
        <w:rPr>
          <w:lang w:val="en-GB"/>
        </w:rPr>
      </w:pPr>
    </w:p>
    <w:p w14:paraId="4B88FC0A" w14:textId="77777777" w:rsidR="00574C9B" w:rsidRPr="005F5AE6" w:rsidRDefault="00574C9B" w:rsidP="00574C9B">
      <w:pPr>
        <w:rPr>
          <w:lang w:val="en-GB"/>
        </w:rPr>
        <w:sectPr w:rsidR="00574C9B" w:rsidRPr="005F5AE6" w:rsidSect="004B4F58">
          <w:headerReference w:type="even" r:id="rId10"/>
          <w:headerReference w:type="default" r:id="rId11"/>
          <w:headerReference w:type="first" r:id="rId12"/>
          <w:pgSz w:w="11907" w:h="16839" w:code="9"/>
          <w:pgMar w:top="5669" w:right="1417" w:bottom="1417" w:left="1417" w:header="709" w:footer="709" w:gutter="0"/>
          <w:cols w:space="720"/>
          <w:docGrid w:linePitch="360"/>
        </w:sectPr>
      </w:pPr>
    </w:p>
    <w:tbl>
      <w:tblPr>
        <w:tblpPr w:leftFromText="181" w:rightFromText="181" w:tblpYSpec="bottom"/>
        <w:tblOverlap w:val="never"/>
        <w:tblW w:w="9289" w:type="dxa"/>
        <w:tblLayout w:type="fixed"/>
        <w:tblLook w:val="04A0" w:firstRow="1" w:lastRow="0" w:firstColumn="1" w:lastColumn="0" w:noHBand="0" w:noVBand="1"/>
      </w:tblPr>
      <w:tblGrid>
        <w:gridCol w:w="3085"/>
        <w:gridCol w:w="6204"/>
      </w:tblGrid>
      <w:tr w:rsidR="00914683" w:rsidRPr="005F5AE6" w14:paraId="3380D050" w14:textId="77777777" w:rsidTr="64667236">
        <w:tc>
          <w:tcPr>
            <w:tcW w:w="3085" w:type="dxa"/>
          </w:tcPr>
          <w:p w14:paraId="51BED169" w14:textId="78CD25F5" w:rsidR="00914683" w:rsidRPr="005F5AE6" w:rsidRDefault="00914683" w:rsidP="0058411F">
            <w:pPr>
              <w:autoSpaceDE w:val="0"/>
              <w:autoSpaceDN w:val="0"/>
              <w:jc w:val="left"/>
              <w:rPr>
                <w:szCs w:val="20"/>
              </w:rPr>
            </w:pPr>
            <w:r>
              <w:lastRenderedPageBreak/>
              <w:t>Poradce</w:t>
            </w:r>
          </w:p>
        </w:tc>
        <w:tc>
          <w:tcPr>
            <w:tcW w:w="6204" w:type="dxa"/>
            <w:vAlign w:val="bottom"/>
          </w:tcPr>
          <w:p w14:paraId="207494E5" w14:textId="5FC9C10B" w:rsidR="00914683" w:rsidRPr="005F5AE6" w:rsidRDefault="005E208C" w:rsidP="0058411F">
            <w:pPr>
              <w:autoSpaceDE w:val="0"/>
              <w:autoSpaceDN w:val="0"/>
              <w:jc w:val="left"/>
            </w:pPr>
            <w:r>
              <w:t>Frank ALLEN</w:t>
            </w:r>
          </w:p>
        </w:tc>
      </w:tr>
      <w:tr w:rsidR="00914683" w:rsidRPr="005F5AE6" w14:paraId="64074C63" w14:textId="77777777" w:rsidTr="64667236">
        <w:tc>
          <w:tcPr>
            <w:tcW w:w="3085" w:type="dxa"/>
          </w:tcPr>
          <w:p w14:paraId="51393BC8" w14:textId="77777777" w:rsidR="00914683" w:rsidRPr="005F5AE6" w:rsidRDefault="00914683" w:rsidP="0058411F">
            <w:pPr>
              <w:autoSpaceDE w:val="0"/>
              <w:autoSpaceDN w:val="0"/>
              <w:jc w:val="left"/>
              <w:rPr>
                <w:szCs w:val="20"/>
                <w:lang w:val="en-GB"/>
              </w:rPr>
            </w:pPr>
          </w:p>
        </w:tc>
        <w:tc>
          <w:tcPr>
            <w:tcW w:w="6204" w:type="dxa"/>
            <w:vAlign w:val="bottom"/>
          </w:tcPr>
          <w:p w14:paraId="1BB75A13" w14:textId="77777777" w:rsidR="00914683" w:rsidRPr="005F5AE6" w:rsidRDefault="00914683" w:rsidP="0058411F">
            <w:pPr>
              <w:autoSpaceDE w:val="0"/>
              <w:autoSpaceDN w:val="0"/>
              <w:jc w:val="left"/>
              <w:rPr>
                <w:lang w:val="en-GB"/>
              </w:rPr>
            </w:pPr>
          </w:p>
        </w:tc>
      </w:tr>
      <w:tr w:rsidR="00FC1E79" w:rsidRPr="005F5AE6" w14:paraId="21AF33F1" w14:textId="77777777" w:rsidTr="64667236">
        <w:tc>
          <w:tcPr>
            <w:tcW w:w="3085" w:type="dxa"/>
          </w:tcPr>
          <w:p w14:paraId="7B26A8E7" w14:textId="01CB6C93" w:rsidR="00FC1E79" w:rsidRPr="005F5AE6" w:rsidRDefault="00FC1E79" w:rsidP="00FC1E79">
            <w:pPr>
              <w:autoSpaceDE w:val="0"/>
              <w:autoSpaceDN w:val="0"/>
              <w:jc w:val="left"/>
              <w:rPr>
                <w:szCs w:val="20"/>
              </w:rPr>
            </w:pPr>
            <w:r>
              <w:t>Legislativní postup</w:t>
            </w:r>
          </w:p>
        </w:tc>
        <w:tc>
          <w:tcPr>
            <w:tcW w:w="6204" w:type="dxa"/>
          </w:tcPr>
          <w:p w14:paraId="152AB004" w14:textId="59FFBC27" w:rsidR="00FC1E79" w:rsidRPr="005F5AE6" w:rsidRDefault="00090E4D" w:rsidP="00FC1E79">
            <w:pPr>
              <w:autoSpaceDE w:val="0"/>
              <w:autoSpaceDN w:val="0"/>
              <w:jc w:val="left"/>
            </w:pPr>
            <w:hyperlink r:id="rId13" w:history="1">
              <w:r w:rsidR="00264A4C">
                <w:rPr>
                  <w:rStyle w:val="Hyperlink"/>
                </w:rPr>
                <w:t>EU Law Tracker</w:t>
              </w:r>
            </w:hyperlink>
          </w:p>
        </w:tc>
      </w:tr>
      <w:tr w:rsidR="00FC1E79" w:rsidRPr="005F5AE6" w14:paraId="65204742" w14:textId="77777777" w:rsidTr="64667236">
        <w:tc>
          <w:tcPr>
            <w:tcW w:w="3085" w:type="dxa"/>
          </w:tcPr>
          <w:p w14:paraId="188FD5BA" w14:textId="40964F7F" w:rsidR="00FC1E79" w:rsidRPr="005F5AE6" w:rsidRDefault="00FC1E79" w:rsidP="00FC1E79">
            <w:pPr>
              <w:autoSpaceDE w:val="0"/>
              <w:autoSpaceDN w:val="0"/>
              <w:jc w:val="left"/>
              <w:rPr>
                <w:szCs w:val="20"/>
              </w:rPr>
            </w:pPr>
            <w:r>
              <w:t>Žádost</w:t>
            </w:r>
            <w:r w:rsidR="00476DA8">
              <w:t xml:space="preserve"> o </w:t>
            </w:r>
            <w:r>
              <w:t>vypracování stanoviska</w:t>
            </w:r>
          </w:p>
        </w:tc>
        <w:tc>
          <w:tcPr>
            <w:tcW w:w="6204" w:type="dxa"/>
          </w:tcPr>
          <w:p w14:paraId="6107038E" w14:textId="5A7D1BCC" w:rsidR="00FC1E79" w:rsidRPr="005F5AE6" w:rsidRDefault="00FB10E8" w:rsidP="00FC1E79">
            <w:pPr>
              <w:autoSpaceDE w:val="0"/>
              <w:autoSpaceDN w:val="0"/>
              <w:jc w:val="left"/>
              <w:rPr>
                <w:color w:val="0000FF"/>
                <w:u w:val="single"/>
              </w:rPr>
            </w:pPr>
            <w:r>
              <w:t>Evropská komise, 8/7/2025</w:t>
            </w:r>
          </w:p>
        </w:tc>
      </w:tr>
      <w:tr w:rsidR="00FC1E79" w:rsidRPr="005F5AE6" w14:paraId="3E385435" w14:textId="77777777" w:rsidTr="64667236">
        <w:tc>
          <w:tcPr>
            <w:tcW w:w="3085" w:type="dxa"/>
          </w:tcPr>
          <w:p w14:paraId="3054D729" w14:textId="5D5B5FF6" w:rsidR="00FC1E79" w:rsidRPr="005F5AE6" w:rsidRDefault="00FC1E79" w:rsidP="00FC1E79">
            <w:pPr>
              <w:autoSpaceDE w:val="0"/>
              <w:autoSpaceDN w:val="0"/>
              <w:jc w:val="left"/>
              <w:rPr>
                <w:szCs w:val="20"/>
              </w:rPr>
            </w:pPr>
            <w:r>
              <w:t>Právní základ</w:t>
            </w:r>
          </w:p>
        </w:tc>
        <w:tc>
          <w:tcPr>
            <w:tcW w:w="6204" w:type="dxa"/>
            <w:vAlign w:val="bottom"/>
          </w:tcPr>
          <w:p w14:paraId="41CF067A" w14:textId="50560E90" w:rsidR="00FC1E79" w:rsidRPr="005F5AE6" w:rsidRDefault="00FC1E79" w:rsidP="00FC1E79">
            <w:pPr>
              <w:autoSpaceDE w:val="0"/>
              <w:autoSpaceDN w:val="0"/>
              <w:jc w:val="left"/>
            </w:pPr>
            <w:r>
              <w:t>článek 114 Smlouvy</w:t>
            </w:r>
            <w:r w:rsidR="00476DA8">
              <w:t xml:space="preserve"> o </w:t>
            </w:r>
            <w:r>
              <w:t>fungování Evropské unie</w:t>
            </w:r>
          </w:p>
        </w:tc>
      </w:tr>
      <w:tr w:rsidR="00FC1E79" w:rsidRPr="005F5AE6" w14:paraId="46C189AE" w14:textId="77777777" w:rsidTr="64667236">
        <w:tc>
          <w:tcPr>
            <w:tcW w:w="3085" w:type="dxa"/>
          </w:tcPr>
          <w:p w14:paraId="2DA32C67" w14:textId="3D365B35" w:rsidR="00FC1E79" w:rsidRPr="005F5AE6" w:rsidRDefault="00FC1E79" w:rsidP="00F9619E">
            <w:pPr>
              <w:autoSpaceDE w:val="0"/>
              <w:autoSpaceDN w:val="0"/>
              <w:spacing w:after="240"/>
              <w:jc w:val="left"/>
              <w:rPr>
                <w:szCs w:val="20"/>
              </w:rPr>
            </w:pPr>
            <w:r>
              <w:t>Dokumenty Evropské komise</w:t>
            </w:r>
          </w:p>
        </w:tc>
        <w:tc>
          <w:tcPr>
            <w:tcW w:w="6204" w:type="dxa"/>
            <w:vAlign w:val="bottom"/>
          </w:tcPr>
          <w:p w14:paraId="76126F72" w14:textId="7CD6AD5B" w:rsidR="00FC1E79" w:rsidRPr="005F5AE6" w:rsidRDefault="00090E4D" w:rsidP="00FC1E79">
            <w:pPr>
              <w:jc w:val="left"/>
              <w:rPr>
                <w:u w:val="single"/>
              </w:rPr>
            </w:pPr>
            <w:hyperlink r:id="rId14" w:history="1">
              <w:r w:rsidR="00264A4C">
                <w:rPr>
                  <w:rStyle w:val="Hyperlink"/>
                </w:rPr>
                <w:t>COM(2025) 526 final</w:t>
              </w:r>
            </w:hyperlink>
            <w:r w:rsidR="00264A4C">
              <w:t xml:space="preserve">, </w:t>
            </w:r>
            <w:hyperlink r:id="rId15" w:history="1">
              <w:r w:rsidR="00264A4C">
                <w:rPr>
                  <w:rStyle w:val="Hyperlink"/>
                </w:rPr>
                <w:t>COM(2025) 531 final</w:t>
              </w:r>
            </w:hyperlink>
          </w:p>
          <w:p w14:paraId="67EB3E4A" w14:textId="7CC42D84" w:rsidR="00FC1E79" w:rsidRPr="005F5AE6" w:rsidRDefault="00FC1E79" w:rsidP="00FC1E79">
            <w:pPr>
              <w:autoSpaceDE w:val="0"/>
              <w:autoSpaceDN w:val="0"/>
              <w:jc w:val="left"/>
              <w:rPr>
                <w:szCs w:val="20"/>
                <w:lang w:val="en-GB"/>
              </w:rPr>
            </w:pPr>
          </w:p>
        </w:tc>
      </w:tr>
      <w:tr w:rsidR="00FC1E79" w:rsidRPr="005F5AE6" w14:paraId="3ABE670D" w14:textId="77777777" w:rsidTr="64667236">
        <w:tc>
          <w:tcPr>
            <w:tcW w:w="3085" w:type="dxa"/>
          </w:tcPr>
          <w:p w14:paraId="6BBCABAE" w14:textId="5C1C3859" w:rsidR="00FC1E79" w:rsidRPr="005F5AE6" w:rsidRDefault="00FC1E79" w:rsidP="00FC1E79">
            <w:pPr>
              <w:autoSpaceDE w:val="0"/>
              <w:autoSpaceDN w:val="0"/>
              <w:jc w:val="left"/>
              <w:rPr>
                <w:szCs w:val="20"/>
              </w:rPr>
            </w:pPr>
            <w:r>
              <w:t>Příslušné cíle udržitelného rozvoje</w:t>
            </w:r>
          </w:p>
        </w:tc>
        <w:tc>
          <w:tcPr>
            <w:tcW w:w="6204" w:type="dxa"/>
            <w:vAlign w:val="bottom"/>
          </w:tcPr>
          <w:p w14:paraId="2F12BD1E" w14:textId="17F9BCDA" w:rsidR="00040BE6" w:rsidRPr="005F5AE6" w:rsidRDefault="00090E4D" w:rsidP="00040BE6">
            <w:pPr>
              <w:jc w:val="left"/>
            </w:pPr>
            <w:hyperlink r:id="rId16" w:history="1">
              <w:r w:rsidR="00264A4C">
                <w:rPr>
                  <w:rStyle w:val="Hyperlink"/>
                </w:rPr>
                <w:t>cíl č. 9 – Průmysl, inovace</w:t>
              </w:r>
              <w:r w:rsidR="00476DA8">
                <w:rPr>
                  <w:rStyle w:val="Hyperlink"/>
                </w:rPr>
                <w:t xml:space="preserve"> a </w:t>
              </w:r>
              <w:r w:rsidR="00264A4C">
                <w:rPr>
                  <w:rStyle w:val="Hyperlink"/>
                </w:rPr>
                <w:t>infrastruktura</w:t>
              </w:r>
            </w:hyperlink>
          </w:p>
          <w:p w14:paraId="7CEDE453" w14:textId="31DD2776" w:rsidR="00040BE6" w:rsidRPr="005F5AE6" w:rsidRDefault="00090E4D" w:rsidP="00040BE6">
            <w:pPr>
              <w:jc w:val="left"/>
            </w:pPr>
            <w:hyperlink r:id="rId17" w:history="1">
              <w:r w:rsidR="00264A4C">
                <w:rPr>
                  <w:rStyle w:val="Hyperlink"/>
                </w:rPr>
                <w:t>cíl č. 3 – Zdraví</w:t>
              </w:r>
              <w:r w:rsidR="00476DA8">
                <w:rPr>
                  <w:rStyle w:val="Hyperlink"/>
                </w:rPr>
                <w:t xml:space="preserve"> a </w:t>
              </w:r>
              <w:r w:rsidR="00264A4C">
                <w:rPr>
                  <w:rStyle w:val="Hyperlink"/>
                </w:rPr>
                <w:t>kvalitní život</w:t>
              </w:r>
            </w:hyperlink>
          </w:p>
          <w:p w14:paraId="4D5D4418" w14:textId="022BC073" w:rsidR="00040BE6" w:rsidRPr="005F5AE6" w:rsidRDefault="00090E4D" w:rsidP="00040BE6">
            <w:pPr>
              <w:jc w:val="left"/>
              <w:rPr>
                <w:color w:val="000000" w:themeColor="text1"/>
              </w:rPr>
            </w:pPr>
            <w:hyperlink r:id="rId18" w:history="1">
              <w:r w:rsidR="00264A4C">
                <w:rPr>
                  <w:rStyle w:val="Hyperlink"/>
                </w:rPr>
                <w:t>cíl č. 12 – Odpovědná výroba</w:t>
              </w:r>
              <w:r w:rsidR="00476DA8">
                <w:rPr>
                  <w:rStyle w:val="Hyperlink"/>
                </w:rPr>
                <w:t xml:space="preserve"> a </w:t>
              </w:r>
              <w:r w:rsidR="00264A4C">
                <w:rPr>
                  <w:rStyle w:val="Hyperlink"/>
                </w:rPr>
                <w:t>spotřeba</w:t>
              </w:r>
            </w:hyperlink>
          </w:p>
          <w:p w14:paraId="40132D52" w14:textId="0D1314F2" w:rsidR="00FC1E79" w:rsidRPr="005F5AE6" w:rsidRDefault="00090E4D" w:rsidP="00040BE6">
            <w:pPr>
              <w:jc w:val="left"/>
              <w:rPr>
                <w:color w:val="0000FF"/>
                <w:u w:val="single"/>
              </w:rPr>
            </w:pPr>
            <w:hyperlink r:id="rId19" w:history="1">
              <w:r w:rsidR="00264A4C">
                <w:rPr>
                  <w:rStyle w:val="Hyperlink"/>
                </w:rPr>
                <w:t>cíl č. 15 – Život na souši</w:t>
              </w:r>
            </w:hyperlink>
          </w:p>
        </w:tc>
      </w:tr>
      <w:tr w:rsidR="00FC1E79" w:rsidRPr="005F5AE6" w14:paraId="5EFF5047" w14:textId="77777777" w:rsidTr="64667236">
        <w:tc>
          <w:tcPr>
            <w:tcW w:w="3085" w:type="dxa"/>
          </w:tcPr>
          <w:p w14:paraId="076FE721" w14:textId="77777777" w:rsidR="00FC1E79" w:rsidRPr="005F5AE6" w:rsidRDefault="00FC1E79" w:rsidP="00FC1E79">
            <w:pPr>
              <w:autoSpaceDE w:val="0"/>
              <w:autoSpaceDN w:val="0"/>
              <w:jc w:val="left"/>
              <w:rPr>
                <w:szCs w:val="20"/>
                <w:lang w:val="en-GB"/>
              </w:rPr>
            </w:pPr>
          </w:p>
        </w:tc>
        <w:tc>
          <w:tcPr>
            <w:tcW w:w="6204" w:type="dxa"/>
            <w:vAlign w:val="bottom"/>
          </w:tcPr>
          <w:p w14:paraId="6B02A19F" w14:textId="78641BB9" w:rsidR="00FC1E79" w:rsidRPr="005F5AE6" w:rsidRDefault="00FC1E79" w:rsidP="00FC1E79">
            <w:pPr>
              <w:autoSpaceDE w:val="0"/>
              <w:autoSpaceDN w:val="0"/>
              <w:jc w:val="left"/>
              <w:rPr>
                <w:szCs w:val="20"/>
                <w:lang w:val="en-GB"/>
              </w:rPr>
            </w:pPr>
          </w:p>
        </w:tc>
      </w:tr>
      <w:tr w:rsidR="00FC1E79" w:rsidRPr="005F5AE6" w14:paraId="0E2099A6" w14:textId="77777777" w:rsidTr="64667236">
        <w:tc>
          <w:tcPr>
            <w:tcW w:w="3085" w:type="dxa"/>
          </w:tcPr>
          <w:p w14:paraId="0BC68BA5" w14:textId="77777777" w:rsidR="00FC1E79" w:rsidRPr="005F5AE6" w:rsidRDefault="00FC1E79" w:rsidP="00FC1E79">
            <w:pPr>
              <w:autoSpaceDE w:val="0"/>
              <w:autoSpaceDN w:val="0"/>
              <w:jc w:val="left"/>
            </w:pPr>
            <w:r>
              <w:t>Odpovědná sekce</w:t>
            </w:r>
          </w:p>
        </w:tc>
        <w:tc>
          <w:tcPr>
            <w:tcW w:w="6204" w:type="dxa"/>
            <w:vAlign w:val="bottom"/>
          </w:tcPr>
          <w:p w14:paraId="5AE7EA9E" w14:textId="30174249" w:rsidR="00FC1E79" w:rsidRPr="005F5AE6" w:rsidRDefault="00D801D4" w:rsidP="00FC1E79">
            <w:pPr>
              <w:autoSpaceDE w:val="0"/>
              <w:autoSpaceDN w:val="0"/>
              <w:jc w:val="left"/>
            </w:pPr>
            <w:r>
              <w:t>Zemědělství, rozvoj venkova, životní prostředí</w:t>
            </w:r>
          </w:p>
        </w:tc>
      </w:tr>
      <w:tr w:rsidR="00FC1E79" w:rsidRPr="005F5AE6" w14:paraId="7AE47B93" w14:textId="02986C11" w:rsidTr="64667236">
        <w:tc>
          <w:tcPr>
            <w:tcW w:w="3085" w:type="dxa"/>
          </w:tcPr>
          <w:p w14:paraId="26DE3092" w14:textId="69E2D0B0" w:rsidR="00FC1E79" w:rsidRPr="005F5AE6" w:rsidRDefault="00FC1E79" w:rsidP="00FC1E79">
            <w:pPr>
              <w:autoSpaceDE w:val="0"/>
              <w:autoSpaceDN w:val="0"/>
              <w:jc w:val="left"/>
            </w:pPr>
            <w:r>
              <w:t>Přijato na plenárním zasedání</w:t>
            </w:r>
          </w:p>
        </w:tc>
        <w:tc>
          <w:tcPr>
            <w:tcW w:w="6204" w:type="dxa"/>
            <w:vAlign w:val="bottom"/>
          </w:tcPr>
          <w:p w14:paraId="34FA2183" w14:textId="3FE05735" w:rsidR="00FC1E79" w:rsidRPr="005F5AE6" w:rsidRDefault="00C41CDB" w:rsidP="00FC1E79">
            <w:pPr>
              <w:autoSpaceDE w:val="0"/>
              <w:autoSpaceDN w:val="0"/>
              <w:jc w:val="left"/>
            </w:pPr>
            <w:r>
              <w:t>23/10/2025</w:t>
            </w:r>
          </w:p>
        </w:tc>
      </w:tr>
      <w:tr w:rsidR="00FC1E79" w:rsidRPr="005F5AE6" w14:paraId="2FE8AE44" w14:textId="77777777" w:rsidTr="64667236">
        <w:tc>
          <w:tcPr>
            <w:tcW w:w="3085" w:type="dxa"/>
          </w:tcPr>
          <w:p w14:paraId="2A65A034" w14:textId="77777777" w:rsidR="00FC1E79" w:rsidRPr="005F5AE6" w:rsidRDefault="00FC1E79" w:rsidP="00FC1E79">
            <w:pPr>
              <w:autoSpaceDE w:val="0"/>
              <w:autoSpaceDN w:val="0"/>
              <w:jc w:val="left"/>
            </w:pPr>
            <w:r>
              <w:t>Plenární zasedání č.</w:t>
            </w:r>
          </w:p>
        </w:tc>
        <w:tc>
          <w:tcPr>
            <w:tcW w:w="6204" w:type="dxa"/>
            <w:vAlign w:val="bottom"/>
          </w:tcPr>
          <w:p w14:paraId="17BFB0A7" w14:textId="1C7E6D4A" w:rsidR="00FC1E79" w:rsidRPr="005F5AE6" w:rsidRDefault="00D801D4" w:rsidP="00FC1E79">
            <w:pPr>
              <w:autoSpaceDE w:val="0"/>
              <w:autoSpaceDN w:val="0"/>
              <w:jc w:val="left"/>
            </w:pPr>
            <w:r>
              <w:t>600</w:t>
            </w:r>
          </w:p>
        </w:tc>
      </w:tr>
      <w:tr w:rsidR="00FC1E79" w:rsidRPr="005F5AE6" w14:paraId="3889B17A" w14:textId="77777777" w:rsidTr="64667236">
        <w:tc>
          <w:tcPr>
            <w:tcW w:w="3085" w:type="dxa"/>
          </w:tcPr>
          <w:p w14:paraId="0C723801" w14:textId="77777777" w:rsidR="00FC1E79" w:rsidRPr="005F5AE6" w:rsidRDefault="00FC1E79" w:rsidP="00FC1E79">
            <w:pPr>
              <w:autoSpaceDE w:val="0"/>
              <w:autoSpaceDN w:val="0"/>
              <w:jc w:val="left"/>
            </w:pPr>
            <w:r>
              <w:t>Výsledek hlasování</w:t>
            </w:r>
            <w:r>
              <w:br/>
              <w:t>(pro/proti/zdrželi se hlasování)</w:t>
            </w:r>
          </w:p>
        </w:tc>
        <w:tc>
          <w:tcPr>
            <w:tcW w:w="6204" w:type="dxa"/>
            <w:vAlign w:val="bottom"/>
          </w:tcPr>
          <w:p w14:paraId="14DB34EA" w14:textId="26CE0D89" w:rsidR="00FC1E79" w:rsidRPr="005F5AE6" w:rsidRDefault="237CBD9D" w:rsidP="00FC1E79">
            <w:pPr>
              <w:autoSpaceDE w:val="0"/>
              <w:autoSpaceDN w:val="0"/>
              <w:jc w:val="left"/>
            </w:pPr>
            <w:r>
              <w:t>224/1/11</w:t>
            </w:r>
          </w:p>
        </w:tc>
      </w:tr>
    </w:tbl>
    <w:p w14:paraId="156A5F34" w14:textId="77777777" w:rsidR="00AC5114" w:rsidRPr="005F5AE6" w:rsidRDefault="00AC5114" w:rsidP="00574C9B">
      <w:pPr>
        <w:rPr>
          <w:lang w:val="en-GB"/>
        </w:rPr>
      </w:pPr>
    </w:p>
    <w:p w14:paraId="2CD3051D" w14:textId="77777777" w:rsidR="00AC5114" w:rsidRPr="005F5AE6" w:rsidRDefault="00AC5114" w:rsidP="00574C9B">
      <w:pPr>
        <w:rPr>
          <w:lang w:val="en-GB"/>
        </w:rPr>
        <w:sectPr w:rsidR="00AC5114" w:rsidRPr="005F5AE6" w:rsidSect="004B4F58">
          <w:headerReference w:type="even" r:id="rId20"/>
          <w:headerReference w:type="default" r:id="rId21"/>
          <w:footerReference w:type="default" r:id="rId22"/>
          <w:headerReference w:type="first" r:id="rId23"/>
          <w:pgSz w:w="11907" w:h="16839" w:code="9"/>
          <w:pgMar w:top="5669" w:right="1418" w:bottom="1418" w:left="1418" w:header="709" w:footer="709" w:gutter="0"/>
          <w:cols w:space="720"/>
          <w:docGrid w:linePitch="360"/>
        </w:sectPr>
      </w:pPr>
    </w:p>
    <w:p w14:paraId="6FE3F486" w14:textId="77777777" w:rsidR="004B4E22" w:rsidRPr="005F5AE6" w:rsidRDefault="004B4E22" w:rsidP="004B4E22">
      <w:pPr>
        <w:pStyle w:val="Heading1"/>
      </w:pPr>
      <w:r>
        <w:rPr>
          <w:b/>
        </w:rPr>
        <w:lastRenderedPageBreak/>
        <w:t>DOPORUČENÍ</w:t>
      </w:r>
    </w:p>
    <w:p w14:paraId="1728B91C" w14:textId="77777777" w:rsidR="004B4E22" w:rsidRPr="005F5AE6" w:rsidRDefault="004B4E22" w:rsidP="004B4E22">
      <w:pPr>
        <w:jc w:val="left"/>
        <w:rPr>
          <w:lang w:val="en-GB"/>
        </w:rPr>
      </w:pPr>
    </w:p>
    <w:p w14:paraId="1052278A" w14:textId="2584B991" w:rsidR="004B4E22" w:rsidRPr="005F5AE6" w:rsidRDefault="004B4E22" w:rsidP="004B4E22">
      <w:pPr>
        <w:jc w:val="left"/>
        <w:rPr>
          <w:i/>
          <w:iCs/>
        </w:rPr>
      </w:pPr>
      <w:r>
        <w:t>Evropský hospodářský</w:t>
      </w:r>
      <w:r w:rsidR="00476DA8">
        <w:t xml:space="preserve"> a </w:t>
      </w:r>
      <w:r>
        <w:t>sociální výbor (EHSV)</w:t>
      </w:r>
    </w:p>
    <w:p w14:paraId="3AC38DBC" w14:textId="77777777" w:rsidR="004B4E22" w:rsidRPr="005F5AE6" w:rsidRDefault="004B4E22" w:rsidP="004B4E22">
      <w:pPr>
        <w:ind w:left="142" w:hanging="142"/>
        <w:jc w:val="left"/>
        <w:rPr>
          <w:lang w:val="en-GB"/>
        </w:rPr>
      </w:pPr>
    </w:p>
    <w:p w14:paraId="7B212C67" w14:textId="42FB8165" w:rsidR="004B4E22" w:rsidRPr="005F5AE6" w:rsidRDefault="004B4E22" w:rsidP="004B4E22">
      <w:pPr>
        <w:pStyle w:val="Heading2"/>
      </w:pPr>
      <w:r>
        <w:t>vítá šestý souhrnný balíček zjednodušujících opatření, kterým se zavádí cílené změny</w:t>
      </w:r>
      <w:r w:rsidR="00476DA8">
        <w:t xml:space="preserve"> v </w:t>
      </w:r>
      <w:r>
        <w:t>předpisech EU týkajících se chemických, kosmetických</w:t>
      </w:r>
      <w:r w:rsidR="00476DA8">
        <w:t xml:space="preserve"> a </w:t>
      </w:r>
      <w:r>
        <w:t>hnojivých výrobků</w:t>
      </w:r>
      <w:r w:rsidR="00476DA8">
        <w:t xml:space="preserve"> s </w:t>
      </w:r>
      <w:r>
        <w:t>cílem snížit zátěž spojenou</w:t>
      </w:r>
      <w:r w:rsidR="00476DA8">
        <w:t xml:space="preserve"> s </w:t>
      </w:r>
      <w:r>
        <w:t>dodržováním těchto předpisů, zlepšit jejich srozumitelnost</w:t>
      </w:r>
      <w:r w:rsidR="00476DA8">
        <w:t xml:space="preserve"> a </w:t>
      </w:r>
      <w:r>
        <w:t>podpořit inovace, aniž by byla ohrožena bezpečnost. EHSV souhlasí</w:t>
      </w:r>
      <w:r w:rsidR="00476DA8">
        <w:t xml:space="preserve"> s </w:t>
      </w:r>
      <w:r>
        <w:t>obecnou podstatou návrhů Komise</w:t>
      </w:r>
      <w:r w:rsidR="00476DA8">
        <w:t xml:space="preserve"> a </w:t>
      </w:r>
      <w:r>
        <w:t>vítá, že mají zajistit vysokou úroveň ochrany lidského zdraví</w:t>
      </w:r>
      <w:r w:rsidR="00476DA8">
        <w:t xml:space="preserve"> a </w:t>
      </w:r>
      <w:r>
        <w:t>životního prostředí. Požaduje však, aby byl při realizaci tohoto cíle plně zohledněn přístup „jedno zdraví“</w:t>
      </w:r>
      <w:r w:rsidRPr="005F5AE6">
        <w:rPr>
          <w:rStyle w:val="FootnoteReference"/>
          <w:lang w:val="en-GB"/>
        </w:rPr>
        <w:footnoteReference w:id="2"/>
      </w:r>
      <w:r>
        <w:t>;</w:t>
      </w:r>
    </w:p>
    <w:p w14:paraId="42B153B8" w14:textId="77777777" w:rsidR="004B4E22" w:rsidRPr="005F5AE6" w:rsidRDefault="004B4E22" w:rsidP="004B4E22">
      <w:pPr>
        <w:rPr>
          <w:highlight w:val="yellow"/>
          <w:lang w:val="en-GB"/>
        </w:rPr>
      </w:pPr>
    </w:p>
    <w:p w14:paraId="27E58DB1" w14:textId="7ED96BB9" w:rsidR="004B4E22" w:rsidRPr="005F5AE6" w:rsidRDefault="004B4E22" w:rsidP="004B4E22">
      <w:pPr>
        <w:pStyle w:val="Heading2"/>
      </w:pPr>
      <w:r>
        <w:rPr>
          <w:color w:val="000000" w:themeColor="text1"/>
        </w:rPr>
        <w:t>zdůrazňuje, že je důležité, aby spotřebitelé mohli</w:t>
      </w:r>
      <w:r w:rsidR="00476DA8">
        <w:rPr>
          <w:color w:val="000000" w:themeColor="text1"/>
        </w:rPr>
        <w:t xml:space="preserve"> v </w:t>
      </w:r>
      <w:r>
        <w:rPr>
          <w:color w:val="000000" w:themeColor="text1"/>
        </w:rPr>
        <w:t>případě potřeby neprodleně kontaktovat dodavatele,</w:t>
      </w:r>
      <w:r w:rsidR="00476DA8">
        <w:rPr>
          <w:color w:val="000000" w:themeColor="text1"/>
        </w:rPr>
        <w:t xml:space="preserve"> a </w:t>
      </w:r>
      <w:r>
        <w:rPr>
          <w:color w:val="000000" w:themeColor="text1"/>
        </w:rPr>
        <w:t>to nejlépe po telefonu, neboť tak si mohou snadno sdělit potřebné informace. Ne</w:t>
      </w:r>
      <w:r w:rsidR="00476DA8">
        <w:rPr>
          <w:color w:val="000000" w:themeColor="text1"/>
        </w:rPr>
        <w:t> </w:t>
      </w:r>
      <w:r>
        <w:rPr>
          <w:color w:val="000000" w:themeColor="text1"/>
        </w:rPr>
        <w:t>vždy je vhodné poskytnout požadované informace prostřednictvím digitálního kontaktu;</w:t>
      </w:r>
    </w:p>
    <w:p w14:paraId="2C797C98" w14:textId="77777777" w:rsidR="004B4E22" w:rsidRPr="005F5AE6" w:rsidRDefault="004B4E22" w:rsidP="004B4E22">
      <w:pPr>
        <w:ind w:left="567" w:hanging="567"/>
        <w:rPr>
          <w:lang w:val="en-GB"/>
        </w:rPr>
      </w:pPr>
    </w:p>
    <w:p w14:paraId="4BAD9D06" w14:textId="1252BC05" w:rsidR="004B4E22" w:rsidRPr="005F5AE6" w:rsidRDefault="004B4E22" w:rsidP="004B4E22">
      <w:pPr>
        <w:pStyle w:val="Heading2"/>
      </w:pPr>
      <w:r>
        <w:t>konstatuje, že některé internetové stránky mohou být poměrně složité</w:t>
      </w:r>
      <w:r w:rsidR="00476DA8">
        <w:t xml:space="preserve"> a </w:t>
      </w:r>
      <w:r>
        <w:t>nepřehledné. Dodavatelé musí dbát na to, aby digitální kontakt byl zajištěn snadno přístupným</w:t>
      </w:r>
      <w:r w:rsidR="00476DA8">
        <w:t xml:space="preserve"> a </w:t>
      </w:r>
      <w:r>
        <w:t>uživatelsky přívětivým způsobem;</w:t>
      </w:r>
    </w:p>
    <w:p w14:paraId="5E6DC5CC" w14:textId="77777777" w:rsidR="004B4E22" w:rsidRPr="005F5AE6" w:rsidRDefault="004B4E22" w:rsidP="004B4E22">
      <w:pPr>
        <w:ind w:left="567" w:hanging="567"/>
        <w:rPr>
          <w:lang w:val="en-GB"/>
        </w:rPr>
      </w:pPr>
    </w:p>
    <w:p w14:paraId="3449FC0D" w14:textId="2D83F810" w:rsidR="004B4E22" w:rsidRPr="005F5AE6" w:rsidRDefault="004B4E22" w:rsidP="004B4E22">
      <w:pPr>
        <w:pStyle w:val="Heading2"/>
      </w:pPr>
      <w:r>
        <w:t>zdůrazňuje, že ustanovení upravující aktualizaci štítku bez zbytečného odkladu</w:t>
      </w:r>
      <w:r w:rsidR="00476DA8">
        <w:t xml:space="preserve"> v </w:t>
      </w:r>
      <w:r>
        <w:t>případě, že dojde ke změně týkající se klasifikace nebo označování dané látky či směsi, která má za následek přidání nové třídy nebezpečnosti nebo přísnější klasifikaci nebo která vyžaduje, aby byly na štítku uvedeny nové doplňující informace, je příliš vágní</w:t>
      </w:r>
      <w:r w:rsidR="00476DA8">
        <w:t xml:space="preserve"> a z </w:t>
      </w:r>
      <w:r>
        <w:t>hlediska veřejného zdraví</w:t>
      </w:r>
      <w:r w:rsidR="00476DA8">
        <w:t xml:space="preserve"> a </w:t>
      </w:r>
      <w:r>
        <w:t>životního prostředí poněkud neuspokojivé. Pro aktualizaci štítků je třeba stanovit pevnou lhůtu. Předchozí šestiměsíční lhůta byla příliš krátká, nicméně je nezbytné, aby aktualizace štítku proběhla ve lhůtě 12 měsíců.</w:t>
      </w:r>
      <w:r w:rsidR="00476DA8">
        <w:t xml:space="preserve"> V </w:t>
      </w:r>
      <w:r>
        <w:t>případě, že by bylo zapotřebí tuto lhůtu prodloužit, by Komisi měly být předloženy odpovídající podklady, které by tento krok opodstatnily;</w:t>
      </w:r>
    </w:p>
    <w:p w14:paraId="15574981" w14:textId="77777777" w:rsidR="004B4E22" w:rsidRPr="005F5AE6" w:rsidRDefault="004B4E22" w:rsidP="004B4E22">
      <w:pPr>
        <w:ind w:left="567" w:hanging="567"/>
        <w:rPr>
          <w:lang w:val="en-GB"/>
        </w:rPr>
      </w:pPr>
    </w:p>
    <w:p w14:paraId="50AB97FA" w14:textId="645263C3" w:rsidR="004B4E22" w:rsidRPr="005F5AE6" w:rsidRDefault="004B4E22" w:rsidP="004B4E22">
      <w:pPr>
        <w:pStyle w:val="Heading2"/>
      </w:pPr>
      <w:r>
        <w:t>zdůrazňuje, že náležité označování hraje důležitou roli při ochraně veřejného zdraví</w:t>
      </w:r>
      <w:r w:rsidR="00476DA8">
        <w:t xml:space="preserve"> a </w:t>
      </w:r>
      <w:r>
        <w:t>životního prostředí. Je nezbytné stanovit určitá pravidla, která zajistí, aby štítky byly snadno čitelné</w:t>
      </w:r>
      <w:r w:rsidR="00476DA8">
        <w:t xml:space="preserve"> a </w:t>
      </w:r>
      <w:r>
        <w:t>plnily svůj zamýšlený účel.</w:t>
      </w:r>
      <w:r w:rsidR="00476DA8">
        <w:t xml:space="preserve"> V </w:t>
      </w:r>
      <w:r>
        <w:t>zájmu zajištění dobré čitelnosti by štítky měly být vytištěny červeným nebo černým písmem na bílém pozadí. Ve výjimečných případech může být nutné se od tohoto pravidla poněkud odklonit,</w:t>
      </w:r>
      <w:r w:rsidR="00476DA8">
        <w:t xml:space="preserve"> i </w:t>
      </w:r>
      <w:r>
        <w:t>pak však platí, že text musí být dobře čitelný, přičemž jednotlivá slova musí být srozumitelná, zřetelná</w:t>
      </w:r>
      <w:r w:rsidR="00476DA8">
        <w:t xml:space="preserve"> a </w:t>
      </w:r>
      <w:r>
        <w:t>oddělená náležitými mezerami;</w:t>
      </w:r>
    </w:p>
    <w:p w14:paraId="61F241E9" w14:textId="77777777" w:rsidR="004B4E22" w:rsidRPr="005F5AE6" w:rsidRDefault="004B4E22" w:rsidP="004B4E22">
      <w:pPr>
        <w:ind w:left="567" w:hanging="567"/>
        <w:rPr>
          <w:lang w:val="en-GB"/>
        </w:rPr>
      </w:pPr>
    </w:p>
    <w:p w14:paraId="25D77DA9" w14:textId="550E5E56" w:rsidR="004B4E22" w:rsidRPr="005F5AE6" w:rsidRDefault="7AEBC061" w:rsidP="004B4E22">
      <w:pPr>
        <w:pStyle w:val="Heading2"/>
      </w:pPr>
      <w:r>
        <w:t>doporučuje, aby byla povolena možnost odchylky pro látky, které jsou karcinogenní, mutagenní nebo toxické pro reprodukci (CMR), jež jsou standardně označovány za nebezpečné</w:t>
      </w:r>
      <w:r w:rsidR="00476DA8">
        <w:t xml:space="preserve"> v </w:t>
      </w:r>
      <w:r>
        <w:t>případě expozice orální nebo inhalační cestou, avšak</w:t>
      </w:r>
      <w:r w:rsidR="00476DA8">
        <w:t xml:space="preserve"> s </w:t>
      </w:r>
      <w:r>
        <w:t>výjimkou případů, kdy lze prokázat, že jsou tyto látky obzvláště nebezpečné pro děti</w:t>
      </w:r>
      <w:r w:rsidR="00476DA8">
        <w:t xml:space="preserve"> a </w:t>
      </w:r>
      <w:r>
        <w:t>jiné zranitelné skupiny obyvatelstva;</w:t>
      </w:r>
    </w:p>
    <w:p w14:paraId="56FC7317" w14:textId="77777777" w:rsidR="004B4E22" w:rsidRPr="005F5AE6" w:rsidRDefault="004B4E22" w:rsidP="004B4E22">
      <w:pPr>
        <w:ind w:left="567" w:hanging="567"/>
        <w:rPr>
          <w:lang w:val="en-GB"/>
        </w:rPr>
      </w:pPr>
    </w:p>
    <w:p w14:paraId="2DD82A20" w14:textId="3082A01D" w:rsidR="004B4E22" w:rsidRPr="005F5AE6" w:rsidRDefault="004B4E22" w:rsidP="00476DA8">
      <w:pPr>
        <w:pStyle w:val="Heading2"/>
        <w:keepNext/>
        <w:keepLines/>
      </w:pPr>
      <w:r>
        <w:t>zdůrazňuje, že při rozhodování</w:t>
      </w:r>
      <w:r w:rsidR="00476DA8">
        <w:t xml:space="preserve"> o </w:t>
      </w:r>
      <w:r>
        <w:t>tom, zda má být</w:t>
      </w:r>
      <w:r w:rsidR="00476DA8">
        <w:t xml:space="preserve"> v </w:t>
      </w:r>
      <w:r>
        <w:t>kosmetickém přípravku určitá látka považována za vhodnou alternativu</w:t>
      </w:r>
      <w:r w:rsidR="00476DA8">
        <w:t xml:space="preserve"> k </w:t>
      </w:r>
      <w:r>
        <w:t>látce CMR, by se ekonomické aspekty měly brát</w:t>
      </w:r>
      <w:r w:rsidR="00476DA8">
        <w:t xml:space="preserve"> v </w:t>
      </w:r>
      <w:r>
        <w:t xml:space="preserve">úvahu </w:t>
      </w:r>
      <w:r>
        <w:lastRenderedPageBreak/>
        <w:t>pouze tehdy, jsou-li</w:t>
      </w:r>
      <w:r w:rsidR="00476DA8">
        <w:t xml:space="preserve"> s </w:t>
      </w:r>
      <w:r>
        <w:t>ní spojeny nadměrné ekonomické náklady nebo je-li alternativní produkt</w:t>
      </w:r>
      <w:r w:rsidR="00476DA8">
        <w:t xml:space="preserve"> z </w:t>
      </w:r>
      <w:r>
        <w:t>ekonomického hlediska zcela neúnosný.</w:t>
      </w:r>
      <w:r w:rsidR="00476DA8">
        <w:t xml:space="preserve"> V </w:t>
      </w:r>
      <w:r>
        <w:t>investování do alternativních produktů je třeba podporovat zejména malé</w:t>
      </w:r>
      <w:r w:rsidR="00476DA8">
        <w:t xml:space="preserve"> a </w:t>
      </w:r>
      <w:r>
        <w:t>střední podniky. Veřejné zdraví je až příliš důležité na to, aby se při hledání vhodných alternativ</w:t>
      </w:r>
      <w:r w:rsidR="00476DA8">
        <w:t xml:space="preserve"> k </w:t>
      </w:r>
      <w:r>
        <w:t>látkám CMR</w:t>
      </w:r>
      <w:r w:rsidR="00476DA8">
        <w:t xml:space="preserve"> v </w:t>
      </w:r>
      <w:r>
        <w:t>těchto výrobcích kladl přehnaný důraz na ekonomické aspekty jako rozhodující faktor;</w:t>
      </w:r>
    </w:p>
    <w:p w14:paraId="58D4CF43" w14:textId="77777777" w:rsidR="004B4E22" w:rsidRPr="005F5AE6" w:rsidRDefault="004B4E22" w:rsidP="004B4E22">
      <w:pPr>
        <w:rPr>
          <w:lang w:val="en-GB"/>
        </w:rPr>
      </w:pPr>
    </w:p>
    <w:p w14:paraId="77201BAC" w14:textId="0251D5ED" w:rsidR="004B4E22" w:rsidRPr="005F5AE6" w:rsidRDefault="004B4E22" w:rsidP="004B4E22">
      <w:pPr>
        <w:pStyle w:val="Heading2"/>
      </w:pPr>
      <w:r>
        <w:t>zdůrazňuje, že je nutné, aby Vědecký výbor pro bezpečnost spotřebitele (SCCS) urychleně posoudil endokrinní disruptory, neboť mohou ovlivňovat přirozený hormonální systém</w:t>
      </w:r>
      <w:r w:rsidR="00476DA8">
        <w:t xml:space="preserve"> v </w:t>
      </w:r>
      <w:r>
        <w:t>těle. Ohroženy jsou zejména děti, protože endokrinní disruptory mohou způsobit poruchy během důležitých vývojových fází jejich života.</w:t>
      </w:r>
    </w:p>
    <w:p w14:paraId="25D289A0" w14:textId="77777777" w:rsidR="004B4E22" w:rsidRPr="005F5AE6" w:rsidRDefault="004B4E22" w:rsidP="004B4E22">
      <w:pPr>
        <w:rPr>
          <w:lang w:val="en-GB"/>
        </w:rPr>
      </w:pPr>
    </w:p>
    <w:p w14:paraId="18F68795" w14:textId="77777777" w:rsidR="004B4E22" w:rsidRPr="005F5AE6" w:rsidRDefault="004B4E22" w:rsidP="004B4E22">
      <w:pPr>
        <w:pStyle w:val="Heading1"/>
        <w:keepNext/>
        <w:keepLines/>
        <w:rPr>
          <w:b/>
          <w:bCs/>
        </w:rPr>
      </w:pPr>
      <w:r>
        <w:rPr>
          <w:b/>
        </w:rPr>
        <w:t xml:space="preserve">VYSVĚTLUJÍCÍ POZNÁMKY </w:t>
      </w:r>
    </w:p>
    <w:p w14:paraId="44BC2B68" w14:textId="77777777" w:rsidR="004B4E22" w:rsidRPr="005F5AE6" w:rsidRDefault="004B4E22" w:rsidP="004B4E22">
      <w:pPr>
        <w:keepNext/>
        <w:keepLines/>
        <w:rPr>
          <w:lang w:val="en-GB"/>
        </w:rPr>
      </w:pPr>
    </w:p>
    <w:p w14:paraId="01DA0B2D" w14:textId="134631CD" w:rsidR="004B4E22" w:rsidRPr="005F5AE6" w:rsidRDefault="004B4E22" w:rsidP="004B4E22">
      <w:pPr>
        <w:keepNext/>
        <w:keepLines/>
        <w:ind w:left="567"/>
        <w:rPr>
          <w:i/>
          <w:iCs/>
        </w:rPr>
      </w:pPr>
      <w:r>
        <w:rPr>
          <w:i/>
        </w:rPr>
        <w:t>Důvody podporující doporučení 1.2</w:t>
      </w:r>
      <w:r w:rsidR="00476DA8">
        <w:rPr>
          <w:i/>
        </w:rPr>
        <w:t xml:space="preserve"> a </w:t>
      </w:r>
      <w:r>
        <w:rPr>
          <w:i/>
        </w:rPr>
        <w:t xml:space="preserve">1.3 </w:t>
      </w:r>
    </w:p>
    <w:p w14:paraId="24EB8162" w14:textId="77777777" w:rsidR="004B4E22" w:rsidRPr="005F5AE6" w:rsidRDefault="004B4E22" w:rsidP="004B4E22">
      <w:pPr>
        <w:keepNext/>
        <w:keepLines/>
        <w:rPr>
          <w:lang w:val="en-GB"/>
        </w:rPr>
      </w:pPr>
    </w:p>
    <w:p w14:paraId="79CF63BE" w14:textId="034468AB" w:rsidR="004B4E22" w:rsidRPr="005F5AE6" w:rsidRDefault="004B4E22" w:rsidP="004B4E22">
      <w:pPr>
        <w:pStyle w:val="Heading2"/>
      </w:pPr>
      <w:r>
        <w:t>Ačkoli jsou digitální kontakty užitečné</w:t>
      </w:r>
      <w:r w:rsidR="00476DA8">
        <w:t xml:space="preserve"> a </w:t>
      </w:r>
      <w:r>
        <w:t>účinné,</w:t>
      </w:r>
      <w:r w:rsidR="00476DA8">
        <w:t xml:space="preserve"> v </w:t>
      </w:r>
      <w:r>
        <w:t>případě, že spotřebitel potřebuje okamžitou odpověď na konkrétní dotaz, je telefonický kontakt nezbytný</w:t>
      </w:r>
      <w:r w:rsidR="00476DA8">
        <w:t xml:space="preserve"> a </w:t>
      </w:r>
      <w:r>
        <w:t>mimořádně účinný. Může se totiž stát, že na internetové stránce nejsou uvedeny žádné informace, které by mohly zákazníkovi pomoci. Oproti tomu telefonický rozhovor zajišťuje konstruktivní výměnu názorů</w:t>
      </w:r>
      <w:r w:rsidR="00476DA8">
        <w:t xml:space="preserve"> a </w:t>
      </w:r>
      <w:r>
        <w:t>informací</w:t>
      </w:r>
      <w:r w:rsidR="00476DA8">
        <w:t xml:space="preserve"> v </w:t>
      </w:r>
      <w:r>
        <w:t>situacích, kdy je nutné okamžitě poskytnout potřebné informace</w:t>
      </w:r>
      <w:r w:rsidR="00476DA8">
        <w:t xml:space="preserve"> a </w:t>
      </w:r>
      <w:r>
        <w:t>danou záležitost objasnit. Mnohé internetové stránky mohou být navíc poměrně složité</w:t>
      </w:r>
      <w:r w:rsidR="00476DA8">
        <w:t xml:space="preserve"> a </w:t>
      </w:r>
      <w:r>
        <w:t>může být obtížné se na nich orientovat. Proto je nezbytné, aby</w:t>
      </w:r>
      <w:r w:rsidR="00476DA8">
        <w:t xml:space="preserve"> v </w:t>
      </w:r>
      <w:r>
        <w:t>případě digitálního kontaktu měl zákazník co do činění</w:t>
      </w:r>
      <w:r w:rsidR="00476DA8">
        <w:t xml:space="preserve"> s </w:t>
      </w:r>
      <w:r>
        <w:t>uživatelsky přívětivou internetovou stránkou, která je snadno přístupná</w:t>
      </w:r>
      <w:r w:rsidR="00476DA8">
        <w:t xml:space="preserve"> a </w:t>
      </w:r>
      <w:r>
        <w:t>díky níž lehce získá veškeré potřebné informace.</w:t>
      </w:r>
    </w:p>
    <w:p w14:paraId="24326A62" w14:textId="77777777" w:rsidR="004B4E22" w:rsidRPr="005F5AE6" w:rsidRDefault="004B4E22" w:rsidP="004B4E22">
      <w:pPr>
        <w:rPr>
          <w:lang w:val="en-GB"/>
        </w:rPr>
      </w:pPr>
    </w:p>
    <w:p w14:paraId="3D27FCE8" w14:textId="77777777" w:rsidR="004B4E22" w:rsidRPr="005F5AE6" w:rsidRDefault="004B4E22" w:rsidP="004B4E22">
      <w:pPr>
        <w:keepNext/>
        <w:keepLines/>
        <w:ind w:left="567"/>
        <w:rPr>
          <w:i/>
          <w:iCs/>
        </w:rPr>
      </w:pPr>
      <w:r>
        <w:rPr>
          <w:i/>
        </w:rPr>
        <w:t>Důvody podporující doporučení 1.4</w:t>
      </w:r>
    </w:p>
    <w:p w14:paraId="421E18D0" w14:textId="77777777" w:rsidR="004B4E22" w:rsidRPr="005F5AE6" w:rsidRDefault="004B4E22" w:rsidP="004B4E22">
      <w:pPr>
        <w:keepNext/>
        <w:keepLines/>
        <w:rPr>
          <w:b/>
          <w:bCs/>
          <w:lang w:val="en-GB"/>
        </w:rPr>
      </w:pPr>
    </w:p>
    <w:p w14:paraId="17AAB6D0" w14:textId="60628D7E" w:rsidR="004B4E22" w:rsidRPr="005F5AE6" w:rsidRDefault="004B4E22" w:rsidP="004B4E22">
      <w:pPr>
        <w:pStyle w:val="Heading2"/>
      </w:pPr>
      <w:r>
        <w:t>Ustanovení upravující aktualizaci štítku bez zbytečného odkladu</w:t>
      </w:r>
      <w:r w:rsidR="00476DA8">
        <w:t xml:space="preserve"> v </w:t>
      </w:r>
      <w:r>
        <w:t>případě, že dojde ke změně týkající se klasifikace nebo označování dané látky či směsi, je příliš vágní</w:t>
      </w:r>
      <w:r w:rsidR="00476DA8">
        <w:t xml:space="preserve"> a </w:t>
      </w:r>
      <w:r>
        <w:t>ve skutečnosti takřka zbytečné.</w:t>
      </w:r>
      <w:r w:rsidR="00476DA8">
        <w:t xml:space="preserve"> V </w:t>
      </w:r>
      <w:r>
        <w:t>předpisech je nutné stanovit jednoznačnou lhůtu, do kdy má být aktualizace štítků provedena. Lhůta 12 měsíců se jeví jako přiměřená, přičemž může být prodloužena, pokud Komise dospěje</w:t>
      </w:r>
      <w:r w:rsidR="00476DA8">
        <w:t xml:space="preserve"> k </w:t>
      </w:r>
      <w:r>
        <w:t>závěru, že existují dostatečné důvody, které toto rozhodnutí opodstatňují.</w:t>
      </w:r>
    </w:p>
    <w:p w14:paraId="0B33F579" w14:textId="77777777" w:rsidR="004B4E22" w:rsidRPr="005F5AE6" w:rsidRDefault="004B4E22" w:rsidP="004B4E22">
      <w:pPr>
        <w:rPr>
          <w:i/>
          <w:iCs/>
          <w:lang w:val="en-GB"/>
        </w:rPr>
      </w:pPr>
    </w:p>
    <w:p w14:paraId="635CE75D" w14:textId="77777777" w:rsidR="004B4E22" w:rsidRPr="005F5AE6" w:rsidRDefault="004B4E22" w:rsidP="004B4E22">
      <w:pPr>
        <w:keepNext/>
        <w:keepLines/>
        <w:ind w:left="567"/>
        <w:rPr>
          <w:i/>
          <w:iCs/>
        </w:rPr>
      </w:pPr>
      <w:r>
        <w:rPr>
          <w:i/>
        </w:rPr>
        <w:t>Důvody podporující doporučení 1.5</w:t>
      </w:r>
    </w:p>
    <w:p w14:paraId="7E24D4C4" w14:textId="77777777" w:rsidR="004B4E22" w:rsidRPr="005F5AE6" w:rsidRDefault="004B4E22" w:rsidP="004B4E22">
      <w:pPr>
        <w:keepNext/>
        <w:keepLines/>
        <w:rPr>
          <w:lang w:val="en-GB"/>
        </w:rPr>
      </w:pPr>
    </w:p>
    <w:p w14:paraId="66035850" w14:textId="70D0637C" w:rsidR="004B4E22" w:rsidRPr="005F5AE6" w:rsidRDefault="004B4E22" w:rsidP="004B4E22">
      <w:pPr>
        <w:pStyle w:val="Heading2"/>
      </w:pPr>
      <w:r>
        <w:t>Jediným způsobem, jak se spotřebitel může seznámit se složením daného produktu, je pomocí kvalitního označení. Štítky musí být snadno čitelné</w:t>
      </w:r>
      <w:r w:rsidR="00476DA8">
        <w:t xml:space="preserve"> a </w:t>
      </w:r>
      <w:r>
        <w:t>na výrobku, na kterém jsou umístěny, musí být dobře viditelné. Aby tomu tak skutečně bylo, měly by být vytištěny červeným nebo černým písmem na bílém pozadí. Ve výjimečných případech může být nutné se od tohoto návrhu poněkud odklonit,</w:t>
      </w:r>
      <w:r w:rsidR="00476DA8">
        <w:t xml:space="preserve"> i </w:t>
      </w:r>
      <w:r>
        <w:t>pak však platí, že štítek musí být dobře čitelný</w:t>
      </w:r>
      <w:r w:rsidR="00476DA8">
        <w:t xml:space="preserve"> a </w:t>
      </w:r>
      <w:r>
        <w:t>snadno viditelný, přičemž mezi jednotlivými slovy</w:t>
      </w:r>
      <w:r w:rsidR="00476DA8">
        <w:t xml:space="preserve"> a </w:t>
      </w:r>
      <w:r>
        <w:t>řádky musí být dostatečná mezera.</w:t>
      </w:r>
    </w:p>
    <w:p w14:paraId="295FF1AC" w14:textId="77777777" w:rsidR="004B4E22" w:rsidRPr="005F5AE6" w:rsidRDefault="004B4E22" w:rsidP="004B4E22">
      <w:pPr>
        <w:rPr>
          <w:lang w:val="en-GB"/>
        </w:rPr>
      </w:pPr>
    </w:p>
    <w:p w14:paraId="60C70995" w14:textId="77777777" w:rsidR="004B4E22" w:rsidRPr="005F5AE6" w:rsidRDefault="004B4E22" w:rsidP="004B4E22">
      <w:pPr>
        <w:keepNext/>
        <w:keepLines/>
        <w:ind w:left="567"/>
        <w:rPr>
          <w:i/>
          <w:iCs/>
        </w:rPr>
      </w:pPr>
      <w:r>
        <w:rPr>
          <w:i/>
        </w:rPr>
        <w:lastRenderedPageBreak/>
        <w:t>Důvody podporující doporučení 1.6</w:t>
      </w:r>
    </w:p>
    <w:p w14:paraId="4EC77883" w14:textId="77777777" w:rsidR="004B4E22" w:rsidRPr="005F5AE6" w:rsidRDefault="004B4E22" w:rsidP="004B4E22">
      <w:pPr>
        <w:keepNext/>
        <w:keepLines/>
        <w:rPr>
          <w:lang w:val="en-GB"/>
        </w:rPr>
      </w:pPr>
    </w:p>
    <w:p w14:paraId="55671C32" w14:textId="0821B214" w:rsidR="004B4E22" w:rsidRPr="005F5AE6" w:rsidRDefault="7AEBC061" w:rsidP="004B4E22">
      <w:pPr>
        <w:pStyle w:val="Heading2"/>
      </w:pPr>
      <w:r>
        <w:rPr>
          <w:color w:val="000000" w:themeColor="text1"/>
        </w:rPr>
        <w:t>Návrh Komise na zavedení nové odchylky pro látky CMR, jež jsou standardně označovány za nebezpečné</w:t>
      </w:r>
      <w:r w:rsidR="00476DA8">
        <w:rPr>
          <w:color w:val="000000" w:themeColor="text1"/>
        </w:rPr>
        <w:t xml:space="preserve"> v </w:t>
      </w:r>
      <w:r>
        <w:rPr>
          <w:color w:val="000000" w:themeColor="text1"/>
        </w:rPr>
        <w:t>případě expozice orální nebo inhalační cestou, je příliš rozsáhle pojatý. Nebere se při tom</w:t>
      </w:r>
      <w:r w:rsidR="00476DA8">
        <w:rPr>
          <w:color w:val="000000" w:themeColor="text1"/>
        </w:rPr>
        <w:t xml:space="preserve"> v </w:t>
      </w:r>
      <w:r>
        <w:rPr>
          <w:color w:val="000000" w:themeColor="text1"/>
        </w:rPr>
        <w:t>úvahu skutečnost, že malé děti, pro které jsou kvůli jejich nízké tělesné hmotnosti látky CMR již tak nebezpečné, často nechtěně spolknou přípravky, které se na ně nanášejí. Zmíněný návrh by riziko závažných účinků na zdraví dětí</w:t>
      </w:r>
      <w:r w:rsidR="00476DA8">
        <w:rPr>
          <w:color w:val="000000" w:themeColor="text1"/>
        </w:rPr>
        <w:t xml:space="preserve"> a </w:t>
      </w:r>
      <w:r>
        <w:rPr>
          <w:color w:val="000000" w:themeColor="text1"/>
        </w:rPr>
        <w:t>dalších ohrožených skupin ještě zvýšil, neboť by umožnil, aby některé látky CMR byly</w:t>
      </w:r>
      <w:r w:rsidR="00476DA8">
        <w:rPr>
          <w:color w:val="000000" w:themeColor="text1"/>
        </w:rPr>
        <w:t xml:space="preserve"> i </w:t>
      </w:r>
      <w:r>
        <w:rPr>
          <w:color w:val="000000" w:themeColor="text1"/>
        </w:rPr>
        <w:t>nadále používány</w:t>
      </w:r>
      <w:r w:rsidR="00476DA8">
        <w:rPr>
          <w:color w:val="000000" w:themeColor="text1"/>
        </w:rPr>
        <w:t xml:space="preserve"> v </w:t>
      </w:r>
      <w:r>
        <w:rPr>
          <w:color w:val="000000" w:themeColor="text1"/>
        </w:rPr>
        <w:t>kosmetice</w:t>
      </w:r>
      <w:r w:rsidR="00476DA8">
        <w:rPr>
          <w:color w:val="000000" w:themeColor="text1"/>
        </w:rPr>
        <w:t xml:space="preserve"> a </w:t>
      </w:r>
      <w:r>
        <w:rPr>
          <w:color w:val="000000" w:themeColor="text1"/>
        </w:rPr>
        <w:t>přípravcích pro osobní péči. Tato odchylka by měla být povolena</w:t>
      </w:r>
      <w:r w:rsidR="00476DA8">
        <w:rPr>
          <w:color w:val="000000" w:themeColor="text1"/>
        </w:rPr>
        <w:t xml:space="preserve"> s </w:t>
      </w:r>
      <w:r>
        <w:rPr>
          <w:color w:val="000000" w:themeColor="text1"/>
        </w:rPr>
        <w:t>výjimkou případů, kdy lze prokázat, že jsou tyto látky obzvláště nebezpečné pro děti</w:t>
      </w:r>
      <w:r w:rsidR="00476DA8">
        <w:rPr>
          <w:color w:val="000000" w:themeColor="text1"/>
        </w:rPr>
        <w:t xml:space="preserve"> a </w:t>
      </w:r>
      <w:r>
        <w:rPr>
          <w:color w:val="000000" w:themeColor="text1"/>
        </w:rPr>
        <w:t>jiné zranitelné skupiny obyvatelstva.</w:t>
      </w:r>
    </w:p>
    <w:p w14:paraId="6FB18580" w14:textId="77777777" w:rsidR="004B4E22" w:rsidRPr="005F5AE6" w:rsidRDefault="004B4E22" w:rsidP="004B4E22">
      <w:pPr>
        <w:rPr>
          <w:lang w:val="en-GB"/>
        </w:rPr>
      </w:pPr>
    </w:p>
    <w:p w14:paraId="085B6974" w14:textId="77777777" w:rsidR="004B4E22" w:rsidRPr="005F5AE6" w:rsidRDefault="004B4E22" w:rsidP="004B4E22">
      <w:pPr>
        <w:keepNext/>
        <w:keepLines/>
        <w:ind w:left="567"/>
        <w:rPr>
          <w:i/>
          <w:iCs/>
        </w:rPr>
      </w:pPr>
      <w:r>
        <w:rPr>
          <w:i/>
        </w:rPr>
        <w:t>Důvody podporující doporučení 1.7</w:t>
      </w:r>
    </w:p>
    <w:p w14:paraId="35E9349F" w14:textId="77777777" w:rsidR="004B4E22" w:rsidRPr="005F5AE6" w:rsidRDefault="004B4E22" w:rsidP="004B4E22">
      <w:pPr>
        <w:keepNext/>
        <w:keepLines/>
        <w:rPr>
          <w:lang w:val="en-GB"/>
        </w:rPr>
      </w:pPr>
    </w:p>
    <w:p w14:paraId="361B21AD" w14:textId="30F213DE" w:rsidR="004B4E22" w:rsidRPr="005F5AE6" w:rsidRDefault="7AEBC061" w:rsidP="00B417F6">
      <w:pPr>
        <w:pStyle w:val="Heading2"/>
      </w:pPr>
      <w:r>
        <w:rPr>
          <w:color w:val="000000" w:themeColor="text1"/>
        </w:rPr>
        <w:t>Komise mimo jiné navrhuje, že</w:t>
      </w:r>
      <w:r w:rsidR="00476DA8">
        <w:rPr>
          <w:color w:val="000000" w:themeColor="text1"/>
        </w:rPr>
        <w:t xml:space="preserve"> k </w:t>
      </w:r>
      <w:r>
        <w:rPr>
          <w:color w:val="000000" w:themeColor="text1"/>
        </w:rPr>
        <w:t>tomu, aby určitá látka mohla být považována za vhodnou alternativu látky CMR</w:t>
      </w:r>
      <w:r w:rsidR="00476DA8">
        <w:rPr>
          <w:color w:val="000000" w:themeColor="text1"/>
        </w:rPr>
        <w:t xml:space="preserve"> v </w:t>
      </w:r>
      <w:r>
        <w:rPr>
          <w:color w:val="000000" w:themeColor="text1"/>
        </w:rPr>
        <w:t>kosmetickém přípravku, musí být ekonomicky životaschopná. Při</w:t>
      </w:r>
      <w:r w:rsidR="00476DA8">
        <w:rPr>
          <w:color w:val="000000" w:themeColor="text1"/>
        </w:rPr>
        <w:t> </w:t>
      </w:r>
      <w:r>
        <w:rPr>
          <w:color w:val="000000" w:themeColor="text1"/>
        </w:rPr>
        <w:t>vývoji alternativy</w:t>
      </w:r>
      <w:r w:rsidR="00476DA8">
        <w:rPr>
          <w:color w:val="000000" w:themeColor="text1"/>
        </w:rPr>
        <w:t xml:space="preserve"> k </w:t>
      </w:r>
      <w:r>
        <w:rPr>
          <w:color w:val="000000" w:themeColor="text1"/>
        </w:rPr>
        <w:t>látce CMR by se ekonomické náklady měly brát</w:t>
      </w:r>
      <w:r w:rsidR="00476DA8">
        <w:rPr>
          <w:color w:val="000000" w:themeColor="text1"/>
        </w:rPr>
        <w:t xml:space="preserve"> v </w:t>
      </w:r>
      <w:r>
        <w:rPr>
          <w:color w:val="000000" w:themeColor="text1"/>
        </w:rPr>
        <w:t>potaz pouze</w:t>
      </w:r>
      <w:r w:rsidR="00476DA8">
        <w:rPr>
          <w:color w:val="000000" w:themeColor="text1"/>
        </w:rPr>
        <w:t xml:space="preserve"> v </w:t>
      </w:r>
      <w:r>
        <w:rPr>
          <w:color w:val="000000" w:themeColor="text1"/>
        </w:rPr>
        <w:t>případě, že jsou nepřiměřeně vysoké, vedly by</w:t>
      </w:r>
      <w:r w:rsidR="00476DA8">
        <w:rPr>
          <w:color w:val="000000" w:themeColor="text1"/>
        </w:rPr>
        <w:t xml:space="preserve"> k </w:t>
      </w:r>
      <w:r>
        <w:rPr>
          <w:color w:val="000000" w:themeColor="text1"/>
        </w:rPr>
        <w:t>nadměrným nákladům pro spotřebitele nebo je tato alternativa</w:t>
      </w:r>
      <w:r w:rsidR="00476DA8">
        <w:rPr>
          <w:color w:val="000000" w:themeColor="text1"/>
        </w:rPr>
        <w:t xml:space="preserve"> z </w:t>
      </w:r>
      <w:r>
        <w:rPr>
          <w:color w:val="000000" w:themeColor="text1"/>
        </w:rPr>
        <w:t>ekonomického hlediska zcela neúnosná.</w:t>
      </w:r>
      <w:r w:rsidR="00476DA8">
        <w:rPr>
          <w:color w:val="000000" w:themeColor="text1"/>
        </w:rPr>
        <w:t xml:space="preserve"> V </w:t>
      </w:r>
      <w:r>
        <w:rPr>
          <w:color w:val="000000" w:themeColor="text1"/>
        </w:rPr>
        <w:t>investování do alternativních produktů je třeba podporovat zejména malé</w:t>
      </w:r>
      <w:r w:rsidR="00476DA8">
        <w:rPr>
          <w:color w:val="000000" w:themeColor="text1"/>
        </w:rPr>
        <w:t xml:space="preserve"> a </w:t>
      </w:r>
      <w:r>
        <w:rPr>
          <w:color w:val="000000" w:themeColor="text1"/>
        </w:rPr>
        <w:t>střední podniky.</w:t>
      </w:r>
    </w:p>
    <w:p w14:paraId="54108EE5" w14:textId="77777777" w:rsidR="005F5AE6" w:rsidRDefault="005F5AE6" w:rsidP="004B4E22">
      <w:pPr>
        <w:ind w:left="567"/>
        <w:rPr>
          <w:i/>
          <w:iCs/>
          <w:lang w:val="en-GB"/>
        </w:rPr>
      </w:pPr>
    </w:p>
    <w:p w14:paraId="49E7C077" w14:textId="7E9C7A66" w:rsidR="004B4E22" w:rsidRPr="005F5AE6" w:rsidRDefault="004B4E22" w:rsidP="004B4E22">
      <w:pPr>
        <w:ind w:left="567"/>
        <w:rPr>
          <w:i/>
          <w:iCs/>
        </w:rPr>
      </w:pPr>
      <w:r>
        <w:rPr>
          <w:i/>
        </w:rPr>
        <w:t>Důvody podporující doporučení 1.8</w:t>
      </w:r>
    </w:p>
    <w:p w14:paraId="5ACF6E2B" w14:textId="77777777" w:rsidR="004B4E22" w:rsidRPr="005F5AE6" w:rsidRDefault="004B4E22" w:rsidP="004B4E22">
      <w:pPr>
        <w:rPr>
          <w:lang w:val="en-GB"/>
        </w:rPr>
      </w:pPr>
    </w:p>
    <w:p w14:paraId="62C258C3" w14:textId="0046D8D9" w:rsidR="004B4E22" w:rsidRPr="005F5AE6" w:rsidRDefault="004B4E22" w:rsidP="004B4E22">
      <w:pPr>
        <w:pStyle w:val="Heading2"/>
      </w:pPr>
      <w:r>
        <w:t>Jedním</w:t>
      </w:r>
      <w:r w:rsidR="00476DA8">
        <w:t xml:space="preserve"> z </w:t>
      </w:r>
      <w:r>
        <w:t>hlavních přímých zdrojů,</w:t>
      </w:r>
      <w:r w:rsidR="00476DA8">
        <w:t xml:space="preserve"> v </w:t>
      </w:r>
      <w:r>
        <w:t>jejichž případě jsou spotřebitelé včetně dětí</w:t>
      </w:r>
      <w:r w:rsidR="00476DA8">
        <w:t xml:space="preserve"> a </w:t>
      </w:r>
      <w:r>
        <w:t>dalších zranitelných skupin přímo vystaveni působení endokrinních disruptorů, jsou kosmetické přípravky. Problémem je mimo jiné to, že vědecké poznatky</w:t>
      </w:r>
      <w:r w:rsidR="00476DA8">
        <w:t xml:space="preserve"> o </w:t>
      </w:r>
      <w:r>
        <w:t>některých endokrinních disruptorech nejsou vždy jednoznačné.</w:t>
      </w:r>
      <w:r w:rsidR="00476DA8">
        <w:t xml:space="preserve"> V </w:t>
      </w:r>
      <w:r>
        <w:t>zájmu ochrany veřejného zdraví</w:t>
      </w:r>
      <w:r w:rsidR="00476DA8">
        <w:t xml:space="preserve"> a </w:t>
      </w:r>
      <w:r>
        <w:t>životního prostředí by proto měla platit zásada předběžné opatrnosti,</w:t>
      </w:r>
      <w:r w:rsidR="00476DA8">
        <w:t xml:space="preserve"> a </w:t>
      </w:r>
      <w:r>
        <w:t>to zejména</w:t>
      </w:r>
      <w:r w:rsidR="00476DA8">
        <w:t xml:space="preserve"> v </w:t>
      </w:r>
      <w:r>
        <w:t>případě dětí</w:t>
      </w:r>
      <w:r w:rsidR="00476DA8">
        <w:t xml:space="preserve"> a </w:t>
      </w:r>
      <w:r>
        <w:t>zranitelných skupin.</w:t>
      </w:r>
    </w:p>
    <w:p w14:paraId="54D41551" w14:textId="77777777" w:rsidR="004B4E22" w:rsidRPr="005F5AE6" w:rsidRDefault="004B4E22" w:rsidP="004B4E22">
      <w:pPr>
        <w:rPr>
          <w:lang w:val="en-GB"/>
        </w:rPr>
      </w:pPr>
    </w:p>
    <w:p w14:paraId="6742B484" w14:textId="4EC4A4AC" w:rsidR="004B4E22" w:rsidRPr="005F5AE6" w:rsidRDefault="004B4E22" w:rsidP="004B4E22">
      <w:pPr>
        <w:pStyle w:val="Heading1"/>
        <w:rPr>
          <w:b/>
          <w:bCs/>
        </w:rPr>
      </w:pPr>
      <w:r>
        <w:rPr>
          <w:b/>
        </w:rPr>
        <w:t>POZMĚŇOVACÍ NÁVRHY PŘEDLOŽENÉ</w:t>
      </w:r>
      <w:r w:rsidR="00476DA8">
        <w:rPr>
          <w:b/>
        </w:rPr>
        <w:t xml:space="preserve"> K </w:t>
      </w:r>
      <w:r>
        <w:rPr>
          <w:b/>
        </w:rPr>
        <w:t>LEGISLATIVNÍMU NÁVRHU EVROPSKÉ KOMISE</w:t>
      </w:r>
    </w:p>
    <w:p w14:paraId="051421F8" w14:textId="77777777" w:rsidR="004B4E22" w:rsidRPr="005F5AE6" w:rsidRDefault="004B4E22" w:rsidP="004B4E22">
      <w:pPr>
        <w:keepNext/>
        <w:keepLines/>
        <w:rPr>
          <w:lang w:val="en-GB"/>
        </w:rPr>
      </w:pPr>
    </w:p>
    <w:p w14:paraId="7067DDCA" w14:textId="77777777" w:rsidR="004B4E22" w:rsidRPr="005F5AE6" w:rsidRDefault="004B4E22" w:rsidP="004B4E22">
      <w:pPr>
        <w:pStyle w:val="Heading2"/>
        <w:keepNext/>
        <w:keepLines/>
        <w:numPr>
          <w:ilvl w:val="0"/>
          <w:numId w:val="0"/>
        </w:numPr>
        <w:rPr>
          <w:b/>
          <w:bCs/>
        </w:rPr>
      </w:pPr>
      <w:r>
        <w:rPr>
          <w:b/>
        </w:rPr>
        <w:t>Pozměňovací návrh 1</w:t>
      </w:r>
    </w:p>
    <w:p w14:paraId="5BB47F26" w14:textId="22DEBBA6" w:rsidR="004B4E22" w:rsidRPr="005F5AE6" w:rsidRDefault="004B4E22" w:rsidP="004B4E22">
      <w:pPr>
        <w:keepNext/>
        <w:keepLines/>
        <w:jc w:val="left"/>
      </w:pPr>
      <w:r>
        <w:t>souvisí</w:t>
      </w:r>
      <w:r w:rsidR="00476DA8">
        <w:t xml:space="preserve"> s </w:t>
      </w:r>
      <w:r>
        <w:t>doporučeními 1.2, 1.3, 1.4</w:t>
      </w:r>
      <w:r w:rsidR="00476DA8">
        <w:t xml:space="preserve"> a </w:t>
      </w:r>
      <w:r>
        <w:t>1.5</w:t>
      </w:r>
    </w:p>
    <w:p w14:paraId="367EBCE2" w14:textId="77777777" w:rsidR="004B4E22" w:rsidRPr="005F5AE6" w:rsidRDefault="004B4E22" w:rsidP="004B4E22">
      <w:pPr>
        <w:keepNext/>
        <w:keepLines/>
        <w:jc w:val="left"/>
        <w:rPr>
          <w:lang w:val="en-GB"/>
        </w:rPr>
      </w:pPr>
    </w:p>
    <w:p w14:paraId="3720E90B" w14:textId="02790B66" w:rsidR="004B4E22" w:rsidRDefault="004B4E22" w:rsidP="004B4E22">
      <w:pPr>
        <w:keepNext/>
        <w:keepLines/>
        <w:jc w:val="left"/>
      </w:pPr>
      <w:r>
        <w:t>článek 1 návrhu nařízení COM(2025) 531 final, kterým se mění nařízení (EU) č. 1272/2008</w:t>
      </w:r>
    </w:p>
    <w:p w14:paraId="78B70C50" w14:textId="77777777" w:rsidR="00476DA8" w:rsidRPr="005F5AE6" w:rsidRDefault="00476DA8" w:rsidP="004B4E22">
      <w:pPr>
        <w:keepNext/>
        <w:keepLines/>
        <w:jc w:val="left"/>
      </w:pPr>
    </w:p>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529"/>
        <w:gridCol w:w="4528"/>
      </w:tblGrid>
      <w:tr w:rsidR="004B4E22" w:rsidRPr="005F5AE6" w14:paraId="20851E84" w14:textId="77777777" w:rsidTr="3356F976">
        <w:trPr>
          <w:trHeight w:val="300"/>
        </w:trPr>
        <w:tc>
          <w:tcPr>
            <w:tcW w:w="4529" w:type="dxa"/>
            <w:tcBorders>
              <w:top w:val="single" w:sz="2" w:space="0" w:color="auto"/>
              <w:left w:val="single" w:sz="2" w:space="0" w:color="auto"/>
              <w:bottom w:val="single" w:sz="2" w:space="0" w:color="auto"/>
              <w:right w:val="single" w:sz="2" w:space="0" w:color="auto"/>
            </w:tcBorders>
            <w:shd w:val="clear" w:color="auto" w:fill="auto"/>
            <w:hideMark/>
          </w:tcPr>
          <w:p w14:paraId="049914A8" w14:textId="77777777" w:rsidR="004B4E22" w:rsidRPr="005F5AE6" w:rsidRDefault="004B4E22" w:rsidP="00660413">
            <w:pPr>
              <w:jc w:val="center"/>
              <w:rPr>
                <w:strike/>
              </w:rPr>
            </w:pPr>
            <w:r>
              <w:rPr>
                <w:b/>
              </w:rPr>
              <w:t>Text navržený Evropskou komisí</w:t>
            </w:r>
          </w:p>
        </w:tc>
        <w:tc>
          <w:tcPr>
            <w:tcW w:w="4528" w:type="dxa"/>
            <w:tcBorders>
              <w:top w:val="single" w:sz="2" w:space="0" w:color="auto"/>
              <w:left w:val="single" w:sz="2" w:space="0" w:color="auto"/>
              <w:bottom w:val="single" w:sz="2" w:space="0" w:color="auto"/>
              <w:right w:val="single" w:sz="2" w:space="0" w:color="auto"/>
            </w:tcBorders>
            <w:shd w:val="clear" w:color="auto" w:fill="auto"/>
            <w:hideMark/>
          </w:tcPr>
          <w:p w14:paraId="7FBA1358" w14:textId="77777777" w:rsidR="004B4E22" w:rsidRPr="005F5AE6" w:rsidRDefault="004B4E22" w:rsidP="00660413">
            <w:pPr>
              <w:jc w:val="center"/>
            </w:pPr>
            <w:r>
              <w:rPr>
                <w:b/>
              </w:rPr>
              <w:t>Pozměňovací návrh EHSV</w:t>
            </w:r>
          </w:p>
        </w:tc>
      </w:tr>
      <w:tr w:rsidR="004B4E22" w:rsidRPr="005F5AE6" w14:paraId="034B049D" w14:textId="77777777" w:rsidTr="3356F976">
        <w:trPr>
          <w:trHeight w:val="300"/>
        </w:trPr>
        <w:tc>
          <w:tcPr>
            <w:tcW w:w="4529" w:type="dxa"/>
            <w:tcBorders>
              <w:top w:val="single" w:sz="2" w:space="0" w:color="auto"/>
              <w:left w:val="single" w:sz="6" w:space="0" w:color="auto"/>
              <w:bottom w:val="single" w:sz="6" w:space="0" w:color="auto"/>
              <w:right w:val="single" w:sz="6" w:space="0" w:color="auto"/>
            </w:tcBorders>
            <w:shd w:val="clear" w:color="auto" w:fill="auto"/>
            <w:hideMark/>
          </w:tcPr>
          <w:p w14:paraId="2DF0780F" w14:textId="77777777" w:rsidR="004B4E22" w:rsidRPr="005F5AE6" w:rsidRDefault="004B4E22" w:rsidP="00476DA8">
            <w:pPr>
              <w:ind w:left="28" w:right="119"/>
            </w:pPr>
            <w:r>
              <w:t>Článek 1</w:t>
            </w:r>
          </w:p>
          <w:p w14:paraId="7D3AA393" w14:textId="77777777" w:rsidR="004B4E22" w:rsidRPr="005F5AE6" w:rsidRDefault="004B4E22" w:rsidP="00476DA8">
            <w:pPr>
              <w:ind w:left="28" w:right="119"/>
              <w:rPr>
                <w:lang w:val="en-GB"/>
              </w:rPr>
            </w:pPr>
          </w:p>
          <w:p w14:paraId="4DA22D39" w14:textId="77777777" w:rsidR="004B4E22" w:rsidRPr="005F5AE6" w:rsidRDefault="004B4E22" w:rsidP="00476DA8">
            <w:pPr>
              <w:ind w:left="28" w:right="119"/>
            </w:pPr>
            <w:r>
              <w:t>Změny nařízení (ES) č. 1272/2008</w:t>
            </w:r>
          </w:p>
          <w:p w14:paraId="61ADB00F" w14:textId="77777777" w:rsidR="004B4E22" w:rsidRPr="005F5AE6" w:rsidRDefault="004B4E22" w:rsidP="00476DA8">
            <w:pPr>
              <w:ind w:left="28" w:right="119"/>
              <w:rPr>
                <w:lang w:val="en-GB"/>
              </w:rPr>
            </w:pPr>
          </w:p>
          <w:p w14:paraId="5F480CCF" w14:textId="77777777" w:rsidR="004B4E22" w:rsidRPr="005F5AE6" w:rsidRDefault="004B4E22" w:rsidP="00476DA8">
            <w:pPr>
              <w:ind w:left="28" w:right="119"/>
            </w:pPr>
            <w:r>
              <w:t>Nařízení (ES) č. 1272/2008 se mění takto:</w:t>
            </w:r>
          </w:p>
          <w:p w14:paraId="6A204779" w14:textId="77777777" w:rsidR="004B4E22" w:rsidRPr="005F5AE6" w:rsidRDefault="004B4E22" w:rsidP="00476DA8">
            <w:pPr>
              <w:ind w:left="28" w:right="119"/>
              <w:rPr>
                <w:lang w:val="en-GB"/>
              </w:rPr>
            </w:pPr>
          </w:p>
          <w:p w14:paraId="7362EAD5" w14:textId="3AF6C3D1" w:rsidR="004B4E22" w:rsidRPr="005F5AE6" w:rsidRDefault="004B4E22" w:rsidP="00476DA8">
            <w:pPr>
              <w:ind w:left="28" w:right="119"/>
            </w:pPr>
            <w:r>
              <w:t>1)</w:t>
            </w:r>
            <w:r w:rsidR="00476DA8">
              <w:t xml:space="preserve"> v </w:t>
            </w:r>
            <w:r>
              <w:t>článku 2 se doplňuje nový bod, který zní:</w:t>
            </w:r>
          </w:p>
          <w:p w14:paraId="5BA83487" w14:textId="55894B00" w:rsidR="004B4E22" w:rsidRPr="005F5AE6" w:rsidRDefault="004B4E22" w:rsidP="00476DA8">
            <w:pPr>
              <w:ind w:left="28" w:right="119"/>
            </w:pPr>
            <w:r>
              <w:t>„4</w:t>
            </w:r>
            <w:r w:rsidR="00476DA8">
              <w:t>2. </w:t>
            </w:r>
            <w:r>
              <w:t>‚digitálním kontaktem‘ jakýkoli aktuální</w:t>
            </w:r>
            <w:r w:rsidR="00476DA8">
              <w:t xml:space="preserve"> a </w:t>
            </w:r>
            <w:r>
              <w:t>dostupný komunikační kanál online, jehož prostřednictvím lze kontaktovat dodavatele nebo</w:t>
            </w:r>
            <w:r w:rsidR="00476DA8">
              <w:t xml:space="preserve"> s </w:t>
            </w:r>
            <w:r>
              <w:t>ním komunikovat bez nutnosti registrace nebo stažení aplikace.“;</w:t>
            </w:r>
          </w:p>
          <w:p w14:paraId="5EF40EFC" w14:textId="77777777" w:rsidR="004B4E22" w:rsidRPr="005F5AE6" w:rsidRDefault="004B4E22" w:rsidP="00476DA8">
            <w:pPr>
              <w:ind w:left="28" w:right="119"/>
              <w:rPr>
                <w:lang w:val="en-GB"/>
              </w:rPr>
            </w:pPr>
          </w:p>
          <w:p w14:paraId="53EFC19F" w14:textId="25B0511D" w:rsidR="004B4E22" w:rsidRPr="005F5AE6" w:rsidRDefault="004B4E22" w:rsidP="00476DA8">
            <w:pPr>
              <w:ind w:left="28" w:right="119"/>
            </w:pPr>
            <w:r>
              <w:t>2)</w:t>
            </w:r>
            <w:r w:rsidR="00476DA8">
              <w:t xml:space="preserve"> v čl. </w:t>
            </w:r>
            <w:r>
              <w:t xml:space="preserve">17 </w:t>
            </w:r>
            <w:r w:rsidR="00476DA8">
              <w:t>odst. </w:t>
            </w:r>
            <w:r>
              <w:t>1 se písmeno a) nahrazuje tímto:</w:t>
            </w:r>
          </w:p>
          <w:p w14:paraId="529813D4" w14:textId="12DE668A" w:rsidR="004B4E22" w:rsidRPr="005F5AE6" w:rsidRDefault="004B4E22" w:rsidP="00476DA8">
            <w:pPr>
              <w:ind w:left="28" w:right="119"/>
            </w:pPr>
            <w:r>
              <w:t>„a) jméno/název, adresu</w:t>
            </w:r>
            <w:r w:rsidR="00476DA8">
              <w:t xml:space="preserve"> a </w:t>
            </w:r>
            <w:r>
              <w:t>digitální kontakt dodavatelů;“;</w:t>
            </w:r>
          </w:p>
          <w:p w14:paraId="2F3D9B10" w14:textId="77777777" w:rsidR="004B4E22" w:rsidRPr="005F5AE6" w:rsidRDefault="004B4E22" w:rsidP="00476DA8">
            <w:pPr>
              <w:ind w:left="28" w:right="119"/>
              <w:rPr>
                <w:lang w:val="en-GB"/>
              </w:rPr>
            </w:pPr>
          </w:p>
          <w:p w14:paraId="69726FA1" w14:textId="773E6EE7" w:rsidR="004B4E22" w:rsidRDefault="004B4E22" w:rsidP="00476DA8">
            <w:pPr>
              <w:ind w:left="28" w:right="119"/>
              <w:rPr>
                <w:lang w:val="en-GB"/>
              </w:rPr>
            </w:pPr>
          </w:p>
          <w:p w14:paraId="31319086" w14:textId="77777777" w:rsidR="00476DA8" w:rsidRPr="005F5AE6" w:rsidRDefault="00476DA8" w:rsidP="00476DA8">
            <w:pPr>
              <w:ind w:left="28" w:right="119"/>
              <w:rPr>
                <w:lang w:val="en-GB"/>
              </w:rPr>
            </w:pPr>
          </w:p>
          <w:p w14:paraId="663163E1" w14:textId="2DE96FBB" w:rsidR="004B4E22" w:rsidRPr="005F5AE6" w:rsidRDefault="004B4E22" w:rsidP="00476DA8">
            <w:pPr>
              <w:ind w:left="28" w:right="119"/>
            </w:pPr>
            <w:r>
              <w:t>3)</w:t>
            </w:r>
            <w:r w:rsidR="00476DA8">
              <w:t xml:space="preserve"> v čl. </w:t>
            </w:r>
            <w:r>
              <w:t xml:space="preserve">25 </w:t>
            </w:r>
            <w:r w:rsidR="00476DA8">
              <w:t>odst. </w:t>
            </w:r>
            <w:r>
              <w:t>6 se třetí pododstavec nahrazuje tímto:</w:t>
            </w:r>
          </w:p>
          <w:p w14:paraId="0FD19A43" w14:textId="7FDECBD1" w:rsidR="004B4E22" w:rsidRPr="005F5AE6" w:rsidRDefault="004B4E22" w:rsidP="00476DA8">
            <w:pPr>
              <w:ind w:left="28" w:right="119"/>
            </w:pPr>
            <w:r>
              <w:t>„Na štítku se rovněž uvádí identifikátor výrobku podle článku 18</w:t>
            </w:r>
            <w:r w:rsidR="00476DA8">
              <w:t xml:space="preserve"> a </w:t>
            </w:r>
            <w:r>
              <w:t>jméno/název, adresa</w:t>
            </w:r>
            <w:r w:rsidR="00476DA8">
              <w:t xml:space="preserve"> a </w:t>
            </w:r>
            <w:r>
              <w:t>digitální kontakt dodavatele směsi.“;</w:t>
            </w:r>
          </w:p>
          <w:p w14:paraId="7717C8EA" w14:textId="77777777" w:rsidR="004B4E22" w:rsidRPr="005F5AE6" w:rsidRDefault="004B4E22" w:rsidP="00476DA8">
            <w:pPr>
              <w:ind w:left="28" w:right="119"/>
              <w:rPr>
                <w:lang w:val="en-GB"/>
              </w:rPr>
            </w:pPr>
          </w:p>
          <w:p w14:paraId="6683AB45" w14:textId="77777777" w:rsidR="004B4E22" w:rsidRPr="005F5AE6" w:rsidRDefault="004B4E22" w:rsidP="00476DA8">
            <w:pPr>
              <w:ind w:left="28" w:right="119"/>
              <w:rPr>
                <w:lang w:val="en-GB"/>
              </w:rPr>
            </w:pPr>
          </w:p>
          <w:p w14:paraId="644E766B" w14:textId="77777777" w:rsidR="004B4E22" w:rsidRPr="005F5AE6" w:rsidRDefault="004B4E22" w:rsidP="00476DA8">
            <w:pPr>
              <w:ind w:left="28" w:right="119"/>
              <w:rPr>
                <w:lang w:val="en-GB"/>
              </w:rPr>
            </w:pPr>
          </w:p>
          <w:p w14:paraId="3121C67B" w14:textId="5EC23A26" w:rsidR="004B4E22" w:rsidRPr="005F5AE6" w:rsidRDefault="004B4E22" w:rsidP="00476DA8">
            <w:pPr>
              <w:ind w:left="28" w:right="119"/>
            </w:pPr>
            <w:r>
              <w:t>4)</w:t>
            </w:r>
            <w:r w:rsidR="00476DA8">
              <w:t xml:space="preserve"> v </w:t>
            </w:r>
            <w:r>
              <w:t>článku 29 se odstavec 2 nahrazuje tímto:</w:t>
            </w:r>
          </w:p>
          <w:p w14:paraId="5593135A" w14:textId="3ECBA26E" w:rsidR="004B4E22" w:rsidRPr="005F5AE6" w:rsidRDefault="004B4E22" w:rsidP="00476DA8">
            <w:pPr>
              <w:ind w:left="28" w:right="119"/>
            </w:pPr>
            <w:r>
              <w:t>„</w:t>
            </w:r>
            <w:r w:rsidR="00476DA8">
              <w:t>2. </w:t>
            </w:r>
            <w:r>
              <w:t>Prvky označení stanovené</w:t>
            </w:r>
            <w:r w:rsidR="00476DA8">
              <w:t xml:space="preserve"> v čl. </w:t>
            </w:r>
            <w:r>
              <w:t xml:space="preserve">17 </w:t>
            </w:r>
            <w:r w:rsidR="00476DA8">
              <w:t>odst. </w:t>
            </w:r>
            <w:r>
              <w:t>1 lze omezit</w:t>
            </w:r>
            <w:r w:rsidR="00476DA8">
              <w:t xml:space="preserve"> v </w:t>
            </w:r>
            <w:r>
              <w:t>souladu</w:t>
            </w:r>
            <w:r w:rsidR="00476DA8">
              <w:t xml:space="preserve"> s </w:t>
            </w:r>
            <w:r>
              <w:t>pravidly stanovenými</w:t>
            </w:r>
            <w:r w:rsidR="00476DA8">
              <w:t xml:space="preserve"> v </w:t>
            </w:r>
            <w:r>
              <w:t>oddíle 1.5.2 přílohy I.“;</w:t>
            </w:r>
          </w:p>
          <w:p w14:paraId="065A4EEC" w14:textId="77777777" w:rsidR="004B4E22" w:rsidRPr="005F5AE6" w:rsidRDefault="004B4E22" w:rsidP="00476DA8">
            <w:pPr>
              <w:ind w:left="28" w:right="119"/>
              <w:rPr>
                <w:lang w:val="en-GB"/>
              </w:rPr>
            </w:pPr>
          </w:p>
          <w:p w14:paraId="51926470" w14:textId="599C23DD" w:rsidR="004B4E22" w:rsidRPr="005F5AE6" w:rsidRDefault="004B4E22" w:rsidP="00476DA8">
            <w:pPr>
              <w:ind w:left="28" w:right="119"/>
            </w:pPr>
            <w:r>
              <w:t>5)</w:t>
            </w:r>
            <w:r w:rsidR="00476DA8">
              <w:t xml:space="preserve"> v </w:t>
            </w:r>
            <w:r>
              <w:t>článku 30 se odstavec 1 nahrazuje tímto:</w:t>
            </w:r>
          </w:p>
          <w:p w14:paraId="7823F912" w14:textId="502D3152" w:rsidR="004B4E22" w:rsidRPr="005F5AE6" w:rsidRDefault="004B4E22" w:rsidP="00476DA8">
            <w:pPr>
              <w:ind w:left="28" w:right="119"/>
            </w:pPr>
            <w:r>
              <w:t>„</w:t>
            </w:r>
            <w:r w:rsidR="00476DA8">
              <w:t>1. V </w:t>
            </w:r>
            <w:r>
              <w:t>případě změny týkající se klasifikace nebo označování látky nebo směsi, která má za následek přidání nové třídy nebezpečnosti nebo přísnější klasifikaci nebo která vyžaduje nové doplňující informace na štítku</w:t>
            </w:r>
            <w:r w:rsidR="00476DA8">
              <w:t xml:space="preserve"> v </w:t>
            </w:r>
            <w:r>
              <w:t>souladu</w:t>
            </w:r>
            <w:r w:rsidR="00476DA8">
              <w:t xml:space="preserve"> s </w:t>
            </w:r>
            <w:r>
              <w:t xml:space="preserve">článkem 25, zajistí dodavatel této látky nebo směsi aktualizaci štítku </w:t>
            </w:r>
            <w:r>
              <w:rPr>
                <w:b/>
                <w:i/>
              </w:rPr>
              <w:t>bez zbytečného odkladu</w:t>
            </w:r>
            <w:r>
              <w:t xml:space="preserve"> od okamžiku, kdy obdržel výsledky nového hodnocení podle </w:t>
            </w:r>
            <w:r w:rsidR="00476DA8">
              <w:t>čl. </w:t>
            </w:r>
            <w:r>
              <w:t xml:space="preserve">15 </w:t>
            </w:r>
            <w:r w:rsidR="00476DA8">
              <w:t>odst. </w:t>
            </w:r>
            <w:r>
              <w:t>4 nebo kdy mu byly tyto výsledky sděleny.“;</w:t>
            </w:r>
          </w:p>
          <w:p w14:paraId="17172652" w14:textId="38DCFA87" w:rsidR="004B4E22" w:rsidRDefault="004B4E22" w:rsidP="00476DA8">
            <w:pPr>
              <w:ind w:left="28" w:right="119"/>
              <w:rPr>
                <w:lang w:val="en-GB"/>
              </w:rPr>
            </w:pPr>
          </w:p>
          <w:p w14:paraId="1083E8AF" w14:textId="77777777" w:rsidR="00476DA8" w:rsidRPr="005F5AE6" w:rsidRDefault="00476DA8" w:rsidP="00476DA8">
            <w:pPr>
              <w:ind w:left="28" w:right="119"/>
              <w:rPr>
                <w:lang w:val="en-GB"/>
              </w:rPr>
            </w:pPr>
          </w:p>
          <w:p w14:paraId="6E25D826" w14:textId="77777777" w:rsidR="004B4E22" w:rsidRPr="005F5AE6" w:rsidRDefault="004B4E22" w:rsidP="00476DA8">
            <w:pPr>
              <w:ind w:left="28" w:right="119"/>
              <w:rPr>
                <w:lang w:val="en-GB"/>
              </w:rPr>
            </w:pPr>
          </w:p>
          <w:p w14:paraId="3CE22B22" w14:textId="77777777" w:rsidR="004B4E22" w:rsidRPr="005F5AE6" w:rsidRDefault="004B4E22" w:rsidP="00476DA8">
            <w:pPr>
              <w:ind w:left="28" w:right="119"/>
              <w:rPr>
                <w:lang w:val="en-GB"/>
              </w:rPr>
            </w:pPr>
          </w:p>
          <w:p w14:paraId="4B9D7E9C" w14:textId="56525A44" w:rsidR="004B4E22" w:rsidRPr="005F5AE6" w:rsidRDefault="004B4E22" w:rsidP="00476DA8">
            <w:pPr>
              <w:ind w:left="28" w:right="119"/>
            </w:pPr>
            <w:r>
              <w:t>6)</w:t>
            </w:r>
            <w:r w:rsidR="00476DA8">
              <w:t xml:space="preserve"> v </w:t>
            </w:r>
            <w:r>
              <w:t>článku 31 se odstavec 3 nahrazuje tímto:</w:t>
            </w:r>
          </w:p>
          <w:p w14:paraId="7D152475" w14:textId="0CAB72FA" w:rsidR="004B4E22" w:rsidRPr="005F5AE6" w:rsidRDefault="004B4E22" w:rsidP="00476DA8">
            <w:pPr>
              <w:ind w:left="28" w:right="119"/>
            </w:pPr>
            <w:r>
              <w:t>„</w:t>
            </w:r>
            <w:r w:rsidR="00476DA8">
              <w:t>3. </w:t>
            </w:r>
            <w:r>
              <w:t>Prvky označení uvedené</w:t>
            </w:r>
            <w:r w:rsidR="00476DA8">
              <w:t xml:space="preserve"> v čl. </w:t>
            </w:r>
            <w:r>
              <w:t xml:space="preserve">17 </w:t>
            </w:r>
            <w:r w:rsidR="00476DA8">
              <w:t>odst. </w:t>
            </w:r>
            <w:r>
              <w:t>1 musí být vyznačeny zřetelně</w:t>
            </w:r>
            <w:r w:rsidR="00476DA8">
              <w:t xml:space="preserve"> a </w:t>
            </w:r>
            <w:r>
              <w:t xml:space="preserve">nesmazatelně. </w:t>
            </w:r>
            <w:r>
              <w:rPr>
                <w:b/>
                <w:i/>
              </w:rPr>
              <w:t>Vystupují</w:t>
            </w:r>
            <w:r>
              <w:t xml:space="preserve"> zřetelně</w:t>
            </w:r>
            <w:r w:rsidR="00476DA8">
              <w:t xml:space="preserve"> z </w:t>
            </w:r>
            <w:r>
              <w:t>pozadí</w:t>
            </w:r>
            <w:r w:rsidR="00476DA8">
              <w:t xml:space="preserve"> a </w:t>
            </w:r>
            <w:r>
              <w:t>mají takovou velikost</w:t>
            </w:r>
            <w:r w:rsidR="00476DA8">
              <w:t xml:space="preserve"> a </w:t>
            </w:r>
            <w:r>
              <w:t>uspořádání, aby byly snadno čitelné.“;</w:t>
            </w:r>
          </w:p>
        </w:tc>
        <w:tc>
          <w:tcPr>
            <w:tcW w:w="4528" w:type="dxa"/>
            <w:tcBorders>
              <w:top w:val="single" w:sz="2" w:space="0" w:color="auto"/>
              <w:left w:val="single" w:sz="6" w:space="0" w:color="auto"/>
              <w:bottom w:val="single" w:sz="6" w:space="0" w:color="auto"/>
              <w:right w:val="single" w:sz="6" w:space="0" w:color="auto"/>
            </w:tcBorders>
            <w:shd w:val="clear" w:color="auto" w:fill="auto"/>
            <w:hideMark/>
          </w:tcPr>
          <w:p w14:paraId="2F24A759" w14:textId="77777777" w:rsidR="004B4E22" w:rsidRPr="005F5AE6" w:rsidRDefault="004B4E22" w:rsidP="00476DA8">
            <w:pPr>
              <w:ind w:left="28" w:right="119"/>
            </w:pPr>
            <w:r>
              <w:t>Článek 1</w:t>
            </w:r>
          </w:p>
          <w:p w14:paraId="2C34CB23" w14:textId="77777777" w:rsidR="004B4E22" w:rsidRPr="005F5AE6" w:rsidRDefault="004B4E22" w:rsidP="00476DA8">
            <w:pPr>
              <w:ind w:left="28" w:right="119"/>
              <w:rPr>
                <w:lang w:val="en-GB"/>
              </w:rPr>
            </w:pPr>
          </w:p>
          <w:p w14:paraId="0061D456" w14:textId="77777777" w:rsidR="004B4E22" w:rsidRPr="005F5AE6" w:rsidRDefault="004B4E22" w:rsidP="00476DA8">
            <w:pPr>
              <w:ind w:left="28" w:right="119"/>
            </w:pPr>
            <w:r>
              <w:t>Změny nařízení (ES) č. 1272/2008</w:t>
            </w:r>
          </w:p>
          <w:p w14:paraId="441B99D2" w14:textId="77777777" w:rsidR="004B4E22" w:rsidRPr="005F5AE6" w:rsidRDefault="004B4E22" w:rsidP="00476DA8">
            <w:pPr>
              <w:ind w:left="28" w:right="119"/>
              <w:rPr>
                <w:lang w:val="en-GB"/>
              </w:rPr>
            </w:pPr>
          </w:p>
          <w:p w14:paraId="71E8D811" w14:textId="77777777" w:rsidR="004B4E22" w:rsidRPr="005F5AE6" w:rsidRDefault="004B4E22" w:rsidP="00476DA8">
            <w:pPr>
              <w:ind w:left="28" w:right="119"/>
              <w:rPr>
                <w:color w:val="000000" w:themeColor="text1"/>
              </w:rPr>
            </w:pPr>
            <w:r>
              <w:t>Nařízení (ES) č. 1272/2008 se mění takto:</w:t>
            </w:r>
          </w:p>
          <w:p w14:paraId="0CB5F70B" w14:textId="77777777" w:rsidR="004B4E22" w:rsidRPr="005F5AE6" w:rsidRDefault="004B4E22" w:rsidP="00476DA8">
            <w:pPr>
              <w:ind w:left="28" w:right="119"/>
              <w:rPr>
                <w:color w:val="000000" w:themeColor="text1"/>
                <w:lang w:val="en-GB"/>
              </w:rPr>
            </w:pPr>
          </w:p>
          <w:p w14:paraId="3BD32601" w14:textId="1DEC8CE1" w:rsidR="004B4E22" w:rsidRPr="005F5AE6" w:rsidRDefault="004B4E22" w:rsidP="00476DA8">
            <w:pPr>
              <w:ind w:left="28" w:right="119"/>
            </w:pPr>
            <w:r>
              <w:rPr>
                <w:color w:val="000000" w:themeColor="text1"/>
              </w:rPr>
              <w:t>1)</w:t>
            </w:r>
            <w:r w:rsidR="00476DA8">
              <w:rPr>
                <w:color w:val="000000" w:themeColor="text1"/>
              </w:rPr>
              <w:t xml:space="preserve"> v </w:t>
            </w:r>
            <w:r>
              <w:rPr>
                <w:color w:val="000000" w:themeColor="text1"/>
              </w:rPr>
              <w:t>článku 2 se doplňuje nový bod, který zní:</w:t>
            </w:r>
          </w:p>
          <w:p w14:paraId="1450BF4C" w14:textId="6A3856B1" w:rsidR="004B4E22" w:rsidRPr="005F5AE6" w:rsidRDefault="004B4E22" w:rsidP="00476DA8">
            <w:pPr>
              <w:ind w:left="28" w:right="119"/>
            </w:pPr>
            <w:r>
              <w:t>„4</w:t>
            </w:r>
            <w:r w:rsidR="00476DA8">
              <w:t>2. </w:t>
            </w:r>
            <w:r>
              <w:t>‚digitálním kontaktem‘ jakýkoli aktuální</w:t>
            </w:r>
            <w:r w:rsidR="00476DA8">
              <w:t xml:space="preserve"> a </w:t>
            </w:r>
            <w:r>
              <w:t>dostupný komunikační kanál online, jehož prostřednictvím lze kontaktovat dodavatele nebo</w:t>
            </w:r>
            <w:r w:rsidR="00476DA8">
              <w:t xml:space="preserve"> s </w:t>
            </w:r>
            <w:r>
              <w:t>ním komunikovat bez nutnosti registrace nebo stažení aplikace.“;</w:t>
            </w:r>
          </w:p>
          <w:p w14:paraId="78C77968" w14:textId="77777777" w:rsidR="004B4E22" w:rsidRPr="005F5AE6" w:rsidRDefault="004B4E22" w:rsidP="00476DA8">
            <w:pPr>
              <w:ind w:left="28" w:right="119"/>
              <w:rPr>
                <w:color w:val="000000" w:themeColor="text1"/>
                <w:lang w:val="en-GB"/>
              </w:rPr>
            </w:pPr>
          </w:p>
          <w:p w14:paraId="178990D5" w14:textId="020EFC64" w:rsidR="004B4E22" w:rsidRPr="005F5AE6" w:rsidRDefault="004B4E22" w:rsidP="00476DA8">
            <w:pPr>
              <w:ind w:left="28" w:right="119"/>
              <w:rPr>
                <w:color w:val="000000" w:themeColor="text1"/>
              </w:rPr>
            </w:pPr>
            <w:r>
              <w:rPr>
                <w:color w:val="000000" w:themeColor="text1"/>
              </w:rPr>
              <w:t>2)</w:t>
            </w:r>
            <w:r w:rsidR="00476DA8">
              <w:rPr>
                <w:color w:val="000000" w:themeColor="text1"/>
              </w:rPr>
              <w:t xml:space="preserve"> v čl. </w:t>
            </w:r>
            <w:r>
              <w:rPr>
                <w:color w:val="000000" w:themeColor="text1"/>
              </w:rPr>
              <w:t xml:space="preserve">17 </w:t>
            </w:r>
            <w:r w:rsidR="00476DA8">
              <w:rPr>
                <w:color w:val="000000" w:themeColor="text1"/>
              </w:rPr>
              <w:t>odst. </w:t>
            </w:r>
            <w:r>
              <w:rPr>
                <w:color w:val="000000" w:themeColor="text1"/>
              </w:rPr>
              <w:t>1 se písmeno a) nahrazuje tímto:</w:t>
            </w:r>
          </w:p>
          <w:p w14:paraId="13E9DC14" w14:textId="5DC8E6A4" w:rsidR="004B4E22" w:rsidRPr="005F5AE6" w:rsidRDefault="004B4E22" w:rsidP="00476DA8">
            <w:pPr>
              <w:ind w:left="28" w:right="119"/>
              <w:rPr>
                <w:color w:val="333333"/>
                <w:sz w:val="27"/>
                <w:szCs w:val="27"/>
              </w:rPr>
            </w:pPr>
            <w:r>
              <w:t>„a) jméno/název, adresu</w:t>
            </w:r>
            <w:r>
              <w:rPr>
                <w:b/>
                <w:i/>
              </w:rPr>
              <w:t>, telefonní číslo</w:t>
            </w:r>
            <w:r w:rsidR="00476DA8">
              <w:t xml:space="preserve"> a </w:t>
            </w:r>
            <w:r>
              <w:t xml:space="preserve">digitální kontakt dodavatelů </w:t>
            </w:r>
            <w:r>
              <w:rPr>
                <w:b/>
                <w:i/>
              </w:rPr>
              <w:t>(digitální kontakt musí být uživatelsky přívětivý</w:t>
            </w:r>
            <w:r w:rsidR="00476DA8">
              <w:rPr>
                <w:b/>
                <w:i/>
              </w:rPr>
              <w:t xml:space="preserve"> a </w:t>
            </w:r>
            <w:r>
              <w:rPr>
                <w:b/>
                <w:i/>
              </w:rPr>
              <w:t>snadno přístupný)</w:t>
            </w:r>
            <w:r>
              <w:t>;“;</w:t>
            </w:r>
            <w:r>
              <w:rPr>
                <w:b/>
                <w:i/>
                <w:color w:val="000000" w:themeColor="text1"/>
              </w:rPr>
              <w:t xml:space="preserve"> </w:t>
            </w:r>
          </w:p>
          <w:p w14:paraId="0DACAC3B" w14:textId="77777777" w:rsidR="004B4E22" w:rsidRPr="005F5AE6" w:rsidRDefault="004B4E22" w:rsidP="00476DA8">
            <w:pPr>
              <w:ind w:left="28" w:right="119"/>
              <w:rPr>
                <w:b/>
                <w:bCs/>
                <w:i/>
                <w:iCs/>
                <w:lang w:val="en-GB"/>
              </w:rPr>
            </w:pPr>
          </w:p>
          <w:p w14:paraId="3458196B" w14:textId="3F85FC39" w:rsidR="004B4E22" w:rsidRPr="005F5AE6" w:rsidRDefault="004B4E22" w:rsidP="00476DA8">
            <w:pPr>
              <w:ind w:left="28" w:right="119"/>
            </w:pPr>
            <w:r>
              <w:t>3)</w:t>
            </w:r>
            <w:r w:rsidR="00476DA8">
              <w:t xml:space="preserve"> v čl. </w:t>
            </w:r>
            <w:r>
              <w:t xml:space="preserve">25 </w:t>
            </w:r>
            <w:r w:rsidR="00476DA8">
              <w:t>odst. </w:t>
            </w:r>
            <w:r>
              <w:t>6 se třetí pododstavec nahrazuje tímto:</w:t>
            </w:r>
          </w:p>
          <w:p w14:paraId="32D3EA60" w14:textId="361FA90B" w:rsidR="004B4E22" w:rsidRPr="005F5AE6" w:rsidRDefault="004B4E22" w:rsidP="00476DA8">
            <w:pPr>
              <w:ind w:left="28" w:right="119"/>
              <w:rPr>
                <w:b/>
                <w:bCs/>
                <w:i/>
                <w:iCs/>
              </w:rPr>
            </w:pPr>
            <w:r>
              <w:t>„Na štítku se rovněž uvádí identifikátor výrobku podle článku 18</w:t>
            </w:r>
            <w:r w:rsidR="00476DA8">
              <w:t xml:space="preserve"> a </w:t>
            </w:r>
            <w:r>
              <w:t>jméno/název, adresa</w:t>
            </w:r>
            <w:r>
              <w:rPr>
                <w:b/>
                <w:i/>
              </w:rPr>
              <w:t>, telefonní číslo</w:t>
            </w:r>
            <w:r w:rsidR="00476DA8">
              <w:t xml:space="preserve"> a </w:t>
            </w:r>
            <w:r>
              <w:t xml:space="preserve">digitální kontakt dodavatele směsi. </w:t>
            </w:r>
            <w:r>
              <w:rPr>
                <w:b/>
                <w:i/>
              </w:rPr>
              <w:t>Digitální kontakt musí být uživatelsky přívětivý</w:t>
            </w:r>
            <w:r w:rsidR="00476DA8">
              <w:rPr>
                <w:b/>
                <w:i/>
              </w:rPr>
              <w:t xml:space="preserve"> a </w:t>
            </w:r>
            <w:r>
              <w:rPr>
                <w:b/>
                <w:i/>
              </w:rPr>
              <w:t>snadno přístupný.</w:t>
            </w:r>
            <w:r>
              <w:t>“;</w:t>
            </w:r>
          </w:p>
          <w:p w14:paraId="06D329D0" w14:textId="77777777" w:rsidR="004B4E22" w:rsidRPr="005F5AE6" w:rsidRDefault="004B4E22" w:rsidP="00476DA8">
            <w:pPr>
              <w:ind w:left="28" w:right="119"/>
              <w:rPr>
                <w:b/>
                <w:bCs/>
                <w:i/>
                <w:iCs/>
                <w:lang w:val="en-GB"/>
              </w:rPr>
            </w:pPr>
          </w:p>
          <w:p w14:paraId="6DF7C83B" w14:textId="42888ED3" w:rsidR="004B4E22" w:rsidRPr="005F5AE6" w:rsidRDefault="004B4E22" w:rsidP="00476DA8">
            <w:pPr>
              <w:ind w:left="28" w:right="119"/>
              <w:rPr>
                <w:b/>
                <w:bCs/>
                <w:i/>
                <w:iCs/>
              </w:rPr>
            </w:pPr>
            <w:r>
              <w:rPr>
                <w:color w:val="000000" w:themeColor="text1"/>
              </w:rPr>
              <w:t>4)</w:t>
            </w:r>
            <w:r w:rsidR="00476DA8">
              <w:rPr>
                <w:color w:val="000000" w:themeColor="text1"/>
              </w:rPr>
              <w:t xml:space="preserve"> v </w:t>
            </w:r>
            <w:r>
              <w:rPr>
                <w:color w:val="000000" w:themeColor="text1"/>
              </w:rPr>
              <w:t>článku 29 se odstavec 2 nahrazuje tímto:</w:t>
            </w:r>
          </w:p>
          <w:p w14:paraId="55C97E10" w14:textId="0BCDD407" w:rsidR="004B4E22" w:rsidRDefault="004B4E22" w:rsidP="00476DA8">
            <w:pPr>
              <w:ind w:left="28" w:right="119"/>
            </w:pPr>
            <w:r>
              <w:t>„</w:t>
            </w:r>
            <w:r w:rsidR="00476DA8">
              <w:t>2. </w:t>
            </w:r>
            <w:r>
              <w:t>Prvky označení stanovené</w:t>
            </w:r>
            <w:r w:rsidR="00476DA8">
              <w:t xml:space="preserve"> v čl. </w:t>
            </w:r>
            <w:r>
              <w:t xml:space="preserve">17 </w:t>
            </w:r>
            <w:r w:rsidR="00476DA8">
              <w:t>odst. </w:t>
            </w:r>
            <w:r>
              <w:t>1 lze omezit</w:t>
            </w:r>
            <w:r w:rsidR="00476DA8">
              <w:t xml:space="preserve"> v </w:t>
            </w:r>
            <w:r>
              <w:t>souladu</w:t>
            </w:r>
            <w:r w:rsidR="00476DA8">
              <w:t xml:space="preserve"> s </w:t>
            </w:r>
            <w:r>
              <w:t>pravidly stanovenými</w:t>
            </w:r>
            <w:r w:rsidR="00476DA8">
              <w:t xml:space="preserve"> v </w:t>
            </w:r>
            <w:r>
              <w:t>oddíle 1.5.2 přílohy I.“;</w:t>
            </w:r>
          </w:p>
          <w:p w14:paraId="724BC97C" w14:textId="77777777" w:rsidR="00476DA8" w:rsidRPr="005F5AE6" w:rsidRDefault="00476DA8" w:rsidP="00476DA8">
            <w:pPr>
              <w:ind w:left="28" w:right="119"/>
            </w:pPr>
          </w:p>
          <w:p w14:paraId="2DF604C1" w14:textId="1308EA36" w:rsidR="004B4E22" w:rsidRPr="005F5AE6" w:rsidRDefault="004B4E22" w:rsidP="00476DA8">
            <w:pPr>
              <w:ind w:left="28" w:right="119"/>
            </w:pPr>
            <w:r>
              <w:t>5)</w:t>
            </w:r>
            <w:r w:rsidR="00476DA8">
              <w:t xml:space="preserve"> v </w:t>
            </w:r>
            <w:r>
              <w:t>článku 30 se odstavec 1 nahrazuje tímto:</w:t>
            </w:r>
          </w:p>
          <w:p w14:paraId="52212AE4" w14:textId="39604761" w:rsidR="004B4E22" w:rsidRDefault="004B4E22" w:rsidP="00476DA8">
            <w:pPr>
              <w:ind w:left="28" w:right="119"/>
            </w:pPr>
            <w:r>
              <w:t>„</w:t>
            </w:r>
            <w:r w:rsidR="00476DA8">
              <w:t>1. V </w:t>
            </w:r>
            <w:r>
              <w:t>případě změny týkající se klasifikace nebo označování látky nebo směsi, která má za následek přidání nové třídy nebezpečnosti nebo přísnější klasifikaci nebo která vyžaduje nové doplňující informace na štítku</w:t>
            </w:r>
            <w:r w:rsidR="00476DA8">
              <w:t xml:space="preserve"> v </w:t>
            </w:r>
            <w:r>
              <w:t>souladu</w:t>
            </w:r>
            <w:r w:rsidR="00476DA8">
              <w:t xml:space="preserve"> s </w:t>
            </w:r>
            <w:r>
              <w:t xml:space="preserve">článkem 25, zajistí dodavatel této látky nebo směsi aktualizaci štítku </w:t>
            </w:r>
            <w:r>
              <w:rPr>
                <w:b/>
                <w:i/>
              </w:rPr>
              <w:t>do 12 měsíců</w:t>
            </w:r>
            <w:r>
              <w:t xml:space="preserve"> od okamžiku, kdy obdržel výsledky nového hodnocení podle </w:t>
            </w:r>
            <w:r w:rsidR="00476DA8">
              <w:t>čl. </w:t>
            </w:r>
            <w:r>
              <w:t xml:space="preserve">15 </w:t>
            </w:r>
            <w:r w:rsidR="00476DA8">
              <w:t>odst. </w:t>
            </w:r>
            <w:r>
              <w:t xml:space="preserve">4 nebo kdy mu byly tyto výsledky sděleny. </w:t>
            </w:r>
            <w:r>
              <w:rPr>
                <w:b/>
                <w:i/>
              </w:rPr>
              <w:t>Tato lhůta může být prodloužena</w:t>
            </w:r>
            <w:r w:rsidR="00476DA8">
              <w:rPr>
                <w:b/>
                <w:i/>
              </w:rPr>
              <w:t xml:space="preserve"> o </w:t>
            </w:r>
            <w:r>
              <w:rPr>
                <w:b/>
                <w:i/>
              </w:rPr>
              <w:t>dalších 12 měsíců, pokud Komise shledá, že pro tento krok existují oprávněné důvody.</w:t>
            </w:r>
            <w:r>
              <w:t>“;</w:t>
            </w:r>
          </w:p>
          <w:p w14:paraId="3D9F2E01" w14:textId="77777777" w:rsidR="00476DA8" w:rsidRPr="005F5AE6" w:rsidRDefault="00476DA8" w:rsidP="00476DA8">
            <w:pPr>
              <w:ind w:left="28" w:right="119"/>
              <w:rPr>
                <w:b/>
                <w:bCs/>
                <w:i/>
                <w:iCs/>
              </w:rPr>
            </w:pPr>
          </w:p>
          <w:p w14:paraId="5D77514E" w14:textId="24F0FEBB" w:rsidR="004B4E22" w:rsidRPr="005F5AE6" w:rsidRDefault="004B4E22" w:rsidP="00476DA8">
            <w:pPr>
              <w:ind w:left="28" w:right="119"/>
            </w:pPr>
            <w:r>
              <w:rPr>
                <w:color w:val="000000" w:themeColor="text1"/>
              </w:rPr>
              <w:t>6)</w:t>
            </w:r>
            <w:r w:rsidR="00476DA8">
              <w:rPr>
                <w:color w:val="000000" w:themeColor="text1"/>
              </w:rPr>
              <w:t xml:space="preserve"> v </w:t>
            </w:r>
            <w:r>
              <w:rPr>
                <w:color w:val="000000" w:themeColor="text1"/>
              </w:rPr>
              <w:t>článku 31 se odstavec 3 nahrazuje tímto:</w:t>
            </w:r>
          </w:p>
          <w:p w14:paraId="45770D6E" w14:textId="4A8CEEA7" w:rsidR="004B4E22" w:rsidRPr="005F5AE6" w:rsidRDefault="004B4E22" w:rsidP="00476DA8">
            <w:pPr>
              <w:ind w:left="28" w:right="119"/>
            </w:pPr>
            <w:r>
              <w:t>„</w:t>
            </w:r>
            <w:r w:rsidR="00476DA8">
              <w:t>3. </w:t>
            </w:r>
            <w:r>
              <w:t>Prvky označení uvedené</w:t>
            </w:r>
            <w:r w:rsidR="00476DA8">
              <w:t xml:space="preserve"> v čl. </w:t>
            </w:r>
            <w:r>
              <w:t xml:space="preserve">17 </w:t>
            </w:r>
            <w:r w:rsidR="00476DA8">
              <w:t>odst. </w:t>
            </w:r>
            <w:r>
              <w:t>1 musí být vyznačeny zřetelně</w:t>
            </w:r>
            <w:r w:rsidR="00476DA8">
              <w:t xml:space="preserve"> a </w:t>
            </w:r>
            <w:r>
              <w:t>nesmazatelně.</w:t>
            </w:r>
            <w:r>
              <w:rPr>
                <w:color w:val="000000" w:themeColor="text1"/>
              </w:rPr>
              <w:t xml:space="preserve"> </w:t>
            </w:r>
            <w:r>
              <w:rPr>
                <w:b/>
                <w:i/>
                <w:color w:val="000000" w:themeColor="text1"/>
              </w:rPr>
              <w:t>Štítky by měly být vytištěny červeným nebo černým písmem na bílém pozadí, není-li vzhledem</w:t>
            </w:r>
            <w:r w:rsidR="00476DA8">
              <w:rPr>
                <w:b/>
                <w:i/>
                <w:color w:val="000000" w:themeColor="text1"/>
              </w:rPr>
              <w:t xml:space="preserve"> k </w:t>
            </w:r>
            <w:r>
              <w:rPr>
                <w:b/>
                <w:i/>
                <w:color w:val="000000" w:themeColor="text1"/>
              </w:rPr>
              <w:t>výjimečným okolnostem nutné zvolit jiné řešení. Mezi jednotlivými slovy</w:t>
            </w:r>
            <w:r w:rsidR="00476DA8">
              <w:rPr>
                <w:b/>
                <w:i/>
                <w:color w:val="000000" w:themeColor="text1"/>
              </w:rPr>
              <w:t xml:space="preserve"> a </w:t>
            </w:r>
            <w:r>
              <w:rPr>
                <w:b/>
                <w:i/>
                <w:color w:val="000000" w:themeColor="text1"/>
              </w:rPr>
              <w:t>řádky musí být dostatečné mezery.</w:t>
            </w:r>
            <w:r>
              <w:rPr>
                <w:color w:val="000000" w:themeColor="text1"/>
              </w:rPr>
              <w:t xml:space="preserve"> </w:t>
            </w:r>
            <w:r>
              <w:rPr>
                <w:b/>
                <w:i/>
                <w:color w:val="000000" w:themeColor="text1"/>
              </w:rPr>
              <w:t>Prvky označení vystupují</w:t>
            </w:r>
            <w:r>
              <w:rPr>
                <w:color w:val="000000" w:themeColor="text1"/>
              </w:rPr>
              <w:t xml:space="preserve"> zřetelně</w:t>
            </w:r>
            <w:r w:rsidR="00476DA8">
              <w:rPr>
                <w:color w:val="000000" w:themeColor="text1"/>
              </w:rPr>
              <w:t xml:space="preserve"> z </w:t>
            </w:r>
            <w:r>
              <w:rPr>
                <w:color w:val="000000" w:themeColor="text1"/>
              </w:rPr>
              <w:t>pozadí</w:t>
            </w:r>
            <w:r w:rsidR="00476DA8">
              <w:rPr>
                <w:color w:val="000000" w:themeColor="text1"/>
              </w:rPr>
              <w:t xml:space="preserve"> a </w:t>
            </w:r>
            <w:r>
              <w:rPr>
                <w:color w:val="000000" w:themeColor="text1"/>
              </w:rPr>
              <w:t>mají takovou velikost</w:t>
            </w:r>
            <w:r w:rsidR="00476DA8">
              <w:rPr>
                <w:color w:val="000000" w:themeColor="text1"/>
              </w:rPr>
              <w:t xml:space="preserve"> a </w:t>
            </w:r>
            <w:r>
              <w:rPr>
                <w:color w:val="000000" w:themeColor="text1"/>
              </w:rPr>
              <w:t>uspořádání, aby byly snadno čitelné.“;</w:t>
            </w:r>
          </w:p>
        </w:tc>
      </w:tr>
    </w:tbl>
    <w:p w14:paraId="6FFCB1BB" w14:textId="77777777" w:rsidR="004B4E22" w:rsidRPr="005F5AE6" w:rsidRDefault="004B4E22" w:rsidP="004B4E22">
      <w:pPr>
        <w:jc w:val="center"/>
        <w:rPr>
          <w:lang w:val="en-GB"/>
        </w:rPr>
      </w:pPr>
    </w:p>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057"/>
      </w:tblGrid>
      <w:tr w:rsidR="004B4E22" w:rsidRPr="005F5AE6" w14:paraId="18A12909" w14:textId="77777777" w:rsidTr="00660413">
        <w:trPr>
          <w:trHeight w:val="300"/>
        </w:trPr>
        <w:tc>
          <w:tcPr>
            <w:tcW w:w="9057" w:type="dxa"/>
            <w:tcBorders>
              <w:top w:val="single" w:sz="2" w:space="0" w:color="auto"/>
              <w:left w:val="single" w:sz="2" w:space="0" w:color="auto"/>
              <w:bottom w:val="single" w:sz="2" w:space="0" w:color="auto"/>
              <w:right w:val="single" w:sz="2" w:space="0" w:color="auto"/>
            </w:tcBorders>
            <w:shd w:val="clear" w:color="auto" w:fill="auto"/>
            <w:hideMark/>
          </w:tcPr>
          <w:p w14:paraId="4C3B43B4" w14:textId="77777777" w:rsidR="004B4E22" w:rsidRPr="005F5AE6" w:rsidRDefault="004B4E22" w:rsidP="00660413">
            <w:pPr>
              <w:keepNext/>
              <w:keepLines/>
              <w:jc w:val="center"/>
            </w:pPr>
            <w:r>
              <w:rPr>
                <w:b/>
              </w:rPr>
              <w:t>Odůvodnění</w:t>
            </w:r>
          </w:p>
        </w:tc>
      </w:tr>
      <w:tr w:rsidR="004B4E22" w:rsidRPr="005F5AE6" w14:paraId="6D2AA5F2" w14:textId="77777777" w:rsidTr="00660413">
        <w:trPr>
          <w:trHeight w:val="300"/>
        </w:trPr>
        <w:tc>
          <w:tcPr>
            <w:tcW w:w="9057" w:type="dxa"/>
            <w:tcBorders>
              <w:top w:val="single" w:sz="2" w:space="0" w:color="auto"/>
              <w:left w:val="single" w:sz="2" w:space="0" w:color="auto"/>
              <w:bottom w:val="single" w:sz="2" w:space="0" w:color="auto"/>
              <w:right w:val="single" w:sz="2" w:space="0" w:color="auto"/>
            </w:tcBorders>
            <w:shd w:val="clear" w:color="auto" w:fill="auto"/>
            <w:hideMark/>
          </w:tcPr>
          <w:p w14:paraId="79AFED2C" w14:textId="43F08BCF" w:rsidR="004B4E22" w:rsidRPr="005F5AE6" w:rsidRDefault="004B4E22" w:rsidP="00660413">
            <w:r>
              <w:rPr>
                <w:color w:val="000000" w:themeColor="text1"/>
              </w:rPr>
              <w:t>V případě potřeby lze nejrychleji</w:t>
            </w:r>
            <w:r w:rsidR="00476DA8">
              <w:rPr>
                <w:color w:val="000000" w:themeColor="text1"/>
              </w:rPr>
              <w:t xml:space="preserve"> a </w:t>
            </w:r>
            <w:r>
              <w:rPr>
                <w:color w:val="000000" w:themeColor="text1"/>
              </w:rPr>
              <w:t>nejjednodušeji navázat okamžitou komunikaci prostřednictvím telefonu. Aktualizace štítků je až příliš důležitá na to, aby mohlo být stanoveno pouze, že má být provedena bez zbytečného odkladu. Nejdůležitější je, aby označení bylo srozumitelné.</w:t>
            </w:r>
          </w:p>
        </w:tc>
      </w:tr>
    </w:tbl>
    <w:p w14:paraId="182D2396" w14:textId="77777777" w:rsidR="004B4E22" w:rsidRPr="005F5AE6" w:rsidRDefault="004B4E22" w:rsidP="004B4E22">
      <w:pPr>
        <w:jc w:val="left"/>
        <w:rPr>
          <w:lang w:val="en-GB"/>
        </w:rPr>
      </w:pPr>
    </w:p>
    <w:p w14:paraId="16BAEFE9" w14:textId="77777777" w:rsidR="004B4E22" w:rsidRPr="005F5AE6" w:rsidRDefault="004B4E22" w:rsidP="004B4E22">
      <w:pPr>
        <w:pStyle w:val="Heading2"/>
        <w:keepNext/>
        <w:keepLines/>
        <w:numPr>
          <w:ilvl w:val="0"/>
          <w:numId w:val="0"/>
        </w:numPr>
        <w:rPr>
          <w:b/>
          <w:bCs/>
        </w:rPr>
      </w:pPr>
      <w:r>
        <w:rPr>
          <w:b/>
        </w:rPr>
        <w:t>Pozměňovací návrh 2</w:t>
      </w:r>
    </w:p>
    <w:p w14:paraId="1C927CE3" w14:textId="19EF1855" w:rsidR="004B4E22" w:rsidRPr="005F5AE6" w:rsidRDefault="004B4E22" w:rsidP="004B4E22">
      <w:pPr>
        <w:keepNext/>
        <w:keepLines/>
        <w:jc w:val="left"/>
      </w:pPr>
      <w:r>
        <w:t>souvisí</w:t>
      </w:r>
      <w:r w:rsidR="00476DA8">
        <w:t xml:space="preserve"> s </w:t>
      </w:r>
      <w:r>
        <w:t>doporučeními 1.6</w:t>
      </w:r>
      <w:r w:rsidR="00476DA8">
        <w:t xml:space="preserve"> a </w:t>
      </w:r>
      <w:r>
        <w:t xml:space="preserve">1.7 </w:t>
      </w:r>
    </w:p>
    <w:p w14:paraId="3ACDCFA1" w14:textId="77777777" w:rsidR="004B4E22" w:rsidRPr="005F5AE6" w:rsidRDefault="004B4E22" w:rsidP="004B4E22">
      <w:pPr>
        <w:keepNext/>
        <w:keepLines/>
        <w:jc w:val="left"/>
        <w:rPr>
          <w:lang w:val="en-GB"/>
        </w:rPr>
      </w:pPr>
    </w:p>
    <w:p w14:paraId="04A3320D" w14:textId="77777777" w:rsidR="004B4E22" w:rsidRPr="005F5AE6" w:rsidRDefault="004B4E22" w:rsidP="004B4E22">
      <w:pPr>
        <w:keepNext/>
        <w:keepLines/>
        <w:jc w:val="left"/>
      </w:pPr>
      <w:r>
        <w:t>článek 2 návrhu nařízení COM(2025) 531 final, kterým se mění nařízení (EU) č. 1223/2009</w:t>
      </w:r>
    </w:p>
    <w:p w14:paraId="03C3D90B" w14:textId="77777777" w:rsidR="004B4E22" w:rsidRPr="005F5AE6" w:rsidRDefault="004B4E22" w:rsidP="004B4E22">
      <w:pPr>
        <w:keepNext/>
        <w:keepLines/>
        <w:jc w:val="left"/>
        <w:rPr>
          <w:lang w:val="en-GB"/>
        </w:rPr>
      </w:pPr>
    </w:p>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529"/>
        <w:gridCol w:w="4528"/>
      </w:tblGrid>
      <w:tr w:rsidR="004B4E22" w:rsidRPr="005F5AE6" w14:paraId="66DE1C85" w14:textId="77777777" w:rsidTr="3356F976">
        <w:trPr>
          <w:trHeight w:val="300"/>
        </w:trPr>
        <w:tc>
          <w:tcPr>
            <w:tcW w:w="4529" w:type="dxa"/>
            <w:tcBorders>
              <w:top w:val="single" w:sz="2" w:space="0" w:color="auto"/>
              <w:left w:val="single" w:sz="2" w:space="0" w:color="auto"/>
              <w:bottom w:val="single" w:sz="2" w:space="0" w:color="auto"/>
              <w:right w:val="single" w:sz="2" w:space="0" w:color="auto"/>
            </w:tcBorders>
            <w:shd w:val="clear" w:color="auto" w:fill="auto"/>
            <w:hideMark/>
          </w:tcPr>
          <w:p w14:paraId="0B6A36F1" w14:textId="77777777" w:rsidR="004B4E22" w:rsidRPr="005F5AE6" w:rsidRDefault="004B4E22" w:rsidP="00660413">
            <w:pPr>
              <w:jc w:val="center"/>
              <w:rPr>
                <w:strike/>
              </w:rPr>
            </w:pPr>
            <w:r>
              <w:rPr>
                <w:b/>
              </w:rPr>
              <w:t>Text navržený Komisí</w:t>
            </w:r>
          </w:p>
        </w:tc>
        <w:tc>
          <w:tcPr>
            <w:tcW w:w="4528" w:type="dxa"/>
            <w:tcBorders>
              <w:top w:val="single" w:sz="2" w:space="0" w:color="auto"/>
              <w:left w:val="single" w:sz="2" w:space="0" w:color="auto"/>
              <w:bottom w:val="single" w:sz="2" w:space="0" w:color="auto"/>
              <w:right w:val="single" w:sz="2" w:space="0" w:color="auto"/>
            </w:tcBorders>
            <w:shd w:val="clear" w:color="auto" w:fill="auto"/>
            <w:hideMark/>
          </w:tcPr>
          <w:p w14:paraId="04CA7B05" w14:textId="77777777" w:rsidR="004B4E22" w:rsidRPr="005F5AE6" w:rsidRDefault="004B4E22" w:rsidP="00660413">
            <w:pPr>
              <w:jc w:val="center"/>
            </w:pPr>
            <w:r>
              <w:rPr>
                <w:b/>
              </w:rPr>
              <w:t>Pozměňovací návrh EHSV</w:t>
            </w:r>
          </w:p>
        </w:tc>
      </w:tr>
      <w:tr w:rsidR="004B4E22" w:rsidRPr="005F5AE6" w14:paraId="23E2F942" w14:textId="77777777" w:rsidTr="3356F976">
        <w:trPr>
          <w:trHeight w:val="300"/>
        </w:trPr>
        <w:tc>
          <w:tcPr>
            <w:tcW w:w="4529" w:type="dxa"/>
            <w:tcBorders>
              <w:top w:val="single" w:sz="2" w:space="0" w:color="auto"/>
              <w:left w:val="single" w:sz="6" w:space="0" w:color="auto"/>
              <w:bottom w:val="single" w:sz="6" w:space="0" w:color="auto"/>
              <w:right w:val="single" w:sz="6" w:space="0" w:color="auto"/>
            </w:tcBorders>
            <w:shd w:val="clear" w:color="auto" w:fill="auto"/>
            <w:hideMark/>
          </w:tcPr>
          <w:p w14:paraId="71F912E0" w14:textId="77777777" w:rsidR="004B4E22" w:rsidRPr="005F5AE6" w:rsidRDefault="004B4E22" w:rsidP="00476DA8">
            <w:pPr>
              <w:ind w:left="28" w:right="119"/>
            </w:pPr>
            <w:r>
              <w:t>2) článek 15 se mění takto:</w:t>
            </w:r>
          </w:p>
          <w:p w14:paraId="7B55FF2D" w14:textId="77777777" w:rsidR="004B4E22" w:rsidRPr="005F5AE6" w:rsidRDefault="004B4E22" w:rsidP="00476DA8">
            <w:pPr>
              <w:ind w:left="28" w:right="119"/>
              <w:rPr>
                <w:lang w:val="en-GB"/>
              </w:rPr>
            </w:pPr>
          </w:p>
          <w:p w14:paraId="2D2B5F74" w14:textId="77777777" w:rsidR="004B4E22" w:rsidRPr="005F5AE6" w:rsidRDefault="004B4E22" w:rsidP="00476DA8">
            <w:pPr>
              <w:ind w:left="28" w:right="119"/>
            </w:pPr>
            <w:r>
              <w:t>a) odstavec 2 se mění takto:</w:t>
            </w:r>
          </w:p>
          <w:p w14:paraId="73F9B396" w14:textId="77777777" w:rsidR="004B4E22" w:rsidRPr="005F5AE6" w:rsidRDefault="004B4E22" w:rsidP="00476DA8">
            <w:pPr>
              <w:ind w:left="28" w:right="119"/>
              <w:rPr>
                <w:lang w:val="en-GB"/>
              </w:rPr>
            </w:pPr>
          </w:p>
          <w:p w14:paraId="4D6B8883" w14:textId="77777777" w:rsidR="004B4E22" w:rsidRPr="005F5AE6" w:rsidRDefault="004B4E22" w:rsidP="00476DA8">
            <w:pPr>
              <w:ind w:left="28" w:right="119"/>
            </w:pPr>
            <w:r>
              <w:t>i) druhý pododstavec se nahrazuje tímto:</w:t>
            </w:r>
          </w:p>
          <w:p w14:paraId="3160EFB8" w14:textId="77777777" w:rsidR="004B4E22" w:rsidRPr="005F5AE6" w:rsidRDefault="004B4E22" w:rsidP="00476DA8">
            <w:pPr>
              <w:ind w:left="28" w:right="119"/>
              <w:rPr>
                <w:lang w:val="en-GB"/>
              </w:rPr>
            </w:pPr>
          </w:p>
          <w:p w14:paraId="6ED92F6C" w14:textId="116C8782" w:rsidR="004B4E22" w:rsidRPr="005F5AE6" w:rsidRDefault="004B4E22" w:rsidP="00476DA8">
            <w:pPr>
              <w:ind w:left="28" w:right="119"/>
            </w:pPr>
            <w:r>
              <w:t>„</w:t>
            </w:r>
            <w:r w:rsidR="00476DA8">
              <w:t>2. </w:t>
            </w:r>
            <w:r>
              <w:t>Tyto látky však mohou být</w:t>
            </w:r>
            <w:r w:rsidR="00476DA8">
              <w:t xml:space="preserve"> v </w:t>
            </w:r>
            <w:r>
              <w:t>kosmetických přípravcích použity, pokud je Komisi předložena žádost</w:t>
            </w:r>
            <w:r w:rsidR="00476DA8">
              <w:t xml:space="preserve"> o </w:t>
            </w:r>
            <w:r>
              <w:t>odchylku,</w:t>
            </w:r>
            <w:r w:rsidR="00476DA8">
              <w:t xml:space="preserve"> a </w:t>
            </w:r>
            <w:r>
              <w:t>to nejpozději tři měsíce po dni vstupu změn části 3 přílohy VI nařízení (ES) č. 1272/2008, kterými se látka klasifikuje jako látka CMR kategorie 1A nebo 1B,</w:t>
            </w:r>
            <w:r w:rsidR="00476DA8">
              <w:t xml:space="preserve"> v </w:t>
            </w:r>
            <w:r>
              <w:t>platnost. Komise udělí odchylku, pokud jsou splněny všechny tyto podmínky:</w:t>
            </w:r>
          </w:p>
          <w:p w14:paraId="1CFD2A50" w14:textId="77777777" w:rsidR="004B4E22" w:rsidRPr="005F5AE6" w:rsidRDefault="004B4E22" w:rsidP="00476DA8">
            <w:pPr>
              <w:ind w:left="28" w:right="119"/>
              <w:rPr>
                <w:lang w:val="en-GB"/>
              </w:rPr>
            </w:pPr>
          </w:p>
          <w:p w14:paraId="374CFE14" w14:textId="4F2FE1CC" w:rsidR="004B4E22" w:rsidRPr="005F5AE6" w:rsidRDefault="004B4E22" w:rsidP="00476DA8">
            <w:pPr>
              <w:ind w:left="28" w:right="119"/>
            </w:pPr>
            <w:r>
              <w:t>a) nejsou</w:t>
            </w:r>
            <w:r w:rsidR="00476DA8">
              <w:t xml:space="preserve"> k </w:t>
            </w:r>
            <w:r>
              <w:t>dispozici žádné vhodné alternativní látky, jak je doloženo</w:t>
            </w:r>
            <w:r w:rsidR="00476DA8">
              <w:t xml:space="preserve"> v </w:t>
            </w:r>
            <w:r>
              <w:t>analýze alternativ;</w:t>
            </w:r>
          </w:p>
          <w:p w14:paraId="1FBC15E4" w14:textId="77777777" w:rsidR="004B4E22" w:rsidRPr="005F5AE6" w:rsidRDefault="004B4E22" w:rsidP="00476DA8">
            <w:pPr>
              <w:ind w:left="28" w:right="119"/>
              <w:rPr>
                <w:lang w:val="en-GB"/>
              </w:rPr>
            </w:pPr>
          </w:p>
          <w:p w14:paraId="0DA09064" w14:textId="4908F89A" w:rsidR="004B4E22" w:rsidRPr="005F5AE6" w:rsidRDefault="004B4E22" w:rsidP="00476DA8">
            <w:pPr>
              <w:ind w:left="28" w:right="119"/>
            </w:pPr>
            <w:r>
              <w:t>b) látky byly vyhodnoceny výborem SCCS, který je shledal jako bezpečné pro konkrétní použití</w:t>
            </w:r>
            <w:r w:rsidR="00476DA8">
              <w:t xml:space="preserve"> v </w:t>
            </w:r>
            <w:r>
              <w:t>kategorii kosmetických přípravků, přičemž se bere</w:t>
            </w:r>
            <w:r w:rsidR="00476DA8">
              <w:t xml:space="preserve"> v </w:t>
            </w:r>
            <w:r>
              <w:t>úvahu expozice těmto přípravkům, celková expozice</w:t>
            </w:r>
            <w:r w:rsidR="00476DA8">
              <w:t xml:space="preserve"> z </w:t>
            </w:r>
            <w:r>
              <w:t>jiných zdrojů než kosmetických přípravků</w:t>
            </w:r>
            <w:r w:rsidR="00476DA8">
              <w:t xml:space="preserve"> a </w:t>
            </w:r>
            <w:r>
              <w:t>expozice zranitelných skupin obyvatelstva.“;</w:t>
            </w:r>
          </w:p>
          <w:p w14:paraId="63D00785" w14:textId="77777777" w:rsidR="004B4E22" w:rsidRPr="005F5AE6" w:rsidRDefault="004B4E22" w:rsidP="00476DA8">
            <w:pPr>
              <w:ind w:left="28" w:right="119"/>
              <w:rPr>
                <w:lang w:val="en-GB"/>
              </w:rPr>
            </w:pPr>
          </w:p>
          <w:p w14:paraId="3EBD6630" w14:textId="77777777" w:rsidR="004B4E22" w:rsidRPr="005F5AE6" w:rsidRDefault="004B4E22" w:rsidP="00476DA8">
            <w:pPr>
              <w:ind w:left="28" w:right="119"/>
              <w:rPr>
                <w:lang w:val="en-GB"/>
              </w:rPr>
            </w:pPr>
          </w:p>
          <w:p w14:paraId="0306165C" w14:textId="77777777" w:rsidR="004B4E22" w:rsidRPr="005F5AE6" w:rsidRDefault="004B4E22" w:rsidP="00476DA8">
            <w:pPr>
              <w:ind w:left="28" w:right="119"/>
              <w:rPr>
                <w:lang w:val="en-GB"/>
              </w:rPr>
            </w:pPr>
          </w:p>
          <w:p w14:paraId="51F01115" w14:textId="77777777" w:rsidR="004B4E22" w:rsidRPr="005F5AE6" w:rsidRDefault="004B4E22" w:rsidP="00476DA8">
            <w:pPr>
              <w:ind w:left="28" w:right="119"/>
              <w:rPr>
                <w:lang w:val="en-GB"/>
              </w:rPr>
            </w:pPr>
          </w:p>
          <w:p w14:paraId="01CC2B93" w14:textId="77777777" w:rsidR="004B4E22" w:rsidRPr="005F5AE6" w:rsidRDefault="004B4E22" w:rsidP="00476DA8">
            <w:pPr>
              <w:ind w:left="28" w:right="119"/>
              <w:rPr>
                <w:lang w:val="en-GB"/>
              </w:rPr>
            </w:pPr>
          </w:p>
          <w:p w14:paraId="10B04AD2" w14:textId="77777777" w:rsidR="004B4E22" w:rsidRPr="005F5AE6" w:rsidRDefault="004B4E22" w:rsidP="00476DA8">
            <w:pPr>
              <w:ind w:left="28" w:right="119"/>
              <w:rPr>
                <w:lang w:val="en-GB"/>
              </w:rPr>
            </w:pPr>
          </w:p>
          <w:p w14:paraId="56331868" w14:textId="77777777" w:rsidR="004B4E22" w:rsidRPr="005F5AE6" w:rsidRDefault="004B4E22" w:rsidP="00476DA8">
            <w:pPr>
              <w:ind w:left="28" w:right="119"/>
              <w:rPr>
                <w:lang w:val="en-GB"/>
              </w:rPr>
            </w:pPr>
          </w:p>
          <w:p w14:paraId="013C2E85" w14:textId="77777777" w:rsidR="004B4E22" w:rsidRPr="005F5AE6" w:rsidRDefault="004B4E22" w:rsidP="00476DA8">
            <w:pPr>
              <w:ind w:left="28" w:right="119"/>
              <w:rPr>
                <w:lang w:val="en-GB"/>
              </w:rPr>
            </w:pPr>
          </w:p>
          <w:p w14:paraId="7CD14488" w14:textId="77777777" w:rsidR="004B4E22" w:rsidRPr="005F5AE6" w:rsidRDefault="004B4E22" w:rsidP="00476DA8">
            <w:pPr>
              <w:ind w:left="28" w:right="119"/>
              <w:rPr>
                <w:lang w:val="en-GB"/>
              </w:rPr>
            </w:pPr>
          </w:p>
          <w:p w14:paraId="033F19A9" w14:textId="77777777" w:rsidR="004B4E22" w:rsidRPr="005F5AE6" w:rsidRDefault="004B4E22" w:rsidP="00476DA8">
            <w:pPr>
              <w:ind w:left="28" w:right="119"/>
              <w:rPr>
                <w:lang w:val="en-GB"/>
              </w:rPr>
            </w:pPr>
          </w:p>
          <w:p w14:paraId="26C817FA" w14:textId="77777777" w:rsidR="004B4E22" w:rsidRPr="005F5AE6" w:rsidRDefault="004B4E22" w:rsidP="00476DA8">
            <w:pPr>
              <w:ind w:left="28" w:right="119"/>
              <w:rPr>
                <w:lang w:val="en-GB"/>
              </w:rPr>
            </w:pPr>
          </w:p>
          <w:p w14:paraId="654C9269" w14:textId="77777777" w:rsidR="004B4E22" w:rsidRPr="005F5AE6" w:rsidRDefault="004B4E22" w:rsidP="00476DA8">
            <w:pPr>
              <w:ind w:left="28" w:right="119"/>
              <w:rPr>
                <w:lang w:val="en-GB"/>
              </w:rPr>
            </w:pPr>
          </w:p>
          <w:p w14:paraId="4599A6A7" w14:textId="77777777" w:rsidR="004B4E22" w:rsidRPr="005F5AE6" w:rsidRDefault="004B4E22" w:rsidP="00476DA8">
            <w:pPr>
              <w:ind w:left="28" w:right="119"/>
              <w:rPr>
                <w:lang w:val="en-GB"/>
              </w:rPr>
            </w:pPr>
          </w:p>
          <w:p w14:paraId="329B2CB6" w14:textId="77777777" w:rsidR="004B4E22" w:rsidRPr="005F5AE6" w:rsidRDefault="004B4E22" w:rsidP="00476DA8">
            <w:pPr>
              <w:ind w:left="28" w:right="119"/>
              <w:rPr>
                <w:lang w:val="en-GB"/>
              </w:rPr>
            </w:pPr>
          </w:p>
          <w:p w14:paraId="060F0602" w14:textId="5BFC3F3C" w:rsidR="004B4E22" w:rsidRDefault="004B4E22" w:rsidP="00476DA8">
            <w:pPr>
              <w:ind w:left="28" w:right="119"/>
              <w:rPr>
                <w:lang w:val="en-GB"/>
              </w:rPr>
            </w:pPr>
          </w:p>
          <w:p w14:paraId="7712B503" w14:textId="6AC97BEC" w:rsidR="00476DA8" w:rsidRDefault="00476DA8" w:rsidP="00476DA8">
            <w:pPr>
              <w:ind w:left="28" w:right="119"/>
              <w:rPr>
                <w:lang w:val="en-GB"/>
              </w:rPr>
            </w:pPr>
          </w:p>
          <w:p w14:paraId="4EA3F329" w14:textId="5CA94055" w:rsidR="00476DA8" w:rsidRDefault="00476DA8" w:rsidP="00476DA8">
            <w:pPr>
              <w:ind w:left="28" w:right="119"/>
              <w:rPr>
                <w:lang w:val="en-GB"/>
              </w:rPr>
            </w:pPr>
          </w:p>
          <w:p w14:paraId="6415F49D" w14:textId="77777777" w:rsidR="00476DA8" w:rsidRPr="005F5AE6" w:rsidRDefault="00476DA8" w:rsidP="00476DA8">
            <w:pPr>
              <w:ind w:left="28" w:right="119"/>
              <w:rPr>
                <w:lang w:val="en-GB"/>
              </w:rPr>
            </w:pPr>
          </w:p>
          <w:p w14:paraId="09661D92" w14:textId="77777777" w:rsidR="004B4E22" w:rsidRPr="005F5AE6" w:rsidRDefault="004B4E22" w:rsidP="00476DA8">
            <w:pPr>
              <w:ind w:left="28" w:right="119"/>
              <w:rPr>
                <w:lang w:val="en-GB"/>
              </w:rPr>
            </w:pPr>
          </w:p>
          <w:p w14:paraId="2D892F46" w14:textId="77777777" w:rsidR="004B4E22" w:rsidRPr="005F5AE6" w:rsidRDefault="004B4E22" w:rsidP="00476DA8">
            <w:pPr>
              <w:ind w:left="28" w:right="119"/>
              <w:rPr>
                <w:color w:val="000000" w:themeColor="text1"/>
              </w:rPr>
            </w:pPr>
            <w:r>
              <w:rPr>
                <w:color w:val="000000" w:themeColor="text1"/>
              </w:rPr>
              <w:t>ii) třetí pododstavec se nahrazuje tímto:</w:t>
            </w:r>
          </w:p>
          <w:p w14:paraId="01F3359B" w14:textId="5E282A49" w:rsidR="004B4E22" w:rsidRPr="005F5AE6" w:rsidRDefault="004B4E22" w:rsidP="00476DA8">
            <w:pPr>
              <w:ind w:left="28" w:right="119"/>
              <w:rPr>
                <w:color w:val="000000" w:themeColor="text1"/>
              </w:rPr>
            </w:pPr>
            <w:r>
              <w:rPr>
                <w:color w:val="000000" w:themeColor="text1"/>
              </w:rPr>
              <w:t xml:space="preserve">„Pro účely druhého pododstavce </w:t>
            </w:r>
            <w:r w:rsidR="00476DA8">
              <w:rPr>
                <w:color w:val="000000" w:themeColor="text1"/>
              </w:rPr>
              <w:t>písm. </w:t>
            </w:r>
            <w:r>
              <w:rPr>
                <w:color w:val="000000" w:themeColor="text1"/>
              </w:rPr>
              <w:t>a) se látka považuje za vhodnou alternativu, pokud splňuje všechny tyto podmínky:</w:t>
            </w:r>
          </w:p>
          <w:p w14:paraId="6A5C2F3C" w14:textId="77777777" w:rsidR="004B4E22" w:rsidRPr="005F5AE6" w:rsidRDefault="004B4E22" w:rsidP="00476DA8">
            <w:pPr>
              <w:ind w:left="28" w:right="119"/>
              <w:rPr>
                <w:lang w:val="en-GB"/>
              </w:rPr>
            </w:pPr>
          </w:p>
          <w:p w14:paraId="6D8CFCE9" w14:textId="3D439036" w:rsidR="004B4E22" w:rsidRPr="005F5AE6" w:rsidRDefault="004B4E22" w:rsidP="00476DA8">
            <w:pPr>
              <w:ind w:left="28" w:right="119"/>
              <w:rPr>
                <w:color w:val="000000" w:themeColor="text1"/>
              </w:rPr>
            </w:pPr>
            <w:r>
              <w:rPr>
                <w:color w:val="000000" w:themeColor="text1"/>
              </w:rPr>
              <w:t>c) je technicky proveditelná</w:t>
            </w:r>
            <w:r w:rsidR="00476DA8">
              <w:rPr>
                <w:color w:val="000000" w:themeColor="text1"/>
              </w:rPr>
              <w:t xml:space="preserve"> a </w:t>
            </w:r>
            <w:r>
              <w:rPr>
                <w:b/>
                <w:i/>
                <w:color w:val="000000" w:themeColor="text1"/>
              </w:rPr>
              <w:t>ekonomicky životaschopná</w:t>
            </w:r>
            <w:r>
              <w:rPr>
                <w:color w:val="000000" w:themeColor="text1"/>
              </w:rPr>
              <w:t>;</w:t>
            </w:r>
          </w:p>
        </w:tc>
        <w:tc>
          <w:tcPr>
            <w:tcW w:w="4528" w:type="dxa"/>
            <w:tcBorders>
              <w:top w:val="single" w:sz="2" w:space="0" w:color="auto"/>
              <w:left w:val="single" w:sz="6" w:space="0" w:color="auto"/>
              <w:bottom w:val="single" w:sz="6" w:space="0" w:color="auto"/>
              <w:right w:val="single" w:sz="6" w:space="0" w:color="auto"/>
            </w:tcBorders>
            <w:shd w:val="clear" w:color="auto" w:fill="auto"/>
            <w:hideMark/>
          </w:tcPr>
          <w:p w14:paraId="54CF7353" w14:textId="77777777" w:rsidR="004B4E22" w:rsidRPr="005F5AE6" w:rsidRDefault="004B4E22" w:rsidP="00476DA8">
            <w:pPr>
              <w:ind w:left="28" w:right="119"/>
            </w:pPr>
            <w:r>
              <w:t>2) článek 15 se mění takto:</w:t>
            </w:r>
          </w:p>
          <w:p w14:paraId="35881A95" w14:textId="77777777" w:rsidR="004B4E22" w:rsidRPr="005F5AE6" w:rsidRDefault="004B4E22" w:rsidP="00476DA8">
            <w:pPr>
              <w:ind w:left="28" w:right="119"/>
              <w:rPr>
                <w:lang w:val="en-GB"/>
              </w:rPr>
            </w:pPr>
          </w:p>
          <w:p w14:paraId="4170A164" w14:textId="77777777" w:rsidR="004B4E22" w:rsidRPr="005F5AE6" w:rsidRDefault="004B4E22" w:rsidP="00476DA8">
            <w:pPr>
              <w:ind w:left="28" w:right="119"/>
            </w:pPr>
            <w:r>
              <w:t>a) odstavec 2 se mění takto:</w:t>
            </w:r>
          </w:p>
          <w:p w14:paraId="18EC5C50" w14:textId="77777777" w:rsidR="004B4E22" w:rsidRPr="005F5AE6" w:rsidRDefault="004B4E22" w:rsidP="00476DA8">
            <w:pPr>
              <w:ind w:left="28" w:right="119"/>
              <w:rPr>
                <w:lang w:val="en-GB"/>
              </w:rPr>
            </w:pPr>
          </w:p>
          <w:p w14:paraId="3E9E1A84" w14:textId="77777777" w:rsidR="004B4E22" w:rsidRPr="005F5AE6" w:rsidRDefault="004B4E22" w:rsidP="00476DA8">
            <w:pPr>
              <w:ind w:left="28" w:right="119"/>
            </w:pPr>
            <w:r>
              <w:t>i) druhý pododstavec se nahrazuje tímto:</w:t>
            </w:r>
          </w:p>
          <w:p w14:paraId="526C0F4C" w14:textId="77777777" w:rsidR="004B4E22" w:rsidRPr="005F5AE6" w:rsidRDefault="004B4E22" w:rsidP="00476DA8">
            <w:pPr>
              <w:ind w:left="28" w:right="119"/>
              <w:rPr>
                <w:lang w:val="en-GB"/>
              </w:rPr>
            </w:pPr>
          </w:p>
          <w:p w14:paraId="1693AC2E" w14:textId="42348F95" w:rsidR="004B4E22" w:rsidRPr="005F5AE6" w:rsidRDefault="004B4E22" w:rsidP="00476DA8">
            <w:pPr>
              <w:ind w:left="28" w:right="119"/>
            </w:pPr>
            <w:r>
              <w:t>„</w:t>
            </w:r>
            <w:r w:rsidR="00476DA8">
              <w:t>2. </w:t>
            </w:r>
            <w:r>
              <w:t>Tyto látky však mohou být</w:t>
            </w:r>
            <w:r w:rsidR="00476DA8">
              <w:t xml:space="preserve"> v </w:t>
            </w:r>
            <w:r>
              <w:t>kosmetických přípravcích použity, pokud je Komisi předložena žádost</w:t>
            </w:r>
            <w:r w:rsidR="00476DA8">
              <w:t xml:space="preserve"> o </w:t>
            </w:r>
            <w:r>
              <w:t>odchylku,</w:t>
            </w:r>
            <w:r w:rsidR="00476DA8">
              <w:t xml:space="preserve"> a </w:t>
            </w:r>
            <w:r>
              <w:t>to nejpozději tři měsíce po dni vstupu změn části 3 přílohy VI nařízení (ES) č. 1272/2008, kterými se látka klasifikuje jako látka CMR kategorie 1A nebo 1B,</w:t>
            </w:r>
            <w:r w:rsidR="00476DA8">
              <w:t xml:space="preserve"> v </w:t>
            </w:r>
            <w:r>
              <w:t>platnost. Komise udělí odchylku, pokud jsou splněny všechny tyto podmínky:</w:t>
            </w:r>
          </w:p>
          <w:p w14:paraId="3A4124D2" w14:textId="77777777" w:rsidR="004B4E22" w:rsidRPr="005F5AE6" w:rsidRDefault="004B4E22" w:rsidP="00476DA8">
            <w:pPr>
              <w:ind w:left="28" w:right="119"/>
              <w:rPr>
                <w:lang w:val="en-GB"/>
              </w:rPr>
            </w:pPr>
          </w:p>
          <w:p w14:paraId="702E6A65" w14:textId="1D3C64C5" w:rsidR="004B4E22" w:rsidRPr="005F5AE6" w:rsidRDefault="004B4E22" w:rsidP="00476DA8">
            <w:pPr>
              <w:ind w:left="28" w:right="119"/>
            </w:pPr>
            <w:r>
              <w:t>a) nejsou</w:t>
            </w:r>
            <w:r w:rsidR="00476DA8">
              <w:t xml:space="preserve"> k </w:t>
            </w:r>
            <w:r>
              <w:t>dispozici žádné vhodné alternativní látky, jak je doloženo</w:t>
            </w:r>
            <w:r w:rsidR="00476DA8">
              <w:t xml:space="preserve"> v </w:t>
            </w:r>
            <w:r>
              <w:t>analýze alternativ;</w:t>
            </w:r>
          </w:p>
          <w:p w14:paraId="3FB4AA4A" w14:textId="77777777" w:rsidR="004B4E22" w:rsidRPr="005F5AE6" w:rsidRDefault="004B4E22" w:rsidP="00476DA8">
            <w:pPr>
              <w:ind w:left="28" w:right="119"/>
              <w:rPr>
                <w:lang w:val="en-GB"/>
              </w:rPr>
            </w:pPr>
          </w:p>
          <w:p w14:paraId="10F5ADA1" w14:textId="4E2F232C" w:rsidR="004B4E22" w:rsidRPr="005F5AE6" w:rsidRDefault="004B4E22" w:rsidP="00476DA8">
            <w:pPr>
              <w:ind w:left="28" w:right="119"/>
            </w:pPr>
            <w:r>
              <w:t>b) látky byly vyhodnoceny výborem SCCS, který je shledal jako bezpečné pro konkrétní použití</w:t>
            </w:r>
            <w:r w:rsidR="00476DA8">
              <w:t xml:space="preserve"> v </w:t>
            </w:r>
            <w:r>
              <w:t>kategorii kosmetických přípravků, přičemž se bere</w:t>
            </w:r>
            <w:r w:rsidR="00476DA8">
              <w:t xml:space="preserve"> v </w:t>
            </w:r>
            <w:r>
              <w:t>úvahu expozice těmto přípravkům, celková expozice</w:t>
            </w:r>
            <w:r w:rsidR="00476DA8">
              <w:t xml:space="preserve"> z </w:t>
            </w:r>
            <w:r>
              <w:t>jiných zdrojů než kosmetických přípravků</w:t>
            </w:r>
            <w:r w:rsidR="00476DA8">
              <w:t xml:space="preserve"> a </w:t>
            </w:r>
            <w:r>
              <w:t>expozice zranitelných skupin obyvatelstva</w:t>
            </w:r>
            <w:r>
              <w:rPr>
                <w:b/>
                <w:i/>
              </w:rPr>
              <w:t>;</w:t>
            </w:r>
          </w:p>
          <w:p w14:paraId="3C12BDAC" w14:textId="77777777" w:rsidR="004B4E22" w:rsidRPr="005F5AE6" w:rsidRDefault="004B4E22" w:rsidP="00476DA8">
            <w:pPr>
              <w:ind w:left="28" w:right="119"/>
              <w:rPr>
                <w:lang w:val="en-GB"/>
              </w:rPr>
            </w:pPr>
          </w:p>
          <w:p w14:paraId="36035490" w14:textId="1ECB101F" w:rsidR="004B4E22" w:rsidRPr="005F5AE6" w:rsidRDefault="004B4E22" w:rsidP="00476DA8">
            <w:pPr>
              <w:ind w:left="28" w:right="119"/>
              <w:rPr>
                <w:b/>
                <w:bCs/>
                <w:i/>
                <w:iCs/>
              </w:rPr>
            </w:pPr>
            <w:r>
              <w:rPr>
                <w:b/>
                <w:i/>
              </w:rPr>
              <w:t>c) bez ohledu na výše uvedené ustanovení</w:t>
            </w:r>
            <w:r w:rsidR="00476DA8">
              <w:rPr>
                <w:b/>
                <w:i/>
              </w:rPr>
              <w:t xml:space="preserve"> v </w:t>
            </w:r>
            <w:r>
              <w:rPr>
                <w:b/>
                <w:i/>
              </w:rPr>
              <w:t>písmenu b) by měl být výbor SCCS velmi zdrženlivý při schvalování odchylek pro látky CMR</w:t>
            </w:r>
            <w:r w:rsidR="00476DA8">
              <w:rPr>
                <w:b/>
                <w:i/>
              </w:rPr>
              <w:t xml:space="preserve"> v </w:t>
            </w:r>
            <w:r>
              <w:rPr>
                <w:b/>
                <w:i/>
              </w:rPr>
              <w:t>kosmetických přípravcích,</w:t>
            </w:r>
            <w:r w:rsidR="00476DA8">
              <w:rPr>
                <w:b/>
                <w:i/>
              </w:rPr>
              <w:t xml:space="preserve"> u </w:t>
            </w:r>
            <w:r>
              <w:rPr>
                <w:b/>
                <w:i/>
              </w:rPr>
              <w:t>nichž by mohlo dojít</w:t>
            </w:r>
            <w:r w:rsidR="00476DA8">
              <w:rPr>
                <w:b/>
                <w:i/>
              </w:rPr>
              <w:t xml:space="preserve"> k </w:t>
            </w:r>
            <w:r>
              <w:rPr>
                <w:b/>
                <w:i/>
              </w:rPr>
              <w:t>expozici orální nebo inhalační cestou, což je obzvláště důležité</w:t>
            </w:r>
            <w:r w:rsidR="00476DA8">
              <w:rPr>
                <w:b/>
                <w:i/>
              </w:rPr>
              <w:t xml:space="preserve"> v </w:t>
            </w:r>
            <w:r>
              <w:rPr>
                <w:b/>
                <w:i/>
              </w:rPr>
              <w:t>případě zranitelných skupin. Pokud</w:t>
            </w:r>
            <w:r w:rsidR="00476DA8">
              <w:rPr>
                <w:b/>
                <w:i/>
              </w:rPr>
              <w:t xml:space="preserve"> z </w:t>
            </w:r>
            <w:r>
              <w:rPr>
                <w:b/>
                <w:i/>
              </w:rPr>
              <w:t>posouzení pravděpodobnosti vyplývá, že zranitelné skupiny by mohly být</w:t>
            </w:r>
            <w:r w:rsidR="00476DA8">
              <w:rPr>
                <w:b/>
                <w:i/>
              </w:rPr>
              <w:t xml:space="preserve"> v </w:t>
            </w:r>
            <w:r>
              <w:rPr>
                <w:b/>
                <w:i/>
              </w:rPr>
              <w:t>důsledku zvýšeného rizika expozice orální nebo inhalační cestou obzvláště ohroženy, měla by být odchylka povolena pouze za výjimečných okolností;</w:t>
            </w:r>
          </w:p>
          <w:p w14:paraId="38CFF36D" w14:textId="77777777" w:rsidR="004B4E22" w:rsidRPr="005F5AE6" w:rsidRDefault="004B4E22" w:rsidP="00476DA8">
            <w:pPr>
              <w:ind w:left="28" w:right="119"/>
              <w:rPr>
                <w:b/>
                <w:bCs/>
                <w:i/>
                <w:iCs/>
                <w:lang w:val="en-GB"/>
              </w:rPr>
            </w:pPr>
          </w:p>
          <w:p w14:paraId="1CBA71A5" w14:textId="77777777" w:rsidR="004B4E22" w:rsidRPr="005F5AE6" w:rsidRDefault="004B4E22" w:rsidP="00476DA8">
            <w:pPr>
              <w:ind w:left="28" w:right="119"/>
              <w:rPr>
                <w:b/>
                <w:bCs/>
                <w:i/>
                <w:iCs/>
              </w:rPr>
            </w:pPr>
            <w:r>
              <w:rPr>
                <w:b/>
                <w:i/>
              </w:rPr>
              <w:t>d) Evropská komise pověří výbor SCCS, aby urychleně posoudil endokrinní disruptory, zejména pokud mohou být jejich působení vystaveny děti.</w:t>
            </w:r>
            <w:r>
              <w:t>“;</w:t>
            </w:r>
          </w:p>
          <w:p w14:paraId="37A680A3" w14:textId="77777777" w:rsidR="004B4E22" w:rsidRPr="005F5AE6" w:rsidRDefault="004B4E22" w:rsidP="00476DA8">
            <w:pPr>
              <w:ind w:left="28" w:right="119"/>
              <w:rPr>
                <w:b/>
                <w:bCs/>
                <w:i/>
                <w:iCs/>
                <w:lang w:val="en-GB"/>
              </w:rPr>
            </w:pPr>
          </w:p>
          <w:p w14:paraId="09A1C1D0" w14:textId="77777777" w:rsidR="004B4E22" w:rsidRPr="005F5AE6" w:rsidRDefault="004B4E22" w:rsidP="00476DA8">
            <w:pPr>
              <w:ind w:left="28" w:right="119"/>
              <w:rPr>
                <w:color w:val="000000" w:themeColor="text1"/>
              </w:rPr>
            </w:pPr>
            <w:r>
              <w:rPr>
                <w:color w:val="000000" w:themeColor="text1"/>
              </w:rPr>
              <w:t>ii) třetí pododstavec se nahrazuje tímto:</w:t>
            </w:r>
          </w:p>
          <w:p w14:paraId="78003884" w14:textId="66DB44DB" w:rsidR="004B4E22" w:rsidRPr="005F5AE6" w:rsidRDefault="004B4E22" w:rsidP="00476DA8">
            <w:pPr>
              <w:ind w:left="28" w:right="119"/>
            </w:pPr>
            <w:r>
              <w:rPr>
                <w:color w:val="000000" w:themeColor="text1"/>
              </w:rPr>
              <w:t xml:space="preserve">„Pro účely druhého pododstavce </w:t>
            </w:r>
            <w:r w:rsidR="00476DA8">
              <w:rPr>
                <w:color w:val="000000" w:themeColor="text1"/>
              </w:rPr>
              <w:t>písm. </w:t>
            </w:r>
            <w:r>
              <w:rPr>
                <w:color w:val="000000" w:themeColor="text1"/>
              </w:rPr>
              <w:t>a) se látka považuje za vhodnou alternativu, pokud splňuje všechny tyto podmínky:</w:t>
            </w:r>
          </w:p>
          <w:p w14:paraId="3B8520AE" w14:textId="77777777" w:rsidR="004B4E22" w:rsidRPr="005F5AE6" w:rsidRDefault="004B4E22" w:rsidP="00476DA8">
            <w:pPr>
              <w:ind w:left="28" w:right="119"/>
              <w:rPr>
                <w:color w:val="000000" w:themeColor="text1"/>
                <w:lang w:val="en-GB"/>
              </w:rPr>
            </w:pPr>
          </w:p>
          <w:p w14:paraId="7D438F72" w14:textId="621CB8C4" w:rsidR="004B4E22" w:rsidRPr="005F5AE6" w:rsidRDefault="004B4E22" w:rsidP="00476DA8">
            <w:pPr>
              <w:ind w:left="28" w:right="119"/>
            </w:pPr>
            <w:r>
              <w:rPr>
                <w:color w:val="000000" w:themeColor="text1"/>
              </w:rPr>
              <w:t>c) je technicky proveditelná</w:t>
            </w:r>
            <w:r>
              <w:rPr>
                <w:b/>
                <w:i/>
                <w:color w:val="000000" w:themeColor="text1"/>
              </w:rPr>
              <w:t>, ekonomicky přiměřená</w:t>
            </w:r>
            <w:r w:rsidR="00476DA8">
              <w:rPr>
                <w:color w:val="000000" w:themeColor="text1"/>
              </w:rPr>
              <w:t xml:space="preserve"> a </w:t>
            </w:r>
            <w:r>
              <w:rPr>
                <w:b/>
                <w:i/>
                <w:color w:val="000000" w:themeColor="text1"/>
              </w:rPr>
              <w:t>nevede</w:t>
            </w:r>
            <w:r w:rsidR="00476DA8">
              <w:rPr>
                <w:b/>
                <w:i/>
                <w:color w:val="000000" w:themeColor="text1"/>
              </w:rPr>
              <w:t xml:space="preserve"> k </w:t>
            </w:r>
            <w:r>
              <w:rPr>
                <w:b/>
                <w:i/>
                <w:color w:val="000000" w:themeColor="text1"/>
              </w:rPr>
              <w:t>nadměrným nákladům pro spotřebitele</w:t>
            </w:r>
            <w:r>
              <w:rPr>
                <w:color w:val="000000" w:themeColor="text1"/>
              </w:rPr>
              <w:t>;</w:t>
            </w:r>
          </w:p>
        </w:tc>
      </w:tr>
    </w:tbl>
    <w:p w14:paraId="558121BB" w14:textId="77777777" w:rsidR="004B4E22" w:rsidRPr="005F5AE6" w:rsidRDefault="004B4E22" w:rsidP="004B4E22">
      <w:pPr>
        <w:jc w:val="center"/>
        <w:rPr>
          <w:lang w:val="en-GB"/>
        </w:rPr>
      </w:pPr>
    </w:p>
    <w:tbl>
      <w:tblPr>
        <w:tblW w:w="0" w:type="auto"/>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9057"/>
      </w:tblGrid>
      <w:tr w:rsidR="004B4E22" w:rsidRPr="005F5AE6" w14:paraId="230270E7" w14:textId="77777777" w:rsidTr="00660413">
        <w:trPr>
          <w:trHeight w:val="300"/>
        </w:trPr>
        <w:tc>
          <w:tcPr>
            <w:tcW w:w="9057" w:type="dxa"/>
            <w:shd w:val="clear" w:color="auto" w:fill="auto"/>
            <w:hideMark/>
          </w:tcPr>
          <w:p w14:paraId="55F7EB15" w14:textId="77777777" w:rsidR="004B4E22" w:rsidRPr="005F5AE6" w:rsidRDefault="004B4E22" w:rsidP="00660413">
            <w:pPr>
              <w:keepNext/>
              <w:keepLines/>
              <w:jc w:val="center"/>
            </w:pPr>
            <w:r>
              <w:rPr>
                <w:b/>
              </w:rPr>
              <w:t>Odůvodnění</w:t>
            </w:r>
          </w:p>
        </w:tc>
      </w:tr>
      <w:tr w:rsidR="004B4E22" w:rsidRPr="005F5AE6" w14:paraId="5DA11232" w14:textId="77777777" w:rsidTr="00660413">
        <w:trPr>
          <w:trHeight w:val="300"/>
        </w:trPr>
        <w:tc>
          <w:tcPr>
            <w:tcW w:w="9057" w:type="dxa"/>
            <w:shd w:val="clear" w:color="auto" w:fill="auto"/>
            <w:hideMark/>
          </w:tcPr>
          <w:p w14:paraId="2FB21374" w14:textId="0C1B130D" w:rsidR="004B4E22" w:rsidRPr="005F5AE6" w:rsidRDefault="004B4E22" w:rsidP="00660413">
            <w:pPr>
              <w:keepNext/>
              <w:keepLines/>
              <w:ind w:left="30" w:right="30"/>
            </w:pPr>
            <w:r>
              <w:t>Expozice látkám CMR orální nebo inhalační cestou představuje zvláštní riziko pro zranitelné skupiny, zejména pro děti. Čelí-li ohrožené skupiny</w:t>
            </w:r>
            <w:r w:rsidR="00476DA8">
              <w:t xml:space="preserve"> v </w:t>
            </w:r>
            <w:r>
              <w:t>důsledku orální nebo inhalační cesty expozice látkám CMR obsaženým</w:t>
            </w:r>
            <w:r w:rsidR="00476DA8">
              <w:t xml:space="preserve"> v </w:t>
            </w:r>
            <w:r>
              <w:t>kosmetických přípravcích nebo přípravcích pro osobní péči nějakému zvláštnímu riziku, neměly by být odchylky povoleny.</w:t>
            </w:r>
          </w:p>
        </w:tc>
      </w:tr>
    </w:tbl>
    <w:p w14:paraId="0743E5D4" w14:textId="77777777" w:rsidR="004B4E22" w:rsidRPr="005F5AE6" w:rsidRDefault="004B4E22" w:rsidP="004B4E22">
      <w:pPr>
        <w:jc w:val="left"/>
        <w:rPr>
          <w:lang w:val="en-GB"/>
        </w:rPr>
      </w:pPr>
    </w:p>
    <w:p w14:paraId="7279A681" w14:textId="45DD1301" w:rsidR="00474C29" w:rsidRPr="005F5AE6" w:rsidRDefault="00474C29" w:rsidP="00474C29">
      <w:pPr>
        <w:pStyle w:val="Header"/>
      </w:pPr>
      <w:r>
        <w:t>V Bruselu dne 2</w:t>
      </w:r>
      <w:r w:rsidR="00476DA8">
        <w:t>3. </w:t>
      </w:r>
      <w:r>
        <w:t>října 2025.</w:t>
      </w:r>
    </w:p>
    <w:p w14:paraId="4DAE72A6" w14:textId="57DF401A" w:rsidR="00474C29" w:rsidRPr="005F5AE6" w:rsidRDefault="00474C29" w:rsidP="00474C29">
      <w:pPr>
        <w:pStyle w:val="Header"/>
        <w:rPr>
          <w:lang w:val="en-GB"/>
        </w:rPr>
      </w:pPr>
    </w:p>
    <w:p w14:paraId="2AAB105F" w14:textId="77777777" w:rsidR="005F5AE6" w:rsidRPr="005F5AE6" w:rsidRDefault="005F5AE6" w:rsidP="00474C29">
      <w:pPr>
        <w:pStyle w:val="Header"/>
        <w:rPr>
          <w:lang w:val="en-GB"/>
        </w:rPr>
      </w:pPr>
    </w:p>
    <w:p w14:paraId="38712A5D" w14:textId="461A873B" w:rsidR="00474C29" w:rsidRPr="005F5AE6" w:rsidRDefault="00474C29" w:rsidP="00474C29">
      <w:pPr>
        <w:pStyle w:val="Header"/>
      </w:pPr>
      <w:r>
        <w:rPr>
          <w:i/>
        </w:rPr>
        <w:t>předseda Evropského hospodářského</w:t>
      </w:r>
      <w:r w:rsidR="00476DA8">
        <w:rPr>
          <w:i/>
        </w:rPr>
        <w:t xml:space="preserve"> a </w:t>
      </w:r>
      <w:r>
        <w:rPr>
          <w:i/>
        </w:rPr>
        <w:t>sociálního výboru</w:t>
      </w:r>
    </w:p>
    <w:p w14:paraId="59C2753E" w14:textId="0C5F971C" w:rsidR="009B68E7" w:rsidRPr="005F5AE6" w:rsidRDefault="0004716A" w:rsidP="00474C29">
      <w:r>
        <w:t>Séamus BOLAND</w:t>
      </w:r>
    </w:p>
    <w:p w14:paraId="457CC4D1" w14:textId="77777777" w:rsidR="00E7780F" w:rsidRPr="005F5AE6" w:rsidRDefault="00E7780F" w:rsidP="005E4D0D">
      <w:pPr>
        <w:pStyle w:val="Header"/>
        <w:rPr>
          <w:lang w:val="en-GB"/>
        </w:rPr>
      </w:pPr>
    </w:p>
    <w:p w14:paraId="5821EE3D" w14:textId="29114C19" w:rsidR="00476DA8" w:rsidRPr="00476DA8" w:rsidRDefault="005E4D0D" w:rsidP="00476DA8">
      <w:pPr>
        <w:pStyle w:val="Header"/>
        <w:jc w:val="center"/>
      </w:pPr>
      <w:r>
        <w:t>_____________</w:t>
      </w:r>
    </w:p>
    <w:sectPr w:rsidR="00476DA8" w:rsidRPr="00476DA8" w:rsidSect="001E74A1">
      <w:headerReference w:type="even" r:id="rId24"/>
      <w:headerReference w:type="default" r:id="rId25"/>
      <w:footerReference w:type="default" r:id="rId26"/>
      <w:headerReference w:type="first" r:id="rId27"/>
      <w:pgSz w:w="11907" w:h="16839" w:code="9"/>
      <w:pgMar w:top="1418" w:right="1418" w:bottom="1418" w:left="1418"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9CC78" w14:textId="77777777" w:rsidR="006545B3" w:rsidRDefault="006545B3" w:rsidP="00F53370">
      <w:pPr>
        <w:spacing w:line="240" w:lineRule="auto"/>
      </w:pPr>
      <w:r>
        <w:separator/>
      </w:r>
    </w:p>
  </w:endnote>
  <w:endnote w:type="continuationSeparator" w:id="0">
    <w:p w14:paraId="534DE81C" w14:textId="77777777" w:rsidR="006545B3" w:rsidRDefault="006545B3" w:rsidP="00F53370">
      <w:pPr>
        <w:spacing w:line="240" w:lineRule="auto"/>
      </w:pPr>
      <w:r>
        <w:continuationSeparator/>
      </w:r>
    </w:p>
  </w:endnote>
  <w:endnote w:type="continuationNotice" w:id="1">
    <w:p w14:paraId="7BE16F9D" w14:textId="77777777" w:rsidR="006545B3" w:rsidRDefault="006545B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FD4BD" w14:textId="77777777" w:rsidR="00574C9B" w:rsidRDefault="00574C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3217E" w14:textId="6CA8EB1D" w:rsidR="0084105C" w:rsidRPr="003065C9" w:rsidRDefault="004B4F58" w:rsidP="004B4F58">
    <w:pPr>
      <w:pStyle w:val="Footer"/>
      <w:jc w:val="left"/>
    </w:pPr>
    <w:r>
      <w:t xml:space="preserve">NAT/964 – EESC-2025-02571-00-01-AC-TRA (EN) </w:t>
    </w:r>
    <w:r>
      <w:fldChar w:fldCharType="begin"/>
    </w:r>
    <w:r>
      <w:instrText xml:space="preserve"> PAGE  \* Arabic  \* MERGEFORMAT </w:instrText>
    </w:r>
    <w:r>
      <w:fldChar w:fldCharType="separate"/>
    </w:r>
    <w:r>
      <w:t>6</w:t>
    </w:r>
    <w:r>
      <w:fldChar w:fldCharType="end"/>
    </w:r>
    <w:r>
      <w:t>/</w:t>
    </w:r>
    <w:r>
      <w:fldChar w:fldCharType="begin"/>
    </w:r>
    <w:r>
      <w:instrText xml:space="preserve"> = </w:instrText>
    </w:r>
    <w:r w:rsidR="00090E4D">
      <w:fldChar w:fldCharType="begin"/>
    </w:r>
    <w:r w:rsidR="00090E4D">
      <w:instrText xml:space="preserve"> NUMPAGES </w:instrText>
    </w:r>
    <w:r w:rsidR="00090E4D">
      <w:fldChar w:fldCharType="separate"/>
    </w:r>
    <w:r w:rsidR="00872782">
      <w:rPr>
        <w:noProof/>
      </w:rPr>
      <w:instrText>8</w:instrText>
    </w:r>
    <w:r w:rsidR="00090E4D">
      <w:fldChar w:fldCharType="end"/>
    </w:r>
    <w:r>
      <w:instrText xml:space="preserve"> - 2 </w:instrText>
    </w:r>
    <w:r>
      <w:fldChar w:fldCharType="separate"/>
    </w:r>
    <w:r w:rsidR="00872782">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77BBE" w14:textId="77777777" w:rsidR="006545B3" w:rsidRDefault="006545B3" w:rsidP="00F53370">
      <w:pPr>
        <w:spacing w:line="240" w:lineRule="auto"/>
      </w:pPr>
      <w:r>
        <w:separator/>
      </w:r>
    </w:p>
  </w:footnote>
  <w:footnote w:type="continuationSeparator" w:id="0">
    <w:p w14:paraId="76F55D73" w14:textId="77777777" w:rsidR="006545B3" w:rsidRDefault="006545B3" w:rsidP="00F53370">
      <w:pPr>
        <w:spacing w:line="240" w:lineRule="auto"/>
      </w:pPr>
      <w:r>
        <w:continuationSeparator/>
      </w:r>
    </w:p>
  </w:footnote>
  <w:footnote w:type="continuationNotice" w:id="1">
    <w:p w14:paraId="62CE7107" w14:textId="77777777" w:rsidR="006545B3" w:rsidRDefault="006545B3">
      <w:pPr>
        <w:spacing w:line="240" w:lineRule="auto"/>
      </w:pPr>
    </w:p>
  </w:footnote>
  <w:footnote w:id="2">
    <w:p w14:paraId="52D4AB70" w14:textId="556C2BE4" w:rsidR="004B4E22" w:rsidRPr="00D00C73" w:rsidRDefault="004B4E22" w:rsidP="004B4E22">
      <w:pPr>
        <w:pStyle w:val="FootnoteText"/>
      </w:pPr>
      <w:r>
        <w:rPr>
          <w:rStyle w:val="FootnoteReference"/>
        </w:rPr>
        <w:footnoteRef/>
      </w:r>
      <w:r>
        <w:t xml:space="preserve"> </w:t>
      </w:r>
      <w:r>
        <w:tab/>
        <w:t xml:space="preserve">Stanovisko EHSV </w:t>
      </w:r>
      <w:hyperlink r:id="rId1" w:history="1">
        <w:r>
          <w:rPr>
            <w:rStyle w:val="Hyperlink"/>
          </w:rPr>
          <w:t>Zdravá planeta pro zdravé lidi – uplatňování komplexního přístupu „jedno zdraví</w:t>
        </w:r>
      </w:hyperlink>
      <w:r>
        <w:t>“ (zatím nebylo zveřejněno</w:t>
      </w:r>
      <w:r w:rsidR="00476DA8">
        <w:t xml:space="preserve"> v </w:t>
      </w:r>
      <w:r>
        <w:t>Úředním věstníku).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4A669" w14:textId="252CAFAF" w:rsidR="00574C9B" w:rsidRDefault="00090E4D">
    <w:pPr>
      <w:pStyle w:val="Header"/>
    </w:pPr>
    <w:r>
      <w:pict w14:anchorId="3E5C97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6" o:spid="_x0000_s2060" type="#_x0000_t75" style="position:absolute;left:0;text-align:left;margin-left:0;margin-top:0;width:595.2pt;height:841.9pt;z-index:-251658237;mso-position-horizontal:center;mso-position-horizontal-relative:margin;mso-position-vertical:center;mso-position-vertical-relative:margin" o:allowincell="f">
          <v:imagedata r:id="rId1" o:title="footer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95081" w14:textId="4C5CE6E7" w:rsidR="00574C9B" w:rsidRDefault="00264A4C">
    <w:pPr>
      <w:pStyle w:val="Header"/>
    </w:pPr>
    <w:r>
      <w:rPr>
        <w:noProof/>
      </w:rPr>
      <w:drawing>
        <wp:anchor distT="0" distB="0" distL="114300" distR="114300" simplePos="0" relativeHeight="251659264" behindDoc="0" locked="0" layoutInCell="1" allowOverlap="1" wp14:anchorId="00EE7AA2" wp14:editId="28F14E7D">
          <wp:simplePos x="0" y="0"/>
          <wp:positionH relativeFrom="page">
            <wp:align>center</wp:align>
          </wp:positionH>
          <wp:positionV relativeFrom="page">
            <wp:posOffset>288290</wp:posOffset>
          </wp:positionV>
          <wp:extent cx="6944360" cy="3343275"/>
          <wp:effectExtent l="0" t="0" r="8890" b="9525"/>
          <wp:wrapNone/>
          <wp:docPr id="1" name="Picture 1" title="EESCLogo2021_CS"/>
          <wp:cNvGraphicFramePr/>
          <a:graphic xmlns:a="http://schemas.openxmlformats.org/drawingml/2006/main">
            <a:graphicData uri="http://schemas.openxmlformats.org/drawingml/2006/picture">
              <pic:pic xmlns:pic="http://schemas.openxmlformats.org/drawingml/2006/picture">
                <pic:nvPicPr>
                  <pic:cNvPr id="1" name="Picture 1" title="EESCLogo2021_CS"/>
                  <pic:cNvPicPr/>
                </pic:nvPicPr>
                <pic:blipFill>
                  <a:blip r:embed="rId1">
                    <a:extLst>
                      <a:ext uri="{28A0092B-C50C-407E-A947-70E740481C1C}">
                        <a14:useLocalDpi xmlns:a14="http://schemas.microsoft.com/office/drawing/2010/main" val="0"/>
                      </a:ext>
                    </a:extLst>
                  </a:blip>
                  <a:stretch>
                    <a:fillRect/>
                  </a:stretch>
                </pic:blipFill>
                <pic:spPr>
                  <a:xfrm>
                    <a:off x="0" y="0"/>
                    <a:ext cx="6944360" cy="3343275"/>
                  </a:xfrm>
                  <a:prstGeom prst="rect">
                    <a:avLst/>
                  </a:prstGeom>
                </pic:spPr>
              </pic:pic>
            </a:graphicData>
          </a:graphic>
          <wp14:sizeRelH relativeFrom="margin">
            <wp14:pctWidth>0</wp14:pctWidth>
          </wp14:sizeRelH>
          <wp14:sizeRelV relativeFrom="margin">
            <wp14:pctHeight>0</wp14:pctHeight>
          </wp14:sizeRelV>
        </wp:anchor>
      </w:drawing>
    </w:r>
    <w:r w:rsidR="00090E4D">
      <w:pict w14:anchorId="0292D8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7" o:spid="_x0000_s2061" type="#_x0000_t75" style="position:absolute;left:0;text-align:left;margin-left:0;margin-top:0;width:595.2pt;height:841.9pt;z-index:-251658236;mso-position-horizontal:center;mso-position-horizontal-relative:page;mso-position-vertical:top;mso-position-vertical-relative:page" o:allowincell="f">
          <v:imagedata r:id="rId2" o:title="footer only"/>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5837F" w14:textId="007EBCA1" w:rsidR="00574C9B" w:rsidRDefault="00090E4D">
    <w:pPr>
      <w:pStyle w:val="Header"/>
    </w:pPr>
    <w:r>
      <w:pict w14:anchorId="191712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5" o:spid="_x0000_s2059" type="#_x0000_t75" style="position:absolute;left:0;text-align:left;margin-left:0;margin-top:0;width:595.2pt;height:841.9pt;z-index:-251658238;mso-position-horizontal:center;mso-position-horizontal-relative:margin;mso-position-vertical:center;mso-position-vertical-relative:margin" o:allowincell="f">
          <v:imagedata r:id="rId1" o:title="footer only"/>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B9C34" w14:textId="7FEF32E3" w:rsidR="00574C9B" w:rsidRDefault="00090E4D">
    <w:pPr>
      <w:pStyle w:val="Header"/>
    </w:pPr>
    <w:r>
      <w:pict w14:anchorId="16802F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9" o:spid="_x0000_s2063" type="#_x0000_t75" style="position:absolute;left:0;text-align:left;margin-left:0;margin-top:0;width:595.2pt;height:841.9pt;z-index:-251658234;mso-position-horizontal:center;mso-position-horizontal-relative:margin;mso-position-vertical:center;mso-position-vertical-relative:margin" o:allowincell="f">
          <v:imagedata r:id="rId1" o:title="footer only"/>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9FC7C" w14:textId="308D261F" w:rsidR="00574C9B" w:rsidRDefault="00090E4D">
    <w:pPr>
      <w:pStyle w:val="Header"/>
    </w:pPr>
    <w:r>
      <w:pict w14:anchorId="31FC4A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20" o:spid="_x0000_s2064" type="#_x0000_t75" style="position:absolute;left:0;text-align:left;margin-left:0;margin-top:0;width:595.2pt;height:841.9pt;z-index:-251658233;visibility:hidden;mso-position-horizontal:center;mso-position-horizontal-relative:margin;mso-position-vertical:center;mso-position-vertical-relative:margin" o:allowincell="f">
          <v:imagedata r:id="rId1" o:title="footer only"/>
          <w10:wrap anchorx="margin" anchory="margin"/>
        </v:shape>
      </w:pict>
    </w:r>
    <w:r w:rsidR="00264A4C">
      <w:rPr>
        <w:noProof/>
      </w:rPr>
      <w:drawing>
        <wp:anchor distT="0" distB="0" distL="114300" distR="114300" simplePos="0" relativeHeight="251657216" behindDoc="1" locked="0" layoutInCell="1" allowOverlap="1" wp14:anchorId="5FA9E479" wp14:editId="13AEE0F5">
          <wp:simplePos x="0" y="0"/>
          <wp:positionH relativeFrom="page">
            <wp:posOffset>-10571</wp:posOffset>
          </wp:positionH>
          <wp:positionV relativeFrom="page">
            <wp:posOffset>-221993</wp:posOffset>
          </wp:positionV>
          <wp:extent cx="7581265" cy="10898802"/>
          <wp:effectExtent l="0" t="0" r="63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ckground (footer) recto.png"/>
                  <pic:cNvPicPr/>
                </pic:nvPicPr>
                <pic:blipFill>
                  <a:blip r:embed="rId2">
                    <a:extLst>
                      <a:ext uri="{28A0092B-C50C-407E-A947-70E740481C1C}">
                        <a14:useLocalDpi xmlns:a14="http://schemas.microsoft.com/office/drawing/2010/main" val="0"/>
                      </a:ext>
                    </a:extLst>
                  </a:blip>
                  <a:stretch>
                    <a:fillRect/>
                  </a:stretch>
                </pic:blipFill>
                <pic:spPr>
                  <a:xfrm>
                    <a:off x="0" y="0"/>
                    <a:ext cx="7585107" cy="10904325"/>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67873" w14:textId="56798CB4" w:rsidR="00574C9B" w:rsidRDefault="00090E4D">
    <w:pPr>
      <w:pStyle w:val="Header"/>
    </w:pPr>
    <w:r>
      <w:pict w14:anchorId="1017B5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8" o:spid="_x0000_s2062" type="#_x0000_t75" style="position:absolute;left:0;text-align:left;margin-left:0;margin-top:0;width:595.2pt;height:841.9pt;z-index:-251658235;mso-position-horizontal:center;mso-position-horizontal-relative:margin;mso-position-vertical:center;mso-position-vertical-relative:margin" o:allowincell="f">
          <v:imagedata r:id="rId1" o:title="footer only"/>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FFAD5" w14:textId="60B66FCE" w:rsidR="004871B8" w:rsidRDefault="00090E4D">
    <w:pPr>
      <w:pStyle w:val="Header"/>
    </w:pPr>
    <w:r>
      <w:pict w14:anchorId="51EC15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22" o:spid="_x0000_s2066" type="#_x0000_t75" style="position:absolute;left:0;text-align:left;margin-left:0;margin-top:0;width:595.2pt;height:841.9pt;z-index:-251658231;mso-position-horizontal:center;mso-position-horizontal-relative:margin;mso-position-vertical:center;mso-position-vertical-relative:margin" o:allowincell="f">
          <v:imagedata r:id="rId1" o:title="footer only"/>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32120" w14:textId="43FA7B78" w:rsidR="00FA08F8" w:rsidRDefault="00090E4D">
    <w:pPr>
      <w:pStyle w:val="Header"/>
    </w:pPr>
    <w:r>
      <w:pict w14:anchorId="7B5F8F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23" o:spid="_x0000_s2067" type="#_x0000_t75" style="position:absolute;left:0;text-align:left;margin-left:0;margin-top:0;width:595.2pt;height:841.9pt;z-index:-251658230;visibility:hidden;mso-position-horizontal:center;mso-position-horizontal-relative:margin;mso-position-vertical:center;mso-position-vertical-relative:margin" o:allowincell="f">
          <v:imagedata r:id="rId1" o:title="footer only"/>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EDF91" w14:textId="4DD3A706" w:rsidR="004871B8" w:rsidRDefault="00090E4D">
    <w:pPr>
      <w:pStyle w:val="Header"/>
    </w:pPr>
    <w:r>
      <w:pict w14:anchorId="4BBB7A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21" o:spid="_x0000_s2065" type="#_x0000_t75" style="position:absolute;left:0;text-align:left;margin-left:0;margin-top:0;width:595.2pt;height:841.9pt;z-index:-251658232;mso-position-horizontal:center;mso-position-horizontal-relative:margin;mso-position-vertical:center;mso-position-vertical-relative:margin" o:allowincell="f">
          <v:imagedata r:id="rId1" o:title="footer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D7289AF8"/>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rPr>
        <w:b w:val="0"/>
        <w:bCs w:val="0"/>
        <w:i w:val="0"/>
        <w:iCs w:val="0"/>
      </w:rPr>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4D447DCE"/>
    <w:multiLevelType w:val="hybridMultilevel"/>
    <w:tmpl w:val="00729754"/>
    <w:lvl w:ilvl="0" w:tplc="F64660EC">
      <w:start w:val="1"/>
      <w:numFmt w:val="upperRoman"/>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17F0F90"/>
    <w:multiLevelType w:val="hybridMultilevel"/>
    <w:tmpl w:val="02A4B088"/>
    <w:lvl w:ilvl="0" w:tplc="FFB0A9D2">
      <w:numFmt w:val="none"/>
      <w:lvlText w:val=""/>
      <w:lvlJc w:val="left"/>
      <w:pPr>
        <w:tabs>
          <w:tab w:val="num" w:pos="360"/>
        </w:tabs>
      </w:pPr>
    </w:lvl>
    <w:lvl w:ilvl="1" w:tplc="740447AA">
      <w:start w:val="1"/>
      <w:numFmt w:val="lowerLetter"/>
      <w:lvlText w:val="%2."/>
      <w:lvlJc w:val="left"/>
      <w:pPr>
        <w:ind w:left="1440" w:hanging="360"/>
      </w:pPr>
    </w:lvl>
    <w:lvl w:ilvl="2" w:tplc="A9B4EA4A">
      <w:start w:val="1"/>
      <w:numFmt w:val="lowerRoman"/>
      <w:lvlText w:val="%3."/>
      <w:lvlJc w:val="right"/>
      <w:pPr>
        <w:ind w:left="2160" w:hanging="180"/>
      </w:pPr>
    </w:lvl>
    <w:lvl w:ilvl="3" w:tplc="B7B04AB8">
      <w:start w:val="1"/>
      <w:numFmt w:val="decimal"/>
      <w:lvlText w:val="%4."/>
      <w:lvlJc w:val="left"/>
      <w:pPr>
        <w:ind w:left="2880" w:hanging="360"/>
      </w:pPr>
    </w:lvl>
    <w:lvl w:ilvl="4" w:tplc="F9ACFD14">
      <w:start w:val="1"/>
      <w:numFmt w:val="lowerLetter"/>
      <w:lvlText w:val="%5."/>
      <w:lvlJc w:val="left"/>
      <w:pPr>
        <w:ind w:left="3600" w:hanging="360"/>
      </w:pPr>
    </w:lvl>
    <w:lvl w:ilvl="5" w:tplc="7DE2A8C8">
      <w:start w:val="1"/>
      <w:numFmt w:val="lowerRoman"/>
      <w:lvlText w:val="%6."/>
      <w:lvlJc w:val="right"/>
      <w:pPr>
        <w:ind w:left="4320" w:hanging="180"/>
      </w:pPr>
    </w:lvl>
    <w:lvl w:ilvl="6" w:tplc="790A0C28">
      <w:start w:val="1"/>
      <w:numFmt w:val="decimal"/>
      <w:lvlText w:val="%7."/>
      <w:lvlJc w:val="left"/>
      <w:pPr>
        <w:ind w:left="5040" w:hanging="360"/>
      </w:pPr>
    </w:lvl>
    <w:lvl w:ilvl="7" w:tplc="B34E474A">
      <w:start w:val="1"/>
      <w:numFmt w:val="lowerLetter"/>
      <w:lvlText w:val="%8."/>
      <w:lvlJc w:val="left"/>
      <w:pPr>
        <w:ind w:left="5760" w:hanging="360"/>
      </w:pPr>
    </w:lvl>
    <w:lvl w:ilvl="8" w:tplc="5178E38C">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68"/>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370"/>
    <w:rsid w:val="00020389"/>
    <w:rsid w:val="00024D2E"/>
    <w:rsid w:val="0003285F"/>
    <w:rsid w:val="00040BE6"/>
    <w:rsid w:val="0004716A"/>
    <w:rsid w:val="00053D00"/>
    <w:rsid w:val="0006582F"/>
    <w:rsid w:val="00076456"/>
    <w:rsid w:val="000A0F3B"/>
    <w:rsid w:val="000B797A"/>
    <w:rsid w:val="000D01E0"/>
    <w:rsid w:val="001028BB"/>
    <w:rsid w:val="00106EA2"/>
    <w:rsid w:val="0014428A"/>
    <w:rsid w:val="00154AB9"/>
    <w:rsid w:val="001667B8"/>
    <w:rsid w:val="0019231D"/>
    <w:rsid w:val="001955B6"/>
    <w:rsid w:val="001D3CE0"/>
    <w:rsid w:val="001D61AC"/>
    <w:rsid w:val="001E15AA"/>
    <w:rsid w:val="001E3FA1"/>
    <w:rsid w:val="001F0C72"/>
    <w:rsid w:val="001F18A1"/>
    <w:rsid w:val="001F3F3D"/>
    <w:rsid w:val="00200E87"/>
    <w:rsid w:val="00206D14"/>
    <w:rsid w:val="00214BDC"/>
    <w:rsid w:val="00215E81"/>
    <w:rsid w:val="002343B2"/>
    <w:rsid w:val="0024727F"/>
    <w:rsid w:val="00264A4C"/>
    <w:rsid w:val="00286B9F"/>
    <w:rsid w:val="002B6A7B"/>
    <w:rsid w:val="0031762A"/>
    <w:rsid w:val="003353D7"/>
    <w:rsid w:val="0034005C"/>
    <w:rsid w:val="003659F9"/>
    <w:rsid w:val="00365F03"/>
    <w:rsid w:val="003C043A"/>
    <w:rsid w:val="003C78AA"/>
    <w:rsid w:val="003D3BD1"/>
    <w:rsid w:val="00401DE5"/>
    <w:rsid w:val="00433357"/>
    <w:rsid w:val="00450041"/>
    <w:rsid w:val="00474C29"/>
    <w:rsid w:val="00476DA8"/>
    <w:rsid w:val="004871B8"/>
    <w:rsid w:val="004B4E22"/>
    <w:rsid w:val="004B4F58"/>
    <w:rsid w:val="004B7AFD"/>
    <w:rsid w:val="004F16D5"/>
    <w:rsid w:val="00552797"/>
    <w:rsid w:val="00555D03"/>
    <w:rsid w:val="00567A4D"/>
    <w:rsid w:val="00574C9B"/>
    <w:rsid w:val="0058411F"/>
    <w:rsid w:val="005961A4"/>
    <w:rsid w:val="005D48C6"/>
    <w:rsid w:val="005E208C"/>
    <w:rsid w:val="005E4D0D"/>
    <w:rsid w:val="005E54B2"/>
    <w:rsid w:val="005F5AE6"/>
    <w:rsid w:val="006125A1"/>
    <w:rsid w:val="00637274"/>
    <w:rsid w:val="00644F24"/>
    <w:rsid w:val="00646ACF"/>
    <w:rsid w:val="00653E7D"/>
    <w:rsid w:val="006545B3"/>
    <w:rsid w:val="00662207"/>
    <w:rsid w:val="00667F09"/>
    <w:rsid w:val="00697021"/>
    <w:rsid w:val="006B1C95"/>
    <w:rsid w:val="006B57A6"/>
    <w:rsid w:val="006D53A6"/>
    <w:rsid w:val="006F7A52"/>
    <w:rsid w:val="007401F1"/>
    <w:rsid w:val="00787837"/>
    <w:rsid w:val="00787ABB"/>
    <w:rsid w:val="007B0AEA"/>
    <w:rsid w:val="007B6C64"/>
    <w:rsid w:val="007D1087"/>
    <w:rsid w:val="007D4181"/>
    <w:rsid w:val="007F6E19"/>
    <w:rsid w:val="00822952"/>
    <w:rsid w:val="00836505"/>
    <w:rsid w:val="00844B87"/>
    <w:rsid w:val="0084646D"/>
    <w:rsid w:val="00872782"/>
    <w:rsid w:val="00880C4D"/>
    <w:rsid w:val="0089251B"/>
    <w:rsid w:val="008A6DD4"/>
    <w:rsid w:val="008A7879"/>
    <w:rsid w:val="008F74D7"/>
    <w:rsid w:val="00904C42"/>
    <w:rsid w:val="0090688C"/>
    <w:rsid w:val="00914683"/>
    <w:rsid w:val="0092483D"/>
    <w:rsid w:val="00924C05"/>
    <w:rsid w:val="00937CF2"/>
    <w:rsid w:val="00967FE4"/>
    <w:rsid w:val="00976645"/>
    <w:rsid w:val="00976F77"/>
    <w:rsid w:val="00980EAC"/>
    <w:rsid w:val="00981FAA"/>
    <w:rsid w:val="0098228C"/>
    <w:rsid w:val="009832FA"/>
    <w:rsid w:val="009B68E7"/>
    <w:rsid w:val="009E2100"/>
    <w:rsid w:val="009E638F"/>
    <w:rsid w:val="00A128EF"/>
    <w:rsid w:val="00A14934"/>
    <w:rsid w:val="00A166CC"/>
    <w:rsid w:val="00A310E1"/>
    <w:rsid w:val="00A36AB0"/>
    <w:rsid w:val="00A43C80"/>
    <w:rsid w:val="00A6750A"/>
    <w:rsid w:val="00A7348C"/>
    <w:rsid w:val="00AB37A3"/>
    <w:rsid w:val="00AC5114"/>
    <w:rsid w:val="00AE75C2"/>
    <w:rsid w:val="00B16FAE"/>
    <w:rsid w:val="00B25683"/>
    <w:rsid w:val="00B417F6"/>
    <w:rsid w:val="00B51901"/>
    <w:rsid w:val="00B608D8"/>
    <w:rsid w:val="00B96B47"/>
    <w:rsid w:val="00BD357E"/>
    <w:rsid w:val="00BD50F6"/>
    <w:rsid w:val="00C073E1"/>
    <w:rsid w:val="00C11038"/>
    <w:rsid w:val="00C2067C"/>
    <w:rsid w:val="00C25647"/>
    <w:rsid w:val="00C41CDB"/>
    <w:rsid w:val="00C517FB"/>
    <w:rsid w:val="00C66AEA"/>
    <w:rsid w:val="00C73780"/>
    <w:rsid w:val="00C76215"/>
    <w:rsid w:val="00C9040A"/>
    <w:rsid w:val="00C91E4D"/>
    <w:rsid w:val="00CB110A"/>
    <w:rsid w:val="00CB12C9"/>
    <w:rsid w:val="00CB7CD0"/>
    <w:rsid w:val="00D039AF"/>
    <w:rsid w:val="00D417C1"/>
    <w:rsid w:val="00D56544"/>
    <w:rsid w:val="00D801D4"/>
    <w:rsid w:val="00D95232"/>
    <w:rsid w:val="00DB7F50"/>
    <w:rsid w:val="00DE30C7"/>
    <w:rsid w:val="00DE601C"/>
    <w:rsid w:val="00DF400F"/>
    <w:rsid w:val="00E14986"/>
    <w:rsid w:val="00E15BF4"/>
    <w:rsid w:val="00E2376B"/>
    <w:rsid w:val="00E26935"/>
    <w:rsid w:val="00E27707"/>
    <w:rsid w:val="00E3629C"/>
    <w:rsid w:val="00E52B04"/>
    <w:rsid w:val="00E661B7"/>
    <w:rsid w:val="00E7780F"/>
    <w:rsid w:val="00E822FC"/>
    <w:rsid w:val="00E93AFD"/>
    <w:rsid w:val="00EA2B66"/>
    <w:rsid w:val="00EE79AC"/>
    <w:rsid w:val="00F14C2D"/>
    <w:rsid w:val="00F14C6A"/>
    <w:rsid w:val="00F2069F"/>
    <w:rsid w:val="00F41294"/>
    <w:rsid w:val="00F504EC"/>
    <w:rsid w:val="00F53370"/>
    <w:rsid w:val="00F62E3F"/>
    <w:rsid w:val="00F7337B"/>
    <w:rsid w:val="00F90BE2"/>
    <w:rsid w:val="00F9619E"/>
    <w:rsid w:val="00FB10E8"/>
    <w:rsid w:val="00FC0CEA"/>
    <w:rsid w:val="00FC1E79"/>
    <w:rsid w:val="0444AC98"/>
    <w:rsid w:val="160D3510"/>
    <w:rsid w:val="20685CDE"/>
    <w:rsid w:val="22C2D8FB"/>
    <w:rsid w:val="237CBD9D"/>
    <w:rsid w:val="2F5D8630"/>
    <w:rsid w:val="31134FBF"/>
    <w:rsid w:val="3356F976"/>
    <w:rsid w:val="366ED4E3"/>
    <w:rsid w:val="4207814D"/>
    <w:rsid w:val="48FA9B9E"/>
    <w:rsid w:val="499A0928"/>
    <w:rsid w:val="50BDFF70"/>
    <w:rsid w:val="543B48FA"/>
    <w:rsid w:val="592594B4"/>
    <w:rsid w:val="5CDCBC34"/>
    <w:rsid w:val="64667236"/>
    <w:rsid w:val="6F46C898"/>
    <w:rsid w:val="7955EBEE"/>
    <w:rsid w:val="7A14E017"/>
    <w:rsid w:val="7AEBC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1"/>
    </o:shapelayout>
  </w:shapeDefaults>
  <w:decimalSymbol w:val=","/>
  <w:listSeparator w:val=";"/>
  <w14:docId w14:val="3F46F6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C9B"/>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F53370"/>
    <w:pPr>
      <w:numPr>
        <w:numId w:val="1"/>
      </w:numPr>
      <w:ind w:left="567" w:hanging="567"/>
      <w:outlineLvl w:val="0"/>
    </w:pPr>
    <w:rPr>
      <w:kern w:val="28"/>
    </w:rPr>
  </w:style>
  <w:style w:type="paragraph" w:styleId="Heading2">
    <w:name w:val="heading 2"/>
    <w:basedOn w:val="Normal"/>
    <w:next w:val="Normal"/>
    <w:link w:val="Heading2Char"/>
    <w:qFormat/>
    <w:rsid w:val="00F53370"/>
    <w:pPr>
      <w:numPr>
        <w:ilvl w:val="1"/>
        <w:numId w:val="1"/>
      </w:numPr>
      <w:ind w:left="567" w:hanging="567"/>
      <w:outlineLvl w:val="1"/>
    </w:pPr>
  </w:style>
  <w:style w:type="paragraph" w:styleId="Heading3">
    <w:name w:val="heading 3"/>
    <w:basedOn w:val="Normal"/>
    <w:next w:val="Normal"/>
    <w:link w:val="Heading3Char"/>
    <w:qFormat/>
    <w:rsid w:val="00F53370"/>
    <w:pPr>
      <w:numPr>
        <w:ilvl w:val="2"/>
        <w:numId w:val="1"/>
      </w:numPr>
      <w:ind w:left="567" w:hanging="567"/>
      <w:outlineLvl w:val="2"/>
    </w:pPr>
  </w:style>
  <w:style w:type="paragraph" w:styleId="Heading4">
    <w:name w:val="heading 4"/>
    <w:basedOn w:val="Normal"/>
    <w:next w:val="Normal"/>
    <w:link w:val="Heading4Char"/>
    <w:qFormat/>
    <w:rsid w:val="00F53370"/>
    <w:pPr>
      <w:numPr>
        <w:ilvl w:val="3"/>
        <w:numId w:val="1"/>
      </w:numPr>
      <w:ind w:left="567" w:hanging="567"/>
      <w:outlineLvl w:val="3"/>
    </w:pPr>
  </w:style>
  <w:style w:type="paragraph" w:styleId="Heading5">
    <w:name w:val="heading 5"/>
    <w:basedOn w:val="Normal"/>
    <w:next w:val="Normal"/>
    <w:link w:val="Heading5Char"/>
    <w:qFormat/>
    <w:rsid w:val="00F53370"/>
    <w:pPr>
      <w:numPr>
        <w:ilvl w:val="4"/>
        <w:numId w:val="1"/>
      </w:numPr>
      <w:ind w:left="567" w:hanging="567"/>
      <w:outlineLvl w:val="4"/>
    </w:pPr>
  </w:style>
  <w:style w:type="paragraph" w:styleId="Heading6">
    <w:name w:val="heading 6"/>
    <w:basedOn w:val="Normal"/>
    <w:next w:val="Normal"/>
    <w:link w:val="Heading6Char"/>
    <w:qFormat/>
    <w:rsid w:val="00F53370"/>
    <w:pPr>
      <w:numPr>
        <w:ilvl w:val="5"/>
        <w:numId w:val="1"/>
      </w:numPr>
      <w:ind w:left="567" w:hanging="567"/>
      <w:outlineLvl w:val="5"/>
    </w:pPr>
  </w:style>
  <w:style w:type="paragraph" w:styleId="Heading7">
    <w:name w:val="heading 7"/>
    <w:basedOn w:val="Normal"/>
    <w:next w:val="Normal"/>
    <w:link w:val="Heading7Char"/>
    <w:qFormat/>
    <w:rsid w:val="00F53370"/>
    <w:pPr>
      <w:numPr>
        <w:ilvl w:val="6"/>
        <w:numId w:val="1"/>
      </w:numPr>
      <w:ind w:left="567" w:hanging="567"/>
      <w:outlineLvl w:val="6"/>
    </w:pPr>
  </w:style>
  <w:style w:type="paragraph" w:styleId="Heading8">
    <w:name w:val="heading 8"/>
    <w:basedOn w:val="Normal"/>
    <w:next w:val="Normal"/>
    <w:link w:val="Heading8Char"/>
    <w:qFormat/>
    <w:rsid w:val="00F53370"/>
    <w:pPr>
      <w:numPr>
        <w:ilvl w:val="7"/>
        <w:numId w:val="1"/>
      </w:numPr>
      <w:ind w:left="567" w:hanging="567"/>
      <w:outlineLvl w:val="7"/>
    </w:pPr>
  </w:style>
  <w:style w:type="paragraph" w:styleId="Heading9">
    <w:name w:val="heading 9"/>
    <w:basedOn w:val="Normal"/>
    <w:next w:val="Normal"/>
    <w:link w:val="Heading9Char"/>
    <w:qFormat/>
    <w:rsid w:val="00F5337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3370"/>
    <w:rPr>
      <w:rFonts w:ascii="Times New Roman" w:eastAsia="Times New Roman" w:hAnsi="Times New Roman" w:cs="Times New Roman"/>
      <w:kern w:val="28"/>
    </w:rPr>
  </w:style>
  <w:style w:type="character" w:customStyle="1" w:styleId="Heading2Char">
    <w:name w:val="Heading 2 Char"/>
    <w:basedOn w:val="DefaultParagraphFont"/>
    <w:link w:val="Heading2"/>
    <w:rsid w:val="00F53370"/>
    <w:rPr>
      <w:rFonts w:ascii="Times New Roman" w:eastAsia="Times New Roman" w:hAnsi="Times New Roman" w:cs="Times New Roman"/>
    </w:rPr>
  </w:style>
  <w:style w:type="character" w:customStyle="1" w:styleId="Heading3Char">
    <w:name w:val="Heading 3 Char"/>
    <w:basedOn w:val="DefaultParagraphFont"/>
    <w:link w:val="Heading3"/>
    <w:rsid w:val="00F53370"/>
    <w:rPr>
      <w:rFonts w:ascii="Times New Roman" w:eastAsia="Times New Roman" w:hAnsi="Times New Roman" w:cs="Times New Roman"/>
    </w:rPr>
  </w:style>
  <w:style w:type="character" w:customStyle="1" w:styleId="Heading4Char">
    <w:name w:val="Heading 4 Char"/>
    <w:basedOn w:val="DefaultParagraphFont"/>
    <w:link w:val="Heading4"/>
    <w:rsid w:val="00F53370"/>
    <w:rPr>
      <w:rFonts w:ascii="Times New Roman" w:eastAsia="Times New Roman" w:hAnsi="Times New Roman" w:cs="Times New Roman"/>
    </w:rPr>
  </w:style>
  <w:style w:type="character" w:customStyle="1" w:styleId="Heading5Char">
    <w:name w:val="Heading 5 Char"/>
    <w:basedOn w:val="DefaultParagraphFont"/>
    <w:link w:val="Heading5"/>
    <w:rsid w:val="00F53370"/>
    <w:rPr>
      <w:rFonts w:ascii="Times New Roman" w:eastAsia="Times New Roman" w:hAnsi="Times New Roman" w:cs="Times New Roman"/>
    </w:rPr>
  </w:style>
  <w:style w:type="character" w:customStyle="1" w:styleId="Heading6Char">
    <w:name w:val="Heading 6 Char"/>
    <w:basedOn w:val="DefaultParagraphFont"/>
    <w:link w:val="Heading6"/>
    <w:rsid w:val="00F53370"/>
    <w:rPr>
      <w:rFonts w:ascii="Times New Roman" w:eastAsia="Times New Roman" w:hAnsi="Times New Roman" w:cs="Times New Roman"/>
    </w:rPr>
  </w:style>
  <w:style w:type="character" w:customStyle="1" w:styleId="Heading7Char">
    <w:name w:val="Heading 7 Char"/>
    <w:basedOn w:val="DefaultParagraphFont"/>
    <w:link w:val="Heading7"/>
    <w:rsid w:val="00F53370"/>
    <w:rPr>
      <w:rFonts w:ascii="Times New Roman" w:eastAsia="Times New Roman" w:hAnsi="Times New Roman" w:cs="Times New Roman"/>
    </w:rPr>
  </w:style>
  <w:style w:type="character" w:customStyle="1" w:styleId="Heading8Char">
    <w:name w:val="Heading 8 Char"/>
    <w:basedOn w:val="DefaultParagraphFont"/>
    <w:link w:val="Heading8"/>
    <w:rsid w:val="00F53370"/>
    <w:rPr>
      <w:rFonts w:ascii="Times New Roman" w:eastAsia="Times New Roman" w:hAnsi="Times New Roman" w:cs="Times New Roman"/>
    </w:rPr>
  </w:style>
  <w:style w:type="character" w:customStyle="1" w:styleId="Heading9Char">
    <w:name w:val="Heading 9 Char"/>
    <w:basedOn w:val="DefaultParagraphFont"/>
    <w:link w:val="Heading9"/>
    <w:rsid w:val="00F53370"/>
    <w:rPr>
      <w:rFonts w:ascii="Times New Roman" w:eastAsia="Times New Roman" w:hAnsi="Times New Roman" w:cs="Times New Roman"/>
    </w:rPr>
  </w:style>
  <w:style w:type="paragraph" w:styleId="Footer">
    <w:name w:val="footer"/>
    <w:basedOn w:val="Normal"/>
    <w:link w:val="FooterChar"/>
    <w:qFormat/>
    <w:rsid w:val="00F53370"/>
  </w:style>
  <w:style w:type="character" w:customStyle="1" w:styleId="FooterChar">
    <w:name w:val="Footer Char"/>
    <w:basedOn w:val="DefaultParagraphFont"/>
    <w:link w:val="Footer"/>
    <w:rsid w:val="00F53370"/>
    <w:rPr>
      <w:rFonts w:ascii="Times New Roman" w:eastAsia="Times New Roman" w:hAnsi="Times New Roman" w:cs="Times New Roman"/>
    </w:rPr>
  </w:style>
  <w:style w:type="paragraph" w:styleId="FootnoteText">
    <w:name w:val="footnote text"/>
    <w:basedOn w:val="Normal"/>
    <w:link w:val="FootnoteTextChar"/>
    <w:qFormat/>
    <w:rsid w:val="00F53370"/>
    <w:pPr>
      <w:keepLines/>
      <w:spacing w:after="60" w:line="240" w:lineRule="auto"/>
      <w:ind w:left="567" w:hanging="567"/>
    </w:pPr>
    <w:rPr>
      <w:sz w:val="16"/>
    </w:rPr>
  </w:style>
  <w:style w:type="character" w:customStyle="1" w:styleId="FootnoteTextChar">
    <w:name w:val="Footnote Text Char"/>
    <w:basedOn w:val="DefaultParagraphFont"/>
    <w:link w:val="FootnoteText"/>
    <w:rsid w:val="00F53370"/>
    <w:rPr>
      <w:rFonts w:ascii="Times New Roman" w:eastAsia="Times New Roman" w:hAnsi="Times New Roman" w:cs="Times New Roman"/>
      <w:sz w:val="16"/>
    </w:rPr>
  </w:style>
  <w:style w:type="paragraph" w:styleId="Header">
    <w:name w:val="header"/>
    <w:basedOn w:val="Normal"/>
    <w:link w:val="HeaderChar"/>
    <w:qFormat/>
    <w:rsid w:val="00F53370"/>
  </w:style>
  <w:style w:type="character" w:customStyle="1" w:styleId="HeaderChar">
    <w:name w:val="Header Char"/>
    <w:basedOn w:val="DefaultParagraphFont"/>
    <w:link w:val="Header"/>
    <w:rsid w:val="00F53370"/>
    <w:rPr>
      <w:rFonts w:ascii="Times New Roman" w:eastAsia="Times New Roman" w:hAnsi="Times New Roman" w:cs="Times New Roman"/>
    </w:rPr>
  </w:style>
  <w:style w:type="paragraph" w:customStyle="1" w:styleId="quotes">
    <w:name w:val="quotes"/>
    <w:basedOn w:val="Normal"/>
    <w:next w:val="Normal"/>
    <w:rsid w:val="00F53370"/>
    <w:pPr>
      <w:ind w:left="720"/>
    </w:pPr>
    <w:rPr>
      <w:i/>
    </w:rPr>
  </w:style>
  <w:style w:type="character" w:styleId="FootnoteReference">
    <w:name w:val="footnote reference"/>
    <w:aliases w:val="Footnote symbol"/>
    <w:basedOn w:val="DefaultParagraphFont"/>
    <w:unhideWhenUsed/>
    <w:qFormat/>
    <w:rsid w:val="00F53370"/>
    <w:rPr>
      <w:sz w:val="24"/>
      <w:vertAlign w:val="superscript"/>
    </w:rPr>
  </w:style>
  <w:style w:type="table" w:styleId="TableGrid">
    <w:name w:val="Table Grid"/>
    <w:basedOn w:val="TableNormal"/>
    <w:uiPriority w:val="39"/>
    <w:rsid w:val="00F53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A6DD4"/>
    <w:rPr>
      <w:color w:val="0000FF"/>
      <w:u w:val="single"/>
    </w:rPr>
  </w:style>
  <w:style w:type="character" w:styleId="CommentReference">
    <w:name w:val="annotation reference"/>
    <w:basedOn w:val="DefaultParagraphFont"/>
    <w:uiPriority w:val="99"/>
    <w:semiHidden/>
    <w:unhideWhenUsed/>
    <w:rsid w:val="00976F77"/>
    <w:rPr>
      <w:sz w:val="16"/>
      <w:szCs w:val="16"/>
    </w:rPr>
  </w:style>
  <w:style w:type="paragraph" w:styleId="CommentText">
    <w:name w:val="annotation text"/>
    <w:basedOn w:val="Normal"/>
    <w:link w:val="CommentTextChar"/>
    <w:uiPriority w:val="99"/>
    <w:semiHidden/>
    <w:unhideWhenUsed/>
    <w:rsid w:val="00976F77"/>
    <w:pPr>
      <w:spacing w:line="240" w:lineRule="auto"/>
    </w:pPr>
    <w:rPr>
      <w:sz w:val="20"/>
      <w:szCs w:val="20"/>
    </w:rPr>
  </w:style>
  <w:style w:type="character" w:customStyle="1" w:styleId="CommentTextChar">
    <w:name w:val="Comment Text Char"/>
    <w:basedOn w:val="DefaultParagraphFont"/>
    <w:link w:val="CommentText"/>
    <w:uiPriority w:val="99"/>
    <w:semiHidden/>
    <w:rsid w:val="00976F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76F77"/>
    <w:rPr>
      <w:b/>
      <w:bCs/>
    </w:rPr>
  </w:style>
  <w:style w:type="character" w:customStyle="1" w:styleId="CommentSubjectChar">
    <w:name w:val="Comment Subject Char"/>
    <w:basedOn w:val="CommentTextChar"/>
    <w:link w:val="CommentSubject"/>
    <w:uiPriority w:val="99"/>
    <w:semiHidden/>
    <w:rsid w:val="00976F77"/>
    <w:rPr>
      <w:rFonts w:ascii="Times New Roman" w:eastAsia="Times New Roman" w:hAnsi="Times New Roman" w:cs="Times New Roman"/>
      <w:b/>
      <w:bCs/>
      <w:sz w:val="20"/>
      <w:szCs w:val="20"/>
    </w:rPr>
  </w:style>
  <w:style w:type="paragraph" w:styleId="Revision">
    <w:name w:val="Revision"/>
    <w:hidden/>
    <w:uiPriority w:val="99"/>
    <w:semiHidden/>
    <w:rsid w:val="00976F77"/>
    <w:pPr>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76F77"/>
    <w:pPr>
      <w:spacing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976F77"/>
    <w:rPr>
      <w:rFonts w:ascii="Segoe UI" w:eastAsia="Times New Roman" w:hAnsi="Segoe UI" w:cs="Times New Roman"/>
      <w:sz w:val="18"/>
      <w:szCs w:val="18"/>
    </w:rPr>
  </w:style>
  <w:style w:type="paragraph" w:styleId="ListParagraph">
    <w:name w:val="List Paragraph"/>
    <w:basedOn w:val="Normal"/>
    <w:uiPriority w:val="34"/>
    <w:qFormat/>
    <w:rsid w:val="0092483D"/>
    <w:pPr>
      <w:spacing w:after="160" w:line="259" w:lineRule="auto"/>
      <w:ind w:left="720"/>
      <w:contextualSpacing/>
      <w:jc w:val="left"/>
    </w:pPr>
    <w:rPr>
      <w:rFonts w:asciiTheme="minorHAnsi" w:eastAsiaTheme="minorHAnsi" w:hAnsiTheme="minorHAnsi" w:cstheme="minorBidi"/>
    </w:rPr>
  </w:style>
  <w:style w:type="character" w:styleId="FollowedHyperlink">
    <w:name w:val="FollowedHyperlink"/>
    <w:basedOn w:val="DefaultParagraphFont"/>
    <w:uiPriority w:val="99"/>
    <w:semiHidden/>
    <w:unhideWhenUsed/>
    <w:rsid w:val="00A6750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aw-tracker.europa.eu/procedure/2025_526?lang=cs" TargetMode="External"/><Relationship Id="rId18" Type="http://schemas.openxmlformats.org/officeDocument/2006/relationships/hyperlink" Target="https://sdgs.un.org/goals/goal12"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webSettings" Target="webSettings.xml"/><Relationship Id="rId12" Type="http://schemas.openxmlformats.org/officeDocument/2006/relationships/header" Target="header3.xml"/><Relationship Id="rId17" Type="http://schemas.openxmlformats.org/officeDocument/2006/relationships/hyperlink" Target="https://sdgs.un.org/goals/goal3" TargetMode="Externa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yperlink" Target="https://sdgs.un.org/goals/goal9" TargetMode="External"/><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eader" Target="header7.xml"/><Relationship Id="rId5" Type="http://schemas.openxmlformats.org/officeDocument/2006/relationships/styles" Target="styles.xml"/><Relationship Id="rId15" Type="http://schemas.openxmlformats.org/officeDocument/2006/relationships/hyperlink" Target="https://eur-lex.europa.eu/legal-content/cs/TXT/?uri=COM%3A2025%3A531%3AFIN" TargetMode="External"/><Relationship Id="rId23" Type="http://schemas.openxmlformats.org/officeDocument/2006/relationships/header" Target="header6.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sdgs.un.org/goals/goal1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ur-lex.europa.eu/legal-content/cs/TXT/?uri=COM%3A2025%3A526%3AFIN" TargetMode="External"/><Relationship Id="rId22" Type="http://schemas.openxmlformats.org/officeDocument/2006/relationships/footer" Target="footer1.xml"/><Relationship Id="rId27" Type="http://schemas.openxmlformats.org/officeDocument/2006/relationships/header" Target="header9.xml"/><Relationship Id="rId30"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1" Type="http://schemas.openxmlformats.org/officeDocument/2006/relationships/hyperlink" Target="https://www.eesc.europa.eu/cs/our-work/opinions-information-reports/opinions/healthy-planet-healthy-people-towards-comprehensive-one-health-approa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4B94E0CD93B68F4F96D67EEBEC8A7176" ma:contentTypeVersion="4" ma:contentTypeDescription="Defines the documents for Document Manager V2" ma:contentTypeScope="" ma:versionID="56661591a508277d6262203e4557b8ae">
  <xsd:schema xmlns:xsd="http://www.w3.org/2001/XMLSchema" xmlns:xs="http://www.w3.org/2001/XMLSchema" xmlns:p="http://schemas.microsoft.com/office/2006/metadata/properties" xmlns:ns2="1a33af13-4045-4f88-9d7b-618e30f79918" xmlns:ns3="http://schemas.microsoft.com/sharepoint/v3/fields" xmlns:ns4="a3e83899-37aa-47c6-ba54-4ea80e9c17cf" targetNamespace="http://schemas.microsoft.com/office/2006/metadata/properties" ma:root="true" ma:fieldsID="1ddc428e300a307dc1c6e67e6931f8cc" ns2:_="" ns3:_="" ns4:_="">
    <xsd:import namespace="1a33af13-4045-4f88-9d7b-618e30f79918"/>
    <xsd:import namespace="http://schemas.microsoft.com/sharepoint/v3/fields"/>
    <xsd:import namespace="a3e83899-37aa-47c6-ba54-4ea80e9c17cf"/>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e83899-37aa-47c6-ba54-4ea80e9c17cf"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A6WAAD5KZT2Q-235352946-7293</_dlc_DocId>
    <_dlc_DocIdUrl xmlns="1a33af13-4045-4f88-9d7b-618e30f79918">
      <Url>http://dm/eesc/2025/_layouts/15/DocIdRedir.aspx?ID=A6WAAD5KZT2Q-235352946-7293</Url>
      <Description>A6WAAD5KZT2Q-235352946-7293</Description>
    </_dlc_DocIdUrl>
    <Procedure xmlns="1a33af13-4045-4f88-9d7b-618e30f79918">2025/0531(COD)</Procedure>
    <DocumentType_0 xmlns="http://schemas.microsoft.com/sharepoint/v3/fields">
      <Terms xmlns="http://schemas.microsoft.com/office/infopath/2007/PartnerControls">
        <TermInfo xmlns="http://schemas.microsoft.com/office/infopath/2007/PartnerControls">
          <TermName xmlns="http://schemas.microsoft.com/office/infopath/2007/PartnerControls">AC</TermName>
          <TermId xmlns="http://schemas.microsoft.com/office/infopath/2007/PartnerControls">a4cc1d15-fb08-4679-ad46-e4e0cba5fe92</TermId>
        </TermInfo>
      </Terms>
    </DocumentType_0>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2025-10-24T12:00:00+00:00</ProductionDate>
    <DocumentNumber xmlns="a3e83899-37aa-47c6-ba54-4ea80e9c17cf">2571</DocumentNumber>
    <FicheYea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TaxCatchAll xmlns="1a33af13-4045-4f88-9d7b-618e30f79918">
      <Value>31</Value>
      <Value>79</Value>
      <Value>50</Value>
      <Value>47</Value>
      <Value>46</Value>
      <Value>43</Value>
      <Value>42</Value>
      <Value>41</Value>
      <Value>40</Value>
      <Value>39</Value>
      <Value>37</Value>
      <Value>36</Value>
      <Value>35</Value>
      <Value>34</Value>
      <Value>33</Value>
      <Value>32</Value>
      <Value>120</Value>
      <Value>30</Value>
      <Value>29</Value>
      <Value>28</Value>
      <Value>27</Value>
      <Value>24</Value>
      <Value>23</Value>
      <Value>16</Value>
      <Value>15</Value>
      <Value>13</Value>
      <Value>12</Value>
      <Value>8</Value>
      <Value>5</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CS</TermName>
          <TermId xmlns="http://schemas.microsoft.com/office/infopath/2007/PartnerControls">72f9705b-0217-4fd3-bea2-cbc7ed80e26e</TermId>
        </TermInfo>
      </Terms>
    </DocumentLanguage_0>
    <MeetingDate xmlns="1a33af13-4045-4f88-9d7b-618e30f79918" xsi:nil="true"/>
    <Rapporteur xmlns="1a33af13-4045-4f88-9d7b-618e30f79918">COMER</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1a33af13-4045-4f88-9d7b-618e30f79918">2025</DocumentYear>
    <FicheNumber xmlns="1a33af13-4045-4f88-9d7b-618e30f79918">295895</FicheNumber>
    <OriginalSender xmlns="1a33af13-4045-4f88-9d7b-618e30f79918">
      <UserInfo>
        <DisplayName>Squerzi Daniela</DisplayName>
        <AccountId>1491</AccountId>
        <AccountType/>
      </UserInfo>
    </OriginalSender>
    <DocumentPart xmlns="1a33af13-4045-4f88-9d7b-618e30f79918">0</DocumentPart>
    <AdoptionDate xmlns="1a33af13-4045-4f88-9d7b-618e30f79918">2025-10-23T12:00:00+00:00</AdoptionDate>
    <RequestingService xmlns="1a33af13-4045-4f88-9d7b-618e30f79918">Systèmes alimentaires durables, environnement, dév. rural</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3e83899-37aa-47c6-ba54-4ea80e9c17cf"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NAT</TermName>
          <TermId xmlns="http://schemas.microsoft.com/office/infopath/2007/PartnerControls">b263ab5d-0564-42a8-87bf-1cc57d938922</TermId>
        </TermInfo>
      </Terms>
    </DossierName_0>
    <DocumentVersion xmlns="1a33af13-4045-4f88-9d7b-618e30f79918">1</DocumentVersion>
    <DossierNumber xmlns="1a33af13-4045-4f88-9d7b-618e30f79918">964</DossierNumb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BEE9C62-F591-4FF8-B34E-AF54761CEC3B}"/>
</file>

<file path=customXml/itemProps2.xml><?xml version="1.0" encoding="utf-8"?>
<ds:datastoreItem xmlns:ds="http://schemas.openxmlformats.org/officeDocument/2006/customXml" ds:itemID="{420E549E-24D8-4AE1-9E31-E5F1C90C504D}">
  <ds:schemaRefs>
    <ds:schemaRef ds:uri="http://schemas.microsoft.com/office/2006/metadata/properties"/>
    <ds:schemaRef ds:uri="http://schemas.microsoft.com/office/infopath/2007/PartnerControls"/>
    <ds:schemaRef ds:uri="faa3019d-1caa-44e1-9ef8-f62c9787953d"/>
    <ds:schemaRef ds:uri="79c32e30-91f5-42f8-9d68-38e1a3525689"/>
  </ds:schemaRefs>
</ds:datastoreItem>
</file>

<file path=customXml/itemProps3.xml><?xml version="1.0" encoding="utf-8"?>
<ds:datastoreItem xmlns:ds="http://schemas.openxmlformats.org/officeDocument/2006/customXml" ds:itemID="{A37AD08E-8DC4-433A-8578-E95DBD470C04}">
  <ds:schemaRefs>
    <ds:schemaRef ds:uri="http://schemas.microsoft.com/sharepoint/v3/contenttype/forms"/>
  </ds:schemaRefs>
</ds:datastoreItem>
</file>

<file path=customXml/itemProps4.xml><?xml version="1.0" encoding="utf-8"?>
<ds:datastoreItem xmlns:ds="http://schemas.openxmlformats.org/officeDocument/2006/customXml" ds:itemID="{64C4E765-6E3E-40C3-BE3D-1E0442505726}"/>
</file>

<file path=docProps/app.xml><?xml version="1.0" encoding="utf-8"?>
<Properties xmlns="http://schemas.openxmlformats.org/officeDocument/2006/extended-properties" xmlns:vt="http://schemas.openxmlformats.org/officeDocument/2006/docPropsVTypes">
  <Template>Normal.dotm</Template>
  <TotalTime>0</TotalTime>
  <Pages>8</Pages>
  <Words>2449</Words>
  <Characters>14088</Characters>
  <Application>Microsoft Office Word</Application>
  <DocSecurity>0</DocSecurity>
  <Lines>440</Lines>
  <Paragraphs>151</Paragraphs>
  <ScaleCrop>false</ScaleCrop>
  <Manager/>
  <Company/>
  <LinksUpToDate>false</LinksUpToDate>
  <CharactersWithSpaces>16386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Souhrnný balíček týkající se chemických látek</dc:title>
  <dc:subject>Committee opinion</dc:subject>
  <dc:creator/>
  <cp:keywords>EESC-2025-02571-00-00-AC-TRA-EN</cp:keywords>
  <dc:description>Rapporteur: - COMER Original language: - EN Date of document: - 23/10/2025 Date of meeting: -  External documents: - COM(2025)531- final Administrator responsible: -  MOLINA SAAVEDRA ALEJANDRA</dc:description>
  <cp:lastModifiedBy/>
  <cp:revision>8</cp:revision>
  <dcterms:created xsi:type="dcterms:W3CDTF">2025-10-24T09:56:00Z</dcterms:created>
  <dcterms:modified xsi:type="dcterms:W3CDTF">2025-10-24T11:33:00Z</dcterms:modified>
  <cp:category>NAT/964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24/10/2025, 23/10/2025, 17/04/2024, 12/04/2024, 03/04/2024, 03/04/2024, 17/05/2022</vt:lpwstr>
  </property>
  <property fmtid="{D5CDD505-2E9C-101B-9397-08002B2CF9AE}" pid="4" name="Pref_Time">
    <vt:lpwstr>11:54:24, 14:49:58, 09:39:06, 11:34:42, 09:22:37, 08:53:52, 14:58:36</vt:lpwstr>
  </property>
  <property fmtid="{D5CDD505-2E9C-101B-9397-08002B2CF9AE}" pid="5" name="Pref_User">
    <vt:lpwstr>pacup, pacup, enied, enied, enied, enied, enied</vt:lpwstr>
  </property>
  <property fmtid="{D5CDD505-2E9C-101B-9397-08002B2CF9AE}" pid="6" name="Pref_FileName">
    <vt:lpwstr>EESC-2025-02571-00-01-AC-ORI.docx, EESC-2025-02571-00-00-AC-TRA-EN-CRR.docx, COR-EESC-2024-01326-11-00-ADMIN-TRA-EN.docx, COR-EESC-2024-01326-11-00-ADMIN-ORI.docx, giusta AC-LEGIS-EN_check list DT.docx, AC-LEGIS-EN.docx, COR-EESC-2022-02592-00-00-ADMIN-OR</vt:lpwstr>
  </property>
  <property fmtid="{D5CDD505-2E9C-101B-9397-08002B2CF9AE}" pid="7" name="ContentTypeId">
    <vt:lpwstr>0x010100EA97B91038054C99906057A708A1480A004B94E0CD93B68F4F96D67EEBEC8A7176</vt:lpwstr>
  </property>
  <property fmtid="{D5CDD505-2E9C-101B-9397-08002B2CF9AE}" pid="8" name="_dlc_DocIdItemGuid">
    <vt:lpwstr>fc83f8a1-8cfa-4ed8-a3ef-43fed11fcd6a</vt:lpwstr>
  </property>
  <property fmtid="{D5CDD505-2E9C-101B-9397-08002B2CF9AE}" pid="9" name="Procedure">
    <vt:lpwstr>2025/0531(COD)</vt:lpwstr>
  </property>
  <property fmtid="{D5CDD505-2E9C-101B-9397-08002B2CF9AE}" pid="10" name="AvailableTranslations">
    <vt:lpwstr>35;#FI|87606a43-d45f-42d6-b8c9-e1a3457db5b7;#33;#PT|50ccc04a-eadd-42ae-a0cb-acaf45f812ba;#42;#EL|6d4f4d51-af9b-4650-94b4-4276bee85c91;#37;#HU|6b229040-c589-4408-b4c1-4285663d20a8;#28;#SV|c2ed69e7-a339-43d7-8f22-d93680a92aa0;#23;#DE|f6b31e5a-26fa-4935-b661-318e46daf27e;#29;#CS|72f9705b-0217-4fd3-bea2-cbc7ed80e26e;#27;#NL|55c6556c-b4f4-441d-9acf-c498d4f838bd;#46;#SK|46d9fce0-ef79-4f71-b89b-cd6aa82426b8;#41;#ET|ff6c3f4c-b02c-4c3c-ab07-2c37995a7a0a;#31;#SL|98a412ae-eb01-49e9-ae3d-585a81724cfc;#36;#RO|feb747a2-64cd-4299-af12-4833ddc30497;#12;#FR|d2afafd3-4c81-4f60-8f52-ee33f2f54ff3;#47;#BG|1a1b3951-7821-4e6a-85f5-5673fc08bd2c;#16;#ES|e7a6b05b-ae16-40c8-add9-68b64b03aeba;#24;#PL|1e03da61-4678-4e07-b136-b5024ca9197b;#39;#LV|46f7e311-5d9f-4663-b433-18aeccb7ace7;#34;#IT|0774613c-01ed-4e5d-a25d-11d2388de825;#5;#EN|f2175f21-25d7-44a3-96da-d6a61b075e1b;#30;#LT|a7ff5ce7-6123-4f68-865a-a57c31810414;#40;#DA|5d49c027-8956-412b-aa16-e85a0f96ad0e;#50;#HR|2f555653-ed1a-4fe6-8362-9082d95989e5;#43;#GA|762d2456-c427-4ecb-b312-af3dad8e258c;#32;#MT|7df99101-6854-4a26-b53a-b88c0da02c26</vt:lpwstr>
  </property>
  <property fmtid="{D5CDD505-2E9C-101B-9397-08002B2CF9AE}" pid="11" name="DocumentType_0">
    <vt:lpwstr>AC|a4cc1d15-fb08-4679-ad46-e4e0cba5fe92</vt:lpwstr>
  </property>
  <property fmtid="{D5CDD505-2E9C-101B-9397-08002B2CF9AE}" pid="12" name="DossierName_0">
    <vt:lpwstr>NAT|b263ab5d-0564-42a8-87bf-1cc57d938922</vt:lpwstr>
  </property>
  <property fmtid="{D5CDD505-2E9C-101B-9397-08002B2CF9AE}" pid="13" name="DocumentSource_0">
    <vt:lpwstr>EESC|422833ec-8d7e-4e65-8e4e-8bed07ffb729</vt:lpwstr>
  </property>
  <property fmtid="{D5CDD505-2E9C-101B-9397-08002B2CF9AE}" pid="14" name="DocumentNumber">
    <vt:i4>2571</vt:i4>
  </property>
  <property fmtid="{D5CDD505-2E9C-101B-9397-08002B2CF9AE}" pid="15" name="FicheYear">
    <vt:i4>2025</vt:i4>
  </property>
  <property fmtid="{D5CDD505-2E9C-101B-9397-08002B2CF9AE}" pid="16" name="DocumentVersion">
    <vt:i4>1</vt:i4>
  </property>
  <property fmtid="{D5CDD505-2E9C-101B-9397-08002B2CF9AE}" pid="17" name="DossierNumber">
    <vt:i4>964</vt:i4>
  </property>
  <property fmtid="{D5CDD505-2E9C-101B-9397-08002B2CF9AE}" pid="18" name="DocumentStatus">
    <vt:lpwstr>13;#TRA|150d2a88-1431-44e6-a8ca-0bb753ab8672</vt:lpwstr>
  </property>
  <property fmtid="{D5CDD505-2E9C-101B-9397-08002B2CF9AE}" pid="19" name="DossierName">
    <vt:lpwstr>120;#NAT|b263ab5d-0564-42a8-87bf-1cc57d938922</vt:lpwstr>
  </property>
  <property fmtid="{D5CDD505-2E9C-101B-9397-08002B2CF9AE}" pid="20" name="RequestingService">
    <vt:lpwstr>Systèmes alimentaires durables, environnement, dév. rural</vt:lpwstr>
  </property>
  <property fmtid="{D5CDD505-2E9C-101B-9397-08002B2CF9AE}" pid="21" name="Confidentiality">
    <vt:lpwstr>15;#Unrestricted|826e22d7-d029-4ec0-a450-0c28ff673572</vt:lpwstr>
  </property>
  <property fmtid="{D5CDD505-2E9C-101B-9397-08002B2CF9AE}" pid="22" name="MeetingName_0">
    <vt:lpwstr/>
  </property>
  <property fmtid="{D5CDD505-2E9C-101B-9397-08002B2CF9AE}" pid="23" name="Confidentiality_0">
    <vt:lpwstr>Unrestricted|826e22d7-d029-4ec0-a450-0c28ff673572</vt:lpwstr>
  </property>
  <property fmtid="{D5CDD505-2E9C-101B-9397-08002B2CF9AE}" pid="24" name="OriginalLanguage">
    <vt:lpwstr>5;#EN|f2175f21-25d7-44a3-96da-d6a61b075e1b</vt:lpwstr>
  </property>
  <property fmtid="{D5CDD505-2E9C-101B-9397-08002B2CF9AE}" pid="25" name="MeetingName">
    <vt:lpwstr/>
  </property>
  <property fmtid="{D5CDD505-2E9C-101B-9397-08002B2CF9AE}" pid="26" name="AvailableTranslations_0">
    <vt:lpwstr>EL|6d4f4d51-af9b-4650-94b4-4276bee85c91;NL|55c6556c-b4f4-441d-9acf-c498d4f838bd;ET|ff6c3f4c-b02c-4c3c-ab07-2c37995a7a0a;SL|98a412ae-eb01-49e9-ae3d-585a81724cfc;ES|e7a6b05b-ae16-40c8-add9-68b64b03aeba;PL|1e03da61-4678-4e07-b136-b5024ca9197b;EN|f2175f21-25d7-44a3-96da-d6a61b075e1b;HR|2f555653-ed1a-4fe6-8362-9082d95989e5</vt:lpwstr>
  </property>
  <property fmtid="{D5CDD505-2E9C-101B-9397-08002B2CF9AE}" pid="27" name="DocumentStatus_0">
    <vt:lpwstr>TRA|150d2a88-1431-44e6-a8ca-0bb753ab8672</vt:lpwstr>
  </property>
  <property fmtid="{D5CDD505-2E9C-101B-9397-08002B2CF9AE}" pid="28" name="OriginalLanguage_0">
    <vt:lpwstr>EN|f2175f21-25d7-44a3-96da-d6a61b075e1b</vt:lpwstr>
  </property>
  <property fmtid="{D5CDD505-2E9C-101B-9397-08002B2CF9AE}" pid="29" name="TaxCatchAll">
    <vt:lpwstr>42;#EL|6d4f4d51-af9b-4650-94b4-4276bee85c91;#50;#HR|2f555653-ed1a-4fe6-8362-9082d95989e5;#31;#SL|98a412ae-eb01-49e9-ae3d-585a81724cfc;#79;#AC|a4cc1d15-fb08-4679-ad46-e4e0cba5fe92;#27;#NL|55c6556c-b4f4-441d-9acf-c498d4f838bd;#24;#PL|1e03da61-4678-4e07-b136-b5024ca9197b;#16;#ES|e7a6b05b-ae16-40c8-add9-68b64b03aeba;#15;#Unrestricted|826e22d7-d029-4ec0-a450-0c28ff673572;#13;#TRA|150d2a88-1431-44e6-a8ca-0bb753ab8672;#120;#NAT|b263ab5d-0564-42a8-87bf-1cc57d938922;#8;#Final|ea5e6674-7b27-4bac-b091-73adbb394efe;#5;#EN|f2175f21-25d7-44a3-96da-d6a61b075e1b;#41;#ET|ff6c3f4c-b02c-4c3c-ab07-2c37995a7a0a;#1;#EESC|422833ec-8d7e-4e65-8e4e-8bed07ffb729</vt:lpwstr>
  </property>
  <property fmtid="{D5CDD505-2E9C-101B-9397-08002B2CF9AE}" pid="30" name="Rapporteur">
    <vt:lpwstr>COMER</vt:lpwstr>
  </property>
  <property fmtid="{D5CDD505-2E9C-101B-9397-08002B2CF9AE}" pid="31" name="VersionStatus_0">
    <vt:lpwstr>Final|ea5e6674-7b27-4bac-b091-73adbb394efe</vt:lpwstr>
  </property>
  <property fmtid="{D5CDD505-2E9C-101B-9397-08002B2CF9AE}" pid="32" name="VersionStatus">
    <vt:lpwstr>8;#Final|ea5e6674-7b27-4bac-b091-73adbb394efe</vt:lpwstr>
  </property>
  <property fmtid="{D5CDD505-2E9C-101B-9397-08002B2CF9AE}" pid="33" name="DocumentYear">
    <vt:i4>2025</vt:i4>
  </property>
  <property fmtid="{D5CDD505-2E9C-101B-9397-08002B2CF9AE}" pid="34" name="FicheNumber">
    <vt:i4>295895</vt:i4>
  </property>
  <property fmtid="{D5CDD505-2E9C-101B-9397-08002B2CF9AE}" pid="35" name="DocumentPart">
    <vt:i4>0</vt:i4>
  </property>
  <property fmtid="{D5CDD505-2E9C-101B-9397-08002B2CF9AE}" pid="36" name="DocumentSource">
    <vt:lpwstr>1;#EESC|422833ec-8d7e-4e65-8e4e-8bed07ffb729</vt:lpwstr>
  </property>
  <property fmtid="{D5CDD505-2E9C-101B-9397-08002B2CF9AE}" pid="37" name="AdoptionDate">
    <vt:filetime>2025-10-23T12:00:00Z</vt:filetime>
  </property>
  <property fmtid="{D5CDD505-2E9C-101B-9397-08002B2CF9AE}" pid="38" name="DocumentType">
    <vt:lpwstr>79;#AC|a4cc1d15-fb08-4679-ad46-e4e0cba5fe92</vt:lpwstr>
  </property>
  <property fmtid="{D5CDD505-2E9C-101B-9397-08002B2CF9AE}" pid="39" name="DocumentLanguage">
    <vt:lpwstr>29;#CS|72f9705b-0217-4fd3-bea2-cbc7ed80e26e</vt:lpwstr>
  </property>
  <property fmtid="{D5CDD505-2E9C-101B-9397-08002B2CF9AE}" pid="40" name="_docset_NoMedatataSyncRequired">
    <vt:lpwstr>False</vt:lpwstr>
  </property>
  <property fmtid="{D5CDD505-2E9C-101B-9397-08002B2CF9AE}" pid="41" name="MediaServiceImageTags">
    <vt:lpwstr/>
  </property>
  <property fmtid="{D5CDD505-2E9C-101B-9397-08002B2CF9AE}" pid="42" name="docLang">
    <vt:lpwstr>en</vt:lpwstr>
  </property>
  <property fmtid="{D5CDD505-2E9C-101B-9397-08002B2CF9AE}" pid="43" name="DocumentLanguage_0">
    <vt:lpwstr>EN|f2175f21-25d7-44a3-96da-d6a61b075e1b</vt:lpwstr>
  </property>
</Properties>
</file>