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67398" w:rsidR="00646AC2" w:rsidP="003C4B88" w:rsidRDefault="00215A0D" w14:paraId="08041442" w14:textId="64F62C38">
      <w:pPr>
        <w:pStyle w:val="Header"/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1CC2AD39" wp14:editId="1CABDEFB">
            <wp:extent cx="1792605" cy="1239520"/>
            <wp:effectExtent l="0" t="0" r="0" b="0"/>
            <wp:docPr id="1" name="Picture 1" title="EESCLogo_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11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editId="530B4798" wp14:anchorId="6EDB66AA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E32248" w:rsidRDefault="00E32248" w14:paraId="0D4B68C8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DB66AA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E32248" w:rsidRDefault="00E32248" w14:paraId="0D4B68C8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167398" w:rsidR="008C74D9" w:rsidP="003C4B88" w:rsidRDefault="008C74D9" w14:paraId="1F89E7BE" w14:textId="77777777"/>
    <w:p w:rsidRPr="00167398" w:rsidR="00597DFF" w:rsidP="003C4B88" w:rsidRDefault="00597DFF" w14:paraId="24788EC9" w14:textId="6A4B7C0F">
      <w:pPr>
        <w:jc w:val="right"/>
        <w:rPr>
          <w:b/>
        </w:rPr>
      </w:pPr>
      <w:r>
        <w:rPr>
          <w:b/>
        </w:rPr>
        <w:t>REX/552</w:t>
      </w:r>
    </w:p>
    <w:p w:rsidRPr="00167398" w:rsidR="00D975B0" w:rsidP="003C4B88" w:rsidRDefault="00D975B0" w14:paraId="59CBAE6B" w14:textId="31E1823A">
      <w:pPr>
        <w:jc w:val="right"/>
      </w:pPr>
      <w:r>
        <w:rPr>
          <w:b/>
        </w:rPr>
        <w:t>Sociálně-ekonomická situace v Latinské Americe po krizi COVID-19: úloha občanské společnosti v procesu oživení</w:t>
      </w:r>
    </w:p>
    <w:p w:rsidRPr="00167398" w:rsidR="009B30AA" w:rsidP="003C4B88" w:rsidRDefault="009B30AA" w14:paraId="04BE5506" w14:textId="70FA3121"/>
    <w:p w:rsidRPr="00167398" w:rsidR="00597DFF" w:rsidP="003C4B88" w:rsidRDefault="00597DFF" w14:paraId="1BA42ECF" w14:textId="77777777"/>
    <w:p w:rsidRPr="00167398" w:rsidR="00961E43" w:rsidP="003C4B88" w:rsidRDefault="000A5273" w14:paraId="7BA175B4" w14:textId="4FEAF165">
      <w:pPr>
        <w:jc w:val="center"/>
      </w:pPr>
      <w:r>
        <w:rPr>
          <w:b/>
          <w:sz w:val="28"/>
        </w:rPr>
        <w:t xml:space="preserve">STANOVISKO </w:t>
      </w:r>
    </w:p>
    <w:p w:rsidRPr="00167398" w:rsidR="006330F1" w:rsidP="003C4B88" w:rsidRDefault="006330F1" w14:paraId="350D028F" w14:textId="77777777">
      <w:pPr>
        <w:jc w:val="center"/>
      </w:pPr>
    </w:p>
    <w:p w:rsidRPr="00167398" w:rsidR="00961E43" w:rsidP="003C4B88" w:rsidRDefault="00FE0F43" w14:paraId="7124D88D" w14:textId="37BEFD6D">
      <w:pPr>
        <w:jc w:val="center"/>
        <w:rPr>
          <w:b/>
        </w:rPr>
      </w:pPr>
      <w:r>
        <w:t>sekce Vnější vztahy</w:t>
      </w:r>
    </w:p>
    <w:p w:rsidRPr="00167398" w:rsidR="00961E43" w:rsidP="003C4B88" w:rsidRDefault="00961E43" w14:paraId="3280FAEB" w14:textId="19026359">
      <w:pPr>
        <w:jc w:val="center"/>
        <w:rPr>
          <w:b/>
        </w:rPr>
      </w:pPr>
    </w:p>
    <w:p w:rsidRPr="00167398" w:rsidR="00831F6F" w:rsidP="003C4B88" w:rsidRDefault="00D975B0" w14:paraId="2FACF3F6" w14:textId="26F4BA3C">
      <w:pPr>
        <w:jc w:val="center"/>
      </w:pPr>
      <w:r>
        <w:rPr>
          <w:b/>
        </w:rPr>
        <w:t>Sociálně-ekonomická situace v Latinské Americe po krizi COVID-19: úloha občanské společnosti v procesu oživení</w:t>
      </w:r>
    </w:p>
    <w:p w:rsidRPr="00167398" w:rsidR="00597DFF" w:rsidP="003C4B88" w:rsidRDefault="00C365DE" w14:paraId="4DAC1D5E" w14:textId="5C9642F5">
      <w:pPr>
        <w:jc w:val="center"/>
      </w:pPr>
      <w:r>
        <w:t xml:space="preserve">(stanovisko z vlastní iniciativy) </w:t>
      </w:r>
    </w:p>
    <w:p w:rsidRPr="00167398" w:rsidR="00D975B0" w:rsidP="003C4B88" w:rsidRDefault="00D975B0" w14:paraId="7A299DD1" w14:textId="77777777">
      <w:pPr>
        <w:jc w:val="center"/>
      </w:pPr>
    </w:p>
    <w:tbl>
      <w:tblPr>
        <w:tblpPr w:leftFromText="181" w:rightFromText="181" w:tblpYSpec="bottom"/>
        <w:tblW w:w="9288" w:type="dxa"/>
        <w:tblLayout w:type="fixed"/>
        <w:tblLook w:val="04A0" w:firstRow="1" w:lastRow="0" w:firstColumn="1" w:lastColumn="0" w:noHBand="0" w:noVBand="1"/>
      </w:tblPr>
      <w:tblGrid>
        <w:gridCol w:w="3083"/>
        <w:gridCol w:w="6205"/>
      </w:tblGrid>
      <w:tr w:rsidRPr="00167398" w:rsidR="00597DFF" w:rsidTr="000A5273" w14:paraId="2ED5DC88" w14:textId="77777777">
        <w:tc>
          <w:tcPr>
            <w:tcW w:w="3083" w:type="dxa"/>
            <w:hideMark/>
          </w:tcPr>
          <w:p w:rsidRPr="00167398" w:rsidR="00597DFF" w:rsidP="003C4B88" w:rsidRDefault="00597DFF" w14:paraId="43D6FB31" w14:textId="77777777">
            <w:pPr>
              <w:jc w:val="left"/>
            </w:pPr>
            <w:r>
              <w:t>Kontakt</w:t>
            </w:r>
          </w:p>
        </w:tc>
        <w:tc>
          <w:tcPr>
            <w:tcW w:w="6205" w:type="dxa"/>
            <w:hideMark/>
          </w:tcPr>
          <w:p w:rsidRPr="00167398" w:rsidR="00597DFF" w:rsidP="003C4B88" w:rsidRDefault="00FF6FE1" w14:paraId="296F5328" w14:textId="77777777">
            <w:pPr>
              <w:jc w:val="left"/>
            </w:pPr>
            <w:hyperlink w:history="1" r:id="rId13">
              <w:r w:rsidR="00167398">
                <w:rPr>
                  <w:rStyle w:val="Hyperlink"/>
                </w:rPr>
                <w:t>rex@eesc.</w:t>
              </w:r>
              <w:r w:rsidR="00167398">
                <w:rPr>
                  <w:rStyle w:val="Hyperlink"/>
                </w:rPr>
                <w:t>europa.eu</w:t>
              </w:r>
            </w:hyperlink>
          </w:p>
        </w:tc>
      </w:tr>
      <w:tr w:rsidRPr="00167398" w:rsidR="00597DFF" w:rsidTr="000A5273" w14:paraId="618CC22B" w14:textId="77777777">
        <w:tc>
          <w:tcPr>
            <w:tcW w:w="3083" w:type="dxa"/>
            <w:hideMark/>
          </w:tcPr>
          <w:p w:rsidRPr="00167398" w:rsidR="00597DFF" w:rsidP="003C4B88" w:rsidRDefault="00597DFF" w14:paraId="5D7A0D52" w14:textId="77777777">
            <w:pPr>
              <w:jc w:val="left"/>
            </w:pPr>
            <w:r>
              <w:t>Administrátorka</w:t>
            </w:r>
          </w:p>
        </w:tc>
        <w:tc>
          <w:tcPr>
            <w:tcW w:w="6205" w:type="dxa"/>
            <w:hideMark/>
          </w:tcPr>
          <w:p w:rsidRPr="00167398" w:rsidR="00597DFF" w:rsidP="003C4B88" w:rsidRDefault="00D975B0" w14:paraId="2E5DDA4F" w14:textId="6451EC18">
            <w:pPr>
              <w:jc w:val="left"/>
            </w:pPr>
            <w:r>
              <w:t xml:space="preserve">Ewa </w:t>
            </w:r>
            <w:r w:rsidR="008F3C55">
              <w:t>TOMASZEWSKA</w:t>
            </w:r>
          </w:p>
        </w:tc>
      </w:tr>
      <w:tr w:rsidRPr="00167398" w:rsidR="00597DFF" w:rsidTr="000A5273" w14:paraId="6DE020C6" w14:textId="77777777">
        <w:tc>
          <w:tcPr>
            <w:tcW w:w="3083" w:type="dxa"/>
            <w:hideMark/>
          </w:tcPr>
          <w:p w:rsidRPr="00167398" w:rsidR="00597DFF" w:rsidP="003C4B88" w:rsidRDefault="00597DFF" w14:paraId="7001D1AC" w14:textId="77777777">
            <w:pPr>
              <w:jc w:val="left"/>
            </w:pPr>
            <w:r>
              <w:t>Datum dokumentu</w:t>
            </w:r>
          </w:p>
        </w:tc>
        <w:tc>
          <w:tcPr>
            <w:tcW w:w="6205" w:type="dxa"/>
            <w:hideMark/>
          </w:tcPr>
          <w:p w:rsidRPr="00167398" w:rsidR="00597DFF" w:rsidP="003C4B88" w:rsidRDefault="006330F1" w14:paraId="10D59C76" w14:textId="1F096D38">
            <w:pPr>
              <w:jc w:val="left"/>
            </w:pPr>
            <w:r>
              <w:t>24/11/2022</w:t>
            </w:r>
          </w:p>
        </w:tc>
      </w:tr>
    </w:tbl>
    <w:p w:rsidRPr="00167398" w:rsidR="00597DFF" w:rsidP="003C4B88" w:rsidRDefault="00597DFF" w14:paraId="1EB61CEB" w14:textId="39EB934B">
      <w:pPr>
        <w:jc w:val="center"/>
      </w:pPr>
      <w:r>
        <w:t xml:space="preserve">Zpravodaj: </w:t>
      </w:r>
      <w:proofErr w:type="spellStart"/>
      <w:r>
        <w:rPr>
          <w:b/>
        </w:rPr>
        <w:t>Josep</w:t>
      </w:r>
      <w:proofErr w:type="spellEnd"/>
      <w:r>
        <w:rPr>
          <w:b/>
        </w:rPr>
        <w:t xml:space="preserve"> PUXEU ROCAMORA</w:t>
      </w:r>
    </w:p>
    <w:p w:rsidRPr="00167398" w:rsidR="00E32DC6" w:rsidP="003C4B88" w:rsidRDefault="00E32DC6" w14:paraId="1A471F43" w14:textId="4314ABCF">
      <w:pPr>
        <w:jc w:val="center"/>
      </w:pPr>
    </w:p>
    <w:p w:rsidRPr="00167398" w:rsidR="00E32DC6" w:rsidP="003C4B88" w:rsidRDefault="00E32DC6" w14:paraId="35870709" w14:textId="77777777"/>
    <w:p w:rsidRPr="00167398" w:rsidR="00367AEE" w:rsidP="003C4B88" w:rsidRDefault="00367AEE" w14:paraId="1825B8DE" w14:textId="77777777">
      <w:pPr>
        <w:sectPr w:rsidRPr="00167398" w:rsidR="00367AEE" w:rsidSect="008F3C5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418" w:right="1418" w:bottom="1418" w:left="1418" w:header="709" w:footer="709" w:gutter="0"/>
          <w:pgNumType w:start="1"/>
          <w:cols w:space="720"/>
          <w:docGrid w:linePitch="299"/>
        </w:sect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510"/>
        <w:gridCol w:w="5562"/>
      </w:tblGrid>
      <w:tr w:rsidRPr="00167398" w:rsidR="00C15A9D" w:rsidTr="009C3DEA" w14:paraId="79BAD75A" w14:textId="77777777">
        <w:tc>
          <w:tcPr>
            <w:tcW w:w="3510" w:type="dxa"/>
            <w:hideMark/>
          </w:tcPr>
          <w:p w:rsidRPr="00167398" w:rsidR="00597DFF" w:rsidP="003C4B88" w:rsidRDefault="00597DFF" w14:paraId="7B0EF5B9" w14:textId="77777777">
            <w:pPr>
              <w:widowControl w:val="0"/>
              <w:jc w:val="left"/>
            </w:pPr>
            <w:r>
              <w:lastRenderedPageBreak/>
              <w:t>Rozhodnutí plenárního shromáždění</w:t>
            </w:r>
          </w:p>
        </w:tc>
        <w:tc>
          <w:tcPr>
            <w:tcW w:w="5562" w:type="dxa"/>
            <w:hideMark/>
          </w:tcPr>
          <w:p w:rsidRPr="00167398" w:rsidR="00E91D5A" w:rsidP="003C4B88" w:rsidRDefault="00E91D5A" w14:paraId="07F5BF5C" w14:textId="075D31C1">
            <w:pPr>
              <w:widowControl w:val="0"/>
              <w:jc w:val="left"/>
            </w:pPr>
            <w:r>
              <w:t>14/06/2022</w:t>
            </w:r>
          </w:p>
        </w:tc>
      </w:tr>
      <w:tr w:rsidRPr="00167398" w:rsidR="00C15A9D" w:rsidTr="009C3DEA" w14:paraId="105593FB" w14:textId="77777777">
        <w:tc>
          <w:tcPr>
            <w:tcW w:w="3510" w:type="dxa"/>
            <w:hideMark/>
          </w:tcPr>
          <w:p w:rsidRPr="00167398" w:rsidR="00597DFF" w:rsidP="003C4B88" w:rsidRDefault="00597DFF" w14:paraId="0FE49AF9" w14:textId="77777777">
            <w:pPr>
              <w:widowControl w:val="0"/>
              <w:jc w:val="left"/>
            </w:pPr>
            <w:r>
              <w:t>Právní základ</w:t>
            </w:r>
          </w:p>
        </w:tc>
        <w:tc>
          <w:tcPr>
            <w:tcW w:w="5562" w:type="dxa"/>
            <w:hideMark/>
          </w:tcPr>
          <w:p w:rsidRPr="00167398" w:rsidR="00E91D5A" w:rsidP="003C4B88" w:rsidRDefault="00E91D5A" w14:paraId="5019FEEC" w14:textId="75005F86">
            <w:pPr>
              <w:widowControl w:val="0"/>
              <w:jc w:val="left"/>
            </w:pPr>
            <w:r>
              <w:t>čl. 32 odst. 2 jednacího řádu – stanovisko z vlastní iniciativy</w:t>
            </w:r>
          </w:p>
        </w:tc>
      </w:tr>
      <w:tr w:rsidRPr="00167398" w:rsidR="00C15A9D" w:rsidTr="009C3DEA" w14:paraId="303E341A" w14:textId="77777777">
        <w:tc>
          <w:tcPr>
            <w:tcW w:w="3510" w:type="dxa"/>
          </w:tcPr>
          <w:p w:rsidRPr="00167398" w:rsidR="00597DFF" w:rsidP="003C4B88" w:rsidRDefault="00597DFF" w14:paraId="3E1ABB68" w14:textId="77777777">
            <w:pPr>
              <w:widowControl w:val="0"/>
              <w:jc w:val="left"/>
              <w:rPr>
                <w:lang w:bidi="en-GB"/>
              </w:rPr>
            </w:pPr>
          </w:p>
        </w:tc>
        <w:tc>
          <w:tcPr>
            <w:tcW w:w="5562" w:type="dxa"/>
            <w:hideMark/>
          </w:tcPr>
          <w:p w:rsidRPr="00167398" w:rsidR="00E91D5A" w:rsidP="003C4B88" w:rsidRDefault="00E91D5A" w14:paraId="2294599A" w14:textId="29D6C64E">
            <w:pPr>
              <w:widowControl w:val="0"/>
              <w:jc w:val="left"/>
            </w:pPr>
            <w:r>
              <w:t>stanovisko z vlastní iniciativy</w:t>
            </w:r>
          </w:p>
        </w:tc>
      </w:tr>
      <w:tr w:rsidRPr="00167398" w:rsidR="00C15A9D" w:rsidTr="009C3DEA" w14:paraId="5CCF29C8" w14:textId="77777777">
        <w:tc>
          <w:tcPr>
            <w:tcW w:w="3510" w:type="dxa"/>
          </w:tcPr>
          <w:p w:rsidRPr="00167398" w:rsidR="00597DFF" w:rsidP="003C4B88" w:rsidRDefault="00597DFF" w14:paraId="5D61840A" w14:textId="77777777">
            <w:pPr>
              <w:widowControl w:val="0"/>
              <w:jc w:val="left"/>
              <w:rPr>
                <w:lang w:bidi="en-GB"/>
              </w:rPr>
            </w:pPr>
          </w:p>
        </w:tc>
        <w:tc>
          <w:tcPr>
            <w:tcW w:w="5562" w:type="dxa"/>
          </w:tcPr>
          <w:p w:rsidRPr="00167398" w:rsidR="00597DFF" w:rsidP="003C4B88" w:rsidRDefault="00597DFF" w14:paraId="01134F20" w14:textId="77777777">
            <w:pPr>
              <w:widowControl w:val="0"/>
              <w:jc w:val="left"/>
              <w:rPr>
                <w:lang w:bidi="en-GB"/>
              </w:rPr>
            </w:pPr>
          </w:p>
        </w:tc>
      </w:tr>
      <w:tr w:rsidRPr="00167398" w:rsidR="00C15A9D" w:rsidTr="009C3DEA" w14:paraId="1C6C8BD1" w14:textId="77777777">
        <w:tc>
          <w:tcPr>
            <w:tcW w:w="3510" w:type="dxa"/>
            <w:hideMark/>
          </w:tcPr>
          <w:p w:rsidRPr="00167398" w:rsidR="00597DFF" w:rsidP="003C4B88" w:rsidRDefault="00597DFF" w14:paraId="1282CF7A" w14:textId="77777777">
            <w:pPr>
              <w:widowControl w:val="0"/>
              <w:jc w:val="left"/>
            </w:pPr>
            <w:r>
              <w:t>Odpovědná sekce</w:t>
            </w:r>
          </w:p>
        </w:tc>
        <w:tc>
          <w:tcPr>
            <w:tcW w:w="5562" w:type="dxa"/>
            <w:hideMark/>
          </w:tcPr>
          <w:p w:rsidRPr="00167398" w:rsidR="00597DFF" w:rsidP="003C4B88" w:rsidRDefault="00597DFF" w14:paraId="3F5E36E4" w14:textId="77777777">
            <w:pPr>
              <w:widowControl w:val="0"/>
              <w:jc w:val="left"/>
            </w:pPr>
            <w:r>
              <w:t>Vnější vztahy</w:t>
            </w:r>
          </w:p>
        </w:tc>
      </w:tr>
      <w:tr w:rsidRPr="00167398" w:rsidR="00C15A9D" w:rsidTr="009C3DEA" w14:paraId="6C677318" w14:textId="77777777">
        <w:tc>
          <w:tcPr>
            <w:tcW w:w="3510" w:type="dxa"/>
            <w:hideMark/>
          </w:tcPr>
          <w:p w:rsidRPr="00167398" w:rsidR="00597DFF" w:rsidP="003C4B88" w:rsidRDefault="00597DFF" w14:paraId="0B3C933E" w14:textId="77777777">
            <w:pPr>
              <w:widowControl w:val="0"/>
              <w:jc w:val="left"/>
            </w:pPr>
            <w:r>
              <w:t>Přijato v sekci</w:t>
            </w:r>
          </w:p>
        </w:tc>
        <w:tc>
          <w:tcPr>
            <w:tcW w:w="5562" w:type="dxa"/>
            <w:hideMark/>
          </w:tcPr>
          <w:p w:rsidRPr="00167398" w:rsidR="00597DFF" w:rsidP="003C4B88" w:rsidRDefault="0084141A" w14:paraId="2DE95B7C" w14:textId="653F53C3">
            <w:pPr>
              <w:widowControl w:val="0"/>
              <w:jc w:val="left"/>
            </w:pPr>
            <w:r>
              <w:t>16/11/2022</w:t>
            </w:r>
          </w:p>
        </w:tc>
      </w:tr>
      <w:tr w:rsidRPr="00167398" w:rsidR="00961E43" w:rsidTr="009C3DEA" w14:paraId="08EEA7D0" w14:textId="77777777">
        <w:tc>
          <w:tcPr>
            <w:tcW w:w="3510" w:type="dxa"/>
            <w:hideMark/>
          </w:tcPr>
          <w:p w:rsidRPr="00167398" w:rsidR="00961E43" w:rsidP="003C4B88" w:rsidRDefault="00961E43" w14:paraId="490DB83F" w14:textId="77777777">
            <w:pPr>
              <w:widowControl w:val="0"/>
              <w:jc w:val="left"/>
            </w:pPr>
            <w:r>
              <w:t>Výsledek hlasování</w:t>
            </w:r>
            <w:r>
              <w:br/>
              <w:t>(pro/proti/zdrželi se hlasování)</w:t>
            </w:r>
          </w:p>
        </w:tc>
        <w:tc>
          <w:tcPr>
            <w:tcW w:w="5562" w:type="dxa"/>
            <w:vAlign w:val="bottom"/>
            <w:hideMark/>
          </w:tcPr>
          <w:p w:rsidRPr="00167398" w:rsidR="00961E43" w:rsidP="003C4B88" w:rsidRDefault="0084141A" w14:paraId="2E623742" w14:textId="497D3AA7">
            <w:pPr>
              <w:widowControl w:val="0"/>
              <w:jc w:val="left"/>
            </w:pPr>
            <w:r>
              <w:t>46/1/1</w:t>
            </w:r>
          </w:p>
        </w:tc>
      </w:tr>
      <w:tr w:rsidRPr="00167398" w:rsidR="00C15A9D" w:rsidTr="009C3DEA" w14:paraId="59BDAB93" w14:textId="77777777">
        <w:tc>
          <w:tcPr>
            <w:tcW w:w="3510" w:type="dxa"/>
            <w:hideMark/>
          </w:tcPr>
          <w:p w:rsidRPr="00167398" w:rsidR="00597DFF" w:rsidP="003C4B88" w:rsidRDefault="00597DFF" w14:paraId="57B751C2" w14:textId="77777777">
            <w:pPr>
              <w:widowControl w:val="0"/>
              <w:jc w:val="left"/>
            </w:pPr>
            <w:r>
              <w:t>Přijato na plenárním zasedání</w:t>
            </w:r>
          </w:p>
        </w:tc>
        <w:tc>
          <w:tcPr>
            <w:tcW w:w="5562" w:type="dxa"/>
            <w:hideMark/>
          </w:tcPr>
          <w:p w:rsidRPr="00167398" w:rsidR="00597DFF" w:rsidP="003C4B88" w:rsidRDefault="00597DFF" w14:paraId="2EC86B00" w14:textId="33724377">
            <w:pPr>
              <w:widowControl w:val="0"/>
              <w:jc w:val="left"/>
            </w:pPr>
            <w:r>
              <w:t>DD/MM/YYYY</w:t>
            </w:r>
          </w:p>
        </w:tc>
      </w:tr>
      <w:tr w:rsidRPr="00167398" w:rsidR="00C15A9D" w:rsidTr="009C3DEA" w14:paraId="74BB5BE8" w14:textId="77777777">
        <w:tc>
          <w:tcPr>
            <w:tcW w:w="3510" w:type="dxa"/>
            <w:hideMark/>
          </w:tcPr>
          <w:p w:rsidRPr="00167398" w:rsidR="00597DFF" w:rsidP="003C4B88" w:rsidRDefault="00597DFF" w14:paraId="5C6C18AB" w14:textId="77777777">
            <w:pPr>
              <w:widowControl w:val="0"/>
              <w:jc w:val="left"/>
            </w:pPr>
            <w:r>
              <w:t>Plenární zasedání č.</w:t>
            </w:r>
          </w:p>
        </w:tc>
        <w:tc>
          <w:tcPr>
            <w:tcW w:w="5562" w:type="dxa"/>
            <w:hideMark/>
          </w:tcPr>
          <w:p w:rsidRPr="00167398" w:rsidR="00597DFF" w:rsidP="003C4B88" w:rsidRDefault="00597DFF" w14:paraId="39FB3209" w14:textId="77777777">
            <w:pPr>
              <w:widowControl w:val="0"/>
              <w:jc w:val="left"/>
            </w:pPr>
            <w:r>
              <w:t>…</w:t>
            </w:r>
          </w:p>
        </w:tc>
      </w:tr>
      <w:tr w:rsidRPr="00167398" w:rsidR="00C15A9D" w:rsidTr="009C3DEA" w14:paraId="57E8A9A5" w14:textId="77777777">
        <w:tc>
          <w:tcPr>
            <w:tcW w:w="3510" w:type="dxa"/>
            <w:hideMark/>
          </w:tcPr>
          <w:p w:rsidRPr="00167398" w:rsidR="00597DFF" w:rsidP="003C4B88" w:rsidRDefault="00597DFF" w14:paraId="52C1CEEA" w14:textId="77777777">
            <w:pPr>
              <w:widowControl w:val="0"/>
              <w:jc w:val="left"/>
            </w:pPr>
            <w:r>
              <w:t>Výsledek hlasování</w:t>
            </w:r>
            <w:r>
              <w:br/>
              <w:t>(pro/proti/zdrželi se hlasování)</w:t>
            </w:r>
          </w:p>
        </w:tc>
        <w:tc>
          <w:tcPr>
            <w:tcW w:w="5562" w:type="dxa"/>
            <w:vAlign w:val="bottom"/>
            <w:hideMark/>
          </w:tcPr>
          <w:p w:rsidRPr="00167398" w:rsidR="00597DFF" w:rsidP="003C4B88" w:rsidRDefault="00597DFF" w14:paraId="702BB5C1" w14:textId="77777777">
            <w:pPr>
              <w:widowControl w:val="0"/>
              <w:jc w:val="left"/>
            </w:pPr>
            <w:r>
              <w:t>…/…/…</w:t>
            </w:r>
          </w:p>
        </w:tc>
      </w:tr>
    </w:tbl>
    <w:p w:rsidRPr="00167398" w:rsidR="00646AC2" w:rsidP="003C4B88" w:rsidRDefault="00646AC2" w14:paraId="31C5F5A0" w14:textId="4C8F5DDA"/>
    <w:p w:rsidRPr="00167398" w:rsidR="00597DFF" w:rsidP="003C4B88" w:rsidRDefault="00597DFF" w14:paraId="6BFC1B2E" w14:textId="77777777">
      <w:pPr>
        <w:keepNext/>
        <w:jc w:val="center"/>
        <w:rPr>
          <w:b/>
          <w:kern w:val="28"/>
        </w:rPr>
      </w:pPr>
    </w:p>
    <w:p w:rsidRPr="00167398" w:rsidR="00455910" w:rsidP="003C4B88" w:rsidRDefault="00597DFF" w14:paraId="57C1CE72" w14:textId="5F964DAF">
      <w:pPr>
        <w:rPr>
          <w:color w:val="000000" w:themeColor="text1"/>
        </w:rPr>
      </w:pPr>
      <w:r>
        <w:br w:type="page"/>
      </w:r>
    </w:p>
    <w:p w:rsidRPr="00167398" w:rsidR="00F12E0A" w:rsidP="003C4B88" w:rsidRDefault="004229CD" w14:paraId="5D10AC28" w14:textId="2AB0BC39">
      <w:pPr>
        <w:pStyle w:val="Heading1"/>
        <w:numPr>
          <w:ilvl w:val="0"/>
          <w:numId w:val="12"/>
        </w:numPr>
        <w:tabs>
          <w:tab w:val="clear" w:pos="0"/>
        </w:tabs>
        <w:ind w:left="567" w:hanging="567"/>
      </w:pPr>
      <w:r>
        <w:rPr>
          <w:b/>
        </w:rPr>
        <w:t>Závěry a doporučení</w:t>
      </w:r>
    </w:p>
    <w:p w:rsidRPr="00167398" w:rsidR="001F7259" w:rsidP="003C4B88" w:rsidRDefault="001F7259" w14:paraId="642FD7DA" w14:textId="0A9F5A61"/>
    <w:p w:rsidRPr="00167398" w:rsidR="001F7259" w:rsidP="003C4B88" w:rsidRDefault="001F7259" w14:paraId="34BD9DE7" w14:textId="643FF833">
      <w:pPr>
        <w:pStyle w:val="ListParagraph"/>
        <w:numPr>
          <w:ilvl w:val="1"/>
          <w:numId w:val="12"/>
        </w:numPr>
        <w:tabs>
          <w:tab w:val="clear" w:pos="0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Soustředit úsilí na zlepšení dialogu a posílení spolupráce mezi oběma regiony pomocí horizontálního přístupu a víceúrovňového dialogu.</w:t>
      </w:r>
    </w:p>
    <w:p w:rsidRPr="00167398" w:rsidR="004229CD" w:rsidP="003C4B88" w:rsidRDefault="004229CD" w14:paraId="6EC92B3C" w14:textId="77777777">
      <w:pPr>
        <w:pStyle w:val="ListParagraph"/>
        <w:spacing w:after="0" w:line="288" w:lineRule="auto"/>
        <w:ind w:left="0"/>
        <w:jc w:val="both"/>
        <w:rPr>
          <w:rFonts w:ascii="Times New Roman" w:hAnsi="Times New Roman" w:cs="Times New Roman"/>
        </w:rPr>
      </w:pPr>
    </w:p>
    <w:p w:rsidRPr="00167398" w:rsidR="004229CD" w:rsidP="003C4B88" w:rsidRDefault="004229CD" w14:paraId="581E3FBE" w14:textId="04121513">
      <w:pPr>
        <w:pStyle w:val="ListParagraph"/>
        <w:numPr>
          <w:ilvl w:val="1"/>
          <w:numId w:val="12"/>
        </w:numPr>
        <w:tabs>
          <w:tab w:val="clear" w:pos="0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Vzájemné vztahy mezi dvěma regiony se upevňují na základě sdílených hodnot a cílů. Je však zapotřebí, aby byly atraktivní také z hlediska zdrojů, přenosu technologií a výsledků </w:t>
      </w:r>
      <w:r w:rsidR="003C4B88">
        <w:rPr>
          <w:rFonts w:ascii="Times New Roman" w:hAnsi="Times New Roman"/>
        </w:rPr>
        <w:t>a z </w:t>
      </w:r>
      <w:r>
        <w:rPr>
          <w:rFonts w:ascii="Times New Roman" w:hAnsi="Times New Roman"/>
        </w:rPr>
        <w:t>hlediska svého sociálního rozměru.</w:t>
      </w:r>
    </w:p>
    <w:p w:rsidRPr="00167398" w:rsidR="004229CD" w:rsidP="003C4B88" w:rsidRDefault="004229CD" w14:paraId="47D24464" w14:textId="77777777">
      <w:pPr>
        <w:pStyle w:val="ListParagraph"/>
        <w:spacing w:after="0" w:line="288" w:lineRule="auto"/>
        <w:ind w:left="0"/>
        <w:jc w:val="both"/>
        <w:rPr>
          <w:rFonts w:ascii="Times New Roman" w:hAnsi="Times New Roman" w:cs="Times New Roman"/>
        </w:rPr>
      </w:pPr>
    </w:p>
    <w:p w:rsidRPr="00167398" w:rsidR="004229CD" w:rsidP="003C4B88" w:rsidRDefault="004229CD" w14:paraId="53AEF4D2" w14:textId="395A613B">
      <w:pPr>
        <w:pStyle w:val="ListParagraph"/>
        <w:numPr>
          <w:ilvl w:val="1"/>
          <w:numId w:val="12"/>
        </w:numPr>
        <w:tabs>
          <w:tab w:val="clear" w:pos="0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 rámci geopolitického soupeření mezi EU a Latinskou Amerikou umožní vytvoření strategické autonomie posílit spolupráci obou regionů, podpořit rozhodnutí přijmout multilateralismus </w:t>
      </w:r>
      <w:r w:rsidR="003C4B88">
        <w:rPr>
          <w:rFonts w:ascii="Times New Roman" w:hAnsi="Times New Roman"/>
        </w:rPr>
        <w:t>a </w:t>
      </w:r>
      <w:r>
        <w:rPr>
          <w:rFonts w:ascii="Times New Roman" w:hAnsi="Times New Roman"/>
        </w:rPr>
        <w:t xml:space="preserve">posílit přítomnost obou regionů na mezinárodní scéně a jejich mezinárodní úlohu, pokud jde </w:t>
      </w:r>
      <w:r w:rsidR="003C4B88">
        <w:rPr>
          <w:rFonts w:ascii="Times New Roman" w:hAnsi="Times New Roman"/>
        </w:rPr>
        <w:t>o </w:t>
      </w:r>
      <w:r>
        <w:rPr>
          <w:rFonts w:ascii="Times New Roman" w:hAnsi="Times New Roman"/>
        </w:rPr>
        <w:t>strategické otázky.</w:t>
      </w:r>
    </w:p>
    <w:p w:rsidRPr="00167398" w:rsidR="004229CD" w:rsidP="003C4B88" w:rsidRDefault="004229CD" w14:paraId="70DDD533" w14:textId="77777777">
      <w:pPr>
        <w:pStyle w:val="ListParagraph"/>
        <w:spacing w:after="0" w:line="288" w:lineRule="auto"/>
        <w:ind w:left="0"/>
        <w:jc w:val="both"/>
        <w:rPr>
          <w:rFonts w:ascii="Times New Roman" w:hAnsi="Times New Roman" w:cs="Times New Roman"/>
        </w:rPr>
      </w:pPr>
    </w:p>
    <w:p w:rsidRPr="00167398" w:rsidR="004229CD" w:rsidP="003C4B88" w:rsidRDefault="004229CD" w14:paraId="26DA620B" w14:textId="7D26A615">
      <w:pPr>
        <w:pStyle w:val="ListParagraph"/>
        <w:numPr>
          <w:ilvl w:val="1"/>
          <w:numId w:val="12"/>
        </w:numPr>
        <w:tabs>
          <w:tab w:val="clear" w:pos="0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Evropa a Latinská Amerika prosazují demokracii a právní stát a rovněž environmentální udržitelnost, což s sebou nutně musí nést ochranu a záruky, aby se tak občanská společnost mohla stát hlavním aktérem rozvoje a zásadním způsobem se angažovat v rámci překonávání krizí a aby bylo možné podpořit potřebný sociální dialog, a to v zájmu dosažení nové společenské smlouvy. </w:t>
      </w:r>
    </w:p>
    <w:p w:rsidRPr="00167398" w:rsidR="004229CD" w:rsidP="003C4B88" w:rsidRDefault="004229CD" w14:paraId="22C0C3DB" w14:textId="77777777">
      <w:pPr>
        <w:pStyle w:val="ListParagraph"/>
        <w:spacing w:after="0" w:line="288" w:lineRule="auto"/>
        <w:ind w:left="0"/>
        <w:jc w:val="both"/>
        <w:rPr>
          <w:rFonts w:ascii="Times New Roman" w:hAnsi="Times New Roman" w:cs="Times New Roman"/>
        </w:rPr>
      </w:pPr>
    </w:p>
    <w:p w:rsidRPr="00167398" w:rsidR="004229CD" w:rsidP="003C4B88" w:rsidRDefault="004229CD" w14:paraId="4BE7A671" w14:textId="7EA9741A">
      <w:pPr>
        <w:pStyle w:val="ListParagraph"/>
        <w:numPr>
          <w:ilvl w:val="1"/>
          <w:numId w:val="12"/>
        </w:numPr>
        <w:tabs>
          <w:tab w:val="clear" w:pos="0"/>
        </w:tabs>
        <w:spacing w:after="0" w:line="288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Je nezbytné dodržovat zásadu „nikoho neopomíjet“ a rozšířit pojetí zranitelnosti tak, aby zahrnovalo nejen otázku příjmů, ale také hledisko dopadu na různé skupiny obyvatelstva, mj. osoby se zdravotním postižením, starší osoby a děti.</w:t>
      </w:r>
    </w:p>
    <w:p w:rsidRPr="00167398" w:rsidR="004229CD" w:rsidP="003C4B88" w:rsidRDefault="004229CD" w14:paraId="27064624" w14:textId="77777777">
      <w:pPr>
        <w:pStyle w:val="ListParagraph"/>
        <w:spacing w:after="0" w:line="288" w:lineRule="auto"/>
        <w:ind w:left="0"/>
        <w:rPr>
          <w:rFonts w:ascii="Times New Roman" w:hAnsi="Times New Roman" w:cs="Times New Roman"/>
        </w:rPr>
      </w:pPr>
    </w:p>
    <w:p w:rsidRPr="00646829" w:rsidR="004229CD" w:rsidP="00202CF8" w:rsidRDefault="004229CD" w14:paraId="6B046E6C" w14:textId="1B4A6A25">
      <w:pPr>
        <w:pStyle w:val="ListParagraph"/>
        <w:numPr>
          <w:ilvl w:val="1"/>
          <w:numId w:val="12"/>
        </w:numPr>
        <w:tabs>
          <w:tab w:val="clear" w:pos="0"/>
        </w:tabs>
        <w:spacing w:after="0" w:line="288" w:lineRule="auto"/>
        <w:ind w:left="567" w:hanging="567"/>
        <w:jc w:val="both"/>
      </w:pPr>
      <w:r>
        <w:rPr>
          <w:rFonts w:ascii="Times New Roman" w:hAnsi="Times New Roman"/>
        </w:rPr>
        <w:t>Ze sociálního napětí v Latinské Americe a ohrožení, jemuž čelí demokracie po celém světě, je patrno, že je třeba přehodnotit způsob, jakým se přistupuje k rozvoji, připravit větší počet politik, které budou také kvalitnější, zajistit větší začlenění a pluralismus a porozumět hluboce zakořeněným důvodům nespokojenosti, aby bylo možné je přetransformovat směrem ke společenskému blahobytu. Evropa a Latinská Amerika mohou být partnery v rámci aliance pro demokracii, udržitelnost, sociální spravedlnost a multilateralismus</w:t>
      </w:r>
      <w:r w:rsidRPr="00646829" w:rsidR="002809E3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/>
        </w:rPr>
        <w:t>.</w:t>
      </w:r>
    </w:p>
    <w:p w:rsidRPr="00646829" w:rsidR="006330F1" w:rsidP="003C4B88" w:rsidRDefault="006330F1" w14:paraId="10D6D620" w14:textId="77777777"/>
    <w:p w:rsidRPr="00167398" w:rsidR="00455910" w:rsidP="003C4B88" w:rsidRDefault="00B06E2D" w14:paraId="31DDE727" w14:textId="303DA454">
      <w:pPr>
        <w:pStyle w:val="Heading1"/>
        <w:numPr>
          <w:ilvl w:val="0"/>
          <w:numId w:val="12"/>
        </w:numPr>
        <w:tabs>
          <w:tab w:val="clear" w:pos="0"/>
        </w:tabs>
        <w:ind w:left="567" w:hanging="567"/>
      </w:pPr>
      <w:r>
        <w:rPr>
          <w:b/>
        </w:rPr>
        <w:t xml:space="preserve">Obecné připomínky </w:t>
      </w:r>
    </w:p>
    <w:p w:rsidRPr="00167398" w:rsidR="00455910" w:rsidP="003C4B88" w:rsidRDefault="00455910" w14:paraId="42924934" w14:textId="77777777">
      <w:pPr>
        <w:ind w:left="567" w:hanging="567"/>
      </w:pPr>
    </w:p>
    <w:p w:rsidRPr="00167398" w:rsidR="00455910" w:rsidP="003C4B88" w:rsidRDefault="00455910" w14:paraId="28F9A2EE" w14:textId="69942601">
      <w:pPr>
        <w:numPr>
          <w:ilvl w:val="1"/>
          <w:numId w:val="16"/>
        </w:numPr>
        <w:ind w:left="567" w:hanging="567"/>
      </w:pPr>
      <w:r>
        <w:t xml:space="preserve">Po skončení expanzivního cyklu dochází v Latinské Americe v oblasti surovin k postupnému hospodářskému zpomalování. Před </w:t>
      </w:r>
      <w:proofErr w:type="spellStart"/>
      <w:r>
        <w:t>koronavirovou</w:t>
      </w:r>
      <w:proofErr w:type="spellEnd"/>
      <w:r>
        <w:t xml:space="preserve"> krizí dosahoval průměrný růst pouhých 0,3</w:t>
      </w:r>
      <w:r w:rsidR="00202CF8">
        <w:t> </w:t>
      </w:r>
      <w:r>
        <w:t>%. Období let 2014–2020 bylo obdobím nejnižšího hospodářského růstu za posledních sedm</w:t>
      </w:r>
      <w:r w:rsidR="00202CF8">
        <w:t> </w:t>
      </w:r>
      <w:r>
        <w:t>desetiletí, přičemž veřejný dluh dosáhl rekordních výšin.</w:t>
      </w:r>
    </w:p>
    <w:p w:rsidRPr="00167398" w:rsidR="00455910" w:rsidP="003C4B88" w:rsidRDefault="00455910" w14:paraId="3ABA1700" w14:textId="77777777">
      <w:pPr>
        <w:ind w:left="567" w:hanging="567"/>
      </w:pPr>
    </w:p>
    <w:p w:rsidRPr="00167398" w:rsidR="00455910" w:rsidP="008F3C55" w:rsidRDefault="00455910" w14:paraId="0BEC3D2F" w14:textId="03691AEA">
      <w:pPr>
        <w:keepNext/>
        <w:keepLines/>
        <w:numPr>
          <w:ilvl w:val="1"/>
          <w:numId w:val="16"/>
        </w:numPr>
        <w:ind w:left="567" w:hanging="567"/>
      </w:pPr>
      <w:r>
        <w:t xml:space="preserve">Zdravotní krize způsobená </w:t>
      </w:r>
      <w:proofErr w:type="spellStart"/>
      <w:r>
        <w:t>koronavirem</w:t>
      </w:r>
      <w:proofErr w:type="spellEnd"/>
      <w:r>
        <w:t xml:space="preserve"> měla v tomto regionu katastrofální následky, byl zde překonán celosvětový průměr počtu případů a úmrtí. To znamenalo velkou zátěž pro systémy zdravotní péče, které měly již tak potíže léčit endemická onemocnění a dokonce poskytovat primární zdravotní péči</w:t>
      </w:r>
      <w:r w:rsidRPr="00167398">
        <w:rPr>
          <w:sz w:val="24"/>
          <w:vertAlign w:val="superscript"/>
        </w:rPr>
        <w:footnoteReference w:id="3"/>
      </w:r>
      <w:r>
        <w:t>.</w:t>
      </w:r>
    </w:p>
    <w:p w:rsidRPr="00167398" w:rsidR="00455910" w:rsidP="003C4B88" w:rsidRDefault="00455910" w14:paraId="7A283B6E" w14:textId="79290E40">
      <w:pPr>
        <w:ind w:left="567" w:hanging="567"/>
      </w:pPr>
    </w:p>
    <w:p w:rsidRPr="00167398" w:rsidR="00455910" w:rsidP="003C4B88" w:rsidRDefault="00455910" w14:paraId="00F3FAD0" w14:textId="56D241FB">
      <w:pPr>
        <w:numPr>
          <w:ilvl w:val="1"/>
          <w:numId w:val="16"/>
        </w:numPr>
        <w:ind w:left="567" w:hanging="567"/>
      </w:pPr>
      <w:r>
        <w:t xml:space="preserve">Pokud jde o krizi způsobenou pandemií, většina zemí se jí snažila předejít tím, že zaváděly omezení pohybu a připravovaly podpory a transfery pro ohrožená odvětví. Kromě toho byly provedeny nebývalé </w:t>
      </w:r>
      <w:proofErr w:type="spellStart"/>
      <w:r>
        <w:t>proticyklické</w:t>
      </w:r>
      <w:proofErr w:type="spellEnd"/>
      <w:r>
        <w:t xml:space="preserve"> fiskální a měnové politiky</w:t>
      </w:r>
      <w:r w:rsidRPr="00167398">
        <w:rPr>
          <w:sz w:val="24"/>
          <w:vertAlign w:val="superscript"/>
        </w:rPr>
        <w:footnoteReference w:id="4"/>
      </w:r>
      <w:r>
        <w:t xml:space="preserve">. Navzdory tomu došlo kvůli již existujícím strukturálním nedostatkům a fiskálním omezením, pokud jde o opatření přijímaná </w:t>
      </w:r>
      <w:r w:rsidR="003C4B88">
        <w:t>v </w:t>
      </w:r>
      <w:r>
        <w:t xml:space="preserve">reakci na krizi, k vysokým lidským a ekonomickým ztrátám a zhoršení situace v oblasti sociálního začlenění. </w:t>
      </w:r>
    </w:p>
    <w:p w:rsidRPr="00167398" w:rsidR="00181487" w:rsidP="003C4B88" w:rsidRDefault="00181487" w14:paraId="3F1FBB65" w14:textId="77777777"/>
    <w:p w:rsidRPr="00167398" w:rsidR="00181487" w:rsidP="003C4B88" w:rsidRDefault="00A553D7" w14:paraId="07AD5D73" w14:textId="4F130523">
      <w:pPr>
        <w:numPr>
          <w:ilvl w:val="1"/>
          <w:numId w:val="16"/>
        </w:numPr>
        <w:ind w:left="567" w:hanging="567"/>
      </w:pPr>
      <w:r>
        <w:t>Průměrná inflace v tomto regionu roste, přičemž v roce 2021 dosáhla 9,8 % a pro rok 2022 se očekává, že v důsledku války vystoupá na 11,2 %</w:t>
      </w:r>
      <w:r w:rsidRPr="00646829" w:rsidR="00C90F06">
        <w:rPr>
          <w:rStyle w:val="FootnoteReference"/>
          <w:sz w:val="24"/>
          <w:szCs w:val="24"/>
        </w:rPr>
        <w:footnoteReference w:id="5"/>
      </w:r>
      <w:r>
        <w:t>. Následkem toho se prohlubují rozdíly, které brání rozvoji.</w:t>
      </w:r>
    </w:p>
    <w:p w:rsidRPr="00167398" w:rsidR="00304E5C" w:rsidP="003C4B88" w:rsidRDefault="00304E5C" w14:paraId="33202EC0" w14:textId="77777777"/>
    <w:p w:rsidRPr="00646829" w:rsidR="00304E5C" w:rsidP="003C4B88" w:rsidRDefault="00304E5C" w14:paraId="3D485140" w14:textId="2BC19514">
      <w:pPr>
        <w:numPr>
          <w:ilvl w:val="1"/>
          <w:numId w:val="16"/>
        </w:numPr>
        <w:ind w:left="567" w:hanging="567"/>
        <w:rPr>
          <w:bCs/>
        </w:rPr>
      </w:pPr>
      <w:r>
        <w:rPr>
          <w:b/>
        </w:rPr>
        <w:t>Latinská Amerika čelí tzv. rozvojovým pastem</w:t>
      </w:r>
      <w:r w:rsidRPr="00167398">
        <w:rPr>
          <w:b/>
          <w:bCs/>
          <w:sz w:val="24"/>
          <w:vertAlign w:val="superscript"/>
        </w:rPr>
        <w:footnoteReference w:id="6"/>
      </w:r>
    </w:p>
    <w:p w:rsidRPr="00167398" w:rsidR="00304E5C" w:rsidP="003C4B88" w:rsidRDefault="00304E5C" w14:paraId="1A61EAE8" w14:textId="77777777">
      <w:pPr>
        <w:ind w:left="567" w:hanging="567"/>
      </w:pPr>
    </w:p>
    <w:p w:rsidRPr="00167398" w:rsidR="00304E5C" w:rsidP="003C4B88" w:rsidRDefault="00A553D7" w14:paraId="397D73EA" w14:textId="3D5A7BAD">
      <w:pPr>
        <w:numPr>
          <w:ilvl w:val="2"/>
          <w:numId w:val="16"/>
        </w:numPr>
        <w:ind w:left="567" w:hanging="567"/>
      </w:pPr>
      <w:r>
        <w:t xml:space="preserve">Past produktivity znamená, že je nutné diverzifikovat hospodářské struktury a poskytovat sofistikovanější produkty a služby. Opětovné přeorientování ekonomiky na primární sektor nezaručí patřičné začlenění do globálních hodnotových řetězců a dostatečně nemotivuje </w:t>
      </w:r>
      <w:r w:rsidR="003C4B88">
        <w:t>k </w:t>
      </w:r>
      <w:r>
        <w:t xml:space="preserve">investování. Navíc pandemie zasáhla zejména mikropodniky a malé a střední podniky, pro něž je obtížnější zavádět nové technologie, zatímco válka oslabuje odvětví zemědělství. </w:t>
      </w:r>
    </w:p>
    <w:p w:rsidRPr="00167398" w:rsidR="00304E5C" w:rsidP="003C4B88" w:rsidRDefault="00304E5C" w14:paraId="2FE85335" w14:textId="77777777">
      <w:pPr>
        <w:ind w:left="567" w:hanging="567"/>
      </w:pPr>
    </w:p>
    <w:p w:rsidRPr="00167398" w:rsidR="00304E5C" w:rsidP="003C4B88" w:rsidRDefault="00304E5C" w14:paraId="1CD4A33D" w14:textId="5F33A71E">
      <w:pPr>
        <w:numPr>
          <w:ilvl w:val="2"/>
          <w:numId w:val="16"/>
        </w:numPr>
        <w:ind w:left="567" w:hanging="567"/>
      </w:pPr>
      <w:r>
        <w:t xml:space="preserve">Aby bylo možné překonat past sociální zranitelnosti, je nezbytné posílit instituce, v jejichž působnosti jsou otázky práce a sociální ochrany, a to tam, kde je třeba vytvořit více kvalitních pracovních míst inkluzivního charakteru, a rozbít tak začarovaný kruh zranitelnosti, nestálých příjmů a nedostatečné sociální ochrany. </w:t>
      </w:r>
    </w:p>
    <w:p w:rsidRPr="00167398" w:rsidR="00304E5C" w:rsidP="003C4B88" w:rsidRDefault="00304E5C" w14:paraId="12A4EB9E" w14:textId="77777777">
      <w:pPr>
        <w:ind w:left="567" w:hanging="567"/>
      </w:pPr>
    </w:p>
    <w:p w:rsidRPr="00167398" w:rsidR="00304E5C" w:rsidP="003C4B88" w:rsidRDefault="00304E5C" w14:paraId="2199359F" w14:textId="0E49E614">
      <w:pPr>
        <w:numPr>
          <w:ilvl w:val="2"/>
          <w:numId w:val="16"/>
        </w:numPr>
        <w:ind w:left="567" w:hanging="567"/>
      </w:pPr>
      <w:r>
        <w:t xml:space="preserve">Aby se vyřešila institucionální past, jsou zapotřebí lepší instituce a politiky v oblasti začleňování, které by umožnily obnovit důvěru, zlepšit kvalitu veřejných služeb, naplnit očekávání široké střední třídy a zaručit dostatečnou odolnost vůči populistickým </w:t>
      </w:r>
      <w:r w:rsidR="003C4B88">
        <w:t>a </w:t>
      </w:r>
      <w:r>
        <w:t xml:space="preserve">autoritářským nutkáním. </w:t>
      </w:r>
    </w:p>
    <w:p w:rsidRPr="00167398" w:rsidR="00304E5C" w:rsidP="003C4B88" w:rsidRDefault="00304E5C" w14:paraId="6CADF3DF" w14:textId="77777777"/>
    <w:p w:rsidRPr="00167398" w:rsidR="00304E5C" w:rsidP="003C4B88" w:rsidRDefault="00304E5C" w14:paraId="0642A90B" w14:textId="34D16DE7">
      <w:pPr>
        <w:numPr>
          <w:ilvl w:val="2"/>
          <w:numId w:val="16"/>
        </w:numPr>
        <w:ind w:left="567" w:hanging="567"/>
      </w:pPr>
      <w:r>
        <w:t>Past environmentální zranitelnosti je dána tendencí ke koncentraci výroby v odvětvích, v nichž jsou intenzivně využívány přírodní zdroje, a pro její překonání je třeba vynaložit vysoké náklady na pozměnění modelu, pro který jsou typické vysoké emise uhlíku a využívání neobnovitelných zdrojů.</w:t>
      </w:r>
    </w:p>
    <w:p w:rsidRPr="00167398" w:rsidR="00455910" w:rsidP="003C4B88" w:rsidRDefault="00455910" w14:paraId="1CE75EC0" w14:textId="77777777">
      <w:pPr>
        <w:ind w:left="567" w:hanging="567"/>
      </w:pPr>
    </w:p>
    <w:p w:rsidRPr="00167398" w:rsidR="00023EBA" w:rsidP="003C4B88" w:rsidRDefault="00455910" w14:paraId="0F3790DF" w14:textId="4BA41DAD">
      <w:pPr>
        <w:keepNext/>
        <w:keepLines/>
        <w:numPr>
          <w:ilvl w:val="1"/>
          <w:numId w:val="16"/>
        </w:numPr>
        <w:ind w:left="567" w:hanging="567"/>
      </w:pPr>
      <w:r>
        <w:t>Strukturální problémy a rozvojové pasti</w:t>
      </w:r>
      <w:r w:rsidRPr="00167398">
        <w:rPr>
          <w:sz w:val="24"/>
          <w:vertAlign w:val="superscript"/>
        </w:rPr>
        <w:footnoteReference w:id="7"/>
      </w:r>
      <w:r>
        <w:t xml:space="preserve"> mají dopad na oživení hospodářské a pracovní činnosti. V roce 2020 pokleslo HDP tohoto regionu o 6,8 %</w:t>
      </w:r>
      <w:r w:rsidRPr="00167398">
        <w:rPr>
          <w:sz w:val="24"/>
          <w:vertAlign w:val="superscript"/>
        </w:rPr>
        <w:footnoteReference w:id="8"/>
      </w:r>
      <w:r>
        <w:t xml:space="preserve">. V roce 2021 dosáhl průměrný růst 6,1 % a v roce 2022 se očekává, že region poroste jen o 2,1 %, což je považováno za nedostatečné pro to, aby bylo možné vykompenzovat zhoršování strukturálních potíží. Situaci zhoršuje krize vyvolaná ruskou agresí vůči Ukrajině a růst cen fosilních paliv, zemědělských vstupů a potravin, a to navzdory tomu, že některé země zvýšily svou nabídku základních produktů pro vývoz. </w:t>
      </w:r>
    </w:p>
    <w:p w:rsidRPr="008F3C55" w:rsidR="00455910" w:rsidP="003C4B88" w:rsidRDefault="00455910" w14:paraId="16766F47" w14:textId="77777777">
      <w:pPr>
        <w:keepNext/>
        <w:keepLines/>
        <w:ind w:left="567" w:hanging="567"/>
        <w:rPr>
          <w:sz w:val="16"/>
          <w:szCs w:val="16"/>
        </w:rPr>
      </w:pPr>
    </w:p>
    <w:p w:rsidRPr="00646829" w:rsidR="00455910" w:rsidP="003C4B88" w:rsidRDefault="00455910" w14:paraId="5F2BC17B" w14:textId="65CDFBE1">
      <w:pPr>
        <w:keepNext/>
        <w:keepLines/>
        <w:numPr>
          <w:ilvl w:val="0"/>
          <w:numId w:val="16"/>
        </w:numPr>
        <w:ind w:left="567" w:hanging="567"/>
        <w:rPr>
          <w:bCs/>
        </w:rPr>
      </w:pPr>
      <w:r>
        <w:rPr>
          <w:b/>
        </w:rPr>
        <w:t>Sociální a hospodářský dopad pandemie a války</w:t>
      </w:r>
    </w:p>
    <w:p w:rsidRPr="008F3C55" w:rsidR="00455910" w:rsidP="003C4B88" w:rsidRDefault="00455910" w14:paraId="2072FE35" w14:textId="77777777">
      <w:pPr>
        <w:keepNext/>
        <w:keepLines/>
        <w:ind w:left="567" w:hanging="567"/>
        <w:rPr>
          <w:sz w:val="16"/>
          <w:szCs w:val="16"/>
        </w:rPr>
      </w:pPr>
    </w:p>
    <w:p w:rsidRPr="00167398" w:rsidR="00455910" w:rsidP="003C4B88" w:rsidRDefault="00C74D82" w14:paraId="2CAA78F8" w14:textId="71CDA85D">
      <w:pPr>
        <w:keepNext/>
        <w:keepLines/>
        <w:numPr>
          <w:ilvl w:val="1"/>
          <w:numId w:val="16"/>
        </w:numPr>
        <w:ind w:left="567" w:hanging="567"/>
      </w:pPr>
      <w:r>
        <w:t>Z 22 milionů pracovních míst, k jejichž ztrátě došlo v roce 2020, stále zbývá obnovit 4,5</w:t>
      </w:r>
      <w:r w:rsidR="00202CF8">
        <w:t> </w:t>
      </w:r>
      <w:r>
        <w:t xml:space="preserve">milionu, a to zejména pokud jde o místa vyžadující nejnižší kvalifikaci, pracovní místa žen </w:t>
      </w:r>
      <w:r w:rsidR="003C4B88">
        <w:t>a </w:t>
      </w:r>
      <w:r>
        <w:t xml:space="preserve">mladých lidí a neformální zaměstnání. Mezi lety 2019 a 2020 poklesla míra účasti žen na zaměstnanosti z 51,4 % v roce 2019 na 46,9 % v roce 2020. Ztráta pracovních míst </w:t>
      </w:r>
      <w:r w:rsidR="003C4B88">
        <w:t>v </w:t>
      </w:r>
      <w:r>
        <w:t>domácnostech (20,9 %) se v roce 2019 týkala 11 až 13 milionů žen</w:t>
      </w:r>
      <w:r w:rsidRPr="00167398" w:rsidR="00455910">
        <w:rPr>
          <w:sz w:val="24"/>
          <w:vertAlign w:val="superscript"/>
        </w:rPr>
        <w:footnoteReference w:id="9"/>
      </w:r>
      <w:r>
        <w:t>.</w:t>
      </w:r>
    </w:p>
    <w:p w:rsidRPr="008F3C55" w:rsidR="00455910" w:rsidP="003C4B88" w:rsidRDefault="00455910" w14:paraId="14345B00" w14:textId="77777777">
      <w:pPr>
        <w:ind w:left="567" w:hanging="567"/>
        <w:rPr>
          <w:sz w:val="16"/>
          <w:szCs w:val="16"/>
        </w:rPr>
      </w:pPr>
    </w:p>
    <w:p w:rsidRPr="00167398" w:rsidR="00455910" w:rsidP="003C4B88" w:rsidRDefault="007B4078" w14:paraId="22EF85D5" w14:textId="01C51EE1">
      <w:pPr>
        <w:numPr>
          <w:ilvl w:val="1"/>
          <w:numId w:val="16"/>
        </w:numPr>
        <w:ind w:left="567" w:hanging="567"/>
      </w:pPr>
      <w:r>
        <w:t>Region z hlediska snižování chudoby ztratil více než jedno desetiletí a je možné, že ho čeká další ztracené desetiletí</w:t>
      </w:r>
      <w:r w:rsidRPr="00167398" w:rsidR="00C74D82">
        <w:rPr>
          <w:sz w:val="24"/>
          <w:vertAlign w:val="superscript"/>
        </w:rPr>
        <w:footnoteReference w:id="10"/>
      </w:r>
      <w:r>
        <w:t xml:space="preserve">. V roce 2021 dosahovala míra chudoby 32,1 % a míra extrémní chudoby 13,8 %. Počet chudých osob dosahuje 201 milionů a počet lidí žijících v extrémní chudobě se zvýšil z 81 na 86 milionů. </w:t>
      </w:r>
    </w:p>
    <w:p w:rsidRPr="008F3C55" w:rsidR="00455910" w:rsidP="003C4B88" w:rsidRDefault="00455910" w14:paraId="76E7A08A" w14:textId="77777777">
      <w:pPr>
        <w:ind w:left="567" w:hanging="567"/>
        <w:rPr>
          <w:sz w:val="16"/>
          <w:szCs w:val="16"/>
        </w:rPr>
      </w:pPr>
    </w:p>
    <w:p w:rsidRPr="00167398" w:rsidR="00455910" w:rsidP="003C4B88" w:rsidRDefault="000C76EA" w14:paraId="194268C9" w14:textId="6DF75BD9">
      <w:pPr>
        <w:numPr>
          <w:ilvl w:val="1"/>
          <w:numId w:val="16"/>
        </w:numPr>
        <w:ind w:left="567" w:hanging="567"/>
      </w:pPr>
      <w:r>
        <w:t>Zdravotní a inflační krize také potvrdila zranitelnost obyvatel se středními příjmy, pro které jsou typické nízká míra odvodů do systému sociálního pojištění a nízké pokrytí v rámci nepříspěvkového systému sociální ochrany</w:t>
      </w:r>
      <w:r w:rsidRPr="00167398" w:rsidR="00455910">
        <w:rPr>
          <w:sz w:val="24"/>
          <w:vertAlign w:val="superscript"/>
        </w:rPr>
        <w:footnoteReference w:id="11"/>
      </w:r>
      <w:r>
        <w:t xml:space="preserve">. Neformální ekonomika se snížila, ale navzdory tomu stále vytváří 140 milionů pracovních míst, a to zejména pro pracovníky v zemědělství, ženy a mladé lidi. To s sebou nese větší zranitelnost, nižší sociální mobilitu a menší schopnost státu vybírat daně a poskytovat ochranu. </w:t>
      </w:r>
    </w:p>
    <w:p w:rsidRPr="008F3C55" w:rsidR="00455910" w:rsidP="003C4B88" w:rsidRDefault="00455910" w14:paraId="1A042FFD" w14:textId="77777777">
      <w:pPr>
        <w:ind w:left="567" w:hanging="567"/>
        <w:rPr>
          <w:sz w:val="16"/>
          <w:szCs w:val="16"/>
        </w:rPr>
      </w:pPr>
    </w:p>
    <w:p w:rsidRPr="00167398" w:rsidR="00C069F8" w:rsidP="003C4B88" w:rsidRDefault="00455910" w14:paraId="3DC26808" w14:textId="64E8F57A">
      <w:pPr>
        <w:numPr>
          <w:ilvl w:val="1"/>
          <w:numId w:val="16"/>
        </w:numPr>
        <w:ind w:left="567" w:hanging="567"/>
      </w:pPr>
      <w:r>
        <w:t>Pandemie měla závažný dopad na děti a mladé lidi kvůli omezení ochrany, kterou poskytuje prezenční vzdělávání: 114 milionů dětí přestalo docházet do školy, což v některých zemích trvalo až dva roky. Propast v oblasti konektivity, digitálních dovedností a schopností rodin čelit nucené digitalizaci prohloubila rozdíly mezi studenty s vysokými příjmy a studenty s nízkými příjmy, které odpovídají dvěma rokům vzdělávání</w:t>
      </w:r>
      <w:r w:rsidRPr="00167398" w:rsidR="007B4078">
        <w:rPr>
          <w:rStyle w:val="FootnoteReference"/>
          <w:sz w:val="24"/>
        </w:rPr>
        <w:footnoteReference w:id="12"/>
      </w:r>
      <w:r>
        <w:t xml:space="preserve">. Kromě toho se zvýšila zátěž spojená </w:t>
      </w:r>
      <w:r w:rsidR="003C4B88">
        <w:t>s </w:t>
      </w:r>
      <w:r>
        <w:t xml:space="preserve">pečovatelskou činností, kterou nesou ženy. Zasaženy byly rovněž osoby se zdravotním postižením, a to zhruba 85 milionů těchto osob. Nedostatek dostupných informací </w:t>
      </w:r>
      <w:r w:rsidR="003C4B88">
        <w:t>a </w:t>
      </w:r>
      <w:r>
        <w:t>diskriminace v oblasti zdravotní péče zhoršují nestabilní situaci v oblasti začleňování, kterou ohrožuje také inflace.</w:t>
      </w:r>
    </w:p>
    <w:p w:rsidRPr="00167398" w:rsidR="00455910" w:rsidP="003C4B88" w:rsidRDefault="00455910" w14:paraId="0FDB104E" w14:textId="77777777">
      <w:pPr>
        <w:ind w:left="567" w:hanging="567"/>
      </w:pPr>
    </w:p>
    <w:p w:rsidRPr="00167398" w:rsidR="00455910" w:rsidP="003C4B88" w:rsidRDefault="00455910" w14:paraId="2657AF60" w14:textId="1321EA6C">
      <w:pPr>
        <w:numPr>
          <w:ilvl w:val="1"/>
          <w:numId w:val="16"/>
        </w:numPr>
        <w:ind w:left="567" w:hanging="567"/>
      </w:pPr>
      <w:r>
        <w:t>Vzhledem k omezené nabídce, jež se koncentrovala do zemí globálního Severu, se země Latinské Ameriky dostávaly k očkovacím látkám prostřednictvím dvoustranných jednání. 93</w:t>
      </w:r>
      <w:r w:rsidR="00271132">
        <w:t> </w:t>
      </w:r>
      <w:r>
        <w:t>milionů dávek získaly z programu COVAX, EU vyvezla více než 130 milionů dávek očkovacích látek a dalších 10 milionů dávek darovaly členské státy EU</w:t>
      </w:r>
      <w:r w:rsidRPr="00167398">
        <w:rPr>
          <w:sz w:val="24"/>
          <w:vertAlign w:val="superscript"/>
        </w:rPr>
        <w:footnoteReference w:id="13"/>
      </w:r>
      <w:r>
        <w:t>. Navzdory těmto obtížím dosahuje proočkovanost dvěma dávkami v tomto regionu v průměru 63,3 % obyvatel. Nicméně v některých zemích činí 89 %, zatímco v jiných nebylo naočkováno ani 1</w:t>
      </w:r>
      <w:r w:rsidR="00271132">
        <w:t> </w:t>
      </w:r>
      <w:r>
        <w:t>%</w:t>
      </w:r>
      <w:r w:rsidR="00271132">
        <w:t> </w:t>
      </w:r>
      <w:r>
        <w:t>obyvatel</w:t>
      </w:r>
      <w:r w:rsidRPr="00167398">
        <w:rPr>
          <w:sz w:val="24"/>
          <w:vertAlign w:val="superscript"/>
        </w:rPr>
        <w:footnoteReference w:id="14"/>
      </w:r>
      <w:r>
        <w:t>.</w:t>
      </w:r>
    </w:p>
    <w:p w:rsidRPr="00167398" w:rsidR="00455910" w:rsidP="003C4B88" w:rsidRDefault="00455910" w14:paraId="623512C2" w14:textId="77777777">
      <w:pPr>
        <w:ind w:left="567" w:hanging="567"/>
      </w:pPr>
    </w:p>
    <w:p w:rsidRPr="00167398" w:rsidR="00455910" w:rsidP="003C4B88" w:rsidRDefault="00455910" w14:paraId="0CEFC022" w14:textId="4B8DB695">
      <w:pPr>
        <w:keepNext/>
        <w:numPr>
          <w:ilvl w:val="0"/>
          <w:numId w:val="16"/>
        </w:numPr>
        <w:ind w:left="567" w:hanging="567"/>
        <w:rPr>
          <w:bCs/>
        </w:rPr>
      </w:pPr>
      <w:r>
        <w:rPr>
          <w:b/>
        </w:rPr>
        <w:t>Gradující sociální nepokoje</w:t>
      </w:r>
    </w:p>
    <w:p w:rsidRPr="00167398" w:rsidR="00455910" w:rsidP="003C4B88" w:rsidRDefault="00455910" w14:paraId="16A25BB5" w14:textId="77777777">
      <w:pPr>
        <w:keepNext/>
        <w:ind w:left="567" w:hanging="567"/>
      </w:pPr>
    </w:p>
    <w:p w:rsidRPr="00167398" w:rsidR="00455910" w:rsidP="003C4B88" w:rsidRDefault="008A72CF" w14:paraId="64AA8C0D" w14:textId="36FC0B2A">
      <w:pPr>
        <w:numPr>
          <w:ilvl w:val="1"/>
          <w:numId w:val="16"/>
        </w:numPr>
        <w:ind w:left="567" w:hanging="567"/>
      </w:pPr>
      <w:r>
        <w:t xml:space="preserve">Společenské mobilizace, které v roce 2019 otřásly několika zeměmi, nebyly zcela vyřešeny. </w:t>
      </w:r>
      <w:r w:rsidR="003C4B88">
        <w:t>V </w:t>
      </w:r>
      <w:r>
        <w:t xml:space="preserve">některých případech došlo k nárůstu napětí a kvůli růstu cen potravin se bude tato situace dále zhoršovat. Rozhořčení občanů souvisí s nízkou kvalitou veřejných politik, korupcí, zranitelností středních tříd, sociálním vyloučením a nejistotou. Očekávání v sociální oblasti, která vznikla </w:t>
      </w:r>
      <w:r w:rsidR="003C4B88">
        <w:t>v </w:t>
      </w:r>
      <w:r>
        <w:t xml:space="preserve">prvním desetiletí 21. století, nebyla naplněna, v důsledku čehož se prohloubila propast mezi občany a institucemi. Výsledky regionálního volebního cyklu 2020–2022 ukazují tendenci ke změně, což pro zvolené vedoucí představitele znamená velké výzvy. </w:t>
      </w:r>
    </w:p>
    <w:p w:rsidRPr="00167398" w:rsidR="00455910" w:rsidP="003C4B88" w:rsidRDefault="00455910" w14:paraId="7C5CDACC" w14:textId="77777777">
      <w:pPr>
        <w:ind w:left="567" w:hanging="567"/>
      </w:pPr>
    </w:p>
    <w:p w:rsidRPr="00167398" w:rsidR="00455910" w:rsidP="003C4B88" w:rsidRDefault="00455910" w14:paraId="7DCBB54C" w14:textId="29561B37">
      <w:pPr>
        <w:numPr>
          <w:ilvl w:val="1"/>
          <w:numId w:val="16"/>
        </w:numPr>
        <w:ind w:left="567" w:hanging="567"/>
      </w:pPr>
      <w:r>
        <w:t>Tento region patří mezi oblasti s nejvyššími nerovnostmi na světě. Mezi lety 2019 a 2020 se rozsah vrstev s vysokými a vyššími středními příjmy snížil o 1 %, zatímco rozsah vrstev se středními a nižšími středními příjmy se snížil o 3,5 %; vrstvy s nízkými příjmy (s příjmy nižšími, než je 1,8 násobku hranice chudoby) se rozšířily o 4,7 % a o 3,3 % se zvýšil počet obyvatel žijících v chudobě nebo extrémní chudobě</w:t>
      </w:r>
      <w:r w:rsidRPr="00167398">
        <w:rPr>
          <w:sz w:val="24"/>
          <w:vertAlign w:val="superscript"/>
        </w:rPr>
        <w:footnoteReference w:id="15"/>
      </w:r>
      <w:r>
        <w:t>.</w:t>
      </w:r>
    </w:p>
    <w:p w:rsidRPr="00167398" w:rsidR="00455910" w:rsidP="003C4B88" w:rsidRDefault="00455910" w14:paraId="65B550D2" w14:textId="77777777">
      <w:pPr>
        <w:ind w:left="567" w:hanging="567"/>
      </w:pPr>
    </w:p>
    <w:p w:rsidRPr="00167398" w:rsidR="00455910" w:rsidP="003C4B88" w:rsidRDefault="00446E31" w14:paraId="03222878" w14:textId="34EC8EAA">
      <w:pPr>
        <w:numPr>
          <w:ilvl w:val="1"/>
          <w:numId w:val="16"/>
        </w:numPr>
        <w:ind w:left="567" w:hanging="567"/>
      </w:pPr>
      <w:r>
        <w:t>Dalším faktorem vyvolávajícím nespokojenost je nedostatek bezpečí, kterému obyvatelé Latinské Ameriky čelí, a to zejména ve městech. Násilí je spojeno s organizovanou trestnou činností a nelegálním obchodem a neschopností států je zvládnout.</w:t>
      </w:r>
      <w:r w:rsidRPr="00167398" w:rsidR="004E4B22">
        <w:rPr>
          <w:sz w:val="24"/>
          <w:vertAlign w:val="superscript"/>
        </w:rPr>
        <w:footnoteReference w:id="16"/>
      </w:r>
      <w:r>
        <w:t xml:space="preserve"> Nejde však pouze o násilí v rámci trestné činnosti, znepokojivé je rovněž násilí vůči odborářům, novinářům, ochráncům životního prostředí nebo obráncům lidských práv a podnikatelům a násilí ze strany veřejných orgánů, jež vzrostlo během pandemie a protestních vln.</w:t>
      </w:r>
    </w:p>
    <w:p w:rsidRPr="00167398" w:rsidR="00446E31" w:rsidP="003C4B88" w:rsidRDefault="00446E31" w14:paraId="5A2145DF" w14:textId="77777777">
      <w:pPr>
        <w:ind w:left="567" w:hanging="567"/>
      </w:pPr>
    </w:p>
    <w:p w:rsidRPr="00167398" w:rsidR="00455910" w:rsidP="003C4B88" w:rsidRDefault="00CD148D" w14:paraId="44608759" w14:textId="4E40D540">
      <w:pPr>
        <w:numPr>
          <w:ilvl w:val="1"/>
          <w:numId w:val="16"/>
        </w:numPr>
        <w:ind w:left="567" w:hanging="567"/>
      </w:pPr>
      <w:r>
        <w:t xml:space="preserve">Strukturálním problémem je zranitelnost vůči změně klimatu: jedná se o jeden z nejvíce postižených regionů, v němž může hospodářský dopad dosahovat až 85,852 miliard EUR ročně. Na tyto důsledky je třeba nahlížet skrze jejich sociální rozměr, jejž představuje nedostatek potravin a katastrofy, ke kterým dochází stále častěji. </w:t>
      </w:r>
    </w:p>
    <w:p w:rsidRPr="00167398" w:rsidR="00455910" w:rsidP="003C4B88" w:rsidRDefault="00455910" w14:paraId="2C56C40E" w14:textId="77777777">
      <w:pPr>
        <w:ind w:left="567" w:hanging="567"/>
      </w:pPr>
    </w:p>
    <w:p w:rsidRPr="00167398" w:rsidR="00455910" w:rsidP="003C4B88" w:rsidRDefault="00736B97" w14:paraId="463548E2" w14:textId="0A797353">
      <w:pPr>
        <w:numPr>
          <w:ilvl w:val="1"/>
          <w:numId w:val="16"/>
        </w:numPr>
        <w:ind w:left="567" w:hanging="567"/>
      </w:pPr>
      <w:r>
        <w:t xml:space="preserve">Nejistota, chudoba a autoritářské režimy vyvolaly rozsáhlé přesuny osob po celém kontinentu. Zranitelnost spojená s těmito procesy migrace a azylu způsobila humanitární krizi, na kterou nepřišla odpovídající reakce a jež vyžaduje regionální přístup. </w:t>
      </w:r>
    </w:p>
    <w:p w:rsidRPr="00167398" w:rsidR="00455910" w:rsidP="003C4B88" w:rsidRDefault="00455910" w14:paraId="1DAD8EDD" w14:textId="77777777">
      <w:pPr>
        <w:ind w:left="567" w:hanging="567"/>
      </w:pPr>
    </w:p>
    <w:p w:rsidRPr="00167398" w:rsidR="00455910" w:rsidP="003C4B88" w:rsidRDefault="00455910" w14:paraId="0539E0FE" w14:textId="43941157">
      <w:pPr>
        <w:numPr>
          <w:ilvl w:val="1"/>
          <w:numId w:val="16"/>
        </w:numPr>
        <w:ind w:left="567" w:hanging="567"/>
      </w:pPr>
      <w:r>
        <w:t xml:space="preserve">Demokratické režimy jsou v ohrožení. Demokratické režimy jsou v ohrožení. Elity, strany </w:t>
      </w:r>
      <w:r w:rsidR="003C4B88">
        <w:t>a </w:t>
      </w:r>
      <w:r>
        <w:t>parlamenty procházejí krizí legitimity a důvěry, což spolu s vnímáním korupce a vysokou mírou fragmentace a polarizace způsobilo, že se mechanismy pro přijímání kolektivních rozhodnutí a vyjednávání staly nedostatečnými</w:t>
      </w:r>
      <w:r w:rsidRPr="00167398">
        <w:rPr>
          <w:sz w:val="24"/>
          <w:vertAlign w:val="superscript"/>
        </w:rPr>
        <w:footnoteReference w:id="17"/>
      </w:r>
      <w:r>
        <w:t xml:space="preserve">. Současná situace celosvětové nestability ještě více zdůrazňuje hrozbu autoritářství a nezbytnost posílit demokratické režimy. </w:t>
      </w:r>
    </w:p>
    <w:p w:rsidRPr="00167398" w:rsidR="00455910" w:rsidP="003C4B88" w:rsidRDefault="00455910" w14:paraId="217F141E" w14:textId="77777777">
      <w:pPr>
        <w:ind w:left="567" w:hanging="567"/>
      </w:pPr>
    </w:p>
    <w:p w:rsidRPr="00167398" w:rsidR="00455910" w:rsidP="003C4B88" w:rsidRDefault="00455910" w14:paraId="1879306A" w14:textId="2CE21914">
      <w:pPr>
        <w:keepNext/>
        <w:numPr>
          <w:ilvl w:val="0"/>
          <w:numId w:val="16"/>
        </w:numPr>
        <w:ind w:left="567" w:hanging="567"/>
        <w:rPr>
          <w:b/>
          <w:bCs/>
        </w:rPr>
      </w:pPr>
      <w:r>
        <w:rPr>
          <w:b/>
        </w:rPr>
        <w:t xml:space="preserve">Směrem k nové společenské smlouvě </w:t>
      </w:r>
    </w:p>
    <w:p w:rsidRPr="00167398" w:rsidR="00455910" w:rsidP="003C4B88" w:rsidRDefault="00455910" w14:paraId="240FDC72" w14:textId="77777777">
      <w:pPr>
        <w:keepNext/>
        <w:ind w:left="567" w:hanging="567"/>
      </w:pPr>
    </w:p>
    <w:p w:rsidRPr="00167398" w:rsidR="00455910" w:rsidP="003C4B88" w:rsidRDefault="00455910" w14:paraId="788332E5" w14:textId="54F869D4">
      <w:pPr>
        <w:keepNext/>
        <w:keepLines/>
        <w:numPr>
          <w:ilvl w:val="1"/>
          <w:numId w:val="16"/>
        </w:numPr>
        <w:ind w:left="567" w:hanging="567"/>
      </w:pPr>
      <w:r>
        <w:t xml:space="preserve">Navzdory nespokojenosti a nízké důvěře v systém jsou občané připraveni prosadit politické změny, a to jak prostřednictvím protestů v ulicích, tak i ve volbách. V těchto procesech mobilizace plní významnou úlohu mladí lidé a ženy a jejich angažovanost v politickém prostoru je cenným přínosem. Je nezbytné podporovat model institucionalizovaného sociálního dialogu na způsob toho, který již existuje v Evropě, a upevnit stávající spolupráci s Evropským hospodářským a sociálním výborem a s Mezinárodní asociací hospodářských a sociálních rad </w:t>
      </w:r>
      <w:r w:rsidR="003C4B88">
        <w:t>a </w:t>
      </w:r>
      <w:r>
        <w:t>obdobných institucí.</w:t>
      </w:r>
    </w:p>
    <w:p w:rsidRPr="00167398" w:rsidR="00455910" w:rsidP="003C4B88" w:rsidRDefault="00455910" w14:paraId="4A98D60D" w14:textId="77777777">
      <w:pPr>
        <w:ind w:left="567" w:hanging="567"/>
      </w:pPr>
    </w:p>
    <w:p w:rsidRPr="00167398" w:rsidR="00455910" w:rsidP="003C4B88" w:rsidRDefault="00455910" w14:paraId="4A02463B" w14:textId="0E644D29">
      <w:pPr>
        <w:numPr>
          <w:ilvl w:val="1"/>
          <w:numId w:val="16"/>
        </w:numPr>
        <w:ind w:left="567" w:hanging="567"/>
      </w:pPr>
      <w:r>
        <w:t>Motorem těchto změn by měli být občané. Je třeba posílit mechanismy týkající se veřejných jednání a účasti a zajistit jejich přístupnost a ochranu. Je nezbytné obnovit důvěru prostřednictvím tvorby otevřených a inkluzivních politik, připravit jasné strategie v oblasti komunikace a mít k dispozici systémy sociální kompenzace. Rovněž je nutné posílit systémy přijímání odpovědnosti, mimo jiné hodnocení politik a jejich dopadů.</w:t>
      </w:r>
    </w:p>
    <w:p w:rsidRPr="00167398" w:rsidR="00455910" w:rsidP="003C4B88" w:rsidRDefault="00455910" w14:paraId="49BB3A6F" w14:textId="77777777">
      <w:pPr>
        <w:ind w:left="567" w:hanging="567"/>
      </w:pPr>
    </w:p>
    <w:p w:rsidRPr="00167398" w:rsidR="00455910" w:rsidP="003C4B88" w:rsidRDefault="00455910" w14:paraId="544D1036" w14:textId="460A4163">
      <w:pPr>
        <w:numPr>
          <w:ilvl w:val="1"/>
          <w:numId w:val="16"/>
        </w:numPr>
        <w:ind w:left="567" w:hanging="567"/>
      </w:pPr>
      <w:r>
        <w:t xml:space="preserve">Nové společenské smlouvy je možné dosáhnout prostřednictvím průřezových dohod mezi socioekonomickými skupinami, mezi územími a mezi generacemi a podporou odolných </w:t>
      </w:r>
      <w:r w:rsidR="003C4B88">
        <w:t>a </w:t>
      </w:r>
      <w:r>
        <w:t>udržitelných strategií v oblasti výroby, které vytvoří kvalitní pracovní místa a umožní ekologickou a digitální transformaci. Stejně tak jsou nezbytné rozsáhlé a účinné systémy sociální ochrany a udržitelnější model financování rozvoje.</w:t>
      </w:r>
    </w:p>
    <w:p w:rsidRPr="00167398" w:rsidR="00455910" w:rsidP="003C4B88" w:rsidRDefault="00455910" w14:paraId="53372C50" w14:textId="77777777">
      <w:pPr>
        <w:ind w:left="567" w:hanging="567"/>
      </w:pPr>
    </w:p>
    <w:p w:rsidRPr="00167398" w:rsidR="00D36FCC" w:rsidP="003C4B88" w:rsidRDefault="009733C9" w14:paraId="143486C5" w14:textId="39A1B49D">
      <w:pPr>
        <w:numPr>
          <w:ilvl w:val="1"/>
          <w:numId w:val="16"/>
        </w:numPr>
        <w:ind w:left="567" w:hanging="567"/>
      </w:pPr>
      <w:r>
        <w:t xml:space="preserve">Tato společenská smlouva vyžaduje stabilní a fiskálně udržitelnou politiku veřejných výdajů. </w:t>
      </w:r>
      <w:r w:rsidR="003C4B88">
        <w:t>Z </w:t>
      </w:r>
      <w:r>
        <w:t xml:space="preserve">krátkodobého hlediska jsou důležitá opatření v oblasti mezinárodní spolupráce, zvýšení likvidity a její směrování do zemí se středními příjmy a odpuštění dluhů zemím s nízkými </w:t>
      </w:r>
      <w:r w:rsidR="003C4B88">
        <w:t>a </w:t>
      </w:r>
      <w:r>
        <w:t xml:space="preserve">středními příjmy. Vedle toho všeho je nutné, aby se zvýšila účinnost výběru daní, a posílily se tak státní příjmy. Ze střednědobého hlediska je třeba posílit progresivní zdanění a zefektivnit výběr daní, aby bylo možné financovat trvalé náklady aktivní sociální politiky. Dále bude nezbytné dosáhnout mezinárodní shody, pokud jde o restrukturalizaci veřejného dluhu. </w:t>
      </w:r>
      <w:r w:rsidR="003C4B88">
        <w:t>V </w:t>
      </w:r>
      <w:r>
        <w:t xml:space="preserve">dlouhodobém výhledu je třeba zvýšit účast na daních, digitální výběr daní a ekologické zdanění. Stejně tak je nezbytná mezinárodní spolupráce za účelem snížení daňových úniků </w:t>
      </w:r>
      <w:r w:rsidR="003C4B88">
        <w:t>a </w:t>
      </w:r>
      <w:r>
        <w:t>vyhýbání se daňovým povinnostem</w:t>
      </w:r>
      <w:r w:rsidRPr="00167398" w:rsidR="00455910">
        <w:rPr>
          <w:sz w:val="24"/>
          <w:vertAlign w:val="superscript"/>
        </w:rPr>
        <w:footnoteReference w:id="18"/>
      </w:r>
      <w:r>
        <w:t>.</w:t>
      </w:r>
    </w:p>
    <w:p w:rsidRPr="00167398" w:rsidR="000D54D8" w:rsidP="003C4B88" w:rsidRDefault="000D54D8" w14:paraId="7A311056" w14:textId="77777777">
      <w:pPr>
        <w:ind w:left="567" w:hanging="567"/>
      </w:pPr>
    </w:p>
    <w:p w:rsidRPr="00167398" w:rsidR="00BC1C99" w:rsidP="003C4B88" w:rsidRDefault="00D36FCC" w14:paraId="7439272F" w14:textId="51416D86">
      <w:pPr>
        <w:numPr>
          <w:ilvl w:val="1"/>
          <w:numId w:val="16"/>
        </w:numPr>
        <w:ind w:left="567" w:hanging="567"/>
      </w:pPr>
      <w:r>
        <w:t>V této souvislosti má v tomto regionu zásadní význam rozvoj sociálně tržního hospodářství, které hraje významnou úlohu při rozvoji inkluzivního a odolného systému výroby a práce. Proto je nezbytné vytvořit spravedlivé trhy a distribuční řetězce</w:t>
      </w:r>
      <w:r w:rsidRPr="00646829" w:rsidR="00E43330">
        <w:rPr>
          <w:rStyle w:val="FootnoteReference"/>
          <w:sz w:val="24"/>
          <w:szCs w:val="24"/>
        </w:rPr>
        <w:footnoteReference w:id="19"/>
      </w:r>
      <w:r>
        <w:t>. Je důležité uznat a posílit úlohu interních poradních skupin při monitorování dohod o volném obchodu</w:t>
      </w:r>
      <w:r w:rsidRPr="00646829" w:rsidR="000A1E09">
        <w:rPr>
          <w:rStyle w:val="FootnoteReference"/>
          <w:sz w:val="24"/>
          <w:szCs w:val="24"/>
        </w:rPr>
        <w:footnoteReference w:id="20"/>
      </w:r>
      <w:r>
        <w:t>.</w:t>
      </w:r>
    </w:p>
    <w:p w:rsidRPr="00167398" w:rsidR="00455910" w:rsidP="003C4B88" w:rsidRDefault="00455910" w14:paraId="31903B15" w14:textId="77777777">
      <w:pPr>
        <w:ind w:left="567" w:hanging="567"/>
      </w:pPr>
    </w:p>
    <w:p w:rsidRPr="00167398" w:rsidR="00455910" w:rsidP="003C4B88" w:rsidRDefault="000D54D8" w14:paraId="6256E7AD" w14:textId="5613924F">
      <w:pPr>
        <w:keepNext/>
        <w:numPr>
          <w:ilvl w:val="0"/>
          <w:numId w:val="16"/>
        </w:numPr>
        <w:ind w:left="567" w:hanging="567"/>
        <w:rPr>
          <w:b/>
          <w:bCs/>
        </w:rPr>
      </w:pPr>
      <w:r>
        <w:rPr>
          <w:b/>
        </w:rPr>
        <w:t xml:space="preserve">Aliance s Evropskou unií </w:t>
      </w:r>
    </w:p>
    <w:p w:rsidRPr="00167398" w:rsidR="00455910" w:rsidP="003C4B88" w:rsidRDefault="00455910" w14:paraId="3B02C89E" w14:textId="77777777">
      <w:pPr>
        <w:keepNext/>
        <w:ind w:left="567" w:hanging="567"/>
      </w:pPr>
    </w:p>
    <w:p w:rsidRPr="00167398" w:rsidR="00455910" w:rsidP="003C4B88" w:rsidRDefault="00455910" w14:paraId="7A9B929A" w14:textId="288BF489">
      <w:pPr>
        <w:keepNext/>
        <w:keepLines/>
        <w:numPr>
          <w:ilvl w:val="1"/>
          <w:numId w:val="16"/>
        </w:numPr>
        <w:ind w:left="567" w:hanging="567"/>
      </w:pPr>
      <w:r>
        <w:t>V rámci politiky EU v oblasti rozvojové spolupráce se uznává, že je nezbytné uplatňovat nové režimy přesahující paradigmata Sever–Jih a poskytování oficiální rozvojové pomoci, přičemž je třeba zavést nové formy partnerství několika subjektů a na více úrovních</w:t>
      </w:r>
      <w:r w:rsidRPr="00167398">
        <w:rPr>
          <w:sz w:val="24"/>
          <w:vertAlign w:val="superscript"/>
        </w:rPr>
        <w:footnoteReference w:id="21"/>
      </w:r>
      <w:r>
        <w:t xml:space="preserve">. Nástroj pro sousedství a rozvojovou a mezinárodní spolupráci (NDICI) reaguje na potřebu flexibilnějšího přístupu k rozdělování finančních prostředků na základě geografických a tematických kritérií </w:t>
      </w:r>
      <w:r w:rsidR="003C4B88">
        <w:t>a </w:t>
      </w:r>
      <w:r>
        <w:t xml:space="preserve">na potřebu řešení globálních výzev a plánu týkajícího se cílů udržitelného rozvoje. Záměrem je zde prostřednictvím strategie Global Gateway propojit svět inteligentním, čistým </w:t>
      </w:r>
      <w:r w:rsidR="003C4B88">
        <w:t>a </w:t>
      </w:r>
      <w:r>
        <w:t xml:space="preserve">bezpečným způsobem v rámci digitálního, energetického a dopravního odvětví a posílit zdravotnické, vzdělávací a výzkumné systémy. Účelem těchto změn je zajistit EU nezbytné zdroje a nástroje pro sladění jejích hodnot a zájmů ve více propojeném, zpochybňovaném </w:t>
      </w:r>
      <w:r w:rsidR="003C4B88">
        <w:t>a </w:t>
      </w:r>
      <w:r>
        <w:t xml:space="preserve">složitém mezinárodním prostředí. </w:t>
      </w:r>
    </w:p>
    <w:p w:rsidRPr="00167398" w:rsidR="00CB1656" w:rsidP="003C4B88" w:rsidRDefault="00CB1656" w14:paraId="158499CE" w14:textId="77777777"/>
    <w:p w:rsidRPr="00167398" w:rsidR="00215D3E" w:rsidP="003C4B88" w:rsidRDefault="0022796A" w14:paraId="61C1F4A3" w14:textId="13D9597E">
      <w:pPr>
        <w:numPr>
          <w:ilvl w:val="1"/>
          <w:numId w:val="16"/>
        </w:numPr>
        <w:ind w:left="567" w:hanging="567"/>
      </w:pPr>
      <w:r>
        <w:t xml:space="preserve">Za účelem vytvoření strategií byla zahájena iniciativa „tým Evropa“ (Team Europe), jejímž účelem je propojit úsilí evropských orgánů, členských států a jejich prováděcích agentur </w:t>
      </w:r>
      <w:r w:rsidR="003C4B88">
        <w:t>a </w:t>
      </w:r>
      <w:r>
        <w:t>rozvojových finančních institucí.</w:t>
      </w:r>
    </w:p>
    <w:p w:rsidRPr="00167398" w:rsidR="00CB1656" w:rsidP="003C4B88" w:rsidRDefault="00CB1656" w14:paraId="7CC7FCA1" w14:textId="77777777"/>
    <w:p w:rsidRPr="00167398" w:rsidR="00455910" w:rsidP="003C4B88" w:rsidRDefault="003723A0" w14:paraId="3D541229" w14:textId="7E0D97A8">
      <w:pPr>
        <w:numPr>
          <w:ilvl w:val="1"/>
          <w:numId w:val="16"/>
        </w:numPr>
        <w:ind w:left="567" w:hanging="567"/>
      </w:pPr>
      <w:r>
        <w:t xml:space="preserve">V rámci evropské rozvojové spolupráce bylo vynaloženo značné úsilí s cílem překonat klasifikaci založenou na příjmu na obyvatele a byla přijata koncepce „rozvoje v procesu transformace“, která je z hlediska potřeb tohoto regionu vhodnější. Stále je však třeba zlepšit dialog a schopnost komunikovat o tom, jak pevné jsou tyto vztahy, a o výhodách, které přinášejí. </w:t>
      </w:r>
    </w:p>
    <w:p w:rsidRPr="00167398" w:rsidR="00112E76" w:rsidP="003C4B88" w:rsidRDefault="00112E76" w14:paraId="384E009D" w14:textId="77777777">
      <w:pPr>
        <w:ind w:left="567" w:hanging="567"/>
      </w:pPr>
    </w:p>
    <w:p w:rsidRPr="00646829" w:rsidR="00455910" w:rsidP="003C4B88" w:rsidRDefault="00455910" w14:paraId="4045CBCA" w14:textId="79AA4C16">
      <w:pPr>
        <w:numPr>
          <w:ilvl w:val="0"/>
          <w:numId w:val="16"/>
        </w:numPr>
        <w:ind w:left="567" w:hanging="567"/>
        <w:rPr>
          <w:bCs/>
        </w:rPr>
      </w:pPr>
      <w:r>
        <w:rPr>
          <w:b/>
        </w:rPr>
        <w:t>Podpora oživení ve spolupráci s občanskou společností</w:t>
      </w:r>
    </w:p>
    <w:p w:rsidRPr="00167398" w:rsidR="00112E76" w:rsidP="003C4B88" w:rsidRDefault="00112E76" w14:paraId="7C04A59D" w14:textId="77777777">
      <w:pPr>
        <w:ind w:left="567" w:hanging="567"/>
      </w:pPr>
    </w:p>
    <w:p w:rsidRPr="00167398" w:rsidR="00455910" w:rsidP="003C4B88" w:rsidRDefault="00455910" w14:paraId="54EACC86" w14:textId="38F82C13">
      <w:pPr>
        <w:numPr>
          <w:ilvl w:val="1"/>
          <w:numId w:val="16"/>
        </w:numPr>
        <w:ind w:left="567" w:hanging="567"/>
      </w:pPr>
      <w:r>
        <w:t>V roce 2020 byly zaznamenány určité změny ve struktuře původu přímých zahraničních investic. Do roku 2019 byly hlavními investory v tomto regionu evropské podniky, které představovaly 55 % přímých zahraničních investic. V roce 2020 však evropské investice</w:t>
      </w:r>
      <w:r w:rsidR="00271132">
        <w:t> </w:t>
      </w:r>
      <w:r>
        <w:t>poklesly o 49 %, meziregionální pak o 35 %, zatímco investice ze strany USA se snížily o 4 %</w:t>
      </w:r>
      <w:r w:rsidRPr="00167398">
        <w:rPr>
          <w:sz w:val="24"/>
          <w:vertAlign w:val="superscript"/>
        </w:rPr>
        <w:footnoteReference w:id="22"/>
      </w:r>
      <w:r>
        <w:t xml:space="preserve"> a čínské investice vzrostly. </w:t>
      </w:r>
    </w:p>
    <w:p w:rsidRPr="00167398" w:rsidR="00CB1656" w:rsidP="003C4B88" w:rsidRDefault="00CB1656" w14:paraId="1ABA27F7" w14:textId="77777777"/>
    <w:p w:rsidRPr="00167398" w:rsidR="00112E76" w:rsidP="003C4B88" w:rsidRDefault="005F382B" w14:paraId="57B9B75D" w14:textId="6D7BE8DE">
      <w:pPr>
        <w:numPr>
          <w:ilvl w:val="1"/>
          <w:numId w:val="16"/>
        </w:numPr>
        <w:ind w:left="567" w:hanging="567"/>
      </w:pPr>
      <w:r>
        <w:t xml:space="preserve">Evropská strategie pro překonání krize je založena na zlepšení evropského hospodářského modelu prostřednictvím Zelené dohody pro Evropu a fondů Next Generation EU. Tyto aspekty jsou klíčové pro </w:t>
      </w:r>
      <w:proofErr w:type="spellStart"/>
      <w:r>
        <w:t>biregionální</w:t>
      </w:r>
      <w:proofErr w:type="spellEnd"/>
      <w:r>
        <w:t xml:space="preserve"> strategii a pro vytvoření nástrojů na podporu energetické, digitální, ekologické a sociální transformace, jež bude mít pro oba regiony široké přínosy.</w:t>
      </w:r>
    </w:p>
    <w:p w:rsidRPr="00167398" w:rsidR="00CB1656" w:rsidP="003C4B88" w:rsidRDefault="00CB1656" w14:paraId="655B0DB8" w14:textId="77777777"/>
    <w:p w:rsidRPr="00167398" w:rsidR="00455910" w:rsidP="003C4B88" w:rsidRDefault="007D206F" w14:paraId="1F97D798" w14:textId="649635C7">
      <w:pPr>
        <w:numPr>
          <w:ilvl w:val="1"/>
          <w:numId w:val="16"/>
        </w:numPr>
        <w:ind w:left="567" w:hanging="567"/>
      </w:pPr>
      <w:r>
        <w:t xml:space="preserve">Je nezbytné posílit obchodní vztahy tohoto regionu s Evropou prostřednictvím již uzavřených dohod či dohod s </w:t>
      </w:r>
      <w:proofErr w:type="spellStart"/>
      <w:r>
        <w:t>Mercosurem</w:t>
      </w:r>
      <w:proofErr w:type="spellEnd"/>
      <w:r>
        <w:t xml:space="preserve">, Chile či Mexikem. Tyto dohody nejenže posilují obchod, ale ovlivňují také kvalitu pracovních míst a jejich sociální funkci, přenos technologií a transformaci směrem k udržitelnosti. Tímto způsobem se podporuje obchodní partnerství, které se od partnerství s ostatními subjekty a od ostatních modelů mezinárodních vztahů, jež jsou dravější </w:t>
      </w:r>
      <w:r w:rsidR="003C4B88">
        <w:t>a </w:t>
      </w:r>
      <w:r>
        <w:t>méně zodpovědné, bude lišit svou kvalitou a udržitelností z dlouhodobého hlediska, ale rovněž svou výnosností. Jejich hlavními aspekty jsou:</w:t>
      </w:r>
    </w:p>
    <w:p w:rsidRPr="00167398" w:rsidR="00831F6F" w:rsidP="003C4B88" w:rsidRDefault="00831F6F" w14:paraId="6EE4FDC4" w14:textId="77777777"/>
    <w:p w:rsidRPr="00167398" w:rsidR="007D206F" w:rsidP="003C4B88" w:rsidRDefault="00A44AE1" w14:paraId="50A3B1A1" w14:textId="3227E930">
      <w:pPr>
        <w:numPr>
          <w:ilvl w:val="1"/>
          <w:numId w:val="16"/>
        </w:numPr>
        <w:ind w:left="567" w:hanging="567"/>
      </w:pPr>
      <w:r>
        <w:t xml:space="preserve">Přilákání investic, které by podpořily dosažení cílů udržitelného rozvoje, a to i za přispění mnohostranného regulačního rámce, se zaměřením na kvalitu života lidí, jejich práva, důstojná pracovní místa, začleňování, udržitelnost a obranu demokracie. V zájmu dosažení společných cílů je rovněž žádoucí intenzivnější spolupráce prostřednictvím projektů a pozitivní provádění evropského Strategického kompasu. </w:t>
      </w:r>
    </w:p>
    <w:p w:rsidRPr="00167398" w:rsidR="00831F6F" w:rsidP="003C4B88" w:rsidRDefault="00831F6F" w14:paraId="6DB43EB5" w14:textId="77777777"/>
    <w:p w:rsidRPr="00167398" w:rsidR="004A4E89" w:rsidP="003C4B88" w:rsidRDefault="004A4E89" w14:paraId="76D34E0B" w14:textId="09B904CF">
      <w:pPr>
        <w:numPr>
          <w:ilvl w:val="2"/>
          <w:numId w:val="16"/>
        </w:numPr>
        <w:ind w:left="567" w:hanging="567"/>
      </w:pPr>
      <w:r>
        <w:t xml:space="preserve">Digitalizace jako příležitost pro rozvoj. Latinská Amerika se nachází na střední úrovni rozvoje </w:t>
      </w:r>
      <w:r w:rsidR="003C4B88">
        <w:t>v </w:t>
      </w:r>
      <w:r>
        <w:t>oblasti digitalizace, ale míra růstu, pokud jde o digitalizaci, je zde v rámci rozvíjejících se zemí nejnižší. V digitální oblasti se prolínají digitální aliance EU–Latinská Amerika a Karibik, která souvisí s položením transatlantického optického kabelu (</w:t>
      </w:r>
      <w:proofErr w:type="spellStart"/>
      <w:r>
        <w:t>EllaLink</w:t>
      </w:r>
      <w:proofErr w:type="spellEnd"/>
      <w:r>
        <w:t>), a strategie Evropské</w:t>
      </w:r>
      <w:r w:rsidR="00271132">
        <w:t> </w:t>
      </w:r>
      <w:r>
        <w:t>unie v oblasti konektivity „Global Gateway“. S rozhodnou podporou procesů digitalizace musí jít ruku v ruce upevnění sociálního rozměru a posílení podniků.</w:t>
      </w:r>
    </w:p>
    <w:p w:rsidRPr="00167398" w:rsidR="00114405" w:rsidP="003C4B88" w:rsidRDefault="00114405" w14:paraId="3AE8DBA1" w14:textId="77777777"/>
    <w:p w:rsidRPr="00167398" w:rsidR="00455910" w:rsidP="003C4B88" w:rsidRDefault="0030172F" w14:paraId="1F36B6F7" w14:textId="3311E410">
      <w:pPr>
        <w:numPr>
          <w:ilvl w:val="2"/>
          <w:numId w:val="16"/>
        </w:numPr>
        <w:ind w:left="567" w:hanging="567"/>
      </w:pPr>
      <w:r>
        <w:t>Podpora formální ekonomiky a předcházení neformálnímu zaměstnávání</w:t>
      </w:r>
      <w:r w:rsidRPr="00167398" w:rsidR="00455910">
        <w:rPr>
          <w:sz w:val="24"/>
          <w:vertAlign w:val="superscript"/>
        </w:rPr>
        <w:footnoteReference w:id="23"/>
      </w:r>
      <w:r>
        <w:t>. Součástí mnohostranných dohod jsou zvláštní doložky, které vyžadují dodržování dohod MOP a zaručení práv, zamezení dětské práce a posílení inspekcí práce. Tyto doložky mají pozitivní dopad na budování kapacit v andských zemích, s nimiž byly uzavřeny dohody uzavřeny</w:t>
      </w:r>
      <w:r w:rsidRPr="00167398" w:rsidR="00455910">
        <w:rPr>
          <w:sz w:val="24"/>
          <w:vertAlign w:val="superscript"/>
        </w:rPr>
        <w:footnoteReference w:id="24"/>
      </w:r>
      <w:r>
        <w:t>.</w:t>
      </w:r>
    </w:p>
    <w:p w:rsidRPr="00167398" w:rsidR="004A4E89" w:rsidP="003C4B88" w:rsidRDefault="004A4E89" w14:paraId="0452E8F5" w14:textId="77777777"/>
    <w:p w:rsidRPr="00167398" w:rsidR="00112E76" w:rsidP="003C4B88" w:rsidRDefault="00D60B36" w14:paraId="33326908" w14:textId="3CB4FC79">
      <w:pPr>
        <w:numPr>
          <w:ilvl w:val="2"/>
          <w:numId w:val="16"/>
        </w:numPr>
        <w:ind w:left="567" w:hanging="567"/>
      </w:pPr>
      <w:r>
        <w:t xml:space="preserve">Přímá podpora zlepšení, kvality a rozsahu vzdělávání na všech úrovních a posílení sítí v oblasti vzdělávání a vědy s Evropou. Program Erasmus </w:t>
      </w:r>
      <w:proofErr w:type="spellStart"/>
      <w:r>
        <w:t>Mundus</w:t>
      </w:r>
      <w:proofErr w:type="spellEnd"/>
      <w:r>
        <w:t xml:space="preserve"> představuje velký přínos, který je možné v ještě vyšší míře využít za účelem propojení univerzit.</w:t>
      </w:r>
    </w:p>
    <w:p w:rsidRPr="00167398" w:rsidR="004A4E89" w:rsidP="003C4B88" w:rsidRDefault="004A4E89" w14:paraId="3A0D68B3" w14:textId="77777777"/>
    <w:p w:rsidRPr="00167398" w:rsidR="004A4E89" w:rsidP="003C4B88" w:rsidRDefault="004A4E89" w14:paraId="044BA911" w14:textId="0646742B">
      <w:pPr>
        <w:numPr>
          <w:ilvl w:val="2"/>
          <w:numId w:val="16"/>
        </w:numPr>
        <w:ind w:left="567" w:hanging="567"/>
      </w:pPr>
      <w:r>
        <w:t>Evropská unie si předsevzala, že do roku 2050 dosáhne klimatické neutrality a že povede celosvětové úsilí v oblasti ochrany a zeleného oživení planety</w:t>
      </w:r>
      <w:r w:rsidRPr="00167398">
        <w:rPr>
          <w:sz w:val="24"/>
          <w:vertAlign w:val="superscript"/>
        </w:rPr>
        <w:footnoteReference w:id="25"/>
      </w:r>
      <w:r>
        <w:t>. Prosazování těchto cílů v rámci evropské obchodní politiky za účelem dosažení ambicióznější spolupráce v oblasti životního prostředí</w:t>
      </w:r>
      <w:r w:rsidRPr="00167398">
        <w:rPr>
          <w:sz w:val="24"/>
          <w:vertAlign w:val="superscript"/>
        </w:rPr>
        <w:footnoteReference w:id="26"/>
      </w:r>
      <w:r>
        <w:t xml:space="preserve"> je významné z hlediska obchodních vztahů s Latinskou Amerikou a z hlediska posílení občanské společnosti, která čelí různým hrozbám, souvisejícím jak se zranitelností vůči změně klimatu, tak se skutečností, že se střetává s násilnými subjekty. Je zásadní chránit tyto osoby a rovněž ty, které brání lidská práva, odboráře a novináře a naléhat na latinskoamerické vlády, aby se zavázaly k tomu, že zaručí jejich bezpečnost.</w:t>
      </w:r>
    </w:p>
    <w:p w:rsidRPr="00167398" w:rsidR="004A4E89" w:rsidP="003C4B88" w:rsidRDefault="004A4E89" w14:paraId="7A01B4F4" w14:textId="77777777"/>
    <w:p w:rsidRPr="00167398" w:rsidR="004A4E89" w:rsidP="003C4B88" w:rsidRDefault="004A4E89" w14:paraId="6D5486FE" w14:textId="5ABB9EFF">
      <w:pPr>
        <w:keepLines/>
        <w:numPr>
          <w:ilvl w:val="2"/>
          <w:numId w:val="16"/>
        </w:numPr>
        <w:ind w:left="567" w:hanging="567"/>
      </w:pPr>
      <w:r>
        <w:t>Iniciativa „tým Evropa“ podporuje úsilí zaměřené proti odlesňování Amazonie a nová fáze programu EUROCLIMA+ přidělí 140 milionů EUR na podporu závazků přijatých v rámci Pařížské dohody. Latinská Amerika však věnovala jen 15 % fiskálních investic na hospodářské oživení po pandemii a z tohoto procenta je na zelené oživení určeno méně než 6,9 %. Je nezbytné podporovat tento region v jeho úsilí o dosažení ekologického zdanění a ekologických veřejných výdajů i soukromých investic. Je rovněž namístě posílit alianci pro odpovědné hospodaření se strategickými surovinami a pro zajištění udržitelného přenosu technologií na základě evropských odborných zkušeností a znalostí.</w:t>
      </w:r>
    </w:p>
    <w:p w:rsidRPr="00167398" w:rsidR="004A4E89" w:rsidP="003C4B88" w:rsidRDefault="004A4E89" w14:paraId="6B391AE1" w14:textId="77777777"/>
    <w:p w:rsidRPr="00167398" w:rsidR="004A4E89" w:rsidP="003C4B88" w:rsidRDefault="004A4E89" w14:paraId="490BEFD9" w14:textId="27B76932">
      <w:pPr>
        <w:numPr>
          <w:ilvl w:val="2"/>
          <w:numId w:val="16"/>
        </w:numPr>
        <w:ind w:left="567" w:hanging="567"/>
      </w:pPr>
      <w:r>
        <w:t xml:space="preserve">V zájmu partnerství Evropské unie s Latinskou Amerikou je nezbytné dosáhnout dohody </w:t>
      </w:r>
      <w:r w:rsidR="003C4B88">
        <w:t>s </w:t>
      </w:r>
      <w:proofErr w:type="spellStart"/>
      <w:r>
        <w:t>Mercosurem</w:t>
      </w:r>
      <w:proofErr w:type="spellEnd"/>
      <w:r>
        <w:t xml:space="preserve">, což znamená společný trh se 780 miliony spotřebitelů. To by mohlo zvýšit HDP Brazílie o 1,5 % a HDP Paraguaye až o 10 %. Aspekty ochrany životního prostředí musí představovat pokrok, který bude udávat cestu pro </w:t>
      </w:r>
      <w:proofErr w:type="spellStart"/>
      <w:r>
        <w:t>biregionální</w:t>
      </w:r>
      <w:proofErr w:type="spellEnd"/>
      <w:r>
        <w:t xml:space="preserve"> partnerství nové generace. Je třeba pokročit v hledání funkčních systémů, tak aby bylo možné začlenit certifikáty týkající se ochrany životního prostředí pro některé produkty a rovněž reciproční doložky. Pokud EU zaznamená úspěch při realizaci tohoto rozměru, přinese to strategické posílení její vize celosvětového rozvoje a jejího strategického potenciálu.</w:t>
      </w:r>
    </w:p>
    <w:p w:rsidRPr="00167398" w:rsidR="0084141A" w:rsidP="003C4B88" w:rsidRDefault="0084141A" w14:paraId="4812B8A4" w14:textId="62A3DB34"/>
    <w:p w:rsidRPr="00167398" w:rsidR="0084141A" w:rsidP="003C4B88" w:rsidRDefault="0084141A" w14:paraId="45E66728" w14:textId="1EDA8E89">
      <w:r>
        <w:t>V Bruselu dne 16. listopadu 2022</w:t>
      </w:r>
    </w:p>
    <w:p w:rsidRPr="00167398" w:rsidR="0084141A" w:rsidP="003C4B88" w:rsidRDefault="0084141A" w14:paraId="70D66CC1" w14:textId="419AD4D8"/>
    <w:p w:rsidRPr="00167398" w:rsidR="0084141A" w:rsidP="003C4B88" w:rsidRDefault="0084141A" w14:paraId="6BE42959" w14:textId="77777777"/>
    <w:p w:rsidR="0084141A" w:rsidP="003C4B88" w:rsidRDefault="0084141A" w14:paraId="6D172338" w14:textId="036AC4EA"/>
    <w:p w:rsidRPr="00167398" w:rsidR="009C3DEA" w:rsidP="003C4B88" w:rsidRDefault="009C3DEA" w14:paraId="3210FCFB" w14:textId="77777777"/>
    <w:p w:rsidRPr="00167398" w:rsidR="0084141A" w:rsidP="003C4B88" w:rsidRDefault="0084141A" w14:paraId="2BAF05F8" w14:textId="5C8DD67B">
      <w:proofErr w:type="spellStart"/>
      <w:r>
        <w:t>Dimitris</w:t>
      </w:r>
      <w:proofErr w:type="spellEnd"/>
      <w:r>
        <w:t xml:space="preserve"> </w:t>
      </w:r>
      <w:r w:rsidR="009C3DEA">
        <w:t>DIMITRIADIS</w:t>
      </w:r>
    </w:p>
    <w:p w:rsidRPr="00167398" w:rsidR="0084141A" w:rsidP="003C4B88" w:rsidRDefault="0084141A" w14:paraId="431D3321" w14:textId="7484C0D9">
      <w:r>
        <w:t>předseda sekce Vnější vztahy</w:t>
      </w:r>
    </w:p>
    <w:p w:rsidRPr="00167398" w:rsidR="00455910" w:rsidP="003C4B88" w:rsidRDefault="00455910" w14:paraId="1115E5EB" w14:textId="19EFC8B4"/>
    <w:p w:rsidRPr="00167398" w:rsidR="00932187" w:rsidP="003C4B88" w:rsidRDefault="00646AC2" w14:paraId="71F1D79B" w14:textId="50CEFB1C">
      <w:pPr>
        <w:keepNext/>
        <w:jc w:val="center"/>
      </w:pPr>
      <w:r>
        <w:t>_____________</w:t>
      </w:r>
    </w:p>
    <w:sectPr w:rsidRPr="00167398" w:rsidR="00932187" w:rsidSect="008F3C5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417" w:right="1417" w:bottom="1304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C03C7" w14:textId="77777777" w:rsidR="00250C08" w:rsidRDefault="00250C08">
      <w:r>
        <w:separator/>
      </w:r>
    </w:p>
  </w:endnote>
  <w:endnote w:type="continuationSeparator" w:id="0">
    <w:p w14:paraId="50BF14E2" w14:textId="77777777" w:rsidR="00250C08" w:rsidRDefault="00250C08">
      <w:r>
        <w:continuationSeparator/>
      </w:r>
    </w:p>
  </w:endnote>
  <w:endnote w:type="continuationNotice" w:id="1">
    <w:p w14:paraId="4E7CF9F4" w14:textId="77777777" w:rsidR="00250C08" w:rsidRDefault="00250C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C10A6" w14:textId="77777777" w:rsidR="008F3C55" w:rsidRPr="008F3C55" w:rsidRDefault="008F3C55" w:rsidP="008F3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B887E" w14:textId="1411BE51" w:rsidR="008E31B9" w:rsidRPr="008F3C55" w:rsidRDefault="008F3C55" w:rsidP="008F3C55">
    <w:pPr>
      <w:pStyle w:val="Footer"/>
    </w:pPr>
    <w:r>
      <w:t xml:space="preserve">REX/552 – EESC-2022-01331-00-00-AS-TRA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F4C06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0F4C06">
        <w:rPr>
          <w:noProof/>
        </w:rPr>
        <w:instrText>10</w:instrText>
      </w:r>
    </w:fldSimple>
    <w:r>
      <w:instrText xml:space="preserve"> -0 </w:instrText>
    </w:r>
    <w:r>
      <w:fldChar w:fldCharType="separate"/>
    </w:r>
    <w:r w:rsidR="000F4C06"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45C06" w14:textId="77777777" w:rsidR="008F3C55" w:rsidRPr="008F3C55" w:rsidRDefault="008F3C55" w:rsidP="008F3C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43195" w14:textId="77777777" w:rsidR="004E5FA9" w:rsidRPr="008F3C55" w:rsidRDefault="004E5FA9" w:rsidP="008F3C5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7C025" w14:textId="3024786C" w:rsidR="004E5FA9" w:rsidRPr="008F3C55" w:rsidRDefault="008F3C55" w:rsidP="008F3C55">
    <w:pPr>
      <w:pStyle w:val="Footer"/>
    </w:pPr>
    <w:r>
      <w:t xml:space="preserve">REX/552 – EESC-2022-01331-00-00-AS-TRA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F4C06">
      <w:rPr>
        <w:noProof/>
      </w:rPr>
      <w:t>10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0F4C06">
        <w:rPr>
          <w:noProof/>
        </w:rPr>
        <w:instrText>10</w:instrText>
      </w:r>
    </w:fldSimple>
    <w:r>
      <w:instrText xml:space="preserve"> -0 </w:instrText>
    </w:r>
    <w:r>
      <w:fldChar w:fldCharType="separate"/>
    </w:r>
    <w:r w:rsidR="000F4C06">
      <w:rPr>
        <w:noProof/>
      </w:rPr>
      <w:t>10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F131" w14:textId="77777777" w:rsidR="004E5FA9" w:rsidRPr="008F3C55" w:rsidRDefault="004E5FA9" w:rsidP="008F3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2DA72" w14:textId="77777777" w:rsidR="00250C08" w:rsidRDefault="00250C08">
      <w:r>
        <w:separator/>
      </w:r>
    </w:p>
  </w:footnote>
  <w:footnote w:type="continuationSeparator" w:id="0">
    <w:p w14:paraId="36C39693" w14:textId="77777777" w:rsidR="00250C08" w:rsidRDefault="00250C08">
      <w:r>
        <w:continuationSeparator/>
      </w:r>
    </w:p>
  </w:footnote>
  <w:footnote w:type="continuationNotice" w:id="1">
    <w:p w14:paraId="74203790" w14:textId="77777777" w:rsidR="00250C08" w:rsidRDefault="00250C08">
      <w:pPr>
        <w:spacing w:line="240" w:lineRule="auto"/>
      </w:pPr>
    </w:p>
  </w:footnote>
  <w:footnote w:id="2">
    <w:p w14:paraId="0F59BE12" w14:textId="79C0809A" w:rsidR="002809E3" w:rsidRPr="001A1218" w:rsidRDefault="002809E3">
      <w:pPr>
        <w:pStyle w:val="FootnoteText"/>
        <w:rPr>
          <w:szCs w:val="16"/>
        </w:rPr>
      </w:pPr>
      <w:r>
        <w:rPr>
          <w:sz w:val="24"/>
          <w:szCs w:val="24"/>
          <w:vertAlign w:val="superscript"/>
        </w:rPr>
        <w:footnoteRef/>
      </w:r>
      <w:r>
        <w:tab/>
        <w:t xml:space="preserve">REX/532, zpravodajka: Tanja Buzek, a REX/536, zpravodaj: </w:t>
      </w:r>
      <w:proofErr w:type="spellStart"/>
      <w:r>
        <w:t>Stefano</w:t>
      </w:r>
      <w:proofErr w:type="spellEnd"/>
      <w:r>
        <w:t xml:space="preserve"> </w:t>
      </w:r>
      <w:proofErr w:type="spellStart"/>
      <w:r>
        <w:t>Palmieri</w:t>
      </w:r>
      <w:proofErr w:type="spellEnd"/>
      <w:r>
        <w:t>.</w:t>
      </w:r>
    </w:p>
  </w:footnote>
  <w:footnote w:id="3">
    <w:p w14:paraId="5B2B4D41" w14:textId="5EB8BC8F" w:rsidR="00455910" w:rsidRPr="00646829" w:rsidRDefault="00455910" w:rsidP="00455910">
      <w:pPr>
        <w:pStyle w:val="FootnoteText"/>
        <w:rPr>
          <w:szCs w:val="16"/>
        </w:rPr>
      </w:pPr>
      <w:r>
        <w:rPr>
          <w:sz w:val="24"/>
          <w:szCs w:val="24"/>
          <w:vertAlign w:val="superscript"/>
        </w:rPr>
        <w:footnoteRef/>
      </w:r>
      <w:r>
        <w:tab/>
        <w:t xml:space="preserve">UNESCO (2021), </w:t>
      </w:r>
      <w:r>
        <w:rPr>
          <w:i/>
          <w:iCs/>
        </w:rPr>
        <w:t xml:space="preserve">COVID-19 y </w:t>
      </w:r>
      <w:proofErr w:type="spellStart"/>
      <w:r>
        <w:rPr>
          <w:i/>
          <w:iCs/>
        </w:rPr>
        <w:t>vacunación</w:t>
      </w:r>
      <w:proofErr w:type="spellEnd"/>
      <w:r>
        <w:rPr>
          <w:i/>
          <w:iCs/>
        </w:rPr>
        <w:t xml:space="preserve"> en </w:t>
      </w:r>
      <w:proofErr w:type="spellStart"/>
      <w:r>
        <w:rPr>
          <w:i/>
          <w:iCs/>
        </w:rPr>
        <w:t>América</w:t>
      </w:r>
      <w:proofErr w:type="spellEnd"/>
      <w:r>
        <w:rPr>
          <w:i/>
          <w:iCs/>
        </w:rPr>
        <w:t xml:space="preserve"> Latina y el </w:t>
      </w:r>
      <w:proofErr w:type="spellStart"/>
      <w:r>
        <w:rPr>
          <w:i/>
          <w:iCs/>
        </w:rPr>
        <w:t>Caribe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desafíos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necesidades</w:t>
      </w:r>
      <w:proofErr w:type="spellEnd"/>
      <w:r>
        <w:rPr>
          <w:i/>
          <w:iCs/>
        </w:rPr>
        <w:t xml:space="preserve"> y </w:t>
      </w:r>
      <w:proofErr w:type="spellStart"/>
      <w:r>
        <w:rPr>
          <w:i/>
          <w:iCs/>
        </w:rPr>
        <w:t>oportunidades</w:t>
      </w:r>
      <w:proofErr w:type="spellEnd"/>
      <w:r>
        <w:t xml:space="preserve"> (COVID-19 a</w:t>
      </w:r>
      <w:r w:rsidR="00202CF8">
        <w:t> </w:t>
      </w:r>
      <w:r>
        <w:t>očkování v Latinské Americe a Karibiku: výzvy, potřeby a příležitosti).</w:t>
      </w:r>
    </w:p>
  </w:footnote>
  <w:footnote w:id="4">
    <w:p w14:paraId="273F8B36" w14:textId="1EE9E9FA" w:rsidR="00455910" w:rsidRPr="00646829" w:rsidRDefault="00455910" w:rsidP="00455910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tab/>
        <w:t xml:space="preserve">OECD (2021), </w:t>
      </w:r>
      <w:proofErr w:type="spellStart"/>
      <w:r>
        <w:rPr>
          <w:i/>
          <w:iCs/>
        </w:rPr>
        <w:t>Perspectivas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económicas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América</w:t>
      </w:r>
      <w:proofErr w:type="spellEnd"/>
      <w:r>
        <w:rPr>
          <w:i/>
          <w:iCs/>
        </w:rPr>
        <w:t xml:space="preserve"> Latina 2020</w:t>
      </w:r>
      <w:r>
        <w:t xml:space="preserve"> (Hospodářské výhledy Latinské Ameriky 2020).</w:t>
      </w:r>
    </w:p>
  </w:footnote>
  <w:footnote w:id="5">
    <w:p w14:paraId="53982FC1" w14:textId="5DD5FC8F" w:rsidR="00C90F06" w:rsidRDefault="00C90F06">
      <w:pPr>
        <w:pStyle w:val="FootnoteText"/>
      </w:pPr>
      <w:r>
        <w:rPr>
          <w:rStyle w:val="FootnoteReference"/>
          <w:sz w:val="24"/>
          <w:szCs w:val="36"/>
        </w:rPr>
        <w:footnoteRef/>
      </w:r>
      <w:r>
        <w:tab/>
        <w:t>Údaje MMF.</w:t>
      </w:r>
    </w:p>
  </w:footnote>
  <w:footnote w:id="6">
    <w:p w14:paraId="5000254C" w14:textId="7D1314CB" w:rsidR="00304E5C" w:rsidRPr="00CF1036" w:rsidRDefault="00304E5C" w:rsidP="00304E5C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 xml:space="preserve">OECD (2022), </w:t>
      </w:r>
      <w:proofErr w:type="spellStart"/>
      <w:r>
        <w:rPr>
          <w:i/>
          <w:iCs/>
        </w:rPr>
        <w:t>Perspectivas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económicas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América</w:t>
      </w:r>
      <w:proofErr w:type="spellEnd"/>
      <w:r>
        <w:rPr>
          <w:i/>
          <w:iCs/>
        </w:rPr>
        <w:t xml:space="preserve"> Latina 2021</w:t>
      </w:r>
      <w:r>
        <w:t xml:space="preserve"> (Hospodářské výhledy Latinské Ameriky 2021).</w:t>
      </w:r>
    </w:p>
  </w:footnote>
  <w:footnote w:id="7">
    <w:p w14:paraId="4BCC4CDD" w14:textId="4D4258B4" w:rsidR="00455910" w:rsidRPr="00646829" w:rsidRDefault="00455910" w:rsidP="00455910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>Tamtéž.</w:t>
      </w:r>
    </w:p>
  </w:footnote>
  <w:footnote w:id="8">
    <w:p w14:paraId="77ADA79A" w14:textId="6678A8D7" w:rsidR="00455910" w:rsidRPr="00646829" w:rsidRDefault="00455910" w:rsidP="00455910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 xml:space="preserve">ECLAC (2021), </w:t>
      </w:r>
      <w:proofErr w:type="spellStart"/>
      <w:r>
        <w:rPr>
          <w:i/>
          <w:iCs/>
        </w:rPr>
        <w:t>Estudio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económico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América</w:t>
      </w:r>
      <w:proofErr w:type="spellEnd"/>
      <w:r>
        <w:rPr>
          <w:i/>
          <w:iCs/>
        </w:rPr>
        <w:t xml:space="preserve"> Latina y el </w:t>
      </w:r>
      <w:proofErr w:type="spellStart"/>
      <w:r>
        <w:rPr>
          <w:i/>
          <w:iCs/>
        </w:rPr>
        <w:t>Caribe</w:t>
      </w:r>
      <w:proofErr w:type="spellEnd"/>
      <w:r>
        <w:t xml:space="preserve"> (Hospodářská studie Latinské Ameriky a karibské oblasti). </w:t>
      </w:r>
    </w:p>
  </w:footnote>
  <w:footnote w:id="9">
    <w:p w14:paraId="383154B0" w14:textId="6F182119" w:rsidR="00455910" w:rsidRPr="00646829" w:rsidRDefault="00455910" w:rsidP="00455910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 xml:space="preserve">MOP (2022), </w:t>
      </w:r>
      <w:r>
        <w:rPr>
          <w:i/>
          <w:iCs/>
        </w:rPr>
        <w:t xml:space="preserve">Panorama </w:t>
      </w:r>
      <w:proofErr w:type="spellStart"/>
      <w:r>
        <w:rPr>
          <w:i/>
          <w:iCs/>
        </w:rPr>
        <w:t>Laboral</w:t>
      </w:r>
      <w:proofErr w:type="spellEnd"/>
      <w:r>
        <w:t xml:space="preserve"> (Situace v oblasti zaměstnanosti); ECLAC, 2021, </w:t>
      </w:r>
      <w:r>
        <w:rPr>
          <w:i/>
          <w:iCs/>
        </w:rPr>
        <w:t xml:space="preserve">Panorama </w:t>
      </w:r>
      <w:proofErr w:type="spellStart"/>
      <w:r>
        <w:rPr>
          <w:i/>
          <w:iCs/>
        </w:rPr>
        <w:t>Social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América</w:t>
      </w:r>
      <w:proofErr w:type="spellEnd"/>
      <w:r>
        <w:rPr>
          <w:i/>
          <w:iCs/>
        </w:rPr>
        <w:t xml:space="preserve"> Latina</w:t>
      </w:r>
      <w:r>
        <w:t xml:space="preserve"> (Sociální</w:t>
      </w:r>
      <w:r w:rsidR="00202CF8">
        <w:t> </w:t>
      </w:r>
      <w:r>
        <w:t>situace v Latinské Americe).</w:t>
      </w:r>
    </w:p>
  </w:footnote>
  <w:footnote w:id="10">
    <w:p w14:paraId="42FF5939" w14:textId="77777777" w:rsidR="00C74D82" w:rsidRPr="00EA2538" w:rsidRDefault="00C74D82" w:rsidP="00C74D82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 xml:space="preserve">ECLAC (2022), op. cit. </w:t>
      </w:r>
    </w:p>
  </w:footnote>
  <w:footnote w:id="11">
    <w:p w14:paraId="67155644" w14:textId="38DB4EA8" w:rsidR="00455910" w:rsidRPr="000D1A4C" w:rsidRDefault="00455910" w:rsidP="00455910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proofErr w:type="spellStart"/>
      <w:r>
        <w:t>Nieto</w:t>
      </w:r>
      <w:proofErr w:type="spellEnd"/>
      <w:r>
        <w:t xml:space="preserve"> </w:t>
      </w:r>
      <w:proofErr w:type="spellStart"/>
      <w:r>
        <w:t>Parra</w:t>
      </w:r>
      <w:proofErr w:type="spellEnd"/>
      <w:r>
        <w:t xml:space="preserve">, (2020), </w:t>
      </w:r>
      <w:proofErr w:type="spellStart"/>
      <w:r>
        <w:rPr>
          <w:i/>
          <w:iCs/>
        </w:rPr>
        <w:t>Desarrollo</w:t>
      </w:r>
      <w:proofErr w:type="spellEnd"/>
      <w:r>
        <w:rPr>
          <w:i/>
          <w:iCs/>
        </w:rPr>
        <w:t xml:space="preserve"> en </w:t>
      </w:r>
      <w:proofErr w:type="spellStart"/>
      <w:r>
        <w:rPr>
          <w:i/>
          <w:iCs/>
        </w:rPr>
        <w:t>transición</w:t>
      </w:r>
      <w:proofErr w:type="spellEnd"/>
      <w:r>
        <w:rPr>
          <w:i/>
          <w:iCs/>
        </w:rPr>
        <w:t xml:space="preserve"> en </w:t>
      </w:r>
      <w:proofErr w:type="spellStart"/>
      <w:r>
        <w:rPr>
          <w:i/>
          <w:iCs/>
        </w:rPr>
        <w:t>América</w:t>
      </w:r>
      <w:proofErr w:type="spellEnd"/>
      <w:r>
        <w:rPr>
          <w:i/>
          <w:iCs/>
        </w:rPr>
        <w:t xml:space="preserve"> Latina en </w:t>
      </w:r>
      <w:proofErr w:type="spellStart"/>
      <w:r>
        <w:rPr>
          <w:i/>
          <w:iCs/>
        </w:rPr>
        <w:t>tiempos</w:t>
      </w:r>
      <w:proofErr w:type="spellEnd"/>
      <w:r>
        <w:rPr>
          <w:i/>
          <w:iCs/>
        </w:rPr>
        <w:t xml:space="preserve"> de la COVID-19</w:t>
      </w:r>
      <w:r>
        <w:t xml:space="preserve"> (Rozvoj v procesu transformace v</w:t>
      </w:r>
      <w:r w:rsidR="00202CF8">
        <w:t> </w:t>
      </w:r>
      <w:r>
        <w:t xml:space="preserve">Latinské Americe v době pandemie COVID-19), </w:t>
      </w:r>
      <w:proofErr w:type="spellStart"/>
      <w:r>
        <w:t>Fundación</w:t>
      </w:r>
      <w:proofErr w:type="spellEnd"/>
      <w:r>
        <w:t xml:space="preserve"> Carolina.</w:t>
      </w:r>
    </w:p>
  </w:footnote>
  <w:footnote w:id="12">
    <w:p w14:paraId="0F876514" w14:textId="454C29BF" w:rsidR="007B4078" w:rsidRPr="00EA2538" w:rsidRDefault="007B4078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 xml:space="preserve">UNESCO (2021)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educación</w:t>
      </w:r>
      <w:proofErr w:type="spellEnd"/>
      <w:r>
        <w:rPr>
          <w:i/>
          <w:iCs/>
        </w:rPr>
        <w:t xml:space="preserve"> en </w:t>
      </w:r>
      <w:proofErr w:type="spellStart"/>
      <w:r>
        <w:rPr>
          <w:i/>
          <w:iCs/>
        </w:rPr>
        <w:t>América</w:t>
      </w:r>
      <w:proofErr w:type="spellEnd"/>
      <w:r>
        <w:rPr>
          <w:i/>
          <w:iCs/>
        </w:rPr>
        <w:t xml:space="preserve"> Latina y el </w:t>
      </w:r>
      <w:proofErr w:type="spellStart"/>
      <w:r>
        <w:rPr>
          <w:i/>
          <w:iCs/>
        </w:rPr>
        <w:t>Caribe</w:t>
      </w:r>
      <w:proofErr w:type="spellEnd"/>
      <w:r>
        <w:rPr>
          <w:i/>
          <w:iCs/>
        </w:rPr>
        <w:t xml:space="preserve"> ante la COVID-19</w:t>
      </w:r>
      <w:r>
        <w:t xml:space="preserve"> (Vzdělávání v Latinské Americe a Karibiku v</w:t>
      </w:r>
      <w:r w:rsidR="00202CF8">
        <w:t> </w:t>
      </w:r>
      <w:r>
        <w:t>době pandemie COVID-19).</w:t>
      </w:r>
    </w:p>
  </w:footnote>
  <w:footnote w:id="13">
    <w:p w14:paraId="31EDA2C9" w14:textId="4FD4C6BE" w:rsidR="00455910" w:rsidRPr="00FA3F55" w:rsidRDefault="00455910" w:rsidP="00455910">
      <w:pPr>
        <w:pStyle w:val="FootnoteText"/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>2. prosince 2021 – zasedání vedoucích představitelů EU a zemí Latinské Ameriky a Karibiku: Spojenými silami k udržitelnému oživení po pandemii COVID-19 – tisková zpráva předsedy Charlese Michela a předsedkyně Ursuly von der Leyen.</w:t>
      </w:r>
    </w:p>
  </w:footnote>
  <w:footnote w:id="14">
    <w:p w14:paraId="048AD3FD" w14:textId="3C17CF42" w:rsidR="00455910" w:rsidRPr="00EA2538" w:rsidRDefault="00455910" w:rsidP="00455910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proofErr w:type="spellStart"/>
      <w:r>
        <w:t>Our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in Data.</w:t>
      </w:r>
    </w:p>
  </w:footnote>
  <w:footnote w:id="15">
    <w:p w14:paraId="5CF331A7" w14:textId="6AA6C591" w:rsidR="00455910" w:rsidRPr="0058538F" w:rsidRDefault="00455910" w:rsidP="00455910">
      <w:pPr>
        <w:pStyle w:val="FootnoteText"/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>ECLAC (2021), op. cit.</w:t>
      </w:r>
    </w:p>
  </w:footnote>
  <w:footnote w:id="16">
    <w:p w14:paraId="14AC5224" w14:textId="39F4D6AC" w:rsidR="004E4B22" w:rsidRPr="00EA2538" w:rsidRDefault="004E4B22" w:rsidP="004E4B22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 xml:space="preserve">UNODC (2019), </w:t>
      </w:r>
      <w:proofErr w:type="spellStart"/>
      <w:r>
        <w:rPr>
          <w:i/>
          <w:iCs/>
        </w:rPr>
        <w:t>Estudio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Mundial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sobre</w:t>
      </w:r>
      <w:proofErr w:type="spellEnd"/>
      <w:r>
        <w:rPr>
          <w:i/>
          <w:iCs/>
        </w:rPr>
        <w:t xml:space="preserve"> el </w:t>
      </w:r>
      <w:proofErr w:type="spellStart"/>
      <w:r>
        <w:rPr>
          <w:i/>
          <w:iCs/>
        </w:rPr>
        <w:t>homicidio</w:t>
      </w:r>
      <w:proofErr w:type="spellEnd"/>
      <w:r>
        <w:t xml:space="preserve"> (Celosvětová studie o vraždách).</w:t>
      </w:r>
    </w:p>
  </w:footnote>
  <w:footnote w:id="17">
    <w:p w14:paraId="7D6D96EA" w14:textId="3905F48A" w:rsidR="00455910" w:rsidRPr="00C54666" w:rsidRDefault="00455910" w:rsidP="00455910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 xml:space="preserve">IDEA </w:t>
      </w:r>
      <w:proofErr w:type="spellStart"/>
      <w:r>
        <w:t>Int</w:t>
      </w:r>
      <w:proofErr w:type="spellEnd"/>
      <w:r>
        <w:t xml:space="preserve">. (2021), </w:t>
      </w:r>
      <w:r>
        <w:rPr>
          <w:i/>
          <w:iCs/>
        </w:rPr>
        <w:t xml:space="preserve">El </w:t>
      </w:r>
      <w:proofErr w:type="spellStart"/>
      <w:r>
        <w:rPr>
          <w:i/>
          <w:iCs/>
        </w:rPr>
        <w:t>estado</w:t>
      </w:r>
      <w:proofErr w:type="spellEnd"/>
      <w:r>
        <w:rPr>
          <w:i/>
          <w:iCs/>
        </w:rPr>
        <w:t xml:space="preserve"> de la </w:t>
      </w:r>
      <w:proofErr w:type="spellStart"/>
      <w:r>
        <w:rPr>
          <w:i/>
          <w:iCs/>
        </w:rPr>
        <w:t>democracia</w:t>
      </w:r>
      <w:proofErr w:type="spellEnd"/>
      <w:r>
        <w:rPr>
          <w:i/>
          <w:iCs/>
        </w:rPr>
        <w:t xml:space="preserve"> en las </w:t>
      </w:r>
      <w:proofErr w:type="spellStart"/>
      <w:r>
        <w:rPr>
          <w:i/>
          <w:iCs/>
        </w:rPr>
        <w:t>Américas</w:t>
      </w:r>
      <w:proofErr w:type="spellEnd"/>
      <w:r>
        <w:rPr>
          <w:i/>
          <w:iCs/>
        </w:rPr>
        <w:t xml:space="preserve"> 2021</w:t>
      </w:r>
      <w:r>
        <w:t xml:space="preserve"> (Stav demokracie na americkém kontinentu 2021).</w:t>
      </w:r>
    </w:p>
  </w:footnote>
  <w:footnote w:id="18">
    <w:p w14:paraId="23A28F52" w14:textId="25C77702" w:rsidR="00455910" w:rsidRPr="00C54666" w:rsidRDefault="00455910" w:rsidP="00455910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 xml:space="preserve">ECLAC (2021), </w:t>
      </w:r>
      <w:r>
        <w:rPr>
          <w:i/>
          <w:iCs/>
        </w:rPr>
        <w:t xml:space="preserve">Panorama </w:t>
      </w:r>
      <w:proofErr w:type="spellStart"/>
      <w:r>
        <w:rPr>
          <w:i/>
          <w:iCs/>
        </w:rPr>
        <w:t>Fiscal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América</w:t>
      </w:r>
      <w:proofErr w:type="spellEnd"/>
      <w:r>
        <w:rPr>
          <w:i/>
          <w:iCs/>
        </w:rPr>
        <w:t xml:space="preserve"> Latina 2021</w:t>
      </w:r>
      <w:r>
        <w:t xml:space="preserve"> (Situace Latinské Ameriky v daňové oblasti 2021).</w:t>
      </w:r>
    </w:p>
  </w:footnote>
  <w:footnote w:id="19">
    <w:p w14:paraId="14298C76" w14:textId="4D7E4687" w:rsidR="00E43330" w:rsidRPr="00E43330" w:rsidRDefault="00E43330">
      <w:pPr>
        <w:pStyle w:val="FootnoteText"/>
      </w:pPr>
      <w:r>
        <w:rPr>
          <w:rStyle w:val="FootnoteReference"/>
          <w:sz w:val="24"/>
        </w:rPr>
        <w:footnoteRef/>
      </w:r>
      <w:r>
        <w:tab/>
        <w:t>Evropská komise (2021), Akční plán pro sociální ekonomiku.</w:t>
      </w:r>
    </w:p>
  </w:footnote>
  <w:footnote w:id="20">
    <w:p w14:paraId="06D2DF6D" w14:textId="4887A705" w:rsidR="000A1E09" w:rsidRDefault="000A1E09">
      <w:pPr>
        <w:pStyle w:val="FootnoteText"/>
      </w:pPr>
      <w:r>
        <w:rPr>
          <w:rStyle w:val="FootnoteReference"/>
          <w:sz w:val="24"/>
          <w:szCs w:val="36"/>
        </w:rPr>
        <w:footnoteRef/>
      </w:r>
      <w:r>
        <w:tab/>
        <w:t xml:space="preserve">REX/532, zpravodajka: Tanja Buzek, a REX/536, zpravodaj: </w:t>
      </w:r>
      <w:proofErr w:type="spellStart"/>
      <w:r>
        <w:t>Stefano</w:t>
      </w:r>
      <w:proofErr w:type="spellEnd"/>
      <w:r>
        <w:t xml:space="preserve"> </w:t>
      </w:r>
      <w:proofErr w:type="spellStart"/>
      <w:r>
        <w:t>Palmieri</w:t>
      </w:r>
      <w:proofErr w:type="spellEnd"/>
      <w:r>
        <w:t>.</w:t>
      </w:r>
    </w:p>
  </w:footnote>
  <w:footnote w:id="21">
    <w:p w14:paraId="2E6102C6" w14:textId="3B86C717" w:rsidR="00455910" w:rsidRPr="00CF1036" w:rsidRDefault="00455910" w:rsidP="00455910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proofErr w:type="spellStart"/>
      <w:r>
        <w:t>Sanahuja</w:t>
      </w:r>
      <w:proofErr w:type="spellEnd"/>
      <w:r>
        <w:t xml:space="preserve"> J.A. a </w:t>
      </w:r>
      <w:proofErr w:type="spellStart"/>
      <w:r>
        <w:t>Ruiz</w:t>
      </w:r>
      <w:proofErr w:type="spellEnd"/>
      <w:r>
        <w:t xml:space="preserve"> </w:t>
      </w:r>
      <w:proofErr w:type="spellStart"/>
      <w:r>
        <w:t>Sandoval</w:t>
      </w:r>
      <w:proofErr w:type="spellEnd"/>
      <w:r>
        <w:t xml:space="preserve">, E. (2019),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Unión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Europea</w:t>
      </w:r>
      <w:proofErr w:type="spellEnd"/>
      <w:r>
        <w:rPr>
          <w:i/>
          <w:iCs/>
        </w:rPr>
        <w:t xml:space="preserve"> y la Agenda 2030 en </w:t>
      </w:r>
      <w:proofErr w:type="spellStart"/>
      <w:r>
        <w:rPr>
          <w:i/>
          <w:iCs/>
        </w:rPr>
        <w:t>América</w:t>
      </w:r>
      <w:proofErr w:type="spellEnd"/>
      <w:r>
        <w:rPr>
          <w:i/>
          <w:iCs/>
        </w:rPr>
        <w:t xml:space="preserve"> Latina: </w:t>
      </w:r>
      <w:proofErr w:type="spellStart"/>
      <w:r>
        <w:rPr>
          <w:i/>
          <w:iCs/>
        </w:rPr>
        <w:t>políticas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cooperación</w:t>
      </w:r>
      <w:proofErr w:type="spellEnd"/>
      <w:r>
        <w:rPr>
          <w:i/>
          <w:iCs/>
        </w:rPr>
        <w:t xml:space="preserve"> en una región de „</w:t>
      </w:r>
      <w:proofErr w:type="spellStart"/>
      <w:r>
        <w:rPr>
          <w:i/>
          <w:iCs/>
        </w:rPr>
        <w:t>desarrollo</w:t>
      </w:r>
      <w:proofErr w:type="spellEnd"/>
      <w:r>
        <w:rPr>
          <w:i/>
          <w:iCs/>
        </w:rPr>
        <w:t xml:space="preserve"> en </w:t>
      </w:r>
      <w:proofErr w:type="spellStart"/>
      <w:r>
        <w:rPr>
          <w:i/>
          <w:iCs/>
        </w:rPr>
        <w:t>transición</w:t>
      </w:r>
      <w:proofErr w:type="spellEnd"/>
      <w:r>
        <w:rPr>
          <w:i/>
          <w:iCs/>
        </w:rPr>
        <w:t>“</w:t>
      </w:r>
      <w:r>
        <w:t xml:space="preserve"> (Evropská unie a Agenda 2030 v Latinské Americe: politiky spolupráce v regionu „v rozvoji v</w:t>
      </w:r>
      <w:r w:rsidR="00271132">
        <w:t> </w:t>
      </w:r>
      <w:r>
        <w:t xml:space="preserve">procesu transformace“), </w:t>
      </w:r>
      <w:proofErr w:type="spellStart"/>
      <w:r>
        <w:t>Fundación</w:t>
      </w:r>
      <w:proofErr w:type="spellEnd"/>
      <w:r>
        <w:t xml:space="preserve"> Carolina; </w:t>
      </w:r>
      <w:proofErr w:type="spellStart"/>
      <w:r>
        <w:rPr>
          <w:i/>
          <w:iCs/>
        </w:rPr>
        <w:t>Nuevo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Consenso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Europeo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Desarrollo</w:t>
      </w:r>
      <w:proofErr w:type="spellEnd"/>
      <w:r>
        <w:t xml:space="preserve"> (Nový evropský konsensus týkající se rozvoje) 2017, víceletý finanční rámec 2021–2027, 2018.</w:t>
      </w:r>
    </w:p>
  </w:footnote>
  <w:footnote w:id="22">
    <w:p w14:paraId="4DFF9142" w14:textId="6847BB22" w:rsidR="00455910" w:rsidRPr="00EA2538" w:rsidRDefault="00455910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 xml:space="preserve">Zpráva ECLAC z roku 2021, </w:t>
      </w:r>
      <w:proofErr w:type="spellStart"/>
      <w:r>
        <w:rPr>
          <w:i/>
          <w:iCs/>
        </w:rPr>
        <w:t>Inversión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Extranjera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Directa</w:t>
      </w:r>
      <w:proofErr w:type="spellEnd"/>
      <w:r>
        <w:rPr>
          <w:i/>
          <w:iCs/>
        </w:rPr>
        <w:t xml:space="preserve"> en </w:t>
      </w:r>
      <w:proofErr w:type="spellStart"/>
      <w:r>
        <w:rPr>
          <w:i/>
          <w:iCs/>
        </w:rPr>
        <w:t>América</w:t>
      </w:r>
      <w:proofErr w:type="spellEnd"/>
      <w:r>
        <w:rPr>
          <w:i/>
          <w:iCs/>
        </w:rPr>
        <w:t xml:space="preserve"> Latina 2021</w:t>
      </w:r>
      <w:r>
        <w:t xml:space="preserve"> (Přímé zahraniční investice v</w:t>
      </w:r>
      <w:r w:rsidR="00271132">
        <w:t> </w:t>
      </w:r>
      <w:r>
        <w:t>Latinské</w:t>
      </w:r>
      <w:r w:rsidR="00271132">
        <w:t> </w:t>
      </w:r>
      <w:r>
        <w:t>Americe</w:t>
      </w:r>
      <w:r w:rsidR="00271132">
        <w:t> </w:t>
      </w:r>
      <w:r>
        <w:t>2021).</w:t>
      </w:r>
    </w:p>
  </w:footnote>
  <w:footnote w:id="23">
    <w:p w14:paraId="60746F03" w14:textId="7C8B1DF5" w:rsidR="00455910" w:rsidRPr="00C54666" w:rsidRDefault="00455910" w:rsidP="00455910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>Viz Evropský konsensus o rozvoji (2006); sdělení Evropské komise o podpoře důstojné práce pro všechny (2006); Agenda</w:t>
      </w:r>
      <w:r w:rsidR="00271132">
        <w:t> </w:t>
      </w:r>
      <w:r>
        <w:t>pro</w:t>
      </w:r>
      <w:r w:rsidR="00271132">
        <w:t> </w:t>
      </w:r>
      <w:r>
        <w:t xml:space="preserve">změnu, Evropská komise (2011); Nový Evropský konsensus o rozvoji (2017); Pracovní dokument útvarů Komise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decent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worldwide</w:t>
      </w:r>
      <w:proofErr w:type="spellEnd"/>
      <w:r>
        <w:t xml:space="preserve">: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 for a fair, </w:t>
      </w:r>
      <w:proofErr w:type="spellStart"/>
      <w:r>
        <w:t>sustainable</w:t>
      </w:r>
      <w:proofErr w:type="spellEnd"/>
      <w:r>
        <w:t xml:space="preserve"> and </w:t>
      </w:r>
      <w:proofErr w:type="spellStart"/>
      <w:r>
        <w:t>resilient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COVID-19 </w:t>
      </w:r>
      <w:proofErr w:type="spellStart"/>
      <w:r>
        <w:t>crisis</w:t>
      </w:r>
      <w:proofErr w:type="spellEnd"/>
      <w:r>
        <w:t xml:space="preserve"> (Podpora důstojné práce na celém světě: Odpovědné celosvětové hodnotové řetězce pro spravedlivé, udržitelné a odolné oživení po krizi COVID-19), Evropská komise (2020); Nový nástroj pro sousedství a rozvojovou a mezinárodní spolupráci (NDICI) Evropské unie (2020).</w:t>
      </w:r>
    </w:p>
  </w:footnote>
  <w:footnote w:id="24">
    <w:p w14:paraId="6DD39E5A" w14:textId="23865EF6" w:rsidR="00455910" w:rsidRPr="00C54666" w:rsidRDefault="00455910" w:rsidP="00455910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proofErr w:type="spellStart"/>
      <w:r>
        <w:t>Fairlie</w:t>
      </w:r>
      <w:proofErr w:type="spellEnd"/>
      <w:r>
        <w:t xml:space="preserve"> </w:t>
      </w:r>
      <w:proofErr w:type="spellStart"/>
      <w:r>
        <w:t>Reinoso</w:t>
      </w:r>
      <w:proofErr w:type="spellEnd"/>
      <w:r>
        <w:t xml:space="preserve"> A. (2022), </w:t>
      </w:r>
      <w:proofErr w:type="spellStart"/>
      <w:r>
        <w:rPr>
          <w:i/>
        </w:rPr>
        <w:t>Nuevos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retos</w:t>
      </w:r>
      <w:proofErr w:type="spellEnd"/>
      <w:r>
        <w:rPr>
          <w:i/>
        </w:rPr>
        <w:t xml:space="preserve"> para el </w:t>
      </w:r>
      <w:proofErr w:type="spellStart"/>
      <w:r>
        <w:rPr>
          <w:i/>
        </w:rPr>
        <w:t>Acuerdo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Comercial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Multipartes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Unión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Europea</w:t>
      </w:r>
      <w:proofErr w:type="spellEnd"/>
      <w:r>
        <w:rPr>
          <w:i/>
        </w:rPr>
        <w:t xml:space="preserve"> con </w:t>
      </w:r>
      <w:proofErr w:type="spellStart"/>
      <w:r>
        <w:rPr>
          <w:i/>
        </w:rPr>
        <w:t>Perú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Colombia</w:t>
      </w:r>
      <w:proofErr w:type="spellEnd"/>
      <w:r w:rsidR="00271132">
        <w:rPr>
          <w:i/>
        </w:rPr>
        <w:t> </w:t>
      </w:r>
      <w:r>
        <w:rPr>
          <w:i/>
        </w:rPr>
        <w:t>y</w:t>
      </w:r>
      <w:r w:rsidR="00271132">
        <w:rPr>
          <w:i/>
        </w:rPr>
        <w:t> </w:t>
      </w:r>
      <w:r>
        <w:rPr>
          <w:i/>
        </w:rPr>
        <w:t>Ecuador</w:t>
      </w:r>
      <w:r>
        <w:t xml:space="preserve"> (Nové výzvy pro mnohostrannou obchodní dohodu Evropské unie s Peru, Kolumbií a Ekvádorem); </w:t>
      </w:r>
      <w:proofErr w:type="spellStart"/>
      <w:r>
        <w:t>Fundación</w:t>
      </w:r>
      <w:proofErr w:type="spellEnd"/>
      <w:r w:rsidR="00271132">
        <w:t> </w:t>
      </w:r>
      <w:r>
        <w:t>Carolina-EULAC.</w:t>
      </w:r>
    </w:p>
  </w:footnote>
  <w:footnote w:id="25">
    <w:p w14:paraId="521BD09D" w14:textId="7D682740" w:rsidR="004A4E89" w:rsidRPr="00C54666" w:rsidRDefault="004A4E89" w:rsidP="004A4E89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r>
        <w:t>Sdělení Komise Evropskému parlamentu, Evropské radě, Radě, Evropskému hospodářskému a sociálnímu výboru a Výboru regionů – Zelená dohoda pro Evropu [COM(2019) 640].</w:t>
      </w:r>
    </w:p>
  </w:footnote>
  <w:footnote w:id="26">
    <w:p w14:paraId="101EEA0F" w14:textId="5676A757" w:rsidR="004A4E89" w:rsidRPr="00C54666" w:rsidRDefault="004A4E89" w:rsidP="004A4E89">
      <w:pPr>
        <w:pStyle w:val="FootnoteText"/>
        <w:rPr>
          <w:szCs w:val="16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</w:rPr>
        <w:tab/>
      </w:r>
      <w:proofErr w:type="spellStart"/>
      <w:r>
        <w:t>Giles</w:t>
      </w:r>
      <w:proofErr w:type="spellEnd"/>
      <w:r>
        <w:t xml:space="preserve"> </w:t>
      </w:r>
      <w:proofErr w:type="spellStart"/>
      <w:r>
        <w:t>Carnero</w:t>
      </w:r>
      <w:proofErr w:type="spellEnd"/>
      <w:r>
        <w:t xml:space="preserve">, R. (2021) </w:t>
      </w:r>
      <w:r>
        <w:rPr>
          <w:i/>
        </w:rPr>
        <w:t xml:space="preserve">La </w:t>
      </w:r>
      <w:proofErr w:type="spellStart"/>
      <w:r>
        <w:rPr>
          <w:i/>
        </w:rPr>
        <w:t>oportunidad</w:t>
      </w:r>
      <w:proofErr w:type="spellEnd"/>
      <w:r>
        <w:rPr>
          <w:i/>
        </w:rPr>
        <w:t xml:space="preserve"> de una </w:t>
      </w:r>
      <w:proofErr w:type="spellStart"/>
      <w:r>
        <w:rPr>
          <w:i/>
        </w:rPr>
        <w:t>cláusula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ambiental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elementos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esenciales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acuerdos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comerciales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Unión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Europea</w:t>
      </w:r>
      <w:proofErr w:type="spellEnd"/>
      <w:r>
        <w:rPr>
          <w:i/>
        </w:rPr>
        <w:t xml:space="preserve"> con </w:t>
      </w:r>
      <w:proofErr w:type="spellStart"/>
      <w:r>
        <w:rPr>
          <w:i/>
        </w:rPr>
        <w:t>Estados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terceros</w:t>
      </w:r>
      <w:proofErr w:type="spellEnd"/>
      <w:r>
        <w:rPr>
          <w:i/>
        </w:rPr>
        <w:t xml:space="preserve">: a </w:t>
      </w:r>
      <w:proofErr w:type="spellStart"/>
      <w:r>
        <w:rPr>
          <w:i/>
        </w:rPr>
        <w:t>propósito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Acuerdo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Europea-Mercosur</w:t>
      </w:r>
      <w:proofErr w:type="spellEnd"/>
      <w:r>
        <w:t xml:space="preserve"> (Vhodnost environmentální doložky týkající se podstatných prvků v obchodních dohodách Evropské unie se třetími zeměmi: případ dohody Evropská unie – </w:t>
      </w:r>
      <w:proofErr w:type="spellStart"/>
      <w:r>
        <w:t>Mercosur</w:t>
      </w:r>
      <w:proofErr w:type="spellEnd"/>
      <w:r>
        <w:t xml:space="preserve">); </w:t>
      </w:r>
      <w:proofErr w:type="spellStart"/>
      <w:r>
        <w:t>Fundación</w:t>
      </w:r>
      <w:proofErr w:type="spellEnd"/>
      <w:r>
        <w:t xml:space="preserve"> Carolina, pracovní dokument. 44.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1569A" w14:textId="77777777" w:rsidR="008F3C55" w:rsidRPr="008F3C55" w:rsidRDefault="008F3C55" w:rsidP="008F3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CA6A8" w14:textId="77777777" w:rsidR="008F3C55" w:rsidRPr="008F3C55" w:rsidRDefault="008F3C55" w:rsidP="008F3C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F1147" w14:textId="77777777" w:rsidR="008F3C55" w:rsidRPr="008F3C55" w:rsidRDefault="008F3C55" w:rsidP="008F3C5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50194" w14:textId="77777777" w:rsidR="004E5FA9" w:rsidRPr="008F3C55" w:rsidRDefault="004E5FA9" w:rsidP="008F3C5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5CEF" w14:textId="4F858BB0" w:rsidR="004E5FA9" w:rsidRPr="008F3C55" w:rsidRDefault="004E5FA9" w:rsidP="008F3C5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E5149" w14:textId="77777777" w:rsidR="004E5FA9" w:rsidRPr="008F3C55" w:rsidRDefault="004E5FA9" w:rsidP="008F3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C1C403C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463545C"/>
    <w:multiLevelType w:val="multilevel"/>
    <w:tmpl w:val="55AC41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7E034DA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92275B6"/>
    <w:multiLevelType w:val="hybridMultilevel"/>
    <w:tmpl w:val="48D0AA44"/>
    <w:lvl w:ilvl="0" w:tplc="BA664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E1CEC"/>
    <w:multiLevelType w:val="multilevel"/>
    <w:tmpl w:val="84788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516CF0"/>
    <w:multiLevelType w:val="multilevel"/>
    <w:tmpl w:val="0BD8CF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7F3D22"/>
    <w:multiLevelType w:val="multilevel"/>
    <w:tmpl w:val="A66E6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A6C7A0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8F0E22"/>
    <w:multiLevelType w:val="multilevel"/>
    <w:tmpl w:val="2DC0A6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D134797"/>
    <w:multiLevelType w:val="hybridMultilevel"/>
    <w:tmpl w:val="4D4A84F6"/>
    <w:lvl w:ilvl="0" w:tplc="C896AEAC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33452"/>
    <w:multiLevelType w:val="hybridMultilevel"/>
    <w:tmpl w:val="DAF0B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D2CBD"/>
    <w:multiLevelType w:val="multilevel"/>
    <w:tmpl w:val="844280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0E36C4E"/>
    <w:multiLevelType w:val="hybridMultilevel"/>
    <w:tmpl w:val="5B984B46"/>
    <w:lvl w:ilvl="0" w:tplc="8C9E033A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40C81"/>
    <w:multiLevelType w:val="multilevel"/>
    <w:tmpl w:val="D908B8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7DF160C1"/>
    <w:multiLevelType w:val="multilevel"/>
    <w:tmpl w:val="BA2E17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2.1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FF0000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4"/>
  </w:num>
  <w:num w:numId="5">
    <w:abstractNumId w:val="13"/>
  </w:num>
  <w:num w:numId="6">
    <w:abstractNumId w:val="1"/>
  </w:num>
  <w:num w:numId="7">
    <w:abstractNumId w:val="12"/>
  </w:num>
  <w:num w:numId="8">
    <w:abstractNumId w:val="0"/>
  </w:num>
  <w:num w:numId="9">
    <w:abstractNumId w:val="0"/>
  </w:num>
  <w:num w:numId="10">
    <w:abstractNumId w:val="0"/>
  </w:num>
  <w:num w:numId="11">
    <w:abstractNumId w:val="5"/>
  </w:num>
  <w:num w:numId="12">
    <w:abstractNumId w:val="11"/>
  </w:num>
  <w:num w:numId="13">
    <w:abstractNumId w:val="0"/>
  </w:num>
  <w:num w:numId="14">
    <w:abstractNumId w:val="0"/>
  </w:num>
  <w:num w:numId="15">
    <w:abstractNumId w:val="6"/>
  </w:num>
  <w:num w:numId="16">
    <w:abstractNumId w:val="8"/>
  </w:num>
  <w:num w:numId="17">
    <w:abstractNumId w:val="10"/>
  </w:num>
  <w:num w:numId="18">
    <w:abstractNumId w:val="7"/>
  </w:num>
  <w:num w:numId="19">
    <w:abstractNumId w:val="2"/>
  </w:num>
  <w:num w:numId="20">
    <w:abstractNumId w:val="3"/>
  </w:num>
  <w:num w:numId="2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es-ES" w:vendorID="64" w:dllVersion="6" w:nlCheck="1" w:checkStyle="0"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F"/>
    <w:rsid w:val="00003E69"/>
    <w:rsid w:val="00005AB9"/>
    <w:rsid w:val="00005EB9"/>
    <w:rsid w:val="00006749"/>
    <w:rsid w:val="00006E24"/>
    <w:rsid w:val="00007A40"/>
    <w:rsid w:val="00007BA9"/>
    <w:rsid w:val="00011D33"/>
    <w:rsid w:val="00012E03"/>
    <w:rsid w:val="00020E6E"/>
    <w:rsid w:val="00021E20"/>
    <w:rsid w:val="00023EBA"/>
    <w:rsid w:val="00024A88"/>
    <w:rsid w:val="00031A4B"/>
    <w:rsid w:val="00033913"/>
    <w:rsid w:val="00033E5B"/>
    <w:rsid w:val="00033FF2"/>
    <w:rsid w:val="000357A8"/>
    <w:rsid w:val="00037B4C"/>
    <w:rsid w:val="000428EE"/>
    <w:rsid w:val="000430A6"/>
    <w:rsid w:val="00044923"/>
    <w:rsid w:val="000522F8"/>
    <w:rsid w:val="0005249C"/>
    <w:rsid w:val="000534A5"/>
    <w:rsid w:val="0005680D"/>
    <w:rsid w:val="0006109E"/>
    <w:rsid w:val="00062407"/>
    <w:rsid w:val="00063FB4"/>
    <w:rsid w:val="00065502"/>
    <w:rsid w:val="0006708E"/>
    <w:rsid w:val="0006793E"/>
    <w:rsid w:val="00070A08"/>
    <w:rsid w:val="00072E0F"/>
    <w:rsid w:val="000735E5"/>
    <w:rsid w:val="0007392F"/>
    <w:rsid w:val="0007532F"/>
    <w:rsid w:val="000760D3"/>
    <w:rsid w:val="00076531"/>
    <w:rsid w:val="0008242A"/>
    <w:rsid w:val="00086A47"/>
    <w:rsid w:val="00087B39"/>
    <w:rsid w:val="00087EF6"/>
    <w:rsid w:val="00094B26"/>
    <w:rsid w:val="00096502"/>
    <w:rsid w:val="000A1E09"/>
    <w:rsid w:val="000A3F7B"/>
    <w:rsid w:val="000A49BB"/>
    <w:rsid w:val="000A5273"/>
    <w:rsid w:val="000B7644"/>
    <w:rsid w:val="000C3441"/>
    <w:rsid w:val="000C38A2"/>
    <w:rsid w:val="000C4995"/>
    <w:rsid w:val="000C76EA"/>
    <w:rsid w:val="000C7F53"/>
    <w:rsid w:val="000D1A4C"/>
    <w:rsid w:val="000D2F8E"/>
    <w:rsid w:val="000D408F"/>
    <w:rsid w:val="000D54D8"/>
    <w:rsid w:val="000D731D"/>
    <w:rsid w:val="000D7A71"/>
    <w:rsid w:val="000D7ECE"/>
    <w:rsid w:val="000E0C21"/>
    <w:rsid w:val="000E1EFC"/>
    <w:rsid w:val="000E1F69"/>
    <w:rsid w:val="000E2248"/>
    <w:rsid w:val="000E6242"/>
    <w:rsid w:val="000E657B"/>
    <w:rsid w:val="000E690E"/>
    <w:rsid w:val="000E6BF0"/>
    <w:rsid w:val="000F196B"/>
    <w:rsid w:val="000F4C06"/>
    <w:rsid w:val="00101D7B"/>
    <w:rsid w:val="00101EA8"/>
    <w:rsid w:val="00105361"/>
    <w:rsid w:val="00106745"/>
    <w:rsid w:val="0010678B"/>
    <w:rsid w:val="001101F8"/>
    <w:rsid w:val="00111650"/>
    <w:rsid w:val="0011206F"/>
    <w:rsid w:val="00112E76"/>
    <w:rsid w:val="001136AC"/>
    <w:rsid w:val="00114405"/>
    <w:rsid w:val="0011656A"/>
    <w:rsid w:val="0012220C"/>
    <w:rsid w:val="0012536D"/>
    <w:rsid w:val="001263BD"/>
    <w:rsid w:val="00127D92"/>
    <w:rsid w:val="00136EA3"/>
    <w:rsid w:val="00137575"/>
    <w:rsid w:val="00144231"/>
    <w:rsid w:val="00147863"/>
    <w:rsid w:val="00147A98"/>
    <w:rsid w:val="00150434"/>
    <w:rsid w:val="0015080C"/>
    <w:rsid w:val="00155721"/>
    <w:rsid w:val="0015678B"/>
    <w:rsid w:val="00156CC2"/>
    <w:rsid w:val="00157018"/>
    <w:rsid w:val="0016503F"/>
    <w:rsid w:val="0016615F"/>
    <w:rsid w:val="0016674F"/>
    <w:rsid w:val="001667AE"/>
    <w:rsid w:val="00167398"/>
    <w:rsid w:val="00167CA0"/>
    <w:rsid w:val="0017120D"/>
    <w:rsid w:val="001712E7"/>
    <w:rsid w:val="001714F6"/>
    <w:rsid w:val="001734A2"/>
    <w:rsid w:val="001744F9"/>
    <w:rsid w:val="00176168"/>
    <w:rsid w:val="00177158"/>
    <w:rsid w:val="001808A5"/>
    <w:rsid w:val="00181487"/>
    <w:rsid w:val="00183F06"/>
    <w:rsid w:val="00184FD4"/>
    <w:rsid w:val="001855BC"/>
    <w:rsid w:val="0018692A"/>
    <w:rsid w:val="00186B04"/>
    <w:rsid w:val="00186F1E"/>
    <w:rsid w:val="00187538"/>
    <w:rsid w:val="00190836"/>
    <w:rsid w:val="00193930"/>
    <w:rsid w:val="0019464B"/>
    <w:rsid w:val="00194D8A"/>
    <w:rsid w:val="00195C18"/>
    <w:rsid w:val="001963A5"/>
    <w:rsid w:val="00196F1E"/>
    <w:rsid w:val="00197BEF"/>
    <w:rsid w:val="00197FCA"/>
    <w:rsid w:val="001A120F"/>
    <w:rsid w:val="001A1218"/>
    <w:rsid w:val="001A27DB"/>
    <w:rsid w:val="001A50CD"/>
    <w:rsid w:val="001A6852"/>
    <w:rsid w:val="001B09C8"/>
    <w:rsid w:val="001B286A"/>
    <w:rsid w:val="001B2D02"/>
    <w:rsid w:val="001B3647"/>
    <w:rsid w:val="001B77B5"/>
    <w:rsid w:val="001B77FA"/>
    <w:rsid w:val="001C07D4"/>
    <w:rsid w:val="001C0ABE"/>
    <w:rsid w:val="001C3C7A"/>
    <w:rsid w:val="001C405C"/>
    <w:rsid w:val="001C5807"/>
    <w:rsid w:val="001C5852"/>
    <w:rsid w:val="001D3244"/>
    <w:rsid w:val="001D45F0"/>
    <w:rsid w:val="001E0097"/>
    <w:rsid w:val="001E0183"/>
    <w:rsid w:val="001E172E"/>
    <w:rsid w:val="001E1AB8"/>
    <w:rsid w:val="001E4A33"/>
    <w:rsid w:val="001E5C27"/>
    <w:rsid w:val="001E60DA"/>
    <w:rsid w:val="001E704E"/>
    <w:rsid w:val="001E768E"/>
    <w:rsid w:val="001F0B12"/>
    <w:rsid w:val="001F5373"/>
    <w:rsid w:val="001F602B"/>
    <w:rsid w:val="001F6AC8"/>
    <w:rsid w:val="001F7259"/>
    <w:rsid w:val="00202CF8"/>
    <w:rsid w:val="002037D5"/>
    <w:rsid w:val="00206F90"/>
    <w:rsid w:val="00212B03"/>
    <w:rsid w:val="002131AE"/>
    <w:rsid w:val="00215A0D"/>
    <w:rsid w:val="00215C10"/>
    <w:rsid w:val="00215C2D"/>
    <w:rsid w:val="00215D3E"/>
    <w:rsid w:val="00215DEC"/>
    <w:rsid w:val="00217BA3"/>
    <w:rsid w:val="00220B8F"/>
    <w:rsid w:val="002252C4"/>
    <w:rsid w:val="002259F4"/>
    <w:rsid w:val="0022796A"/>
    <w:rsid w:val="0023183E"/>
    <w:rsid w:val="00231DE1"/>
    <w:rsid w:val="00235103"/>
    <w:rsid w:val="00235138"/>
    <w:rsid w:val="0023618E"/>
    <w:rsid w:val="00242E3A"/>
    <w:rsid w:val="00243E36"/>
    <w:rsid w:val="0024540B"/>
    <w:rsid w:val="00245EF4"/>
    <w:rsid w:val="00250A18"/>
    <w:rsid w:val="00250C08"/>
    <w:rsid w:val="00250E11"/>
    <w:rsid w:val="00251383"/>
    <w:rsid w:val="002522C9"/>
    <w:rsid w:val="00252A21"/>
    <w:rsid w:val="002537D5"/>
    <w:rsid w:val="00253E4F"/>
    <w:rsid w:val="002542E4"/>
    <w:rsid w:val="00261053"/>
    <w:rsid w:val="00262FDE"/>
    <w:rsid w:val="00263629"/>
    <w:rsid w:val="00265081"/>
    <w:rsid w:val="002651B4"/>
    <w:rsid w:val="00266104"/>
    <w:rsid w:val="00266CC1"/>
    <w:rsid w:val="00267211"/>
    <w:rsid w:val="00267346"/>
    <w:rsid w:val="00270409"/>
    <w:rsid w:val="00270597"/>
    <w:rsid w:val="00270FBE"/>
    <w:rsid w:val="00271132"/>
    <w:rsid w:val="00273BBF"/>
    <w:rsid w:val="002754BE"/>
    <w:rsid w:val="002758DE"/>
    <w:rsid w:val="002769BD"/>
    <w:rsid w:val="00276A75"/>
    <w:rsid w:val="0027775D"/>
    <w:rsid w:val="002809E3"/>
    <w:rsid w:val="002809EA"/>
    <w:rsid w:val="00281E30"/>
    <w:rsid w:val="002836EA"/>
    <w:rsid w:val="00284962"/>
    <w:rsid w:val="00285B02"/>
    <w:rsid w:val="00287B0E"/>
    <w:rsid w:val="0029473F"/>
    <w:rsid w:val="00295BA4"/>
    <w:rsid w:val="002A0B53"/>
    <w:rsid w:val="002A0EEF"/>
    <w:rsid w:val="002A2BD0"/>
    <w:rsid w:val="002A56C1"/>
    <w:rsid w:val="002A62B5"/>
    <w:rsid w:val="002A76F9"/>
    <w:rsid w:val="002B2DF7"/>
    <w:rsid w:val="002B3788"/>
    <w:rsid w:val="002B48BD"/>
    <w:rsid w:val="002B6883"/>
    <w:rsid w:val="002B6FEC"/>
    <w:rsid w:val="002C1DB1"/>
    <w:rsid w:val="002C3348"/>
    <w:rsid w:val="002C3BF4"/>
    <w:rsid w:val="002C422D"/>
    <w:rsid w:val="002C6E9A"/>
    <w:rsid w:val="002C749F"/>
    <w:rsid w:val="002C7662"/>
    <w:rsid w:val="002C7AFA"/>
    <w:rsid w:val="002D0F38"/>
    <w:rsid w:val="002D104A"/>
    <w:rsid w:val="002D2660"/>
    <w:rsid w:val="002D41BB"/>
    <w:rsid w:val="002D7A4B"/>
    <w:rsid w:val="002E0A62"/>
    <w:rsid w:val="002E3818"/>
    <w:rsid w:val="002E6137"/>
    <w:rsid w:val="002E7B33"/>
    <w:rsid w:val="002F059B"/>
    <w:rsid w:val="002F0C61"/>
    <w:rsid w:val="002F25E7"/>
    <w:rsid w:val="002F4241"/>
    <w:rsid w:val="002F5B0B"/>
    <w:rsid w:val="002F5F6B"/>
    <w:rsid w:val="002F77D5"/>
    <w:rsid w:val="00300924"/>
    <w:rsid w:val="0030172F"/>
    <w:rsid w:val="003024BC"/>
    <w:rsid w:val="003033E6"/>
    <w:rsid w:val="00304E5C"/>
    <w:rsid w:val="00304EBF"/>
    <w:rsid w:val="0030596E"/>
    <w:rsid w:val="00306AE6"/>
    <w:rsid w:val="003073C3"/>
    <w:rsid w:val="003106DE"/>
    <w:rsid w:val="003137C8"/>
    <w:rsid w:val="00316E60"/>
    <w:rsid w:val="003208C7"/>
    <w:rsid w:val="00322D09"/>
    <w:rsid w:val="00323637"/>
    <w:rsid w:val="00324D6B"/>
    <w:rsid w:val="00324E8A"/>
    <w:rsid w:val="00326793"/>
    <w:rsid w:val="00327BC1"/>
    <w:rsid w:val="00331D87"/>
    <w:rsid w:val="00332038"/>
    <w:rsid w:val="00332850"/>
    <w:rsid w:val="00334478"/>
    <w:rsid w:val="003346B4"/>
    <w:rsid w:val="00334AE6"/>
    <w:rsid w:val="003352FF"/>
    <w:rsid w:val="00335E6C"/>
    <w:rsid w:val="003365D0"/>
    <w:rsid w:val="003436F9"/>
    <w:rsid w:val="003439AB"/>
    <w:rsid w:val="0035034C"/>
    <w:rsid w:val="00351C60"/>
    <w:rsid w:val="00354237"/>
    <w:rsid w:val="00354695"/>
    <w:rsid w:val="0035549B"/>
    <w:rsid w:val="003564C9"/>
    <w:rsid w:val="003624C8"/>
    <w:rsid w:val="00366887"/>
    <w:rsid w:val="00367AEE"/>
    <w:rsid w:val="00367D0E"/>
    <w:rsid w:val="003723A0"/>
    <w:rsid w:val="003736A1"/>
    <w:rsid w:val="00374328"/>
    <w:rsid w:val="003755C8"/>
    <w:rsid w:val="00375687"/>
    <w:rsid w:val="00376320"/>
    <w:rsid w:val="00377286"/>
    <w:rsid w:val="00380AE0"/>
    <w:rsid w:val="00383324"/>
    <w:rsid w:val="00383366"/>
    <w:rsid w:val="00383B7C"/>
    <w:rsid w:val="00385D02"/>
    <w:rsid w:val="00386C3E"/>
    <w:rsid w:val="00387A75"/>
    <w:rsid w:val="00387E6E"/>
    <w:rsid w:val="003904FD"/>
    <w:rsid w:val="00393119"/>
    <w:rsid w:val="00394254"/>
    <w:rsid w:val="003A5B58"/>
    <w:rsid w:val="003A6AC4"/>
    <w:rsid w:val="003A6C8A"/>
    <w:rsid w:val="003B03E8"/>
    <w:rsid w:val="003B4D8B"/>
    <w:rsid w:val="003B6DA4"/>
    <w:rsid w:val="003C14CB"/>
    <w:rsid w:val="003C1DC9"/>
    <w:rsid w:val="003C2BFB"/>
    <w:rsid w:val="003C436B"/>
    <w:rsid w:val="003C4B88"/>
    <w:rsid w:val="003C5337"/>
    <w:rsid w:val="003C5F92"/>
    <w:rsid w:val="003D0DD0"/>
    <w:rsid w:val="003D1BDC"/>
    <w:rsid w:val="003D1E15"/>
    <w:rsid w:val="003D3CCC"/>
    <w:rsid w:val="003D3F8E"/>
    <w:rsid w:val="003D5DCA"/>
    <w:rsid w:val="003D6049"/>
    <w:rsid w:val="003D7076"/>
    <w:rsid w:val="003D7A8C"/>
    <w:rsid w:val="003D7C00"/>
    <w:rsid w:val="003D7C38"/>
    <w:rsid w:val="003E2C26"/>
    <w:rsid w:val="003E52EA"/>
    <w:rsid w:val="003E56E5"/>
    <w:rsid w:val="003E7E60"/>
    <w:rsid w:val="003F00D4"/>
    <w:rsid w:val="003F2209"/>
    <w:rsid w:val="003F3D39"/>
    <w:rsid w:val="003F4BB1"/>
    <w:rsid w:val="003F55BD"/>
    <w:rsid w:val="003F646A"/>
    <w:rsid w:val="003F6761"/>
    <w:rsid w:val="003F6A0A"/>
    <w:rsid w:val="004024F5"/>
    <w:rsid w:val="00402DE1"/>
    <w:rsid w:val="00403D8B"/>
    <w:rsid w:val="004058F1"/>
    <w:rsid w:val="00406EBC"/>
    <w:rsid w:val="004072A9"/>
    <w:rsid w:val="004074BE"/>
    <w:rsid w:val="00407E7D"/>
    <w:rsid w:val="0041283D"/>
    <w:rsid w:val="00413AB4"/>
    <w:rsid w:val="00421373"/>
    <w:rsid w:val="00421FB7"/>
    <w:rsid w:val="004229CD"/>
    <w:rsid w:val="004241CB"/>
    <w:rsid w:val="004249D5"/>
    <w:rsid w:val="0042763B"/>
    <w:rsid w:val="0043024C"/>
    <w:rsid w:val="00431DDC"/>
    <w:rsid w:val="004333DB"/>
    <w:rsid w:val="00435513"/>
    <w:rsid w:val="00436706"/>
    <w:rsid w:val="00442A38"/>
    <w:rsid w:val="004432D8"/>
    <w:rsid w:val="00443D38"/>
    <w:rsid w:val="004447EC"/>
    <w:rsid w:val="00446E31"/>
    <w:rsid w:val="00450E7A"/>
    <w:rsid w:val="00453D2B"/>
    <w:rsid w:val="00455686"/>
    <w:rsid w:val="00455910"/>
    <w:rsid w:val="00456AF8"/>
    <w:rsid w:val="00462D55"/>
    <w:rsid w:val="00465986"/>
    <w:rsid w:val="00470B15"/>
    <w:rsid w:val="00472422"/>
    <w:rsid w:val="004725E0"/>
    <w:rsid w:val="00472FC2"/>
    <w:rsid w:val="00475869"/>
    <w:rsid w:val="00475A77"/>
    <w:rsid w:val="00475F1F"/>
    <w:rsid w:val="00476A2C"/>
    <w:rsid w:val="00476B9E"/>
    <w:rsid w:val="00480C83"/>
    <w:rsid w:val="00485866"/>
    <w:rsid w:val="004866A9"/>
    <w:rsid w:val="00487806"/>
    <w:rsid w:val="004912EC"/>
    <w:rsid w:val="004917FC"/>
    <w:rsid w:val="00492774"/>
    <w:rsid w:val="00493B3C"/>
    <w:rsid w:val="004965E3"/>
    <w:rsid w:val="00496D7A"/>
    <w:rsid w:val="00497E52"/>
    <w:rsid w:val="004A0387"/>
    <w:rsid w:val="004A2F42"/>
    <w:rsid w:val="004A31BC"/>
    <w:rsid w:val="004A3F1A"/>
    <w:rsid w:val="004A3F45"/>
    <w:rsid w:val="004A44E8"/>
    <w:rsid w:val="004A4E89"/>
    <w:rsid w:val="004A5738"/>
    <w:rsid w:val="004A70DF"/>
    <w:rsid w:val="004B1AFA"/>
    <w:rsid w:val="004B22B0"/>
    <w:rsid w:val="004B5593"/>
    <w:rsid w:val="004B6789"/>
    <w:rsid w:val="004B7088"/>
    <w:rsid w:val="004B7A6E"/>
    <w:rsid w:val="004C0AEE"/>
    <w:rsid w:val="004C14D2"/>
    <w:rsid w:val="004C3DB2"/>
    <w:rsid w:val="004C4D12"/>
    <w:rsid w:val="004C5B76"/>
    <w:rsid w:val="004C6255"/>
    <w:rsid w:val="004D02CD"/>
    <w:rsid w:val="004D0B24"/>
    <w:rsid w:val="004D27B9"/>
    <w:rsid w:val="004D4B90"/>
    <w:rsid w:val="004D6B95"/>
    <w:rsid w:val="004D7F41"/>
    <w:rsid w:val="004E03A2"/>
    <w:rsid w:val="004E317E"/>
    <w:rsid w:val="004E3954"/>
    <w:rsid w:val="004E4B22"/>
    <w:rsid w:val="004E52EF"/>
    <w:rsid w:val="004E5856"/>
    <w:rsid w:val="004E5FA9"/>
    <w:rsid w:val="004E616C"/>
    <w:rsid w:val="004F2330"/>
    <w:rsid w:val="004F354D"/>
    <w:rsid w:val="004F53C6"/>
    <w:rsid w:val="004F55C6"/>
    <w:rsid w:val="004F691D"/>
    <w:rsid w:val="004F69DB"/>
    <w:rsid w:val="004F6B87"/>
    <w:rsid w:val="004F78F3"/>
    <w:rsid w:val="004F7D22"/>
    <w:rsid w:val="00501C2D"/>
    <w:rsid w:val="00502637"/>
    <w:rsid w:val="00504F85"/>
    <w:rsid w:val="0050786D"/>
    <w:rsid w:val="00511140"/>
    <w:rsid w:val="00513CFE"/>
    <w:rsid w:val="005151F8"/>
    <w:rsid w:val="005215CE"/>
    <w:rsid w:val="0052360F"/>
    <w:rsid w:val="00523B6A"/>
    <w:rsid w:val="005242EC"/>
    <w:rsid w:val="005251AE"/>
    <w:rsid w:val="005255DE"/>
    <w:rsid w:val="00525F6C"/>
    <w:rsid w:val="00535C45"/>
    <w:rsid w:val="00542A4F"/>
    <w:rsid w:val="00546AB4"/>
    <w:rsid w:val="005514E5"/>
    <w:rsid w:val="00562711"/>
    <w:rsid w:val="00563C84"/>
    <w:rsid w:val="0057243E"/>
    <w:rsid w:val="005756FE"/>
    <w:rsid w:val="005762F6"/>
    <w:rsid w:val="005800B0"/>
    <w:rsid w:val="00580429"/>
    <w:rsid w:val="00584FBE"/>
    <w:rsid w:val="0058538F"/>
    <w:rsid w:val="00585483"/>
    <w:rsid w:val="005863C5"/>
    <w:rsid w:val="00587378"/>
    <w:rsid w:val="00587C05"/>
    <w:rsid w:val="00590AAB"/>
    <w:rsid w:val="00591067"/>
    <w:rsid w:val="005938C3"/>
    <w:rsid w:val="00594149"/>
    <w:rsid w:val="0059468C"/>
    <w:rsid w:val="00595125"/>
    <w:rsid w:val="00596F21"/>
    <w:rsid w:val="0059782C"/>
    <w:rsid w:val="00597DFF"/>
    <w:rsid w:val="005A19B9"/>
    <w:rsid w:val="005A6E91"/>
    <w:rsid w:val="005B1CDD"/>
    <w:rsid w:val="005B1E19"/>
    <w:rsid w:val="005B55FC"/>
    <w:rsid w:val="005B6780"/>
    <w:rsid w:val="005C2C53"/>
    <w:rsid w:val="005C2D5E"/>
    <w:rsid w:val="005C3B81"/>
    <w:rsid w:val="005C650C"/>
    <w:rsid w:val="005D086C"/>
    <w:rsid w:val="005D11D3"/>
    <w:rsid w:val="005D2355"/>
    <w:rsid w:val="005D25F6"/>
    <w:rsid w:val="005D3271"/>
    <w:rsid w:val="005D4777"/>
    <w:rsid w:val="005D4E1F"/>
    <w:rsid w:val="005D4F1A"/>
    <w:rsid w:val="005D4FB3"/>
    <w:rsid w:val="005E2F07"/>
    <w:rsid w:val="005E2FEA"/>
    <w:rsid w:val="005E3D86"/>
    <w:rsid w:val="005E561D"/>
    <w:rsid w:val="005E67EC"/>
    <w:rsid w:val="005E6D44"/>
    <w:rsid w:val="005E6EEE"/>
    <w:rsid w:val="005F285B"/>
    <w:rsid w:val="005F314B"/>
    <w:rsid w:val="005F3155"/>
    <w:rsid w:val="005F382B"/>
    <w:rsid w:val="005F729F"/>
    <w:rsid w:val="00607C08"/>
    <w:rsid w:val="00611AF2"/>
    <w:rsid w:val="0061212B"/>
    <w:rsid w:val="006123E1"/>
    <w:rsid w:val="006127AF"/>
    <w:rsid w:val="0061317A"/>
    <w:rsid w:val="00613409"/>
    <w:rsid w:val="0061368A"/>
    <w:rsid w:val="00613A98"/>
    <w:rsid w:val="00615FB2"/>
    <w:rsid w:val="00617BD1"/>
    <w:rsid w:val="00617CE8"/>
    <w:rsid w:val="00621386"/>
    <w:rsid w:val="00623EDC"/>
    <w:rsid w:val="00624314"/>
    <w:rsid w:val="00625DB2"/>
    <w:rsid w:val="00626D19"/>
    <w:rsid w:val="006278A0"/>
    <w:rsid w:val="006301E4"/>
    <w:rsid w:val="0063095F"/>
    <w:rsid w:val="006312AC"/>
    <w:rsid w:val="006314BE"/>
    <w:rsid w:val="00631CBD"/>
    <w:rsid w:val="006330F1"/>
    <w:rsid w:val="00635337"/>
    <w:rsid w:val="0063704F"/>
    <w:rsid w:val="006451F7"/>
    <w:rsid w:val="006455DD"/>
    <w:rsid w:val="00646829"/>
    <w:rsid w:val="00646AC2"/>
    <w:rsid w:val="00650390"/>
    <w:rsid w:val="0065286E"/>
    <w:rsid w:val="00654DAB"/>
    <w:rsid w:val="006569CD"/>
    <w:rsid w:val="006579DF"/>
    <w:rsid w:val="0066204A"/>
    <w:rsid w:val="00663FE9"/>
    <w:rsid w:val="00665C51"/>
    <w:rsid w:val="00670E3C"/>
    <w:rsid w:val="00676843"/>
    <w:rsid w:val="00677F57"/>
    <w:rsid w:val="00680A7E"/>
    <w:rsid w:val="00681088"/>
    <w:rsid w:val="00687036"/>
    <w:rsid w:val="00690428"/>
    <w:rsid w:val="00691A70"/>
    <w:rsid w:val="0069577E"/>
    <w:rsid w:val="0069600F"/>
    <w:rsid w:val="0069634B"/>
    <w:rsid w:val="00696382"/>
    <w:rsid w:val="006965DA"/>
    <w:rsid w:val="00696623"/>
    <w:rsid w:val="006A04E9"/>
    <w:rsid w:val="006A452E"/>
    <w:rsid w:val="006A4A03"/>
    <w:rsid w:val="006A57CD"/>
    <w:rsid w:val="006A7543"/>
    <w:rsid w:val="006B023C"/>
    <w:rsid w:val="006B725C"/>
    <w:rsid w:val="006C273D"/>
    <w:rsid w:val="006C30B3"/>
    <w:rsid w:val="006C33A6"/>
    <w:rsid w:val="006C3527"/>
    <w:rsid w:val="006C5C4F"/>
    <w:rsid w:val="006C6282"/>
    <w:rsid w:val="006C762A"/>
    <w:rsid w:val="006C7D6C"/>
    <w:rsid w:val="006D06CD"/>
    <w:rsid w:val="006D09F9"/>
    <w:rsid w:val="006D5FF9"/>
    <w:rsid w:val="006D7C01"/>
    <w:rsid w:val="006E0772"/>
    <w:rsid w:val="006E0F86"/>
    <w:rsid w:val="006E2B6D"/>
    <w:rsid w:val="006E61F3"/>
    <w:rsid w:val="006E70BC"/>
    <w:rsid w:val="006F0B15"/>
    <w:rsid w:val="006F0DCC"/>
    <w:rsid w:val="006F3677"/>
    <w:rsid w:val="006F404D"/>
    <w:rsid w:val="006F5FD2"/>
    <w:rsid w:val="006F7051"/>
    <w:rsid w:val="007010E1"/>
    <w:rsid w:val="00703DF9"/>
    <w:rsid w:val="007048EB"/>
    <w:rsid w:val="00704FBB"/>
    <w:rsid w:val="00705724"/>
    <w:rsid w:val="0070726A"/>
    <w:rsid w:val="0071226B"/>
    <w:rsid w:val="00713347"/>
    <w:rsid w:val="00714DAB"/>
    <w:rsid w:val="00716A27"/>
    <w:rsid w:val="00717040"/>
    <w:rsid w:val="00717A15"/>
    <w:rsid w:val="00721442"/>
    <w:rsid w:val="0072148C"/>
    <w:rsid w:val="00721AEE"/>
    <w:rsid w:val="007301E5"/>
    <w:rsid w:val="00731065"/>
    <w:rsid w:val="00736B97"/>
    <w:rsid w:val="0074131C"/>
    <w:rsid w:val="007421EA"/>
    <w:rsid w:val="007426D9"/>
    <w:rsid w:val="00745164"/>
    <w:rsid w:val="00747911"/>
    <w:rsid w:val="00750C45"/>
    <w:rsid w:val="00751415"/>
    <w:rsid w:val="007540BD"/>
    <w:rsid w:val="00754171"/>
    <w:rsid w:val="007622A7"/>
    <w:rsid w:val="0076322A"/>
    <w:rsid w:val="00764D4E"/>
    <w:rsid w:val="007653A7"/>
    <w:rsid w:val="00771A9D"/>
    <w:rsid w:val="007750A2"/>
    <w:rsid w:val="00775A33"/>
    <w:rsid w:val="007817D6"/>
    <w:rsid w:val="00781E1C"/>
    <w:rsid w:val="00787912"/>
    <w:rsid w:val="007904B6"/>
    <w:rsid w:val="0079082F"/>
    <w:rsid w:val="0079177A"/>
    <w:rsid w:val="00794836"/>
    <w:rsid w:val="007948D5"/>
    <w:rsid w:val="00794BCB"/>
    <w:rsid w:val="00795873"/>
    <w:rsid w:val="007962C9"/>
    <w:rsid w:val="00797D88"/>
    <w:rsid w:val="007A15C9"/>
    <w:rsid w:val="007A16B9"/>
    <w:rsid w:val="007A45A8"/>
    <w:rsid w:val="007A50D1"/>
    <w:rsid w:val="007A5F60"/>
    <w:rsid w:val="007A6676"/>
    <w:rsid w:val="007A7B51"/>
    <w:rsid w:val="007B3CF4"/>
    <w:rsid w:val="007B3F1C"/>
    <w:rsid w:val="007B4078"/>
    <w:rsid w:val="007B7FF5"/>
    <w:rsid w:val="007C3FC6"/>
    <w:rsid w:val="007D1613"/>
    <w:rsid w:val="007D206F"/>
    <w:rsid w:val="007D2CE9"/>
    <w:rsid w:val="007D4E10"/>
    <w:rsid w:val="007D4FED"/>
    <w:rsid w:val="007D69DA"/>
    <w:rsid w:val="007D70B1"/>
    <w:rsid w:val="007D7140"/>
    <w:rsid w:val="007E134E"/>
    <w:rsid w:val="007E1CDB"/>
    <w:rsid w:val="007E2364"/>
    <w:rsid w:val="007E408C"/>
    <w:rsid w:val="007E50BF"/>
    <w:rsid w:val="007E7E21"/>
    <w:rsid w:val="007F0460"/>
    <w:rsid w:val="007F0DA2"/>
    <w:rsid w:val="007F1B44"/>
    <w:rsid w:val="007F39CE"/>
    <w:rsid w:val="007F48FC"/>
    <w:rsid w:val="007F5E0D"/>
    <w:rsid w:val="00801085"/>
    <w:rsid w:val="00801A89"/>
    <w:rsid w:val="00803629"/>
    <w:rsid w:val="00804457"/>
    <w:rsid w:val="00805BF2"/>
    <w:rsid w:val="00806A12"/>
    <w:rsid w:val="00812138"/>
    <w:rsid w:val="008123D9"/>
    <w:rsid w:val="008151F2"/>
    <w:rsid w:val="00815ABF"/>
    <w:rsid w:val="0081777A"/>
    <w:rsid w:val="00817A26"/>
    <w:rsid w:val="008210E0"/>
    <w:rsid w:val="00824079"/>
    <w:rsid w:val="0082419D"/>
    <w:rsid w:val="00830F46"/>
    <w:rsid w:val="00831F0A"/>
    <w:rsid w:val="00831F6F"/>
    <w:rsid w:val="0083368A"/>
    <w:rsid w:val="00833A78"/>
    <w:rsid w:val="008365E8"/>
    <w:rsid w:val="0084141A"/>
    <w:rsid w:val="008451CA"/>
    <w:rsid w:val="0084585F"/>
    <w:rsid w:val="008466B2"/>
    <w:rsid w:val="008509FA"/>
    <w:rsid w:val="00852CA2"/>
    <w:rsid w:val="00853E53"/>
    <w:rsid w:val="0085535C"/>
    <w:rsid w:val="00856A14"/>
    <w:rsid w:val="00857D4A"/>
    <w:rsid w:val="008604B1"/>
    <w:rsid w:val="00864D76"/>
    <w:rsid w:val="008656C9"/>
    <w:rsid w:val="0086711C"/>
    <w:rsid w:val="00867535"/>
    <w:rsid w:val="00870056"/>
    <w:rsid w:val="00871414"/>
    <w:rsid w:val="00873382"/>
    <w:rsid w:val="008741DD"/>
    <w:rsid w:val="00875C57"/>
    <w:rsid w:val="00875C5B"/>
    <w:rsid w:val="00875DAA"/>
    <w:rsid w:val="00876347"/>
    <w:rsid w:val="0087781D"/>
    <w:rsid w:val="008820EA"/>
    <w:rsid w:val="008821F9"/>
    <w:rsid w:val="00883C5F"/>
    <w:rsid w:val="00891C7D"/>
    <w:rsid w:val="00892FA7"/>
    <w:rsid w:val="008A3301"/>
    <w:rsid w:val="008A4DF1"/>
    <w:rsid w:val="008A5636"/>
    <w:rsid w:val="008A72CF"/>
    <w:rsid w:val="008A756C"/>
    <w:rsid w:val="008A7942"/>
    <w:rsid w:val="008A799D"/>
    <w:rsid w:val="008B125E"/>
    <w:rsid w:val="008B241C"/>
    <w:rsid w:val="008B408B"/>
    <w:rsid w:val="008B4F11"/>
    <w:rsid w:val="008B6648"/>
    <w:rsid w:val="008B69E7"/>
    <w:rsid w:val="008B7C49"/>
    <w:rsid w:val="008B7D3A"/>
    <w:rsid w:val="008C2362"/>
    <w:rsid w:val="008C2EB6"/>
    <w:rsid w:val="008C3049"/>
    <w:rsid w:val="008C4A99"/>
    <w:rsid w:val="008C74D9"/>
    <w:rsid w:val="008D0BAF"/>
    <w:rsid w:val="008D1CE7"/>
    <w:rsid w:val="008D4AE9"/>
    <w:rsid w:val="008D5CF3"/>
    <w:rsid w:val="008D7D39"/>
    <w:rsid w:val="008E2FE6"/>
    <w:rsid w:val="008E31B9"/>
    <w:rsid w:val="008E4574"/>
    <w:rsid w:val="008E5A5D"/>
    <w:rsid w:val="008E7955"/>
    <w:rsid w:val="008F3C55"/>
    <w:rsid w:val="008F4016"/>
    <w:rsid w:val="008F42FE"/>
    <w:rsid w:val="008F4A00"/>
    <w:rsid w:val="008F5402"/>
    <w:rsid w:val="0090053A"/>
    <w:rsid w:val="00901C2A"/>
    <w:rsid w:val="009025B2"/>
    <w:rsid w:val="009118C7"/>
    <w:rsid w:val="009225B6"/>
    <w:rsid w:val="00923150"/>
    <w:rsid w:val="00925397"/>
    <w:rsid w:val="00927FC3"/>
    <w:rsid w:val="009316A4"/>
    <w:rsid w:val="0093195D"/>
    <w:rsid w:val="0093198B"/>
    <w:rsid w:val="00931A57"/>
    <w:rsid w:val="00932187"/>
    <w:rsid w:val="00932811"/>
    <w:rsid w:val="00933A21"/>
    <w:rsid w:val="00934060"/>
    <w:rsid w:val="00934C10"/>
    <w:rsid w:val="0093662A"/>
    <w:rsid w:val="0094060C"/>
    <w:rsid w:val="00940965"/>
    <w:rsid w:val="00941EA2"/>
    <w:rsid w:val="00941FAB"/>
    <w:rsid w:val="00942C4B"/>
    <w:rsid w:val="0094327E"/>
    <w:rsid w:val="00944196"/>
    <w:rsid w:val="009441FE"/>
    <w:rsid w:val="009515F0"/>
    <w:rsid w:val="009523D9"/>
    <w:rsid w:val="00955EF5"/>
    <w:rsid w:val="009603F3"/>
    <w:rsid w:val="009606A5"/>
    <w:rsid w:val="00961E43"/>
    <w:rsid w:val="00962F1F"/>
    <w:rsid w:val="00965304"/>
    <w:rsid w:val="00965D18"/>
    <w:rsid w:val="00971293"/>
    <w:rsid w:val="009733C9"/>
    <w:rsid w:val="00973A3B"/>
    <w:rsid w:val="009748FE"/>
    <w:rsid w:val="00983EAE"/>
    <w:rsid w:val="0098428D"/>
    <w:rsid w:val="0098760B"/>
    <w:rsid w:val="00987EC3"/>
    <w:rsid w:val="00990849"/>
    <w:rsid w:val="0099153D"/>
    <w:rsid w:val="009916E5"/>
    <w:rsid w:val="00991FD5"/>
    <w:rsid w:val="0099515E"/>
    <w:rsid w:val="009964DD"/>
    <w:rsid w:val="009979EB"/>
    <w:rsid w:val="009A11DD"/>
    <w:rsid w:val="009A3BB6"/>
    <w:rsid w:val="009B0F37"/>
    <w:rsid w:val="009B2EB7"/>
    <w:rsid w:val="009B30AA"/>
    <w:rsid w:val="009B5217"/>
    <w:rsid w:val="009C0CA6"/>
    <w:rsid w:val="009C31AF"/>
    <w:rsid w:val="009C3DEA"/>
    <w:rsid w:val="009C48DE"/>
    <w:rsid w:val="009C73E0"/>
    <w:rsid w:val="009D60D9"/>
    <w:rsid w:val="009D6A0F"/>
    <w:rsid w:val="009E129F"/>
    <w:rsid w:val="009E1986"/>
    <w:rsid w:val="009E1E1E"/>
    <w:rsid w:val="009E2981"/>
    <w:rsid w:val="009E33E3"/>
    <w:rsid w:val="009E7F16"/>
    <w:rsid w:val="009F1E65"/>
    <w:rsid w:val="009F35C1"/>
    <w:rsid w:val="009F5052"/>
    <w:rsid w:val="009F63B4"/>
    <w:rsid w:val="00A02D44"/>
    <w:rsid w:val="00A03083"/>
    <w:rsid w:val="00A03822"/>
    <w:rsid w:val="00A04607"/>
    <w:rsid w:val="00A04C85"/>
    <w:rsid w:val="00A0705F"/>
    <w:rsid w:val="00A100F0"/>
    <w:rsid w:val="00A144A1"/>
    <w:rsid w:val="00A14E6E"/>
    <w:rsid w:val="00A155C5"/>
    <w:rsid w:val="00A156E6"/>
    <w:rsid w:val="00A177C5"/>
    <w:rsid w:val="00A215E5"/>
    <w:rsid w:val="00A21AAF"/>
    <w:rsid w:val="00A24AF8"/>
    <w:rsid w:val="00A27D86"/>
    <w:rsid w:val="00A27FFA"/>
    <w:rsid w:val="00A30A3D"/>
    <w:rsid w:val="00A33151"/>
    <w:rsid w:val="00A33D13"/>
    <w:rsid w:val="00A36970"/>
    <w:rsid w:val="00A37568"/>
    <w:rsid w:val="00A41B8D"/>
    <w:rsid w:val="00A41EB4"/>
    <w:rsid w:val="00A41FFB"/>
    <w:rsid w:val="00A44AE1"/>
    <w:rsid w:val="00A44BFF"/>
    <w:rsid w:val="00A46103"/>
    <w:rsid w:val="00A501E3"/>
    <w:rsid w:val="00A50383"/>
    <w:rsid w:val="00A507E4"/>
    <w:rsid w:val="00A50F0C"/>
    <w:rsid w:val="00A523B7"/>
    <w:rsid w:val="00A52F96"/>
    <w:rsid w:val="00A54F0A"/>
    <w:rsid w:val="00A553D7"/>
    <w:rsid w:val="00A56441"/>
    <w:rsid w:val="00A5662B"/>
    <w:rsid w:val="00A628BB"/>
    <w:rsid w:val="00A63300"/>
    <w:rsid w:val="00A65AD7"/>
    <w:rsid w:val="00A701CE"/>
    <w:rsid w:val="00A7087D"/>
    <w:rsid w:val="00A736DD"/>
    <w:rsid w:val="00A73CB7"/>
    <w:rsid w:val="00A73D7F"/>
    <w:rsid w:val="00A776E1"/>
    <w:rsid w:val="00A77774"/>
    <w:rsid w:val="00A8250A"/>
    <w:rsid w:val="00A82869"/>
    <w:rsid w:val="00A82C93"/>
    <w:rsid w:val="00A832E8"/>
    <w:rsid w:val="00A8758C"/>
    <w:rsid w:val="00A93C0D"/>
    <w:rsid w:val="00A94B63"/>
    <w:rsid w:val="00A96B96"/>
    <w:rsid w:val="00A974A2"/>
    <w:rsid w:val="00A976C7"/>
    <w:rsid w:val="00A97D2C"/>
    <w:rsid w:val="00AA127E"/>
    <w:rsid w:val="00AA19AE"/>
    <w:rsid w:val="00AA2D9B"/>
    <w:rsid w:val="00AA423D"/>
    <w:rsid w:val="00AA6A95"/>
    <w:rsid w:val="00AA7344"/>
    <w:rsid w:val="00AB10DE"/>
    <w:rsid w:val="00AB1F6B"/>
    <w:rsid w:val="00AB3668"/>
    <w:rsid w:val="00AB4129"/>
    <w:rsid w:val="00AB4BE1"/>
    <w:rsid w:val="00AB5ED7"/>
    <w:rsid w:val="00AC0B4C"/>
    <w:rsid w:val="00AC664C"/>
    <w:rsid w:val="00AC66DA"/>
    <w:rsid w:val="00AC6F7F"/>
    <w:rsid w:val="00AD089A"/>
    <w:rsid w:val="00AD0AEE"/>
    <w:rsid w:val="00AD4163"/>
    <w:rsid w:val="00AD49E3"/>
    <w:rsid w:val="00AD4B4F"/>
    <w:rsid w:val="00AE4A00"/>
    <w:rsid w:val="00AF0616"/>
    <w:rsid w:val="00AF0803"/>
    <w:rsid w:val="00AF0E28"/>
    <w:rsid w:val="00AF120E"/>
    <w:rsid w:val="00AF3A17"/>
    <w:rsid w:val="00AF6F9B"/>
    <w:rsid w:val="00B00485"/>
    <w:rsid w:val="00B01409"/>
    <w:rsid w:val="00B04AC5"/>
    <w:rsid w:val="00B05FFC"/>
    <w:rsid w:val="00B06E2D"/>
    <w:rsid w:val="00B10DBD"/>
    <w:rsid w:val="00B1219C"/>
    <w:rsid w:val="00B148A2"/>
    <w:rsid w:val="00B15629"/>
    <w:rsid w:val="00B2372C"/>
    <w:rsid w:val="00B3040E"/>
    <w:rsid w:val="00B32F70"/>
    <w:rsid w:val="00B35D39"/>
    <w:rsid w:val="00B3723B"/>
    <w:rsid w:val="00B373D0"/>
    <w:rsid w:val="00B4032D"/>
    <w:rsid w:val="00B422DF"/>
    <w:rsid w:val="00B43AAA"/>
    <w:rsid w:val="00B44BD9"/>
    <w:rsid w:val="00B44D24"/>
    <w:rsid w:val="00B53139"/>
    <w:rsid w:val="00B54D35"/>
    <w:rsid w:val="00B562CE"/>
    <w:rsid w:val="00B56E9A"/>
    <w:rsid w:val="00B62DE2"/>
    <w:rsid w:val="00B67C1D"/>
    <w:rsid w:val="00B716D5"/>
    <w:rsid w:val="00B72BEB"/>
    <w:rsid w:val="00B72C0E"/>
    <w:rsid w:val="00B74417"/>
    <w:rsid w:val="00B77246"/>
    <w:rsid w:val="00B83BB4"/>
    <w:rsid w:val="00B866CD"/>
    <w:rsid w:val="00B87C35"/>
    <w:rsid w:val="00B93034"/>
    <w:rsid w:val="00B93A81"/>
    <w:rsid w:val="00B9691A"/>
    <w:rsid w:val="00B972D7"/>
    <w:rsid w:val="00B97A77"/>
    <w:rsid w:val="00B97C5D"/>
    <w:rsid w:val="00BA1290"/>
    <w:rsid w:val="00BA2E49"/>
    <w:rsid w:val="00BB2792"/>
    <w:rsid w:val="00BB76BF"/>
    <w:rsid w:val="00BC0394"/>
    <w:rsid w:val="00BC1AD1"/>
    <w:rsid w:val="00BC1C33"/>
    <w:rsid w:val="00BC1C99"/>
    <w:rsid w:val="00BC1D82"/>
    <w:rsid w:val="00BC3681"/>
    <w:rsid w:val="00BC3B73"/>
    <w:rsid w:val="00BC4035"/>
    <w:rsid w:val="00BC4A58"/>
    <w:rsid w:val="00BC613B"/>
    <w:rsid w:val="00BD0227"/>
    <w:rsid w:val="00BD09E7"/>
    <w:rsid w:val="00BD51D9"/>
    <w:rsid w:val="00BD64E2"/>
    <w:rsid w:val="00BE26FD"/>
    <w:rsid w:val="00BE3531"/>
    <w:rsid w:val="00BE4995"/>
    <w:rsid w:val="00BF177F"/>
    <w:rsid w:val="00BF429A"/>
    <w:rsid w:val="00BF45C5"/>
    <w:rsid w:val="00BF62BE"/>
    <w:rsid w:val="00BF7E94"/>
    <w:rsid w:val="00C047DD"/>
    <w:rsid w:val="00C069F8"/>
    <w:rsid w:val="00C07126"/>
    <w:rsid w:val="00C113FA"/>
    <w:rsid w:val="00C15A9D"/>
    <w:rsid w:val="00C160A7"/>
    <w:rsid w:val="00C16853"/>
    <w:rsid w:val="00C225FA"/>
    <w:rsid w:val="00C2490A"/>
    <w:rsid w:val="00C263F0"/>
    <w:rsid w:val="00C33D41"/>
    <w:rsid w:val="00C34FAF"/>
    <w:rsid w:val="00C365DE"/>
    <w:rsid w:val="00C40AFD"/>
    <w:rsid w:val="00C41E20"/>
    <w:rsid w:val="00C42E3E"/>
    <w:rsid w:val="00C50DB6"/>
    <w:rsid w:val="00C51C13"/>
    <w:rsid w:val="00C525A5"/>
    <w:rsid w:val="00C5300F"/>
    <w:rsid w:val="00C54594"/>
    <w:rsid w:val="00C54666"/>
    <w:rsid w:val="00C61F72"/>
    <w:rsid w:val="00C66CE0"/>
    <w:rsid w:val="00C71BED"/>
    <w:rsid w:val="00C72499"/>
    <w:rsid w:val="00C737B2"/>
    <w:rsid w:val="00C74D82"/>
    <w:rsid w:val="00C759C1"/>
    <w:rsid w:val="00C75C38"/>
    <w:rsid w:val="00C81B53"/>
    <w:rsid w:val="00C82AD2"/>
    <w:rsid w:val="00C83747"/>
    <w:rsid w:val="00C839F3"/>
    <w:rsid w:val="00C85716"/>
    <w:rsid w:val="00C864D4"/>
    <w:rsid w:val="00C90F06"/>
    <w:rsid w:val="00C90FB6"/>
    <w:rsid w:val="00C917CE"/>
    <w:rsid w:val="00C9220E"/>
    <w:rsid w:val="00C932BD"/>
    <w:rsid w:val="00C93429"/>
    <w:rsid w:val="00C93CBF"/>
    <w:rsid w:val="00C97C0D"/>
    <w:rsid w:val="00CA085C"/>
    <w:rsid w:val="00CA16C5"/>
    <w:rsid w:val="00CA1B27"/>
    <w:rsid w:val="00CA415A"/>
    <w:rsid w:val="00CA7A35"/>
    <w:rsid w:val="00CB1536"/>
    <w:rsid w:val="00CB1656"/>
    <w:rsid w:val="00CB2931"/>
    <w:rsid w:val="00CB5CFF"/>
    <w:rsid w:val="00CB7FB8"/>
    <w:rsid w:val="00CC1F71"/>
    <w:rsid w:val="00CC23FA"/>
    <w:rsid w:val="00CC41F7"/>
    <w:rsid w:val="00CC5588"/>
    <w:rsid w:val="00CC5EB3"/>
    <w:rsid w:val="00CC6582"/>
    <w:rsid w:val="00CC744D"/>
    <w:rsid w:val="00CC7788"/>
    <w:rsid w:val="00CD02EB"/>
    <w:rsid w:val="00CD0E7B"/>
    <w:rsid w:val="00CD148D"/>
    <w:rsid w:val="00CD2060"/>
    <w:rsid w:val="00CD27E9"/>
    <w:rsid w:val="00CD2ABD"/>
    <w:rsid w:val="00CD31BA"/>
    <w:rsid w:val="00CD3D43"/>
    <w:rsid w:val="00CD4024"/>
    <w:rsid w:val="00CD4617"/>
    <w:rsid w:val="00CD4855"/>
    <w:rsid w:val="00CD7D8B"/>
    <w:rsid w:val="00CE2E5E"/>
    <w:rsid w:val="00CE3EF7"/>
    <w:rsid w:val="00CE6D43"/>
    <w:rsid w:val="00CE7205"/>
    <w:rsid w:val="00CE756A"/>
    <w:rsid w:val="00CE7888"/>
    <w:rsid w:val="00CF08DD"/>
    <w:rsid w:val="00CF0C01"/>
    <w:rsid w:val="00CF1036"/>
    <w:rsid w:val="00CF2996"/>
    <w:rsid w:val="00CF6AAE"/>
    <w:rsid w:val="00D025DD"/>
    <w:rsid w:val="00D03B78"/>
    <w:rsid w:val="00D054BD"/>
    <w:rsid w:val="00D07E03"/>
    <w:rsid w:val="00D10E1C"/>
    <w:rsid w:val="00D11934"/>
    <w:rsid w:val="00D161A3"/>
    <w:rsid w:val="00D1756B"/>
    <w:rsid w:val="00D20E76"/>
    <w:rsid w:val="00D21037"/>
    <w:rsid w:val="00D2189C"/>
    <w:rsid w:val="00D22E49"/>
    <w:rsid w:val="00D23716"/>
    <w:rsid w:val="00D25ED8"/>
    <w:rsid w:val="00D27F8F"/>
    <w:rsid w:val="00D3159E"/>
    <w:rsid w:val="00D316B8"/>
    <w:rsid w:val="00D31CFC"/>
    <w:rsid w:val="00D31D9E"/>
    <w:rsid w:val="00D3255D"/>
    <w:rsid w:val="00D33AB2"/>
    <w:rsid w:val="00D340C3"/>
    <w:rsid w:val="00D34C26"/>
    <w:rsid w:val="00D3614D"/>
    <w:rsid w:val="00D3650B"/>
    <w:rsid w:val="00D36DE8"/>
    <w:rsid w:val="00D36FCC"/>
    <w:rsid w:val="00D409CD"/>
    <w:rsid w:val="00D423D4"/>
    <w:rsid w:val="00D42CAF"/>
    <w:rsid w:val="00D4366A"/>
    <w:rsid w:val="00D44ADE"/>
    <w:rsid w:val="00D45502"/>
    <w:rsid w:val="00D457E6"/>
    <w:rsid w:val="00D5310F"/>
    <w:rsid w:val="00D547B9"/>
    <w:rsid w:val="00D555E2"/>
    <w:rsid w:val="00D5615D"/>
    <w:rsid w:val="00D601EF"/>
    <w:rsid w:val="00D60B36"/>
    <w:rsid w:val="00D61533"/>
    <w:rsid w:val="00D63B2F"/>
    <w:rsid w:val="00D70747"/>
    <w:rsid w:val="00D70BA0"/>
    <w:rsid w:val="00D71ABD"/>
    <w:rsid w:val="00D7261D"/>
    <w:rsid w:val="00D755FC"/>
    <w:rsid w:val="00D76AAF"/>
    <w:rsid w:val="00D76B6D"/>
    <w:rsid w:val="00D81488"/>
    <w:rsid w:val="00D82C17"/>
    <w:rsid w:val="00D83515"/>
    <w:rsid w:val="00D83A74"/>
    <w:rsid w:val="00D84378"/>
    <w:rsid w:val="00D8447A"/>
    <w:rsid w:val="00D84D07"/>
    <w:rsid w:val="00D8526A"/>
    <w:rsid w:val="00D87461"/>
    <w:rsid w:val="00D90E91"/>
    <w:rsid w:val="00D91FAD"/>
    <w:rsid w:val="00D923BF"/>
    <w:rsid w:val="00D975B0"/>
    <w:rsid w:val="00DA5025"/>
    <w:rsid w:val="00DA57D3"/>
    <w:rsid w:val="00DB2A6B"/>
    <w:rsid w:val="00DB4D9D"/>
    <w:rsid w:val="00DB60E1"/>
    <w:rsid w:val="00DC1347"/>
    <w:rsid w:val="00DC1394"/>
    <w:rsid w:val="00DC2883"/>
    <w:rsid w:val="00DC39F1"/>
    <w:rsid w:val="00DC40C6"/>
    <w:rsid w:val="00DC7B38"/>
    <w:rsid w:val="00DD0ED2"/>
    <w:rsid w:val="00DD441F"/>
    <w:rsid w:val="00DD6077"/>
    <w:rsid w:val="00DE0E0B"/>
    <w:rsid w:val="00DE1D43"/>
    <w:rsid w:val="00DE3B28"/>
    <w:rsid w:val="00DE4B35"/>
    <w:rsid w:val="00DE68E6"/>
    <w:rsid w:val="00DF19C1"/>
    <w:rsid w:val="00DF1A8A"/>
    <w:rsid w:val="00DF24F9"/>
    <w:rsid w:val="00DF54CA"/>
    <w:rsid w:val="00DF56C9"/>
    <w:rsid w:val="00DF5928"/>
    <w:rsid w:val="00DF5B64"/>
    <w:rsid w:val="00DF652F"/>
    <w:rsid w:val="00E0107D"/>
    <w:rsid w:val="00E02794"/>
    <w:rsid w:val="00E0312F"/>
    <w:rsid w:val="00E043E3"/>
    <w:rsid w:val="00E0505B"/>
    <w:rsid w:val="00E11280"/>
    <w:rsid w:val="00E122CB"/>
    <w:rsid w:val="00E12359"/>
    <w:rsid w:val="00E13B41"/>
    <w:rsid w:val="00E14A42"/>
    <w:rsid w:val="00E152FF"/>
    <w:rsid w:val="00E1576C"/>
    <w:rsid w:val="00E2461B"/>
    <w:rsid w:val="00E24886"/>
    <w:rsid w:val="00E25251"/>
    <w:rsid w:val="00E26FFD"/>
    <w:rsid w:val="00E276FB"/>
    <w:rsid w:val="00E30BA9"/>
    <w:rsid w:val="00E30D24"/>
    <w:rsid w:val="00E3165C"/>
    <w:rsid w:val="00E32248"/>
    <w:rsid w:val="00E32595"/>
    <w:rsid w:val="00E32DC6"/>
    <w:rsid w:val="00E338D8"/>
    <w:rsid w:val="00E33A74"/>
    <w:rsid w:val="00E34535"/>
    <w:rsid w:val="00E34C23"/>
    <w:rsid w:val="00E35CA5"/>
    <w:rsid w:val="00E360AD"/>
    <w:rsid w:val="00E36CE8"/>
    <w:rsid w:val="00E4030B"/>
    <w:rsid w:val="00E41CAC"/>
    <w:rsid w:val="00E41D56"/>
    <w:rsid w:val="00E43330"/>
    <w:rsid w:val="00E457DF"/>
    <w:rsid w:val="00E45E00"/>
    <w:rsid w:val="00E46642"/>
    <w:rsid w:val="00E46AB1"/>
    <w:rsid w:val="00E5067D"/>
    <w:rsid w:val="00E50A54"/>
    <w:rsid w:val="00E5139A"/>
    <w:rsid w:val="00E527E8"/>
    <w:rsid w:val="00E52D77"/>
    <w:rsid w:val="00E5413D"/>
    <w:rsid w:val="00E57977"/>
    <w:rsid w:val="00E635D7"/>
    <w:rsid w:val="00E70576"/>
    <w:rsid w:val="00E71DED"/>
    <w:rsid w:val="00E80A9B"/>
    <w:rsid w:val="00E83954"/>
    <w:rsid w:val="00E86506"/>
    <w:rsid w:val="00E879BA"/>
    <w:rsid w:val="00E91730"/>
    <w:rsid w:val="00E91D5A"/>
    <w:rsid w:val="00E94421"/>
    <w:rsid w:val="00E962E7"/>
    <w:rsid w:val="00E96F04"/>
    <w:rsid w:val="00E97AEC"/>
    <w:rsid w:val="00EA0345"/>
    <w:rsid w:val="00EA171C"/>
    <w:rsid w:val="00EA20FE"/>
    <w:rsid w:val="00EA2538"/>
    <w:rsid w:val="00EB48C7"/>
    <w:rsid w:val="00EB491E"/>
    <w:rsid w:val="00EB549A"/>
    <w:rsid w:val="00EB681B"/>
    <w:rsid w:val="00EB7640"/>
    <w:rsid w:val="00EC0AF2"/>
    <w:rsid w:val="00EC4FAD"/>
    <w:rsid w:val="00EC668F"/>
    <w:rsid w:val="00EC6ED4"/>
    <w:rsid w:val="00ED0F4E"/>
    <w:rsid w:val="00ED48CD"/>
    <w:rsid w:val="00ED662F"/>
    <w:rsid w:val="00EE12B7"/>
    <w:rsid w:val="00EE300C"/>
    <w:rsid w:val="00EE3CFA"/>
    <w:rsid w:val="00EE69E4"/>
    <w:rsid w:val="00EF2A7F"/>
    <w:rsid w:val="00EF43DD"/>
    <w:rsid w:val="00EF5A88"/>
    <w:rsid w:val="00EF6DF3"/>
    <w:rsid w:val="00EF7E90"/>
    <w:rsid w:val="00F002B6"/>
    <w:rsid w:val="00F00AE0"/>
    <w:rsid w:val="00F05037"/>
    <w:rsid w:val="00F10AFE"/>
    <w:rsid w:val="00F10CF4"/>
    <w:rsid w:val="00F12E0A"/>
    <w:rsid w:val="00F15C6C"/>
    <w:rsid w:val="00F17173"/>
    <w:rsid w:val="00F20987"/>
    <w:rsid w:val="00F20FFD"/>
    <w:rsid w:val="00F21850"/>
    <w:rsid w:val="00F224DC"/>
    <w:rsid w:val="00F24438"/>
    <w:rsid w:val="00F2687F"/>
    <w:rsid w:val="00F26A5E"/>
    <w:rsid w:val="00F26E73"/>
    <w:rsid w:val="00F27F29"/>
    <w:rsid w:val="00F313AB"/>
    <w:rsid w:val="00F32D54"/>
    <w:rsid w:val="00F36C54"/>
    <w:rsid w:val="00F418EA"/>
    <w:rsid w:val="00F41A29"/>
    <w:rsid w:val="00F42EE1"/>
    <w:rsid w:val="00F43E25"/>
    <w:rsid w:val="00F44C1C"/>
    <w:rsid w:val="00F4785E"/>
    <w:rsid w:val="00F47FE4"/>
    <w:rsid w:val="00F518DF"/>
    <w:rsid w:val="00F52056"/>
    <w:rsid w:val="00F544DB"/>
    <w:rsid w:val="00F5491A"/>
    <w:rsid w:val="00F55CE4"/>
    <w:rsid w:val="00F61589"/>
    <w:rsid w:val="00F6361E"/>
    <w:rsid w:val="00F648EA"/>
    <w:rsid w:val="00F64F0B"/>
    <w:rsid w:val="00F6502E"/>
    <w:rsid w:val="00F654FD"/>
    <w:rsid w:val="00F65663"/>
    <w:rsid w:val="00F75147"/>
    <w:rsid w:val="00F756C0"/>
    <w:rsid w:val="00F75A40"/>
    <w:rsid w:val="00F769D2"/>
    <w:rsid w:val="00F77637"/>
    <w:rsid w:val="00F8435D"/>
    <w:rsid w:val="00F85DA1"/>
    <w:rsid w:val="00F862E5"/>
    <w:rsid w:val="00F8793E"/>
    <w:rsid w:val="00F87DD0"/>
    <w:rsid w:val="00F92B7D"/>
    <w:rsid w:val="00F93360"/>
    <w:rsid w:val="00F93FE4"/>
    <w:rsid w:val="00F95897"/>
    <w:rsid w:val="00F973EF"/>
    <w:rsid w:val="00F97E4E"/>
    <w:rsid w:val="00FA1A40"/>
    <w:rsid w:val="00FA217B"/>
    <w:rsid w:val="00FA3F55"/>
    <w:rsid w:val="00FA5C7F"/>
    <w:rsid w:val="00FA77C8"/>
    <w:rsid w:val="00FA7805"/>
    <w:rsid w:val="00FB0BC5"/>
    <w:rsid w:val="00FB0BCC"/>
    <w:rsid w:val="00FB4D8B"/>
    <w:rsid w:val="00FB5262"/>
    <w:rsid w:val="00FB5C89"/>
    <w:rsid w:val="00FC0213"/>
    <w:rsid w:val="00FC0470"/>
    <w:rsid w:val="00FC06E9"/>
    <w:rsid w:val="00FC0FE5"/>
    <w:rsid w:val="00FC3890"/>
    <w:rsid w:val="00FC7097"/>
    <w:rsid w:val="00FD1ABC"/>
    <w:rsid w:val="00FD3862"/>
    <w:rsid w:val="00FD7DDF"/>
    <w:rsid w:val="00FE0F43"/>
    <w:rsid w:val="00FE4C92"/>
    <w:rsid w:val="00FE4E36"/>
    <w:rsid w:val="00FE65E3"/>
    <w:rsid w:val="00FF0FAA"/>
    <w:rsid w:val="00FF1019"/>
    <w:rsid w:val="00FF1DC0"/>
    <w:rsid w:val="00FF27BD"/>
    <w:rsid w:val="00FF3759"/>
    <w:rsid w:val="00FF4396"/>
    <w:rsid w:val="00FF603D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0E4B17F"/>
  <w15:docId w15:val="{548E2C52-2202-4CBF-83D6-83E41118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0BF"/>
    <w:pPr>
      <w:spacing w:line="288" w:lineRule="auto"/>
      <w:jc w:val="both"/>
    </w:pPr>
    <w:rPr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7E50BF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931A57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7E50BF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7E50BF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7E50BF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7E50BF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7E50BF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7E50BF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7E50BF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lang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931A57"/>
    <w:rPr>
      <w:lang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lang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lang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lang w:eastAsia="en-US" w:bidi="ar-SA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lang w:eastAsia="en-US" w:bidi="ar-SA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lang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lang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lang w:eastAsia="en-US" w:bidi="ar-SA"/>
    </w:rPr>
  </w:style>
  <w:style w:type="paragraph" w:styleId="Footer">
    <w:name w:val="footer"/>
    <w:basedOn w:val="Normal"/>
    <w:link w:val="FooterChar"/>
    <w:qFormat/>
    <w:rsid w:val="007E50BF"/>
  </w:style>
  <w:style w:type="character" w:customStyle="1" w:styleId="FooterChar">
    <w:name w:val="Footer Char"/>
    <w:basedOn w:val="DefaultParagraphFont"/>
    <w:link w:val="Footer"/>
    <w:locked/>
    <w:rsid w:val="00CB1536"/>
    <w:rPr>
      <w:lang w:eastAsia="en-US" w:bidi="ar-SA"/>
    </w:rPr>
  </w:style>
  <w:style w:type="paragraph" w:styleId="FootnoteText">
    <w:name w:val="footnote text"/>
    <w:basedOn w:val="Normal"/>
    <w:link w:val="FootnoteTextChar"/>
    <w:qFormat/>
    <w:rsid w:val="007E50BF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qFormat/>
    <w:locked/>
    <w:rsid w:val="00CB1536"/>
    <w:rPr>
      <w:sz w:val="16"/>
      <w:lang w:val="cs-CZ" w:eastAsia="en-US" w:bidi="ar-SA"/>
    </w:rPr>
  </w:style>
  <w:style w:type="paragraph" w:styleId="Header">
    <w:name w:val="header"/>
    <w:basedOn w:val="Normal"/>
    <w:link w:val="HeaderChar"/>
    <w:qFormat/>
    <w:rsid w:val="007E50BF"/>
  </w:style>
  <w:style w:type="character" w:customStyle="1" w:styleId="HeaderChar">
    <w:name w:val="Header Char"/>
    <w:basedOn w:val="DefaultParagraphFont"/>
    <w:link w:val="Header"/>
    <w:locked/>
    <w:rsid w:val="00CB1536"/>
    <w:rPr>
      <w:lang w:eastAsia="en-US" w:bidi="ar-SA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styleId="BalloonText">
    <w:name w:val="Balloon Text"/>
    <w:basedOn w:val="Normal"/>
    <w:link w:val="BalloonTextChar"/>
    <w:uiPriority w:val="99"/>
    <w:semiHidden/>
    <w:unhideWhenUsed/>
    <w:rsid w:val="007E5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BF"/>
    <w:rPr>
      <w:rFonts w:ascii="Tahoma" w:hAnsi="Tahoma" w:cs="Tahoma"/>
      <w:sz w:val="16"/>
      <w:szCs w:val="16"/>
      <w:lang w:val="cs-CZ" w:eastAsia="en-US" w:bidi="ar-SA"/>
    </w:rPr>
  </w:style>
  <w:style w:type="paragraph" w:customStyle="1" w:styleId="quotes">
    <w:name w:val="quotes"/>
    <w:basedOn w:val="Normal"/>
    <w:next w:val="Normal"/>
    <w:rsid w:val="007E50BF"/>
    <w:pPr>
      <w:ind w:left="720"/>
    </w:pPr>
    <w:rPr>
      <w:i/>
    </w:rPr>
  </w:style>
  <w:style w:type="paragraph" w:styleId="ListParagraph">
    <w:name w:val="List Paragraph"/>
    <w:basedOn w:val="Normal"/>
    <w:uiPriority w:val="34"/>
    <w:qFormat/>
    <w:rsid w:val="0093218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semiHidden/>
    <w:unhideWhenUsed/>
    <w:rsid w:val="003D3F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3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3F8E"/>
    <w:rPr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8E"/>
    <w:rPr>
      <w:b/>
      <w:bCs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qFormat/>
    <w:locked/>
    <w:rsid w:val="00941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x@eesc.europa.eu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customXml" Target="../customXml/item2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customXml" Target="../customXml/item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99d781-265f-4ceb-999e-e1eca3df2c90">P6FJPSUHKDC2-1211003791-13015</_dlc_DocId>
    <_dlc_DocIdUrl xmlns="1299d781-265f-4ceb-999e-e1eca3df2c90">
      <Url>http://dm/eesc/2022/_layouts/15/DocIdRedir.aspx?ID=P6FJPSUHKDC2-1211003791-13015</Url>
      <Description>P6FJPSUHKDC2-1211003791-13015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</TermName>
          <TermId xmlns="http://schemas.microsoft.com/office/infopath/2007/PartnerControls">c7a748eb-f6f2-4d9d-8b5a-af0cafebc224</TermId>
        </TermInfo>
      </Terms>
    </DocumentType_0>
    <Procedure xmlns="1299d781-265f-4ceb-999e-e1eca3df2c90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299d781-265f-4ceb-999e-e1eca3df2c90">2022-11-23T12:00:00+00:00</ProductionDate>
    <DocumentNumber xmlns="d51dc14e-0c05-44bd-9dff-3ae522c33107">1331</DocumentNumber>
    <FicheYear xmlns="1299d781-265f-4ceb-999e-e1eca3df2c90" xsi:nil="true"/>
    <DocumentVersion xmlns="1299d781-265f-4ceb-999e-e1eca3df2c90">0</DocumentVersion>
    <DossierNumber xmlns="1299d781-265f-4ceb-999e-e1eca3df2c90">552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299d781-265f-4ceb-999e-e1eca3df2c90">2022-12-14T12:00:00+00:00</MeetingDate>
    <TaxCatchAll xmlns="1299d781-265f-4ceb-999e-e1eca3df2c90">
      <Value>63</Value>
      <Value>60</Value>
      <Value>146</Value>
      <Value>55</Value>
      <Value>54</Value>
      <Value>51</Value>
      <Value>46</Value>
      <Value>45</Value>
      <Value>44</Value>
      <Value>43</Value>
      <Value>42</Value>
      <Value>41</Value>
      <Value>40</Value>
      <Value>38</Value>
      <Value>37</Value>
      <Value>36</Value>
      <Value>35</Value>
      <Value>34</Value>
      <Value>33</Value>
      <Value>32</Value>
      <Value>31</Value>
      <Value>30</Value>
      <Value>29</Value>
      <Value>26</Value>
      <Value>22</Value>
      <Value>11</Value>
      <Value>9</Value>
      <Value>7</Value>
      <Value>6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Rapporteur xmlns="1299d781-265f-4ceb-999e-e1eca3df2c90">PUXEU ROCAMORA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299d781-265f-4ceb-999e-e1eca3df2c90">2022</DocumentYear>
    <FicheNumber xmlns="1299d781-265f-4ceb-999e-e1eca3df2c90">13765</FicheNumber>
    <OriginalSender xmlns="1299d781-265f-4ceb-999e-e1eca3df2c90">
      <UserInfo>
        <DisplayName>Kupcakova Linda</DisplayName>
        <AccountId>1693</AccountId>
        <AccountType/>
      </UserInfo>
    </OriginalSender>
    <DocumentPart xmlns="1299d781-265f-4ceb-999e-e1eca3df2c90">0</DocumentPart>
    <AdoptionDate xmlns="1299d781-265f-4ceb-999e-e1eca3df2c90" xsi:nil="true"/>
    <RequestingService xmlns="1299d781-265f-4ceb-999e-e1eca3df2c90">Relations extérieures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d51dc14e-0c05-44bd-9dff-3ae522c33107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0A67E7817F567C48B0FF98918A0B8F68" ma:contentTypeVersion="6" ma:contentTypeDescription="Defines the documents for Document Manager V2" ma:contentTypeScope="" ma:versionID="a444b72282a47fd42898ff1110ab7ba9">
  <xsd:schema xmlns:xsd="http://www.w3.org/2001/XMLSchema" xmlns:xs="http://www.w3.org/2001/XMLSchema" xmlns:p="http://schemas.microsoft.com/office/2006/metadata/properties" xmlns:ns2="1299d781-265f-4ceb-999e-e1eca3df2c90" xmlns:ns3="http://schemas.microsoft.com/sharepoint/v3/fields" xmlns:ns4="d51dc14e-0c05-44bd-9dff-3ae522c33107" targetNamespace="http://schemas.microsoft.com/office/2006/metadata/properties" ma:root="true" ma:fieldsID="18f5364f66b1800776293abddc9be6a2" ns2:_="" ns3:_="" ns4:_="">
    <xsd:import namespace="1299d781-265f-4ceb-999e-e1eca3df2c90"/>
    <xsd:import namespace="http://schemas.microsoft.com/sharepoint/v3/fields"/>
    <xsd:import namespace="d51dc14e-0c05-44bd-9dff-3ae522c331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9d781-265f-4ceb-999e-e1eca3df2c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7ea9cc77-7db7-4067-9972-efc9a75de26f}" ma:internalName="TaxCatchAll" ma:showField="CatchAllData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7ea9cc77-7db7-4067-9972-efc9a75de26f}" ma:internalName="TaxCatchAllLabel" ma:readOnly="true" ma:showField="CatchAllDataLabel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dc14e-0c05-44bd-9dff-3ae522c3310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115E4-8380-4BC7-AEFC-03636E495A3D}"/>
</file>

<file path=customXml/itemProps2.xml><?xml version="1.0" encoding="utf-8"?>
<ds:datastoreItem xmlns:ds="http://schemas.openxmlformats.org/officeDocument/2006/customXml" ds:itemID="{4A87C745-3CC9-4DC5-A309-7E851B7D20A4}"/>
</file>

<file path=customXml/itemProps3.xml><?xml version="1.0" encoding="utf-8"?>
<ds:datastoreItem xmlns:ds="http://schemas.openxmlformats.org/officeDocument/2006/customXml" ds:itemID="{DAEE7335-B09E-4C26-8841-0370A363F515}"/>
</file>

<file path=customXml/itemProps4.xml><?xml version="1.0" encoding="utf-8"?>
<ds:datastoreItem xmlns:ds="http://schemas.openxmlformats.org/officeDocument/2006/customXml" ds:itemID="{ED27B6B9-E815-4555-9197-5F5C53FC71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3045</Words>
  <Characters>17360</Characters>
  <Application>Microsoft Office Word</Application>
  <DocSecurity>0</DocSecurity>
  <Lines>144</Lines>
  <Paragraphs>40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4" baseType="lpstr">
      <vt:lpstr>Socio-economic situation in Latin America following the COVID-19 crisis  the role of civil society in the recovery process</vt:lpstr>
      <vt:lpstr>La situación socioeconómica en América Latina tras la crisis de la COVID19 - el papel de la sociedad civil en el proceso de recuperación</vt:lpstr>
      <vt:lpstr>Trade relations between the EU and its Southern Mediterranean partners (information report)</vt:lpstr>
      <vt:lpstr>European Agenda on Migration: Second implementation package - A permanent crisis relocation mechanism under the Dublin system</vt:lpstr>
    </vt:vector>
  </TitlesOfParts>
  <Company>CESE-CdR</Company>
  <LinksUpToDate>false</LinksUpToDate>
  <CharactersWithSpaces>20365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Sociálně-ekonomická situace v Latinské Americe po krizi COVID-19: úloha občanské společnosti v procesu oživení</dc:title>
  <dc:subject>AS</dc:subject>
  <dc:creator/>
  <cp:keywords>EESC-2022-01331-00-00-AS-TRA-EN</cp:keywords>
  <dc:description>Rapporteur: PUXEU ROCAMORA - Original language: EN - Date of document: 23/11/2022 - Date of meeting: 30/14/2022 14:30 - External documents:  - Administrator: MME TOMASZEWSKA Ewa Karolina</dc:description>
  <cp:lastModifiedBy/>
  <cp:revision>18</cp:revision>
  <cp:lastPrinted>2020-10-12T20:47:00Z</cp:lastPrinted>
  <dcterms:created xsi:type="dcterms:W3CDTF">2022-11-22T11:11:00Z</dcterms:created>
  <dcterms:modified xsi:type="dcterms:W3CDTF">2022-11-23T13:21:00Z</dcterms:modified>
  <cp:category>REX/552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22/11/2022, 08/11/2022, 07/11/2022, 04/11/2022, 03/10/2022, 08/04/2022, 16-03-2022, 11/10/2021, 05/08/2021, 05/08/2021, 15/10/2020, 03/06/2020, 04/11/2015, 27/10/2015, 19/10/2015, 09/10/2015, 05/10/2015, 05/10/2015, 26/08/2015, 26/08/2015, 25/08/2015</vt:lpwstr>
  </property>
  <property fmtid="{D5CDD505-2E9C-101B-9397-08002B2CF9AE}" pid="4" name="Pref_Time">
    <vt:lpwstr>11:51:58, 09:04:17, 15:53:37, 09:54:56, 08:49:29, 10:08:14, 07:01:48, 15:06:55, 14:05:08, 14:01:08, 17:03:28, 15:18:31, 12:10:07, 14:44:02, 16:04:16, 14:09:30, 16:24:55, 16:04:02, 08:56:14, 07:27:56, 17:31:53</vt:lpwstr>
  </property>
  <property fmtid="{D5CDD505-2E9C-101B-9397-08002B2CF9AE}" pid="5" name="Pref_User">
    <vt:lpwstr>jhvi, pacup, pacup, pacup, pacup, jhvi, pacup, enied, amett, htoo, ssex, hnic, ssex, enied, amett, tvoc, mreg, mreg, amett, enied, ssex</vt:lpwstr>
  </property>
  <property fmtid="{D5CDD505-2E9C-101B-9397-08002B2CF9AE}" pid="6" name="Pref_FileName">
    <vt:lpwstr>EESC-2022-01331-00-00-AS-TRA-EN-CRR.docx, EESC-2022-01331-00-03-PA-TRA.docx, EESC-2022-01331-00-02-PA-TRA.docx, EESC-2022-01331-00-01-PA-TRA-ES-CRR.docx, EESC-2022-01331-01-00-APA-TRA-ES-CRR.docx, EESC-2022-01331-00-00-APRI-TRA-ES-CRR.docx, EESC-2022-0133</vt:lpwstr>
  </property>
  <property fmtid="{D5CDD505-2E9C-101B-9397-08002B2CF9AE}" pid="7" name="ContentTypeId">
    <vt:lpwstr>0x010100EA97B91038054C99906057A708A1480A000A67E7817F567C48B0FF98918A0B8F68</vt:lpwstr>
  </property>
  <property fmtid="{D5CDD505-2E9C-101B-9397-08002B2CF9AE}" pid="8" name="_dlc_DocIdItemGuid">
    <vt:lpwstr>5a56be74-8088-41d0-a4b0-7a8b416e60a6</vt:lpwstr>
  </property>
  <property fmtid="{D5CDD505-2E9C-101B-9397-08002B2CF9AE}" pid="9" name="AvailableTranslations">
    <vt:lpwstr>63;#GA|762d2456-c427-4ecb-b312-af3dad8e258c;#37;#PT|50ccc04a-eadd-42ae-a0cb-acaf45f812ba;#55;#HR|2f555653-ed1a-4fe6-8362-9082d95989e5;#44;#LT|a7ff5ce7-6123-4f68-865a-a57c31810414;#32;#DA|5d49c027-8956-412b-aa16-e85a0f96ad0e;#29;#SV|c2ed69e7-a339-43d7-8f22-d93680a92aa0;#31;#ES|e7a6b05b-ae16-40c8-add9-68b64b03aeba;#11;#FR|d2afafd3-4c81-4f60-8f52-ee33f2f54ff3;#35;#MT|7df99101-6854-4a26-b53a-b88c0da02c26;#4;#EN|f2175f21-25d7-44a3-96da-d6a61b075e1b;#40;#BG|1a1b3951-7821-4e6a-85f5-5673fc08bd2c;#43;#NL|55c6556c-b4f4-441d-9acf-c498d4f838bd;#33;#IT|0774613c-01ed-4e5d-a25d-11d2388de825;#26;#LV|46f7e311-5d9f-4663-b433-18aeccb7ace7;#54;#ET|ff6c3f4c-b02c-4c3c-ab07-2c37995a7a0a;#41;#CS|72f9705b-0217-4fd3-bea2-cbc7ed80e26e;#45;#RO|feb747a2-64cd-4299-af12-4833ddc30497;#42;#SL|98a412ae-eb01-49e9-ae3d-585a81724cfc;#36;#HU|6b229040-c589-4408-b4c1-4285663d20a8;#22;#DE|f6b31e5a-26fa-4935-b661-318e46daf27e;#46;#EL|6d4f4d51-af9b-4650-94b4-4276bee85c91;#34;#SK|46d9fce0-ef79-4f71-b89b-cd6aa82426b8;#30;#PL|1e03da61-4678-4e07-b136-b5024ca9197b;#38;#FI|87606a43-d45f-42d6-b8c9-e1a3457db5b7</vt:lpwstr>
  </property>
  <property fmtid="{D5CDD505-2E9C-101B-9397-08002B2CF9AE}" pid="10" name="DocumentType_0">
    <vt:lpwstr>AS|c7a748eb-f6f2-4d9d-8b5a-af0cafebc224</vt:lpwstr>
  </property>
  <property fmtid="{D5CDD505-2E9C-101B-9397-08002B2CF9AE}" pid="11" name="DossierName_0">
    <vt:lpwstr>REX|6820eaf5-116e-436b-ad9c-156f8a94c2a1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1331</vt:i4>
  </property>
  <property fmtid="{D5CDD505-2E9C-101B-9397-08002B2CF9AE}" pid="14" name="DocumentVersion">
    <vt:i4>0</vt:i4>
  </property>
  <property fmtid="{D5CDD505-2E9C-101B-9397-08002B2CF9AE}" pid="15" name="DossierNumber">
    <vt:i4>552</vt:i4>
  </property>
  <property fmtid="{D5CDD505-2E9C-101B-9397-08002B2CF9AE}" pid="16" name="DocumentStatus">
    <vt:lpwstr>7;#TRA|150d2a88-1431-44e6-a8ca-0bb753ab8672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>60;#REX|6820eaf5-116e-436b-ad9c-156f8a94c2a1</vt:lpwstr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146;#AS|c7a748eb-f6f2-4d9d-8b5a-af0cafebc224</vt:lpwstr>
  </property>
  <property fmtid="{D5CDD505-2E9C-101B-9397-08002B2CF9AE}" pid="22" name="RequestingService">
    <vt:lpwstr>Relations extérieures</vt:lpwstr>
  </property>
  <property fmtid="{D5CDD505-2E9C-101B-9397-08002B2CF9AE}" pid="23" name="Confidentiality">
    <vt:lpwstr>9;#Unrestricted|826e22d7-d029-4ec0-a450-0c28ff673572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>51;#SPL-CES|32d8cb1f-c9ec-4365-95c7-8385a18618ac</vt:lpwstr>
  </property>
  <property fmtid="{D5CDD505-2E9C-101B-9397-08002B2CF9AE}" pid="28" name="MeetingDate">
    <vt:filetime>2022-12-14T12:00:00Z</vt:filetime>
  </property>
  <property fmtid="{D5CDD505-2E9C-101B-9397-08002B2CF9AE}" pid="29" name="AvailableTranslations_0">
    <vt:lpwstr>ES|e7a6b05b-ae16-40c8-add9-68b64b03aeba;EN|f2175f21-25d7-44a3-96da-d6a61b075e1b;EL|6d4f4d51-af9b-4650-94b4-4276bee85c91;PL|1e03da61-4678-4e07-b136-b5024ca9197b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31;#ES|e7a6b05b-ae16-40c8-add9-68b64b03aeba;#30;#PL|1e03da61-4678-4e07-b136-b5024ca9197b;#46;#EL|6d4f4d51-af9b-4650-94b4-4276bee85c91;#146;#AS|c7a748eb-f6f2-4d9d-8b5a-af0cafebc224;#60;#REX|6820eaf5-116e-436b-ad9c-156f8a94c2a1;#7;#TRA|150d2a88-1431-44e6-a8ca-0bb753ab8672;#9;#Unrestricted|826e22d7-d029-4ec0-a450-0c28ff673572;#4;#EN|f2175f21-25d7-44a3-96da-d6a61b075e1b;#6;#Final|ea5e6674-7b27-4bac-b091-73adbb394efe;#1;#EESC|422833ec-8d7e-4e65-8e4e-8bed07ffb729;#51;#SPL-CES|32d8cb1f-c9ec-4365-95c7-8385a18618ac</vt:lpwstr>
  </property>
  <property fmtid="{D5CDD505-2E9C-101B-9397-08002B2CF9AE}" pid="33" name="Rapporteur">
    <vt:lpwstr>PUXEU ROCAMORA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6;#Final|ea5e6674-7b27-4bac-b091-73adbb394efe</vt:lpwstr>
  </property>
  <property fmtid="{D5CDD505-2E9C-101B-9397-08002B2CF9AE}" pid="36" name="DocumentYear">
    <vt:i4>2022</vt:i4>
  </property>
  <property fmtid="{D5CDD505-2E9C-101B-9397-08002B2CF9AE}" pid="37" name="FicheNumber">
    <vt:i4>13765</vt:i4>
  </property>
  <property fmtid="{D5CDD505-2E9C-101B-9397-08002B2CF9AE}" pid="38" name="DocumentLanguage">
    <vt:lpwstr>41;#CS|72f9705b-0217-4fd3-bea2-cbc7ed80e26e</vt:lpwstr>
  </property>
  <property fmtid="{D5CDD505-2E9C-101B-9397-08002B2CF9AE}" pid="39" name="_docset_NoMedatataSyncRequired">
    <vt:lpwstr>False</vt:lpwstr>
  </property>
  <property name="OP_sanitized" fmtid="{D5CDD505-2E9C-101B-9397-08002B2CF9AE}" pid="39">
    <vt:lpwstr>True</vt:lpwstr>
  </property>
</Properties>
</file>