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C7F52" w:rsidR="00646AC2" w:rsidP="007C7E7F" w:rsidRDefault="00195ACB" w14:paraId="3481A61A" w14:textId="2F30804A">
      <w:pPr>
        <w:jc w:val="center"/>
      </w:pPr>
      <w:r>
        <w:rPr>
          <w:noProof/>
          <w:lang w:val="en-US"/>
        </w:rPr>
        <w:drawing>
          <wp:inline distT="0" distB="0" distL="0" distR="0" wp14:anchorId="4CC02A97" wp14:editId="74B58D70">
            <wp:extent cx="1792605" cy="1239520"/>
            <wp:effectExtent l="0" t="0" r="0" b="0"/>
            <wp:docPr id="1" name="Picture 1" title="EESCLogo_CS"/>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bookmarkStart w:name="_GoBack" w:id="0"/>
      <w:bookmarkEnd w:id="0"/>
      <w:r w:rsidR="008C74D9">
        <w:rPr>
          <w:noProof/>
          <w:sz w:val="20"/>
          <w:lang w:val="en-US"/>
        </w:rPr>
        <mc:AlternateContent>
          <mc:Choice Requires="wps">
            <w:drawing>
              <wp:anchor distT="0" distB="0" distL="114300" distR="114300" simplePos="0" relativeHeight="251659264" behindDoc="1" locked="0" layoutInCell="0" allowOverlap="1" wp14:editId="72B65C90" wp14:anchorId="6E0701C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93EFA" w:rsidRDefault="00793EFA" w14:paraId="76C1DCEF" w14:textId="77777777">
                            <w:pPr>
                              <w:jc w:val="center"/>
                              <w:rPr>
                                <w:rFonts w:ascii="Arial" w:hAnsi="Arial" w:cs="Arial"/>
                                <w:b/>
                                <w:bCs/>
                                <w:sz w:val="48"/>
                              </w:rPr>
                            </w:pPr>
                            <w:r>
                              <w:rPr>
                                <w:rFonts w:ascii="Arial" w:hAnsi="Arial"/>
                                <w:b/>
                                <w:sz w:val="48"/>
                              </w:rPr>
                              <w:t>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E0701C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793EFA" w:rsidRDefault="00793EFA" w14:paraId="76C1DCEF" w14:textId="77777777">
                      <w:pPr>
                        <w:jc w:val="center"/>
                        <w:rPr>
                          <w:rFonts w:ascii="Arial" w:hAnsi="Arial" w:cs="Arial"/>
                          <w:b/>
                          <w:bCs/>
                          <w:sz w:val="48"/>
                        </w:rPr>
                      </w:pPr>
                      <w:r>
                        <w:rPr>
                          <w:rFonts w:ascii="Arial" w:hAnsi="Arial"/>
                          <w:b/>
                          <w:sz w:val="48"/>
                        </w:rPr>
                        <w:t>CS</w:t>
                      </w:r>
                    </w:p>
                  </w:txbxContent>
                </v:textbox>
                <w10:wrap anchorx="page" anchory="page"/>
              </v:shape>
            </w:pict>
          </mc:Fallback>
        </mc:AlternateContent>
      </w:r>
    </w:p>
    <w:p w:rsidRPr="008C7F52" w:rsidR="008C74D9" w:rsidP="007C7E7F" w:rsidRDefault="008C74D9" w14:paraId="6CCE0CD5" w14:textId="77777777"/>
    <w:p w:rsidRPr="008C7F52" w:rsidR="00646AC2" w:rsidP="007C7E7F" w:rsidRDefault="000C0B9A" w14:paraId="37CF3BF8" w14:textId="77777777">
      <w:pPr>
        <w:jc w:val="right"/>
      </w:pPr>
      <w:r>
        <w:rPr>
          <w:b/>
        </w:rPr>
        <w:t>INT/976</w:t>
      </w:r>
    </w:p>
    <w:p w:rsidRPr="008C7F52" w:rsidR="00563C84" w:rsidP="007C7E7F" w:rsidRDefault="00A8185D" w14:paraId="243C64D9" w14:textId="77777777">
      <w:pPr>
        <w:jc w:val="right"/>
        <w:rPr>
          <w:b/>
        </w:rPr>
      </w:pPr>
      <w:r>
        <w:rPr>
          <w:b/>
        </w:rPr>
        <w:t>Zásady pro digitální dekádu</w:t>
      </w:r>
    </w:p>
    <w:p w:rsidRPr="008C7F52" w:rsidR="00AD370B" w:rsidP="007C7E7F" w:rsidRDefault="00AD370B" w14:paraId="3BF5A4CF" w14:textId="77777777">
      <w:pPr>
        <w:jc w:val="right"/>
        <w:rPr>
          <w:b/>
        </w:rPr>
      </w:pPr>
      <w:r>
        <w:rPr>
          <w:b/>
        </w:rPr>
        <w:t>INT/988</w:t>
      </w:r>
    </w:p>
    <w:p w:rsidRPr="008C7F52" w:rsidR="00AD370B" w:rsidP="007C7E7F" w:rsidRDefault="00AD370B" w14:paraId="59C07A15" w14:textId="77777777">
      <w:pPr>
        <w:jc w:val="right"/>
        <w:rPr>
          <w:b/>
        </w:rPr>
      </w:pPr>
      <w:r>
        <w:rPr>
          <w:b/>
        </w:rPr>
        <w:t>Digitální práva a zásady</w:t>
      </w:r>
    </w:p>
    <w:p w:rsidRPr="008C7F52" w:rsidR="009B30AA" w:rsidP="007C7E7F" w:rsidRDefault="009B30AA" w14:paraId="48184C26" w14:textId="77777777"/>
    <w:p w:rsidRPr="008C7F52" w:rsidR="009B30AA" w:rsidP="007C7E7F" w:rsidRDefault="009B30AA" w14:paraId="672E2372" w14:textId="77777777"/>
    <w:p w:rsidRPr="008C7F52" w:rsidR="008C7F52" w:rsidP="007C7E7F" w:rsidRDefault="00966F5C" w14:paraId="76465673" w14:textId="3B9756C2">
      <w:pPr>
        <w:jc w:val="center"/>
        <w:rPr>
          <w:b/>
          <w:sz w:val="28"/>
        </w:rPr>
      </w:pPr>
      <w:r>
        <w:rPr>
          <w:b/>
          <w:sz w:val="28"/>
        </w:rPr>
        <w:t>STANOVISKO</w:t>
      </w:r>
    </w:p>
    <w:p w:rsidRPr="008C7F52" w:rsidR="008C7F52" w:rsidP="007C7E7F" w:rsidRDefault="008C7F52" w14:paraId="2E92CC94" w14:textId="37E833FB">
      <w:pPr>
        <w:jc w:val="center"/>
        <w:rPr>
          <w:b/>
        </w:rPr>
      </w:pPr>
    </w:p>
    <w:p w:rsidRPr="008C7F52" w:rsidR="008C7F52" w:rsidP="007C7E7F" w:rsidRDefault="00563C84" w14:paraId="4B63CD2A" w14:textId="621F066A">
      <w:pPr>
        <w:jc w:val="center"/>
      </w:pPr>
      <w:r>
        <w:t xml:space="preserve">sekce Jednotný trh, výroba a spotřeba </w:t>
      </w:r>
    </w:p>
    <w:p w:rsidRPr="008C7F52" w:rsidR="008C7F52" w:rsidP="007C7E7F" w:rsidRDefault="008C7F52" w14:paraId="4B080B63" w14:textId="5B45EF5E">
      <w:pPr>
        <w:jc w:val="center"/>
        <w:rPr>
          <w:b/>
        </w:rPr>
      </w:pPr>
    </w:p>
    <w:p w:rsidRPr="008C7F52" w:rsidR="008C7F52" w:rsidP="007C7E7F" w:rsidRDefault="000B6605" w14:paraId="2CEEB0D0" w14:textId="24FCC157">
      <w:pPr>
        <w:jc w:val="center"/>
        <w:rPr>
          <w:b/>
        </w:rPr>
      </w:pPr>
      <w:r>
        <w:rPr>
          <w:b/>
        </w:rPr>
        <w:t>a) Sdělení Komise Evropskému parlamentu, Radě, Evropskému hospodářskému a sociálnímu výboru a Výboru regionů o Evropském prohlášení o digitálních právech a zásadách pro digitální dekádu</w:t>
      </w:r>
    </w:p>
    <w:p w:rsidRPr="008C7F52" w:rsidR="00646AC2" w:rsidP="007C7E7F" w:rsidRDefault="00525F6C" w14:paraId="7012BDDA" w14:textId="0F91F86E">
      <w:pPr>
        <w:jc w:val="center"/>
      </w:pPr>
      <w:r>
        <w:t>[COM(2022) 27 final]</w:t>
      </w:r>
    </w:p>
    <w:p w:rsidRPr="008C7F52" w:rsidR="000B6605" w:rsidP="007C7E7F" w:rsidRDefault="000B6605" w14:paraId="1A0A548D" w14:textId="77777777">
      <w:pPr>
        <w:jc w:val="center"/>
      </w:pPr>
    </w:p>
    <w:p w:rsidRPr="008C7F52" w:rsidR="008C7F52" w:rsidP="007C7E7F" w:rsidRDefault="000B6605" w14:paraId="229E04C6" w14:textId="77777777">
      <w:pPr>
        <w:jc w:val="center"/>
        <w:rPr>
          <w:b/>
        </w:rPr>
      </w:pPr>
      <w:r>
        <w:rPr>
          <w:b/>
        </w:rPr>
        <w:t>b) Digitální práva a zásady</w:t>
      </w:r>
    </w:p>
    <w:p w:rsidRPr="008C7F52" w:rsidR="000B6605" w:rsidP="007C7E7F" w:rsidRDefault="002009B1" w14:paraId="3AE9D29D" w14:textId="2F4A6AB8">
      <w:pPr>
        <w:jc w:val="center"/>
      </w:pPr>
      <w:r>
        <w:t>(průzkumné stanovisko)</w:t>
      </w:r>
    </w:p>
    <w:p w:rsidRPr="008C7F52" w:rsidR="009B30AA" w:rsidP="007C7E7F" w:rsidRDefault="009B30AA" w14:paraId="37419BE4" w14:textId="77777777">
      <w:pPr>
        <w:jc w:val="cente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8C7F52" w:rsidR="00FF3759" w:rsidTr="00561A45" w14:paraId="1BB72469" w14:textId="77777777">
        <w:tc>
          <w:tcPr>
            <w:tcW w:w="3085" w:type="dxa"/>
          </w:tcPr>
          <w:p w:rsidRPr="008C7F52" w:rsidR="00FF3759" w:rsidP="007C7E7F" w:rsidRDefault="00FF3759" w14:paraId="5E36F6A3" w14:textId="77777777">
            <w:pPr>
              <w:jc w:val="left"/>
            </w:pPr>
            <w:r>
              <w:t>Kontakt</w:t>
            </w:r>
          </w:p>
        </w:tc>
        <w:tc>
          <w:tcPr>
            <w:tcW w:w="6204" w:type="dxa"/>
          </w:tcPr>
          <w:p w:rsidRPr="008C7F52" w:rsidR="00FF3759" w:rsidP="007C7E7F" w:rsidRDefault="00B566A1" w14:paraId="7DA0C51F" w14:textId="77777777">
            <w:pPr>
              <w:jc w:val="left"/>
            </w:pPr>
            <w:hyperlink w:history="1" r:id="rId12">
              <w:r w:rsidR="008C7F52">
                <w:rPr>
                  <w:rStyle w:val="Hyperlink"/>
                </w:rPr>
                <w:t>int@eesc.e</w:t>
              </w:r>
              <w:r w:rsidR="008C7F52">
                <w:rPr>
                  <w:rStyle w:val="Hyperlink"/>
                </w:rPr>
                <w:t>uropa.eu</w:t>
              </w:r>
            </w:hyperlink>
            <w:r w:rsidR="008C7F52">
              <w:t xml:space="preserve"> </w:t>
            </w:r>
          </w:p>
        </w:tc>
      </w:tr>
      <w:tr w:rsidRPr="008C7F52" w:rsidR="00FF3759" w:rsidTr="00561A45" w14:paraId="3D1896D7" w14:textId="77777777">
        <w:tc>
          <w:tcPr>
            <w:tcW w:w="3085" w:type="dxa"/>
          </w:tcPr>
          <w:p w:rsidRPr="008C7F52" w:rsidR="00FF3759" w:rsidP="007C7E7F" w:rsidRDefault="00FF3759" w14:paraId="5BFC8438" w14:textId="77777777">
            <w:pPr>
              <w:jc w:val="left"/>
            </w:pPr>
            <w:r>
              <w:t>Administrátorka</w:t>
            </w:r>
          </w:p>
        </w:tc>
        <w:tc>
          <w:tcPr>
            <w:tcW w:w="6204" w:type="dxa"/>
          </w:tcPr>
          <w:p w:rsidRPr="008C7F52" w:rsidR="00FF3759" w:rsidP="007C7E7F" w:rsidRDefault="00412F72" w14:paraId="01693B67" w14:textId="375374BF">
            <w:pPr>
              <w:jc w:val="left"/>
            </w:pPr>
            <w:r>
              <w:t xml:space="preserve">Radoslava ŠTEFANKOVÁ </w:t>
            </w:r>
          </w:p>
        </w:tc>
      </w:tr>
      <w:tr w:rsidRPr="008C7F52" w:rsidR="00FF3759" w:rsidTr="00561A45" w14:paraId="10C676AC" w14:textId="77777777">
        <w:tc>
          <w:tcPr>
            <w:tcW w:w="3085" w:type="dxa"/>
          </w:tcPr>
          <w:p w:rsidRPr="008C7F52" w:rsidR="00FF3759" w:rsidP="007C7E7F" w:rsidRDefault="00FF3759" w14:paraId="735F8753" w14:textId="77777777">
            <w:pPr>
              <w:jc w:val="left"/>
            </w:pPr>
            <w:r>
              <w:t>Datum dokumentu</w:t>
            </w:r>
          </w:p>
        </w:tc>
        <w:tc>
          <w:tcPr>
            <w:tcW w:w="6204" w:type="dxa"/>
          </w:tcPr>
          <w:p w:rsidRPr="008C7F52" w:rsidR="00FF3759" w:rsidP="007C7E7F" w:rsidRDefault="008C7F52" w14:paraId="32D782EC" w14:textId="5924F356">
            <w:pPr>
              <w:jc w:val="left"/>
            </w:pPr>
            <w:r>
              <w:t>07/06/2022</w:t>
            </w:r>
          </w:p>
        </w:tc>
      </w:tr>
    </w:tbl>
    <w:p w:rsidRPr="008C7F52" w:rsidR="00704FBB" w:rsidP="007C7E7F" w:rsidRDefault="007F5E0D" w14:paraId="28C35D48" w14:textId="77777777">
      <w:pPr>
        <w:jc w:val="center"/>
        <w:rPr>
          <w:b/>
        </w:rPr>
      </w:pPr>
      <w:r>
        <w:t xml:space="preserve">Zpravodaj: </w:t>
      </w:r>
      <w:r>
        <w:rPr>
          <w:b/>
        </w:rPr>
        <w:t>Philip VON BROCKDORFF</w:t>
      </w:r>
    </w:p>
    <w:p w:rsidRPr="008C7F52" w:rsidR="00E32DC6" w:rsidP="007C7E7F" w:rsidRDefault="00200B59" w14:paraId="69DE60DB" w14:textId="77777777">
      <w:pPr>
        <w:jc w:val="center"/>
        <w:rPr>
          <w:b/>
        </w:rPr>
      </w:pPr>
      <w:proofErr w:type="spellStart"/>
      <w:r>
        <w:t>Spoluzpravodajka</w:t>
      </w:r>
      <w:proofErr w:type="spellEnd"/>
      <w:r>
        <w:t xml:space="preserve">: </w:t>
      </w:r>
      <w:r>
        <w:rPr>
          <w:b/>
        </w:rPr>
        <w:t>Violeta JELIĆ</w:t>
      </w:r>
    </w:p>
    <w:p w:rsidRPr="008C7F52" w:rsidR="00E32DC6" w:rsidP="007C7E7F" w:rsidRDefault="00E32DC6" w14:paraId="13369943" w14:textId="77777777"/>
    <w:p w:rsidRPr="008C7F52" w:rsidR="00E32DC6" w:rsidP="007C7E7F" w:rsidRDefault="00E32DC6" w14:paraId="30A261CD" w14:textId="77777777">
      <w:pPr>
        <w:sectPr w:rsidRPr="008C7F52" w:rsidR="00E32DC6" w:rsidSect="00204E9C">
          <w:headerReference w:type="even" r:id="rId13"/>
          <w:headerReference w:type="default" r:id="rId14"/>
          <w:footerReference w:type="even" r:id="rId15"/>
          <w:footerReference w:type="default" r:id="rId16"/>
          <w:headerReference w:type="first" r:id="rId17"/>
          <w:footerReference w:type="first" r:id="rId18"/>
          <w:pgSz w:w="11907" w:h="16839" w:code="9"/>
          <w:pgMar w:top="1418" w:right="1418" w:bottom="1418" w:left="1418" w:header="709" w:footer="709" w:gutter="0"/>
          <w:pgNumType w:start="1"/>
          <w:cols w:space="720"/>
          <w:docGrid w:linePitch="299"/>
        </w:sectPr>
      </w:pPr>
    </w:p>
    <w:tbl>
      <w:tblPr>
        <w:tblW w:w="5000" w:type="pct"/>
        <w:tblCellMar>
          <w:left w:w="85" w:type="dxa"/>
          <w:right w:w="85" w:type="dxa"/>
        </w:tblCellMar>
        <w:tblLook w:val="04A0" w:firstRow="1" w:lastRow="0" w:firstColumn="1" w:lastColumn="0" w:noHBand="0" w:noVBand="1"/>
      </w:tblPr>
      <w:tblGrid>
        <w:gridCol w:w="3120"/>
        <w:gridCol w:w="6123"/>
      </w:tblGrid>
      <w:tr w:rsidRPr="008C7F52" w:rsidR="0011656A" w:rsidTr="00561A45" w14:paraId="3B2424B7" w14:textId="77777777">
        <w:tc>
          <w:tcPr>
            <w:tcW w:w="3062" w:type="dxa"/>
          </w:tcPr>
          <w:p w:rsidRPr="008C7F52" w:rsidR="0011656A" w:rsidP="007C7E7F" w:rsidRDefault="004A5738" w14:paraId="0F610334" w14:textId="77777777">
            <w:pPr>
              <w:jc w:val="left"/>
            </w:pPr>
            <w:r>
              <w:lastRenderedPageBreak/>
              <w:t>Žádost o vypracování stanoviska</w:t>
            </w:r>
          </w:p>
        </w:tc>
        <w:tc>
          <w:tcPr>
            <w:tcW w:w="6010" w:type="dxa"/>
          </w:tcPr>
          <w:p w:rsidRPr="008C7F52" w:rsidR="0011656A" w:rsidP="007C7E7F" w:rsidRDefault="001329CE" w14:paraId="17C49B83" w14:textId="2EC5A96D">
            <w:pPr>
              <w:pStyle w:val="ListParagraph"/>
              <w:numPr>
                <w:ilvl w:val="0"/>
                <w:numId w:val="72"/>
              </w:numPr>
              <w:ind w:left="284" w:hanging="284"/>
              <w:jc w:val="left"/>
            </w:pPr>
            <w:r>
              <w:t>Evropská komise, 02/05/2022</w:t>
            </w:r>
          </w:p>
          <w:p w:rsidRPr="008C7F52" w:rsidR="005702FB" w:rsidP="007C7E7F" w:rsidRDefault="005702FB" w14:paraId="6C8EBE37" w14:textId="700184D9">
            <w:pPr>
              <w:pStyle w:val="ListParagraph"/>
              <w:numPr>
                <w:ilvl w:val="0"/>
                <w:numId w:val="72"/>
              </w:numPr>
              <w:ind w:left="284" w:hanging="284"/>
              <w:jc w:val="left"/>
            </w:pPr>
            <w:r>
              <w:t>české předsednictví, 26/01/2022</w:t>
            </w:r>
          </w:p>
        </w:tc>
      </w:tr>
      <w:tr w:rsidRPr="008C7F52" w:rsidR="0016503F" w:rsidTr="00561A45" w14:paraId="292F9B09" w14:textId="77777777">
        <w:trPr>
          <w:trHeight w:val="251"/>
        </w:trPr>
        <w:tc>
          <w:tcPr>
            <w:tcW w:w="3062" w:type="dxa"/>
          </w:tcPr>
          <w:p w:rsidRPr="008C7F52" w:rsidR="0016503F" w:rsidP="007C7E7F" w:rsidRDefault="0016503F" w14:paraId="74A14723" w14:textId="77777777">
            <w:pPr>
              <w:jc w:val="left"/>
            </w:pPr>
            <w:r>
              <w:t>Právní základ</w:t>
            </w:r>
          </w:p>
        </w:tc>
        <w:tc>
          <w:tcPr>
            <w:tcW w:w="6010" w:type="dxa"/>
          </w:tcPr>
          <w:p w:rsidRPr="008C7F52" w:rsidR="0016503F" w:rsidP="007C7E7F" w:rsidRDefault="00931E64" w14:paraId="6A32EE91" w14:textId="05527943">
            <w:pPr>
              <w:pStyle w:val="ListParagraph"/>
              <w:numPr>
                <w:ilvl w:val="0"/>
                <w:numId w:val="75"/>
              </w:numPr>
              <w:ind w:left="284" w:hanging="284"/>
              <w:jc w:val="left"/>
            </w:pPr>
            <w:r>
              <w:t>článek 304 Smlouvy o fungování Evropské unie</w:t>
            </w:r>
          </w:p>
          <w:p w:rsidRPr="008C7F52" w:rsidR="005702FB" w:rsidP="007C7E7F" w:rsidRDefault="00277756" w14:paraId="3EF71D66" w14:textId="4802BFB4">
            <w:pPr>
              <w:pStyle w:val="ListParagraph"/>
              <w:numPr>
                <w:ilvl w:val="0"/>
                <w:numId w:val="76"/>
              </w:numPr>
              <w:ind w:left="284" w:hanging="284"/>
              <w:jc w:val="left"/>
            </w:pPr>
            <w:r>
              <w:t>článek 304 Smlouvy o fungování Evropské unie</w:t>
            </w:r>
          </w:p>
        </w:tc>
      </w:tr>
      <w:tr w:rsidRPr="008C7F52" w:rsidR="0016503F" w:rsidTr="00561A45" w14:paraId="66130173" w14:textId="77777777">
        <w:trPr>
          <w:trHeight w:val="250"/>
        </w:trPr>
        <w:tc>
          <w:tcPr>
            <w:tcW w:w="3062" w:type="dxa"/>
          </w:tcPr>
          <w:p w:rsidRPr="008C7F52" w:rsidR="0016503F" w:rsidP="007C7E7F" w:rsidRDefault="0016503F" w14:paraId="225B7EF7" w14:textId="77777777">
            <w:pPr>
              <w:jc w:val="left"/>
            </w:pPr>
          </w:p>
        </w:tc>
        <w:tc>
          <w:tcPr>
            <w:tcW w:w="6010" w:type="dxa"/>
          </w:tcPr>
          <w:p w:rsidRPr="008C7F52" w:rsidR="0016503F" w:rsidP="007C7E7F" w:rsidRDefault="0016503F" w14:paraId="2B228347" w14:textId="77777777">
            <w:pPr>
              <w:jc w:val="left"/>
            </w:pPr>
          </w:p>
        </w:tc>
      </w:tr>
      <w:tr w:rsidRPr="008C7F52" w:rsidR="00DF5B64" w:rsidTr="00561A45" w14:paraId="09E0FEDD" w14:textId="77777777">
        <w:tc>
          <w:tcPr>
            <w:tcW w:w="3062" w:type="dxa"/>
          </w:tcPr>
          <w:p w:rsidRPr="008C7F52" w:rsidR="00DF5B64" w:rsidP="007C7E7F" w:rsidRDefault="00AD4B4F" w14:paraId="022B7DA3" w14:textId="77777777">
            <w:pPr>
              <w:jc w:val="left"/>
            </w:pPr>
            <w:r>
              <w:t>Odpovědná sekce</w:t>
            </w:r>
          </w:p>
        </w:tc>
        <w:tc>
          <w:tcPr>
            <w:tcW w:w="6010" w:type="dxa"/>
          </w:tcPr>
          <w:p w:rsidRPr="008C7F52" w:rsidR="00DF5B64" w:rsidP="007C7E7F" w:rsidRDefault="000C0B9A" w14:paraId="597F760F" w14:textId="77777777">
            <w:pPr>
              <w:jc w:val="left"/>
            </w:pPr>
            <w:r>
              <w:t>Jednotný trh, výroba a spotřeba</w:t>
            </w:r>
          </w:p>
        </w:tc>
      </w:tr>
      <w:tr w:rsidRPr="008C7F52" w:rsidR="00A156E6" w:rsidTr="00561A45" w14:paraId="1E4E80F6" w14:textId="77777777">
        <w:tc>
          <w:tcPr>
            <w:tcW w:w="3062" w:type="dxa"/>
          </w:tcPr>
          <w:p w:rsidRPr="008C7F52" w:rsidR="00A156E6" w:rsidP="007C7E7F" w:rsidRDefault="00A156E6" w14:paraId="179E0D80" w14:textId="77777777">
            <w:pPr>
              <w:jc w:val="left"/>
            </w:pPr>
            <w:r>
              <w:t>Přijato v sekci</w:t>
            </w:r>
          </w:p>
        </w:tc>
        <w:tc>
          <w:tcPr>
            <w:tcW w:w="6010" w:type="dxa"/>
          </w:tcPr>
          <w:p w:rsidRPr="008C7F52" w:rsidR="00A156E6" w:rsidP="007C7E7F" w:rsidRDefault="00BF4FFF" w14:paraId="2578973B" w14:textId="57C1CCB9">
            <w:pPr>
              <w:jc w:val="left"/>
            </w:pPr>
            <w:r>
              <w:t>01/06/2022</w:t>
            </w:r>
          </w:p>
        </w:tc>
      </w:tr>
      <w:tr w:rsidRPr="008C7F52" w:rsidR="00EF3183" w:rsidTr="00561A45" w14:paraId="647B8E48" w14:textId="77777777">
        <w:tc>
          <w:tcPr>
            <w:tcW w:w="3062" w:type="dxa"/>
          </w:tcPr>
          <w:p w:rsidRPr="008C7F52" w:rsidR="00EF3183" w:rsidP="007C7E7F" w:rsidRDefault="00EF3183" w14:paraId="6FE5624C" w14:textId="77777777">
            <w:pPr>
              <w:jc w:val="left"/>
            </w:pPr>
            <w:r>
              <w:t>Výsledek hlasování</w:t>
            </w:r>
            <w:r>
              <w:br/>
              <w:t>(pro/proti/zdrželi se hlasování)</w:t>
            </w:r>
          </w:p>
        </w:tc>
        <w:tc>
          <w:tcPr>
            <w:tcW w:w="6010" w:type="dxa"/>
            <w:vAlign w:val="bottom"/>
          </w:tcPr>
          <w:p w:rsidRPr="008C7F52" w:rsidR="00EF3183" w:rsidP="007C7E7F" w:rsidRDefault="00EF3183" w14:paraId="4DF8FFD6" w14:textId="6E6D2749">
            <w:pPr>
              <w:jc w:val="left"/>
            </w:pPr>
            <w:r>
              <w:t>60/0/0</w:t>
            </w:r>
          </w:p>
        </w:tc>
      </w:tr>
      <w:tr w:rsidRPr="008C7F52" w:rsidR="00A156E6" w:rsidTr="00561A45" w14:paraId="3EFB5A5A" w14:textId="77777777">
        <w:tc>
          <w:tcPr>
            <w:tcW w:w="3062" w:type="dxa"/>
          </w:tcPr>
          <w:p w:rsidRPr="008C7F52" w:rsidR="00A156E6" w:rsidP="007C7E7F" w:rsidRDefault="00A156E6" w14:paraId="44B61EA1" w14:textId="77777777">
            <w:pPr>
              <w:jc w:val="left"/>
            </w:pPr>
            <w:r>
              <w:t>Přijato na plenárním zasedání</w:t>
            </w:r>
          </w:p>
        </w:tc>
        <w:tc>
          <w:tcPr>
            <w:tcW w:w="6010" w:type="dxa"/>
          </w:tcPr>
          <w:p w:rsidRPr="008C7F52" w:rsidR="00A156E6" w:rsidP="007C7E7F" w:rsidRDefault="003439AB" w14:paraId="19C1E859" w14:textId="77777777">
            <w:pPr>
              <w:jc w:val="left"/>
            </w:pPr>
            <w:r>
              <w:t>DD/MM/YYYY</w:t>
            </w:r>
          </w:p>
        </w:tc>
      </w:tr>
      <w:tr w:rsidRPr="008C7F52" w:rsidR="00BA1290" w:rsidTr="00561A45" w14:paraId="029843C3" w14:textId="77777777">
        <w:tc>
          <w:tcPr>
            <w:tcW w:w="3062" w:type="dxa"/>
          </w:tcPr>
          <w:p w:rsidRPr="008C7F52" w:rsidR="00BA1290" w:rsidP="007C7E7F" w:rsidRDefault="00BA1290" w14:paraId="4BC5F521" w14:textId="77777777">
            <w:pPr>
              <w:jc w:val="left"/>
            </w:pPr>
            <w:r>
              <w:t>Plenární zasedání č.</w:t>
            </w:r>
          </w:p>
        </w:tc>
        <w:tc>
          <w:tcPr>
            <w:tcW w:w="6010" w:type="dxa"/>
          </w:tcPr>
          <w:p w:rsidRPr="008C7F52" w:rsidR="00BA1290" w:rsidP="007C7E7F" w:rsidRDefault="00BA1290" w14:paraId="0459C2F1" w14:textId="77777777">
            <w:pPr>
              <w:jc w:val="left"/>
            </w:pPr>
            <w:r>
              <w:t>…</w:t>
            </w:r>
          </w:p>
        </w:tc>
      </w:tr>
      <w:tr w:rsidRPr="008C7F52" w:rsidR="00A156E6" w:rsidTr="00561A45" w14:paraId="489EDE12" w14:textId="77777777">
        <w:tc>
          <w:tcPr>
            <w:tcW w:w="3062" w:type="dxa"/>
          </w:tcPr>
          <w:p w:rsidRPr="008C7F52" w:rsidR="00D423D4" w:rsidP="007C7E7F" w:rsidRDefault="0043024C" w14:paraId="266C49C3" w14:textId="77777777">
            <w:pPr>
              <w:jc w:val="left"/>
            </w:pPr>
            <w:r>
              <w:t>Výsledek hlasování</w:t>
            </w:r>
            <w:r>
              <w:br/>
              <w:t>(pro/proti/zdrželi se hlasování)</w:t>
            </w:r>
          </w:p>
        </w:tc>
        <w:tc>
          <w:tcPr>
            <w:tcW w:w="6010" w:type="dxa"/>
            <w:vAlign w:val="bottom"/>
          </w:tcPr>
          <w:p w:rsidRPr="008C7F52" w:rsidR="00A156E6" w:rsidP="007C7E7F" w:rsidRDefault="00A156E6" w14:paraId="235680FB" w14:textId="77777777">
            <w:pPr>
              <w:jc w:val="left"/>
            </w:pPr>
            <w:r>
              <w:t>…/…/…</w:t>
            </w:r>
          </w:p>
        </w:tc>
      </w:tr>
    </w:tbl>
    <w:p w:rsidRPr="008C7F52" w:rsidR="0090053A" w:rsidP="007C7E7F" w:rsidRDefault="0090053A" w14:paraId="11BA3DEC" w14:textId="77777777"/>
    <w:p w:rsidRPr="008C7F52" w:rsidR="00646AC2" w:rsidP="007C7E7F" w:rsidRDefault="00646AC2" w14:paraId="30E630FF" w14:textId="77777777">
      <w:r>
        <w:br w:type="page"/>
      </w:r>
    </w:p>
    <w:p w:rsidRPr="008C7F52" w:rsidR="00011D33" w:rsidP="007C7E7F" w:rsidRDefault="00011D33" w14:paraId="09F26B33" w14:textId="77777777">
      <w:pPr>
        <w:pStyle w:val="Heading1"/>
        <w:keepNext/>
      </w:pPr>
      <w:r>
        <w:rPr>
          <w:b/>
        </w:rPr>
        <w:lastRenderedPageBreak/>
        <w:t>Závěry a doporučení</w:t>
      </w:r>
    </w:p>
    <w:p w:rsidRPr="008C7F52" w:rsidR="00011D33" w:rsidP="007C7E7F" w:rsidRDefault="00011D33" w14:paraId="34073EB9" w14:textId="77777777">
      <w:pPr>
        <w:keepNext/>
      </w:pPr>
    </w:p>
    <w:p w:rsidRPr="008C7F52" w:rsidR="001B3C07" w:rsidP="007C7E7F" w:rsidRDefault="00716761" w14:paraId="0D2DAFB4" w14:textId="08C2AB73">
      <w:pPr>
        <w:pStyle w:val="Heading2"/>
      </w:pPr>
      <w:r>
        <w:t xml:space="preserve">EHSV poukazuje na úzkou souvislost Cesty k digitální dekádě s Evropským prohlášením </w:t>
      </w:r>
      <w:r w:rsidR="002009B1">
        <w:t>o </w:t>
      </w:r>
      <w:r>
        <w:t>digitálních právech a zásadách, kdy první z nich zaměřuje na kvantitativní cíle, zatímco předmětem prohlášení jsou především cíle kvalitativní. EHSV se domnívá, že obě iniciativy mohou zásadně napomoci digitální transformaci společnosti a hospodářství.</w:t>
      </w:r>
    </w:p>
    <w:p w:rsidRPr="008C7F52" w:rsidR="00716761" w:rsidP="007C7E7F" w:rsidRDefault="00716761" w14:paraId="11932B05" w14:textId="77777777"/>
    <w:p w:rsidRPr="008C7F52" w:rsidR="00D46631" w:rsidP="007C7E7F" w:rsidRDefault="00E02901" w14:paraId="23A36147" w14:textId="76726479">
      <w:pPr>
        <w:pStyle w:val="Heading2"/>
      </w:pPr>
      <w:r>
        <w:t xml:space="preserve">EHSV se domnívá, že prohlášení by mělo sloužit ve prospěch udržitelného rozvoje jako celku. Úspěšná digitální transformace spočívá v kombinaci hospodářských, sociálních </w:t>
      </w:r>
      <w:r w:rsidR="002009B1">
        <w:t>a </w:t>
      </w:r>
      <w:r>
        <w:t xml:space="preserve">environmentálních přínosů, které vyplynou z jejího podílu na dosažení vyšší míry konkurenceschopnosti a prosperity, většího počtu pracovních míst, lepších životních podmínek a přechodu na oběhové a klimaticky neutrální hospodářství, souběžně s prevencí a minimalizací možných nežádoucích rizik pro společnost. </w:t>
      </w:r>
    </w:p>
    <w:p w:rsidRPr="008C7F52" w:rsidR="000D2E3D" w:rsidP="007C7E7F" w:rsidRDefault="000D2E3D" w14:paraId="42D6B88C" w14:textId="77777777"/>
    <w:p w:rsidRPr="008C7F52" w:rsidR="00436926" w:rsidP="007C7E7F" w:rsidRDefault="00D46631" w14:paraId="5F144A31" w14:textId="543F7040">
      <w:pPr>
        <w:pStyle w:val="Heading2"/>
      </w:pPr>
      <w:r>
        <w:t xml:space="preserve">EHSV se domnívá, že zaměření na digitální dovednosti, digitální infrastrukturu, digitální podnikání a digitální veřejné služby je rozhodujícím předpokladem hospodářského oživení </w:t>
      </w:r>
      <w:r w:rsidR="002009B1">
        <w:t>a </w:t>
      </w:r>
      <w:r>
        <w:t xml:space="preserve">růstu v Evropě. Pokrok v této oblasti musí současně probíhat v souladu se základními právy </w:t>
      </w:r>
      <w:r w:rsidR="002009B1">
        <w:t>a </w:t>
      </w:r>
      <w:r>
        <w:t>se zaměřením na člověka tak, aby nikdo nezůstal opomenut. EHSV rovněž doporučuje přihlédnout k závěrům Konference o budoucnosti Evropy, které se týkají digitální transformace.</w:t>
      </w:r>
    </w:p>
    <w:p w:rsidRPr="008C7F52" w:rsidR="001B3C07" w:rsidP="007C7E7F" w:rsidRDefault="001B3C07" w14:paraId="1431FD47" w14:textId="77777777">
      <w:pPr>
        <w:pStyle w:val="Heading2"/>
        <w:numPr>
          <w:ilvl w:val="0"/>
          <w:numId w:val="0"/>
        </w:numPr>
        <w:ind w:left="567"/>
      </w:pPr>
    </w:p>
    <w:p w:rsidRPr="008C7F52" w:rsidR="00CE7584" w:rsidP="007C7E7F" w:rsidRDefault="006351D3" w14:paraId="5193AD91" w14:textId="02E2F3F6">
      <w:pPr>
        <w:pStyle w:val="Heading2"/>
      </w:pPr>
      <w:r>
        <w:t xml:space="preserve">Jakkoli je prohlášení míněno coby seriózní politický závazek, nemá vliv na stávající zákonná práva. EHSV se domnívá, že digitální práva vyrůstají a definičně se odvozují ze stávajících základních práv tím, že jsou součástí hodnot a zásad EU, kde se střetávají různá práva </w:t>
      </w:r>
      <w:r w:rsidR="002009B1">
        <w:t>a </w:t>
      </w:r>
      <w:r>
        <w:t>svobody a kde též hodnoty vzájemně stanoví limity jedna druhé.</w:t>
      </w:r>
    </w:p>
    <w:p w:rsidRPr="008C7F52" w:rsidR="00450DBD" w:rsidP="007C7E7F" w:rsidRDefault="00450DBD" w14:paraId="3974EDFE" w14:textId="77777777"/>
    <w:p w:rsidRPr="008C7F52" w:rsidR="00A05CA4" w:rsidP="007C7E7F" w:rsidRDefault="00450DBD" w14:paraId="3EF51F4B" w14:textId="13AA1146">
      <w:pPr>
        <w:pStyle w:val="Heading2"/>
      </w:pPr>
      <w:r>
        <w:t>Jednotlivé zásady a práva popsané v návrhu prohlášení se v řadě věcí překrývají a jejich míchání ztěžuje vnímání podstaty obsahu. Proto je nezbytně nutné činit maximum pro pochopení jejich praktického významu a týká se to podniků, pracovníků, spotřebitelů i široké veřejnosti jako takové.</w:t>
      </w:r>
    </w:p>
    <w:p w:rsidRPr="008C7F52" w:rsidR="00A05CA4" w:rsidP="007C7E7F" w:rsidRDefault="00A05CA4" w14:paraId="5CBE50CB" w14:textId="77777777"/>
    <w:p w:rsidRPr="008C7F52" w:rsidR="00DC1981" w:rsidP="007C7E7F" w:rsidRDefault="00140BED" w14:paraId="0659F97A" w14:textId="7A804A8D">
      <w:pPr>
        <w:pStyle w:val="Heading2"/>
      </w:pPr>
      <w:r>
        <w:t xml:space="preserve">Základní práva a hodnoty EU jsou naprosto klíčové jak z hlediska občanů, tak podniků. </w:t>
      </w:r>
      <w:r w:rsidR="002009B1">
        <w:t>V </w:t>
      </w:r>
      <w:r>
        <w:t xml:space="preserve">prohlášení by tak mělo zaznít, že většina podniků, zejména pak malých a středních, se víceméně potýká s týmiž výzvami, jaké přizpůsobování digitálnímu světu staví před občany. EHSV též podotýká, že je třeba nedopustit digitální propast z hlediska přístupu stárnoucích </w:t>
      </w:r>
      <w:r w:rsidR="002009B1">
        <w:t>a </w:t>
      </w:r>
      <w:r>
        <w:t xml:space="preserve">venkovských skupin obyvatel k veřejným i soukromým službám. </w:t>
      </w:r>
    </w:p>
    <w:p w:rsidRPr="008C7F52" w:rsidR="00DC1981" w:rsidP="007C7E7F" w:rsidRDefault="00DC1981" w14:paraId="3ABF0B93" w14:textId="77777777"/>
    <w:p w:rsidRPr="008C7F52" w:rsidR="007C29D8" w:rsidP="007C7E7F" w:rsidRDefault="00EA4984" w14:paraId="79BB1123" w14:textId="4840EAB8">
      <w:pPr>
        <w:pStyle w:val="Heading2"/>
      </w:pPr>
      <w:r>
        <w:t xml:space="preserve">EHSV poukazuje na zásady konektivity, dovedností a bezpečnosti, které mají zásadní význam pro občany, podniky i celkový rozvoj hospodářství a společnosti. Válka mezi Ruskem </w:t>
      </w:r>
      <w:r w:rsidR="002009B1">
        <w:t>a </w:t>
      </w:r>
      <w:r>
        <w:t xml:space="preserve">Ukrajinou jej ještě podtrhla a plyne z ní ještě silnější potřeba rozvíjet dovednosti občanů </w:t>
      </w:r>
      <w:r w:rsidR="002009B1">
        <w:t>a </w:t>
      </w:r>
      <w:r>
        <w:t>prostředky k rozpoznávání a potírání dezinformací.</w:t>
      </w:r>
    </w:p>
    <w:p w:rsidRPr="008C7F52" w:rsidR="007C29D8" w:rsidP="007C7E7F" w:rsidRDefault="007C29D8" w14:paraId="049D0642" w14:textId="77777777"/>
    <w:p w:rsidRPr="008C7F52" w:rsidR="007C29D8" w:rsidP="007C7E7F" w:rsidRDefault="007C29D8" w14:paraId="5036BBC1" w14:textId="46ADBC07">
      <w:pPr>
        <w:pStyle w:val="Heading2"/>
      </w:pPr>
      <w:r>
        <w:t xml:space="preserve">EHSV považuje za důležité měřit a sledovat digitální pokrok a doporučuje, aby nedocházelo </w:t>
      </w:r>
      <w:r w:rsidR="002009B1">
        <w:t>k </w:t>
      </w:r>
      <w:r>
        <w:t>multiplikaci nástrojů v této oblasti. Cíle prohlášení je třeba měřit s využitím konkrétních ukazatelů v rámci Cesty k digitální dekádě a výroční zpráva „o stavu digitální dekády“ by měla sloužit jako podklad pro evropský semestr.</w:t>
      </w:r>
    </w:p>
    <w:p w:rsidRPr="008C7F52" w:rsidR="00DE772F" w:rsidP="007C7E7F" w:rsidRDefault="00DE772F" w14:paraId="1E1AECAC" w14:textId="77777777"/>
    <w:p w:rsidRPr="008C7F52" w:rsidR="00DE772F" w:rsidP="007C7E7F" w:rsidRDefault="008B2E4A" w14:paraId="129A46C2" w14:textId="480A8736">
      <w:pPr>
        <w:pStyle w:val="Heading2"/>
      </w:pPr>
      <w:r>
        <w:t>Klíčovým předpokladem digitálního rozvoje v EU je hladce fungující a spravedlivý jednotný trh. Proto EHSV považuje za nutné důsledně chránit podstatu svobod spojených s jednotným trhem. Na důležitosti nabývají svoboda pohybu údajů a vlastnictví údajů, neboť se netýkají pouze jednotného trhu s údaji jako takového, nýbrž logicky navazují též na trh s kapitálem, zbožím a službami. Dále by prohlášení mělo poukázat na zásady týkající se inovací a duševního vlastnictví a svobody podnikání.</w:t>
      </w:r>
    </w:p>
    <w:p w:rsidRPr="008C7F52" w:rsidR="00DE772F" w:rsidP="007C7E7F" w:rsidRDefault="00DE772F" w14:paraId="6BD53501" w14:textId="3BED1DBA">
      <w:pPr>
        <w:pStyle w:val="Heading2"/>
        <w:numPr>
          <w:ilvl w:val="0"/>
          <w:numId w:val="0"/>
        </w:numPr>
        <w:ind w:left="567"/>
      </w:pPr>
      <w:r>
        <w:t xml:space="preserve"> </w:t>
      </w:r>
    </w:p>
    <w:p w:rsidRPr="008C7F52" w:rsidR="00E143EB" w:rsidP="007C7E7F" w:rsidRDefault="00A77C96" w14:paraId="2CC69B98" w14:textId="1E599441">
      <w:pPr>
        <w:pStyle w:val="Heading2"/>
      </w:pPr>
      <w:r>
        <w:t xml:space="preserve">Jednotný trh je pro EU také odrazovým můstkem k širšímu využití vnějších trhů </w:t>
      </w:r>
      <w:r w:rsidR="002009B1">
        <w:t>a </w:t>
      </w:r>
      <w:r>
        <w:t xml:space="preserve">dodavatelských řetězců a posílení vlastního vlivu jako silného globálního hráče. Prohlášení by se tak mělo dostat aktivní propagace v mezinárodním prostředí za pomoci široké palety nástrojů, od globálních dohod uzavíraných sociálními partnery v nadnárodních společnostech po diplomatickou činnost a spolupráci v oblasti inovací, obchodní a investiční dohody a podmínky financování. </w:t>
      </w:r>
    </w:p>
    <w:p w:rsidRPr="008C7F52" w:rsidR="00011D33" w:rsidP="007C7E7F" w:rsidRDefault="00011D33" w14:paraId="702E1465" w14:textId="77777777"/>
    <w:p w:rsidRPr="008C7F52" w:rsidR="00011D33" w:rsidP="007C7E7F" w:rsidRDefault="00304803" w14:paraId="32D15B81" w14:textId="77777777">
      <w:pPr>
        <w:pStyle w:val="Heading1"/>
        <w:keepNext/>
      </w:pPr>
      <w:r>
        <w:rPr>
          <w:b/>
        </w:rPr>
        <w:t>Úvod</w:t>
      </w:r>
    </w:p>
    <w:p w:rsidRPr="008C7F52" w:rsidR="00011D33" w:rsidP="007C7E7F" w:rsidRDefault="00011D33" w14:paraId="24B04499" w14:textId="77777777">
      <w:pPr>
        <w:keepNext/>
      </w:pPr>
    </w:p>
    <w:p w:rsidRPr="008C7F52" w:rsidR="00CB0083" w:rsidP="007C7E7F" w:rsidRDefault="00146639" w14:paraId="1944682B" w14:textId="303A827A">
      <w:pPr>
        <w:pStyle w:val="Heading2"/>
      </w:pPr>
      <w:r>
        <w:t>V posledním projevu o stavu Unie představila Evropská komise Cestu k digitální dekádě</w:t>
      </w:r>
      <w:r w:rsidRPr="008C7F52" w:rsidR="0010049B">
        <w:rPr>
          <w:rStyle w:val="FootnoteReference"/>
        </w:rPr>
        <w:footnoteReference w:id="2"/>
      </w:r>
      <w:r>
        <w:t>. Cílem tohoto plánu je digitalizovat dovednosti, infrastrukturu, podniky a veřejné služby za účelem dokončení transformace naší společnosti a ekonomiky do roku 2030.</w:t>
      </w:r>
    </w:p>
    <w:p w:rsidRPr="008C7F52" w:rsidR="00BF0623" w:rsidP="007C7E7F" w:rsidRDefault="00BF0623" w14:paraId="2D245D09" w14:textId="0A16751A"/>
    <w:p w:rsidRPr="008C7F52" w:rsidR="00910133" w:rsidP="007C7E7F" w:rsidRDefault="00841C9F" w14:paraId="6711EE2B" w14:textId="7FB4004E">
      <w:pPr>
        <w:pStyle w:val="Heading2"/>
      </w:pPr>
      <w:r>
        <w:t>Souběžně Komise dokončuje návrh společného „Prohlášení o digitálních zásadách“ Evropského</w:t>
      </w:r>
      <w:r w:rsidR="00204E9C">
        <w:t> </w:t>
      </w:r>
      <w:r>
        <w:t>parlamentu, Rady a Komise, s cílem prosadit evropské hodnoty a práva v</w:t>
      </w:r>
      <w:r w:rsidR="00204E9C">
        <w:t> </w:t>
      </w:r>
      <w:r>
        <w:t>digitálním prostoru. Díky tomu bude každý moci využívat možnosti, které digitální technologie nabízejí, jako je všeobecný přístup k internetu, algoritmy zaručující dodržování základních práv pravidelnou kontrolou algoritmů využívaných nezávislými třetími stranami a</w:t>
      </w:r>
      <w:r w:rsidR="00204E9C">
        <w:t> </w:t>
      </w:r>
      <w:r>
        <w:t xml:space="preserve">bezpečné a důvěryhodné online prostředí. </w:t>
      </w:r>
    </w:p>
    <w:p w:rsidRPr="008C7F52" w:rsidR="003E2E53" w:rsidP="007C7E7F" w:rsidRDefault="003E2E53" w14:paraId="35EAE7E6" w14:textId="77777777">
      <w:pPr>
        <w:pStyle w:val="Heading2"/>
        <w:numPr>
          <w:ilvl w:val="0"/>
          <w:numId w:val="0"/>
        </w:numPr>
        <w:ind w:left="567"/>
      </w:pPr>
    </w:p>
    <w:p w:rsidRPr="008C7F52" w:rsidR="00674D08" w:rsidP="007C7E7F" w:rsidRDefault="000D7100" w14:paraId="6EA39B2D" w14:textId="313FE9BC">
      <w:pPr>
        <w:pStyle w:val="Heading2"/>
      </w:pPr>
      <w:r>
        <w:t xml:space="preserve">Svižné plnění cílů Digitální dekády má Evropě jako součást navrženého rámce pro správu zajistit systém sledování pokroku vycházející z posíleného indexu digitální ekonomiky </w:t>
      </w:r>
      <w:r w:rsidR="002009B1">
        <w:t>a </w:t>
      </w:r>
      <w:r>
        <w:t>společnosti (DESI). Zpráva „o stavu digitální dekády“ pak bude sloužit jako každoroční hodnocení digitální transformace v Evropě. Konkrétně zpráva i) určí oblasti, kde je zapotřebí dalších opatření, ii) provede analýzu nedostatků v oblasti investic nebo jiných zdrojů a zdůrazní, co je třeba učinit ke zvýšení digitální suverenity EU, a iii) posoudí stav provádění příslušných regulačních návrhů a opatření na úrovni EU a členských států. Dále bude zpráva příležitostí informovat o míře dodržování digitálních zásad, které mají být stanoveny v budoucím prohlášení.</w:t>
      </w:r>
    </w:p>
    <w:p w:rsidRPr="008C7F52" w:rsidR="00674D08" w:rsidP="007C7E7F" w:rsidRDefault="00674D08" w14:paraId="15850263" w14:textId="77777777"/>
    <w:p w:rsidRPr="008C7F52" w:rsidR="00A3593B" w:rsidP="007C7E7F" w:rsidRDefault="00304803" w14:paraId="6CB5CCEC" w14:textId="77777777">
      <w:pPr>
        <w:pStyle w:val="Heading1"/>
        <w:keepNext/>
        <w:keepLines/>
      </w:pPr>
      <w:r>
        <w:rPr>
          <w:b/>
        </w:rPr>
        <w:t>Obecné připomínky</w:t>
      </w:r>
    </w:p>
    <w:p w:rsidRPr="008C7F52" w:rsidR="00304803" w:rsidP="007C7E7F" w:rsidRDefault="00304803" w14:paraId="1583603D" w14:textId="77777777">
      <w:pPr>
        <w:keepNext/>
        <w:keepLines/>
      </w:pPr>
    </w:p>
    <w:p w:rsidRPr="008C7F52" w:rsidR="00CC5A2F" w:rsidP="007C7E7F" w:rsidRDefault="00CE15FF" w14:paraId="6C0FCA37" w14:textId="730E274E">
      <w:pPr>
        <w:pStyle w:val="Heading2"/>
        <w:keepNext/>
        <w:keepLines/>
      </w:pPr>
      <w:r>
        <w:t>EHSV považuje Cestu k digitální dekádě za důležitý posun na podporu digitální transformace v</w:t>
      </w:r>
      <w:r w:rsidR="00204E9C">
        <w:t> </w:t>
      </w:r>
      <w:r>
        <w:t xml:space="preserve">EU, neboť zohledňuje zrychlující se trendy a rostoucí potřeby digitalizace, jež dále zvýraznila pandemie. I nadále přetrvává problém nedostatečných digitálních kapacit Evropy i potřeba jednotnějšího přístupu a investic do rozsáhlých digitálních projektů tak, abychom mohli těžit </w:t>
      </w:r>
      <w:r w:rsidR="002009B1">
        <w:t>z </w:t>
      </w:r>
      <w:r>
        <w:t>výhod digitalizace.</w:t>
      </w:r>
    </w:p>
    <w:p w:rsidRPr="008C7F52" w:rsidR="00CC5A2F" w:rsidP="007C7E7F" w:rsidRDefault="00CC5A2F" w14:paraId="34CD99D1" w14:textId="77777777"/>
    <w:p w:rsidRPr="008C7F52" w:rsidR="009078A3" w:rsidP="007C7E7F" w:rsidRDefault="00BC398C" w14:paraId="4E92A7E3" w14:textId="58D25570">
      <w:pPr>
        <w:pStyle w:val="Heading2"/>
      </w:pPr>
      <w:r>
        <w:t xml:space="preserve">EHSV se domnívá, že zaměření na digitální dovednosti, digitální infrastrukturu, digitální podnikání a digitální služby je nezbytným předpokladem hospodářského oživení a růstu </w:t>
      </w:r>
      <w:r w:rsidR="002009B1">
        <w:t>v </w:t>
      </w:r>
      <w:r>
        <w:t xml:space="preserve">Evropě, na nichž tolik závisí zvýšení příjmů a životní úrovně a zlepšení pracovních podmínek. Zvláštní pozornost je třeba věnovat stárnoucím a venkovským skupinám obyvatel, aby při digitální transformaci nezůstaly opomenuty. </w:t>
      </w:r>
    </w:p>
    <w:p w:rsidRPr="008C7F52" w:rsidR="009078A3" w:rsidP="007C7E7F" w:rsidRDefault="009078A3" w14:paraId="6B3F9BCF" w14:textId="77777777"/>
    <w:p w:rsidRPr="008C7F52" w:rsidR="00B01855" w:rsidP="007C7E7F" w:rsidRDefault="00A34064" w14:paraId="02494712" w14:textId="37D2EFA2">
      <w:pPr>
        <w:pStyle w:val="Heading2"/>
      </w:pPr>
      <w:r>
        <w:t>Úspěšně zvládnutá digitální transformace navíc postaví Evropu do čela globálních trendů, podpoří její konkurenceschopnost a usnadní tvorbu univerzálních standardů. Bez digitálních technologií se neobejde ani plnění cílů udržitelnosti vytyčených v Zelené dohodě pro Evropu.</w:t>
      </w:r>
    </w:p>
    <w:p w:rsidRPr="008C7F52" w:rsidR="00B01855" w:rsidP="007C7E7F" w:rsidRDefault="00B01855" w14:paraId="50381C2F" w14:textId="77777777"/>
    <w:p w:rsidRPr="008C7F52" w:rsidR="007770C3" w:rsidP="007C7E7F" w:rsidRDefault="00972C1E" w14:paraId="139E1C15" w14:textId="5847FF26">
      <w:pPr>
        <w:pStyle w:val="Heading2"/>
      </w:pPr>
      <w:r>
        <w:t>EHSV vítá myšlenku úzké spolupráce Komise a členských států na plnění cílů digitální dekády. Jako první krok po vstupu rozhodnutí, kterým se stanoví Cesta k digitální dekádě, v platnost společně vypracují plánované trajektorie EU pro každý ze stanovených cílů. Tyto trajektorie umožní posuzovat stav plnění cílů.</w:t>
      </w:r>
    </w:p>
    <w:p w:rsidRPr="008C7F52" w:rsidR="007770C3" w:rsidP="007C7E7F" w:rsidRDefault="007770C3" w14:paraId="33A8166A" w14:textId="77777777"/>
    <w:p w:rsidRPr="008C7F52" w:rsidR="00B26DFE" w:rsidP="007C7E7F" w:rsidRDefault="00846FAB" w14:paraId="5270B09B" w14:textId="741E9ECD">
      <w:pPr>
        <w:pStyle w:val="Heading2"/>
      </w:pPr>
      <w:r>
        <w:t>EHSV bere na vědomí, že zůstává úkolem členských států zapracovat vlastní národní trajektorie do digitálních strategických plánů a veškerých dalších stávajících či plánovaných politik či nástrojů, které k tomu hodlají využít. Pochopitelně platí, že ne všechny cíle digitální dekády vyžadují totožné úsilí ve všech členských státech. Některé členské státy v tomto vývoji již značně pokročily. Existují též cíle, které budou v části členských států vyžadovat určitou míru cíleného úsilí. EHSV konstatuje, že možný podíl členských států na plnění cílů stanovených na úrovni EU se v některých případech výrazně liší, což je také třeba vzít v potaz. V této souvislosti EHSV vyzývá k určení klíčových ukazatelů výkonnosti na vnitrostátní úrovni, aby bylo možno sledovat pokrok a cílů dosáhnout.</w:t>
      </w:r>
    </w:p>
    <w:p w:rsidRPr="008C7F52" w:rsidR="00B26DFE" w:rsidP="007C7E7F" w:rsidRDefault="00B26DFE" w14:paraId="48340AD1" w14:textId="77777777"/>
    <w:p w:rsidRPr="008C7F52" w:rsidR="00762E22" w:rsidP="007C7E7F" w:rsidRDefault="008D1A23" w14:paraId="0F8FCBF8" w14:textId="32700293">
      <w:pPr>
        <w:pStyle w:val="Heading2"/>
      </w:pPr>
      <w:r>
        <w:t xml:space="preserve">EHSV očekává zařazení těchto hledisek do výroční zprávy Komise „o stavu digitální dekády“. EHSV zde vítá závazek, že do pěti měsíců od zveřejnění zprávy Komise v úzké spolupráci </w:t>
      </w:r>
      <w:r w:rsidR="002009B1">
        <w:t>s </w:t>
      </w:r>
      <w:r>
        <w:t xml:space="preserve">členskými státy určí oblasti, v nichž se nedaří dosahovat dostatečného pokroku, a dohodne se </w:t>
      </w:r>
      <w:r w:rsidR="002009B1">
        <w:t>s </w:t>
      </w:r>
      <w:r>
        <w:t xml:space="preserve">nimi na opatřeních, která splnění cílů zajistí. Opět bude na členských státech, aby upravily své strategické národní plány v duchu doporučení uvedených ve zprávě. Nutnou podmínkou je závazek členských států k přijetí nápravných opatření, případně účast na prováděcích projektech zahrnujících více zemí. </w:t>
      </w:r>
    </w:p>
    <w:p w:rsidRPr="008C7F52" w:rsidR="00762E22" w:rsidP="007C7E7F" w:rsidRDefault="00762E22" w14:paraId="1A90ACFB" w14:textId="77777777"/>
    <w:p w:rsidRPr="008C7F52" w:rsidR="006E00D7" w:rsidP="007C7E7F" w:rsidRDefault="00864590" w14:paraId="3B48E264" w14:textId="25C03ADC">
      <w:pPr>
        <w:pStyle w:val="Heading2"/>
        <w:keepNext/>
        <w:keepLines/>
      </w:pPr>
      <w:r>
        <w:t>EHSV vítá také všechny navržené rozhodovací nástroje, jež mají zajistit dostatečně efektivní opatření členských států ve prospěch plnění cílů digitální dekády. Tyto nástroje, mezi něž patří vzájemné hodnocení, doporučení Komise, možné další kroky na úrovni EU nebo cílený dialog, vyhlížejí velmi slibně co do účinnosti, přirozeně však za předpokladu realizace všech předložených doporučení.</w:t>
      </w:r>
    </w:p>
    <w:p w:rsidRPr="008C7F52" w:rsidR="006E00D7" w:rsidP="007C7E7F" w:rsidRDefault="006E00D7" w14:paraId="7621DB8F" w14:textId="77777777">
      <w:pPr>
        <w:keepNext/>
        <w:keepLines/>
      </w:pPr>
    </w:p>
    <w:p w:rsidRPr="008C7F52" w:rsidR="008E301A" w:rsidP="007C7E7F" w:rsidRDefault="00A85C10" w14:paraId="0BF0F6DC" w14:textId="1C1BC104">
      <w:pPr>
        <w:pStyle w:val="Heading2"/>
      </w:pPr>
      <w:r>
        <w:t xml:space="preserve">Pokud jde o podávání zpráv, považuje EHSV za důležité navázat cíle digitální dekády na evropský semestr. Digitální aspekty mají v kontextu evropského semestru a sledování pokroku </w:t>
      </w:r>
      <w:r w:rsidR="002009B1">
        <w:t>v </w:t>
      </w:r>
      <w:r>
        <w:t>digitální transformaci EU zásadní význam a EHSV podporuje návrh, aby výroční zpráva „</w:t>
      </w:r>
      <w:r w:rsidR="002009B1">
        <w:t>o </w:t>
      </w:r>
      <w:r>
        <w:t xml:space="preserve">stavu digitální dekády“ sloužila jako podklad pro evropský semestr. Plnění cílů prohlášení je třeba sledovat pomocí konkrétních ukazatelů, které měří například pokrok v rozvoji odborných digitálních dovedností a dovedností zaměřených na rozpoznání nepravdivých informací online, překonávání digitální propasti či podporu pro ty, kteří nemají přístup k online službám. Na tomto místě se patří věnovat pozornost také aspektům spojeným s Nástrojem pro oživení </w:t>
      </w:r>
      <w:r w:rsidR="002009B1">
        <w:t>a </w:t>
      </w:r>
      <w:r>
        <w:t>odolnost.</w:t>
      </w:r>
    </w:p>
    <w:p w:rsidRPr="008C7F52" w:rsidR="008E301A" w:rsidP="007C7E7F" w:rsidRDefault="008E301A" w14:paraId="363B1DC7" w14:textId="77777777"/>
    <w:p w:rsidRPr="008C7F52" w:rsidR="008E301A" w:rsidP="007C7E7F" w:rsidRDefault="00873060" w14:paraId="14F23C8E" w14:textId="4C6411F9">
      <w:pPr>
        <w:pStyle w:val="Heading2"/>
      </w:pPr>
      <w:r>
        <w:t>EHSV připomíná, že již v příslušném stanovisku zaujal příznivý postoj k projektům zahrnujícím více zemí, což jsou rozsáhlé projekty zaměřené na cíle digitální transformace EU. Smysluplné je sdružení koordinovaných investic nejméně ze tří členských států a dle možností též od dalších veřejných či soukromých zúčastněných stran</w:t>
      </w:r>
      <w:r w:rsidRPr="008C7F52" w:rsidR="00F15BC9">
        <w:rPr>
          <w:rStyle w:val="FootnoteReference"/>
        </w:rPr>
        <w:footnoteReference w:id="3"/>
      </w:r>
      <w:r>
        <w:t>.</w:t>
      </w:r>
    </w:p>
    <w:p w:rsidRPr="008C7F52" w:rsidR="008E301A" w:rsidP="007C7E7F" w:rsidRDefault="008E301A" w14:paraId="2C09BE39" w14:textId="77777777">
      <w:pPr>
        <w:pStyle w:val="Heading2"/>
        <w:numPr>
          <w:ilvl w:val="0"/>
          <w:numId w:val="0"/>
        </w:numPr>
      </w:pPr>
    </w:p>
    <w:p w:rsidRPr="008C7F52" w:rsidR="008E301A" w:rsidP="007C7E7F" w:rsidRDefault="00AB3171" w14:paraId="0CD351C0" w14:textId="1AFD7691">
      <w:pPr>
        <w:pStyle w:val="Heading2"/>
      </w:pPr>
      <w:r>
        <w:t>Tyto projekty podporují produktivitu a odolnost evropského hospodářství, a proto je nutné formulovat jasné pokyny, jak na projekty zahrnující více zemí zajistit finanční prostředky. Jednou z možností je kombinace financování ze zdrojů EU a členských států. Z evropských zdrojů lze zmínit Nástroj pro oživení a odolnost, program Digitální Evropa, Nástroj pro propojení Evropy, program InvestEU, Horizont Evropa, Evropský fond pro mezinárodní rozvoj a Fond soudržnosti. Spoluúčast členských států na financování projektů zahrnujícím více zemí se však více než doporučuje. EHSV tento typ projektů považuje za nezbytný předpoklad účinnější a koordinovanější evropské digitální transformace.</w:t>
      </w:r>
    </w:p>
    <w:p w:rsidRPr="008C7F52" w:rsidR="008E301A" w:rsidP="007C7E7F" w:rsidRDefault="008E301A" w14:paraId="21F3D957" w14:textId="77777777">
      <w:pPr>
        <w:pStyle w:val="Heading2"/>
        <w:numPr>
          <w:ilvl w:val="0"/>
          <w:numId w:val="0"/>
        </w:numPr>
      </w:pPr>
    </w:p>
    <w:p w:rsidRPr="008C7F52" w:rsidR="00BC60BC" w:rsidP="007C7E7F" w:rsidRDefault="002819CB" w14:paraId="22E5A6FD" w14:textId="61AA6A33">
      <w:pPr>
        <w:pStyle w:val="Heading2"/>
      </w:pPr>
      <w:r>
        <w:t>Podle názoru EHSV je třeba pravidelně posuzovat životaschopnost tohoto typu projektů. Vítá proto návrh, že Komise bude dle potřeby poskytovat poradenství a pokyny na podporu provádění těchto projektů.</w:t>
      </w:r>
    </w:p>
    <w:p w:rsidRPr="008C7F52" w:rsidR="00BC60BC" w:rsidP="007C7E7F" w:rsidRDefault="00BC60BC" w14:paraId="5F43FD38" w14:textId="77777777">
      <w:pPr>
        <w:pStyle w:val="Heading2"/>
        <w:numPr>
          <w:ilvl w:val="0"/>
          <w:numId w:val="0"/>
        </w:numPr>
      </w:pPr>
    </w:p>
    <w:p w:rsidRPr="008C7F52" w:rsidR="008E301A" w:rsidP="007C7E7F" w:rsidRDefault="00BC60BC" w14:paraId="4E5627DB" w14:textId="77777777">
      <w:pPr>
        <w:pStyle w:val="Heading1"/>
        <w:keepNext/>
        <w:keepLines/>
      </w:pPr>
      <w:r>
        <w:rPr>
          <w:b/>
        </w:rPr>
        <w:t>Konkrétní připomínky</w:t>
      </w:r>
    </w:p>
    <w:p w:rsidRPr="008C7F52" w:rsidR="00552F78" w:rsidP="007C7E7F" w:rsidRDefault="00552F78" w14:paraId="5A43E695" w14:textId="77777777">
      <w:pPr>
        <w:keepNext/>
        <w:keepLines/>
      </w:pPr>
    </w:p>
    <w:p w:rsidRPr="008C7F52" w:rsidR="007D43F1" w:rsidP="007C7E7F" w:rsidRDefault="00852449" w14:paraId="79F1BCCA" w14:textId="19E3E5D3">
      <w:pPr>
        <w:pStyle w:val="Heading2"/>
      </w:pPr>
      <w:r>
        <w:t xml:space="preserve">Návrhy Komise stanoví základní body a argumentaci společného prohlášení, které mají připravit a podepsat Evropský parlament, Rada a Komise. Prohlášení, v němž budou sdruženy jednotlivé zásady týkající se digitální transformace, by dle názoru EHSV bylo užitečným podkladem </w:t>
      </w:r>
      <w:r w:rsidR="002009B1">
        <w:t>k </w:t>
      </w:r>
      <w:r>
        <w:t xml:space="preserve">provádění Digitálního kompasu a Cesty k digitální dekádě. V ideálním případě prohlášení zvýší důvěru občanů a podniků. K tomu je zapotřebí jasný a snadno srozumitelný text </w:t>
      </w:r>
      <w:r w:rsidR="002009B1">
        <w:t>a </w:t>
      </w:r>
      <w:r>
        <w:t xml:space="preserve">komunikace. </w:t>
      </w:r>
    </w:p>
    <w:p w:rsidRPr="008C7F52" w:rsidR="007D43F1" w:rsidP="007C7E7F" w:rsidRDefault="007D43F1" w14:paraId="49E48958" w14:textId="77777777"/>
    <w:p w:rsidRPr="008C7F52" w:rsidR="007D43F1" w:rsidP="007C7E7F" w:rsidRDefault="00EC0E70" w14:paraId="5F75C777" w14:textId="78E60476">
      <w:pPr>
        <w:pStyle w:val="Heading2"/>
      </w:pPr>
      <w:r>
        <w:t>Ačkoli navrhované prohlášení je politického rázu a jako takové nemá právní závaznost, má sloužit jako důležitý podklad a vodítko pro budoucí politická opatření. Jak se uvádí ve sdělení, prohlášení nemá vliv na stávající zákonná práva. Z toho plyne, že veškerá další opatření vycházející z tohoto prohlášení musí náležitě zohlednit platné právní předpisy a další nástroje.</w:t>
      </w:r>
    </w:p>
    <w:p w:rsidRPr="008C7F52" w:rsidR="007D43F1" w:rsidP="007C7E7F" w:rsidRDefault="007D43F1" w14:paraId="4471F98C" w14:textId="77777777">
      <w:pPr>
        <w:pStyle w:val="Heading2"/>
        <w:numPr>
          <w:ilvl w:val="0"/>
          <w:numId w:val="0"/>
        </w:numPr>
        <w:ind w:left="567"/>
      </w:pPr>
    </w:p>
    <w:p w:rsidRPr="008C7F52" w:rsidR="002D48CD" w:rsidP="007C7E7F" w:rsidRDefault="0045706B" w14:paraId="637F371D" w14:textId="2C55C900">
      <w:pPr>
        <w:pStyle w:val="Heading2"/>
      </w:pPr>
      <w:r>
        <w:t>Podstatné je též rozpracovat širokou škálu nástrojů a opatření, která napomohou uvedení prohlášení do praxe. Kupříkladu je naprosto nezbytné vysvětlovat praktický smysl těchto zásad a usilovat o obecné porozumění jejich praktickému významu. Týká se to podniků, pracovníků, spotřebitelů i široké veřejnosti jako takové.</w:t>
      </w:r>
    </w:p>
    <w:p w:rsidRPr="008C7F52" w:rsidR="002D48CD" w:rsidP="007C7E7F" w:rsidRDefault="002D48CD" w14:paraId="227249C6" w14:textId="77777777"/>
    <w:p w:rsidRPr="008C7F52" w:rsidR="007D43F1" w:rsidP="007C7E7F" w:rsidRDefault="002F428E" w14:paraId="1584FC89" w14:textId="07C2B4DD">
      <w:pPr>
        <w:pStyle w:val="Heading2"/>
      </w:pPr>
      <w:r>
        <w:t xml:space="preserve">Je rozumné využít stávající mechanismy ke sledování, jak tyto zásady jsou a budou uváděny do praxe. Navržený mechanismus správy jako součást Cesty k digitální dekádě je vzhledem </w:t>
      </w:r>
      <w:r w:rsidR="002009B1">
        <w:t>k </w:t>
      </w:r>
      <w:r>
        <w:t xml:space="preserve">obecným cílům zvolen velmi případně. Vedle toho je užitečné sledovat vnímání občanů prostřednictvím průzkumů Eurobarometru. </w:t>
      </w:r>
    </w:p>
    <w:p w:rsidRPr="008C7F52" w:rsidR="00685EBE" w:rsidP="007C7E7F" w:rsidRDefault="00685EBE" w14:paraId="29D8D1D0" w14:textId="77777777"/>
    <w:p w:rsidRPr="008C7F52" w:rsidR="00B26DFE" w:rsidP="007C7E7F" w:rsidRDefault="00FB546C" w14:paraId="7DF5DB52" w14:textId="18FAFD4D">
      <w:pPr>
        <w:pStyle w:val="Heading2"/>
      </w:pPr>
      <w:r>
        <w:t xml:space="preserve">EHSV již v několika předchozích stanoviscích zdůraznil, že digitální transformace musí probíhat inkluzivně, udržitelně a se zaměřením na člověka. Prohlášení se tak stane jedním </w:t>
      </w:r>
      <w:r w:rsidR="002009B1">
        <w:t>z </w:t>
      </w:r>
      <w:r>
        <w:t>hlavních podkladů k plnění těchto cílů. Odpovídající cíle byly zařazeny též do Cesty</w:t>
      </w:r>
      <w:r w:rsidR="00684060">
        <w:t> </w:t>
      </w:r>
      <w:r w:rsidR="002009B1">
        <w:t>k </w:t>
      </w:r>
      <w:r>
        <w:t xml:space="preserve">digitální dekádě a EHSV je považuje za kvalitativní rámec pro kvantitativní cíle vytyčené </w:t>
      </w:r>
      <w:r w:rsidR="002009B1">
        <w:t>v </w:t>
      </w:r>
      <w:r>
        <w:t>tomto dokumentu a v rámci Digitálního kompasu</w:t>
      </w:r>
      <w:r w:rsidRPr="008C7F52" w:rsidR="00DD0CA7">
        <w:rPr>
          <w:rStyle w:val="FootnoteReference"/>
        </w:rPr>
        <w:footnoteReference w:id="4"/>
      </w:r>
      <w:r>
        <w:t>.</w:t>
      </w:r>
    </w:p>
    <w:p w:rsidRPr="008C7F52" w:rsidR="006F1EE2" w:rsidP="007C7E7F" w:rsidRDefault="006F1EE2" w14:paraId="5BEBD2EC" w14:textId="77777777">
      <w:pPr>
        <w:pStyle w:val="ListParagraph"/>
      </w:pPr>
    </w:p>
    <w:p w:rsidRPr="008C7F52" w:rsidR="006F1EE2" w:rsidP="007C7E7F" w:rsidRDefault="00FB546C" w14:paraId="01078493" w14:textId="1A4AC2BD">
      <w:pPr>
        <w:pStyle w:val="Heading2"/>
      </w:pPr>
      <w:r>
        <w:t>Jednotlivé zásady a práva popsané v návrhu prohlášení se v řadě věcí překrývají a vyznačují se různými specifickými, někdy velmi podrobně popsanými aspekty. Je tak obtížné vnímat podstatu obsahu. Tu dále rozmlžuje míchání zásad a práv. Původní soubor digitálních zásad, které Komise předložila ke konzultaci, byl jasnější a pochopitelnější. Tento vhodnější přístup souběžně umožňoval těžit z výhod konzultace.</w:t>
      </w:r>
    </w:p>
    <w:p w:rsidRPr="008C7F52" w:rsidR="00C222C8" w:rsidP="007C7E7F" w:rsidRDefault="00C222C8" w14:paraId="1875B0E7" w14:textId="77777777">
      <w:pPr>
        <w:pStyle w:val="ListParagraph"/>
        <w:ind w:left="0"/>
      </w:pPr>
    </w:p>
    <w:p w:rsidRPr="008C7F52" w:rsidR="00096950" w:rsidP="007C7E7F" w:rsidRDefault="00096950" w14:paraId="7D0CE237" w14:textId="393D527F">
      <w:pPr>
        <w:pStyle w:val="Heading2"/>
      </w:pPr>
      <w:r>
        <w:t xml:space="preserve">EHSV se domnívá, že digitální práva vyrůstají a definičně se odvozují ze stávajících základních práv. Jsou součástí hodnot a zásad EU, která je vícevrstvou a vícerozměrnou entitou, kde se střetávají různá práva a svobody a kde též hodnoty vzájemně stanoví limity jedna druhé </w:t>
      </w:r>
      <w:r w:rsidR="002009B1">
        <w:t>a </w:t>
      </w:r>
      <w:r>
        <w:t xml:space="preserve">zajišťují vzájemnou vyváženost. Platí to například u svobody slova a zásady nediskriminace </w:t>
      </w:r>
      <w:r w:rsidR="002009B1">
        <w:t>v </w:t>
      </w:r>
      <w:r>
        <w:t>kontextu nenávistných projevů, což je jev, který ve světě sílí.</w:t>
      </w:r>
    </w:p>
    <w:p w:rsidRPr="008C7F52" w:rsidR="00C222C8" w:rsidP="007C7E7F" w:rsidRDefault="00C222C8" w14:paraId="76105BEB" w14:textId="7D4B19EE">
      <w:pPr>
        <w:pStyle w:val="Heading2"/>
        <w:numPr>
          <w:ilvl w:val="0"/>
          <w:numId w:val="0"/>
        </w:numPr>
        <w:ind w:left="567"/>
      </w:pPr>
    </w:p>
    <w:p w:rsidRPr="008C7F52" w:rsidR="00EA1896" w:rsidP="007C7E7F" w:rsidRDefault="006E42F4" w14:paraId="4B521FA8" w14:textId="696297A4">
      <w:pPr>
        <w:pStyle w:val="Heading2"/>
      </w:pPr>
      <w:r>
        <w:t xml:space="preserve">EHSV se domnívá, že digitální zásady by měly sloužit ve prospěch všech složek a podob udržitelného rozvoje. Zdá se však, že zmínka o zásadě udržitelnosti v návrhu prohlášení se primárně týká udržitelnosti v oblasti životního prostředí, kdežto v pěti zbývajících případech se spíše jedná o udržitelnost sociální. EHSV se domnívá, že při vývoji i použití digitálních technologií je třeba zohlednit udržitelnost dvěma způsoby: jednak minimalizovat škodlivé vlivy technologií a za druhé maximalizovat jejich přínosy pro hospodářství i společnost. Úspěšná digitální transformace tak spočívá v kombinaci hospodářských, sociálních a environmentálních přínosů, které vyplynou z jejího podílu na dosažení vyšší míry konkurenceschopnosti </w:t>
      </w:r>
      <w:r w:rsidR="002009B1">
        <w:t>a </w:t>
      </w:r>
      <w:r>
        <w:t>prosperity, většího počtu pracovních míst a lepších životních podmínek a přechodu na oběhové a klimaticky neutrální hospodářství.</w:t>
      </w:r>
    </w:p>
    <w:p w:rsidRPr="008C7F52" w:rsidR="00E52DB6" w:rsidP="007C7E7F" w:rsidRDefault="00E52DB6" w14:paraId="28954095" w14:textId="77777777"/>
    <w:p w:rsidRPr="008C7F52" w:rsidR="00FB256F" w:rsidP="007C7E7F" w:rsidRDefault="002479C5" w14:paraId="00DB51B9" w14:textId="34EA6255">
      <w:pPr>
        <w:pStyle w:val="Heading2"/>
        <w:keepNext/>
        <w:keepLines/>
      </w:pPr>
      <w:r>
        <w:t>Základní práva a hodnoty EU jsou naprosto klíčové jak z hlediska občanů, tak podniků. Většina aspektů zařazených v návrhu se týká nejen široké veřejnosti, ale také podnikatelů včetně podniků sociální ekonomiky a organizací občanské společnosti. V prohlášení by tak mělo zaznít, že většina podniků, zejména pak malých a středních, se víceméně potýká s týmiž výzvami, jaké přizpůsobování digitálnímu světu staví před veřejnost.</w:t>
      </w:r>
    </w:p>
    <w:p w:rsidRPr="008C7F52" w:rsidR="00FA75C0" w:rsidP="007C7E7F" w:rsidRDefault="00FA75C0" w14:paraId="78DAE585" w14:textId="77777777">
      <w:pPr>
        <w:pStyle w:val="ListParagraph"/>
        <w:ind w:left="0"/>
      </w:pPr>
    </w:p>
    <w:p w:rsidRPr="008C7F52" w:rsidR="00002EB3" w:rsidP="007C7E7F" w:rsidRDefault="00887EB7" w14:paraId="3D2832F6" w14:textId="34588294">
      <w:pPr>
        <w:pStyle w:val="Heading2"/>
      </w:pPr>
      <w:r>
        <w:t xml:space="preserve">Podle názoru EHSV by měl být položen větší důraz na maximalizaci přínosů digitální transformace, včetně hospodářské prosperity. Z toho vyplývá zásadní význam zásad spojených </w:t>
      </w:r>
      <w:r w:rsidR="002009B1">
        <w:t>s </w:t>
      </w:r>
      <w:r>
        <w:t xml:space="preserve">konektivitou, dovednostmi a bezpečností, které jsou nezbytným předpokladem sociálního </w:t>
      </w:r>
      <w:r w:rsidR="002009B1">
        <w:t>a </w:t>
      </w:r>
      <w:r>
        <w:t xml:space="preserve">hospodářského rozvoje. Vedle zásad zařazených v návrhu prohlášení jsou pro podniky </w:t>
      </w:r>
      <w:r w:rsidR="002009B1">
        <w:t>v </w:t>
      </w:r>
      <w:r>
        <w:t xml:space="preserve">digitálním světě klíčové také zásady týkající se inovací a duševního vlastnictví i svobody podnikání a jako takové by měly být v prohlášení rovněž uznány. </w:t>
      </w:r>
    </w:p>
    <w:p w:rsidRPr="008C7F52" w:rsidR="00B348FB" w:rsidP="007C7E7F" w:rsidRDefault="00B348FB" w14:paraId="1BF76AD0" w14:textId="77777777"/>
    <w:p w:rsidRPr="008C7F52" w:rsidR="00002EB3" w:rsidP="007C7E7F" w:rsidRDefault="00DD2EE7" w14:paraId="31C290E5" w14:textId="6D4D58A9">
      <w:pPr>
        <w:pStyle w:val="Heading2"/>
      </w:pPr>
      <w:r>
        <w:t xml:space="preserve">Válka mezi Ruskem a Ukrajinou zřetelně odhaluje důležitost funkčních digitálních spojů </w:t>
      </w:r>
      <w:r w:rsidR="002009B1">
        <w:t>a </w:t>
      </w:r>
      <w:r>
        <w:t xml:space="preserve">kybernetické bezpečnosti na všech úrovních a ve všech částech společnosti, stejně jako </w:t>
      </w:r>
      <w:r w:rsidR="002009B1">
        <w:t>v </w:t>
      </w:r>
      <w:r>
        <w:t xml:space="preserve">mezinárodních vazbách. Plyne z ní rovněž ještě silnější potřeba rozvíjet dovednosti </w:t>
      </w:r>
      <w:r w:rsidR="002009B1">
        <w:t>a </w:t>
      </w:r>
      <w:r>
        <w:t>prostředky k rozpoznávání a potírání dezinformací.</w:t>
      </w:r>
    </w:p>
    <w:p w:rsidRPr="008C7F52" w:rsidR="00C170BC" w:rsidP="007C7E7F" w:rsidRDefault="00C170BC" w14:paraId="3066108B" w14:textId="77777777">
      <w:pPr>
        <w:pStyle w:val="ListParagraph"/>
        <w:ind w:left="0"/>
      </w:pPr>
    </w:p>
    <w:p w:rsidRPr="008C7F52" w:rsidR="00C170BC" w:rsidP="007C7E7F" w:rsidRDefault="00DC213F" w14:paraId="56956024" w14:textId="315DE0A0">
      <w:pPr>
        <w:pStyle w:val="Heading2"/>
      </w:pPr>
      <w:r>
        <w:t xml:space="preserve">EHSV již poukázal na význam digitální svrchovanosti jako klíčového pilíře hospodářského, sociálního a environmentálního rozvoje Evropy a zdůraznil, že digitální svrchovanost musí být založena na globální konkurenceschopnosti, která se opírá o pevnou spolupráci mezi členskými státy. Ta je nezbytným předpokladem toho, aby se EU mohla stát autoritou v celosvětovém měřítku, a to i v otázkách spolehlivosti digitálních technologií. Pokud jde o úložiště pro data Evropanů, považuje EHSV za důležité dokončit evropský </w:t>
      </w:r>
      <w:proofErr w:type="spellStart"/>
      <w:r>
        <w:t>cloudový</w:t>
      </w:r>
      <w:proofErr w:type="spellEnd"/>
      <w:r>
        <w:t xml:space="preserve"> projekt GAIA X, který by posílil důvěru evropské veřejnosti a podpořil tok dat</w:t>
      </w:r>
      <w:r w:rsidRPr="008C7F52" w:rsidR="00F15BC9">
        <w:rPr>
          <w:rStyle w:val="FootnoteReference"/>
        </w:rPr>
        <w:footnoteReference w:id="5"/>
      </w:r>
      <w:r>
        <w:t>.</w:t>
      </w:r>
    </w:p>
    <w:p w:rsidRPr="008C7F52" w:rsidR="00C53442" w:rsidP="007C7E7F" w:rsidRDefault="00C53442" w14:paraId="3B961A89" w14:textId="77777777">
      <w:pPr>
        <w:pStyle w:val="ListParagraph"/>
        <w:ind w:left="0"/>
      </w:pPr>
    </w:p>
    <w:p w:rsidRPr="008C7F52" w:rsidR="00C53442" w:rsidP="007C7E7F" w:rsidRDefault="008D3E76" w14:paraId="0884C6A6" w14:textId="5448DE4B">
      <w:pPr>
        <w:pStyle w:val="Heading2"/>
      </w:pPr>
      <w:r>
        <w:t>Klíčovým předpokladem digitálního rozvoje v EU je hladce fungující a spravedlivý jednotný trh. Proto EHSV považuje za nutné důsledně chránit podstatu svobod spojených s jednotným trhem. Na důležitosti nabývají svoboda pohybu údajů a vlastnictví údajů, neboť se netýkají pouze jednotného trhu s údaji jako takového, nýbrž logicky navazují též na trh s kapitálem, zbožím a službami.</w:t>
      </w:r>
    </w:p>
    <w:p w:rsidRPr="008C7F52" w:rsidR="00C53442" w:rsidP="007C7E7F" w:rsidRDefault="00C53442" w14:paraId="68C58FB7" w14:textId="77777777">
      <w:pPr>
        <w:ind w:left="567" w:hanging="567"/>
      </w:pPr>
    </w:p>
    <w:p w:rsidRPr="008C7F52" w:rsidR="00C53442" w:rsidP="007C7E7F" w:rsidRDefault="00FD223E" w14:paraId="7E274F45" w14:textId="3A6B9179">
      <w:pPr>
        <w:pStyle w:val="Heading2"/>
      </w:pPr>
      <w:r>
        <w:t>Jednotný trh je pro EU také východiskem a odrazovým můstkem k širšímu využití vnějších trhů a dodavatelských řetězců a posílení vlastního vlivu jako silného globálního hráče. Prohlášení by se tak mělo dostat aktivní propagace v mezinárodním prostředí. Jakkoli hodnoty nelze „exportovat“, EU má možnost dosáhnout globálního vlivu za pomoci široké palety nástrojů, od globálních dohod uzavíraných sociálními partnery v nadnárodních společnostech po diplomatickou činnost a spolupráci v oblasti inovací, obchodní a investiční dohody a podmínky financování. Platí to jak ve dvoustranných, tak v mnohostranných vnějších vztazích.</w:t>
      </w:r>
    </w:p>
    <w:p w:rsidRPr="008C7F52" w:rsidR="00835F84" w:rsidP="007C7E7F" w:rsidRDefault="00835F84" w14:paraId="2ED642A6" w14:textId="0A10D6C8"/>
    <w:p w:rsidRPr="008C7F52" w:rsidR="00BF4FFF" w:rsidP="007C7E7F" w:rsidRDefault="00BF4FFF" w14:paraId="7CD41A3D" w14:textId="0F7ED60E">
      <w:pPr>
        <w:keepNext/>
        <w:keepLines/>
      </w:pPr>
      <w:r>
        <w:t>V Bruselu dne 1. června 2022</w:t>
      </w:r>
    </w:p>
    <w:p w:rsidRPr="008C7F52" w:rsidR="00BF4FFF" w:rsidP="007C7E7F" w:rsidRDefault="00BF4FFF" w14:paraId="6FFFA2A6" w14:textId="77777777">
      <w:pPr>
        <w:keepNext/>
        <w:keepLines/>
      </w:pPr>
    </w:p>
    <w:p w:rsidRPr="008C7F52" w:rsidR="00BF4FFF" w:rsidP="007C7E7F" w:rsidRDefault="00BF4FFF" w14:paraId="1D05FAE9" w14:textId="77777777"/>
    <w:p w:rsidR="00BF4FFF" w:rsidP="007C7E7F" w:rsidRDefault="00BF4FFF" w14:paraId="09777E6F" w14:textId="4E4FF601"/>
    <w:p w:rsidRPr="008C7F52" w:rsidR="002009B1" w:rsidP="007C7E7F" w:rsidRDefault="002009B1" w14:paraId="6C9D66E4" w14:textId="77777777"/>
    <w:p w:rsidRPr="008C7F52" w:rsidR="00BF4FFF" w:rsidP="007C7E7F" w:rsidRDefault="00BF4FFF" w14:paraId="483A2E3B" w14:textId="4DFCC973">
      <w:r>
        <w:t xml:space="preserve">Alain </w:t>
      </w:r>
      <w:r w:rsidR="002009B1">
        <w:t>COHEUR</w:t>
      </w:r>
    </w:p>
    <w:p w:rsidRPr="008C7F52" w:rsidR="00BF4FFF" w:rsidP="007C7E7F" w:rsidRDefault="00BF4FFF" w14:paraId="430C7423" w14:textId="7B0C7954">
      <w:r>
        <w:t>předseda sekce Jednotný trh, výroba a spotřeba</w:t>
      </w:r>
    </w:p>
    <w:p w:rsidRPr="008C7F52" w:rsidR="00BF4FFF" w:rsidP="007C7E7F" w:rsidRDefault="00BF4FFF" w14:paraId="6F459F40" w14:textId="77777777"/>
    <w:p w:rsidRPr="008C7F52" w:rsidR="00646AC2" w:rsidP="007C7E7F" w:rsidRDefault="00646AC2" w14:paraId="45190A92" w14:textId="77777777">
      <w:pPr>
        <w:jc w:val="center"/>
      </w:pPr>
      <w:r>
        <w:t>_____________</w:t>
      </w:r>
    </w:p>
    <w:sectPr w:rsidRPr="008C7F52" w:rsidR="00646AC2" w:rsidSect="00204E9C">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A097D" w14:textId="77777777" w:rsidR="00793EFA" w:rsidRDefault="00793EFA">
      <w:r>
        <w:separator/>
      </w:r>
    </w:p>
  </w:endnote>
  <w:endnote w:type="continuationSeparator" w:id="0">
    <w:p w14:paraId="343C7ADA" w14:textId="77777777" w:rsidR="00793EFA" w:rsidRDefault="00793EFA">
      <w:r>
        <w:continuationSeparator/>
      </w:r>
    </w:p>
  </w:endnote>
  <w:endnote w:type="continuationNotice" w:id="1">
    <w:p w14:paraId="68233122" w14:textId="77777777" w:rsidR="00793EFA" w:rsidRDefault="00793E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F999D" w14:textId="77777777" w:rsidR="00204E9C" w:rsidRPr="00204E9C" w:rsidRDefault="00204E9C" w:rsidP="00204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B5AEE" w14:textId="3BF4398B" w:rsidR="00793EFA" w:rsidRPr="00204E9C" w:rsidRDefault="00204E9C" w:rsidP="00204E9C">
    <w:pPr>
      <w:pStyle w:val="Footer"/>
    </w:pPr>
    <w:r>
      <w:t xml:space="preserve">INT/976 – EESC-2022-00552-00-00-AS-TRA (EN) </w:t>
    </w:r>
    <w:r>
      <w:fldChar w:fldCharType="begin"/>
    </w:r>
    <w:r>
      <w:instrText xml:space="preserve"> PAGE  \* Arabic  \* MERGEFORMAT </w:instrText>
    </w:r>
    <w:r>
      <w:fldChar w:fldCharType="separate"/>
    </w:r>
    <w:r w:rsidR="00C46490">
      <w:rPr>
        <w:noProof/>
      </w:rPr>
      <w:t>1</w:t>
    </w:r>
    <w:r>
      <w:fldChar w:fldCharType="end"/>
    </w:r>
    <w:r>
      <w:t>/</w:t>
    </w:r>
    <w:r>
      <w:fldChar w:fldCharType="begin"/>
    </w:r>
    <w:r>
      <w:instrText xml:space="preserve"> = </w:instrText>
    </w:r>
    <w:fldSimple w:instr=" NUMPAGES ">
      <w:r w:rsidR="00C46490">
        <w:rPr>
          <w:noProof/>
        </w:rPr>
        <w:instrText>9</w:instrText>
      </w:r>
    </w:fldSimple>
    <w:r>
      <w:instrText xml:space="preserve"> -0 </w:instrText>
    </w:r>
    <w:r>
      <w:fldChar w:fldCharType="separate"/>
    </w:r>
    <w:r w:rsidR="00C46490">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F5E66" w14:textId="77777777" w:rsidR="00204E9C" w:rsidRPr="00204E9C" w:rsidRDefault="00204E9C" w:rsidP="00204E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A4D6C" w14:textId="77777777" w:rsidR="00793EFA" w:rsidRPr="00204E9C" w:rsidRDefault="00793EFA" w:rsidP="00204E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50F83" w14:textId="5980D24C" w:rsidR="00793EFA" w:rsidRPr="00204E9C" w:rsidRDefault="00204E9C" w:rsidP="00204E9C">
    <w:pPr>
      <w:pStyle w:val="Footer"/>
    </w:pPr>
    <w:r>
      <w:t xml:space="preserve">INT/976 – EESC-2022-00552-00-00-AS-TRA (EN) </w:t>
    </w:r>
    <w:r>
      <w:fldChar w:fldCharType="begin"/>
    </w:r>
    <w:r>
      <w:instrText xml:space="preserve"> PAGE  \* Arabic  \* MERGEFORMAT </w:instrText>
    </w:r>
    <w:r>
      <w:fldChar w:fldCharType="separate"/>
    </w:r>
    <w:r w:rsidR="00F300DA">
      <w:rPr>
        <w:noProof/>
      </w:rPr>
      <w:t>2</w:t>
    </w:r>
    <w:r>
      <w:fldChar w:fldCharType="end"/>
    </w:r>
    <w:r>
      <w:t>/</w:t>
    </w:r>
    <w:r>
      <w:fldChar w:fldCharType="begin"/>
    </w:r>
    <w:r>
      <w:instrText xml:space="preserve"> = </w:instrText>
    </w:r>
    <w:fldSimple w:instr=" NUMPAGES ">
      <w:r w:rsidR="00F300DA">
        <w:rPr>
          <w:noProof/>
        </w:rPr>
        <w:instrText>9</w:instrText>
      </w:r>
    </w:fldSimple>
    <w:r>
      <w:instrText xml:space="preserve"> -0 </w:instrText>
    </w:r>
    <w:r>
      <w:fldChar w:fldCharType="separate"/>
    </w:r>
    <w:r w:rsidR="00F300DA">
      <w:rPr>
        <w:noProof/>
      </w:rPr>
      <w:t>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17619" w14:textId="77777777" w:rsidR="00793EFA" w:rsidRPr="00204E9C" w:rsidRDefault="00793EFA" w:rsidP="00204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FDCBA" w14:textId="77777777" w:rsidR="00793EFA" w:rsidRDefault="00793EFA">
      <w:r>
        <w:separator/>
      </w:r>
    </w:p>
  </w:footnote>
  <w:footnote w:type="continuationSeparator" w:id="0">
    <w:p w14:paraId="47786B5D" w14:textId="77777777" w:rsidR="00793EFA" w:rsidRDefault="00793EFA">
      <w:r>
        <w:continuationSeparator/>
      </w:r>
    </w:p>
  </w:footnote>
  <w:footnote w:type="continuationNotice" w:id="1">
    <w:p w14:paraId="4A125356" w14:textId="77777777" w:rsidR="00793EFA" w:rsidRDefault="00793EFA">
      <w:pPr>
        <w:spacing w:line="240" w:lineRule="auto"/>
      </w:pPr>
    </w:p>
  </w:footnote>
  <w:footnote w:id="2">
    <w:p w14:paraId="11AE2E07" w14:textId="52AB2E0F" w:rsidR="00793EFA" w:rsidRPr="00561A45" w:rsidRDefault="00793EFA">
      <w:pPr>
        <w:pStyle w:val="FootnoteText"/>
      </w:pPr>
      <w:r>
        <w:rPr>
          <w:rStyle w:val="FootnoteReference"/>
        </w:rPr>
        <w:footnoteRef/>
      </w:r>
      <w:r>
        <w:tab/>
        <w:t xml:space="preserve">COM(2021) 574 final. </w:t>
      </w:r>
    </w:p>
  </w:footnote>
  <w:footnote w:id="3">
    <w:p w14:paraId="61CB008A" w14:textId="551C2C45" w:rsidR="00793EFA" w:rsidRDefault="00793EFA" w:rsidP="00F15BC9">
      <w:pPr>
        <w:pStyle w:val="FootnoteText"/>
      </w:pPr>
      <w:r>
        <w:rPr>
          <w:rStyle w:val="FootnoteReference"/>
        </w:rPr>
        <w:footnoteRef/>
      </w:r>
      <w:r>
        <w:tab/>
        <w:t xml:space="preserve">Stanovisko EHSV </w:t>
      </w:r>
      <w:r>
        <w:rPr>
          <w:i/>
        </w:rPr>
        <w:t>Cesta k digitální dekádě</w:t>
      </w:r>
      <w:r>
        <w:t>. Dosud nezveřejněno v Úředním věstníku.</w:t>
      </w:r>
    </w:p>
  </w:footnote>
  <w:footnote w:id="4">
    <w:p w14:paraId="43E09A41" w14:textId="34DB24AA" w:rsidR="00793EFA" w:rsidRDefault="00793EFA" w:rsidP="00DD0CA7">
      <w:pPr>
        <w:pStyle w:val="FootnoteText"/>
      </w:pPr>
      <w:r>
        <w:rPr>
          <w:rStyle w:val="FootnoteReference"/>
        </w:rPr>
        <w:footnoteRef/>
      </w:r>
      <w:r>
        <w:tab/>
        <w:t xml:space="preserve">Stanovisko EHSV </w:t>
      </w:r>
      <w:r>
        <w:rPr>
          <w:i/>
        </w:rPr>
        <w:t>Cesta k digitální dekádě</w:t>
      </w:r>
      <w:r>
        <w:t>. Dosud nezveřejněno v Úředním věstníku.</w:t>
      </w:r>
    </w:p>
  </w:footnote>
  <w:footnote w:id="5">
    <w:p w14:paraId="1A8A8D93" w14:textId="561A602E" w:rsidR="00793EFA" w:rsidRDefault="00793EFA" w:rsidP="00F15BC9">
      <w:pPr>
        <w:pStyle w:val="FootnoteText"/>
      </w:pPr>
      <w:r>
        <w:rPr>
          <w:rStyle w:val="FootnoteReference"/>
        </w:rPr>
        <w:footnoteRef/>
      </w:r>
      <w:r>
        <w:tab/>
        <w:t xml:space="preserve">Stanovisko EHSV </w:t>
      </w:r>
      <w:r>
        <w:rPr>
          <w:i/>
        </w:rPr>
        <w:t>Cesta k digitální dekádě</w:t>
      </w:r>
      <w:r>
        <w:t>. Dosud nezveřejněno v Úředním věstníku.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CDB95" w14:textId="77777777" w:rsidR="00204E9C" w:rsidRPr="00204E9C" w:rsidRDefault="00204E9C" w:rsidP="00204E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27157" w14:textId="77777777" w:rsidR="00204E9C" w:rsidRPr="00204E9C" w:rsidRDefault="00204E9C" w:rsidP="00204E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357B0" w14:textId="77777777" w:rsidR="00204E9C" w:rsidRPr="00204E9C" w:rsidRDefault="00204E9C" w:rsidP="00204E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3D436" w14:textId="77777777" w:rsidR="00793EFA" w:rsidRPr="00204E9C" w:rsidRDefault="00793EFA" w:rsidP="00204E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BDFFB" w14:textId="7AFFF3C9" w:rsidR="00793EFA" w:rsidRPr="00204E9C" w:rsidRDefault="00793EFA" w:rsidP="00204E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F6328" w14:textId="77777777" w:rsidR="00793EFA" w:rsidRPr="00204E9C" w:rsidRDefault="00793EFA" w:rsidP="00204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A7668D2C"/>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72C4DE7"/>
    <w:multiLevelType w:val="hybridMultilevel"/>
    <w:tmpl w:val="AAC021C2"/>
    <w:lvl w:ilvl="0" w:tplc="9AC870C6">
      <w:start w:val="1"/>
      <w:numFmt w:val="lowerLetter"/>
      <w:lvlText w:val="%1)"/>
      <w:lvlJc w:val="left"/>
      <w:pPr>
        <w:ind w:left="720"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A16454D"/>
    <w:multiLevelType w:val="hybridMultilevel"/>
    <w:tmpl w:val="1F7C2D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8058D"/>
    <w:multiLevelType w:val="hybridMultilevel"/>
    <w:tmpl w:val="AAC021C2"/>
    <w:lvl w:ilvl="0" w:tplc="9AC870C6">
      <w:start w:val="1"/>
      <w:numFmt w:val="lowerLetter"/>
      <w:lvlText w:val="%1)"/>
      <w:lvlJc w:val="left"/>
      <w:pPr>
        <w:ind w:left="720"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F65ADB"/>
    <w:multiLevelType w:val="hybridMultilevel"/>
    <w:tmpl w:val="8A6A7E3C"/>
    <w:lvl w:ilvl="0" w:tplc="50BC9766">
      <w:start w:val="2"/>
      <w:numFmt w:val="lowerLetter"/>
      <w:lvlText w:val="%1)"/>
      <w:lvlJc w:val="left"/>
      <w:pPr>
        <w:ind w:left="720"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70857838"/>
    <w:multiLevelType w:val="hybridMultilevel"/>
    <w:tmpl w:val="9348945A"/>
    <w:lvl w:ilvl="0" w:tplc="1A6042EC">
      <w:start w:val="1"/>
      <w:numFmt w:val="lowerLetter"/>
      <w:lvlText w:val="%1)"/>
      <w:lvlJc w:val="left"/>
      <w:pPr>
        <w:ind w:left="720"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2"/>
  </w:num>
  <w:num w:numId="66">
    <w:abstractNumId w:val="0"/>
  </w:num>
  <w:num w:numId="67">
    <w:abstractNumId w:val="0"/>
  </w:num>
  <w:num w:numId="68">
    <w:abstractNumId w:val="0"/>
  </w:num>
  <w:num w:numId="69">
    <w:abstractNumId w:val="0"/>
  </w:num>
  <w:num w:numId="70">
    <w:abstractNumId w:val="0"/>
  </w:num>
  <w:num w:numId="71">
    <w:abstractNumId w:val="6"/>
  </w:num>
  <w:num w:numId="72">
    <w:abstractNumId w:val="4"/>
  </w:num>
  <w:num w:numId="73">
    <w:abstractNumId w:val="3"/>
  </w:num>
  <w:num w:numId="74">
    <w:abstractNumId w:val="1"/>
  </w:num>
  <w:num w:numId="75">
    <w:abstractNumId w:val="7"/>
  </w:num>
  <w:num w:numId="76">
    <w:abstractNumId w:val="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hideGrammaticalError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2EB3"/>
    <w:rsid w:val="00005AB9"/>
    <w:rsid w:val="00005EB9"/>
    <w:rsid w:val="00006E24"/>
    <w:rsid w:val="00007A40"/>
    <w:rsid w:val="00010C3F"/>
    <w:rsid w:val="00011D33"/>
    <w:rsid w:val="00020E6E"/>
    <w:rsid w:val="0002429E"/>
    <w:rsid w:val="00025987"/>
    <w:rsid w:val="00027CC0"/>
    <w:rsid w:val="00030020"/>
    <w:rsid w:val="00031A4B"/>
    <w:rsid w:val="00033913"/>
    <w:rsid w:val="00033D51"/>
    <w:rsid w:val="00033E5B"/>
    <w:rsid w:val="000357A8"/>
    <w:rsid w:val="00041707"/>
    <w:rsid w:val="000430A6"/>
    <w:rsid w:val="00044923"/>
    <w:rsid w:val="0005249C"/>
    <w:rsid w:val="000528A0"/>
    <w:rsid w:val="000534A5"/>
    <w:rsid w:val="0005680D"/>
    <w:rsid w:val="00063FB4"/>
    <w:rsid w:val="0006793E"/>
    <w:rsid w:val="00071E2C"/>
    <w:rsid w:val="00072E0F"/>
    <w:rsid w:val="000735E5"/>
    <w:rsid w:val="0007392F"/>
    <w:rsid w:val="00074518"/>
    <w:rsid w:val="000818D0"/>
    <w:rsid w:val="00087B39"/>
    <w:rsid w:val="00092240"/>
    <w:rsid w:val="00094ED9"/>
    <w:rsid w:val="00096502"/>
    <w:rsid w:val="00096950"/>
    <w:rsid w:val="000A49BB"/>
    <w:rsid w:val="000B2602"/>
    <w:rsid w:val="000B5F9E"/>
    <w:rsid w:val="000B6605"/>
    <w:rsid w:val="000C0B9A"/>
    <w:rsid w:val="000C3441"/>
    <w:rsid w:val="000C69CA"/>
    <w:rsid w:val="000C7F53"/>
    <w:rsid w:val="000D2B32"/>
    <w:rsid w:val="000D2E3D"/>
    <w:rsid w:val="000D2F8E"/>
    <w:rsid w:val="000D7100"/>
    <w:rsid w:val="000E1231"/>
    <w:rsid w:val="000E7FB4"/>
    <w:rsid w:val="000F0294"/>
    <w:rsid w:val="000F1882"/>
    <w:rsid w:val="000F196B"/>
    <w:rsid w:val="000F4C52"/>
    <w:rsid w:val="0010049B"/>
    <w:rsid w:val="00105361"/>
    <w:rsid w:val="00110133"/>
    <w:rsid w:val="001101F8"/>
    <w:rsid w:val="0011206F"/>
    <w:rsid w:val="00113E57"/>
    <w:rsid w:val="0011656A"/>
    <w:rsid w:val="0012220C"/>
    <w:rsid w:val="00122864"/>
    <w:rsid w:val="001329CE"/>
    <w:rsid w:val="00133907"/>
    <w:rsid w:val="0013516F"/>
    <w:rsid w:val="0013590C"/>
    <w:rsid w:val="00136EA3"/>
    <w:rsid w:val="00137575"/>
    <w:rsid w:val="00140BED"/>
    <w:rsid w:val="00144231"/>
    <w:rsid w:val="001453C5"/>
    <w:rsid w:val="0014568E"/>
    <w:rsid w:val="0014631D"/>
    <w:rsid w:val="00146639"/>
    <w:rsid w:val="00146B6F"/>
    <w:rsid w:val="001471CE"/>
    <w:rsid w:val="00150434"/>
    <w:rsid w:val="001511F1"/>
    <w:rsid w:val="001547EF"/>
    <w:rsid w:val="00155721"/>
    <w:rsid w:val="0015678B"/>
    <w:rsid w:val="0016240C"/>
    <w:rsid w:val="0016503F"/>
    <w:rsid w:val="0016674F"/>
    <w:rsid w:val="0016684E"/>
    <w:rsid w:val="00167CA0"/>
    <w:rsid w:val="0017120D"/>
    <w:rsid w:val="001714F6"/>
    <w:rsid w:val="001728E5"/>
    <w:rsid w:val="00176168"/>
    <w:rsid w:val="00177158"/>
    <w:rsid w:val="001808A5"/>
    <w:rsid w:val="00184FD4"/>
    <w:rsid w:val="00186B04"/>
    <w:rsid w:val="00186F1E"/>
    <w:rsid w:val="00187CDE"/>
    <w:rsid w:val="00190836"/>
    <w:rsid w:val="00193930"/>
    <w:rsid w:val="00195ACB"/>
    <w:rsid w:val="001963A5"/>
    <w:rsid w:val="00196F1E"/>
    <w:rsid w:val="00197FCA"/>
    <w:rsid w:val="001A25FB"/>
    <w:rsid w:val="001A27DB"/>
    <w:rsid w:val="001A6852"/>
    <w:rsid w:val="001B286A"/>
    <w:rsid w:val="001B2D02"/>
    <w:rsid w:val="001B3647"/>
    <w:rsid w:val="001B3C07"/>
    <w:rsid w:val="001B77FA"/>
    <w:rsid w:val="001C0ABE"/>
    <w:rsid w:val="001C5852"/>
    <w:rsid w:val="001D137C"/>
    <w:rsid w:val="001D30F4"/>
    <w:rsid w:val="001D45F0"/>
    <w:rsid w:val="001E4A33"/>
    <w:rsid w:val="001E5C27"/>
    <w:rsid w:val="001E720C"/>
    <w:rsid w:val="001F602B"/>
    <w:rsid w:val="001F6AC8"/>
    <w:rsid w:val="002009B1"/>
    <w:rsid w:val="00200B59"/>
    <w:rsid w:val="002037D5"/>
    <w:rsid w:val="00204C20"/>
    <w:rsid w:val="00204E9C"/>
    <w:rsid w:val="00206F90"/>
    <w:rsid w:val="00211010"/>
    <w:rsid w:val="00212B03"/>
    <w:rsid w:val="002131AE"/>
    <w:rsid w:val="00215C10"/>
    <w:rsid w:val="00215C2D"/>
    <w:rsid w:val="00223EF8"/>
    <w:rsid w:val="002252C4"/>
    <w:rsid w:val="0023183E"/>
    <w:rsid w:val="00235138"/>
    <w:rsid w:val="00235CBB"/>
    <w:rsid w:val="00237F09"/>
    <w:rsid w:val="002436BD"/>
    <w:rsid w:val="00243E36"/>
    <w:rsid w:val="0024540B"/>
    <w:rsid w:val="00245EF4"/>
    <w:rsid w:val="002479C5"/>
    <w:rsid w:val="00250E11"/>
    <w:rsid w:val="00251383"/>
    <w:rsid w:val="002522C9"/>
    <w:rsid w:val="00252A21"/>
    <w:rsid w:val="00253E4F"/>
    <w:rsid w:val="002542E4"/>
    <w:rsid w:val="00261053"/>
    <w:rsid w:val="00262FDE"/>
    <w:rsid w:val="00263629"/>
    <w:rsid w:val="00272589"/>
    <w:rsid w:val="002769BD"/>
    <w:rsid w:val="00276A75"/>
    <w:rsid w:val="00277756"/>
    <w:rsid w:val="002809EA"/>
    <w:rsid w:val="002819CB"/>
    <w:rsid w:val="00284962"/>
    <w:rsid w:val="00287B0E"/>
    <w:rsid w:val="002954DD"/>
    <w:rsid w:val="00296D92"/>
    <w:rsid w:val="002A0B53"/>
    <w:rsid w:val="002A0EEF"/>
    <w:rsid w:val="002A2B33"/>
    <w:rsid w:val="002A76F9"/>
    <w:rsid w:val="002B2DF7"/>
    <w:rsid w:val="002C1DB1"/>
    <w:rsid w:val="002C3BF4"/>
    <w:rsid w:val="002C749F"/>
    <w:rsid w:val="002D48CD"/>
    <w:rsid w:val="002D66CF"/>
    <w:rsid w:val="002D7B6B"/>
    <w:rsid w:val="002E7B33"/>
    <w:rsid w:val="002E7E34"/>
    <w:rsid w:val="002F059B"/>
    <w:rsid w:val="002F24A6"/>
    <w:rsid w:val="002F428E"/>
    <w:rsid w:val="002F5B0B"/>
    <w:rsid w:val="00300924"/>
    <w:rsid w:val="003017AF"/>
    <w:rsid w:val="00303C63"/>
    <w:rsid w:val="00304803"/>
    <w:rsid w:val="0030596E"/>
    <w:rsid w:val="003073C3"/>
    <w:rsid w:val="0031211F"/>
    <w:rsid w:val="00322B7F"/>
    <w:rsid w:val="00323637"/>
    <w:rsid w:val="00324E0B"/>
    <w:rsid w:val="00324E8A"/>
    <w:rsid w:val="003304D2"/>
    <w:rsid w:val="00331D87"/>
    <w:rsid w:val="00332850"/>
    <w:rsid w:val="00334478"/>
    <w:rsid w:val="003346B4"/>
    <w:rsid w:val="00334AE6"/>
    <w:rsid w:val="003365D0"/>
    <w:rsid w:val="003439AB"/>
    <w:rsid w:val="003468D1"/>
    <w:rsid w:val="0035034C"/>
    <w:rsid w:val="00354695"/>
    <w:rsid w:val="0035549B"/>
    <w:rsid w:val="00363CD0"/>
    <w:rsid w:val="00370E85"/>
    <w:rsid w:val="003755C8"/>
    <w:rsid w:val="00375687"/>
    <w:rsid w:val="00380AE0"/>
    <w:rsid w:val="0038138B"/>
    <w:rsid w:val="00382C2C"/>
    <w:rsid w:val="00383324"/>
    <w:rsid w:val="00387A75"/>
    <w:rsid w:val="00387C5D"/>
    <w:rsid w:val="003904FD"/>
    <w:rsid w:val="003918CB"/>
    <w:rsid w:val="00394254"/>
    <w:rsid w:val="003A0A85"/>
    <w:rsid w:val="003A397C"/>
    <w:rsid w:val="003B0D8B"/>
    <w:rsid w:val="003C2BFB"/>
    <w:rsid w:val="003C436B"/>
    <w:rsid w:val="003C4736"/>
    <w:rsid w:val="003C5337"/>
    <w:rsid w:val="003C5F92"/>
    <w:rsid w:val="003C7035"/>
    <w:rsid w:val="003C7212"/>
    <w:rsid w:val="003D5773"/>
    <w:rsid w:val="003D7A8C"/>
    <w:rsid w:val="003D7C00"/>
    <w:rsid w:val="003E2E53"/>
    <w:rsid w:val="003E56E5"/>
    <w:rsid w:val="003E7E60"/>
    <w:rsid w:val="003F00D4"/>
    <w:rsid w:val="003F2209"/>
    <w:rsid w:val="003F31B6"/>
    <w:rsid w:val="003F3D39"/>
    <w:rsid w:val="003F5145"/>
    <w:rsid w:val="003F646A"/>
    <w:rsid w:val="003F6761"/>
    <w:rsid w:val="003F6A0A"/>
    <w:rsid w:val="004024F5"/>
    <w:rsid w:val="00402DE1"/>
    <w:rsid w:val="00403D8B"/>
    <w:rsid w:val="004058F1"/>
    <w:rsid w:val="00407E7D"/>
    <w:rsid w:val="0041111B"/>
    <w:rsid w:val="0041283D"/>
    <w:rsid w:val="00412F72"/>
    <w:rsid w:val="00413AB4"/>
    <w:rsid w:val="00417732"/>
    <w:rsid w:val="00421373"/>
    <w:rsid w:val="00421FB7"/>
    <w:rsid w:val="0042763B"/>
    <w:rsid w:val="0043024C"/>
    <w:rsid w:val="00431898"/>
    <w:rsid w:val="004335E0"/>
    <w:rsid w:val="00436706"/>
    <w:rsid w:val="00436926"/>
    <w:rsid w:val="00442C02"/>
    <w:rsid w:val="00443D38"/>
    <w:rsid w:val="00450DBD"/>
    <w:rsid w:val="00450E7A"/>
    <w:rsid w:val="00456AF8"/>
    <w:rsid w:val="0045706B"/>
    <w:rsid w:val="0045762F"/>
    <w:rsid w:val="00465109"/>
    <w:rsid w:val="00466385"/>
    <w:rsid w:val="00470B15"/>
    <w:rsid w:val="00475869"/>
    <w:rsid w:val="00475A77"/>
    <w:rsid w:val="00485B2D"/>
    <w:rsid w:val="0048639A"/>
    <w:rsid w:val="004866A9"/>
    <w:rsid w:val="00492774"/>
    <w:rsid w:val="00496D7A"/>
    <w:rsid w:val="00497272"/>
    <w:rsid w:val="004A271E"/>
    <w:rsid w:val="004A31BC"/>
    <w:rsid w:val="004A3F1A"/>
    <w:rsid w:val="004A3F45"/>
    <w:rsid w:val="004A5738"/>
    <w:rsid w:val="004B1AFA"/>
    <w:rsid w:val="004B41C7"/>
    <w:rsid w:val="004B7088"/>
    <w:rsid w:val="004C02F2"/>
    <w:rsid w:val="004C17B3"/>
    <w:rsid w:val="004C47D8"/>
    <w:rsid w:val="004C4D12"/>
    <w:rsid w:val="004C5B76"/>
    <w:rsid w:val="004D02CD"/>
    <w:rsid w:val="004D0B24"/>
    <w:rsid w:val="004D4B90"/>
    <w:rsid w:val="004D6B95"/>
    <w:rsid w:val="004D7F41"/>
    <w:rsid w:val="004E03A2"/>
    <w:rsid w:val="004E1915"/>
    <w:rsid w:val="004E317E"/>
    <w:rsid w:val="004E3954"/>
    <w:rsid w:val="004E56D0"/>
    <w:rsid w:val="004E5856"/>
    <w:rsid w:val="004F2330"/>
    <w:rsid w:val="004F53C6"/>
    <w:rsid w:val="004F5533"/>
    <w:rsid w:val="004F55C6"/>
    <w:rsid w:val="004F69DB"/>
    <w:rsid w:val="004F6B87"/>
    <w:rsid w:val="004F7528"/>
    <w:rsid w:val="004F799A"/>
    <w:rsid w:val="00501C2D"/>
    <w:rsid w:val="00502637"/>
    <w:rsid w:val="00511140"/>
    <w:rsid w:val="00511DFF"/>
    <w:rsid w:val="00513CFE"/>
    <w:rsid w:val="00523B6A"/>
    <w:rsid w:val="00525F6C"/>
    <w:rsid w:val="0053112C"/>
    <w:rsid w:val="0053186E"/>
    <w:rsid w:val="00546AB4"/>
    <w:rsid w:val="005477BA"/>
    <w:rsid w:val="005514E5"/>
    <w:rsid w:val="00552F78"/>
    <w:rsid w:val="00561A45"/>
    <w:rsid w:val="00563C84"/>
    <w:rsid w:val="005702FB"/>
    <w:rsid w:val="00574BA6"/>
    <w:rsid w:val="005762F6"/>
    <w:rsid w:val="00584FBE"/>
    <w:rsid w:val="00585483"/>
    <w:rsid w:val="00587378"/>
    <w:rsid w:val="00587C05"/>
    <w:rsid w:val="00590AAB"/>
    <w:rsid w:val="00590ED1"/>
    <w:rsid w:val="005938C3"/>
    <w:rsid w:val="0059468C"/>
    <w:rsid w:val="00595125"/>
    <w:rsid w:val="00596F21"/>
    <w:rsid w:val="005A39D9"/>
    <w:rsid w:val="005A5BFB"/>
    <w:rsid w:val="005A7219"/>
    <w:rsid w:val="005B1CDD"/>
    <w:rsid w:val="005B1E19"/>
    <w:rsid w:val="005B31B2"/>
    <w:rsid w:val="005B3C46"/>
    <w:rsid w:val="005B3F61"/>
    <w:rsid w:val="005B55FC"/>
    <w:rsid w:val="005B778A"/>
    <w:rsid w:val="005C2D5E"/>
    <w:rsid w:val="005C389B"/>
    <w:rsid w:val="005C3B81"/>
    <w:rsid w:val="005C650C"/>
    <w:rsid w:val="005D086C"/>
    <w:rsid w:val="005D11D3"/>
    <w:rsid w:val="005D4E1F"/>
    <w:rsid w:val="005D4FB3"/>
    <w:rsid w:val="005E2F07"/>
    <w:rsid w:val="005E2FEA"/>
    <w:rsid w:val="005F0844"/>
    <w:rsid w:val="005F314B"/>
    <w:rsid w:val="005F5143"/>
    <w:rsid w:val="005F530E"/>
    <w:rsid w:val="005F5DAF"/>
    <w:rsid w:val="00611AF2"/>
    <w:rsid w:val="0061212B"/>
    <w:rsid w:val="006127AF"/>
    <w:rsid w:val="00613A98"/>
    <w:rsid w:val="00615FB2"/>
    <w:rsid w:val="00617BD1"/>
    <w:rsid w:val="00617CE8"/>
    <w:rsid w:val="0062708D"/>
    <w:rsid w:val="00627310"/>
    <w:rsid w:val="006276C5"/>
    <w:rsid w:val="006278A0"/>
    <w:rsid w:val="0063095F"/>
    <w:rsid w:val="00631CBD"/>
    <w:rsid w:val="006351D3"/>
    <w:rsid w:val="0063704F"/>
    <w:rsid w:val="0064035D"/>
    <w:rsid w:val="00646AC2"/>
    <w:rsid w:val="00650390"/>
    <w:rsid w:val="00654DAB"/>
    <w:rsid w:val="006579DF"/>
    <w:rsid w:val="0066204A"/>
    <w:rsid w:val="00670E3C"/>
    <w:rsid w:val="00674BBE"/>
    <w:rsid w:val="00674D08"/>
    <w:rsid w:val="00674FED"/>
    <w:rsid w:val="00677F57"/>
    <w:rsid w:val="00681088"/>
    <w:rsid w:val="00681327"/>
    <w:rsid w:val="0068305E"/>
    <w:rsid w:val="00684060"/>
    <w:rsid w:val="00685EBE"/>
    <w:rsid w:val="0069577E"/>
    <w:rsid w:val="0069634B"/>
    <w:rsid w:val="00696623"/>
    <w:rsid w:val="006A04E9"/>
    <w:rsid w:val="006A4A03"/>
    <w:rsid w:val="006A7543"/>
    <w:rsid w:val="006B1292"/>
    <w:rsid w:val="006B725C"/>
    <w:rsid w:val="006C273D"/>
    <w:rsid w:val="006C5C4F"/>
    <w:rsid w:val="006C6282"/>
    <w:rsid w:val="006C762A"/>
    <w:rsid w:val="006D13E2"/>
    <w:rsid w:val="006D2A0E"/>
    <w:rsid w:val="006D5FF9"/>
    <w:rsid w:val="006E00D7"/>
    <w:rsid w:val="006E0772"/>
    <w:rsid w:val="006E0F86"/>
    <w:rsid w:val="006E42F4"/>
    <w:rsid w:val="006E5766"/>
    <w:rsid w:val="006F0B15"/>
    <w:rsid w:val="006F0DCC"/>
    <w:rsid w:val="006F1EE2"/>
    <w:rsid w:val="0070161B"/>
    <w:rsid w:val="00703DF9"/>
    <w:rsid w:val="007048EB"/>
    <w:rsid w:val="00704FBB"/>
    <w:rsid w:val="0070726A"/>
    <w:rsid w:val="0071226B"/>
    <w:rsid w:val="0071286E"/>
    <w:rsid w:val="00716761"/>
    <w:rsid w:val="00717040"/>
    <w:rsid w:val="00723AB9"/>
    <w:rsid w:val="00726761"/>
    <w:rsid w:val="00726FF7"/>
    <w:rsid w:val="00746D8A"/>
    <w:rsid w:val="007605F7"/>
    <w:rsid w:val="007622A7"/>
    <w:rsid w:val="00762E22"/>
    <w:rsid w:val="0077195C"/>
    <w:rsid w:val="007750A2"/>
    <w:rsid w:val="007770C3"/>
    <w:rsid w:val="007817D6"/>
    <w:rsid w:val="00781E1C"/>
    <w:rsid w:val="00787912"/>
    <w:rsid w:val="0079177A"/>
    <w:rsid w:val="00791CFE"/>
    <w:rsid w:val="00793EFA"/>
    <w:rsid w:val="00794836"/>
    <w:rsid w:val="007948D5"/>
    <w:rsid w:val="007A15C9"/>
    <w:rsid w:val="007A6676"/>
    <w:rsid w:val="007B0924"/>
    <w:rsid w:val="007B295C"/>
    <w:rsid w:val="007B7FF5"/>
    <w:rsid w:val="007C29D8"/>
    <w:rsid w:val="007C3FC6"/>
    <w:rsid w:val="007C7E7F"/>
    <w:rsid w:val="007D2CE9"/>
    <w:rsid w:val="007D43F1"/>
    <w:rsid w:val="007D4FED"/>
    <w:rsid w:val="007D5583"/>
    <w:rsid w:val="007D69DA"/>
    <w:rsid w:val="007D70B1"/>
    <w:rsid w:val="007D7140"/>
    <w:rsid w:val="007E0CA6"/>
    <w:rsid w:val="007E1CDB"/>
    <w:rsid w:val="007E408C"/>
    <w:rsid w:val="007E50BF"/>
    <w:rsid w:val="007E7E21"/>
    <w:rsid w:val="007F0460"/>
    <w:rsid w:val="007F070F"/>
    <w:rsid w:val="007F0DA2"/>
    <w:rsid w:val="007F298D"/>
    <w:rsid w:val="007F39CE"/>
    <w:rsid w:val="007F5E0D"/>
    <w:rsid w:val="0080097E"/>
    <w:rsid w:val="00801085"/>
    <w:rsid w:val="00801A89"/>
    <w:rsid w:val="00803DD5"/>
    <w:rsid w:val="00804457"/>
    <w:rsid w:val="00807133"/>
    <w:rsid w:val="00812138"/>
    <w:rsid w:val="00812B8B"/>
    <w:rsid w:val="008151F2"/>
    <w:rsid w:val="0081777A"/>
    <w:rsid w:val="008210E0"/>
    <w:rsid w:val="00824079"/>
    <w:rsid w:val="0082618B"/>
    <w:rsid w:val="00831F0A"/>
    <w:rsid w:val="00833A78"/>
    <w:rsid w:val="0083438A"/>
    <w:rsid w:val="00835F84"/>
    <w:rsid w:val="00841C9F"/>
    <w:rsid w:val="0084391F"/>
    <w:rsid w:val="0084585F"/>
    <w:rsid w:val="0084636F"/>
    <w:rsid w:val="00846FAB"/>
    <w:rsid w:val="00852449"/>
    <w:rsid w:val="00853E53"/>
    <w:rsid w:val="0085535C"/>
    <w:rsid w:val="00857F3F"/>
    <w:rsid w:val="00864590"/>
    <w:rsid w:val="00864D76"/>
    <w:rsid w:val="008656C9"/>
    <w:rsid w:val="0086711C"/>
    <w:rsid w:val="00867535"/>
    <w:rsid w:val="00873060"/>
    <w:rsid w:val="00875C5B"/>
    <w:rsid w:val="008811B4"/>
    <w:rsid w:val="00883C5F"/>
    <w:rsid w:val="00887EB7"/>
    <w:rsid w:val="00891824"/>
    <w:rsid w:val="00891C7D"/>
    <w:rsid w:val="00892FA7"/>
    <w:rsid w:val="008A0A18"/>
    <w:rsid w:val="008A3301"/>
    <w:rsid w:val="008A4DF1"/>
    <w:rsid w:val="008A5636"/>
    <w:rsid w:val="008B125E"/>
    <w:rsid w:val="008B241C"/>
    <w:rsid w:val="008B2981"/>
    <w:rsid w:val="008B2E4A"/>
    <w:rsid w:val="008B408B"/>
    <w:rsid w:val="008B4F11"/>
    <w:rsid w:val="008C2362"/>
    <w:rsid w:val="008C3049"/>
    <w:rsid w:val="008C74D9"/>
    <w:rsid w:val="008C7F52"/>
    <w:rsid w:val="008D1A23"/>
    <w:rsid w:val="008D3E76"/>
    <w:rsid w:val="008D4AE9"/>
    <w:rsid w:val="008D53B3"/>
    <w:rsid w:val="008D56F8"/>
    <w:rsid w:val="008D5CF3"/>
    <w:rsid w:val="008D6D74"/>
    <w:rsid w:val="008D7D39"/>
    <w:rsid w:val="008E301A"/>
    <w:rsid w:val="008E4574"/>
    <w:rsid w:val="008F4016"/>
    <w:rsid w:val="008F42FE"/>
    <w:rsid w:val="008F4A00"/>
    <w:rsid w:val="008F5402"/>
    <w:rsid w:val="0090053A"/>
    <w:rsid w:val="00901C2A"/>
    <w:rsid w:val="009078A3"/>
    <w:rsid w:val="00910133"/>
    <w:rsid w:val="009118C7"/>
    <w:rsid w:val="00914283"/>
    <w:rsid w:val="009179B7"/>
    <w:rsid w:val="00921229"/>
    <w:rsid w:val="0092187D"/>
    <w:rsid w:val="009225B6"/>
    <w:rsid w:val="009249AC"/>
    <w:rsid w:val="00925397"/>
    <w:rsid w:val="00926256"/>
    <w:rsid w:val="00927461"/>
    <w:rsid w:val="00931E64"/>
    <w:rsid w:val="00933A21"/>
    <w:rsid w:val="00934C10"/>
    <w:rsid w:val="0093662A"/>
    <w:rsid w:val="00937CAC"/>
    <w:rsid w:val="0094060C"/>
    <w:rsid w:val="00942C4B"/>
    <w:rsid w:val="00944196"/>
    <w:rsid w:val="00944958"/>
    <w:rsid w:val="00950634"/>
    <w:rsid w:val="009575C6"/>
    <w:rsid w:val="009606A5"/>
    <w:rsid w:val="00961125"/>
    <w:rsid w:val="009611CB"/>
    <w:rsid w:val="00962F1F"/>
    <w:rsid w:val="00965304"/>
    <w:rsid w:val="0096604B"/>
    <w:rsid w:val="00966BA3"/>
    <w:rsid w:val="00966F5C"/>
    <w:rsid w:val="00971293"/>
    <w:rsid w:val="00972C1E"/>
    <w:rsid w:val="00972E68"/>
    <w:rsid w:val="00973A3B"/>
    <w:rsid w:val="009755BD"/>
    <w:rsid w:val="0098373E"/>
    <w:rsid w:val="00983EAE"/>
    <w:rsid w:val="0098405A"/>
    <w:rsid w:val="00985A7B"/>
    <w:rsid w:val="00986FE1"/>
    <w:rsid w:val="0098760B"/>
    <w:rsid w:val="009926FD"/>
    <w:rsid w:val="0099326D"/>
    <w:rsid w:val="00993342"/>
    <w:rsid w:val="00995743"/>
    <w:rsid w:val="009A11DD"/>
    <w:rsid w:val="009A7963"/>
    <w:rsid w:val="009B30AA"/>
    <w:rsid w:val="009B5217"/>
    <w:rsid w:val="009C28D0"/>
    <w:rsid w:val="009C48DE"/>
    <w:rsid w:val="009D18AD"/>
    <w:rsid w:val="009D60D9"/>
    <w:rsid w:val="009D7F88"/>
    <w:rsid w:val="009E1E1E"/>
    <w:rsid w:val="009E33E3"/>
    <w:rsid w:val="009E7F16"/>
    <w:rsid w:val="009F1E65"/>
    <w:rsid w:val="009F5052"/>
    <w:rsid w:val="009F5963"/>
    <w:rsid w:val="00A03083"/>
    <w:rsid w:val="00A04C85"/>
    <w:rsid w:val="00A05CA4"/>
    <w:rsid w:val="00A100F0"/>
    <w:rsid w:val="00A12BB5"/>
    <w:rsid w:val="00A14D7A"/>
    <w:rsid w:val="00A156B3"/>
    <w:rsid w:val="00A156E6"/>
    <w:rsid w:val="00A177C5"/>
    <w:rsid w:val="00A27D86"/>
    <w:rsid w:val="00A30A3D"/>
    <w:rsid w:val="00A33151"/>
    <w:rsid w:val="00A34064"/>
    <w:rsid w:val="00A346C1"/>
    <w:rsid w:val="00A34BD6"/>
    <w:rsid w:val="00A3593B"/>
    <w:rsid w:val="00A36970"/>
    <w:rsid w:val="00A40175"/>
    <w:rsid w:val="00A4082C"/>
    <w:rsid w:val="00A41EB4"/>
    <w:rsid w:val="00A44BFF"/>
    <w:rsid w:val="00A4598A"/>
    <w:rsid w:val="00A45C69"/>
    <w:rsid w:val="00A501E3"/>
    <w:rsid w:val="00A50F0C"/>
    <w:rsid w:val="00A5263D"/>
    <w:rsid w:val="00A56441"/>
    <w:rsid w:val="00A576F7"/>
    <w:rsid w:val="00A736DD"/>
    <w:rsid w:val="00A77C96"/>
    <w:rsid w:val="00A8185D"/>
    <w:rsid w:val="00A81C77"/>
    <w:rsid w:val="00A82869"/>
    <w:rsid w:val="00A84FBD"/>
    <w:rsid w:val="00A85C10"/>
    <w:rsid w:val="00A865D3"/>
    <w:rsid w:val="00A8758C"/>
    <w:rsid w:val="00A90DED"/>
    <w:rsid w:val="00A921F6"/>
    <w:rsid w:val="00AA0693"/>
    <w:rsid w:val="00AA127E"/>
    <w:rsid w:val="00AA19AE"/>
    <w:rsid w:val="00AA36F2"/>
    <w:rsid w:val="00AA3CA8"/>
    <w:rsid w:val="00AA423D"/>
    <w:rsid w:val="00AA54AD"/>
    <w:rsid w:val="00AA5764"/>
    <w:rsid w:val="00AA6A95"/>
    <w:rsid w:val="00AB10DE"/>
    <w:rsid w:val="00AB3171"/>
    <w:rsid w:val="00AB3668"/>
    <w:rsid w:val="00AB5ED7"/>
    <w:rsid w:val="00AB6EE5"/>
    <w:rsid w:val="00AB7BD7"/>
    <w:rsid w:val="00AC0B4C"/>
    <w:rsid w:val="00AD0451"/>
    <w:rsid w:val="00AD0AEE"/>
    <w:rsid w:val="00AD1112"/>
    <w:rsid w:val="00AD15C2"/>
    <w:rsid w:val="00AD1F72"/>
    <w:rsid w:val="00AD370B"/>
    <w:rsid w:val="00AD49E3"/>
    <w:rsid w:val="00AD4B4F"/>
    <w:rsid w:val="00AE1C85"/>
    <w:rsid w:val="00AE28DE"/>
    <w:rsid w:val="00AE7185"/>
    <w:rsid w:val="00AF0616"/>
    <w:rsid w:val="00AF0E28"/>
    <w:rsid w:val="00AF20D0"/>
    <w:rsid w:val="00AF4C6B"/>
    <w:rsid w:val="00AF643D"/>
    <w:rsid w:val="00AF6F9B"/>
    <w:rsid w:val="00AF7413"/>
    <w:rsid w:val="00B01409"/>
    <w:rsid w:val="00B01855"/>
    <w:rsid w:val="00B10DBD"/>
    <w:rsid w:val="00B15629"/>
    <w:rsid w:val="00B20B25"/>
    <w:rsid w:val="00B2372C"/>
    <w:rsid w:val="00B246A7"/>
    <w:rsid w:val="00B24EB3"/>
    <w:rsid w:val="00B26DFE"/>
    <w:rsid w:val="00B32F70"/>
    <w:rsid w:val="00B348FB"/>
    <w:rsid w:val="00B373D0"/>
    <w:rsid w:val="00B43AAA"/>
    <w:rsid w:val="00B469B4"/>
    <w:rsid w:val="00B53139"/>
    <w:rsid w:val="00B553D4"/>
    <w:rsid w:val="00B562CE"/>
    <w:rsid w:val="00B62DE2"/>
    <w:rsid w:val="00B74417"/>
    <w:rsid w:val="00B77246"/>
    <w:rsid w:val="00B866CD"/>
    <w:rsid w:val="00B93034"/>
    <w:rsid w:val="00B93A81"/>
    <w:rsid w:val="00B94021"/>
    <w:rsid w:val="00B97C5D"/>
    <w:rsid w:val="00BA1290"/>
    <w:rsid w:val="00BA3A01"/>
    <w:rsid w:val="00BA423F"/>
    <w:rsid w:val="00BB2792"/>
    <w:rsid w:val="00BB4371"/>
    <w:rsid w:val="00BB76BF"/>
    <w:rsid w:val="00BC10A6"/>
    <w:rsid w:val="00BC1AD1"/>
    <w:rsid w:val="00BC1D82"/>
    <w:rsid w:val="00BC398C"/>
    <w:rsid w:val="00BC4A58"/>
    <w:rsid w:val="00BC60BC"/>
    <w:rsid w:val="00BC613B"/>
    <w:rsid w:val="00BD07A0"/>
    <w:rsid w:val="00BD1E08"/>
    <w:rsid w:val="00BD51D9"/>
    <w:rsid w:val="00BD64E2"/>
    <w:rsid w:val="00BE13E2"/>
    <w:rsid w:val="00BE4995"/>
    <w:rsid w:val="00BF0623"/>
    <w:rsid w:val="00BF429A"/>
    <w:rsid w:val="00BF4FFF"/>
    <w:rsid w:val="00BF5585"/>
    <w:rsid w:val="00BF62BE"/>
    <w:rsid w:val="00C0491F"/>
    <w:rsid w:val="00C07126"/>
    <w:rsid w:val="00C110DE"/>
    <w:rsid w:val="00C16853"/>
    <w:rsid w:val="00C170BC"/>
    <w:rsid w:val="00C222C8"/>
    <w:rsid w:val="00C23EB4"/>
    <w:rsid w:val="00C263F0"/>
    <w:rsid w:val="00C33D41"/>
    <w:rsid w:val="00C40AFD"/>
    <w:rsid w:val="00C41E20"/>
    <w:rsid w:val="00C42E3E"/>
    <w:rsid w:val="00C42E89"/>
    <w:rsid w:val="00C46490"/>
    <w:rsid w:val="00C51C13"/>
    <w:rsid w:val="00C525A5"/>
    <w:rsid w:val="00C5300F"/>
    <w:rsid w:val="00C53442"/>
    <w:rsid w:val="00C54594"/>
    <w:rsid w:val="00C623DA"/>
    <w:rsid w:val="00C66CE0"/>
    <w:rsid w:val="00C71BED"/>
    <w:rsid w:val="00C737B2"/>
    <w:rsid w:val="00C747FF"/>
    <w:rsid w:val="00C81B53"/>
    <w:rsid w:val="00C82AD2"/>
    <w:rsid w:val="00C857BD"/>
    <w:rsid w:val="00C90FB6"/>
    <w:rsid w:val="00C9220E"/>
    <w:rsid w:val="00C932BD"/>
    <w:rsid w:val="00C9339C"/>
    <w:rsid w:val="00C93429"/>
    <w:rsid w:val="00C95533"/>
    <w:rsid w:val="00C97825"/>
    <w:rsid w:val="00CA056F"/>
    <w:rsid w:val="00CA16C5"/>
    <w:rsid w:val="00CA415A"/>
    <w:rsid w:val="00CA4376"/>
    <w:rsid w:val="00CA7A35"/>
    <w:rsid w:val="00CB0083"/>
    <w:rsid w:val="00CB1536"/>
    <w:rsid w:val="00CB7FB8"/>
    <w:rsid w:val="00CC0DF2"/>
    <w:rsid w:val="00CC1F71"/>
    <w:rsid w:val="00CC35C2"/>
    <w:rsid w:val="00CC5588"/>
    <w:rsid w:val="00CC5A2F"/>
    <w:rsid w:val="00CC5EB3"/>
    <w:rsid w:val="00CC722C"/>
    <w:rsid w:val="00CD0E7B"/>
    <w:rsid w:val="00CD2ABD"/>
    <w:rsid w:val="00CD39E6"/>
    <w:rsid w:val="00CD4024"/>
    <w:rsid w:val="00CD4617"/>
    <w:rsid w:val="00CD4855"/>
    <w:rsid w:val="00CD4FA2"/>
    <w:rsid w:val="00CD73E7"/>
    <w:rsid w:val="00CE15FF"/>
    <w:rsid w:val="00CE6D43"/>
    <w:rsid w:val="00CE7584"/>
    <w:rsid w:val="00CE7888"/>
    <w:rsid w:val="00CF6E44"/>
    <w:rsid w:val="00D10E1C"/>
    <w:rsid w:val="00D1181B"/>
    <w:rsid w:val="00D161A3"/>
    <w:rsid w:val="00D22E49"/>
    <w:rsid w:val="00D23716"/>
    <w:rsid w:val="00D25ED8"/>
    <w:rsid w:val="00D27F8F"/>
    <w:rsid w:val="00D316B8"/>
    <w:rsid w:val="00D31CFC"/>
    <w:rsid w:val="00D3255D"/>
    <w:rsid w:val="00D340C3"/>
    <w:rsid w:val="00D408F4"/>
    <w:rsid w:val="00D409CD"/>
    <w:rsid w:val="00D423D4"/>
    <w:rsid w:val="00D42CAF"/>
    <w:rsid w:val="00D43A4B"/>
    <w:rsid w:val="00D46631"/>
    <w:rsid w:val="00D473A8"/>
    <w:rsid w:val="00D5310F"/>
    <w:rsid w:val="00D53FB6"/>
    <w:rsid w:val="00D601EF"/>
    <w:rsid w:val="00D6131C"/>
    <w:rsid w:val="00D61533"/>
    <w:rsid w:val="00D637E9"/>
    <w:rsid w:val="00D63B2F"/>
    <w:rsid w:val="00D70747"/>
    <w:rsid w:val="00D7261D"/>
    <w:rsid w:val="00D755FC"/>
    <w:rsid w:val="00D76B6D"/>
    <w:rsid w:val="00D84D07"/>
    <w:rsid w:val="00D8526A"/>
    <w:rsid w:val="00D90E91"/>
    <w:rsid w:val="00D94A69"/>
    <w:rsid w:val="00DA40A7"/>
    <w:rsid w:val="00DA538B"/>
    <w:rsid w:val="00DB60E1"/>
    <w:rsid w:val="00DC1347"/>
    <w:rsid w:val="00DC1981"/>
    <w:rsid w:val="00DC213F"/>
    <w:rsid w:val="00DC39F1"/>
    <w:rsid w:val="00DC4257"/>
    <w:rsid w:val="00DD0CA7"/>
    <w:rsid w:val="00DD2EE7"/>
    <w:rsid w:val="00DD4540"/>
    <w:rsid w:val="00DE4B35"/>
    <w:rsid w:val="00DE772F"/>
    <w:rsid w:val="00DF19C1"/>
    <w:rsid w:val="00DF54CA"/>
    <w:rsid w:val="00DF56C9"/>
    <w:rsid w:val="00DF5B64"/>
    <w:rsid w:val="00E002C4"/>
    <w:rsid w:val="00E02794"/>
    <w:rsid w:val="00E02901"/>
    <w:rsid w:val="00E043E3"/>
    <w:rsid w:val="00E0505B"/>
    <w:rsid w:val="00E11280"/>
    <w:rsid w:val="00E12359"/>
    <w:rsid w:val="00E13230"/>
    <w:rsid w:val="00E143EB"/>
    <w:rsid w:val="00E152FF"/>
    <w:rsid w:val="00E16611"/>
    <w:rsid w:val="00E2461B"/>
    <w:rsid w:val="00E24886"/>
    <w:rsid w:val="00E276FB"/>
    <w:rsid w:val="00E30A48"/>
    <w:rsid w:val="00E32595"/>
    <w:rsid w:val="00E32DC6"/>
    <w:rsid w:val="00E33A74"/>
    <w:rsid w:val="00E347EA"/>
    <w:rsid w:val="00E4030B"/>
    <w:rsid w:val="00E41531"/>
    <w:rsid w:val="00E41D56"/>
    <w:rsid w:val="00E457DF"/>
    <w:rsid w:val="00E46642"/>
    <w:rsid w:val="00E5139A"/>
    <w:rsid w:val="00E52DB6"/>
    <w:rsid w:val="00E5413D"/>
    <w:rsid w:val="00E57977"/>
    <w:rsid w:val="00E6320D"/>
    <w:rsid w:val="00E635D7"/>
    <w:rsid w:val="00E70576"/>
    <w:rsid w:val="00E71DED"/>
    <w:rsid w:val="00E83061"/>
    <w:rsid w:val="00E83954"/>
    <w:rsid w:val="00E86506"/>
    <w:rsid w:val="00E91730"/>
    <w:rsid w:val="00E96F04"/>
    <w:rsid w:val="00E97AEC"/>
    <w:rsid w:val="00EA1896"/>
    <w:rsid w:val="00EA20FE"/>
    <w:rsid w:val="00EA248D"/>
    <w:rsid w:val="00EA4984"/>
    <w:rsid w:val="00EA7AE8"/>
    <w:rsid w:val="00EB176B"/>
    <w:rsid w:val="00EB1B61"/>
    <w:rsid w:val="00EB491E"/>
    <w:rsid w:val="00EB681B"/>
    <w:rsid w:val="00EC0E70"/>
    <w:rsid w:val="00EC4622"/>
    <w:rsid w:val="00EC4FAD"/>
    <w:rsid w:val="00EE25D3"/>
    <w:rsid w:val="00EE3CFA"/>
    <w:rsid w:val="00EE69E4"/>
    <w:rsid w:val="00EF2A7F"/>
    <w:rsid w:val="00EF3183"/>
    <w:rsid w:val="00EF7E90"/>
    <w:rsid w:val="00F002B6"/>
    <w:rsid w:val="00F01C19"/>
    <w:rsid w:val="00F01CA5"/>
    <w:rsid w:val="00F1025E"/>
    <w:rsid w:val="00F10AFE"/>
    <w:rsid w:val="00F15BC9"/>
    <w:rsid w:val="00F15C6C"/>
    <w:rsid w:val="00F17173"/>
    <w:rsid w:val="00F17EA9"/>
    <w:rsid w:val="00F20987"/>
    <w:rsid w:val="00F224DC"/>
    <w:rsid w:val="00F2406F"/>
    <w:rsid w:val="00F2687F"/>
    <w:rsid w:val="00F26A5E"/>
    <w:rsid w:val="00F27F29"/>
    <w:rsid w:val="00F300DA"/>
    <w:rsid w:val="00F32028"/>
    <w:rsid w:val="00F32D54"/>
    <w:rsid w:val="00F36C54"/>
    <w:rsid w:val="00F418EA"/>
    <w:rsid w:val="00F41A29"/>
    <w:rsid w:val="00F44C1C"/>
    <w:rsid w:val="00F518DF"/>
    <w:rsid w:val="00F544DB"/>
    <w:rsid w:val="00F564C0"/>
    <w:rsid w:val="00F60B8C"/>
    <w:rsid w:val="00F62319"/>
    <w:rsid w:val="00F648EA"/>
    <w:rsid w:val="00F6502E"/>
    <w:rsid w:val="00F65663"/>
    <w:rsid w:val="00F675E7"/>
    <w:rsid w:val="00F75147"/>
    <w:rsid w:val="00F756C0"/>
    <w:rsid w:val="00F75A40"/>
    <w:rsid w:val="00F77637"/>
    <w:rsid w:val="00F8435D"/>
    <w:rsid w:val="00F857A9"/>
    <w:rsid w:val="00F862E5"/>
    <w:rsid w:val="00F87DD0"/>
    <w:rsid w:val="00F93360"/>
    <w:rsid w:val="00F93FE4"/>
    <w:rsid w:val="00F940DC"/>
    <w:rsid w:val="00F9424D"/>
    <w:rsid w:val="00F97E4E"/>
    <w:rsid w:val="00FA0631"/>
    <w:rsid w:val="00FA1A40"/>
    <w:rsid w:val="00FA217B"/>
    <w:rsid w:val="00FA342F"/>
    <w:rsid w:val="00FA75C0"/>
    <w:rsid w:val="00FA77DF"/>
    <w:rsid w:val="00FB0BC5"/>
    <w:rsid w:val="00FB0BCC"/>
    <w:rsid w:val="00FB256F"/>
    <w:rsid w:val="00FB546C"/>
    <w:rsid w:val="00FB5803"/>
    <w:rsid w:val="00FB7AD9"/>
    <w:rsid w:val="00FC0FE5"/>
    <w:rsid w:val="00FC1662"/>
    <w:rsid w:val="00FD0ABA"/>
    <w:rsid w:val="00FD1ABC"/>
    <w:rsid w:val="00FD223E"/>
    <w:rsid w:val="00FD7DDF"/>
    <w:rsid w:val="00FE4C92"/>
    <w:rsid w:val="00FE55AC"/>
    <w:rsid w:val="00FE629C"/>
    <w:rsid w:val="00FF0FAA"/>
    <w:rsid w:val="00FF338A"/>
    <w:rsid w:val="00FF3759"/>
    <w:rsid w:val="00FF439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C0866F7"/>
  <w15:docId w15:val="{601978D5-3994-4AB9-8E30-8FDD7333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0BF"/>
    <w:pPr>
      <w:spacing w:line="288" w:lineRule="auto"/>
      <w:jc w:val="both"/>
    </w:pPr>
    <w:rPr>
      <w:lang w:eastAsia="en-US" w:bidi="ar-SA"/>
    </w:rPr>
  </w:style>
  <w:style w:type="paragraph" w:styleId="Heading1">
    <w:name w:val="heading 1"/>
    <w:basedOn w:val="Normal"/>
    <w:next w:val="Normal"/>
    <w:link w:val="Heading1Char"/>
    <w:qFormat/>
    <w:rsid w:val="007E50BF"/>
    <w:pPr>
      <w:numPr>
        <w:numId w:val="1"/>
      </w:numPr>
      <w:ind w:left="567" w:hanging="567"/>
      <w:outlineLvl w:val="0"/>
    </w:pPr>
    <w:rPr>
      <w:kern w:val="28"/>
    </w:rPr>
  </w:style>
  <w:style w:type="paragraph" w:styleId="Heading2">
    <w:name w:val="heading 2"/>
    <w:basedOn w:val="Normal"/>
    <w:next w:val="Normal"/>
    <w:link w:val="Heading2Char"/>
    <w:qFormat/>
    <w:rsid w:val="007E50BF"/>
    <w:pPr>
      <w:numPr>
        <w:ilvl w:val="1"/>
        <w:numId w:val="1"/>
      </w:numPr>
      <w:ind w:left="567" w:hanging="567"/>
      <w:outlineLvl w:val="1"/>
    </w:pPr>
  </w:style>
  <w:style w:type="paragraph" w:styleId="Heading3">
    <w:name w:val="heading 3"/>
    <w:basedOn w:val="Normal"/>
    <w:next w:val="Normal"/>
    <w:link w:val="Heading3Char"/>
    <w:qFormat/>
    <w:rsid w:val="007E50BF"/>
    <w:pPr>
      <w:numPr>
        <w:ilvl w:val="2"/>
        <w:numId w:val="1"/>
      </w:numPr>
      <w:ind w:left="567" w:hanging="567"/>
      <w:outlineLvl w:val="2"/>
    </w:pPr>
  </w:style>
  <w:style w:type="paragraph" w:styleId="Heading4">
    <w:name w:val="heading 4"/>
    <w:basedOn w:val="Normal"/>
    <w:next w:val="Normal"/>
    <w:link w:val="Heading4Char"/>
    <w:qFormat/>
    <w:rsid w:val="007E50BF"/>
    <w:pPr>
      <w:numPr>
        <w:ilvl w:val="3"/>
        <w:numId w:val="1"/>
      </w:numPr>
      <w:ind w:left="567" w:hanging="567"/>
      <w:outlineLvl w:val="3"/>
    </w:pPr>
  </w:style>
  <w:style w:type="paragraph" w:styleId="Heading5">
    <w:name w:val="heading 5"/>
    <w:basedOn w:val="Normal"/>
    <w:next w:val="Normal"/>
    <w:link w:val="Heading5Char"/>
    <w:qFormat/>
    <w:rsid w:val="007E50BF"/>
    <w:pPr>
      <w:numPr>
        <w:ilvl w:val="4"/>
        <w:numId w:val="1"/>
      </w:numPr>
      <w:ind w:left="567" w:hanging="567"/>
      <w:outlineLvl w:val="4"/>
    </w:pPr>
  </w:style>
  <w:style w:type="paragraph" w:styleId="Heading6">
    <w:name w:val="heading 6"/>
    <w:basedOn w:val="Normal"/>
    <w:next w:val="Normal"/>
    <w:link w:val="Heading6Char"/>
    <w:qFormat/>
    <w:rsid w:val="007E50BF"/>
    <w:pPr>
      <w:numPr>
        <w:ilvl w:val="5"/>
        <w:numId w:val="1"/>
      </w:numPr>
      <w:ind w:left="567" w:hanging="567"/>
      <w:outlineLvl w:val="5"/>
    </w:pPr>
  </w:style>
  <w:style w:type="paragraph" w:styleId="Heading7">
    <w:name w:val="heading 7"/>
    <w:basedOn w:val="Normal"/>
    <w:next w:val="Normal"/>
    <w:link w:val="Heading7Char"/>
    <w:qFormat/>
    <w:rsid w:val="007E50BF"/>
    <w:pPr>
      <w:numPr>
        <w:ilvl w:val="6"/>
        <w:numId w:val="1"/>
      </w:numPr>
      <w:ind w:left="567" w:hanging="567"/>
      <w:outlineLvl w:val="6"/>
    </w:pPr>
  </w:style>
  <w:style w:type="paragraph" w:styleId="Heading8">
    <w:name w:val="heading 8"/>
    <w:basedOn w:val="Normal"/>
    <w:next w:val="Normal"/>
    <w:link w:val="Heading8Char"/>
    <w:qFormat/>
    <w:rsid w:val="007E50BF"/>
    <w:pPr>
      <w:numPr>
        <w:ilvl w:val="7"/>
        <w:numId w:val="1"/>
      </w:numPr>
      <w:ind w:left="567" w:hanging="567"/>
      <w:outlineLvl w:val="7"/>
    </w:pPr>
  </w:style>
  <w:style w:type="paragraph" w:styleId="Heading9">
    <w:name w:val="heading 9"/>
    <w:basedOn w:val="Normal"/>
    <w:next w:val="Normal"/>
    <w:link w:val="Heading9Char"/>
    <w:qFormat/>
    <w:rsid w:val="007E50BF"/>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cs-CZ" w:eastAsia="en-US" w:bidi="ar-SA"/>
    </w:rPr>
  </w:style>
  <w:style w:type="character" w:customStyle="1" w:styleId="Heading2Char">
    <w:name w:val="Heading 2 Char"/>
    <w:basedOn w:val="DefaultParagraphFont"/>
    <w:link w:val="Heading2"/>
    <w:locked/>
    <w:rsid w:val="00CB1536"/>
    <w:rPr>
      <w:lang w:val="cs-CZ" w:eastAsia="en-US" w:bidi="ar-SA"/>
    </w:rPr>
  </w:style>
  <w:style w:type="character" w:customStyle="1" w:styleId="Heading3Char">
    <w:name w:val="Heading 3 Char"/>
    <w:basedOn w:val="DefaultParagraphFont"/>
    <w:link w:val="Heading3"/>
    <w:locked/>
    <w:rsid w:val="00CB1536"/>
    <w:rPr>
      <w:lang w:val="cs-CZ" w:eastAsia="en-US" w:bidi="ar-SA"/>
    </w:rPr>
  </w:style>
  <w:style w:type="character" w:customStyle="1" w:styleId="Heading4Char">
    <w:name w:val="Heading 4 Char"/>
    <w:basedOn w:val="DefaultParagraphFont"/>
    <w:link w:val="Heading4"/>
    <w:locked/>
    <w:rsid w:val="00CB1536"/>
    <w:rPr>
      <w:lang w:val="cs-CZ" w:eastAsia="en-US" w:bidi="ar-SA"/>
    </w:rPr>
  </w:style>
  <w:style w:type="character" w:customStyle="1" w:styleId="Heading5Char">
    <w:name w:val="Heading 5 Char"/>
    <w:basedOn w:val="DefaultParagraphFont"/>
    <w:link w:val="Heading5"/>
    <w:locked/>
    <w:rsid w:val="00CB1536"/>
    <w:rPr>
      <w:lang w:val="cs-CZ" w:eastAsia="en-US" w:bidi="ar-SA"/>
    </w:rPr>
  </w:style>
  <w:style w:type="character" w:customStyle="1" w:styleId="Heading6Char">
    <w:name w:val="Heading 6 Char"/>
    <w:basedOn w:val="DefaultParagraphFont"/>
    <w:link w:val="Heading6"/>
    <w:locked/>
    <w:rsid w:val="00CB1536"/>
    <w:rPr>
      <w:lang w:val="cs-CZ" w:eastAsia="en-US" w:bidi="ar-SA"/>
    </w:rPr>
  </w:style>
  <w:style w:type="character" w:customStyle="1" w:styleId="Heading7Char">
    <w:name w:val="Heading 7 Char"/>
    <w:basedOn w:val="DefaultParagraphFont"/>
    <w:link w:val="Heading7"/>
    <w:locked/>
    <w:rsid w:val="00CB1536"/>
    <w:rPr>
      <w:lang w:val="cs-CZ" w:eastAsia="en-US" w:bidi="ar-SA"/>
    </w:rPr>
  </w:style>
  <w:style w:type="character" w:customStyle="1" w:styleId="Heading8Char">
    <w:name w:val="Heading 8 Char"/>
    <w:basedOn w:val="DefaultParagraphFont"/>
    <w:link w:val="Heading8"/>
    <w:locked/>
    <w:rsid w:val="00CB1536"/>
    <w:rPr>
      <w:lang w:val="cs-CZ" w:eastAsia="en-US" w:bidi="ar-SA"/>
    </w:rPr>
  </w:style>
  <w:style w:type="character" w:customStyle="1" w:styleId="Heading9Char">
    <w:name w:val="Heading 9 Char"/>
    <w:basedOn w:val="DefaultParagraphFont"/>
    <w:link w:val="Heading9"/>
    <w:locked/>
    <w:rsid w:val="00CB1536"/>
    <w:rPr>
      <w:lang w:val="cs-CZ" w:eastAsia="en-US" w:bidi="ar-SA"/>
    </w:rPr>
  </w:style>
  <w:style w:type="paragraph" w:styleId="Footer">
    <w:name w:val="footer"/>
    <w:basedOn w:val="Normal"/>
    <w:link w:val="FooterChar"/>
    <w:qFormat/>
    <w:rsid w:val="007E50BF"/>
  </w:style>
  <w:style w:type="character" w:customStyle="1" w:styleId="FooterChar">
    <w:name w:val="Footer Char"/>
    <w:basedOn w:val="DefaultParagraphFont"/>
    <w:link w:val="Footer"/>
    <w:locked/>
    <w:rsid w:val="00CB1536"/>
    <w:rPr>
      <w:lang w:eastAsia="en-US" w:bidi="ar-SA"/>
    </w:rPr>
  </w:style>
  <w:style w:type="paragraph" w:styleId="FootnoteText">
    <w:name w:val="footnote text"/>
    <w:basedOn w:val="Normal"/>
    <w:link w:val="FootnoteTextChar"/>
    <w:qFormat/>
    <w:rsid w:val="007E50BF"/>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cs-CZ" w:eastAsia="en-US" w:bidi="ar-SA"/>
    </w:rPr>
  </w:style>
  <w:style w:type="paragraph" w:styleId="Header">
    <w:name w:val="header"/>
    <w:basedOn w:val="Normal"/>
    <w:link w:val="HeaderChar"/>
    <w:qFormat/>
    <w:rsid w:val="007E50BF"/>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7E50B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7E50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0BF"/>
    <w:rPr>
      <w:rFonts w:ascii="Tahoma" w:hAnsi="Tahoma" w:cs="Tahoma"/>
      <w:sz w:val="16"/>
      <w:szCs w:val="16"/>
      <w:lang w:val="cs-CZ" w:eastAsia="en-US" w:bidi="ar-SA"/>
    </w:rPr>
  </w:style>
  <w:style w:type="paragraph" w:customStyle="1" w:styleId="quotes">
    <w:name w:val="quotes"/>
    <w:basedOn w:val="Normal"/>
    <w:next w:val="Normal"/>
    <w:rsid w:val="007E50BF"/>
    <w:pPr>
      <w:ind w:left="720"/>
    </w:pPr>
    <w:rPr>
      <w:i/>
    </w:rPr>
  </w:style>
  <w:style w:type="paragraph" w:styleId="ListParagraph">
    <w:name w:val="List Paragraph"/>
    <w:basedOn w:val="Normal"/>
    <w:uiPriority w:val="34"/>
    <w:qFormat/>
    <w:rsid w:val="006F1E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int@eesc.europa.eu" TargetMode="External"/><Relationship Id="rId17" Type="http://schemas.openxmlformats.org/officeDocument/2006/relationships/header" Target="header3.xml"/><Relationship Id="rId25" Type="http://schemas.openxmlformats.org/officeDocument/2006/relationships/fontTable" Target="fontTable.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eader" Target="header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customXml" Target="../customXml/item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P6FJPSUHKDC2-615694043-7931</_dlc_DocId>
    <_dlc_DocIdUrl xmlns="1299d781-265f-4ceb-999e-e1eca3df2c90">
      <Url>http://dm/eesc/2022/_layouts/15/DocIdRedir.aspx?ID=P6FJPSUHKDC2-615694043-7931</Url>
      <Description>P6FJPSUHKDC2-615694043-7931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2022-06-03T12:00:00+00:00</ProductionDate>
    <DocumentNumber xmlns="c4e897d8-46e1-4b1e-9089-1eeb3fbf7b3c">552</DocumentNumber>
    <FicheYear xmlns="1299d781-265f-4ceb-999e-e1eca3df2c90" xsi:nil="true"/>
    <DocumentVersion xmlns="1299d781-265f-4ceb-999e-e1eca3df2c90">0</DocumentVersion>
    <DossierNumber xmlns="1299d781-265f-4ceb-999e-e1eca3df2c90">976</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299d781-265f-4ceb-999e-e1eca3df2c90">2022-06-15T12:00:00+00:00</MeetingDate>
    <TaxCatchAll xmlns="1299d781-265f-4ceb-999e-e1eca3df2c90">
      <Value>63</Value>
      <Value>146</Value>
      <Value>55</Value>
      <Value>54</Value>
      <Value>51</Value>
      <Value>46</Value>
      <Value>45</Value>
      <Value>44</Value>
      <Value>43</Value>
      <Value>42</Value>
      <Value>41</Value>
      <Value>40</Value>
      <Value>38</Value>
      <Value>37</Value>
      <Value>36</Value>
      <Value>35</Value>
      <Value>34</Value>
      <Value>33</Value>
      <Value>32</Value>
      <Value>31</Value>
      <Value>30</Value>
      <Value>29</Value>
      <Value>28</Value>
      <Value>26</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s>
    </DocumentLanguage_0>
    <Rapporteur xmlns="1299d781-265f-4ceb-999e-e1eca3df2c90">JELIĆ &amp; VON BROCKDORFF</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299d781-265f-4ceb-999e-e1eca3df2c90">2022</DocumentYear>
    <FicheNumber xmlns="1299d781-265f-4ceb-999e-e1eca3df2c90">6883</FicheNumber>
    <OriginalSender xmlns="1299d781-265f-4ceb-999e-e1eca3df2c90">
      <UserInfo>
        <DisplayName>Kupcakova Linda</DisplayName>
        <AccountId>1693</AccountId>
        <AccountType/>
      </UserInfo>
    </OriginalSender>
    <DocumentPart xmlns="1299d781-265f-4ceb-999e-e1eca3df2c90">0</DocumentPart>
    <AdoptionDate xmlns="1299d781-265f-4ceb-999e-e1eca3df2c90" xsi:nil="true"/>
    <RequestingService xmlns="1299d781-265f-4ceb-999e-e1eca3df2c90">Marché unique, production, consommation</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c4e897d8-46e1-4b1e-9089-1eeb3fbf7b3c"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Management>
</p:properties>
</file>

<file path=customXml/item2.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5DCE0934FDE49F4A8834FE1079EABB52" ma:contentTypeVersion="6" ma:contentTypeDescription="Defines the documents for Document Manager V2" ma:contentTypeScope="" ma:versionID="0f942049a0066c703fb8c97d26065f76">
  <xsd:schema xmlns:xsd="http://www.w3.org/2001/XMLSchema" xmlns:xs="http://www.w3.org/2001/XMLSchema" xmlns:p="http://schemas.microsoft.com/office/2006/metadata/properties" xmlns:ns2="1299d781-265f-4ceb-999e-e1eca3df2c90" xmlns:ns3="http://schemas.microsoft.com/sharepoint/v3/fields" xmlns:ns4="c4e897d8-46e1-4b1e-9089-1eeb3fbf7b3c" targetNamespace="http://schemas.microsoft.com/office/2006/metadata/properties" ma:root="true" ma:fieldsID="99218e5b4a52bbda46a65edd83e3127f" ns2:_="" ns3:_="" ns4:_="">
    <xsd:import namespace="1299d781-265f-4ceb-999e-e1eca3df2c90"/>
    <xsd:import namespace="http://schemas.microsoft.com/sharepoint/v3/fields"/>
    <xsd:import namespace="c4e897d8-46e1-4b1e-9089-1eeb3fbf7b3c"/>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e897d8-46e1-4b1e-9089-1eeb3fbf7b3c"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9C351F-C67C-48D1-9004-7B58D26BA668}"/>
</file>

<file path=customXml/itemProps2.xml><?xml version="1.0" encoding="utf-8"?>
<ds:datastoreItem xmlns:ds="http://schemas.openxmlformats.org/officeDocument/2006/customXml" ds:itemID="{893EA413-9936-4908-BF39-9D721FC2B0E1}"/>
</file>

<file path=customXml/itemProps3.xml><?xml version="1.0" encoding="utf-8"?>
<ds:datastoreItem xmlns:ds="http://schemas.openxmlformats.org/officeDocument/2006/customXml" ds:itemID="{C6707AD1-1B67-422D-96B9-0F93FCD8970F}"/>
</file>

<file path=customXml/itemProps4.xml><?xml version="1.0" encoding="utf-8"?>
<ds:datastoreItem xmlns:ds="http://schemas.openxmlformats.org/officeDocument/2006/customXml" ds:itemID="{BC6D407C-36D0-4573-9189-A9684E21007D}"/>
</file>

<file path=docProps/app.xml><?xml version="1.0" encoding="utf-8"?>
<Properties xmlns="http://schemas.openxmlformats.org/officeDocument/2006/extended-properties" xmlns:vt="http://schemas.openxmlformats.org/officeDocument/2006/docPropsVTypes">
  <Template>Normal</Template>
  <TotalTime>26</TotalTime>
  <Pages>9</Pages>
  <Words>2584</Words>
  <Characters>15579</Characters>
  <Application>Microsoft Office Word</Application>
  <DocSecurity>0</DocSecurity>
  <Lines>129</Lines>
  <Paragraphs>36</Paragraphs>
  <ScaleCrop>false</ScaleCrop>
  <HeadingPairs>
    <vt:vector size="6" baseType="variant">
      <vt:variant>
        <vt:lpstr>Title</vt:lpstr>
      </vt:variant>
      <vt:variant>
        <vt:i4>1</vt:i4>
      </vt:variant>
      <vt:variant>
        <vt:lpstr>Otsikko</vt:lpstr>
      </vt:variant>
      <vt:variant>
        <vt:i4>1</vt:i4>
      </vt:variant>
      <vt:variant>
        <vt:lpstr>Titlu</vt:lpstr>
      </vt:variant>
      <vt:variant>
        <vt:i4>1</vt:i4>
      </vt:variant>
    </vt:vector>
  </HeadingPairs>
  <TitlesOfParts>
    <vt:vector size="3" baseType="lpstr">
      <vt:lpstr>Digital Decade Principles</vt:lpstr>
      <vt:lpstr>Digital Decade Principles</vt:lpstr>
      <vt:lpstr>European Agenda on Migration: Second implementation package - A permanent crisis relocation mechanism under the Dublin system</vt:lpstr>
    </vt:vector>
  </TitlesOfParts>
  <Company>CESE-CdR</Company>
  <LinksUpToDate>false</LinksUpToDate>
  <CharactersWithSpaces>18127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pro digitální dekádu</dc:title>
  <dc:subject>AS</dc:subject>
  <dc:creator/>
  <cp:keywords>EESC-2022-00552-00-00-AS-TRA-EN</cp:keywords>
  <dc:description>Rapporteur: JELIĆ &amp; VON BROCKDORFF - Original language: EN - Date of document: 03/06/2022 - Date of meeting: 30/15/2022 14:30 - External documents: COM(2022)27- final - Administrator: MME TETU Alice</dc:description>
  <cp:lastModifiedBy/>
  <cp:revision>14</cp:revision>
  <cp:lastPrinted>2022-05-10T08:11:00Z</cp:lastPrinted>
  <dcterms:created xsi:type="dcterms:W3CDTF">2022-06-02T11:17:00Z</dcterms:created>
  <dcterms:modified xsi:type="dcterms:W3CDTF">2022-06-03T08:57:00Z</dcterms:modified>
  <cp:category>INT/976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02/06/2022, 11/05/2022, 28/03/2022, 14/02/2022, 04/11/2015, 27/10/2015, 19/10/2015, 09/10/2015, 05/10/2015, 05/10/2015, 26/08/2015, 26/08/2015, 25/08/2015</vt:lpwstr>
  </property>
  <property fmtid="{D5CDD505-2E9C-101B-9397-08002B2CF9AE}" pid="4" name="Pref_Time">
    <vt:lpwstr>13:15:17, 16:05:34, 09:55:57, 13:47:33, 12/10/07, 14:44:02, 16/04/16, 14:09:30, 16:24:55, 16:04:02, 08:56:14, 07:27:56, 17:31:53</vt:lpwstr>
  </property>
  <property fmtid="{D5CDD505-2E9C-101B-9397-08002B2CF9AE}" pid="5" name="Pref_User">
    <vt:lpwstr>enied, pacup, jhvi, amett, ssex, enied, amett, tvoc, mreg, mreg, amett, enied, ssex</vt:lpwstr>
  </property>
  <property fmtid="{D5CDD505-2E9C-101B-9397-08002B2CF9AE}" pid="6" name="Pref_FileName">
    <vt:lpwstr>EESC-2022-00552-00-00-AS-TRA-EN-CRR.docx, EESC-2022-00552-00-00-PA-TRA.docx, EESC-2022-00552-00-00-APA-TRA-EN-CRR.docx, EESC-2022-00552-00-00-DT-TRA-EN-CRR.docx, EESC-2015-05408-00-00-PA-CRR-EN.docx, EESC-2015-05408-00-01-APA-ORI.docx, EESC-2015-04319-00-</vt:lpwstr>
  </property>
  <property fmtid="{D5CDD505-2E9C-101B-9397-08002B2CF9AE}" pid="7" name="ContentTypeId">
    <vt:lpwstr>0x010100EA97B91038054C99906057A708A1480A005DCE0934FDE49F4A8834FE1079EABB52</vt:lpwstr>
  </property>
  <property fmtid="{D5CDD505-2E9C-101B-9397-08002B2CF9AE}" pid="8" name="_dlc_DocIdItemGuid">
    <vt:lpwstr>1596158b-5ffb-4cba-a5f6-49ba478d2356</vt:lpwstr>
  </property>
  <property fmtid="{D5CDD505-2E9C-101B-9397-08002B2CF9AE}" pid="9" name="AvailableTranslations">
    <vt:lpwstr>11;#FR|d2afafd3-4c81-4f60-8f52-ee33f2f54ff3;#40;#BG|1a1b3951-7821-4e6a-85f5-5673fc08bd2c;#43;#NL|55c6556c-b4f4-441d-9acf-c498d4f838bd;#36;#HU|6b229040-c589-4408-b4c1-4285663d20a8;#33;#IT|0774613c-01ed-4e5d-a25d-11d2388de825;#41;#CS|72f9705b-0217-4fd3-bea2-cbc7ed80e26e;#38;#FI|87606a43-d45f-42d6-b8c9-e1a3457db5b7;#46;#EL|6d4f4d51-af9b-4650-94b4-4276bee85c91;#32;#DA|5d49c027-8956-412b-aa16-e85a0f96ad0e;#26;#LV|46f7e311-5d9f-4663-b433-18aeccb7ace7;#55;#HR|2f555653-ed1a-4fe6-8362-9082d95989e5;#29;#SV|c2ed69e7-a339-43d7-8f22-d93680a92aa0;#44;#LT|a7ff5ce7-6123-4f68-865a-a57c31810414;#45;#RO|feb747a2-64cd-4299-af12-4833ddc30497;#63;#GA|762d2456-c427-4ecb-b312-af3dad8e258c;#34;#SK|46d9fce0-ef79-4f71-b89b-cd6aa82426b8;#37;#PT|50ccc04a-eadd-42ae-a0cb-acaf45f812ba;#54;#ET|ff6c3f4c-b02c-4c3c-ab07-2c37995a7a0a;#31;#ES|e7a6b05b-ae16-40c8-add9-68b64b03aeba;#42;#SL|98a412ae-eb01-49e9-ae3d-585a81724cfc;#35;#MT|7df99101-6854-4a26-b53a-b88c0da02c26;#30;#PL|1e03da61-4678-4e07-b136-b5024ca9197b;#22;#DE|f6b31e5a-26fa-4935-b661-318e46daf27e;#4;#EN|f2175f21-25d7-44a3-96da-d6a61b075e1b</vt:lpwstr>
  </property>
  <property fmtid="{D5CDD505-2E9C-101B-9397-08002B2CF9AE}" pid="10" name="DocumentType_0">
    <vt:lpwstr>AS|c7a748eb-f6f2-4d9d-8b5a-af0cafebc224</vt:lpwstr>
  </property>
  <property fmtid="{D5CDD505-2E9C-101B-9397-08002B2CF9AE}" pid="11" name="DossierName_0">
    <vt:lpwstr>INT|e1edfecb-ed43-427b-bb02-d45fe6645386</vt:lpwstr>
  </property>
  <property fmtid="{D5CDD505-2E9C-101B-9397-08002B2CF9AE}" pid="12" name="DocumentSource_0">
    <vt:lpwstr>EESC|422833ec-8d7e-4e65-8e4e-8bed07ffb729</vt:lpwstr>
  </property>
  <property fmtid="{D5CDD505-2E9C-101B-9397-08002B2CF9AE}" pid="13" name="DocumentNumber">
    <vt:i4>552</vt:i4>
  </property>
  <property fmtid="{D5CDD505-2E9C-101B-9397-08002B2CF9AE}" pid="14" name="DocumentVersion">
    <vt:i4>0</vt:i4>
  </property>
  <property fmtid="{D5CDD505-2E9C-101B-9397-08002B2CF9AE}" pid="15" name="DossierNumber">
    <vt:i4>976</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28;#INT|e1edfecb-ed43-427b-bb02-d45fe6645386</vt:lpwstr>
  </property>
  <property fmtid="{D5CDD505-2E9C-101B-9397-08002B2CF9AE}" pid="19" name="DocumentSource">
    <vt:lpwstr>1;#EESC|422833ec-8d7e-4e65-8e4e-8bed07ffb729</vt:lpwstr>
  </property>
  <property fmtid="{D5CDD505-2E9C-101B-9397-08002B2CF9AE}" pid="21" name="DocumentType">
    <vt:lpwstr>146;#AS|c7a748eb-f6f2-4d9d-8b5a-af0cafebc224</vt:lpwstr>
  </property>
  <property fmtid="{D5CDD505-2E9C-101B-9397-08002B2CF9AE}" pid="22" name="RequestingService">
    <vt:lpwstr>Marché unique, production, consommation</vt:lpwstr>
  </property>
  <property fmtid="{D5CDD505-2E9C-101B-9397-08002B2CF9AE}" pid="23" name="Confidentiality">
    <vt:lpwstr>9;#Unrestricted|826e22d7-d029-4ec0-a450-0c28ff673572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51;#SPL-CES|32d8cb1f-c9ec-4365-95c7-8385a18618ac</vt:lpwstr>
  </property>
  <property fmtid="{D5CDD505-2E9C-101B-9397-08002B2CF9AE}" pid="28" name="MeetingDate">
    <vt:filetime>2022-06-15T12:00:00Z</vt:filetime>
  </property>
  <property fmtid="{D5CDD505-2E9C-101B-9397-08002B2CF9AE}" pid="29" name="AvailableTranslations_0">
    <vt:lpwstr>SV|c2ed69e7-a339-43d7-8f22-d93680a92aa0;LT|a7ff5ce7-6123-4f68-865a-a57c31810414;PT|50ccc04a-eadd-42ae-a0cb-acaf45f812ba;MT|7df99101-6854-4a26-b53a-b88c0da02c26;DE|f6b31e5a-26fa-4935-b661-318e46daf27e;EN|f2175f21-25d7-44a3-96da-d6a61b075e1b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146;#AS|c7a748eb-f6f2-4d9d-8b5a-af0cafebc224;#7;#TRA|150d2a88-1431-44e6-a8ca-0bb753ab8672;#29;#SV|c2ed69e7-a339-43d7-8f22-d93680a92aa0;#28;#INT|e1edfecb-ed43-427b-bb02-d45fe6645386;#35;#MT|7df99101-6854-4a26-b53a-b88c0da02c26;#51;#SPL-CES|32d8cb1f-c9ec-4365-95c7-8385a18618ac;#22;#DE|f6b31e5a-26fa-4935-b661-318e46daf27e;#9;#Unrestricted|826e22d7-d029-4ec0-a450-0c28ff673572;#44;#LT|a7ff5ce7-6123-4f68-865a-a57c31810414;#6;#Final|ea5e6674-7b27-4bac-b091-73adbb394efe;#4;#EN|f2175f21-25d7-44a3-96da-d6a61b075e1b;#1;#EESC|422833ec-8d7e-4e65-8e4e-8bed07ffb729;#37;#PT|50ccc04a-eadd-42ae-a0cb-acaf45f812ba</vt:lpwstr>
  </property>
  <property fmtid="{D5CDD505-2E9C-101B-9397-08002B2CF9AE}" pid="33" name="Rapporteur">
    <vt:lpwstr>JELIĆ &amp; VON BROCKDORFF</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2022</vt:i4>
  </property>
  <property fmtid="{D5CDD505-2E9C-101B-9397-08002B2CF9AE}" pid="37" name="FicheNumber">
    <vt:i4>6883</vt:i4>
  </property>
  <property fmtid="{D5CDD505-2E9C-101B-9397-08002B2CF9AE}" pid="38" name="DocumentLanguage">
    <vt:lpwstr>41;#CS|72f9705b-0217-4fd3-bea2-cbc7ed80e26e</vt:lpwstr>
  </property>
  <property fmtid="{D5CDD505-2E9C-101B-9397-08002B2CF9AE}" pid="39" name="_docset_NoMedatataSyncRequired">
    <vt:lpwstr>False</vt:lpwstr>
  </property>
  <property name="OP_sanitized" fmtid="{D5CDD505-2E9C-101B-9397-08002B2CF9AE}" pid="39">
    <vt:lpwstr>True</vt:lpwstr>
  </property>
</Properties>
</file>