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CC" w:rsidRPr="000A10E5" w:rsidRDefault="006F0DCC" w:rsidP="00C248BB">
      <w:pPr>
        <w:overflowPunct/>
        <w:adjustRightInd/>
        <w:jc w:val="center"/>
        <w:textAlignment w:val="auto"/>
      </w:pPr>
      <w:bookmarkStart w:id="0" w:name="_GoBack"/>
      <w:bookmarkEnd w:id="0"/>
      <w:r>
        <w:rPr>
          <w:noProof/>
          <w:lang w:val="en-US" w:eastAsia="en-US" w:bidi="ar-SA"/>
        </w:rPr>
        <w:drawing>
          <wp:inline distT="0" distB="0" distL="0" distR="0" wp14:anchorId="611613B9" wp14:editId="611613BA">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Pr>
          <w:noProof/>
          <w:lang w:val="en-US" w:eastAsia="en-US" w:bidi="ar-SA"/>
        </w:rPr>
        <mc:AlternateContent>
          <mc:Choice Requires="wps">
            <w:drawing>
              <wp:anchor distT="0" distB="0" distL="114300" distR="114300" simplePos="0" relativeHeight="251659264" behindDoc="1" locked="0" layoutInCell="0" allowOverlap="1" wp14:anchorId="611613BB" wp14:editId="611613B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8B7" w:rsidRPr="0080500F" w:rsidRDefault="00A61E45" w:rsidP="0080500F">
                            <w:pPr>
                              <w:overflowPunct/>
                              <w:adjustRightInd/>
                              <w:jc w:val="center"/>
                              <w:textAlignment w:val="auto"/>
                              <w:rPr>
                                <w:rFonts w:ascii="Arial" w:hAnsi="Arial" w:cs="Arial"/>
                                <w:b/>
                                <w:sz w:val="48"/>
                              </w:rPr>
                            </w:pPr>
                            <w:r>
                              <w:rPr>
                                <w:rFonts w:ascii="Arial" w:hAnsi="Arial" w:cs="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A238B7" w:rsidRPr="0080500F" w:rsidRDefault="00A61E45" w:rsidP="0080500F">
                      <w:pPr>
                        <w:overflowPunct/>
                        <w:adjustRightInd/>
                        <w:jc w:val="center"/>
                        <w:textAlignment w:val="auto"/>
                        <w:rPr>
                          <w:rFonts w:ascii="Arial" w:hAnsi="Arial" w:cs="Arial"/>
                          <w:b/>
                          <w:sz w:val="48"/>
                        </w:rPr>
                      </w:pPr>
                      <w:r>
                        <w:rPr>
                          <w:rFonts w:ascii="Arial" w:hAnsi="Arial" w:cs="Arial"/>
                          <w:b/>
                          <w:sz w:val="48"/>
                        </w:rPr>
                        <w:t>CS</w:t>
                      </w:r>
                    </w:p>
                  </w:txbxContent>
                </v:textbox>
                <w10:wrap anchorx="page" anchory="page"/>
              </v:shape>
            </w:pict>
          </mc:Fallback>
        </mc:AlternateContent>
      </w:r>
    </w:p>
    <w:p w:rsidR="00563C84" w:rsidRPr="000A10E5" w:rsidRDefault="00DD43C1" w:rsidP="00C248BB">
      <w:pPr>
        <w:overflowPunct/>
        <w:adjustRightInd/>
        <w:jc w:val="center"/>
        <w:textAlignment w:val="auto"/>
      </w:pPr>
      <w:r>
        <w:rPr>
          <w:rFonts w:ascii="Arial" w:hAnsi="Arial"/>
          <w:b/>
          <w:i/>
          <w:sz w:val="20"/>
        </w:rPr>
        <w:t>Evropský hospodářský</w:t>
      </w:r>
      <w:r w:rsidR="00A61E45">
        <w:rPr>
          <w:rFonts w:ascii="Arial" w:hAnsi="Arial"/>
          <w:b/>
          <w:i/>
          <w:sz w:val="20"/>
        </w:rPr>
        <w:t xml:space="preserve"> a </w:t>
      </w:r>
      <w:r>
        <w:rPr>
          <w:rFonts w:ascii="Arial" w:hAnsi="Arial"/>
          <w:b/>
          <w:i/>
          <w:sz w:val="20"/>
        </w:rPr>
        <w:t>sociální výbor</w:t>
      </w:r>
    </w:p>
    <w:p w:rsidR="00646AC2" w:rsidRPr="000A10E5" w:rsidRDefault="00646AC2" w:rsidP="00C248BB">
      <w:pPr>
        <w:overflowPunct/>
        <w:adjustRightInd/>
        <w:textAlignment w:val="auto"/>
      </w:pPr>
    </w:p>
    <w:p w:rsidR="00646AC2" w:rsidRPr="000A10E5" w:rsidRDefault="00EE03BC" w:rsidP="00C248BB">
      <w:pPr>
        <w:overflowPunct/>
        <w:adjustRightInd/>
        <w:jc w:val="right"/>
        <w:textAlignment w:val="auto"/>
      </w:pPr>
      <w:r>
        <w:rPr>
          <w:b/>
        </w:rPr>
        <w:t>INT/830</w:t>
      </w:r>
    </w:p>
    <w:p w:rsidR="00563C84" w:rsidRPr="000A10E5" w:rsidRDefault="00DD43C1" w:rsidP="00C248BB">
      <w:pPr>
        <w:overflowPunct/>
        <w:adjustRightInd/>
        <w:jc w:val="right"/>
        <w:textAlignment w:val="auto"/>
      </w:pPr>
      <w:r>
        <w:rPr>
          <w:b/>
        </w:rPr>
        <w:t>Evropská normalizace na rok 2018</w:t>
      </w:r>
    </w:p>
    <w:p w:rsidR="009B30AA" w:rsidRPr="000A10E5" w:rsidRDefault="009B30AA" w:rsidP="00C248BB">
      <w:pPr>
        <w:overflowPunct/>
        <w:adjustRightInd/>
        <w:textAlignment w:val="auto"/>
      </w:pPr>
    </w:p>
    <w:p w:rsidR="009B30AA" w:rsidRPr="000A10E5" w:rsidRDefault="009B30AA" w:rsidP="00C248BB">
      <w:pPr>
        <w:overflowPunct/>
        <w:adjustRightInd/>
        <w:textAlignment w:val="auto"/>
      </w:pPr>
    </w:p>
    <w:p w:rsidR="00646AC2" w:rsidRPr="000A10E5" w:rsidRDefault="00DD43C1" w:rsidP="00EE03BC">
      <w:pPr>
        <w:overflowPunct/>
        <w:adjustRightInd/>
        <w:jc w:val="center"/>
        <w:textAlignment w:val="auto"/>
      </w:pPr>
      <w:r>
        <w:rPr>
          <w:b/>
          <w:sz w:val="28"/>
        </w:rPr>
        <w:t>STANOVISKO</w:t>
      </w:r>
      <w:r>
        <w:rPr>
          <w:b/>
          <w:sz w:val="28"/>
        </w:rPr>
        <w:br/>
      </w:r>
      <w:r>
        <w:rPr>
          <w:b/>
        </w:rPr>
        <w:t xml:space="preserve"> </w:t>
      </w:r>
      <w:r>
        <w:rPr>
          <w:b/>
        </w:rPr>
        <w:br/>
      </w:r>
      <w:r>
        <w:t>specializované sekce Jednotný trh, výroba</w:t>
      </w:r>
      <w:r w:rsidR="00A61E45">
        <w:t xml:space="preserve"> a </w:t>
      </w:r>
      <w:r>
        <w:t>spotřeba</w:t>
      </w:r>
      <w:r>
        <w:br/>
      </w:r>
      <w:r>
        <w:rPr>
          <w:b/>
        </w:rPr>
        <w:t xml:space="preserve"> </w:t>
      </w:r>
      <w:r>
        <w:rPr>
          <w:b/>
        </w:rPr>
        <w:br/>
        <w:t xml:space="preserve"> </w:t>
      </w:r>
      <w:r>
        <w:rPr>
          <w:b/>
        </w:rPr>
        <w:br/>
        <w:t>Sdělení Komise Evropskému parlamentu, Radě, Evropskému hospodářskému</w:t>
      </w:r>
      <w:r w:rsidR="00A61E45">
        <w:rPr>
          <w:b/>
        </w:rPr>
        <w:t xml:space="preserve"> a </w:t>
      </w:r>
      <w:r>
        <w:rPr>
          <w:b/>
        </w:rPr>
        <w:t>sociálnímu výboru</w:t>
      </w:r>
      <w:r w:rsidR="00A61E45">
        <w:rPr>
          <w:b/>
        </w:rPr>
        <w:t xml:space="preserve"> a </w:t>
      </w:r>
      <w:r>
        <w:rPr>
          <w:b/>
        </w:rPr>
        <w:t xml:space="preserve">Výboru regionů </w:t>
      </w:r>
      <w:r>
        <w:rPr>
          <w:b/>
        </w:rPr>
        <w:br/>
        <w:t>Roční pracovní program Unie pro oblast evropské normalizace na rok 2018</w:t>
      </w:r>
      <w:r>
        <w:rPr>
          <w:b/>
        </w:rPr>
        <w:br/>
      </w:r>
      <w:r>
        <w:t>[</w:t>
      </w:r>
      <w:proofErr w:type="gramStart"/>
      <w:r>
        <w:t>COM(2017</w:t>
      </w:r>
      <w:proofErr w:type="gramEnd"/>
      <w:r>
        <w:t>) 453 final]</w:t>
      </w:r>
    </w:p>
    <w:p w:rsidR="009B30AA" w:rsidRPr="000A10E5" w:rsidRDefault="009B30AA" w:rsidP="00C248BB">
      <w:pPr>
        <w:overflowPunct/>
        <w:adjustRightInd/>
        <w:jc w:val="center"/>
        <w:textAlignment w:val="auto"/>
      </w:pPr>
    </w:p>
    <w:tbl>
      <w:tblPr>
        <w:tblpPr w:leftFromText="181" w:rightFromText="181" w:tblpYSpec="bottom"/>
        <w:tblOverlap w:val="never"/>
        <w:tblW w:w="0" w:type="auto"/>
        <w:tblLayout w:type="fixed"/>
        <w:tblLook w:val="04A0" w:firstRow="1" w:lastRow="0" w:firstColumn="1" w:lastColumn="0" w:noHBand="0" w:noVBand="1"/>
      </w:tblPr>
      <w:tblGrid>
        <w:gridCol w:w="3794"/>
        <w:gridCol w:w="5495"/>
      </w:tblGrid>
      <w:tr w:rsidR="00973F9F">
        <w:tc>
          <w:tcPr>
            <w:tcW w:w="3794" w:type="dxa"/>
          </w:tcPr>
          <w:p w:rsidR="007F5E0D" w:rsidRPr="000A10E5" w:rsidRDefault="00DD43C1" w:rsidP="00C248BB">
            <w:pPr>
              <w:overflowPunct/>
              <w:adjustRightInd/>
              <w:jc w:val="left"/>
              <w:textAlignment w:val="auto"/>
              <w:rPr>
                <w:szCs w:val="22"/>
              </w:rPr>
            </w:pPr>
            <w:r>
              <w:t>Administrátor</w:t>
            </w:r>
          </w:p>
        </w:tc>
        <w:tc>
          <w:tcPr>
            <w:tcW w:w="5495" w:type="dxa"/>
          </w:tcPr>
          <w:p w:rsidR="007F5E0D" w:rsidRPr="000A10E5" w:rsidRDefault="004803A5" w:rsidP="00C248BB">
            <w:pPr>
              <w:overflowPunct/>
              <w:adjustRightInd/>
              <w:jc w:val="left"/>
              <w:textAlignment w:val="auto"/>
              <w:rPr>
                <w:szCs w:val="22"/>
              </w:rPr>
            </w:pPr>
            <w:r>
              <w:t>Jean-Pierre FAURE</w:t>
            </w:r>
          </w:p>
        </w:tc>
      </w:tr>
      <w:tr w:rsidR="00973F9F">
        <w:tc>
          <w:tcPr>
            <w:tcW w:w="3794" w:type="dxa"/>
          </w:tcPr>
          <w:p w:rsidR="007F5E0D" w:rsidRPr="000A10E5" w:rsidRDefault="00DD43C1" w:rsidP="00C248BB">
            <w:pPr>
              <w:overflowPunct/>
              <w:adjustRightInd/>
              <w:jc w:val="left"/>
              <w:textAlignment w:val="auto"/>
              <w:rPr>
                <w:szCs w:val="22"/>
              </w:rPr>
            </w:pPr>
            <w:r>
              <w:t>Datum dokumentu</w:t>
            </w:r>
          </w:p>
        </w:tc>
        <w:tc>
          <w:tcPr>
            <w:tcW w:w="5495" w:type="dxa"/>
          </w:tcPr>
          <w:p w:rsidR="007F5E0D" w:rsidRPr="000A10E5" w:rsidRDefault="00B74E8B" w:rsidP="000A10E5">
            <w:pPr>
              <w:overflowPunct/>
              <w:adjustRightInd/>
              <w:jc w:val="left"/>
              <w:textAlignment w:val="auto"/>
              <w:rPr>
                <w:szCs w:val="22"/>
              </w:rPr>
            </w:pPr>
            <w:r>
              <w:t>21/12/2017</w:t>
            </w:r>
          </w:p>
        </w:tc>
      </w:tr>
    </w:tbl>
    <w:p w:rsidR="00704FBB" w:rsidRPr="000A10E5" w:rsidRDefault="00DD43C1" w:rsidP="00C248BB">
      <w:pPr>
        <w:overflowPunct/>
        <w:adjustRightInd/>
        <w:jc w:val="center"/>
        <w:textAlignment w:val="auto"/>
        <w:rPr>
          <w:b/>
        </w:rPr>
      </w:pPr>
      <w:r>
        <w:t xml:space="preserve">Samostatný zpravodaj: </w:t>
      </w:r>
      <w:r>
        <w:rPr>
          <w:b/>
        </w:rPr>
        <w:t>Juan MENDOZA CASTRO</w:t>
      </w:r>
    </w:p>
    <w:p w:rsidR="00A75C9C" w:rsidRPr="000A10E5" w:rsidRDefault="00A75C9C" w:rsidP="00C248BB"/>
    <w:p w:rsidR="003529B9" w:rsidRPr="000A10E5" w:rsidRDefault="003529B9" w:rsidP="00C248BB"/>
    <w:p w:rsidR="00A75C9C" w:rsidRPr="000A10E5" w:rsidRDefault="00A75C9C" w:rsidP="00C248BB">
      <w:pPr>
        <w:overflowPunct/>
        <w:autoSpaceDE/>
        <w:autoSpaceDN/>
        <w:adjustRightInd/>
        <w:jc w:val="left"/>
        <w:textAlignment w:val="auto"/>
        <w:sectPr w:rsidR="00A75C9C" w:rsidRPr="000A10E5" w:rsidSect="00AA4021">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4"/>
      </w:tblGrid>
      <w:tr w:rsidR="00973F9F">
        <w:tc>
          <w:tcPr>
            <w:tcW w:w="3085" w:type="dxa"/>
          </w:tcPr>
          <w:p w:rsidR="0011656A" w:rsidRPr="000A10E5" w:rsidRDefault="00993FD3" w:rsidP="00C248BB">
            <w:pPr>
              <w:overflowPunct/>
              <w:adjustRightInd/>
              <w:jc w:val="left"/>
              <w:textAlignment w:val="auto"/>
              <w:rPr>
                <w:szCs w:val="22"/>
              </w:rPr>
            </w:pPr>
            <w:r>
              <w:lastRenderedPageBreak/>
              <w:t xml:space="preserve">Konzultace </w:t>
            </w:r>
          </w:p>
        </w:tc>
        <w:tc>
          <w:tcPr>
            <w:tcW w:w="6204" w:type="dxa"/>
          </w:tcPr>
          <w:p w:rsidR="0011656A" w:rsidRPr="000A10E5" w:rsidRDefault="00E2697C" w:rsidP="009642F6">
            <w:pPr>
              <w:overflowPunct/>
              <w:adjustRightInd/>
              <w:jc w:val="left"/>
              <w:textAlignment w:val="auto"/>
            </w:pPr>
            <w:r>
              <w:t>Evropská komise, 09/10/2017</w:t>
            </w:r>
          </w:p>
        </w:tc>
      </w:tr>
      <w:tr w:rsidR="00973F9F">
        <w:trPr>
          <w:trHeight w:val="251"/>
        </w:trPr>
        <w:tc>
          <w:tcPr>
            <w:tcW w:w="3085" w:type="dxa"/>
          </w:tcPr>
          <w:p w:rsidR="0016503F" w:rsidRPr="000A10E5" w:rsidRDefault="00A253E5" w:rsidP="00C248BB">
            <w:pPr>
              <w:overflowPunct/>
              <w:adjustRightInd/>
              <w:jc w:val="left"/>
              <w:textAlignment w:val="auto"/>
              <w:rPr>
                <w:szCs w:val="22"/>
              </w:rPr>
            </w:pPr>
            <w:r>
              <w:t>Právní základ</w:t>
            </w:r>
          </w:p>
        </w:tc>
        <w:tc>
          <w:tcPr>
            <w:tcW w:w="6204" w:type="dxa"/>
          </w:tcPr>
          <w:p w:rsidR="0016503F" w:rsidRPr="000A10E5" w:rsidRDefault="00A253E5" w:rsidP="009642F6">
            <w:pPr>
              <w:overflowPunct/>
              <w:adjustRightInd/>
              <w:jc w:val="left"/>
              <w:textAlignment w:val="auto"/>
              <w:rPr>
                <w:szCs w:val="22"/>
                <w:highlight w:val="yellow"/>
              </w:rPr>
            </w:pPr>
            <w:r>
              <w:t>článek 304 SFEU</w:t>
            </w:r>
          </w:p>
        </w:tc>
      </w:tr>
      <w:tr w:rsidR="00973F9F">
        <w:tc>
          <w:tcPr>
            <w:tcW w:w="3085" w:type="dxa"/>
          </w:tcPr>
          <w:p w:rsidR="00DF5B64" w:rsidRPr="000A10E5" w:rsidRDefault="00A253E5" w:rsidP="00C248BB">
            <w:pPr>
              <w:overflowPunct/>
              <w:adjustRightInd/>
              <w:jc w:val="left"/>
              <w:textAlignment w:val="auto"/>
              <w:rPr>
                <w:szCs w:val="22"/>
              </w:rPr>
            </w:pPr>
            <w:r>
              <w:t>Odpovědná specializovaná sekce</w:t>
            </w:r>
          </w:p>
        </w:tc>
        <w:tc>
          <w:tcPr>
            <w:tcW w:w="6204" w:type="dxa"/>
          </w:tcPr>
          <w:p w:rsidR="00DF5B64" w:rsidRPr="000A10E5" w:rsidRDefault="00A253E5" w:rsidP="00C248BB">
            <w:pPr>
              <w:overflowPunct/>
              <w:adjustRightInd/>
              <w:jc w:val="left"/>
              <w:textAlignment w:val="auto"/>
              <w:rPr>
                <w:szCs w:val="22"/>
              </w:rPr>
            </w:pPr>
            <w:r>
              <w:t>Jednotný trh, výroba</w:t>
            </w:r>
            <w:r w:rsidR="00A61E45">
              <w:t xml:space="preserve"> a </w:t>
            </w:r>
            <w:r>
              <w:t>spotřeba</w:t>
            </w:r>
          </w:p>
        </w:tc>
      </w:tr>
      <w:tr w:rsidR="00973F9F">
        <w:tc>
          <w:tcPr>
            <w:tcW w:w="3085" w:type="dxa"/>
          </w:tcPr>
          <w:p w:rsidR="00A156E6" w:rsidRPr="000A10E5" w:rsidRDefault="00A253E5" w:rsidP="00C248BB">
            <w:pPr>
              <w:overflowPunct/>
              <w:adjustRightInd/>
              <w:jc w:val="left"/>
              <w:textAlignment w:val="auto"/>
              <w:rPr>
                <w:szCs w:val="22"/>
              </w:rPr>
            </w:pPr>
            <w:r>
              <w:t>Přijato ve specializované sekci</w:t>
            </w:r>
          </w:p>
        </w:tc>
        <w:tc>
          <w:tcPr>
            <w:tcW w:w="6204" w:type="dxa"/>
          </w:tcPr>
          <w:p w:rsidR="00A156E6" w:rsidRPr="000A10E5" w:rsidRDefault="00A05712">
            <w:pPr>
              <w:overflowPunct/>
              <w:adjustRightInd/>
              <w:jc w:val="left"/>
              <w:textAlignment w:val="auto"/>
              <w:rPr>
                <w:szCs w:val="22"/>
              </w:rPr>
            </w:pPr>
            <w:r>
              <w:t>18/12/2017</w:t>
            </w:r>
          </w:p>
        </w:tc>
      </w:tr>
      <w:tr w:rsidR="00973F9F">
        <w:tc>
          <w:tcPr>
            <w:tcW w:w="3085" w:type="dxa"/>
          </w:tcPr>
          <w:p w:rsidR="00A156E6" w:rsidRPr="000A10E5" w:rsidRDefault="00A253E5" w:rsidP="00C248BB">
            <w:pPr>
              <w:overflowPunct/>
              <w:adjustRightInd/>
              <w:jc w:val="left"/>
              <w:textAlignment w:val="auto"/>
              <w:rPr>
                <w:szCs w:val="22"/>
              </w:rPr>
            </w:pPr>
            <w:r>
              <w:t>Přijato na plenárním zasedání</w:t>
            </w:r>
          </w:p>
        </w:tc>
        <w:tc>
          <w:tcPr>
            <w:tcW w:w="6204" w:type="dxa"/>
          </w:tcPr>
          <w:p w:rsidR="00A156E6" w:rsidRPr="000A10E5" w:rsidRDefault="003439AB" w:rsidP="00C248BB">
            <w:pPr>
              <w:overflowPunct/>
              <w:adjustRightInd/>
              <w:jc w:val="left"/>
              <w:textAlignment w:val="auto"/>
              <w:rPr>
                <w:szCs w:val="22"/>
              </w:rPr>
            </w:pPr>
            <w:r>
              <w:t>DD/MM/YYYY</w:t>
            </w:r>
          </w:p>
        </w:tc>
      </w:tr>
      <w:tr w:rsidR="00973F9F">
        <w:tc>
          <w:tcPr>
            <w:tcW w:w="3085" w:type="dxa"/>
          </w:tcPr>
          <w:p w:rsidR="00BA1290" w:rsidRPr="000A10E5" w:rsidRDefault="00A253E5" w:rsidP="00C248BB">
            <w:pPr>
              <w:overflowPunct/>
              <w:adjustRightInd/>
              <w:jc w:val="left"/>
              <w:textAlignment w:val="auto"/>
              <w:rPr>
                <w:szCs w:val="22"/>
              </w:rPr>
            </w:pPr>
            <w:r>
              <w:t>Plenární zasedání č.</w:t>
            </w:r>
          </w:p>
        </w:tc>
        <w:tc>
          <w:tcPr>
            <w:tcW w:w="6204" w:type="dxa"/>
          </w:tcPr>
          <w:p w:rsidR="00BA1290" w:rsidRPr="000A10E5" w:rsidRDefault="00BA1290" w:rsidP="00C248BB">
            <w:pPr>
              <w:overflowPunct/>
              <w:adjustRightInd/>
              <w:jc w:val="left"/>
              <w:textAlignment w:val="auto"/>
              <w:rPr>
                <w:szCs w:val="22"/>
              </w:rPr>
            </w:pPr>
            <w:r>
              <w:t>…</w:t>
            </w:r>
          </w:p>
        </w:tc>
      </w:tr>
      <w:tr w:rsidR="00973F9F">
        <w:tc>
          <w:tcPr>
            <w:tcW w:w="3085" w:type="dxa"/>
          </w:tcPr>
          <w:p w:rsidR="00D423D4" w:rsidRPr="000A10E5" w:rsidRDefault="00A253E5" w:rsidP="00C248BB">
            <w:pPr>
              <w:overflowPunct/>
              <w:adjustRightInd/>
              <w:jc w:val="left"/>
            </w:pPr>
            <w:r>
              <w:t>Výsledek hlasování (pro/proti/zdrželi se hlasování):</w:t>
            </w:r>
          </w:p>
        </w:tc>
        <w:tc>
          <w:tcPr>
            <w:tcW w:w="6204" w:type="dxa"/>
            <w:vAlign w:val="bottom"/>
          </w:tcPr>
          <w:p w:rsidR="00A156E6" w:rsidRPr="000A10E5" w:rsidRDefault="00A156E6" w:rsidP="00C248BB">
            <w:pPr>
              <w:overflowPunct/>
              <w:adjustRightInd/>
              <w:jc w:val="left"/>
              <w:textAlignment w:val="auto"/>
              <w:rPr>
                <w:szCs w:val="22"/>
              </w:rPr>
            </w:pPr>
            <w:r>
              <w:t>…/…/…</w:t>
            </w:r>
          </w:p>
        </w:tc>
      </w:tr>
    </w:tbl>
    <w:p w:rsidR="0090053A" w:rsidRPr="000A10E5" w:rsidRDefault="0090053A" w:rsidP="00C248BB">
      <w:pPr>
        <w:overflowPunct/>
        <w:adjustRightInd/>
        <w:textAlignment w:val="auto"/>
      </w:pPr>
    </w:p>
    <w:p w:rsidR="00646AC2" w:rsidRPr="000A10E5" w:rsidRDefault="00646AC2" w:rsidP="00C248BB">
      <w:pPr>
        <w:overflowPunct/>
        <w:adjustRightInd/>
        <w:textAlignment w:val="auto"/>
      </w:pPr>
      <w:r>
        <w:br w:type="page"/>
      </w:r>
    </w:p>
    <w:p w:rsidR="00E4541C" w:rsidRPr="000A10E5" w:rsidRDefault="00E4541C" w:rsidP="00963A7F">
      <w:pPr>
        <w:pStyle w:val="Heading1"/>
        <w:ind w:left="567" w:hanging="567"/>
        <w:rPr>
          <w:b/>
        </w:rPr>
      </w:pPr>
      <w:r>
        <w:rPr>
          <w:b/>
        </w:rPr>
        <w:lastRenderedPageBreak/>
        <w:t>Závěry</w:t>
      </w:r>
      <w:r w:rsidR="00A61E45">
        <w:rPr>
          <w:b/>
        </w:rPr>
        <w:t xml:space="preserve"> a </w:t>
      </w:r>
      <w:r>
        <w:rPr>
          <w:b/>
        </w:rPr>
        <w:t>doporučení</w:t>
      </w:r>
    </w:p>
    <w:p w:rsidR="00E4541C" w:rsidRPr="000A10E5" w:rsidRDefault="00E4541C"/>
    <w:p w:rsidR="00E4541C" w:rsidRPr="000A10E5" w:rsidRDefault="00712512" w:rsidP="00963A7F">
      <w:pPr>
        <w:pStyle w:val="Heading2"/>
        <w:ind w:left="567" w:hanging="567"/>
      </w:pPr>
      <w:r>
        <w:t>Výbor vítá program normalizace na rok 2018, zejména opatření</w:t>
      </w:r>
      <w:r w:rsidR="00A61E45">
        <w:t xml:space="preserve"> v </w:t>
      </w:r>
      <w:r>
        <w:t>sociální</w:t>
      </w:r>
      <w:r w:rsidR="00A61E45">
        <w:t xml:space="preserve"> a </w:t>
      </w:r>
      <w:r>
        <w:t>environmentální oblasti, avšak doporučuje, aby bylo do budoucích verzí začleněno shrnutí</w:t>
      </w:r>
      <w:r w:rsidR="00A61E45">
        <w:t xml:space="preserve"> o </w:t>
      </w:r>
      <w:r>
        <w:t>souladu</w:t>
      </w:r>
      <w:r w:rsidR="00A61E45">
        <w:t xml:space="preserve"> s </w:t>
      </w:r>
      <w:r>
        <w:t>předchozími programy.</w:t>
      </w:r>
    </w:p>
    <w:p w:rsidR="00E4541C" w:rsidRPr="000A10E5" w:rsidRDefault="00E4541C"/>
    <w:p w:rsidR="00E4541C" w:rsidRPr="000A10E5" w:rsidRDefault="000273F0" w:rsidP="00963A7F">
      <w:pPr>
        <w:pStyle w:val="Heading2"/>
        <w:ind w:left="567" w:hanging="567"/>
      </w:pPr>
      <w:r>
        <w:t>Doporučuje, aby byla všechna opatření</w:t>
      </w:r>
      <w:r w:rsidR="00A61E45">
        <w:t xml:space="preserve"> v </w:t>
      </w:r>
      <w:r>
        <w:t>oblasti IKT zahrnuta do jediného dokumentu.</w:t>
      </w:r>
    </w:p>
    <w:p w:rsidR="00E4541C" w:rsidRPr="000A10E5" w:rsidRDefault="00E4541C"/>
    <w:p w:rsidR="00E4541C" w:rsidRPr="000A10E5" w:rsidRDefault="000273F0" w:rsidP="00963A7F">
      <w:pPr>
        <w:pStyle w:val="Heading2"/>
        <w:ind w:left="567" w:hanging="567"/>
      </w:pPr>
      <w:r>
        <w:t>Naléhavě vybízí Komisi, aby pečlivě sledovala možné zneužívání pravidel pro patenty</w:t>
      </w:r>
      <w:r w:rsidR="00A61E45">
        <w:t xml:space="preserve"> a </w:t>
      </w:r>
      <w:r>
        <w:t>uzavřených norem</w:t>
      </w:r>
      <w:r w:rsidR="00A61E45">
        <w:t xml:space="preserve"> a </w:t>
      </w:r>
      <w:r>
        <w:t>zabránila mu.</w:t>
      </w:r>
    </w:p>
    <w:p w:rsidR="00E4541C" w:rsidRPr="000A10E5" w:rsidRDefault="00E4541C"/>
    <w:p w:rsidR="00E4541C" w:rsidRPr="000A10E5" w:rsidRDefault="00712512" w:rsidP="00963A7F">
      <w:pPr>
        <w:pStyle w:val="Heading2"/>
        <w:ind w:left="567" w:hanging="567"/>
      </w:pPr>
      <w:r>
        <w:t>Výbor zdůrazňuje úlohu Komise</w:t>
      </w:r>
      <w:r w:rsidR="00A61E45">
        <w:t xml:space="preserve"> v </w:t>
      </w:r>
      <w:r>
        <w:t xml:space="preserve">evropském sytému normalizace, </w:t>
      </w:r>
      <w:proofErr w:type="gramStart"/>
      <w:r>
        <w:t>který</w:t>
      </w:r>
      <w:proofErr w:type="gramEnd"/>
      <w:r>
        <w:t xml:space="preserve"> je zásadní pro rozvoj vnitřního trhu</w:t>
      </w:r>
      <w:r w:rsidR="00A61E45">
        <w:t xml:space="preserve"> a </w:t>
      </w:r>
      <w:r>
        <w:t>staví EU do celosvětové čelní pozice</w:t>
      </w:r>
      <w:r w:rsidR="00A61E45">
        <w:t xml:space="preserve"> v </w:t>
      </w:r>
      <w:r>
        <w:t>této oblasti.</w:t>
      </w:r>
    </w:p>
    <w:p w:rsidR="00E4541C" w:rsidRPr="000A10E5" w:rsidRDefault="00E4541C"/>
    <w:p w:rsidR="00E4541C" w:rsidRPr="000A10E5" w:rsidRDefault="00B0409C" w:rsidP="00963A7F">
      <w:pPr>
        <w:pStyle w:val="Heading2"/>
        <w:ind w:left="567" w:hanging="567"/>
      </w:pPr>
      <w:r>
        <w:t>Vyzývá Komisi, aby zachovala odpovídající rozpočtové zdroje</w:t>
      </w:r>
      <w:r w:rsidR="00A61E45">
        <w:t xml:space="preserve"> a </w:t>
      </w:r>
      <w:r>
        <w:t>nezbytný personál pro plnění cílů nařízení (EU) č. 1025/2012.</w:t>
      </w:r>
    </w:p>
    <w:p w:rsidR="00E4541C" w:rsidRPr="000A10E5" w:rsidRDefault="00E4541C"/>
    <w:p w:rsidR="00E4541C" w:rsidRPr="000A10E5" w:rsidRDefault="00B0409C" w:rsidP="00963A7F">
      <w:pPr>
        <w:pStyle w:val="Heading2"/>
        <w:ind w:left="567" w:hanging="567"/>
      </w:pPr>
      <w:r>
        <w:t xml:space="preserve">Trvá na tom, aby bylo podrobně sledováno úsilí hlavních normalizačních subjektů. EHSV by mohl jako prioritu vytvořit fórum ad hoc týkající se </w:t>
      </w:r>
      <w:proofErr w:type="spellStart"/>
      <w:r>
        <w:t>inkluzivnosti</w:t>
      </w:r>
      <w:proofErr w:type="spellEnd"/>
      <w:r>
        <w:t xml:space="preserve"> evropského systému normalizace.</w:t>
      </w:r>
    </w:p>
    <w:p w:rsidR="00E4541C" w:rsidRPr="000A10E5" w:rsidRDefault="00E4541C"/>
    <w:p w:rsidR="00E4541C" w:rsidRPr="000A10E5" w:rsidRDefault="00712512" w:rsidP="00963A7F">
      <w:pPr>
        <w:pStyle w:val="Heading2"/>
        <w:keepNext/>
        <w:ind w:left="567" w:hanging="567"/>
      </w:pPr>
      <w:r>
        <w:t>Výbor obecně považuje 27 opatření plánovaných na rok 2018 za přiměřené, avšak poukazuje na následující aspekty:</w:t>
      </w:r>
    </w:p>
    <w:p w:rsidR="00D858C3" w:rsidRPr="000A10E5" w:rsidRDefault="00D858C3" w:rsidP="00963A7F">
      <w:pPr>
        <w:keepNext/>
      </w:pPr>
    </w:p>
    <w:p w:rsidR="00E4541C" w:rsidRPr="000A10E5" w:rsidRDefault="00B0409C" w:rsidP="003820C4">
      <w:pPr>
        <w:pStyle w:val="ListParagraph"/>
        <w:numPr>
          <w:ilvl w:val="0"/>
          <w:numId w:val="2"/>
        </w:numPr>
        <w:ind w:left="851" w:hanging="284"/>
      </w:pPr>
      <w:r>
        <w:t>jednotný digitální trh: EHSV vyjadřuje svoje obavy</w:t>
      </w:r>
      <w:r w:rsidR="00A61E45">
        <w:t xml:space="preserve"> z </w:t>
      </w:r>
      <w:r>
        <w:t xml:space="preserve">toho, že celosvětové normy </w:t>
      </w:r>
      <w:r>
        <w:rPr>
          <w:i/>
        </w:rPr>
        <w:t>de facto</w:t>
      </w:r>
      <w:r>
        <w:t xml:space="preserve"> jsou často řízeny průmyslovými giganty ze zemí mimo EU, což má negativní důsledky;</w:t>
      </w:r>
    </w:p>
    <w:p w:rsidR="00E4541C" w:rsidRPr="000A10E5" w:rsidRDefault="00B0409C" w:rsidP="003820C4">
      <w:pPr>
        <w:pStyle w:val="ListParagraph"/>
        <w:numPr>
          <w:ilvl w:val="0"/>
          <w:numId w:val="2"/>
        </w:numPr>
        <w:ind w:left="851" w:hanging="284"/>
      </w:pPr>
      <w:r>
        <w:t xml:space="preserve">nové normy pro </w:t>
      </w:r>
      <w:proofErr w:type="spellStart"/>
      <w:r>
        <w:t>ethanol</w:t>
      </w:r>
      <w:proofErr w:type="spellEnd"/>
      <w:r>
        <w:t>: EHSV důrazně doporučuje zohlednit ochranu životního prostředí;</w:t>
      </w:r>
    </w:p>
    <w:p w:rsidR="00E4541C" w:rsidRPr="000A10E5" w:rsidRDefault="00B0409C" w:rsidP="003820C4">
      <w:pPr>
        <w:pStyle w:val="ListParagraph"/>
        <w:numPr>
          <w:ilvl w:val="0"/>
          <w:numId w:val="2"/>
        </w:numPr>
        <w:ind w:left="851" w:hanging="284"/>
      </w:pPr>
      <w:r>
        <w:t>Výbor vítá především různá opatření zaměřená na výrazné zlepšení stavu životního prostředí</w:t>
      </w:r>
      <w:r w:rsidR="00A61E45">
        <w:t xml:space="preserve"> a </w:t>
      </w:r>
      <w:r>
        <w:t>lidského zdraví;</w:t>
      </w:r>
    </w:p>
    <w:p w:rsidR="00E4541C" w:rsidRPr="000A10E5" w:rsidRDefault="00B0409C" w:rsidP="003820C4">
      <w:pPr>
        <w:pStyle w:val="ListParagraph"/>
        <w:numPr>
          <w:ilvl w:val="0"/>
          <w:numId w:val="2"/>
        </w:numPr>
        <w:ind w:left="851" w:hanging="284"/>
      </w:pPr>
      <w:r>
        <w:t>normy pro zdravotnické prostředky: EHSV doporučuje, aby byla zohledněna</w:t>
      </w:r>
      <w:r w:rsidR="00A61E45">
        <w:t xml:space="preserve"> i </w:t>
      </w:r>
      <w:r>
        <w:t>nákladová efektivnost;</w:t>
      </w:r>
    </w:p>
    <w:p w:rsidR="00E4541C" w:rsidRPr="000A10E5" w:rsidRDefault="00B0409C" w:rsidP="003820C4">
      <w:pPr>
        <w:pStyle w:val="ListParagraph"/>
        <w:numPr>
          <w:ilvl w:val="0"/>
          <w:numId w:val="2"/>
        </w:numPr>
        <w:ind w:left="851" w:hanging="284"/>
      </w:pPr>
      <w:r>
        <w:t>harmonizace kritérií pro emise</w:t>
      </w:r>
      <w:r w:rsidR="00A61E45">
        <w:t xml:space="preserve"> v </w:t>
      </w:r>
      <w:r>
        <w:t>odvětví dopravy: EHSV zdůrazňuje, že od prvních kroků</w:t>
      </w:r>
      <w:r w:rsidR="00A61E45">
        <w:t xml:space="preserve"> v </w:t>
      </w:r>
      <w:r>
        <w:t>roce 1995 bylo dosaženo malého pokroku.</w:t>
      </w:r>
    </w:p>
    <w:p w:rsidR="00E4541C" w:rsidRPr="000A10E5" w:rsidRDefault="00E4541C"/>
    <w:p w:rsidR="00E4541C" w:rsidRPr="000A10E5" w:rsidRDefault="00E4541C" w:rsidP="00963A7F">
      <w:pPr>
        <w:pStyle w:val="Heading2"/>
        <w:ind w:left="567" w:hanging="567"/>
      </w:pPr>
      <w:r>
        <w:t>EHSV podporuje Komisi</w:t>
      </w:r>
      <w:r w:rsidR="00A61E45">
        <w:t xml:space="preserve"> v </w:t>
      </w:r>
      <w:r>
        <w:t>oblasti mezinárodní spolupráce, ale chtěl by Komisi upozornit na skutečnost, že čím dál více norem je</w:t>
      </w:r>
      <w:r w:rsidR="00A61E45">
        <w:t xml:space="preserve"> v </w:t>
      </w:r>
      <w:r>
        <w:t>současné době vytvářeno na mezinárodní úrovni bez koordinovaného přínosu EU.</w:t>
      </w:r>
    </w:p>
    <w:p w:rsidR="00E4541C" w:rsidRPr="000A10E5" w:rsidRDefault="00E4541C"/>
    <w:p w:rsidR="00E4541C" w:rsidRPr="000A10E5" w:rsidRDefault="00E4541C" w:rsidP="00963A7F">
      <w:pPr>
        <w:pStyle w:val="Heading2"/>
        <w:ind w:left="567" w:hanging="567"/>
      </w:pPr>
      <w:r>
        <w:t>EHSV doporučuje, aby evropské normalizační organizace zjednodušily postupy pro organizace podle přílohy III, pokud jde</w:t>
      </w:r>
      <w:r w:rsidR="00A61E45">
        <w:t xml:space="preserve"> o </w:t>
      </w:r>
      <w:r>
        <w:t>přístup</w:t>
      </w:r>
      <w:r w:rsidR="00A61E45">
        <w:t xml:space="preserve"> k </w:t>
      </w:r>
      <w:r>
        <w:t>postupu návrhu norem,</w:t>
      </w:r>
      <w:r w:rsidR="00A61E45">
        <w:t xml:space="preserve"> a </w:t>
      </w:r>
      <w:r>
        <w:t>tím zmírnily překážku pro účinné zapojení.</w:t>
      </w:r>
    </w:p>
    <w:p w:rsidR="00E4541C" w:rsidRPr="000A10E5" w:rsidRDefault="00E4541C"/>
    <w:p w:rsidR="00E4541C" w:rsidRPr="000A10E5" w:rsidRDefault="00E4541C" w:rsidP="00963A7F">
      <w:pPr>
        <w:pStyle w:val="Heading2"/>
        <w:ind w:left="567" w:hanging="567"/>
      </w:pPr>
      <w:r>
        <w:t xml:space="preserve">EHSV vítá různé činnosti společné iniciativy pro normalizaci, ale zároveň navrhuje zvážit </w:t>
      </w:r>
      <w:r>
        <w:rPr>
          <w:i/>
        </w:rPr>
        <w:t>nepřímé</w:t>
      </w:r>
      <w:r>
        <w:t xml:space="preserve"> důsledky činností</w:t>
      </w:r>
      <w:r w:rsidR="00A61E45">
        <w:t xml:space="preserve"> v </w:t>
      </w:r>
      <w:r>
        <w:t>oblasti stanovování norem</w:t>
      </w:r>
      <w:r w:rsidR="00A61E45">
        <w:t xml:space="preserve"> v </w:t>
      </w:r>
      <w:r>
        <w:t>záležitostech, jako je přemisťování pracovních míst, inkluzivnost společnosti, vzdělávání, odborná příprava atd.</w:t>
      </w:r>
    </w:p>
    <w:p w:rsidR="00E4541C" w:rsidRPr="000A10E5" w:rsidRDefault="00E4541C"/>
    <w:p w:rsidR="00E4541C" w:rsidRPr="000A10E5" w:rsidRDefault="00E4541C" w:rsidP="00963A7F">
      <w:pPr>
        <w:pStyle w:val="Heading1"/>
        <w:keepNext/>
        <w:ind w:left="567" w:hanging="567"/>
        <w:rPr>
          <w:b/>
        </w:rPr>
      </w:pPr>
      <w:r>
        <w:rPr>
          <w:b/>
        </w:rPr>
        <w:lastRenderedPageBreak/>
        <w:t>Návrhy Komise</w:t>
      </w:r>
    </w:p>
    <w:p w:rsidR="00E4541C" w:rsidRPr="000A10E5" w:rsidRDefault="00E4541C" w:rsidP="00963A7F">
      <w:pPr>
        <w:keepNext/>
      </w:pPr>
    </w:p>
    <w:p w:rsidR="00E4541C" w:rsidRPr="000A10E5" w:rsidRDefault="00E4541C" w:rsidP="00963A7F">
      <w:pPr>
        <w:pStyle w:val="Heading2"/>
        <w:ind w:left="567" w:hanging="567"/>
      </w:pPr>
      <w:r>
        <w:t>Roční pracovní program EU řeší</w:t>
      </w:r>
      <w:r w:rsidR="00A61E45">
        <w:t xml:space="preserve"> a </w:t>
      </w:r>
      <w:r>
        <w:t>odráží problémy</w:t>
      </w:r>
      <w:r w:rsidR="00A61E45">
        <w:t xml:space="preserve"> a </w:t>
      </w:r>
      <w:r>
        <w:t>aspekty související</w:t>
      </w:r>
      <w:r w:rsidR="00A61E45">
        <w:t xml:space="preserve"> s </w:t>
      </w:r>
      <w:r>
        <w:t>patenty, jejichž využití je nezbytné</w:t>
      </w:r>
      <w:r w:rsidR="00A61E45">
        <w:t xml:space="preserve"> k </w:t>
      </w:r>
      <w:r>
        <w:t>dodržení technických norem,</w:t>
      </w:r>
      <w:r w:rsidR="00A61E45">
        <w:t xml:space="preserve"> s </w:t>
      </w:r>
      <w:r>
        <w:t>normalizací IKT,</w:t>
      </w:r>
      <w:r w:rsidR="00A61E45">
        <w:t xml:space="preserve"> s </w:t>
      </w:r>
      <w:r>
        <w:t>mezinárodním rozměrem normalizace</w:t>
      </w:r>
      <w:r w:rsidR="00A61E45">
        <w:t xml:space="preserve"> a s </w:t>
      </w:r>
      <w:r>
        <w:t>autonomními vozidly.</w:t>
      </w:r>
    </w:p>
    <w:p w:rsidR="00E4541C" w:rsidRPr="000A10E5" w:rsidRDefault="00E4541C" w:rsidP="000A10E5"/>
    <w:p w:rsidR="00E4541C" w:rsidRPr="000A10E5" w:rsidRDefault="00E4541C" w:rsidP="00963A7F">
      <w:pPr>
        <w:pStyle w:val="Heading2"/>
        <w:ind w:left="567" w:hanging="567"/>
      </w:pPr>
      <w:r>
        <w:t>Plán rovněž zohledňuje společnou iniciativu pro normalizaci</w:t>
      </w:r>
      <w:r w:rsidR="00A61E45">
        <w:t xml:space="preserve"> z </w:t>
      </w:r>
      <w:r>
        <w:t>června 2016.</w:t>
      </w:r>
      <w:r>
        <w:rPr>
          <w:rStyle w:val="FootnoteReference"/>
        </w:rPr>
        <w:footnoteReference w:id="1"/>
      </w:r>
    </w:p>
    <w:p w:rsidR="00E4541C" w:rsidRPr="000A10E5" w:rsidRDefault="00E4541C" w:rsidP="000A10E5"/>
    <w:p w:rsidR="00E4541C" w:rsidRPr="000A10E5" w:rsidRDefault="00E4541C" w:rsidP="00963A7F">
      <w:pPr>
        <w:pStyle w:val="Heading2"/>
        <w:keepNext/>
        <w:ind w:left="567" w:hanging="567"/>
      </w:pPr>
      <w:r>
        <w:t>Jsou stanovena opatření na podporu následujících strategických priorit zaměřených na podporování příslušných iniciativ</w:t>
      </w:r>
      <w:r w:rsidR="00A61E45">
        <w:t xml:space="preserve"> v </w:t>
      </w:r>
      <w:r>
        <w:t>rámci pracovního programu Komise na rok 2017</w:t>
      </w:r>
      <w:r w:rsidR="00A61E45">
        <w:t xml:space="preserve"> a </w:t>
      </w:r>
      <w:r>
        <w:t>potřeb</w:t>
      </w:r>
      <w:r w:rsidR="00A61E45">
        <w:t xml:space="preserve"> v </w:t>
      </w:r>
      <w:r>
        <w:t>oblasti normalizace na rok 2018 vyplývajících</w:t>
      </w:r>
      <w:r w:rsidR="00A61E45">
        <w:t xml:space="preserve"> z </w:t>
      </w:r>
      <w:r>
        <w:t>těchto iniciativ:</w:t>
      </w:r>
    </w:p>
    <w:p w:rsidR="00E4541C" w:rsidRPr="000A10E5" w:rsidRDefault="00E4541C" w:rsidP="00963A7F">
      <w:pPr>
        <w:keepNext/>
      </w:pPr>
    </w:p>
    <w:p w:rsidR="00E4541C" w:rsidRPr="000A10E5" w:rsidRDefault="00A9588E" w:rsidP="003820C4">
      <w:pPr>
        <w:pStyle w:val="ListParagraph"/>
        <w:numPr>
          <w:ilvl w:val="0"/>
          <w:numId w:val="3"/>
        </w:numPr>
        <w:ind w:left="851" w:hanging="284"/>
      </w:pPr>
      <w:r>
        <w:t>strategie pro jednotný digitální trh;</w:t>
      </w:r>
    </w:p>
    <w:p w:rsidR="00E4541C" w:rsidRPr="000A10E5" w:rsidRDefault="00A9588E" w:rsidP="003820C4">
      <w:pPr>
        <w:pStyle w:val="ListParagraph"/>
        <w:numPr>
          <w:ilvl w:val="0"/>
          <w:numId w:val="3"/>
        </w:numPr>
        <w:ind w:left="851" w:hanging="284"/>
      </w:pPr>
      <w:r>
        <w:t>strategie energetické unie;</w:t>
      </w:r>
    </w:p>
    <w:p w:rsidR="00E4541C" w:rsidRPr="000A10E5" w:rsidRDefault="00A9588E" w:rsidP="003820C4">
      <w:pPr>
        <w:pStyle w:val="ListParagraph"/>
        <w:numPr>
          <w:ilvl w:val="0"/>
          <w:numId w:val="3"/>
        </w:numPr>
        <w:ind w:left="851" w:hanging="284"/>
      </w:pPr>
      <w:r>
        <w:t>kosmická strategie pro Evropu;</w:t>
      </w:r>
    </w:p>
    <w:p w:rsidR="00E4541C" w:rsidRPr="000A10E5" w:rsidRDefault="00A9588E" w:rsidP="003820C4">
      <w:pPr>
        <w:pStyle w:val="ListParagraph"/>
        <w:numPr>
          <w:ilvl w:val="0"/>
          <w:numId w:val="3"/>
        </w:numPr>
        <w:ind w:left="851" w:hanging="284"/>
      </w:pPr>
      <w:r>
        <w:t>akční plán EU pro oběhové hospodářství;</w:t>
      </w:r>
    </w:p>
    <w:p w:rsidR="00E4541C" w:rsidRPr="000A10E5" w:rsidRDefault="00A9588E" w:rsidP="003820C4">
      <w:pPr>
        <w:pStyle w:val="ListParagraph"/>
        <w:numPr>
          <w:ilvl w:val="0"/>
          <w:numId w:val="3"/>
        </w:numPr>
        <w:ind w:left="851" w:hanging="284"/>
      </w:pPr>
      <w:r>
        <w:t>evropský obranný akční plán;</w:t>
      </w:r>
    </w:p>
    <w:p w:rsidR="00E4541C" w:rsidRPr="000A10E5" w:rsidRDefault="00A9588E" w:rsidP="003820C4">
      <w:pPr>
        <w:pStyle w:val="ListParagraph"/>
        <w:numPr>
          <w:ilvl w:val="0"/>
          <w:numId w:val="3"/>
        </w:numPr>
        <w:ind w:left="851" w:hanging="284"/>
      </w:pPr>
      <w:r>
        <w:t>integrovanější</w:t>
      </w:r>
      <w:r w:rsidR="00A61E45">
        <w:t xml:space="preserve"> a </w:t>
      </w:r>
      <w:r>
        <w:t>spravedlivější vnitřní trh</w:t>
      </w:r>
      <w:r w:rsidR="00A61E45">
        <w:t xml:space="preserve"> s </w:t>
      </w:r>
      <w:r>
        <w:t>posílenou průmyslovou základnou.</w:t>
      </w:r>
    </w:p>
    <w:p w:rsidR="00C01E21" w:rsidRPr="000A10E5" w:rsidRDefault="00C01E21" w:rsidP="00C01E21">
      <w:pPr>
        <w:pStyle w:val="ListParagraph"/>
        <w:ind w:left="993"/>
      </w:pPr>
    </w:p>
    <w:p w:rsidR="00C01E21" w:rsidRPr="000A10E5" w:rsidRDefault="00C01E21" w:rsidP="000A10E5">
      <w:pPr>
        <w:pStyle w:val="Heading2"/>
        <w:ind w:left="567" w:hanging="567"/>
      </w:pPr>
      <w:r>
        <w:t>Komise zajistí interinstitucionální vzdělávání</w:t>
      </w:r>
      <w:r w:rsidR="00A61E45">
        <w:t xml:space="preserve"> s </w:t>
      </w:r>
      <w:r>
        <w:t>cílem zlepšit chápání zákonodárců</w:t>
      </w:r>
      <w:r w:rsidR="00A61E45">
        <w:t xml:space="preserve"> a </w:t>
      </w:r>
      <w:r>
        <w:t>spolunormotvůrců, pokud jde</w:t>
      </w:r>
      <w:r w:rsidR="00A61E45">
        <w:t xml:space="preserve"> o </w:t>
      </w:r>
      <w:r>
        <w:t>využívání norem při provádění právních předpisů</w:t>
      </w:r>
      <w:r w:rsidR="00A61E45">
        <w:t xml:space="preserve"> a </w:t>
      </w:r>
      <w:r>
        <w:t>politik.</w:t>
      </w:r>
    </w:p>
    <w:p w:rsidR="00C01E21" w:rsidRPr="000A10E5" w:rsidRDefault="00C01E21"/>
    <w:p w:rsidR="00E4541C" w:rsidRPr="000A10E5" w:rsidRDefault="00C01E21" w:rsidP="000A10E5">
      <w:pPr>
        <w:pStyle w:val="Heading2"/>
        <w:ind w:left="567" w:hanging="567"/>
      </w:pPr>
      <w:r>
        <w:t>Vyzývá také evropské normalizační organizace, aby zachovaly</w:t>
      </w:r>
      <w:r w:rsidR="00A61E45">
        <w:t xml:space="preserve"> a </w:t>
      </w:r>
      <w:r>
        <w:t>zintenzivnily své úsilí</w:t>
      </w:r>
      <w:r w:rsidR="00A61E45">
        <w:t xml:space="preserve"> o </w:t>
      </w:r>
      <w:r>
        <w:t>usnadnění činnosti organizací uvedených</w:t>
      </w:r>
      <w:r w:rsidR="00A61E45">
        <w:t xml:space="preserve"> v </w:t>
      </w:r>
      <w:r>
        <w:t>příloze III</w:t>
      </w:r>
      <w:r w:rsidR="00A61E45">
        <w:t xml:space="preserve"> a </w:t>
      </w:r>
      <w:r>
        <w:t>všech zainteresovaných partnerů, se zvláštním zaměřením se na jejich vnitřní předpisy</w:t>
      </w:r>
      <w:r w:rsidR="00A61E45">
        <w:t xml:space="preserve"> a </w:t>
      </w:r>
      <w:r>
        <w:t>postupy</w:t>
      </w:r>
      <w:r w:rsidR="00A61E45">
        <w:t xml:space="preserve"> a </w:t>
      </w:r>
      <w:r>
        <w:t>na práci na mezinárodní úrovni, zejména</w:t>
      </w:r>
      <w:r w:rsidR="00A61E45">
        <w:t xml:space="preserve"> v </w:t>
      </w:r>
      <w:r>
        <w:t>rámci ISO</w:t>
      </w:r>
      <w:r w:rsidR="00A61E45">
        <w:t xml:space="preserve"> a </w:t>
      </w:r>
      <w:r>
        <w:t>IEC.</w:t>
      </w:r>
    </w:p>
    <w:p w:rsidR="00C01E21" w:rsidRPr="000A10E5" w:rsidRDefault="00C01E21" w:rsidP="00C01E21"/>
    <w:p w:rsidR="00E4541C" w:rsidRPr="000A10E5" w:rsidRDefault="00E4541C" w:rsidP="00963A7F">
      <w:pPr>
        <w:pStyle w:val="Heading1"/>
        <w:keepNext/>
        <w:ind w:left="567" w:hanging="567"/>
        <w:rPr>
          <w:b/>
        </w:rPr>
      </w:pPr>
      <w:r>
        <w:rPr>
          <w:b/>
        </w:rPr>
        <w:t>Obecné připomínky</w:t>
      </w:r>
    </w:p>
    <w:p w:rsidR="00E4541C" w:rsidRPr="000A10E5" w:rsidRDefault="00E4541C" w:rsidP="00963A7F">
      <w:pPr>
        <w:keepNext/>
      </w:pPr>
    </w:p>
    <w:p w:rsidR="00E4541C" w:rsidRPr="000A10E5" w:rsidRDefault="00E4541C" w:rsidP="000A10E5">
      <w:pPr>
        <w:pStyle w:val="Heading2"/>
        <w:keepNext/>
        <w:ind w:left="567" w:hanging="567"/>
      </w:pPr>
      <w:r>
        <w:t>EHSV vítá pracovní program na rok 2018 předložený Komisí, jenž zahrnuje sociální</w:t>
      </w:r>
      <w:r w:rsidR="00A61E45">
        <w:t xml:space="preserve"> a </w:t>
      </w:r>
      <w:r>
        <w:t>klíčové environmentální otázky,</w:t>
      </w:r>
      <w:r w:rsidR="00A61E45">
        <w:t xml:space="preserve"> a </w:t>
      </w:r>
      <w:r>
        <w:t>to včetně důležitých témat, jako jsou oběhové hospodářství, změna klimatu</w:t>
      </w:r>
      <w:r w:rsidR="00A61E45">
        <w:t xml:space="preserve"> a </w:t>
      </w:r>
      <w:r>
        <w:t>čisté energie. Konstatuje však, že budoucí verze by měly obsahovat shrnutí</w:t>
      </w:r>
      <w:r w:rsidR="00A61E45">
        <w:t xml:space="preserve"> s </w:t>
      </w:r>
      <w:r>
        <w:t>podrobnostmi</w:t>
      </w:r>
      <w:r w:rsidR="00A61E45">
        <w:t xml:space="preserve"> o </w:t>
      </w:r>
      <w:r>
        <w:t>tom, do jaké míry byly splněny předchozí roční pracovní programy.</w:t>
      </w:r>
    </w:p>
    <w:p w:rsidR="00E4541C" w:rsidRPr="000A10E5" w:rsidRDefault="00E4541C" w:rsidP="000A10E5"/>
    <w:p w:rsidR="00E4541C" w:rsidRPr="000A10E5" w:rsidRDefault="00E4541C" w:rsidP="00963A7F">
      <w:pPr>
        <w:pStyle w:val="Heading2"/>
        <w:ind w:left="567" w:hanging="567"/>
      </w:pPr>
      <w:r>
        <w:t>Je potřeba zjednodušit platformy</w:t>
      </w:r>
      <w:r w:rsidR="00A61E45">
        <w:t xml:space="preserve"> a </w:t>
      </w:r>
      <w:r>
        <w:t>mechanismy pro koordinaci</w:t>
      </w:r>
      <w:r w:rsidR="00A61E45">
        <w:t xml:space="preserve"> v </w:t>
      </w:r>
      <w:r>
        <w:t>oblasti IKT, aby se zabránilo zdvojování úsilí</w:t>
      </w:r>
      <w:r w:rsidR="00A61E45">
        <w:t xml:space="preserve"> a </w:t>
      </w:r>
      <w:r>
        <w:t>možné nedostatečné koordinaci. Veškerá normalizační opatření</w:t>
      </w:r>
      <w:r w:rsidR="00A61E45">
        <w:t xml:space="preserve"> v </w:t>
      </w:r>
      <w:r>
        <w:t>této oblasti by měla být zahrnuta do jediného dokumentu.</w:t>
      </w:r>
    </w:p>
    <w:p w:rsidR="00E4541C" w:rsidRPr="000A10E5" w:rsidRDefault="00E4541C" w:rsidP="000A10E5"/>
    <w:p w:rsidR="00E4541C" w:rsidRPr="000A10E5" w:rsidRDefault="00E4541C" w:rsidP="00963A7F">
      <w:pPr>
        <w:pStyle w:val="Heading2"/>
        <w:ind w:left="567" w:hanging="567"/>
      </w:pPr>
      <w:r>
        <w:t>Otevřené normy jsou důležité pro průmyslový</w:t>
      </w:r>
      <w:r w:rsidR="00A61E45">
        <w:t xml:space="preserve"> a </w:t>
      </w:r>
      <w:r>
        <w:t>technologický rozvoj</w:t>
      </w:r>
      <w:r w:rsidR="00A61E45">
        <w:t xml:space="preserve"> v </w:t>
      </w:r>
      <w:r>
        <w:t>EU. Výbor naléhavě vybízí Komisi, aby zabránila zneužívání pravidel pro patenty</w:t>
      </w:r>
      <w:r w:rsidR="00A61E45">
        <w:t xml:space="preserve"> a </w:t>
      </w:r>
      <w:r>
        <w:t>norem</w:t>
      </w:r>
      <w:r w:rsidR="00A61E45">
        <w:t xml:space="preserve"> s </w:t>
      </w:r>
      <w:r>
        <w:t>uzavřeným zdrojem</w:t>
      </w:r>
      <w:r w:rsidR="00A61E45">
        <w:t xml:space="preserve"> a </w:t>
      </w:r>
      <w:r>
        <w:t>jejich používání</w:t>
      </w:r>
      <w:r w:rsidR="00A61E45">
        <w:t xml:space="preserve"> v </w:t>
      </w:r>
      <w:r>
        <w:t>rozporu se zásadami hospodářské soutěže.</w:t>
      </w:r>
      <w:r w:rsidR="00A61E45">
        <w:t xml:space="preserve"> V </w:t>
      </w:r>
      <w:r>
        <w:t>případě patentů, jejichž využití je nezbytné</w:t>
      </w:r>
      <w:r w:rsidR="00A61E45">
        <w:t xml:space="preserve"> k </w:t>
      </w:r>
      <w:r>
        <w:t>dodržení technických norem, podporujeme zásadu spravedlivých, přiměřených</w:t>
      </w:r>
      <w:r w:rsidR="00A61E45">
        <w:t xml:space="preserve"> a </w:t>
      </w:r>
      <w:r>
        <w:t>nediskriminačních (FRAND) licencí.</w:t>
      </w:r>
    </w:p>
    <w:p w:rsidR="00E4541C" w:rsidRPr="000A10E5" w:rsidRDefault="00E4541C" w:rsidP="000A10E5"/>
    <w:p w:rsidR="00E4541C" w:rsidRPr="000A10E5" w:rsidRDefault="00E4541C" w:rsidP="00963A7F">
      <w:pPr>
        <w:pStyle w:val="Heading2"/>
        <w:ind w:left="567" w:hanging="567"/>
      </w:pPr>
      <w:r>
        <w:t>Normalizační model staví EU do celosvětové vedoucí pozice. EHSV vyzdvihuje činnost Evropské komise</w:t>
      </w:r>
      <w:r w:rsidR="00A61E45">
        <w:t xml:space="preserve"> v </w:t>
      </w:r>
      <w:r>
        <w:t>této oblasti. Jednotnost</w:t>
      </w:r>
      <w:r w:rsidR="00A61E45">
        <w:t xml:space="preserve"> a </w:t>
      </w:r>
      <w:r>
        <w:t>soudržnost souboru evropských norem zajišťuje základní zásada „jedna norma, jedna zkouška – akceptovaná po celé Evropě“. Podnikům to přináší investice</w:t>
      </w:r>
      <w:r w:rsidR="00A61E45">
        <w:t xml:space="preserve"> a </w:t>
      </w:r>
      <w:r>
        <w:t>také právní</w:t>
      </w:r>
      <w:r w:rsidR="00A61E45">
        <w:t xml:space="preserve"> a </w:t>
      </w:r>
      <w:r>
        <w:t>finanční jistotu.</w:t>
      </w:r>
    </w:p>
    <w:p w:rsidR="00E4541C" w:rsidRPr="000A10E5" w:rsidRDefault="00E4541C" w:rsidP="000A10E5"/>
    <w:p w:rsidR="00E4541C" w:rsidRPr="000A10E5" w:rsidRDefault="006B5A1E" w:rsidP="00963A7F">
      <w:pPr>
        <w:pStyle w:val="Heading2"/>
        <w:ind w:left="567" w:hanging="567"/>
      </w:pPr>
      <w:r>
        <w:t>Vzhledem ke specifické povaze</w:t>
      </w:r>
      <w:r w:rsidR="00A61E45">
        <w:t xml:space="preserve"> a </w:t>
      </w:r>
      <w:r>
        <w:t>významu evropského normalizačního systému pro průmysl, malé</w:t>
      </w:r>
      <w:r w:rsidR="00A61E45">
        <w:t xml:space="preserve"> a </w:t>
      </w:r>
      <w:r>
        <w:t>střední podniky, spotřebitele</w:t>
      </w:r>
      <w:r w:rsidR="00A61E45">
        <w:t xml:space="preserve"> a </w:t>
      </w:r>
      <w:r>
        <w:t>pracovníky vyzývá EHSV Komisi</w:t>
      </w:r>
      <w:r w:rsidR="00A61E45">
        <w:t xml:space="preserve"> k </w:t>
      </w:r>
      <w:r>
        <w:t>zachování rozpočtových zdrojů</w:t>
      </w:r>
      <w:r w:rsidR="00A61E45">
        <w:t xml:space="preserve"> a </w:t>
      </w:r>
      <w:r>
        <w:t>personálu</w:t>
      </w:r>
      <w:r w:rsidR="00A61E45">
        <w:t xml:space="preserve"> v </w:t>
      </w:r>
      <w:r>
        <w:t>zájmu plnění cílů nařízení (EU) č. 1025/2012.</w:t>
      </w:r>
    </w:p>
    <w:p w:rsidR="00E4541C" w:rsidRPr="000A10E5" w:rsidRDefault="00E4541C" w:rsidP="000A10E5"/>
    <w:p w:rsidR="00E4541C" w:rsidRPr="000A10E5" w:rsidRDefault="006B5A1E" w:rsidP="00963A7F">
      <w:pPr>
        <w:pStyle w:val="Heading2"/>
        <w:ind w:left="567" w:hanging="567"/>
      </w:pPr>
      <w:r>
        <w:t>EHSV žádá, aby bylo provedeno podrobné monitorování činnosti hlavních subjektů normalizace,</w:t>
      </w:r>
      <w:r w:rsidR="00A61E45">
        <w:t xml:space="preserve"> a </w:t>
      </w:r>
      <w:r>
        <w:t xml:space="preserve">to za účelem posílení aspektu </w:t>
      </w:r>
      <w:proofErr w:type="spellStart"/>
      <w:r>
        <w:t>inkluzivnosti</w:t>
      </w:r>
      <w:proofErr w:type="spellEnd"/>
      <w:r>
        <w:t xml:space="preserve"> evropského systému normalizace. EHSV by mohl jako prioritu vytvořit fórum </w:t>
      </w:r>
      <w:r>
        <w:rPr>
          <w:i/>
        </w:rPr>
        <w:t>ad hoc</w:t>
      </w:r>
      <w:r>
        <w:t xml:space="preserve"> týkající se </w:t>
      </w:r>
      <w:proofErr w:type="spellStart"/>
      <w:r>
        <w:t>inkluzivnosti</w:t>
      </w:r>
      <w:proofErr w:type="spellEnd"/>
      <w:r>
        <w:t xml:space="preserve"> evropského systému normalizace. Tento orgán by byl pověřen, aby každý rok pořádal veřejná slyšení za účelem vyhodnocení pokroku</w:t>
      </w:r>
      <w:r w:rsidR="00A61E45">
        <w:t xml:space="preserve"> v </w:t>
      </w:r>
      <w:r>
        <w:t>této oblasti.</w:t>
      </w:r>
    </w:p>
    <w:p w:rsidR="00E44FA9" w:rsidRPr="000A10E5" w:rsidRDefault="00E44FA9" w:rsidP="00E44FA9"/>
    <w:p w:rsidR="00E44FA9" w:rsidRPr="000A10E5" w:rsidRDefault="00E44FA9" w:rsidP="000A10E5">
      <w:pPr>
        <w:pStyle w:val="Heading2"/>
        <w:ind w:left="567" w:hanging="567"/>
      </w:pPr>
      <w:r>
        <w:t>Vzhledem</w:t>
      </w:r>
      <w:r w:rsidR="00A61E45">
        <w:t xml:space="preserve"> k </w:t>
      </w:r>
      <w:r>
        <w:t>tomu, že</w:t>
      </w:r>
      <w:r w:rsidR="00A61E45">
        <w:t xml:space="preserve"> v </w:t>
      </w:r>
      <w:r>
        <w:t xml:space="preserve">tuto chvíli chybí uspokojivá reakce týkající se závěru Evropského soudního dvora ve věci James </w:t>
      </w:r>
      <w:proofErr w:type="spellStart"/>
      <w:r>
        <w:t>Elliott</w:t>
      </w:r>
      <w:proofErr w:type="spellEnd"/>
      <w:r>
        <w:rPr>
          <w:rStyle w:val="FootnoteReference"/>
        </w:rPr>
        <w:footnoteReference w:id="2"/>
      </w:r>
      <w:r>
        <w:t>, který poprvé uznává, že evropské normy jsou součástí právních předpisů EU, EHSV zdůrazňuje, že je důležité, aby Komise vykonávala svou nezbytnou kontrolní pravomoc nad normalizační činností</w:t>
      </w:r>
      <w:r w:rsidR="00A61E45">
        <w:t xml:space="preserve"> v </w:t>
      </w:r>
      <w:r>
        <w:t>úzké spolupráci</w:t>
      </w:r>
      <w:r w:rsidR="00A61E45">
        <w:t xml:space="preserve"> s </w:t>
      </w:r>
      <w:r>
        <w:t>ostatními evropskými institucemi,</w:t>
      </w:r>
      <w:r w:rsidR="00A61E45">
        <w:t xml:space="preserve"> a </w:t>
      </w:r>
      <w:r>
        <w:t>žádá</w:t>
      </w:r>
      <w:r w:rsidR="00A61E45">
        <w:t xml:space="preserve"> o </w:t>
      </w:r>
      <w:r>
        <w:t>interinstitucionální diskusi</w:t>
      </w:r>
      <w:r w:rsidR="00A61E45">
        <w:t xml:space="preserve"> o </w:t>
      </w:r>
      <w:r>
        <w:t>této otázce.</w:t>
      </w:r>
    </w:p>
    <w:p w:rsidR="00E44FA9" w:rsidRPr="000A10E5" w:rsidRDefault="00E44FA9" w:rsidP="00E44FA9"/>
    <w:p w:rsidR="00E4541C" w:rsidRPr="000A10E5" w:rsidRDefault="00E44FA9" w:rsidP="000A10E5">
      <w:pPr>
        <w:pStyle w:val="Heading2"/>
        <w:ind w:left="567" w:hanging="567"/>
      </w:pPr>
      <w:r>
        <w:t>EHSV navrhuje, aby Evropská komise přezkoumala proces konzultace předběžného návrhu ročního pracovního programu Unie, neboť neposkytl žádný strategický výhled, žádnou strukturu, žádný kontext, ani vysvětlení důvodů ohledně předložených návrhů.</w:t>
      </w:r>
    </w:p>
    <w:p w:rsidR="00E44FA9" w:rsidRPr="000A10E5" w:rsidRDefault="00E44FA9"/>
    <w:p w:rsidR="00E4541C" w:rsidRPr="000A10E5" w:rsidRDefault="00E4541C" w:rsidP="00963A7F">
      <w:pPr>
        <w:pStyle w:val="Heading1"/>
        <w:keepNext/>
        <w:ind w:left="567" w:hanging="567"/>
        <w:rPr>
          <w:b/>
        </w:rPr>
      </w:pPr>
      <w:r>
        <w:rPr>
          <w:b/>
        </w:rPr>
        <w:t>Připomínky</w:t>
      </w:r>
      <w:r w:rsidR="00A61E45">
        <w:rPr>
          <w:b/>
        </w:rPr>
        <w:t xml:space="preserve"> k </w:t>
      </w:r>
      <w:r>
        <w:rPr>
          <w:b/>
        </w:rPr>
        <w:t>opatřením na rok 2018</w:t>
      </w:r>
    </w:p>
    <w:p w:rsidR="00E4541C" w:rsidRPr="000A10E5" w:rsidRDefault="00E4541C" w:rsidP="00963A7F">
      <w:pPr>
        <w:keepNext/>
      </w:pPr>
    </w:p>
    <w:p w:rsidR="00E4541C" w:rsidRPr="000A10E5" w:rsidRDefault="00E4541C" w:rsidP="00963A7F">
      <w:pPr>
        <w:keepNext/>
        <w:ind w:left="567"/>
        <w:rPr>
          <w:b/>
          <w:i/>
        </w:rPr>
      </w:pPr>
      <w:r>
        <w:rPr>
          <w:b/>
          <w:i/>
        </w:rPr>
        <w:t>Nový impuls pro zaměstnanost, růst</w:t>
      </w:r>
      <w:r w:rsidR="00A61E45">
        <w:rPr>
          <w:b/>
          <w:i/>
        </w:rPr>
        <w:t xml:space="preserve"> a </w:t>
      </w:r>
      <w:r>
        <w:rPr>
          <w:b/>
          <w:i/>
        </w:rPr>
        <w:t>investice</w:t>
      </w:r>
    </w:p>
    <w:p w:rsidR="00E4541C" w:rsidRPr="000A10E5" w:rsidRDefault="00E4541C" w:rsidP="00963A7F">
      <w:pPr>
        <w:keepNext/>
      </w:pPr>
    </w:p>
    <w:p w:rsidR="00AD141C" w:rsidRPr="000A10E5" w:rsidRDefault="00E4541C" w:rsidP="00963A7F">
      <w:pPr>
        <w:pStyle w:val="Heading2"/>
        <w:keepNext/>
        <w:ind w:left="567" w:hanging="567"/>
        <w:rPr>
          <w:b/>
        </w:rPr>
      </w:pPr>
      <w:r>
        <w:rPr>
          <w:b/>
        </w:rPr>
        <w:t>Zavedení harmonizovaných pravidel pro výrobce hnojiv (včetně organických)</w:t>
      </w:r>
      <w:r>
        <w:rPr>
          <w:rStyle w:val="FootnoteReference"/>
        </w:rPr>
        <w:footnoteReference w:id="3"/>
      </w:r>
    </w:p>
    <w:p w:rsidR="00AD141C" w:rsidRPr="000A10E5" w:rsidRDefault="00AD141C" w:rsidP="00963A7F">
      <w:pPr>
        <w:pStyle w:val="Heading2"/>
        <w:keepNext/>
        <w:numPr>
          <w:ilvl w:val="0"/>
          <w:numId w:val="0"/>
        </w:numPr>
        <w:ind w:left="720"/>
      </w:pPr>
    </w:p>
    <w:p w:rsidR="00E4541C" w:rsidRPr="000A10E5" w:rsidRDefault="00E4541C" w:rsidP="00963A7F">
      <w:pPr>
        <w:pStyle w:val="Heading2"/>
        <w:numPr>
          <w:ilvl w:val="0"/>
          <w:numId w:val="0"/>
        </w:numPr>
        <w:ind w:left="567"/>
      </w:pPr>
      <w:r>
        <w:t>Výbor již upozorňoval na to, že některé definice</w:t>
      </w:r>
      <w:r w:rsidR="00A61E45">
        <w:t xml:space="preserve"> a </w:t>
      </w:r>
      <w:r>
        <w:t>normy týkající se hnojiv</w:t>
      </w:r>
      <w:r w:rsidR="00A61E45">
        <w:t xml:space="preserve"> z </w:t>
      </w:r>
      <w:r>
        <w:t>druhotných surovin nejsou jasné.</w:t>
      </w:r>
      <w:r w:rsidR="00A61E45">
        <w:t xml:space="preserve"> V </w:t>
      </w:r>
      <w:r>
        <w:t>zájmu zlepšení provádění nového nařízení doporučuje EHSV důkladnější integraci</w:t>
      </w:r>
      <w:r w:rsidR="00A61E45">
        <w:t xml:space="preserve"> a </w:t>
      </w:r>
      <w:r>
        <w:t>harmonizaci se stávající směrnicí</w:t>
      </w:r>
      <w:r w:rsidR="00A61E45">
        <w:t xml:space="preserve"> o </w:t>
      </w:r>
      <w:r>
        <w:t>odpadech</w:t>
      </w:r>
      <w:r>
        <w:rPr>
          <w:rStyle w:val="FootnoteReference"/>
        </w:rPr>
        <w:footnoteReference w:id="4"/>
      </w:r>
      <w:r w:rsidR="00A61E45">
        <w:t xml:space="preserve"> a </w:t>
      </w:r>
      <w:r>
        <w:t>připomíná také důležitost environmentálních aspektů</w:t>
      </w:r>
      <w:r w:rsidR="00A61E45">
        <w:t xml:space="preserve"> v </w:t>
      </w:r>
      <w:r>
        <w:t>souvislosti</w:t>
      </w:r>
      <w:r w:rsidR="00A61E45">
        <w:t xml:space="preserve"> s </w:t>
      </w:r>
      <w:r>
        <w:t>hnojivy.</w:t>
      </w:r>
    </w:p>
    <w:p w:rsidR="00E4541C" w:rsidRPr="000A10E5" w:rsidRDefault="00E4541C"/>
    <w:p w:rsidR="00E4541C" w:rsidRPr="000A10E5" w:rsidRDefault="006B5A1E" w:rsidP="00963A7F">
      <w:pPr>
        <w:keepNext/>
        <w:ind w:left="567"/>
        <w:rPr>
          <w:b/>
          <w:i/>
        </w:rPr>
      </w:pPr>
      <w:r>
        <w:rPr>
          <w:b/>
          <w:i/>
        </w:rPr>
        <w:lastRenderedPageBreak/>
        <w:t>Jednotný digitální trh</w:t>
      </w:r>
    </w:p>
    <w:p w:rsidR="00E4541C" w:rsidRPr="000A10E5" w:rsidRDefault="00E4541C" w:rsidP="00963A7F">
      <w:pPr>
        <w:keepNext/>
      </w:pPr>
    </w:p>
    <w:p w:rsidR="00E4541C" w:rsidRPr="000A10E5" w:rsidRDefault="00E4541C" w:rsidP="00963A7F">
      <w:pPr>
        <w:pStyle w:val="Heading2"/>
        <w:keepNext/>
        <w:ind w:left="567" w:hanging="567"/>
        <w:rPr>
          <w:b/>
        </w:rPr>
      </w:pPr>
      <w:r>
        <w:rPr>
          <w:b/>
        </w:rPr>
        <w:t>Zlepšování kvality pevných</w:t>
      </w:r>
      <w:r w:rsidR="00A61E45">
        <w:rPr>
          <w:b/>
        </w:rPr>
        <w:t xml:space="preserve"> i </w:t>
      </w:r>
      <w:r>
        <w:rPr>
          <w:b/>
        </w:rPr>
        <w:t>bezdrátových mobilních služeb</w:t>
      </w:r>
      <w:r>
        <w:rPr>
          <w:rStyle w:val="FootnoteReference"/>
        </w:rPr>
        <w:footnoteReference w:id="5"/>
      </w:r>
    </w:p>
    <w:p w:rsidR="00E4541C" w:rsidRPr="000A10E5" w:rsidRDefault="00E4541C" w:rsidP="00963A7F">
      <w:pPr>
        <w:keepNext/>
      </w:pPr>
    </w:p>
    <w:p w:rsidR="00E4541C" w:rsidRPr="000A10E5" w:rsidRDefault="00E4541C" w:rsidP="00963A7F">
      <w:pPr>
        <w:pStyle w:val="Heading3"/>
        <w:ind w:left="567" w:hanging="567"/>
      </w:pPr>
      <w:r>
        <w:t>Normalizace hraje</w:t>
      </w:r>
      <w:r w:rsidR="00A61E45">
        <w:t xml:space="preserve"> v </w:t>
      </w:r>
      <w:r>
        <w:t>této oblasti nesporně významnou úlohu</w:t>
      </w:r>
      <w:r w:rsidR="00A61E45">
        <w:t xml:space="preserve"> a </w:t>
      </w:r>
      <w:r>
        <w:t>brání roztříštěnosti trhu, která může přinášet postupy narušující hospodářskou soutěž.</w:t>
      </w:r>
      <w:r>
        <w:rPr>
          <w:rStyle w:val="FootnoteReference"/>
        </w:rPr>
        <w:footnoteReference w:id="6"/>
      </w:r>
    </w:p>
    <w:p w:rsidR="00E4541C" w:rsidRPr="000A10E5" w:rsidRDefault="00E4541C" w:rsidP="000A10E5"/>
    <w:p w:rsidR="00E4541C" w:rsidRPr="000A10E5" w:rsidRDefault="00E4541C" w:rsidP="00963A7F">
      <w:pPr>
        <w:pStyle w:val="Heading3"/>
        <w:ind w:left="567" w:hanging="567"/>
      </w:pPr>
      <w:r>
        <w:t>EHSV plně podporuje Komisi, pokud jde</w:t>
      </w:r>
      <w:r w:rsidR="00A61E45">
        <w:t xml:space="preserve"> o </w:t>
      </w:r>
      <w:r>
        <w:t xml:space="preserve">strategii jednotného digitálního trhu, ale chtěl by </w:t>
      </w:r>
      <w:proofErr w:type="spellStart"/>
      <w:r>
        <w:t>poiukázat</w:t>
      </w:r>
      <w:proofErr w:type="spellEnd"/>
      <w:r>
        <w:t xml:space="preserve"> na to, že má významné důsledky pro organizaci evropského trhu práce, jelikož stále více pracovníků oslovených prostřednictvím on-line platformy („crowd </w:t>
      </w:r>
      <w:proofErr w:type="spellStart"/>
      <w:r>
        <w:t>workers</w:t>
      </w:r>
      <w:proofErr w:type="spellEnd"/>
      <w:r>
        <w:t>“) pracuje pro platformy</w:t>
      </w:r>
      <w:r w:rsidR="00A61E45">
        <w:t xml:space="preserve"> a </w:t>
      </w:r>
      <w:r>
        <w:t>jejich pracovní poměr bývá často velmi krátký</w:t>
      </w:r>
      <w:r w:rsidR="00A61E45">
        <w:t xml:space="preserve"> a </w:t>
      </w:r>
      <w:r>
        <w:t>nestabilní.</w:t>
      </w:r>
    </w:p>
    <w:p w:rsidR="00E4541C" w:rsidRPr="000A10E5" w:rsidRDefault="00E4541C" w:rsidP="000A10E5"/>
    <w:p w:rsidR="00E4541C" w:rsidRPr="000A10E5" w:rsidRDefault="00E4541C" w:rsidP="00963A7F">
      <w:pPr>
        <w:pStyle w:val="Heading3"/>
        <w:ind w:left="567" w:hanging="567"/>
      </w:pPr>
      <w:r>
        <w:t>Digitalizace průmyslu je celosvětový trend, který bude</w:t>
      </w:r>
      <w:r w:rsidR="00A61E45">
        <w:t xml:space="preserve"> v </w:t>
      </w:r>
      <w:r>
        <w:t>několika příštích letech na vzestupu. Normy</w:t>
      </w:r>
      <w:r w:rsidR="00A61E45">
        <w:t xml:space="preserve"> v </w:t>
      </w:r>
      <w:r>
        <w:t>oblasti IKT jsou zásadní pro rozvoj digitálních technologií</w:t>
      </w:r>
      <w:r w:rsidR="00A61E45">
        <w:t xml:space="preserve"> v </w:t>
      </w:r>
      <w:r>
        <w:t xml:space="preserve">mnoha průmyslových odvětvích. Celosvětové normy </w:t>
      </w:r>
      <w:r>
        <w:rPr>
          <w:i/>
        </w:rPr>
        <w:t>de facto</w:t>
      </w:r>
      <w:r>
        <w:t xml:space="preserve"> jsou však řízeny průmyslovými giganty ze zemí mimo EU.</w:t>
      </w:r>
    </w:p>
    <w:p w:rsidR="00E4541C" w:rsidRPr="000A10E5" w:rsidRDefault="00E4541C" w:rsidP="000A10E5"/>
    <w:p w:rsidR="00E4541C" w:rsidRPr="000A10E5" w:rsidRDefault="00E4541C" w:rsidP="00963A7F">
      <w:pPr>
        <w:pStyle w:val="Heading3"/>
        <w:ind w:left="567" w:hanging="567"/>
      </w:pPr>
      <w:r>
        <w:t>Vypracovávání vnitrostátních, evropských nebo mezinárodních norem oficiálními normalizačními orgány (CEN, CENELEC, ETSI) je pro rychle se měnící digitální technologii příliš zdlouhavé. Podniky proto vytvářejí své vlastní normy –</w:t>
      </w:r>
      <w:r w:rsidR="00A61E45">
        <w:t xml:space="preserve"> v </w:t>
      </w:r>
      <w:r>
        <w:t>mnohem kratším čase</w:t>
      </w:r>
      <w:r w:rsidR="00A61E45">
        <w:t xml:space="preserve"> a </w:t>
      </w:r>
      <w:r>
        <w:t>podle vlastních pravidel.</w:t>
      </w:r>
    </w:p>
    <w:p w:rsidR="00E4541C" w:rsidRPr="000A10E5" w:rsidRDefault="00E4541C" w:rsidP="000A10E5"/>
    <w:p w:rsidR="00E4541C" w:rsidRPr="000A10E5" w:rsidRDefault="00E4541C" w:rsidP="00963A7F">
      <w:pPr>
        <w:pStyle w:val="Heading3"/>
        <w:ind w:left="567" w:hanging="567"/>
      </w:pPr>
      <w:r>
        <w:t>Hrozí, že vznik norem bude netransparentní</w:t>
      </w:r>
      <w:r w:rsidR="00A61E45">
        <w:t xml:space="preserve"> a </w:t>
      </w:r>
      <w:r>
        <w:t>nejednotné.</w:t>
      </w:r>
    </w:p>
    <w:p w:rsidR="00E4541C" w:rsidRPr="000A10E5" w:rsidRDefault="00E4541C" w:rsidP="00963A7F">
      <w:pPr>
        <w:ind w:left="567" w:hanging="567"/>
      </w:pPr>
    </w:p>
    <w:p w:rsidR="00E4541C" w:rsidRPr="000A10E5" w:rsidRDefault="00E4541C">
      <w:pPr>
        <w:pStyle w:val="Heading2"/>
        <w:keepNext/>
        <w:ind w:left="567" w:hanging="567"/>
      </w:pPr>
      <w:r>
        <w:rPr>
          <w:b/>
        </w:rPr>
        <w:t>Zavádění pravidel usnadňujících rozvoj technologie 5G</w:t>
      </w:r>
      <w:r w:rsidR="00A61E45">
        <w:rPr>
          <w:b/>
        </w:rPr>
        <w:t xml:space="preserve"> v </w:t>
      </w:r>
      <w:r>
        <w:rPr>
          <w:b/>
        </w:rPr>
        <w:t>pásmu 26 GHz (24,25–27,50 GHz)</w:t>
      </w:r>
      <w:r w:rsidR="00A61E45">
        <w:rPr>
          <w:b/>
        </w:rPr>
        <w:t xml:space="preserve"> a v </w:t>
      </w:r>
      <w:r>
        <w:rPr>
          <w:b/>
        </w:rPr>
        <w:t>dalších pásmech</w:t>
      </w:r>
      <w:r w:rsidR="00A61E45">
        <w:rPr>
          <w:b/>
        </w:rPr>
        <w:t xml:space="preserve"> s </w:t>
      </w:r>
      <w:r>
        <w:rPr>
          <w:b/>
        </w:rPr>
        <w:t>vyšší vlnovou délkou</w:t>
      </w:r>
      <w:r>
        <w:rPr>
          <w:rStyle w:val="FootnoteReference"/>
        </w:rPr>
        <w:footnoteReference w:id="7"/>
      </w:r>
    </w:p>
    <w:p w:rsidR="00E4541C" w:rsidRPr="000A10E5" w:rsidRDefault="00E4541C" w:rsidP="000A10E5">
      <w:pPr>
        <w:keepNext/>
      </w:pPr>
    </w:p>
    <w:p w:rsidR="00E4541C" w:rsidRPr="000A10E5" w:rsidRDefault="00CF15F9" w:rsidP="00963A7F">
      <w:pPr>
        <w:pStyle w:val="Heading2"/>
        <w:numPr>
          <w:ilvl w:val="0"/>
          <w:numId w:val="0"/>
        </w:numPr>
        <w:ind w:left="567"/>
      </w:pPr>
      <w:r>
        <w:t>EHSV toto opatření považuje za zásadní pro zachování vedoucího postavení EU</w:t>
      </w:r>
      <w:r w:rsidR="00A61E45">
        <w:t xml:space="preserve"> v </w:t>
      </w:r>
      <w:r>
        <w:t>oblasti zavádění technologií 5G.</w:t>
      </w:r>
    </w:p>
    <w:p w:rsidR="00E4541C" w:rsidRPr="000A10E5" w:rsidRDefault="00E4541C"/>
    <w:p w:rsidR="00E4541C" w:rsidRPr="000A10E5" w:rsidRDefault="00E4541C">
      <w:pPr>
        <w:pStyle w:val="Heading2"/>
        <w:keepNext/>
        <w:ind w:left="567" w:hanging="567"/>
        <w:rPr>
          <w:b/>
        </w:rPr>
      </w:pPr>
      <w:r>
        <w:rPr>
          <w:b/>
        </w:rPr>
        <w:t>Zavádění společných norem pro zlepšování radiokomunikačních systémů, výměnu údajů</w:t>
      </w:r>
      <w:r w:rsidR="00A61E45">
        <w:rPr>
          <w:b/>
        </w:rPr>
        <w:t xml:space="preserve"> o </w:t>
      </w:r>
      <w:r>
        <w:rPr>
          <w:b/>
        </w:rPr>
        <w:t>cestujících</w:t>
      </w:r>
      <w:r w:rsidR="00A61E45">
        <w:rPr>
          <w:b/>
        </w:rPr>
        <w:t xml:space="preserve"> a </w:t>
      </w:r>
      <w:r>
        <w:rPr>
          <w:b/>
        </w:rPr>
        <w:t>jízdních řádů</w:t>
      </w:r>
      <w:r w:rsidR="00A61E45">
        <w:rPr>
          <w:b/>
        </w:rPr>
        <w:t xml:space="preserve"> a </w:t>
      </w:r>
      <w:r>
        <w:rPr>
          <w:b/>
        </w:rPr>
        <w:t>IT bezpečnost</w:t>
      </w:r>
      <w:r>
        <w:rPr>
          <w:rStyle w:val="FootnoteReference"/>
        </w:rPr>
        <w:footnoteReference w:id="8"/>
      </w:r>
    </w:p>
    <w:p w:rsidR="00E4541C" w:rsidRPr="000A10E5" w:rsidRDefault="00E4541C" w:rsidP="000A10E5">
      <w:pPr>
        <w:keepNext/>
      </w:pPr>
    </w:p>
    <w:p w:rsidR="00E4541C" w:rsidRPr="000A10E5" w:rsidRDefault="00E4541C" w:rsidP="00963A7F">
      <w:pPr>
        <w:pStyle w:val="Heading2"/>
        <w:numPr>
          <w:ilvl w:val="0"/>
          <w:numId w:val="0"/>
        </w:numPr>
        <w:ind w:left="567"/>
      </w:pPr>
      <w:r>
        <w:t>EHSV doporučuje, aby se rovněž normalizovaly technologické změny</w:t>
      </w:r>
      <w:r w:rsidR="00A61E45">
        <w:t xml:space="preserve"> a </w:t>
      </w:r>
      <w:r>
        <w:t>nově vznikající obchodní modely</w:t>
      </w:r>
      <w:r w:rsidR="00A61E45">
        <w:t xml:space="preserve"> v </w:t>
      </w:r>
      <w:r>
        <w:t>cestovním ruchu</w:t>
      </w:r>
      <w:r w:rsidR="00A61E45">
        <w:t xml:space="preserve"> a </w:t>
      </w:r>
      <w:r>
        <w:t>zároveň aby se podporoval rozvoj inteligentního prodeje jízdenek</w:t>
      </w:r>
      <w:r w:rsidR="00A61E45">
        <w:t xml:space="preserve"> a </w:t>
      </w:r>
      <w:r>
        <w:t>informačních služeb.</w:t>
      </w:r>
    </w:p>
    <w:p w:rsidR="00E4541C" w:rsidRPr="000A10E5" w:rsidRDefault="00E4541C"/>
    <w:p w:rsidR="00E4541C" w:rsidRPr="000A10E5" w:rsidRDefault="00E4541C" w:rsidP="00963A7F">
      <w:pPr>
        <w:pStyle w:val="Heading2"/>
        <w:keepNext/>
        <w:ind w:left="567" w:hanging="567"/>
        <w:rPr>
          <w:b/>
        </w:rPr>
      </w:pPr>
      <w:r>
        <w:rPr>
          <w:b/>
        </w:rPr>
        <w:lastRenderedPageBreak/>
        <w:t>Interoperabilita</w:t>
      </w:r>
      <w:r w:rsidR="00A61E45">
        <w:rPr>
          <w:b/>
        </w:rPr>
        <w:t xml:space="preserve"> a </w:t>
      </w:r>
      <w:r>
        <w:rPr>
          <w:b/>
        </w:rPr>
        <w:t>výměna údajů mezi operátory</w:t>
      </w:r>
      <w:r w:rsidR="00A61E45">
        <w:rPr>
          <w:b/>
        </w:rPr>
        <w:t xml:space="preserve"> s </w:t>
      </w:r>
      <w:r>
        <w:rPr>
          <w:b/>
        </w:rPr>
        <w:t>cílem podpořit účinnější přepravní</w:t>
      </w:r>
      <w:r w:rsidR="00A61E45">
        <w:rPr>
          <w:b/>
        </w:rPr>
        <w:t xml:space="preserve"> a </w:t>
      </w:r>
      <w:r>
        <w:rPr>
          <w:b/>
        </w:rPr>
        <w:t>logistické služby</w:t>
      </w:r>
      <w:r>
        <w:rPr>
          <w:rStyle w:val="FootnoteReference"/>
        </w:rPr>
        <w:footnoteReference w:id="9"/>
      </w:r>
    </w:p>
    <w:p w:rsidR="00E4541C" w:rsidRPr="000A10E5" w:rsidRDefault="00E4541C" w:rsidP="000A10E5">
      <w:pPr>
        <w:keepNext/>
      </w:pPr>
    </w:p>
    <w:p w:rsidR="00E4541C" w:rsidRPr="000A10E5" w:rsidRDefault="00E4541C" w:rsidP="00963A7F">
      <w:pPr>
        <w:pStyle w:val="Heading2"/>
        <w:numPr>
          <w:ilvl w:val="0"/>
          <w:numId w:val="0"/>
        </w:numPr>
        <w:ind w:left="567"/>
      </w:pPr>
      <w:r>
        <w:t>V oblasti stanovování norem Komise navrhuje doplňková opatření. Je však důležité připomenout velké výzvy, které před tímto odvětvím stojí vzhledem</w:t>
      </w:r>
      <w:r w:rsidR="00A61E45">
        <w:t xml:space="preserve"> k </w:t>
      </w:r>
      <w:r>
        <w:t>současné situaci: „opakované zadávání údajů do různých systémů</w:t>
      </w:r>
      <w:r w:rsidR="00A61E45">
        <w:t xml:space="preserve"> v </w:t>
      </w:r>
      <w:r>
        <w:t xml:space="preserve">důsledku mozaiky </w:t>
      </w:r>
      <w:proofErr w:type="spellStart"/>
      <w:r>
        <w:t>neinteroperabilních</w:t>
      </w:r>
      <w:proofErr w:type="spellEnd"/>
      <w:r>
        <w:t xml:space="preserve"> norem; nedostatečně propojené systémy</w:t>
      </w:r>
      <w:r w:rsidR="00A61E45">
        <w:t xml:space="preserve"> a </w:t>
      </w:r>
      <w:r>
        <w:t>nedostatečná důvěra</w:t>
      </w:r>
      <w:r w:rsidR="00A61E45">
        <w:t xml:space="preserve"> v </w:t>
      </w:r>
      <w:r>
        <w:t>ochranu citlivých údajů; orgány, banky</w:t>
      </w:r>
      <w:r w:rsidR="00A61E45">
        <w:t xml:space="preserve"> a </w:t>
      </w:r>
      <w:r>
        <w:t>pojišťovny neuznávají elektronické cestovní doklady; nedostatek kritického množství zúčastněných subjektů, které sdílejí údaje</w:t>
      </w:r>
      <w:r w:rsidR="00A61E45">
        <w:t xml:space="preserve"> a </w:t>
      </w:r>
      <w:r>
        <w:t>zkoumají nové podnikatelské příležitosti“.</w:t>
      </w:r>
      <w:r>
        <w:rPr>
          <w:rStyle w:val="FootnoteReference"/>
        </w:rPr>
        <w:footnoteReference w:id="10"/>
      </w:r>
    </w:p>
    <w:p w:rsidR="00E4541C" w:rsidRPr="000A10E5" w:rsidRDefault="00E4541C"/>
    <w:p w:rsidR="00E4541C" w:rsidRPr="000A10E5" w:rsidRDefault="00E4541C" w:rsidP="00963A7F">
      <w:pPr>
        <w:keepNext/>
        <w:ind w:left="567"/>
        <w:rPr>
          <w:b/>
          <w:i/>
        </w:rPr>
      </w:pPr>
      <w:r>
        <w:rPr>
          <w:b/>
          <w:i/>
        </w:rPr>
        <w:t>Odolná energetická unie</w:t>
      </w:r>
      <w:r w:rsidR="00A61E45">
        <w:rPr>
          <w:b/>
          <w:i/>
        </w:rPr>
        <w:t xml:space="preserve"> s </w:t>
      </w:r>
      <w:r>
        <w:rPr>
          <w:b/>
          <w:i/>
        </w:rPr>
        <w:t>progresivní politikou</w:t>
      </w:r>
      <w:r w:rsidR="00A61E45">
        <w:rPr>
          <w:b/>
          <w:i/>
        </w:rPr>
        <w:t xml:space="preserve"> v </w:t>
      </w:r>
      <w:r>
        <w:rPr>
          <w:b/>
          <w:i/>
        </w:rPr>
        <w:t>oblasti změny klimatu</w:t>
      </w:r>
    </w:p>
    <w:p w:rsidR="00E4541C" w:rsidRPr="000A10E5" w:rsidRDefault="00E4541C" w:rsidP="00963A7F">
      <w:pPr>
        <w:keepNext/>
      </w:pPr>
    </w:p>
    <w:p w:rsidR="00E4541C" w:rsidRPr="000A10E5" w:rsidRDefault="00E4541C" w:rsidP="00963A7F">
      <w:pPr>
        <w:pStyle w:val="Heading2"/>
        <w:ind w:left="567" w:hanging="567"/>
        <w:rPr>
          <w:b/>
        </w:rPr>
      </w:pPr>
      <w:r>
        <w:rPr>
          <w:b/>
        </w:rPr>
        <w:t>Vytvoření nových senzorů</w:t>
      </w:r>
      <w:r w:rsidR="00A61E45">
        <w:rPr>
          <w:b/>
        </w:rPr>
        <w:t xml:space="preserve"> a </w:t>
      </w:r>
      <w:r>
        <w:rPr>
          <w:b/>
        </w:rPr>
        <w:t>metod měření pro posouzení kvality vnějšího ovzduší;</w:t>
      </w:r>
      <w:r>
        <w:rPr>
          <w:rStyle w:val="FootnoteReference"/>
        </w:rPr>
        <w:footnoteReference w:id="11"/>
      </w:r>
      <w:r>
        <w:rPr>
          <w:b/>
        </w:rPr>
        <w:t xml:space="preserve"> monitorování emisí amoniaku (HN3), chlóru</w:t>
      </w:r>
      <w:r w:rsidR="00A61E45">
        <w:rPr>
          <w:b/>
        </w:rPr>
        <w:t xml:space="preserve"> a </w:t>
      </w:r>
      <w:r>
        <w:rPr>
          <w:b/>
        </w:rPr>
        <w:t>oxidu chloričitého do atmosféry</w:t>
      </w:r>
      <w:r w:rsidR="00A61E45">
        <w:rPr>
          <w:b/>
        </w:rPr>
        <w:t xml:space="preserve"> a </w:t>
      </w:r>
      <w:r>
        <w:rPr>
          <w:b/>
        </w:rPr>
        <w:t>emise fluorovodíku (nebo celkové emise plynných fluoridů)</w:t>
      </w:r>
      <w:r w:rsidR="00A61E45">
        <w:rPr>
          <w:b/>
        </w:rPr>
        <w:t xml:space="preserve"> z </w:t>
      </w:r>
      <w:r>
        <w:rPr>
          <w:b/>
        </w:rPr>
        <w:t>průmyslových odvětví;</w:t>
      </w:r>
      <w:r>
        <w:rPr>
          <w:rStyle w:val="FootnoteReference"/>
        </w:rPr>
        <w:footnoteReference w:id="12"/>
      </w:r>
      <w:r>
        <w:rPr>
          <w:b/>
        </w:rPr>
        <w:t xml:space="preserve"> ochrana zdraví před polycyklickými aromatickými uhlovodíky</w:t>
      </w:r>
      <w:r>
        <w:rPr>
          <w:rStyle w:val="FootnoteReference"/>
        </w:rPr>
        <w:footnoteReference w:id="13"/>
      </w:r>
    </w:p>
    <w:p w:rsidR="00E4541C" w:rsidRPr="000A10E5" w:rsidRDefault="00E4541C" w:rsidP="000A10E5"/>
    <w:p w:rsidR="00E4541C" w:rsidRPr="000A10E5" w:rsidRDefault="00E4541C" w:rsidP="00963A7F">
      <w:pPr>
        <w:pStyle w:val="Heading2"/>
        <w:numPr>
          <w:ilvl w:val="0"/>
          <w:numId w:val="0"/>
        </w:numPr>
        <w:ind w:left="567"/>
      </w:pPr>
      <w:r>
        <w:t>Výbor vítá navrhovaná opatření, která významně přispívají ke zlepšování stavu životního prostředí</w:t>
      </w:r>
      <w:r w:rsidR="00A61E45">
        <w:t xml:space="preserve"> a </w:t>
      </w:r>
      <w:r>
        <w:t>lidského zdraví. Vystavení obecné populace polycyklickým aromatickým uhlovodíkům (PAU),</w:t>
      </w:r>
      <w:r w:rsidR="00A61E45">
        <w:t xml:space="preserve"> z </w:t>
      </w:r>
      <w:r>
        <w:t>nichž mnohé jsou známými karcinogeny, je již dlouho považováno za znepokojující</w:t>
      </w:r>
      <w:r w:rsidR="00A61E45">
        <w:t xml:space="preserve"> a </w:t>
      </w:r>
      <w:r>
        <w:t>existuje několik právních předpisů EU, které již omezují přítomnost těchto látek</w:t>
      </w:r>
      <w:r w:rsidR="00A61E45">
        <w:t xml:space="preserve"> v </w:t>
      </w:r>
      <w:r>
        <w:t>určitých potravinových výrobcích, vodě</w:t>
      </w:r>
      <w:r w:rsidR="00A61E45">
        <w:t xml:space="preserve"> a </w:t>
      </w:r>
      <w:r>
        <w:t>vnějším ovzduší.</w:t>
      </w:r>
    </w:p>
    <w:p w:rsidR="00E4541C" w:rsidRPr="000A10E5" w:rsidRDefault="00E4541C"/>
    <w:p w:rsidR="00E4541C" w:rsidRPr="000A10E5" w:rsidRDefault="00E4541C" w:rsidP="000A10E5">
      <w:pPr>
        <w:pStyle w:val="Heading2"/>
        <w:keepNext/>
        <w:ind w:left="567" w:hanging="567"/>
        <w:rPr>
          <w:b/>
        </w:rPr>
      </w:pPr>
      <w:proofErr w:type="spellStart"/>
      <w:r>
        <w:rPr>
          <w:b/>
        </w:rPr>
        <w:t>Ekodesign</w:t>
      </w:r>
      <w:proofErr w:type="spellEnd"/>
      <w:r>
        <w:rPr>
          <w:b/>
        </w:rPr>
        <w:t>: snižování spotřeby energie</w:t>
      </w:r>
      <w:r w:rsidR="00A61E45">
        <w:rPr>
          <w:b/>
        </w:rPr>
        <w:t xml:space="preserve"> u </w:t>
      </w:r>
      <w:r>
        <w:rPr>
          <w:b/>
        </w:rPr>
        <w:t>mnoha výrobků (počítačů atd.);</w:t>
      </w:r>
      <w:r>
        <w:rPr>
          <w:rStyle w:val="FootnoteReference"/>
        </w:rPr>
        <w:footnoteReference w:id="14"/>
      </w:r>
      <w:r>
        <w:rPr>
          <w:b/>
        </w:rPr>
        <w:t xml:space="preserve"> označování energetické účinnosti centralizovaných systémů;</w:t>
      </w:r>
      <w:r>
        <w:rPr>
          <w:rStyle w:val="FootnoteReference"/>
        </w:rPr>
        <w:footnoteReference w:id="15"/>
      </w:r>
      <w:r>
        <w:rPr>
          <w:b/>
        </w:rPr>
        <w:t xml:space="preserve"> zelená infrastruktura</w:t>
      </w:r>
      <w:r>
        <w:rPr>
          <w:rStyle w:val="FootnoteReference"/>
        </w:rPr>
        <w:footnoteReference w:id="16"/>
      </w:r>
    </w:p>
    <w:p w:rsidR="00E4541C" w:rsidRPr="000A10E5" w:rsidRDefault="00E4541C" w:rsidP="000A10E5">
      <w:pPr>
        <w:keepNext/>
      </w:pPr>
    </w:p>
    <w:p w:rsidR="00E4541C" w:rsidRPr="000A10E5" w:rsidRDefault="00495079" w:rsidP="00963A7F">
      <w:pPr>
        <w:pStyle w:val="Heading2"/>
        <w:numPr>
          <w:ilvl w:val="0"/>
          <w:numId w:val="0"/>
        </w:numPr>
        <w:ind w:left="567"/>
      </w:pPr>
      <w:r>
        <w:t>EHSV zdůrazňuje odolnost klíčové infrastruktury EU vůči nevyhnutelným dopadům změny klimatu</w:t>
      </w:r>
      <w:r w:rsidR="00A61E45">
        <w:t xml:space="preserve"> a </w:t>
      </w:r>
      <w:r>
        <w:t>pomalou reakci systému normalizace na tuto důležitou otázku. Normy mohou podpořit rozvoj zelené infrastruktury tím, že přispějí ke zlepšení účinnosti zdrojů ve stavebnictví</w:t>
      </w:r>
      <w:r w:rsidR="00A61E45">
        <w:t xml:space="preserve"> a k </w:t>
      </w:r>
      <w:r>
        <w:t>lepší odolnosti vůči dopadům změny klimatu.</w:t>
      </w:r>
    </w:p>
    <w:p w:rsidR="00E4541C" w:rsidRPr="000A10E5" w:rsidRDefault="00E4541C"/>
    <w:p w:rsidR="00E4541C" w:rsidRPr="000A10E5" w:rsidRDefault="00E4541C" w:rsidP="000A10E5">
      <w:pPr>
        <w:pStyle w:val="Heading2"/>
        <w:keepNext/>
        <w:ind w:left="567" w:hanging="567"/>
        <w:rPr>
          <w:b/>
        </w:rPr>
      </w:pPr>
      <w:r>
        <w:rPr>
          <w:b/>
        </w:rPr>
        <w:lastRenderedPageBreak/>
        <w:t xml:space="preserve">Vypracování norem pro 20/25% příměsi </w:t>
      </w:r>
      <w:proofErr w:type="spellStart"/>
      <w:r>
        <w:rPr>
          <w:b/>
        </w:rPr>
        <w:t>ethanolu</w:t>
      </w:r>
      <w:proofErr w:type="spellEnd"/>
      <w:r w:rsidR="00A61E45">
        <w:rPr>
          <w:b/>
        </w:rPr>
        <w:t xml:space="preserve"> v </w:t>
      </w:r>
      <w:r>
        <w:rPr>
          <w:b/>
        </w:rPr>
        <w:t>naftě (nyní 10</w:t>
      </w:r>
      <w:r w:rsidR="00A61E45">
        <w:rPr>
          <w:b/>
        </w:rPr>
        <w:t> %</w:t>
      </w:r>
      <w:r>
        <w:rPr>
          <w:b/>
        </w:rPr>
        <w:t>)</w:t>
      </w:r>
      <w:r>
        <w:rPr>
          <w:rStyle w:val="FootnoteReference"/>
        </w:rPr>
        <w:footnoteReference w:id="17"/>
      </w:r>
    </w:p>
    <w:p w:rsidR="00E4541C" w:rsidRPr="000A10E5" w:rsidRDefault="00E4541C" w:rsidP="000A10E5">
      <w:pPr>
        <w:keepNext/>
      </w:pPr>
    </w:p>
    <w:p w:rsidR="00E4541C" w:rsidRPr="000A10E5" w:rsidRDefault="00E4541C" w:rsidP="00963A7F">
      <w:pPr>
        <w:pStyle w:val="Heading2"/>
        <w:numPr>
          <w:ilvl w:val="0"/>
          <w:numId w:val="0"/>
        </w:numPr>
        <w:ind w:left="567"/>
      </w:pPr>
      <w:r>
        <w:t>Pokud se Komise rozhodne poskytnout výboru CEN mandát</w:t>
      </w:r>
      <w:r w:rsidR="00A61E45">
        <w:t xml:space="preserve"> v </w:t>
      </w:r>
      <w:r>
        <w:t>této záležitosti, EHSV důrazně doporučuje zvážit tato témata: ekologické dopady monokulturní výsadby, poškození vody</w:t>
      </w:r>
      <w:r w:rsidR="00A61E45">
        <w:t xml:space="preserve"> a </w:t>
      </w:r>
      <w:r>
        <w:t>půdy používáním pesticidů</w:t>
      </w:r>
      <w:r w:rsidR="00A61E45">
        <w:t xml:space="preserve"> a </w:t>
      </w:r>
      <w:r>
        <w:t>hnojiv, eroze půdy, odplavování živin, zvýšené využívání zdrojů pitné vody, ztráta biologické rozmanitosti</w:t>
      </w:r>
      <w:r w:rsidR="00A61E45">
        <w:t xml:space="preserve"> a </w:t>
      </w:r>
      <w:r>
        <w:t>přírodních stanovišť.</w:t>
      </w:r>
      <w:r>
        <w:rPr>
          <w:rStyle w:val="FootnoteReference"/>
        </w:rPr>
        <w:footnoteReference w:id="18"/>
      </w:r>
    </w:p>
    <w:p w:rsidR="00E4541C" w:rsidRPr="000A10E5" w:rsidRDefault="00E4541C"/>
    <w:p w:rsidR="00E4541C" w:rsidRPr="000A10E5" w:rsidRDefault="00E4541C" w:rsidP="000A10E5">
      <w:pPr>
        <w:pStyle w:val="Heading2"/>
        <w:keepNext/>
        <w:ind w:left="567" w:hanging="567"/>
        <w:rPr>
          <w:b/>
        </w:rPr>
      </w:pPr>
      <w:r>
        <w:rPr>
          <w:b/>
        </w:rPr>
        <w:t>Harmonizace kritérií pro emise</w:t>
      </w:r>
      <w:r w:rsidR="00A61E45">
        <w:rPr>
          <w:b/>
        </w:rPr>
        <w:t xml:space="preserve"> v </w:t>
      </w:r>
      <w:r>
        <w:rPr>
          <w:b/>
        </w:rPr>
        <w:t>odvětví dopravy</w:t>
      </w:r>
      <w:r>
        <w:rPr>
          <w:rStyle w:val="FootnoteReference"/>
        </w:rPr>
        <w:footnoteReference w:id="19"/>
      </w:r>
    </w:p>
    <w:p w:rsidR="00E4541C" w:rsidRPr="000A10E5" w:rsidRDefault="00E4541C" w:rsidP="000A10E5">
      <w:pPr>
        <w:keepNext/>
      </w:pPr>
    </w:p>
    <w:p w:rsidR="00E4541C" w:rsidRPr="000A10E5" w:rsidRDefault="00E4541C" w:rsidP="00963A7F">
      <w:pPr>
        <w:pStyle w:val="Heading2"/>
        <w:numPr>
          <w:ilvl w:val="0"/>
          <w:numId w:val="0"/>
        </w:numPr>
        <w:ind w:left="567"/>
      </w:pPr>
      <w:r>
        <w:t>Podle EHSV by Komise měla</w:t>
      </w:r>
      <w:r w:rsidR="00A61E45">
        <w:t xml:space="preserve"> k </w:t>
      </w:r>
      <w:r>
        <w:t>tomuto zcela jasně potřebnému opatření předložit konkrétnější návrhy. Je třeba poznamenat, že první krok ke snížení emisí</w:t>
      </w:r>
      <w:r w:rsidR="00A61E45">
        <w:t xml:space="preserve"> v </w:t>
      </w:r>
      <w:r>
        <w:t>odvětví dopravy byl učiněn již</w:t>
      </w:r>
      <w:r w:rsidR="00A61E45">
        <w:t xml:space="preserve"> v </w:t>
      </w:r>
      <w:r>
        <w:t>roce 1995.</w:t>
      </w:r>
      <w:r>
        <w:rPr>
          <w:rStyle w:val="FootnoteReference"/>
        </w:rPr>
        <w:footnoteReference w:id="20"/>
      </w:r>
    </w:p>
    <w:p w:rsidR="00E4541C" w:rsidRPr="000A10E5" w:rsidRDefault="00E4541C"/>
    <w:p w:rsidR="00E4541C" w:rsidRPr="000A10E5" w:rsidRDefault="00E4541C" w:rsidP="00963A7F">
      <w:pPr>
        <w:keepNext/>
        <w:ind w:left="567"/>
        <w:rPr>
          <w:b/>
          <w:i/>
        </w:rPr>
      </w:pPr>
      <w:r>
        <w:rPr>
          <w:b/>
          <w:i/>
        </w:rPr>
        <w:t>Vnitřní trh</w:t>
      </w:r>
    </w:p>
    <w:p w:rsidR="00E4541C" w:rsidRPr="000A10E5" w:rsidRDefault="00E4541C" w:rsidP="00963A7F">
      <w:pPr>
        <w:keepNext/>
      </w:pPr>
    </w:p>
    <w:p w:rsidR="00E4541C" w:rsidRPr="000A10E5" w:rsidRDefault="00E4541C">
      <w:pPr>
        <w:pStyle w:val="Heading2"/>
        <w:keepNext/>
        <w:ind w:left="567" w:hanging="567"/>
        <w:rPr>
          <w:b/>
        </w:rPr>
      </w:pPr>
      <w:r>
        <w:rPr>
          <w:b/>
        </w:rPr>
        <w:t>Posílení úlohy Evropského výboru pro vypracování norem pro vnitrozemskou plavbu (CESNI)</w:t>
      </w:r>
      <w:r>
        <w:rPr>
          <w:rStyle w:val="FootnoteReference"/>
        </w:rPr>
        <w:footnoteReference w:id="21"/>
      </w:r>
    </w:p>
    <w:p w:rsidR="00E4541C" w:rsidRPr="000A10E5" w:rsidRDefault="00E4541C" w:rsidP="000A10E5">
      <w:pPr>
        <w:keepNext/>
      </w:pPr>
    </w:p>
    <w:p w:rsidR="00E4541C" w:rsidRPr="000A10E5" w:rsidRDefault="00E4541C" w:rsidP="00963A7F">
      <w:pPr>
        <w:pStyle w:val="Heading2"/>
        <w:numPr>
          <w:ilvl w:val="0"/>
          <w:numId w:val="0"/>
        </w:numPr>
        <w:ind w:left="567"/>
      </w:pPr>
      <w:r>
        <w:t>Vzhledem</w:t>
      </w:r>
      <w:r w:rsidR="00A61E45">
        <w:t xml:space="preserve"> k </w:t>
      </w:r>
      <w:r>
        <w:t>velkému počtu stávajících požadavků týkajících se pobřežní plavby</w:t>
      </w:r>
      <w:r>
        <w:rPr>
          <w:rStyle w:val="FootnoteReference"/>
        </w:rPr>
        <w:footnoteReference w:id="22"/>
      </w:r>
      <w:r>
        <w:t xml:space="preserve"> jsou zapotřebí opatření, EHSV má však za to, že návrh by mohl být přesnější.</w:t>
      </w:r>
    </w:p>
    <w:p w:rsidR="00E4541C" w:rsidRPr="000A10E5" w:rsidRDefault="00E4541C"/>
    <w:p w:rsidR="00E4541C" w:rsidRPr="000A10E5" w:rsidRDefault="00E4541C">
      <w:pPr>
        <w:pStyle w:val="Heading2"/>
        <w:keepNext/>
        <w:ind w:left="567" w:hanging="567"/>
        <w:rPr>
          <w:b/>
        </w:rPr>
      </w:pPr>
      <w:r>
        <w:rPr>
          <w:b/>
        </w:rPr>
        <w:t>Plán pro následnou normalizaci evropského globálního navigačního družicového systému (EGNSS), provádění plánu</w:t>
      </w:r>
      <w:r w:rsidR="00A61E45">
        <w:rPr>
          <w:b/>
        </w:rPr>
        <w:t xml:space="preserve"> a </w:t>
      </w:r>
      <w:r>
        <w:rPr>
          <w:b/>
        </w:rPr>
        <w:t>zvyšování interoperability služeb systému Galileo</w:t>
      </w:r>
      <w:r w:rsidR="00A61E45">
        <w:rPr>
          <w:b/>
        </w:rPr>
        <w:t xml:space="preserve"> s </w:t>
      </w:r>
      <w:r>
        <w:rPr>
          <w:b/>
        </w:rPr>
        <w:t>trhem letecké dopravy</w:t>
      </w:r>
      <w:r>
        <w:rPr>
          <w:rStyle w:val="FootnoteReference"/>
        </w:rPr>
        <w:footnoteReference w:id="23"/>
      </w:r>
    </w:p>
    <w:p w:rsidR="00E4541C" w:rsidRPr="000A10E5" w:rsidRDefault="00E4541C" w:rsidP="000A10E5">
      <w:pPr>
        <w:keepNext/>
      </w:pPr>
    </w:p>
    <w:p w:rsidR="00E4541C" w:rsidRPr="000A10E5" w:rsidRDefault="00E4541C" w:rsidP="00963A7F">
      <w:pPr>
        <w:pStyle w:val="Heading2"/>
        <w:numPr>
          <w:ilvl w:val="0"/>
          <w:numId w:val="0"/>
        </w:numPr>
        <w:ind w:left="567"/>
      </w:pPr>
      <w:r>
        <w:t>EHSV tento návrh plně podporuje</w:t>
      </w:r>
      <w:r w:rsidR="00A61E45">
        <w:t xml:space="preserve"> a </w:t>
      </w:r>
      <w:r>
        <w:t>konstatuje, že globální trh pro produkty</w:t>
      </w:r>
      <w:r w:rsidR="00A61E45">
        <w:t xml:space="preserve"> a </w:t>
      </w:r>
      <w:r>
        <w:t xml:space="preserve">služby založené na GNSS – tzv. „navazující </w:t>
      </w:r>
      <w:proofErr w:type="gramStart"/>
      <w:r>
        <w:t>trh“– měl</w:t>
      </w:r>
      <w:proofErr w:type="gramEnd"/>
      <w:r w:rsidR="00A61E45">
        <w:t xml:space="preserve"> v </w:t>
      </w:r>
      <w:r>
        <w:t>roce 2013 hodnotu 200 miliard EUR.</w:t>
      </w:r>
      <w:r>
        <w:rPr>
          <w:rStyle w:val="FootnoteReference"/>
        </w:rPr>
        <w:footnoteReference w:id="24"/>
      </w:r>
    </w:p>
    <w:p w:rsidR="00E4541C" w:rsidRPr="000A10E5" w:rsidRDefault="00E4541C"/>
    <w:p w:rsidR="00E4541C" w:rsidRPr="000A10E5" w:rsidRDefault="009658B7" w:rsidP="000A10E5">
      <w:pPr>
        <w:pStyle w:val="Heading2"/>
        <w:keepNext/>
        <w:ind w:left="567" w:hanging="567"/>
        <w:rPr>
          <w:b/>
        </w:rPr>
      </w:pPr>
      <w:r>
        <w:rPr>
          <w:b/>
        </w:rPr>
        <w:t>Elektronické zadávání veřejných zakázek</w:t>
      </w:r>
      <w:r>
        <w:rPr>
          <w:rStyle w:val="FootnoteReference"/>
        </w:rPr>
        <w:footnoteReference w:id="25"/>
      </w:r>
    </w:p>
    <w:p w:rsidR="00E4541C" w:rsidRPr="000A10E5" w:rsidRDefault="00E4541C" w:rsidP="000A10E5">
      <w:pPr>
        <w:keepNext/>
      </w:pPr>
    </w:p>
    <w:p w:rsidR="00E4541C" w:rsidRPr="000A10E5" w:rsidRDefault="00E4541C" w:rsidP="00963A7F">
      <w:pPr>
        <w:pStyle w:val="Heading2"/>
        <w:numPr>
          <w:ilvl w:val="0"/>
          <w:numId w:val="0"/>
        </w:numPr>
        <w:ind w:left="567"/>
      </w:pPr>
      <w:r>
        <w:t>Harmonizace je významným krokem při demokratizaci trhu, který má být transparentní</w:t>
      </w:r>
      <w:r w:rsidR="00A61E45">
        <w:t xml:space="preserve"> a </w:t>
      </w:r>
      <w:r>
        <w:t>přístupný,</w:t>
      </w:r>
      <w:r w:rsidR="00A61E45">
        <w:t xml:space="preserve"> s </w:t>
      </w:r>
      <w:r>
        <w:t xml:space="preserve">cílem ve velké míře využívat veřejných prostředků. Zároveň je nutné zachovat </w:t>
      </w:r>
      <w:r>
        <w:lastRenderedPageBreak/>
        <w:t>nízké náklady na vytváření či úpravu stávajících platforem, jakož</w:t>
      </w:r>
      <w:r w:rsidR="00A61E45">
        <w:t xml:space="preserve"> i </w:t>
      </w:r>
      <w:r>
        <w:t>na jejich údržbu. Normalizace má tudíž prvořadý význam.</w:t>
      </w:r>
      <w:r>
        <w:rPr>
          <w:rStyle w:val="FootnoteReference"/>
        </w:rPr>
        <w:footnoteReference w:id="26"/>
      </w:r>
    </w:p>
    <w:p w:rsidR="00E4541C" w:rsidRPr="000A10E5" w:rsidRDefault="00E4541C"/>
    <w:p w:rsidR="00E4541C" w:rsidRPr="000A10E5" w:rsidRDefault="00E4541C" w:rsidP="00963A7F">
      <w:pPr>
        <w:pStyle w:val="Heading2"/>
        <w:keepNext/>
        <w:ind w:left="567" w:hanging="567"/>
        <w:rPr>
          <w:b/>
        </w:rPr>
      </w:pPr>
      <w:r>
        <w:rPr>
          <w:b/>
        </w:rPr>
        <w:t>Vytváření norem pro tiskárny</w:t>
      </w:r>
      <w:r w:rsidR="00A61E45">
        <w:rPr>
          <w:b/>
        </w:rPr>
        <w:t xml:space="preserve"> a </w:t>
      </w:r>
      <w:r>
        <w:rPr>
          <w:b/>
        </w:rPr>
        <w:t>další zařízení</w:t>
      </w:r>
      <w:r>
        <w:rPr>
          <w:rStyle w:val="FootnoteReference"/>
        </w:rPr>
        <w:footnoteReference w:id="27"/>
      </w:r>
    </w:p>
    <w:p w:rsidR="00E4541C" w:rsidRPr="000A10E5" w:rsidRDefault="00E4541C" w:rsidP="000A10E5">
      <w:pPr>
        <w:keepNext/>
      </w:pPr>
    </w:p>
    <w:p w:rsidR="00E4541C" w:rsidRPr="000A10E5" w:rsidRDefault="00E4541C" w:rsidP="00963A7F">
      <w:pPr>
        <w:pStyle w:val="Heading2"/>
        <w:numPr>
          <w:ilvl w:val="0"/>
          <w:numId w:val="0"/>
        </w:numPr>
        <w:ind w:left="567"/>
      </w:pPr>
      <w:r>
        <w:t>EHSV souhlasí, že je zapotřebí nových harmonizovaných norem, jelikož spotřebitelé očekávají, že nové</w:t>
      </w:r>
      <w:r w:rsidR="00A61E45">
        <w:t xml:space="preserve"> a </w:t>
      </w:r>
      <w:r>
        <w:t>inovativní produkty, jako jsou 3D tiskárny, roboti</w:t>
      </w:r>
      <w:r w:rsidR="00A61E45">
        <w:t xml:space="preserve"> a </w:t>
      </w:r>
      <w:r>
        <w:t>autonomní vozidla, budou stejně bezpečné jako tradičnější výrobky. Je zásadní, aby tyto nové výrobky nepředstavovaly hrozbu pro bezpečnost spotřebitelů.</w:t>
      </w:r>
    </w:p>
    <w:p w:rsidR="00E4541C" w:rsidRPr="000A10E5" w:rsidRDefault="00E4541C"/>
    <w:p w:rsidR="00E4541C" w:rsidRPr="000A10E5" w:rsidRDefault="00CE3CF4" w:rsidP="00963A7F">
      <w:pPr>
        <w:pStyle w:val="Heading2"/>
        <w:keepNext/>
        <w:ind w:left="567" w:hanging="567"/>
        <w:rPr>
          <w:b/>
        </w:rPr>
      </w:pPr>
      <w:r>
        <w:rPr>
          <w:b/>
        </w:rPr>
        <w:t>Aktualizace požadavků na bezpečnost</w:t>
      </w:r>
      <w:r w:rsidR="00A61E45">
        <w:rPr>
          <w:b/>
        </w:rPr>
        <w:t xml:space="preserve"> a </w:t>
      </w:r>
      <w:r>
        <w:rPr>
          <w:b/>
        </w:rPr>
        <w:t>účinnost zdravotnických prostředků</w:t>
      </w:r>
      <w:r>
        <w:rPr>
          <w:rStyle w:val="FootnoteReference"/>
        </w:rPr>
        <w:footnoteReference w:id="28"/>
      </w:r>
    </w:p>
    <w:p w:rsidR="00E4541C" w:rsidRPr="000A10E5" w:rsidRDefault="00E4541C" w:rsidP="000A10E5">
      <w:pPr>
        <w:keepNext/>
      </w:pPr>
    </w:p>
    <w:p w:rsidR="00E4541C" w:rsidRPr="000A10E5" w:rsidRDefault="00E4541C" w:rsidP="00963A7F">
      <w:pPr>
        <w:pStyle w:val="Heading2"/>
        <w:numPr>
          <w:ilvl w:val="0"/>
          <w:numId w:val="0"/>
        </w:numPr>
        <w:ind w:left="567"/>
      </w:pPr>
      <w:r>
        <w:t>EHS souhlasí</w:t>
      </w:r>
      <w:r w:rsidR="00A61E45">
        <w:t xml:space="preserve"> s </w:t>
      </w:r>
      <w:r>
        <w:t xml:space="preserve">Komisí, že nové nařízení </w:t>
      </w:r>
      <w:r>
        <w:rPr>
          <w:i/>
        </w:rPr>
        <w:t>„posiluje bezpečnostní</w:t>
      </w:r>
      <w:r w:rsidR="00A61E45">
        <w:rPr>
          <w:i/>
        </w:rPr>
        <w:t xml:space="preserve"> a </w:t>
      </w:r>
      <w:r>
        <w:rPr>
          <w:i/>
        </w:rPr>
        <w:t>výkonnostní požadavky na zdravotnické prostředky</w:t>
      </w:r>
      <w:r w:rsidR="00A61E45">
        <w:rPr>
          <w:i/>
        </w:rPr>
        <w:t xml:space="preserve"> s </w:t>
      </w:r>
      <w:r>
        <w:rPr>
          <w:i/>
        </w:rPr>
        <w:t>cílem udržet krok</w:t>
      </w:r>
      <w:r w:rsidR="00A61E45">
        <w:rPr>
          <w:i/>
        </w:rPr>
        <w:t xml:space="preserve"> s </w:t>
      </w:r>
      <w:r>
        <w:rPr>
          <w:i/>
        </w:rPr>
        <w:t>technologickým</w:t>
      </w:r>
      <w:r w:rsidR="00A61E45">
        <w:rPr>
          <w:i/>
        </w:rPr>
        <w:t xml:space="preserve"> a </w:t>
      </w:r>
      <w:r>
        <w:rPr>
          <w:i/>
        </w:rPr>
        <w:t>vědeckým pokrokem“</w:t>
      </w:r>
      <w:r>
        <w:t>. Toto je hlavní cíl, ale jelikož nové technologie jsou hlavní hnací silou rychle rostoucích výdajů na zdravotnictví, EHSV doporučuje, aby byla zohledněna</w:t>
      </w:r>
      <w:r w:rsidR="00A61E45">
        <w:t xml:space="preserve"> i </w:t>
      </w:r>
      <w:r>
        <w:t>efektivita nákladů.</w:t>
      </w:r>
    </w:p>
    <w:p w:rsidR="00E4541C" w:rsidRPr="000A10E5" w:rsidRDefault="00E4541C"/>
    <w:p w:rsidR="00E4541C" w:rsidRPr="000A10E5" w:rsidRDefault="00CE3CF4" w:rsidP="00963A7F">
      <w:pPr>
        <w:pStyle w:val="Heading2"/>
        <w:keepNext/>
        <w:ind w:left="567" w:hanging="567"/>
        <w:rPr>
          <w:b/>
        </w:rPr>
      </w:pPr>
      <w:r>
        <w:rPr>
          <w:b/>
        </w:rPr>
        <w:t>Aktualizace bezpečnostních</w:t>
      </w:r>
      <w:r w:rsidR="00A61E45">
        <w:rPr>
          <w:b/>
        </w:rPr>
        <w:t xml:space="preserve"> a </w:t>
      </w:r>
      <w:r>
        <w:rPr>
          <w:b/>
        </w:rPr>
        <w:t>hygienických požadavků na stavební výrobky</w:t>
      </w:r>
      <w:r w:rsidR="00A61E45">
        <w:rPr>
          <w:b/>
        </w:rPr>
        <w:t xml:space="preserve"> v </w:t>
      </w:r>
      <w:r>
        <w:rPr>
          <w:b/>
        </w:rPr>
        <w:t>kontaktu</w:t>
      </w:r>
      <w:r w:rsidR="00A61E45">
        <w:rPr>
          <w:b/>
        </w:rPr>
        <w:t xml:space="preserve"> s </w:t>
      </w:r>
      <w:r>
        <w:rPr>
          <w:b/>
        </w:rPr>
        <w:t>pitnou vodou</w:t>
      </w:r>
      <w:r>
        <w:rPr>
          <w:rStyle w:val="FootnoteReference"/>
        </w:rPr>
        <w:footnoteReference w:id="29"/>
      </w:r>
    </w:p>
    <w:p w:rsidR="00E4541C" w:rsidRPr="000A10E5" w:rsidRDefault="00E4541C" w:rsidP="000A10E5">
      <w:pPr>
        <w:keepNext/>
      </w:pPr>
    </w:p>
    <w:p w:rsidR="00E4541C" w:rsidRPr="000A10E5" w:rsidRDefault="00E4541C" w:rsidP="00963A7F">
      <w:pPr>
        <w:pStyle w:val="Heading2"/>
        <w:numPr>
          <w:ilvl w:val="0"/>
          <w:numId w:val="0"/>
        </w:numPr>
        <w:ind w:left="567"/>
      </w:pPr>
      <w:r>
        <w:t>EHSV vyjadřuje politování nad tím, že</w:t>
      </w:r>
      <w:r w:rsidR="00A61E45">
        <w:t xml:space="preserve"> i </w:t>
      </w:r>
      <w:r>
        <w:t>přes deset let diskusí čekají evropské normy</w:t>
      </w:r>
      <w:r w:rsidR="00A61E45">
        <w:t xml:space="preserve"> v </w:t>
      </w:r>
      <w:r>
        <w:t>této oblasti stále ještě na vypracování. Rozhodnutí</w:t>
      </w:r>
      <w:r w:rsidR="00A61E45">
        <w:t xml:space="preserve"> o </w:t>
      </w:r>
      <w:r>
        <w:t>změně současného mandátu (M/136)</w:t>
      </w:r>
      <w:r>
        <w:rPr>
          <w:rStyle w:val="FootnoteReference"/>
        </w:rPr>
        <w:footnoteReference w:id="30"/>
      </w:r>
      <w:r>
        <w:t xml:space="preserve"> ukládá normalizačním orgánům povinnost poskytnout prvotní výsledky do konce roku 2018.</w:t>
      </w:r>
    </w:p>
    <w:p w:rsidR="00E4541C" w:rsidRPr="000A10E5" w:rsidRDefault="00E4541C"/>
    <w:p w:rsidR="00E4541C" w:rsidRPr="000A10E5" w:rsidRDefault="00E4541C" w:rsidP="00963A7F">
      <w:pPr>
        <w:pStyle w:val="Heading2"/>
        <w:keepNext/>
        <w:ind w:left="567" w:hanging="567"/>
        <w:rPr>
          <w:b/>
        </w:rPr>
      </w:pPr>
      <w:r>
        <w:rPr>
          <w:b/>
        </w:rPr>
        <w:t>Podpora práce</w:t>
      </w:r>
      <w:r w:rsidR="00A61E45">
        <w:rPr>
          <w:b/>
        </w:rPr>
        <w:t xml:space="preserve"> v </w:t>
      </w:r>
      <w:r>
        <w:rPr>
          <w:b/>
        </w:rPr>
        <w:t>souvislosti se základními požadavky na systémy bezpilotních letadel (UAS)</w:t>
      </w:r>
      <w:r>
        <w:rPr>
          <w:rStyle w:val="FootnoteReference"/>
        </w:rPr>
        <w:footnoteReference w:id="31"/>
      </w:r>
    </w:p>
    <w:p w:rsidR="00E4541C" w:rsidRPr="000A10E5" w:rsidRDefault="00E4541C" w:rsidP="000A10E5">
      <w:pPr>
        <w:keepNext/>
      </w:pPr>
    </w:p>
    <w:p w:rsidR="00E4541C" w:rsidRPr="000A10E5" w:rsidRDefault="00E4541C" w:rsidP="00963A7F">
      <w:pPr>
        <w:pStyle w:val="Heading2"/>
        <w:numPr>
          <w:ilvl w:val="0"/>
          <w:numId w:val="0"/>
        </w:numPr>
        <w:ind w:left="567"/>
      </w:pPr>
      <w:r>
        <w:t>EHSV poukazuje na skutečnost, že se zintenzivňuje veřejná diskuse</w:t>
      </w:r>
      <w:r w:rsidR="00A61E45">
        <w:t xml:space="preserve"> o </w:t>
      </w:r>
      <w:r>
        <w:t>používání technologie bezpilotních leteckých prostředků pro rekreační</w:t>
      </w:r>
      <w:r w:rsidR="00A61E45">
        <w:t xml:space="preserve"> a </w:t>
      </w:r>
      <w:r>
        <w:t>komerční účely, včetně jejích bezpečnostních rizik. Mezinárodní normy jsou klíčové pro tvorbu globálního obchodního trhu. Je zásadní, aby tyto normy přinesly celosvětově harmonizovaný vzdušný prostor pro rutinní přístup bezpilotních systémů, což rozšíří komerční možnosti, aniž by došlo</w:t>
      </w:r>
      <w:r w:rsidR="00A61E45">
        <w:t xml:space="preserve"> k </w:t>
      </w:r>
      <w:r>
        <w:t>ohrožení bezpečnosti nebo</w:t>
      </w:r>
      <w:r w:rsidR="00A61E45">
        <w:t xml:space="preserve"> k </w:t>
      </w:r>
      <w:r>
        <w:t>omezení celkové efektivnosti vzdušného prostoru. Zásadně důležité normy, které jsou</w:t>
      </w:r>
      <w:r w:rsidR="00A61E45">
        <w:t xml:space="preserve"> v </w:t>
      </w:r>
      <w:r>
        <w:t>současné době vypracovávány, zahrnují postup „detekce</w:t>
      </w:r>
      <w:r w:rsidR="00A61E45">
        <w:t xml:space="preserve"> a </w:t>
      </w:r>
      <w:r>
        <w:t>vyhnutí“</w:t>
      </w:r>
      <w:r w:rsidR="00A61E45">
        <w:t xml:space="preserve"> a </w:t>
      </w:r>
      <w:r>
        <w:t>„velení</w:t>
      </w:r>
      <w:r w:rsidR="00A61E45">
        <w:t xml:space="preserve"> a </w:t>
      </w:r>
      <w:r>
        <w:t>řízení“.</w:t>
      </w:r>
      <w:r>
        <w:rPr>
          <w:rStyle w:val="FootnoteReference"/>
        </w:rPr>
        <w:footnoteReference w:id="32"/>
      </w:r>
    </w:p>
    <w:p w:rsidR="00E4541C" w:rsidRPr="000A10E5" w:rsidRDefault="00E4541C"/>
    <w:p w:rsidR="00E4541C" w:rsidRPr="000A10E5" w:rsidRDefault="00E4541C" w:rsidP="00963A7F">
      <w:pPr>
        <w:pStyle w:val="Heading2"/>
        <w:keepNext/>
        <w:ind w:left="567" w:hanging="567"/>
        <w:rPr>
          <w:b/>
        </w:rPr>
      </w:pPr>
      <w:r>
        <w:rPr>
          <w:b/>
        </w:rPr>
        <w:lastRenderedPageBreak/>
        <w:t>Přezkum harmonizovaných kritérií pro výbušniny pro civilní použití (především pro rozbušky)</w:t>
      </w:r>
      <w:r>
        <w:rPr>
          <w:rStyle w:val="FootnoteReference"/>
        </w:rPr>
        <w:footnoteReference w:id="33"/>
      </w:r>
    </w:p>
    <w:p w:rsidR="00E4541C" w:rsidRPr="000A10E5" w:rsidRDefault="00E4541C" w:rsidP="000A10E5">
      <w:pPr>
        <w:keepNext/>
      </w:pPr>
    </w:p>
    <w:p w:rsidR="00E4541C" w:rsidRPr="000A10E5" w:rsidRDefault="00A346F5" w:rsidP="00963A7F">
      <w:pPr>
        <w:pStyle w:val="Heading2"/>
        <w:numPr>
          <w:ilvl w:val="0"/>
          <w:numId w:val="0"/>
        </w:numPr>
        <w:ind w:left="567"/>
      </w:pPr>
      <w:r>
        <w:t>Cílem tohoto opatření je zvýšit bezpečnost výbušnin pro civilní použití, jelikož na široce rozšířené produkty (především elektronické rozbušky) se stávající harmonizované normy vůbec nezaměřují. Výbor samozřejmě návrh považuje za naprosto vhodný.</w:t>
      </w:r>
    </w:p>
    <w:p w:rsidR="00E4541C" w:rsidRPr="000A10E5" w:rsidRDefault="00E4541C"/>
    <w:p w:rsidR="00E4541C" w:rsidRPr="000A10E5" w:rsidRDefault="00E4541C" w:rsidP="000A10E5">
      <w:pPr>
        <w:pStyle w:val="Heading2"/>
        <w:keepNext/>
        <w:ind w:left="567" w:hanging="567"/>
        <w:rPr>
          <w:b/>
        </w:rPr>
      </w:pPr>
      <w:r>
        <w:rPr>
          <w:b/>
        </w:rPr>
        <w:t>Interoperabilita: nové technické specifikace pro interoperabilitu železničního systému</w:t>
      </w:r>
      <w:r>
        <w:rPr>
          <w:rStyle w:val="FootnoteReference"/>
        </w:rPr>
        <w:footnoteReference w:id="34"/>
      </w:r>
    </w:p>
    <w:p w:rsidR="00E4541C" w:rsidRPr="000A10E5" w:rsidRDefault="00E4541C" w:rsidP="000A10E5">
      <w:pPr>
        <w:keepNext/>
      </w:pPr>
    </w:p>
    <w:p w:rsidR="00E4541C" w:rsidRPr="000A10E5" w:rsidRDefault="00E4541C" w:rsidP="00963A7F">
      <w:pPr>
        <w:pStyle w:val="Heading2"/>
        <w:numPr>
          <w:ilvl w:val="0"/>
          <w:numId w:val="0"/>
        </w:numPr>
        <w:ind w:left="567"/>
      </w:pPr>
      <w:r>
        <w:t>EHSV vítá tento návrh coby další krok na dlouhé cestě směrem</w:t>
      </w:r>
      <w:r w:rsidR="00A61E45">
        <w:t xml:space="preserve"> k </w:t>
      </w:r>
      <w:r>
        <w:t>integraci železnice</w:t>
      </w:r>
      <w:r w:rsidR="00A61E45">
        <w:t xml:space="preserve"> v </w:t>
      </w:r>
      <w:r>
        <w:t>Evropě.</w:t>
      </w:r>
      <w:r w:rsidR="00A61E45">
        <w:t xml:space="preserve"> V </w:t>
      </w:r>
      <w:r>
        <w:t>tomto případě normy pro kolejová vozidla</w:t>
      </w:r>
      <w:r w:rsidR="00A61E45">
        <w:t xml:space="preserve"> s </w:t>
      </w:r>
      <w:r>
        <w:t>rozchodem kolejí 1 520 mm upřednostňují návaznost na evropský rozchod kolejí 1 435 mm.</w:t>
      </w:r>
    </w:p>
    <w:p w:rsidR="00A946CA" w:rsidRPr="000A10E5" w:rsidRDefault="00A946CA"/>
    <w:p w:rsidR="00E4541C" w:rsidRPr="000A10E5" w:rsidRDefault="00E4541C" w:rsidP="000A10E5">
      <w:pPr>
        <w:pStyle w:val="Heading2"/>
        <w:keepNext/>
        <w:ind w:left="567" w:hanging="567"/>
        <w:rPr>
          <w:b/>
        </w:rPr>
      </w:pPr>
      <w:r>
        <w:rPr>
          <w:b/>
        </w:rPr>
        <w:t>Ochrana zdraví pracovníků před riziky</w:t>
      </w:r>
      <w:r w:rsidR="00A61E45">
        <w:rPr>
          <w:b/>
        </w:rPr>
        <w:t xml:space="preserve"> v </w:t>
      </w:r>
      <w:r>
        <w:rPr>
          <w:b/>
        </w:rPr>
        <w:t>prostředí</w:t>
      </w:r>
      <w:r w:rsidR="00A61E45">
        <w:rPr>
          <w:b/>
        </w:rPr>
        <w:t xml:space="preserve"> s </w:t>
      </w:r>
      <w:r>
        <w:rPr>
          <w:b/>
        </w:rPr>
        <w:t>nebezpečím výbuchu (ATEX)</w:t>
      </w:r>
      <w:r>
        <w:rPr>
          <w:rStyle w:val="FootnoteReference"/>
        </w:rPr>
        <w:footnoteReference w:id="35"/>
      </w:r>
    </w:p>
    <w:p w:rsidR="00E4541C" w:rsidRPr="000A10E5" w:rsidRDefault="00E4541C" w:rsidP="000A10E5">
      <w:pPr>
        <w:keepNext/>
      </w:pPr>
    </w:p>
    <w:p w:rsidR="00E4541C" w:rsidRPr="000A10E5" w:rsidRDefault="00E4541C" w:rsidP="00963A7F">
      <w:pPr>
        <w:pStyle w:val="Heading2"/>
        <w:numPr>
          <w:ilvl w:val="0"/>
          <w:numId w:val="0"/>
        </w:numPr>
        <w:ind w:left="567"/>
      </w:pPr>
      <w:r>
        <w:t>EHSV</w:t>
      </w:r>
      <w:r w:rsidR="00A61E45">
        <w:t xml:space="preserve"> s </w:t>
      </w:r>
      <w:r>
        <w:t>tímto plně souhlasí, jelikož nová směrnice ATEX požaduje aktualizaci mandátu</w:t>
      </w:r>
      <w:r w:rsidR="00A61E45">
        <w:t xml:space="preserve"> v </w:t>
      </w:r>
      <w:r>
        <w:t>souladu</w:t>
      </w:r>
      <w:r w:rsidR="00A61E45">
        <w:t xml:space="preserve"> s </w:t>
      </w:r>
      <w:r>
        <w:t>novým legislativním rámcem.</w:t>
      </w:r>
    </w:p>
    <w:p w:rsidR="00A946CA" w:rsidRPr="000A10E5" w:rsidRDefault="00A946CA"/>
    <w:p w:rsidR="00E4541C" w:rsidRPr="000A10E5" w:rsidRDefault="0065564F" w:rsidP="00963A7F">
      <w:pPr>
        <w:pStyle w:val="Heading2"/>
        <w:keepNext/>
        <w:ind w:left="567" w:hanging="567"/>
        <w:rPr>
          <w:b/>
        </w:rPr>
      </w:pPr>
      <w:r>
        <w:rPr>
          <w:b/>
        </w:rPr>
        <w:t>Zlepšování bezpečnosti spotřebitelů</w:t>
      </w:r>
      <w:r>
        <w:rPr>
          <w:rStyle w:val="FootnoteReference"/>
        </w:rPr>
        <w:footnoteReference w:id="36"/>
      </w:r>
    </w:p>
    <w:p w:rsidR="00E4541C" w:rsidRPr="000A10E5" w:rsidRDefault="00E4541C" w:rsidP="000A10E5">
      <w:pPr>
        <w:keepNext/>
      </w:pPr>
    </w:p>
    <w:p w:rsidR="00E4541C" w:rsidRPr="000A10E5" w:rsidRDefault="00E4541C" w:rsidP="00963A7F">
      <w:pPr>
        <w:pStyle w:val="Heading2"/>
        <w:numPr>
          <w:ilvl w:val="0"/>
          <w:numId w:val="0"/>
        </w:numPr>
        <w:ind w:left="567"/>
      </w:pPr>
      <w:r>
        <w:t>EHSV doufá, že nové normy budou</w:t>
      </w:r>
      <w:r w:rsidR="00A61E45">
        <w:t xml:space="preserve"> v </w:t>
      </w:r>
      <w:r>
        <w:t>souladu se zásadou, že ochrana spotřebitelů znamená, že zboží</w:t>
      </w:r>
      <w:r w:rsidR="00A61E45">
        <w:t xml:space="preserve"> a </w:t>
      </w:r>
      <w:r>
        <w:t>služby nabízené spotřebitelům musí vyhovovat požadavku, aby při použití za normálních či předvídatelných podmínek neohrožovaly zdraví spotřebitelů,</w:t>
      </w:r>
      <w:r w:rsidR="00A61E45">
        <w:t xml:space="preserve"> a </w:t>
      </w:r>
      <w:r>
        <w:t>kdyby</w:t>
      </w:r>
      <w:r w:rsidR="00A61E45">
        <w:t xml:space="preserve"> k </w:t>
      </w:r>
      <w:r>
        <w:t>tomu došlo, aby je bylo možné rychlými</w:t>
      </w:r>
      <w:r w:rsidR="00A61E45">
        <w:t xml:space="preserve"> a </w:t>
      </w:r>
      <w:r>
        <w:t>snadnými postupy stáhnout</w:t>
      </w:r>
      <w:r w:rsidR="00A61E45">
        <w:t xml:space="preserve"> z </w:t>
      </w:r>
      <w:r>
        <w:t>trhu.</w:t>
      </w:r>
      <w:r>
        <w:rPr>
          <w:rStyle w:val="FootnoteReference"/>
        </w:rPr>
        <w:footnoteReference w:id="37"/>
      </w:r>
    </w:p>
    <w:p w:rsidR="00E4541C" w:rsidRPr="000A10E5" w:rsidRDefault="00E4541C"/>
    <w:p w:rsidR="00E4541C" w:rsidRPr="000A10E5" w:rsidRDefault="00E4541C" w:rsidP="00963A7F">
      <w:pPr>
        <w:keepNext/>
        <w:ind w:left="567"/>
        <w:rPr>
          <w:b/>
          <w:i/>
        </w:rPr>
      </w:pPr>
      <w:r>
        <w:rPr>
          <w:b/>
          <w:i/>
        </w:rPr>
        <w:t>Oblast spravedlnosti</w:t>
      </w:r>
      <w:r w:rsidR="00A61E45">
        <w:rPr>
          <w:b/>
          <w:i/>
        </w:rPr>
        <w:t xml:space="preserve"> a </w:t>
      </w:r>
      <w:r>
        <w:rPr>
          <w:b/>
          <w:i/>
        </w:rPr>
        <w:t>základních práv</w:t>
      </w:r>
    </w:p>
    <w:p w:rsidR="00E4541C" w:rsidRPr="000A10E5" w:rsidRDefault="00E4541C" w:rsidP="00963A7F">
      <w:pPr>
        <w:keepNext/>
      </w:pPr>
    </w:p>
    <w:p w:rsidR="00E4541C" w:rsidRPr="000A10E5" w:rsidRDefault="00E4541C" w:rsidP="00963A7F">
      <w:pPr>
        <w:pStyle w:val="Heading2"/>
        <w:keepNext/>
        <w:ind w:left="567" w:hanging="567"/>
        <w:rPr>
          <w:b/>
        </w:rPr>
      </w:pPr>
      <w:r>
        <w:rPr>
          <w:b/>
        </w:rPr>
        <w:t>Normalizace: Zavádění požadavků detekčních zařízení na ochranu před teroristickými útoky (v jiných oblastech než</w:t>
      </w:r>
      <w:r w:rsidR="00A61E45">
        <w:rPr>
          <w:b/>
        </w:rPr>
        <w:t xml:space="preserve"> v </w:t>
      </w:r>
      <w:r>
        <w:rPr>
          <w:b/>
        </w:rPr>
        <w:t>letectví)</w:t>
      </w:r>
      <w:r>
        <w:rPr>
          <w:rStyle w:val="FootnoteReference"/>
        </w:rPr>
        <w:footnoteReference w:id="38"/>
      </w:r>
    </w:p>
    <w:p w:rsidR="00E4541C" w:rsidRPr="000A10E5" w:rsidRDefault="00E4541C" w:rsidP="000A10E5">
      <w:pPr>
        <w:keepNext/>
      </w:pPr>
    </w:p>
    <w:p w:rsidR="00E4541C" w:rsidRPr="000A10E5" w:rsidRDefault="00E4541C" w:rsidP="00963A7F">
      <w:pPr>
        <w:pStyle w:val="Heading2"/>
        <w:numPr>
          <w:ilvl w:val="0"/>
          <w:numId w:val="0"/>
        </w:numPr>
        <w:ind w:left="567"/>
      </w:pPr>
      <w:r>
        <w:t>EHSV sice toto opatření plně schvaluje, avšak zdůrazňuje, že je zásadní spolupráce mezi EU</w:t>
      </w:r>
      <w:r w:rsidR="00A61E45">
        <w:t xml:space="preserve"> a </w:t>
      </w:r>
      <w:r>
        <w:t>USA vzhledem</w:t>
      </w:r>
      <w:r w:rsidR="00A61E45">
        <w:t xml:space="preserve"> k </w:t>
      </w:r>
      <w:r>
        <w:t>tomu, že obě oblasti sužuje terorismus.</w:t>
      </w:r>
      <w:r>
        <w:rPr>
          <w:rStyle w:val="FootnoteReference"/>
        </w:rPr>
        <w:footnoteReference w:id="39"/>
      </w:r>
      <w:r>
        <w:t xml:space="preserve"> Je třeba zabývat se mimo jiné otázkami souvisejícími</w:t>
      </w:r>
      <w:r w:rsidR="00A61E45">
        <w:t xml:space="preserve"> s </w:t>
      </w:r>
      <w:r>
        <w:t>kybernetickou bezpečností</w:t>
      </w:r>
      <w:r w:rsidR="00A61E45">
        <w:t xml:space="preserve"> a </w:t>
      </w:r>
      <w:r>
        <w:t>hrozbami, které jsou typické pro odvětví dopravy.</w:t>
      </w:r>
    </w:p>
    <w:p w:rsidR="00E4541C" w:rsidRPr="000A10E5" w:rsidRDefault="00E4541C"/>
    <w:p w:rsidR="00E4541C" w:rsidRPr="000A10E5" w:rsidRDefault="00E4541C" w:rsidP="000A10E5">
      <w:pPr>
        <w:keepNext/>
        <w:ind w:left="567"/>
        <w:rPr>
          <w:b/>
          <w:i/>
        </w:rPr>
      </w:pPr>
      <w:r>
        <w:rPr>
          <w:b/>
          <w:i/>
        </w:rPr>
        <w:lastRenderedPageBreak/>
        <w:t>EU jako silnější hráč na mezinárodní scéně</w:t>
      </w:r>
    </w:p>
    <w:p w:rsidR="00E4541C" w:rsidRPr="000A10E5" w:rsidRDefault="00E4541C" w:rsidP="000A10E5">
      <w:pPr>
        <w:keepNext/>
      </w:pPr>
    </w:p>
    <w:p w:rsidR="00E4541C" w:rsidRPr="000A10E5" w:rsidRDefault="00E4541C" w:rsidP="00963A7F">
      <w:pPr>
        <w:pStyle w:val="Heading2"/>
        <w:keepNext/>
        <w:ind w:left="567" w:hanging="567"/>
        <w:rPr>
          <w:b/>
        </w:rPr>
      </w:pPr>
      <w:r>
        <w:rPr>
          <w:b/>
        </w:rPr>
        <w:t>Vývoj: Podpora úsilí členských států při rozvoji společných evropských obranných schopností (minimální normy)</w:t>
      </w:r>
      <w:r>
        <w:rPr>
          <w:rStyle w:val="FootnoteReference"/>
        </w:rPr>
        <w:footnoteReference w:id="40"/>
      </w:r>
    </w:p>
    <w:p w:rsidR="00E4541C" w:rsidRPr="000A10E5" w:rsidRDefault="00E4541C" w:rsidP="000A10E5">
      <w:pPr>
        <w:keepNext/>
      </w:pPr>
    </w:p>
    <w:p w:rsidR="00E4541C" w:rsidRPr="000A10E5" w:rsidRDefault="00E4541C" w:rsidP="00963A7F">
      <w:pPr>
        <w:pStyle w:val="Heading2"/>
        <w:numPr>
          <w:ilvl w:val="0"/>
          <w:numId w:val="0"/>
        </w:numPr>
        <w:ind w:left="567"/>
      </w:pPr>
      <w:r>
        <w:t>EHSV očekává nové informace</w:t>
      </w:r>
      <w:r w:rsidR="00A61E45">
        <w:t xml:space="preserve"> o </w:t>
      </w:r>
      <w:r>
        <w:t>studii připravované Komisí</w:t>
      </w:r>
      <w:r w:rsidR="00A61E45">
        <w:t xml:space="preserve"> a </w:t>
      </w:r>
      <w:r>
        <w:t>jejím následném rozhodnutí</w:t>
      </w:r>
      <w:r w:rsidR="00A61E45">
        <w:t xml:space="preserve"> a </w:t>
      </w:r>
      <w:r>
        <w:t>podporuje vypracování společných norem pro zbraně</w:t>
      </w:r>
      <w:r w:rsidR="00A61E45">
        <w:t xml:space="preserve"> i </w:t>
      </w:r>
      <w:r>
        <w:t>zboží dvojího užití, přičemž je třeba se vyhnout zdvojování stávajících norem, zejména norem NATO.</w:t>
      </w:r>
      <w:r>
        <w:rPr>
          <w:rStyle w:val="FootnoteReference"/>
        </w:rPr>
        <w:footnoteReference w:id="41"/>
      </w:r>
    </w:p>
    <w:p w:rsidR="00E4541C" w:rsidRPr="000A10E5" w:rsidRDefault="00E4541C"/>
    <w:p w:rsidR="00E4541C" w:rsidRPr="000A10E5" w:rsidRDefault="00E4541C" w:rsidP="00963A7F">
      <w:pPr>
        <w:pStyle w:val="Heading1"/>
        <w:keepNext/>
        <w:ind w:left="567" w:hanging="567"/>
        <w:rPr>
          <w:b/>
        </w:rPr>
      </w:pPr>
      <w:r>
        <w:rPr>
          <w:b/>
        </w:rPr>
        <w:t>Mezinárodní spolupráce</w:t>
      </w:r>
    </w:p>
    <w:p w:rsidR="00E4541C" w:rsidRPr="000A10E5" w:rsidRDefault="00E4541C" w:rsidP="00963A7F">
      <w:pPr>
        <w:keepNext/>
      </w:pPr>
    </w:p>
    <w:p w:rsidR="00E4541C" w:rsidRPr="000A10E5" w:rsidRDefault="00E4541C" w:rsidP="00963A7F">
      <w:pPr>
        <w:pStyle w:val="Heading2"/>
        <w:ind w:left="567" w:hanging="567"/>
      </w:pPr>
      <w:r>
        <w:t>EHSV podporuje iniciativu Komise</w:t>
      </w:r>
      <w:r w:rsidR="00A61E45">
        <w:t xml:space="preserve"> v </w:t>
      </w:r>
      <w:r>
        <w:t>oblasti posílení politického dialogu</w:t>
      </w:r>
      <w:r w:rsidR="00A61E45">
        <w:t xml:space="preserve"> s </w:t>
      </w:r>
      <w:r>
        <w:t>mezinárodními normalizačními subjekty, ale chtěl by Komisi upozornit na skutečnost, že čím dál více norem je</w:t>
      </w:r>
      <w:r w:rsidR="00A61E45">
        <w:t xml:space="preserve"> v </w:t>
      </w:r>
      <w:r>
        <w:t>současné době vytvářeno na mezinárodní úrovni bez koordinovaného zapojení EU.</w:t>
      </w:r>
    </w:p>
    <w:p w:rsidR="00AD5C6E" w:rsidRPr="000A10E5" w:rsidRDefault="00AD5C6E"/>
    <w:p w:rsidR="00E4541C" w:rsidRPr="000A10E5" w:rsidRDefault="00E4541C" w:rsidP="00963A7F">
      <w:pPr>
        <w:pStyle w:val="Heading2"/>
        <w:ind w:left="567" w:hanging="567"/>
      </w:pPr>
      <w:r>
        <w:t>Tato internacionalizace tvorby norem přináší důsledky: společenské subjekty, malé</w:t>
      </w:r>
      <w:r w:rsidR="00A61E45">
        <w:t xml:space="preserve"> a </w:t>
      </w:r>
      <w:r>
        <w:t>střední podniky</w:t>
      </w:r>
      <w:r w:rsidR="00A61E45">
        <w:t xml:space="preserve"> a </w:t>
      </w:r>
      <w:r>
        <w:t>orgány pro dozor nad trhem se již nemohou zapojit, jelikož nemají dostatek zdrojů pro aktivní ovlivňování mezinárodního prostředí, kde se normy vytvářejí.</w:t>
      </w:r>
    </w:p>
    <w:p w:rsidR="00AD5C6E" w:rsidRPr="000A10E5" w:rsidRDefault="00AD5C6E"/>
    <w:p w:rsidR="00E4541C" w:rsidRPr="000A10E5" w:rsidRDefault="00E4541C" w:rsidP="00963A7F">
      <w:pPr>
        <w:pStyle w:val="Heading2"/>
        <w:ind w:left="567" w:hanging="567"/>
      </w:pPr>
      <w:r>
        <w:t>Jelikož tyto mezinárodní normy mohou být přímo přejímány na vnitrostátní úrovni,</w:t>
      </w:r>
      <w:r w:rsidR="00A61E45">
        <w:t xml:space="preserve"> v </w:t>
      </w:r>
      <w:r>
        <w:t>případě obcházení evropských normalizačních organizací stále více hrozí, že na vnitřním trhu vzniknou neharmonizované postupy.</w:t>
      </w:r>
    </w:p>
    <w:p w:rsidR="00E4541C" w:rsidRPr="000A10E5" w:rsidRDefault="00E4541C"/>
    <w:p w:rsidR="00E4541C" w:rsidRPr="000A10E5" w:rsidRDefault="00E4541C" w:rsidP="00963A7F">
      <w:pPr>
        <w:pStyle w:val="Heading1"/>
        <w:keepNext/>
        <w:ind w:left="567" w:hanging="567"/>
        <w:rPr>
          <w:b/>
        </w:rPr>
      </w:pPr>
      <w:r>
        <w:rPr>
          <w:b/>
        </w:rPr>
        <w:t>Inkluzivnost</w:t>
      </w:r>
    </w:p>
    <w:p w:rsidR="00AD5C6E" w:rsidRPr="000A10E5" w:rsidRDefault="00AD5C6E" w:rsidP="00963A7F">
      <w:pPr>
        <w:keepNext/>
      </w:pPr>
    </w:p>
    <w:p w:rsidR="00E4541C" w:rsidRPr="000A10E5" w:rsidRDefault="00E4541C" w:rsidP="00963A7F">
      <w:pPr>
        <w:ind w:left="567"/>
      </w:pPr>
      <w:r>
        <w:t>EHSV vítá opatření Komise pro sledování pokroku provádění skutečně inkluzivního evropského systému normalizace. EHSV důrazně vybízí evropské normalizační organizace, aby zjednodušily postupy pro organizace podle přílohy III, pokud jde</w:t>
      </w:r>
      <w:r w:rsidR="00A61E45">
        <w:t xml:space="preserve"> o </w:t>
      </w:r>
      <w:r>
        <w:t>přístup</w:t>
      </w:r>
      <w:r w:rsidR="00A61E45">
        <w:t xml:space="preserve"> k </w:t>
      </w:r>
      <w:r>
        <w:t>postupu návrhu norem,</w:t>
      </w:r>
      <w:r w:rsidR="00A61E45">
        <w:t xml:space="preserve"> a </w:t>
      </w:r>
      <w:r>
        <w:t>tím zmírnily překážku pro účinné zapojení.</w:t>
      </w:r>
    </w:p>
    <w:p w:rsidR="00E4541C" w:rsidRPr="000A10E5" w:rsidRDefault="00E4541C"/>
    <w:p w:rsidR="00E4541C" w:rsidRPr="000A10E5" w:rsidRDefault="00E4541C" w:rsidP="00963A7F">
      <w:pPr>
        <w:pStyle w:val="Heading1"/>
        <w:keepNext/>
        <w:ind w:left="567" w:hanging="567"/>
        <w:rPr>
          <w:b/>
        </w:rPr>
      </w:pPr>
      <w:r>
        <w:rPr>
          <w:b/>
        </w:rPr>
        <w:t>Provádění společné iniciativy</w:t>
      </w:r>
      <w:r w:rsidR="00A61E45">
        <w:rPr>
          <w:b/>
        </w:rPr>
        <w:t xml:space="preserve"> v </w:t>
      </w:r>
      <w:r>
        <w:rPr>
          <w:b/>
        </w:rPr>
        <w:t>oblasti normalizace</w:t>
      </w:r>
    </w:p>
    <w:p w:rsidR="00AD5C6E" w:rsidRPr="000A10E5" w:rsidRDefault="00AD5C6E" w:rsidP="00963A7F">
      <w:pPr>
        <w:keepNext/>
      </w:pPr>
    </w:p>
    <w:p w:rsidR="00E4541C" w:rsidRPr="000A10E5" w:rsidRDefault="00E4541C" w:rsidP="00963A7F">
      <w:pPr>
        <w:pStyle w:val="Heading2"/>
        <w:ind w:left="567" w:hanging="567"/>
      </w:pPr>
      <w:r>
        <w:t>EHSV vítá různá opatření společné iniciativy</w:t>
      </w:r>
      <w:r w:rsidR="00A61E45">
        <w:t xml:space="preserve"> v </w:t>
      </w:r>
      <w:r>
        <w:t>oblasti normalizace.</w:t>
      </w:r>
      <w:r w:rsidR="00A61E45">
        <w:t xml:space="preserve"> V </w:t>
      </w:r>
      <w:r>
        <w:t>souvislosti se studií na úrovni EU zabývající se hospodářskými</w:t>
      </w:r>
      <w:r w:rsidR="00A61E45">
        <w:t xml:space="preserve"> a </w:t>
      </w:r>
      <w:r>
        <w:t>společenskými dopady</w:t>
      </w:r>
      <w:r w:rsidR="00A61E45">
        <w:t xml:space="preserve"> a </w:t>
      </w:r>
      <w:r>
        <w:t>také</w:t>
      </w:r>
      <w:r w:rsidR="00A61E45">
        <w:t xml:space="preserve"> s </w:t>
      </w:r>
      <w:r>
        <w:t>přístupem</w:t>
      </w:r>
      <w:r w:rsidR="00A61E45">
        <w:t xml:space="preserve"> k </w:t>
      </w:r>
      <w:r>
        <w:t>normám</w:t>
      </w:r>
      <w:r w:rsidR="00A61E45">
        <w:t xml:space="preserve"> v </w:t>
      </w:r>
      <w:r>
        <w:t>členských státech EU</w:t>
      </w:r>
      <w:r w:rsidR="00A61E45">
        <w:t xml:space="preserve"> a </w:t>
      </w:r>
      <w:r>
        <w:t>ESVO navrhuje rovněž zvážit nepřímé dopady činností</w:t>
      </w:r>
      <w:r w:rsidR="00A61E45">
        <w:t xml:space="preserve"> v </w:t>
      </w:r>
      <w:r>
        <w:t>oblasti tvorby norem se zaměřením na otázky, jako je přemisťování pracovních míst, inkluzivnost společnosti, vzdělání</w:t>
      </w:r>
      <w:r w:rsidR="00A61E45">
        <w:t xml:space="preserve"> a </w:t>
      </w:r>
      <w:r>
        <w:t>odborná příprava atd.</w:t>
      </w:r>
    </w:p>
    <w:p w:rsidR="00A93DF9" w:rsidRPr="000A10E5" w:rsidRDefault="00A93DF9"/>
    <w:p w:rsidR="00E4541C" w:rsidRPr="000A10E5" w:rsidRDefault="00E4541C" w:rsidP="000A10E5">
      <w:pPr>
        <w:pStyle w:val="Heading2"/>
        <w:keepNext/>
        <w:ind w:left="567" w:hanging="567"/>
      </w:pPr>
      <w:r>
        <w:lastRenderedPageBreak/>
        <w:t>EHSV vítá iniciativy na urychlení postupu dokončení norem, ale obává se, že je to na úkor zviditelnění přípravné práce, která</w:t>
      </w:r>
      <w:r w:rsidR="00A61E45">
        <w:t xml:space="preserve"> k </w:t>
      </w:r>
      <w:r>
        <w:t>normám vede.</w:t>
      </w:r>
    </w:p>
    <w:p w:rsidR="00ED6A75" w:rsidRPr="000A10E5" w:rsidRDefault="00ED6A75" w:rsidP="000A10E5">
      <w:pPr>
        <w:keepNext/>
      </w:pPr>
    </w:p>
    <w:p w:rsidR="00ED6A75" w:rsidRPr="000A10E5" w:rsidRDefault="00ED6A75" w:rsidP="000A10E5">
      <w:pPr>
        <w:keepNext/>
      </w:pPr>
      <w:r>
        <w:t>V Bruselu dne 1</w:t>
      </w:r>
      <w:r w:rsidR="00A61E45">
        <w:t>8. </w:t>
      </w:r>
      <w:r>
        <w:t>prosince 2017</w:t>
      </w:r>
    </w:p>
    <w:p w:rsidR="00ED6A75" w:rsidRPr="000A10E5" w:rsidRDefault="00ED6A75" w:rsidP="000A10E5">
      <w:pPr>
        <w:keepNext/>
      </w:pPr>
    </w:p>
    <w:p w:rsidR="00ED6A75" w:rsidRPr="000A10E5" w:rsidRDefault="00ED6A75" w:rsidP="000A10E5">
      <w:pPr>
        <w:keepNext/>
      </w:pPr>
    </w:p>
    <w:p w:rsidR="00ED6A75" w:rsidRPr="000A10E5" w:rsidRDefault="00ED6A75" w:rsidP="000A10E5">
      <w:pPr>
        <w:keepNext/>
      </w:pPr>
    </w:p>
    <w:p w:rsidR="00ED6A75" w:rsidRPr="000A10E5" w:rsidRDefault="00ED6A75" w:rsidP="000A10E5">
      <w:pPr>
        <w:keepNext/>
      </w:pPr>
    </w:p>
    <w:p w:rsidR="00ED6A75" w:rsidRPr="000A10E5" w:rsidRDefault="00ED6A75" w:rsidP="000A10E5">
      <w:pPr>
        <w:keepNext/>
      </w:pPr>
      <w:r>
        <w:t>Martin SIECKER</w:t>
      </w:r>
    </w:p>
    <w:p w:rsidR="00ED6A75" w:rsidRPr="000A10E5" w:rsidRDefault="00016F8B" w:rsidP="000A10E5">
      <w:pPr>
        <w:keepNext/>
      </w:pPr>
      <w:r>
        <w:t>předseda specializované sekce Jednotný trh, výroba</w:t>
      </w:r>
      <w:r w:rsidR="00A61E45">
        <w:t xml:space="preserve"> a </w:t>
      </w:r>
      <w:r>
        <w:t>spotřeba</w:t>
      </w:r>
    </w:p>
    <w:p w:rsidR="001B2D02" w:rsidRPr="000A10E5" w:rsidRDefault="001B2D02" w:rsidP="00ED6A75"/>
    <w:p w:rsidR="00646AC2" w:rsidRDefault="00646AC2">
      <w:pPr>
        <w:overflowPunct/>
        <w:adjustRightInd/>
        <w:jc w:val="center"/>
        <w:textAlignment w:val="auto"/>
      </w:pPr>
      <w:r>
        <w:t>_____________</w:t>
      </w:r>
    </w:p>
    <w:sectPr w:rsidR="00646AC2" w:rsidSect="00AA4021">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8B7" w:rsidRDefault="00A238B7">
      <w:r>
        <w:separator/>
      </w:r>
    </w:p>
  </w:endnote>
  <w:endnote w:type="continuationSeparator" w:id="0">
    <w:p w:rsidR="00A238B7" w:rsidRDefault="00A2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21" w:rsidRPr="00AA4021" w:rsidRDefault="00AA4021" w:rsidP="00AA40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B7" w:rsidRPr="00AA4021" w:rsidRDefault="00AA4021" w:rsidP="00AA4021">
    <w:pPr>
      <w:pStyle w:val="Footer"/>
    </w:pPr>
    <w:r>
      <w:t xml:space="preserve">INT/830 – EESC-2017-04398-00-00-AS-TRA (EN) </w:t>
    </w:r>
    <w:r>
      <w:fldChar w:fldCharType="begin"/>
    </w:r>
    <w:r>
      <w:instrText xml:space="preserve"> PAGE  \* Arabic  \* MERGEFORMAT </w:instrText>
    </w:r>
    <w:r>
      <w:fldChar w:fldCharType="separate"/>
    </w:r>
    <w:r w:rsidR="003820C4">
      <w:rPr>
        <w:noProof/>
      </w:rPr>
      <w:t>1</w:t>
    </w:r>
    <w:r>
      <w:fldChar w:fldCharType="end"/>
    </w:r>
    <w:r>
      <w:t>/</w:t>
    </w:r>
    <w:r>
      <w:fldChar w:fldCharType="begin"/>
    </w:r>
    <w:r>
      <w:instrText xml:space="preserve"> = </w:instrText>
    </w:r>
    <w:fldSimple w:instr=" NUMPAGES ">
      <w:r w:rsidR="003820C4">
        <w:rPr>
          <w:noProof/>
        </w:rPr>
        <w:instrText>12</w:instrText>
      </w:r>
    </w:fldSimple>
    <w:r>
      <w:instrText xml:space="preserve"> -0 </w:instrText>
    </w:r>
    <w:r>
      <w:fldChar w:fldCharType="separate"/>
    </w:r>
    <w:r w:rsidR="003820C4">
      <w:rPr>
        <w:noProof/>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21" w:rsidRPr="00AA4021" w:rsidRDefault="00AA4021" w:rsidP="00AA40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0A" w:rsidRPr="00AA4021" w:rsidRDefault="00215D0A" w:rsidP="00AA402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0A" w:rsidRPr="00AA4021" w:rsidRDefault="00AA4021" w:rsidP="00AA4021">
    <w:pPr>
      <w:pStyle w:val="Footer"/>
    </w:pPr>
    <w:r>
      <w:t xml:space="preserve">INT/830 – EESC-2017-04398-00-00-AS-TRA (EN) </w:t>
    </w:r>
    <w:r>
      <w:fldChar w:fldCharType="begin"/>
    </w:r>
    <w:r>
      <w:instrText xml:space="preserve"> PAGE  \* Arabic  \* MERGEFORMAT </w:instrText>
    </w:r>
    <w:r>
      <w:fldChar w:fldCharType="separate"/>
    </w:r>
    <w:r w:rsidR="003820C4">
      <w:rPr>
        <w:noProof/>
      </w:rPr>
      <w:t>11</w:t>
    </w:r>
    <w:r>
      <w:fldChar w:fldCharType="end"/>
    </w:r>
    <w:r>
      <w:t>/</w:t>
    </w:r>
    <w:r>
      <w:fldChar w:fldCharType="begin"/>
    </w:r>
    <w:r>
      <w:instrText xml:space="preserve"> = </w:instrText>
    </w:r>
    <w:fldSimple w:instr=" NUMPAGES ">
      <w:r w:rsidR="003820C4">
        <w:rPr>
          <w:noProof/>
        </w:rPr>
        <w:instrText>12</w:instrText>
      </w:r>
    </w:fldSimple>
    <w:r>
      <w:instrText xml:space="preserve"> -0 </w:instrText>
    </w:r>
    <w:r>
      <w:fldChar w:fldCharType="separate"/>
    </w:r>
    <w:r w:rsidR="003820C4">
      <w:rPr>
        <w:noProof/>
      </w:rP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0A" w:rsidRPr="00AA4021" w:rsidRDefault="00215D0A" w:rsidP="00AA4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8B7" w:rsidRDefault="00A238B7">
      <w:r>
        <w:separator/>
      </w:r>
    </w:p>
  </w:footnote>
  <w:footnote w:type="continuationSeparator" w:id="0">
    <w:p w:rsidR="00A238B7" w:rsidRDefault="00A238B7">
      <w:r>
        <w:continuationSeparator/>
      </w:r>
    </w:p>
  </w:footnote>
  <w:footnote w:id="1">
    <w:p w:rsidR="00A238B7" w:rsidRPr="000A10E5" w:rsidRDefault="00A238B7" w:rsidP="00963A7F">
      <w:pPr>
        <w:pStyle w:val="FootnoteText"/>
        <w:ind w:left="567" w:hanging="567"/>
        <w:rPr>
          <w:lang w:val="en-GB"/>
        </w:rPr>
      </w:pPr>
      <w:r>
        <w:rPr>
          <w:rStyle w:val="FootnoteReference"/>
        </w:rPr>
        <w:footnoteRef/>
      </w:r>
      <w:r>
        <w:t xml:space="preserve"> </w:t>
      </w:r>
      <w:r>
        <w:tab/>
      </w:r>
      <w:proofErr w:type="gramStart"/>
      <w:r>
        <w:t>COM(2015</w:t>
      </w:r>
      <w:proofErr w:type="gramEnd"/>
      <w:r>
        <w:t>) 550 final.</w:t>
      </w:r>
    </w:p>
  </w:footnote>
  <w:footnote w:id="2">
    <w:p w:rsidR="00E44FA9" w:rsidRPr="000A10E5" w:rsidRDefault="00E44FA9" w:rsidP="000A10E5">
      <w:pPr>
        <w:pStyle w:val="FootnoteText"/>
        <w:ind w:left="567" w:hanging="567"/>
        <w:rPr>
          <w:lang w:val="en-GB"/>
        </w:rPr>
      </w:pPr>
      <w:r>
        <w:rPr>
          <w:rStyle w:val="FootnoteReference"/>
        </w:rPr>
        <w:footnoteRef/>
      </w:r>
      <w:r>
        <w:t xml:space="preserve"> </w:t>
      </w:r>
      <w:r>
        <w:tab/>
      </w:r>
      <w:hyperlink r:id="rId1">
        <w:r>
          <w:rPr>
            <w:rStyle w:val="Hyperlink"/>
          </w:rPr>
          <w:t xml:space="preserve">C-613/14 – James </w:t>
        </w:r>
        <w:proofErr w:type="spellStart"/>
        <w:r>
          <w:rPr>
            <w:rStyle w:val="Hyperlink"/>
          </w:rPr>
          <w:t>Elliott</w:t>
        </w:r>
        <w:proofErr w:type="spellEnd"/>
        <w:r>
          <w:rPr>
            <w:rStyle w:val="Hyperlink"/>
          </w:rPr>
          <w:t xml:space="preserve"> </w:t>
        </w:r>
        <w:proofErr w:type="spellStart"/>
        <w:r>
          <w:rPr>
            <w:rStyle w:val="Hyperlink"/>
          </w:rPr>
          <w:t>Con</w:t>
        </w:r>
        <w:r>
          <w:rPr>
            <w:rStyle w:val="Hyperlink"/>
          </w:rPr>
          <w:t>s</w:t>
        </w:r>
        <w:r>
          <w:rPr>
            <w:rStyle w:val="Hyperlink"/>
          </w:rPr>
          <w:t>truction</w:t>
        </w:r>
        <w:proofErr w:type="spellEnd"/>
      </w:hyperlink>
      <w:r>
        <w:t>.</w:t>
      </w:r>
    </w:p>
  </w:footnote>
  <w:footnote w:id="3">
    <w:p w:rsidR="00A238B7" w:rsidRPr="000A10E5" w:rsidRDefault="00A238B7" w:rsidP="00963A7F">
      <w:pPr>
        <w:pStyle w:val="FootnoteText"/>
        <w:ind w:left="567" w:hanging="567"/>
        <w:rPr>
          <w:lang w:val="en-GB"/>
        </w:rPr>
      </w:pPr>
      <w:r>
        <w:rPr>
          <w:rStyle w:val="FootnoteReference"/>
        </w:rPr>
        <w:footnoteRef/>
      </w:r>
      <w:r>
        <w:t xml:space="preserve"> </w:t>
      </w:r>
      <w:r>
        <w:tab/>
      </w:r>
      <w:hyperlink r:id="rId2">
        <w:proofErr w:type="gramStart"/>
        <w:r>
          <w:rPr>
            <w:rStyle w:val="Hyperlink"/>
          </w:rPr>
          <w:t>COM(2016</w:t>
        </w:r>
        <w:proofErr w:type="gramEnd"/>
        <w:r>
          <w:rPr>
            <w:rStyle w:val="Hyperlink"/>
          </w:rPr>
          <w:t>) 157 final</w:t>
        </w:r>
      </w:hyperlink>
      <w:r>
        <w:t>.</w:t>
      </w:r>
    </w:p>
  </w:footnote>
  <w:footnote w:id="4">
    <w:p w:rsidR="00A238B7" w:rsidRPr="000A10E5" w:rsidRDefault="00A238B7" w:rsidP="00963A7F">
      <w:pPr>
        <w:pStyle w:val="FootnoteText"/>
        <w:ind w:left="567" w:hanging="567"/>
        <w:rPr>
          <w:lang w:val="en-GB"/>
        </w:rPr>
      </w:pPr>
      <w:r>
        <w:rPr>
          <w:rStyle w:val="FootnoteReference"/>
        </w:rPr>
        <w:footnoteRef/>
      </w:r>
      <w:r>
        <w:t xml:space="preserve"> </w:t>
      </w:r>
      <w:r>
        <w:tab/>
      </w:r>
      <w:hyperlink r:id="rId3">
        <w:r>
          <w:rPr>
            <w:rStyle w:val="Hyperlink"/>
          </w:rPr>
          <w:t xml:space="preserve">Úř. </w:t>
        </w:r>
        <w:proofErr w:type="gramStart"/>
        <w:r>
          <w:rPr>
            <w:rStyle w:val="Hyperlink"/>
          </w:rPr>
          <w:t>věst</w:t>
        </w:r>
        <w:proofErr w:type="gramEnd"/>
        <w:r>
          <w:rPr>
            <w:rStyle w:val="Hyperlink"/>
          </w:rPr>
          <w:t xml:space="preserve">. C 389, </w:t>
        </w:r>
        <w:proofErr w:type="gramStart"/>
        <w:r>
          <w:rPr>
            <w:rStyle w:val="Hyperlink"/>
          </w:rPr>
          <w:t>21.10.2016</w:t>
        </w:r>
        <w:proofErr w:type="gramEnd"/>
        <w:r>
          <w:rPr>
            <w:rStyle w:val="Hyperlink"/>
          </w:rPr>
          <w:t>, s. 80</w:t>
        </w:r>
      </w:hyperlink>
      <w:r>
        <w:t>.</w:t>
      </w:r>
    </w:p>
  </w:footnote>
  <w:footnote w:id="5">
    <w:p w:rsidR="00A238B7" w:rsidRPr="000A10E5" w:rsidRDefault="00A238B7" w:rsidP="00963A7F">
      <w:pPr>
        <w:pStyle w:val="FootnoteText"/>
        <w:ind w:left="567" w:hanging="567"/>
        <w:rPr>
          <w:lang w:val="en-GB"/>
        </w:rPr>
      </w:pPr>
      <w:r>
        <w:rPr>
          <w:rStyle w:val="FootnoteReference"/>
        </w:rPr>
        <w:footnoteRef/>
      </w:r>
      <w:r>
        <w:t xml:space="preserve"> </w:t>
      </w:r>
      <w:r>
        <w:tab/>
      </w:r>
      <w:hyperlink r:id="rId4">
        <w:proofErr w:type="gramStart"/>
        <w:r>
          <w:rPr>
            <w:rStyle w:val="Hyperlink"/>
          </w:rPr>
          <w:t>COM(2016</w:t>
        </w:r>
        <w:proofErr w:type="gramEnd"/>
        <w:r>
          <w:rPr>
            <w:rStyle w:val="Hyperlink"/>
          </w:rPr>
          <w:t>) 176 final.</w:t>
        </w:r>
      </w:hyperlink>
    </w:p>
  </w:footnote>
  <w:footnote w:id="6">
    <w:p w:rsidR="00A238B7" w:rsidRPr="000A10E5" w:rsidRDefault="00A238B7" w:rsidP="00963A7F">
      <w:pPr>
        <w:pStyle w:val="FootnoteText"/>
        <w:ind w:left="567" w:hanging="567"/>
        <w:rPr>
          <w:lang w:val="en-GB"/>
        </w:rPr>
      </w:pPr>
      <w:r>
        <w:rPr>
          <w:rStyle w:val="FootnoteReference"/>
        </w:rPr>
        <w:footnoteRef/>
      </w:r>
      <w:r>
        <w:t xml:space="preserve"> </w:t>
      </w:r>
      <w:r>
        <w:tab/>
      </w:r>
      <w:hyperlink r:id="rId5">
        <w:r>
          <w:rPr>
            <w:rStyle w:val="Hyperlink"/>
          </w:rPr>
          <w:t xml:space="preserve">Zpráva Sdružení evropských regulačních orgánů v oblasti elektronických komunikací (BEREC) o umožnění internetu věcí, </w:t>
        </w:r>
        <w:proofErr w:type="gramStart"/>
        <w:r>
          <w:rPr>
            <w:rStyle w:val="Hyperlink"/>
          </w:rPr>
          <w:t>12.2.2016</w:t>
        </w:r>
        <w:proofErr w:type="gramEnd"/>
      </w:hyperlink>
      <w:r>
        <w:t>.</w:t>
      </w:r>
    </w:p>
  </w:footnote>
  <w:footnote w:id="7">
    <w:p w:rsidR="00A238B7" w:rsidRPr="000A10E5" w:rsidRDefault="00A238B7" w:rsidP="00215D0A">
      <w:pPr>
        <w:pStyle w:val="FootnoteText"/>
        <w:ind w:left="567" w:hanging="567"/>
        <w:rPr>
          <w:lang w:val="en-GB"/>
        </w:rPr>
      </w:pPr>
      <w:r>
        <w:rPr>
          <w:rStyle w:val="FootnoteReference"/>
        </w:rPr>
        <w:footnoteRef/>
      </w:r>
      <w:r>
        <w:t xml:space="preserve"> </w:t>
      </w:r>
      <w:r>
        <w:tab/>
      </w:r>
      <w:hyperlink r:id="rId6">
        <w:r>
          <w:rPr>
            <w:rStyle w:val="Hyperlink"/>
          </w:rPr>
          <w:t xml:space="preserve">Směrnice 2014/53/EU, Úř. </w:t>
        </w:r>
        <w:proofErr w:type="gramStart"/>
        <w:r>
          <w:rPr>
            <w:rStyle w:val="Hyperlink"/>
          </w:rPr>
          <w:t>věst</w:t>
        </w:r>
        <w:proofErr w:type="gramEnd"/>
        <w:r>
          <w:rPr>
            <w:rStyle w:val="Hyperlink"/>
          </w:rPr>
          <w:t xml:space="preserve">. L 153, </w:t>
        </w:r>
        <w:proofErr w:type="gramStart"/>
        <w:r>
          <w:rPr>
            <w:rStyle w:val="Hyperlink"/>
          </w:rPr>
          <w:t>22.5.2014</w:t>
        </w:r>
        <w:proofErr w:type="gramEnd"/>
        <w:r>
          <w:rPr>
            <w:rStyle w:val="Hyperlink"/>
          </w:rPr>
          <w:t>, s. 62.</w:t>
        </w:r>
      </w:hyperlink>
    </w:p>
  </w:footnote>
  <w:footnote w:id="8">
    <w:p w:rsidR="00A238B7" w:rsidRPr="000A10E5" w:rsidRDefault="00A238B7" w:rsidP="00215D0A">
      <w:pPr>
        <w:pStyle w:val="FootnoteText"/>
        <w:ind w:left="567" w:hanging="567"/>
        <w:rPr>
          <w:lang w:val="en-GB"/>
        </w:rPr>
      </w:pPr>
      <w:r>
        <w:rPr>
          <w:rStyle w:val="FootnoteReference"/>
        </w:rPr>
        <w:footnoteRef/>
      </w:r>
      <w:r>
        <w:t xml:space="preserve"> </w:t>
      </w:r>
      <w:r>
        <w:tab/>
      </w:r>
      <w:hyperlink r:id="rId7">
        <w:r>
          <w:rPr>
            <w:rStyle w:val="Hyperlink"/>
          </w:rPr>
          <w:t xml:space="preserve">Směrnice (EU) 2016/797, Úř. </w:t>
        </w:r>
        <w:proofErr w:type="gramStart"/>
        <w:r>
          <w:rPr>
            <w:rStyle w:val="Hyperlink"/>
          </w:rPr>
          <w:t>věst</w:t>
        </w:r>
        <w:proofErr w:type="gramEnd"/>
        <w:r>
          <w:rPr>
            <w:rStyle w:val="Hyperlink"/>
          </w:rPr>
          <w:t xml:space="preserve">. L 138, </w:t>
        </w:r>
        <w:proofErr w:type="gramStart"/>
        <w:r>
          <w:rPr>
            <w:rStyle w:val="Hyperlink"/>
          </w:rPr>
          <w:t>26.5.2016</w:t>
        </w:r>
        <w:proofErr w:type="gramEnd"/>
        <w:r>
          <w:rPr>
            <w:rStyle w:val="Hyperlink"/>
          </w:rPr>
          <w:t>, s. 44.</w:t>
        </w:r>
      </w:hyperlink>
    </w:p>
  </w:footnote>
  <w:footnote w:id="9">
    <w:p w:rsidR="00A238B7" w:rsidRPr="000A10E5" w:rsidRDefault="00A238B7" w:rsidP="00215D0A">
      <w:pPr>
        <w:pStyle w:val="FootnoteText"/>
        <w:ind w:left="567" w:hanging="567"/>
        <w:rPr>
          <w:lang w:val="en-GB"/>
        </w:rPr>
      </w:pPr>
      <w:r>
        <w:rPr>
          <w:rStyle w:val="FootnoteReference"/>
        </w:rPr>
        <w:footnoteRef/>
      </w:r>
      <w:r>
        <w:t xml:space="preserve"> </w:t>
      </w:r>
      <w:r>
        <w:tab/>
      </w:r>
      <w:hyperlink r:id="rId8">
        <w:proofErr w:type="gramStart"/>
        <w:r>
          <w:rPr>
            <w:rStyle w:val="Hyperlink"/>
          </w:rPr>
          <w:t>COM(2011</w:t>
        </w:r>
        <w:proofErr w:type="gramEnd"/>
        <w:r>
          <w:rPr>
            <w:rStyle w:val="Hyperlink"/>
          </w:rPr>
          <w:t>) 144 final</w:t>
        </w:r>
      </w:hyperlink>
      <w:r>
        <w:t xml:space="preserve">, </w:t>
      </w:r>
      <w:hyperlink r:id="rId9">
        <w:r>
          <w:rPr>
            <w:rStyle w:val="Hyperlink"/>
          </w:rPr>
          <w:t>COM(2009) 8 final</w:t>
        </w:r>
      </w:hyperlink>
      <w:r>
        <w:t xml:space="preserve">, </w:t>
      </w:r>
      <w:hyperlink r:id="rId10">
        <w:r>
          <w:rPr>
            <w:rStyle w:val="Hyperlink"/>
          </w:rPr>
          <w:t>COM(2013) 913 final</w:t>
        </w:r>
      </w:hyperlink>
      <w:r>
        <w:t xml:space="preserve">, </w:t>
      </w:r>
      <w:hyperlink r:id="rId11">
        <w:r>
          <w:rPr>
            <w:rStyle w:val="Hyperlink"/>
          </w:rPr>
          <w:t>SWD(2013) 524 final</w:t>
        </w:r>
      </w:hyperlink>
      <w:r>
        <w:t>, C(2015) 2259 final.</w:t>
      </w:r>
    </w:p>
  </w:footnote>
  <w:footnote w:id="10">
    <w:p w:rsidR="00A238B7" w:rsidRPr="000A10E5" w:rsidRDefault="00A238B7" w:rsidP="00215D0A">
      <w:pPr>
        <w:pStyle w:val="FootnoteText"/>
        <w:ind w:left="567" w:hanging="567"/>
        <w:rPr>
          <w:lang w:val="en-GB"/>
        </w:rPr>
      </w:pPr>
      <w:r>
        <w:rPr>
          <w:rStyle w:val="FootnoteReference"/>
        </w:rPr>
        <w:footnoteRef/>
      </w:r>
      <w:r>
        <w:t xml:space="preserve"> </w:t>
      </w:r>
      <w:r>
        <w:tab/>
        <w:t>Viz Fórum pro digitální dopravu a logistiku - souvislosti, 2015.</w:t>
      </w:r>
    </w:p>
  </w:footnote>
  <w:footnote w:id="11">
    <w:p w:rsidR="00A238B7" w:rsidRPr="000A10E5" w:rsidRDefault="00A238B7" w:rsidP="00215D0A">
      <w:pPr>
        <w:pStyle w:val="FootnoteText"/>
        <w:ind w:left="567" w:hanging="567"/>
        <w:rPr>
          <w:lang w:val="en-GB"/>
        </w:rPr>
      </w:pPr>
      <w:r>
        <w:rPr>
          <w:rStyle w:val="FootnoteReference"/>
        </w:rPr>
        <w:footnoteRef/>
      </w:r>
      <w:r>
        <w:t xml:space="preserve"> </w:t>
      </w:r>
      <w:r>
        <w:tab/>
      </w:r>
      <w:hyperlink r:id="rId12">
        <w:r>
          <w:rPr>
            <w:rStyle w:val="Hyperlink"/>
          </w:rPr>
          <w:t xml:space="preserve">Směrnice 2008/50/ES, Úř. </w:t>
        </w:r>
        <w:proofErr w:type="gramStart"/>
        <w:r>
          <w:rPr>
            <w:rStyle w:val="Hyperlink"/>
          </w:rPr>
          <w:t>věst</w:t>
        </w:r>
        <w:proofErr w:type="gramEnd"/>
        <w:r>
          <w:rPr>
            <w:rStyle w:val="Hyperlink"/>
          </w:rPr>
          <w:t xml:space="preserve">. L 152, </w:t>
        </w:r>
        <w:proofErr w:type="gramStart"/>
        <w:r>
          <w:rPr>
            <w:rStyle w:val="Hyperlink"/>
          </w:rPr>
          <w:t>11.6.2008</w:t>
        </w:r>
        <w:proofErr w:type="gramEnd"/>
        <w:r>
          <w:rPr>
            <w:rStyle w:val="Hyperlink"/>
          </w:rPr>
          <w:t>, s. 1</w:t>
        </w:r>
      </w:hyperlink>
      <w:r>
        <w:t xml:space="preserve">; </w:t>
      </w:r>
      <w:hyperlink r:id="rId13">
        <w:r>
          <w:rPr>
            <w:rStyle w:val="Hyperlink"/>
          </w:rPr>
          <w:t xml:space="preserve">směrnice 2004/107/ES, Úř. </w:t>
        </w:r>
        <w:proofErr w:type="gramStart"/>
        <w:r>
          <w:rPr>
            <w:rStyle w:val="Hyperlink"/>
          </w:rPr>
          <w:t>věst</w:t>
        </w:r>
        <w:proofErr w:type="gramEnd"/>
        <w:r>
          <w:rPr>
            <w:rStyle w:val="Hyperlink"/>
          </w:rPr>
          <w:t xml:space="preserve">. L 23, </w:t>
        </w:r>
        <w:proofErr w:type="gramStart"/>
        <w:r>
          <w:rPr>
            <w:rStyle w:val="Hyperlink"/>
          </w:rPr>
          <w:t>26.1.2005</w:t>
        </w:r>
        <w:proofErr w:type="gramEnd"/>
        <w:r>
          <w:rPr>
            <w:rStyle w:val="Hyperlink"/>
          </w:rPr>
          <w:t>, s. 3.</w:t>
        </w:r>
      </w:hyperlink>
    </w:p>
  </w:footnote>
  <w:footnote w:id="12">
    <w:p w:rsidR="00A238B7" w:rsidRPr="000A10E5" w:rsidRDefault="00A238B7" w:rsidP="00215D0A">
      <w:pPr>
        <w:pStyle w:val="FootnoteText"/>
        <w:ind w:left="567" w:hanging="567"/>
        <w:rPr>
          <w:lang w:val="en-GB"/>
        </w:rPr>
      </w:pPr>
      <w:r>
        <w:rPr>
          <w:rStyle w:val="FootnoteReference"/>
        </w:rPr>
        <w:footnoteRef/>
      </w:r>
      <w:r>
        <w:t xml:space="preserve"> </w:t>
      </w:r>
      <w:r>
        <w:tab/>
      </w:r>
      <w:hyperlink r:id="rId14">
        <w:r>
          <w:rPr>
            <w:rStyle w:val="Hyperlink"/>
          </w:rPr>
          <w:t xml:space="preserve">Směrnice 2010/75/EU, Úř. </w:t>
        </w:r>
        <w:proofErr w:type="gramStart"/>
        <w:r>
          <w:rPr>
            <w:rStyle w:val="Hyperlink"/>
          </w:rPr>
          <w:t>věst</w:t>
        </w:r>
        <w:proofErr w:type="gramEnd"/>
        <w:r>
          <w:rPr>
            <w:rStyle w:val="Hyperlink"/>
          </w:rPr>
          <w:t xml:space="preserve">. L 334, </w:t>
        </w:r>
        <w:proofErr w:type="gramStart"/>
        <w:r>
          <w:rPr>
            <w:rStyle w:val="Hyperlink"/>
          </w:rPr>
          <w:t>17.12., s.</w:t>
        </w:r>
        <w:proofErr w:type="gramEnd"/>
        <w:r>
          <w:rPr>
            <w:rStyle w:val="Hyperlink"/>
          </w:rPr>
          <w:t> 17.</w:t>
        </w:r>
      </w:hyperlink>
    </w:p>
  </w:footnote>
  <w:footnote w:id="13">
    <w:p w:rsidR="00A238B7" w:rsidRPr="000A10E5" w:rsidRDefault="00A238B7" w:rsidP="00215D0A">
      <w:pPr>
        <w:pStyle w:val="FootnoteText"/>
        <w:ind w:left="567" w:hanging="567"/>
      </w:pPr>
      <w:r>
        <w:rPr>
          <w:rStyle w:val="FootnoteReference"/>
        </w:rPr>
        <w:footnoteRef/>
      </w:r>
      <w:r>
        <w:t xml:space="preserve"> </w:t>
      </w:r>
      <w:r>
        <w:tab/>
      </w:r>
      <w:hyperlink r:id="rId15">
        <w:r>
          <w:rPr>
            <w:rStyle w:val="Hyperlink"/>
          </w:rPr>
          <w:t>Nařízení (ES) č. 1907/2006.</w:t>
        </w:r>
      </w:hyperlink>
    </w:p>
  </w:footnote>
  <w:footnote w:id="14">
    <w:p w:rsidR="00A238B7" w:rsidRPr="000A10E5" w:rsidRDefault="00A238B7" w:rsidP="00215D0A">
      <w:pPr>
        <w:pStyle w:val="FootnoteText"/>
        <w:ind w:left="567" w:hanging="567"/>
      </w:pPr>
      <w:r>
        <w:rPr>
          <w:rStyle w:val="FootnoteReference"/>
        </w:rPr>
        <w:footnoteRef/>
      </w:r>
      <w:r>
        <w:t xml:space="preserve"> </w:t>
      </w:r>
      <w:r>
        <w:tab/>
      </w:r>
      <w:hyperlink r:id="rId16">
        <w:r>
          <w:rPr>
            <w:rStyle w:val="Hyperlink"/>
          </w:rPr>
          <w:t xml:space="preserve">Směrnice 2009/125/ES, Úř. </w:t>
        </w:r>
        <w:proofErr w:type="gramStart"/>
        <w:r>
          <w:rPr>
            <w:rStyle w:val="Hyperlink"/>
          </w:rPr>
          <w:t>věst</w:t>
        </w:r>
        <w:proofErr w:type="gramEnd"/>
        <w:r>
          <w:rPr>
            <w:rStyle w:val="Hyperlink"/>
          </w:rPr>
          <w:t xml:space="preserve">. L 285, </w:t>
        </w:r>
        <w:proofErr w:type="gramStart"/>
        <w:r>
          <w:rPr>
            <w:rStyle w:val="Hyperlink"/>
          </w:rPr>
          <w:t>31.10.2009</w:t>
        </w:r>
        <w:proofErr w:type="gramEnd"/>
        <w:r>
          <w:rPr>
            <w:rStyle w:val="Hyperlink"/>
          </w:rPr>
          <w:t>, s. 10.</w:t>
        </w:r>
      </w:hyperlink>
    </w:p>
  </w:footnote>
  <w:footnote w:id="15">
    <w:p w:rsidR="00A238B7" w:rsidRPr="000A10E5" w:rsidRDefault="00A238B7" w:rsidP="00215D0A">
      <w:pPr>
        <w:pStyle w:val="FootnoteText"/>
        <w:ind w:left="567" w:hanging="567"/>
      </w:pPr>
      <w:r>
        <w:rPr>
          <w:rStyle w:val="FootnoteReference"/>
        </w:rPr>
        <w:footnoteRef/>
      </w:r>
      <w:r>
        <w:t xml:space="preserve"> </w:t>
      </w:r>
      <w:r>
        <w:tab/>
      </w:r>
      <w:hyperlink r:id="rId17">
        <w:r>
          <w:rPr>
            <w:rStyle w:val="Hyperlink"/>
          </w:rPr>
          <w:t>Směrnice 2009/28/ES, Úř. </w:t>
        </w:r>
        <w:proofErr w:type="gramStart"/>
        <w:r>
          <w:rPr>
            <w:rStyle w:val="Hyperlink"/>
          </w:rPr>
          <w:t>věst</w:t>
        </w:r>
        <w:proofErr w:type="gramEnd"/>
        <w:r>
          <w:rPr>
            <w:rStyle w:val="Hyperlink"/>
          </w:rPr>
          <w:t xml:space="preserve">. L 140, </w:t>
        </w:r>
        <w:proofErr w:type="gramStart"/>
        <w:r>
          <w:rPr>
            <w:rStyle w:val="Hyperlink"/>
          </w:rPr>
          <w:t>5.6.2009</w:t>
        </w:r>
        <w:proofErr w:type="gramEnd"/>
        <w:r>
          <w:rPr>
            <w:rStyle w:val="Hyperlink"/>
          </w:rPr>
          <w:t>, s. 16.</w:t>
        </w:r>
      </w:hyperlink>
    </w:p>
    <w:p w:rsidR="00A238B7" w:rsidRPr="000A10E5" w:rsidRDefault="003820C4" w:rsidP="00963A7F">
      <w:pPr>
        <w:pStyle w:val="FootnoteText"/>
        <w:ind w:left="567" w:firstLine="0"/>
        <w:rPr>
          <w:lang w:val="en-GB"/>
        </w:rPr>
      </w:pPr>
      <w:hyperlink r:id="rId18">
        <w:proofErr w:type="gramStart"/>
        <w:r w:rsidR="00774AF3">
          <w:rPr>
            <w:rStyle w:val="Hyperlink"/>
          </w:rPr>
          <w:t>COM(2016</w:t>
        </w:r>
        <w:proofErr w:type="gramEnd"/>
        <w:r w:rsidR="00774AF3">
          <w:rPr>
            <w:rStyle w:val="Hyperlink"/>
          </w:rPr>
          <w:t>) 767 final.</w:t>
        </w:r>
      </w:hyperlink>
    </w:p>
  </w:footnote>
  <w:footnote w:id="16">
    <w:p w:rsidR="00A238B7" w:rsidRPr="000A10E5" w:rsidRDefault="00A238B7" w:rsidP="00215D0A">
      <w:pPr>
        <w:pStyle w:val="FootnoteText"/>
        <w:ind w:left="567" w:hanging="567"/>
        <w:rPr>
          <w:lang w:val="en-GB"/>
        </w:rPr>
      </w:pPr>
      <w:r>
        <w:rPr>
          <w:rStyle w:val="FootnoteReference"/>
        </w:rPr>
        <w:footnoteRef/>
      </w:r>
      <w:r>
        <w:t xml:space="preserve"> </w:t>
      </w:r>
      <w:r>
        <w:tab/>
      </w:r>
      <w:hyperlink r:id="rId19">
        <w:proofErr w:type="gramStart"/>
        <w:r>
          <w:rPr>
            <w:rStyle w:val="Hyperlink"/>
          </w:rPr>
          <w:t>COM(2013</w:t>
        </w:r>
        <w:proofErr w:type="gramEnd"/>
        <w:r>
          <w:rPr>
            <w:rStyle w:val="Hyperlink"/>
          </w:rPr>
          <w:t>) 249 final</w:t>
        </w:r>
      </w:hyperlink>
      <w:r>
        <w:t xml:space="preserve">; </w:t>
      </w:r>
      <w:hyperlink r:id="rId20">
        <w:proofErr w:type="gramStart"/>
        <w:r>
          <w:rPr>
            <w:rStyle w:val="Hyperlink"/>
          </w:rPr>
          <w:t>COM(2013</w:t>
        </w:r>
        <w:proofErr w:type="gramEnd"/>
        <w:r>
          <w:rPr>
            <w:rStyle w:val="Hyperlink"/>
          </w:rPr>
          <w:t>) 216 final</w:t>
        </w:r>
      </w:hyperlink>
      <w:r>
        <w:t xml:space="preserve">; </w:t>
      </w:r>
      <w:hyperlink r:id="rId21">
        <w:proofErr w:type="gramStart"/>
        <w:r>
          <w:rPr>
            <w:rStyle w:val="Hyperlink"/>
          </w:rPr>
          <w:t>COM(2014</w:t>
        </w:r>
        <w:proofErr w:type="gramEnd"/>
        <w:r>
          <w:rPr>
            <w:rStyle w:val="Hyperlink"/>
          </w:rPr>
          <w:t>) 445 final</w:t>
        </w:r>
      </w:hyperlink>
      <w:r>
        <w:t>.</w:t>
      </w:r>
    </w:p>
  </w:footnote>
  <w:footnote w:id="17">
    <w:p w:rsidR="00A238B7" w:rsidRPr="000A10E5" w:rsidRDefault="00A238B7" w:rsidP="00215D0A">
      <w:pPr>
        <w:pStyle w:val="FootnoteText"/>
        <w:ind w:left="567" w:hanging="567"/>
        <w:rPr>
          <w:lang w:val="en-GB"/>
        </w:rPr>
      </w:pPr>
      <w:r>
        <w:rPr>
          <w:rStyle w:val="FootnoteReference"/>
        </w:rPr>
        <w:footnoteRef/>
      </w:r>
      <w:r>
        <w:t xml:space="preserve"> </w:t>
      </w:r>
      <w:r>
        <w:tab/>
      </w:r>
      <w:hyperlink r:id="rId22">
        <w:r>
          <w:rPr>
            <w:rStyle w:val="Hyperlink"/>
          </w:rPr>
          <w:t>Směrnice 2009/28/ES, Úř. </w:t>
        </w:r>
        <w:proofErr w:type="gramStart"/>
        <w:r>
          <w:rPr>
            <w:rStyle w:val="Hyperlink"/>
          </w:rPr>
          <w:t>věst</w:t>
        </w:r>
        <w:proofErr w:type="gramEnd"/>
        <w:r>
          <w:rPr>
            <w:rStyle w:val="Hyperlink"/>
          </w:rPr>
          <w:t xml:space="preserve">. L 140, </w:t>
        </w:r>
        <w:proofErr w:type="gramStart"/>
        <w:r>
          <w:rPr>
            <w:rStyle w:val="Hyperlink"/>
          </w:rPr>
          <w:t>5.6.2009</w:t>
        </w:r>
        <w:proofErr w:type="gramEnd"/>
        <w:r>
          <w:rPr>
            <w:rStyle w:val="Hyperlink"/>
          </w:rPr>
          <w:t>, s. 16.</w:t>
        </w:r>
      </w:hyperlink>
    </w:p>
  </w:footnote>
  <w:footnote w:id="18">
    <w:p w:rsidR="00A238B7" w:rsidRPr="000A10E5" w:rsidRDefault="00A238B7" w:rsidP="00215D0A">
      <w:pPr>
        <w:pStyle w:val="FootnoteText"/>
        <w:ind w:left="567" w:hanging="567"/>
        <w:rPr>
          <w:lang w:val="en-GB"/>
        </w:rPr>
      </w:pPr>
      <w:r>
        <w:rPr>
          <w:rStyle w:val="FootnoteReference"/>
        </w:rPr>
        <w:footnoteRef/>
      </w:r>
      <w:r>
        <w:t xml:space="preserve"> </w:t>
      </w:r>
      <w:r>
        <w:tab/>
        <w:t>Projekt: Trh s biopalivy. Květen 2006.</w:t>
      </w:r>
    </w:p>
  </w:footnote>
  <w:footnote w:id="19">
    <w:p w:rsidR="00A238B7" w:rsidRPr="000A10E5" w:rsidRDefault="00A238B7" w:rsidP="00215D0A">
      <w:pPr>
        <w:pStyle w:val="FootnoteText"/>
        <w:ind w:left="567" w:hanging="567"/>
        <w:rPr>
          <w:lang w:val="en-GB"/>
        </w:rPr>
      </w:pPr>
      <w:r>
        <w:rPr>
          <w:rStyle w:val="FootnoteReference"/>
        </w:rPr>
        <w:footnoteRef/>
      </w:r>
      <w:r>
        <w:t xml:space="preserve"> </w:t>
      </w:r>
      <w:r>
        <w:tab/>
      </w:r>
      <w:hyperlink r:id="rId23">
        <w:r>
          <w:rPr>
            <w:rStyle w:val="Hyperlink"/>
          </w:rPr>
          <w:t>Směrnice 2003/87/ES, Úř. </w:t>
        </w:r>
        <w:proofErr w:type="gramStart"/>
        <w:r>
          <w:rPr>
            <w:rStyle w:val="Hyperlink"/>
          </w:rPr>
          <w:t>věst</w:t>
        </w:r>
        <w:proofErr w:type="gramEnd"/>
        <w:r>
          <w:rPr>
            <w:rStyle w:val="Hyperlink"/>
          </w:rPr>
          <w:t xml:space="preserve">. L 275, </w:t>
        </w:r>
        <w:proofErr w:type="gramStart"/>
        <w:r>
          <w:rPr>
            <w:rStyle w:val="Hyperlink"/>
          </w:rPr>
          <w:t>25.10.2003</w:t>
        </w:r>
        <w:proofErr w:type="gramEnd"/>
        <w:r>
          <w:rPr>
            <w:rStyle w:val="Hyperlink"/>
          </w:rPr>
          <w:t>, s. 32.</w:t>
        </w:r>
      </w:hyperlink>
    </w:p>
  </w:footnote>
  <w:footnote w:id="20">
    <w:p w:rsidR="00A238B7" w:rsidRPr="000A10E5" w:rsidRDefault="00A238B7" w:rsidP="00215D0A">
      <w:pPr>
        <w:pStyle w:val="FootnoteText"/>
        <w:ind w:left="567" w:hanging="567"/>
        <w:rPr>
          <w:lang w:val="en-GB"/>
        </w:rPr>
      </w:pPr>
      <w:r>
        <w:rPr>
          <w:rStyle w:val="FootnoteReference"/>
        </w:rPr>
        <w:footnoteRef/>
      </w:r>
      <w:r>
        <w:t xml:space="preserve"> </w:t>
      </w:r>
      <w:r>
        <w:tab/>
      </w:r>
      <w:hyperlink r:id="rId24">
        <w:proofErr w:type="gramStart"/>
        <w:r>
          <w:rPr>
            <w:rStyle w:val="Hyperlink"/>
          </w:rPr>
          <w:t>COM(95</w:t>
        </w:r>
        <w:proofErr w:type="gramEnd"/>
        <w:r>
          <w:rPr>
            <w:rStyle w:val="Hyperlink"/>
          </w:rPr>
          <w:t>) 302 final.</w:t>
        </w:r>
      </w:hyperlink>
    </w:p>
  </w:footnote>
  <w:footnote w:id="21">
    <w:p w:rsidR="00A238B7" w:rsidRPr="000A10E5" w:rsidRDefault="00A238B7" w:rsidP="00215D0A">
      <w:pPr>
        <w:pStyle w:val="FootnoteText"/>
        <w:ind w:left="567" w:hanging="567"/>
        <w:rPr>
          <w:lang w:val="en-GB"/>
        </w:rPr>
      </w:pPr>
      <w:r>
        <w:rPr>
          <w:rStyle w:val="FootnoteReference"/>
        </w:rPr>
        <w:footnoteRef/>
      </w:r>
      <w:r>
        <w:t xml:space="preserve"> </w:t>
      </w:r>
      <w:r>
        <w:tab/>
      </w:r>
      <w:hyperlink r:id="rId25">
        <w:r>
          <w:rPr>
            <w:rStyle w:val="Hyperlink"/>
          </w:rPr>
          <w:t xml:space="preserve">Směrnice (EU) 2016/1629, Úř. </w:t>
        </w:r>
        <w:proofErr w:type="gramStart"/>
        <w:r>
          <w:rPr>
            <w:rStyle w:val="Hyperlink"/>
          </w:rPr>
          <w:t>věst</w:t>
        </w:r>
        <w:proofErr w:type="gramEnd"/>
        <w:r>
          <w:rPr>
            <w:rStyle w:val="Hyperlink"/>
          </w:rPr>
          <w:t xml:space="preserve">. L 252, </w:t>
        </w:r>
        <w:proofErr w:type="gramStart"/>
        <w:r>
          <w:rPr>
            <w:rStyle w:val="Hyperlink"/>
          </w:rPr>
          <w:t>16.9.2016</w:t>
        </w:r>
        <w:proofErr w:type="gramEnd"/>
        <w:r>
          <w:rPr>
            <w:rStyle w:val="Hyperlink"/>
          </w:rPr>
          <w:t>, s. 118.</w:t>
        </w:r>
      </w:hyperlink>
    </w:p>
  </w:footnote>
  <w:footnote w:id="22">
    <w:p w:rsidR="00A238B7" w:rsidRPr="000A10E5" w:rsidRDefault="00A238B7" w:rsidP="00215D0A">
      <w:pPr>
        <w:pStyle w:val="FootnoteText"/>
        <w:ind w:left="567" w:hanging="567"/>
        <w:rPr>
          <w:lang w:val="en-GB"/>
        </w:rPr>
      </w:pPr>
      <w:r>
        <w:rPr>
          <w:rStyle w:val="FootnoteReference"/>
        </w:rPr>
        <w:footnoteRef/>
      </w:r>
      <w:r>
        <w:t xml:space="preserve"> </w:t>
      </w:r>
      <w:r>
        <w:tab/>
        <w:t>Evropská norma, která stanoví technické požadavky pro plavidla vnitrozemské plavby. Vydání 2015/1.</w:t>
      </w:r>
    </w:p>
  </w:footnote>
  <w:footnote w:id="23">
    <w:p w:rsidR="00A238B7" w:rsidRPr="000A10E5" w:rsidRDefault="00A238B7" w:rsidP="00215D0A">
      <w:pPr>
        <w:pStyle w:val="FootnoteText"/>
        <w:ind w:left="567" w:hanging="567"/>
        <w:rPr>
          <w:lang w:val="en-GB"/>
        </w:rPr>
      </w:pPr>
      <w:r>
        <w:rPr>
          <w:rStyle w:val="FootnoteReference"/>
        </w:rPr>
        <w:footnoteRef/>
      </w:r>
      <w:r>
        <w:t xml:space="preserve"> </w:t>
      </w:r>
      <w:r>
        <w:tab/>
      </w:r>
      <w:hyperlink r:id="rId26">
        <w:proofErr w:type="gramStart"/>
        <w:r>
          <w:rPr>
            <w:rStyle w:val="Hyperlink"/>
          </w:rPr>
          <w:t>COM(2016</w:t>
        </w:r>
        <w:proofErr w:type="gramEnd"/>
        <w:r>
          <w:rPr>
            <w:rStyle w:val="Hyperlink"/>
          </w:rPr>
          <w:t>) 705 final</w:t>
        </w:r>
      </w:hyperlink>
      <w:r>
        <w:t>.</w:t>
      </w:r>
    </w:p>
  </w:footnote>
  <w:footnote w:id="24">
    <w:p w:rsidR="00A238B7" w:rsidRPr="000A10E5" w:rsidRDefault="00A238B7" w:rsidP="00215D0A">
      <w:pPr>
        <w:pStyle w:val="FootnoteText"/>
        <w:ind w:left="567" w:hanging="567"/>
        <w:rPr>
          <w:lang w:val="en-GB"/>
        </w:rPr>
      </w:pPr>
      <w:r>
        <w:rPr>
          <w:rStyle w:val="FootnoteReference"/>
        </w:rPr>
        <w:footnoteRef/>
      </w:r>
      <w:r>
        <w:t xml:space="preserve"> </w:t>
      </w:r>
      <w:r>
        <w:tab/>
        <w:t>Stanovisko služeb systému Galileo k hlavním prioritám kosmického pracovního programu pro období 2018–2020 v rámci programu Horizont 2020.</w:t>
      </w:r>
    </w:p>
  </w:footnote>
  <w:footnote w:id="25">
    <w:p w:rsidR="00A238B7" w:rsidRPr="000A10E5" w:rsidRDefault="00A238B7" w:rsidP="00215D0A">
      <w:pPr>
        <w:pStyle w:val="FootnoteText"/>
        <w:ind w:left="567" w:hanging="567"/>
        <w:rPr>
          <w:lang w:val="en-GB"/>
        </w:rPr>
      </w:pPr>
      <w:r>
        <w:rPr>
          <w:rStyle w:val="FootnoteReference"/>
        </w:rPr>
        <w:footnoteRef/>
      </w:r>
      <w:r>
        <w:t xml:space="preserve"> </w:t>
      </w:r>
      <w:r>
        <w:tab/>
      </w:r>
      <w:hyperlink r:id="rId27">
        <w:proofErr w:type="gramStart"/>
        <w:r>
          <w:rPr>
            <w:rStyle w:val="Hyperlink"/>
          </w:rPr>
          <w:t>COM(2013</w:t>
        </w:r>
        <w:proofErr w:type="gramEnd"/>
        <w:r>
          <w:rPr>
            <w:rStyle w:val="Hyperlink"/>
          </w:rPr>
          <w:t>) 453 final</w:t>
        </w:r>
      </w:hyperlink>
      <w:r>
        <w:t xml:space="preserve">; směrnice o zadávání veřejných zakázek (2017/24/EU); </w:t>
      </w:r>
      <w:hyperlink r:id="rId28">
        <w:proofErr w:type="gramStart"/>
        <w:r>
          <w:rPr>
            <w:rStyle w:val="Hyperlink"/>
          </w:rPr>
          <w:t>COM(2015</w:t>
        </w:r>
        <w:proofErr w:type="gramEnd"/>
        <w:r>
          <w:rPr>
            <w:rStyle w:val="Hyperlink"/>
          </w:rPr>
          <w:t>) 0192 final</w:t>
        </w:r>
      </w:hyperlink>
      <w:r>
        <w:t>.</w:t>
      </w:r>
    </w:p>
  </w:footnote>
  <w:footnote w:id="26">
    <w:p w:rsidR="00A238B7" w:rsidRPr="000A10E5" w:rsidRDefault="00A238B7" w:rsidP="00215D0A">
      <w:pPr>
        <w:pStyle w:val="FootnoteText"/>
        <w:ind w:left="567" w:hanging="567"/>
        <w:rPr>
          <w:lang w:val="en-GB"/>
        </w:rPr>
      </w:pPr>
      <w:r>
        <w:rPr>
          <w:rStyle w:val="FootnoteReference"/>
        </w:rPr>
        <w:footnoteRef/>
      </w:r>
      <w:r>
        <w:t xml:space="preserve"> </w:t>
      </w:r>
      <w:r>
        <w:tab/>
      </w:r>
      <w:hyperlink r:id="rId29">
        <w:r>
          <w:rPr>
            <w:rStyle w:val="Hyperlink"/>
          </w:rPr>
          <w:t xml:space="preserve">Úř. </w:t>
        </w:r>
        <w:proofErr w:type="gramStart"/>
        <w:r>
          <w:rPr>
            <w:rStyle w:val="Hyperlink"/>
          </w:rPr>
          <w:t>věst</w:t>
        </w:r>
        <w:proofErr w:type="gramEnd"/>
        <w:r>
          <w:rPr>
            <w:rStyle w:val="Hyperlink"/>
          </w:rPr>
          <w:t xml:space="preserve">. C 67, </w:t>
        </w:r>
        <w:proofErr w:type="gramStart"/>
        <w:r>
          <w:rPr>
            <w:rStyle w:val="Hyperlink"/>
          </w:rPr>
          <w:t>6.3.2014</w:t>
        </w:r>
        <w:proofErr w:type="gramEnd"/>
        <w:r>
          <w:rPr>
            <w:rStyle w:val="Hyperlink"/>
          </w:rPr>
          <w:t>, s. 96</w:t>
        </w:r>
      </w:hyperlink>
      <w:r>
        <w:t>.</w:t>
      </w:r>
    </w:p>
  </w:footnote>
  <w:footnote w:id="27">
    <w:p w:rsidR="00A238B7" w:rsidRPr="000A10E5" w:rsidRDefault="00A238B7" w:rsidP="00215D0A">
      <w:pPr>
        <w:pStyle w:val="FootnoteText"/>
        <w:ind w:left="567" w:hanging="567"/>
        <w:rPr>
          <w:lang w:val="en-GB"/>
        </w:rPr>
      </w:pPr>
      <w:r>
        <w:rPr>
          <w:rStyle w:val="FootnoteReference"/>
        </w:rPr>
        <w:footnoteRef/>
      </w:r>
      <w:r>
        <w:t xml:space="preserve"> </w:t>
      </w:r>
      <w:r>
        <w:tab/>
      </w:r>
      <w:hyperlink r:id="rId30">
        <w:r>
          <w:rPr>
            <w:rStyle w:val="Hyperlink"/>
          </w:rPr>
          <w:t xml:space="preserve">Směrnice 2006/42/ES, směrnice 95/16/ES (přepracované znění), Úř. </w:t>
        </w:r>
        <w:proofErr w:type="gramStart"/>
        <w:r>
          <w:rPr>
            <w:rStyle w:val="Hyperlink"/>
          </w:rPr>
          <w:t>věst</w:t>
        </w:r>
        <w:proofErr w:type="gramEnd"/>
        <w:r>
          <w:rPr>
            <w:rStyle w:val="Hyperlink"/>
          </w:rPr>
          <w:t xml:space="preserve">. L 157, </w:t>
        </w:r>
        <w:proofErr w:type="gramStart"/>
        <w:r>
          <w:rPr>
            <w:rStyle w:val="Hyperlink"/>
          </w:rPr>
          <w:t>9.6.2006</w:t>
        </w:r>
        <w:proofErr w:type="gramEnd"/>
        <w:r>
          <w:rPr>
            <w:rStyle w:val="Hyperlink"/>
          </w:rPr>
          <w:t>, s. 24.</w:t>
        </w:r>
      </w:hyperlink>
    </w:p>
  </w:footnote>
  <w:footnote w:id="28">
    <w:p w:rsidR="00A238B7" w:rsidRPr="000A10E5" w:rsidRDefault="00A238B7" w:rsidP="00215D0A">
      <w:pPr>
        <w:pStyle w:val="FootnoteText"/>
        <w:ind w:left="567" w:hanging="567"/>
        <w:rPr>
          <w:lang w:val="en-GB"/>
        </w:rPr>
      </w:pPr>
      <w:r>
        <w:rPr>
          <w:rStyle w:val="FootnoteReference"/>
        </w:rPr>
        <w:footnoteRef/>
      </w:r>
      <w:r>
        <w:t xml:space="preserve"> </w:t>
      </w:r>
      <w:r>
        <w:tab/>
      </w:r>
      <w:hyperlink r:id="rId31">
        <w:r>
          <w:rPr>
            <w:rStyle w:val="Hyperlink"/>
          </w:rPr>
          <w:t xml:space="preserve">Nařízení (EU) 2017/745, Úř. </w:t>
        </w:r>
        <w:proofErr w:type="gramStart"/>
        <w:r>
          <w:rPr>
            <w:rStyle w:val="Hyperlink"/>
          </w:rPr>
          <w:t>věst</w:t>
        </w:r>
        <w:proofErr w:type="gramEnd"/>
        <w:r>
          <w:rPr>
            <w:rStyle w:val="Hyperlink"/>
          </w:rPr>
          <w:t xml:space="preserve">. L 117, </w:t>
        </w:r>
        <w:proofErr w:type="gramStart"/>
        <w:r>
          <w:rPr>
            <w:rStyle w:val="Hyperlink"/>
          </w:rPr>
          <w:t>5.5.2017</w:t>
        </w:r>
        <w:proofErr w:type="gramEnd"/>
        <w:r>
          <w:rPr>
            <w:rStyle w:val="Hyperlink"/>
          </w:rPr>
          <w:t>, s. 1;</w:t>
        </w:r>
      </w:hyperlink>
      <w:r>
        <w:t xml:space="preserve"> </w:t>
      </w:r>
      <w:hyperlink r:id="rId32">
        <w:r>
          <w:rPr>
            <w:rStyle w:val="Hyperlink"/>
          </w:rPr>
          <w:t xml:space="preserve">nařízení (EU) 2017/746, Úř. </w:t>
        </w:r>
        <w:proofErr w:type="gramStart"/>
        <w:r>
          <w:rPr>
            <w:rStyle w:val="Hyperlink"/>
          </w:rPr>
          <w:t>věst</w:t>
        </w:r>
        <w:proofErr w:type="gramEnd"/>
        <w:r>
          <w:rPr>
            <w:rStyle w:val="Hyperlink"/>
          </w:rPr>
          <w:t xml:space="preserve">. L 117, </w:t>
        </w:r>
        <w:proofErr w:type="gramStart"/>
        <w:r>
          <w:rPr>
            <w:rStyle w:val="Hyperlink"/>
          </w:rPr>
          <w:t>5.5.2017</w:t>
        </w:r>
        <w:proofErr w:type="gramEnd"/>
        <w:r>
          <w:rPr>
            <w:rStyle w:val="Hyperlink"/>
          </w:rPr>
          <w:t>, s. 176.</w:t>
        </w:r>
      </w:hyperlink>
    </w:p>
  </w:footnote>
  <w:footnote w:id="29">
    <w:p w:rsidR="00A238B7" w:rsidRPr="000A10E5" w:rsidRDefault="00A238B7" w:rsidP="00215D0A">
      <w:pPr>
        <w:pStyle w:val="FootnoteText"/>
        <w:ind w:left="567" w:hanging="567"/>
        <w:rPr>
          <w:lang w:val="en-GB"/>
        </w:rPr>
      </w:pPr>
      <w:r>
        <w:rPr>
          <w:rStyle w:val="FootnoteReference"/>
        </w:rPr>
        <w:footnoteRef/>
      </w:r>
      <w:r>
        <w:t xml:space="preserve"> </w:t>
      </w:r>
      <w:r>
        <w:tab/>
      </w:r>
      <w:hyperlink r:id="rId33">
        <w:r>
          <w:rPr>
            <w:rStyle w:val="Hyperlink"/>
          </w:rPr>
          <w:t xml:space="preserve">Nařízení (EU) 305/2011, Úř. </w:t>
        </w:r>
        <w:proofErr w:type="gramStart"/>
        <w:r>
          <w:rPr>
            <w:rStyle w:val="Hyperlink"/>
          </w:rPr>
          <w:t>věst</w:t>
        </w:r>
        <w:proofErr w:type="gramEnd"/>
        <w:r>
          <w:rPr>
            <w:rStyle w:val="Hyperlink"/>
          </w:rPr>
          <w:t xml:space="preserve">. L 88, </w:t>
        </w:r>
        <w:proofErr w:type="gramStart"/>
        <w:r>
          <w:rPr>
            <w:rStyle w:val="Hyperlink"/>
          </w:rPr>
          <w:t>4.4.2011</w:t>
        </w:r>
        <w:proofErr w:type="gramEnd"/>
        <w:r>
          <w:rPr>
            <w:rStyle w:val="Hyperlink"/>
          </w:rPr>
          <w:t>, s. 5</w:t>
        </w:r>
      </w:hyperlink>
      <w:r>
        <w:t xml:space="preserve">; </w:t>
      </w:r>
      <w:hyperlink r:id="rId34">
        <w:r>
          <w:rPr>
            <w:rStyle w:val="Hyperlink"/>
          </w:rPr>
          <w:t xml:space="preserve">směrnice Rady 98/83/ES, Úř. </w:t>
        </w:r>
        <w:proofErr w:type="gramStart"/>
        <w:r>
          <w:rPr>
            <w:rStyle w:val="Hyperlink"/>
          </w:rPr>
          <w:t>věst</w:t>
        </w:r>
        <w:proofErr w:type="gramEnd"/>
        <w:r>
          <w:rPr>
            <w:rStyle w:val="Hyperlink"/>
          </w:rPr>
          <w:t xml:space="preserve">. L 330, </w:t>
        </w:r>
        <w:proofErr w:type="gramStart"/>
        <w:r>
          <w:rPr>
            <w:rStyle w:val="Hyperlink"/>
          </w:rPr>
          <w:t>5.12.1998</w:t>
        </w:r>
        <w:proofErr w:type="gramEnd"/>
        <w:r>
          <w:rPr>
            <w:rStyle w:val="Hyperlink"/>
          </w:rPr>
          <w:t>, s. 32</w:t>
        </w:r>
      </w:hyperlink>
      <w:r>
        <w:t>.</w:t>
      </w:r>
    </w:p>
  </w:footnote>
  <w:footnote w:id="30">
    <w:p w:rsidR="004532C2" w:rsidRPr="000A10E5" w:rsidRDefault="004532C2" w:rsidP="000A10E5">
      <w:pPr>
        <w:pStyle w:val="FootnoteText"/>
        <w:ind w:left="567" w:hanging="567"/>
        <w:rPr>
          <w:lang w:val="en-GB"/>
        </w:rPr>
      </w:pPr>
      <w:r>
        <w:rPr>
          <w:rStyle w:val="FootnoteReference"/>
        </w:rPr>
        <w:footnoteRef/>
      </w:r>
      <w:r>
        <w:t xml:space="preserve"> </w:t>
      </w:r>
      <w:r>
        <w:tab/>
        <w:t>Přepracovaný mandát pro CEN/CENELEC.</w:t>
      </w:r>
    </w:p>
  </w:footnote>
  <w:footnote w:id="31">
    <w:p w:rsidR="004532C2" w:rsidRPr="000A10E5" w:rsidRDefault="004532C2" w:rsidP="000A10E5">
      <w:pPr>
        <w:pStyle w:val="FootnoteText"/>
        <w:ind w:left="567" w:hanging="567"/>
        <w:rPr>
          <w:lang w:val="en-GB"/>
        </w:rPr>
      </w:pPr>
      <w:r>
        <w:rPr>
          <w:rStyle w:val="FootnoteReference"/>
        </w:rPr>
        <w:footnoteRef/>
      </w:r>
      <w:r>
        <w:t xml:space="preserve"> </w:t>
      </w:r>
      <w:r>
        <w:tab/>
      </w:r>
      <w:hyperlink r:id="rId35">
        <w:proofErr w:type="gramStart"/>
        <w:r>
          <w:rPr>
            <w:rStyle w:val="Hyperlink"/>
          </w:rPr>
          <w:t>COM(2015</w:t>
        </w:r>
        <w:proofErr w:type="gramEnd"/>
        <w:r>
          <w:rPr>
            <w:rStyle w:val="Hyperlink"/>
          </w:rPr>
          <w:t>) 613 final.</w:t>
        </w:r>
      </w:hyperlink>
    </w:p>
  </w:footnote>
  <w:footnote w:id="32">
    <w:p w:rsidR="004532C2" w:rsidRPr="000A10E5" w:rsidRDefault="004532C2" w:rsidP="000A10E5">
      <w:pPr>
        <w:pStyle w:val="FootnoteText"/>
        <w:ind w:left="567" w:hanging="567"/>
        <w:rPr>
          <w:lang w:val="en-GB"/>
        </w:rPr>
      </w:pPr>
      <w:r>
        <w:rPr>
          <w:rStyle w:val="FootnoteReference"/>
        </w:rPr>
        <w:footnoteRef/>
      </w:r>
      <w:r>
        <w:t xml:space="preserve"> </w:t>
      </w:r>
      <w:r>
        <w:tab/>
      </w:r>
      <w:hyperlink r:id="rId36">
        <w:r>
          <w:rPr>
            <w:rStyle w:val="Hyperlink"/>
          </w:rPr>
          <w:t xml:space="preserve">ISO. </w:t>
        </w:r>
        <w:proofErr w:type="spellStart"/>
        <w:r>
          <w:rPr>
            <w:rStyle w:val="Hyperlink"/>
            <w:i/>
          </w:rPr>
          <w:t>How</w:t>
        </w:r>
        <w:proofErr w:type="spellEnd"/>
        <w:r>
          <w:rPr>
            <w:rStyle w:val="Hyperlink"/>
            <w:i/>
          </w:rPr>
          <w:t xml:space="preserve"> </w:t>
        </w:r>
        <w:proofErr w:type="spellStart"/>
        <w:r>
          <w:rPr>
            <w:rStyle w:val="Hyperlink"/>
            <w:i/>
          </w:rPr>
          <w:t>standards</w:t>
        </w:r>
        <w:proofErr w:type="spellEnd"/>
        <w:r>
          <w:rPr>
            <w:rStyle w:val="Hyperlink"/>
            <w:i/>
          </w:rPr>
          <w:t xml:space="preserve"> </w:t>
        </w:r>
        <w:proofErr w:type="spellStart"/>
        <w:r>
          <w:rPr>
            <w:rStyle w:val="Hyperlink"/>
            <w:i/>
          </w:rPr>
          <w:t>will</w:t>
        </w:r>
        <w:proofErr w:type="spellEnd"/>
        <w:r>
          <w:rPr>
            <w:rStyle w:val="Hyperlink"/>
            <w:i/>
          </w:rPr>
          <w:t xml:space="preserve"> </w:t>
        </w:r>
        <w:proofErr w:type="spellStart"/>
        <w:r>
          <w:rPr>
            <w:rStyle w:val="Hyperlink"/>
            <w:i/>
          </w:rPr>
          <w:t>target</w:t>
        </w:r>
        <w:proofErr w:type="spellEnd"/>
        <w:r>
          <w:rPr>
            <w:rStyle w:val="Hyperlink"/>
            <w:i/>
          </w:rPr>
          <w:t xml:space="preserve"> </w:t>
        </w:r>
        <w:proofErr w:type="spellStart"/>
        <w:r>
          <w:rPr>
            <w:rStyle w:val="Hyperlink"/>
            <w:i/>
          </w:rPr>
          <w:t>the</w:t>
        </w:r>
        <w:proofErr w:type="spellEnd"/>
        <w:r>
          <w:rPr>
            <w:rStyle w:val="Hyperlink"/>
            <w:i/>
          </w:rPr>
          <w:t xml:space="preserve"> </w:t>
        </w:r>
        <w:proofErr w:type="spellStart"/>
        <w:r>
          <w:rPr>
            <w:rStyle w:val="Hyperlink"/>
            <w:i/>
          </w:rPr>
          <w:t>drone</w:t>
        </w:r>
        <w:proofErr w:type="spellEnd"/>
        <w:r>
          <w:rPr>
            <w:rStyle w:val="Hyperlink"/>
            <w:i/>
          </w:rPr>
          <w:t xml:space="preserve"> </w:t>
        </w:r>
        <w:proofErr w:type="spellStart"/>
        <w:r>
          <w:rPr>
            <w:rStyle w:val="Hyperlink"/>
            <w:i/>
          </w:rPr>
          <w:t>industry</w:t>
        </w:r>
        <w:proofErr w:type="spellEnd"/>
        <w:r>
          <w:rPr>
            <w:rStyle w:val="Hyperlink"/>
            <w:i/>
          </w:rPr>
          <w:t>.</w:t>
        </w:r>
        <w:r>
          <w:rPr>
            <w:rStyle w:val="Hyperlink"/>
          </w:rPr>
          <w:t xml:space="preserve"> (Jak se budou normy zaměřovat na odvětví bezpilotních leteckých prostředků)</w:t>
        </w:r>
        <w:r w:rsidRPr="003820C4">
          <w:t>.</w:t>
        </w:r>
      </w:hyperlink>
    </w:p>
  </w:footnote>
  <w:footnote w:id="33">
    <w:p w:rsidR="009916EB" w:rsidRPr="000A10E5" w:rsidRDefault="009916EB" w:rsidP="000A10E5">
      <w:pPr>
        <w:pStyle w:val="FootnoteText"/>
        <w:ind w:left="567" w:hanging="567"/>
        <w:rPr>
          <w:lang w:val="en-GB"/>
        </w:rPr>
      </w:pPr>
      <w:r>
        <w:rPr>
          <w:rStyle w:val="FootnoteReference"/>
        </w:rPr>
        <w:footnoteRef/>
      </w:r>
      <w:r>
        <w:t xml:space="preserve"> </w:t>
      </w:r>
      <w:r>
        <w:tab/>
      </w:r>
      <w:hyperlink r:id="rId37">
        <w:r>
          <w:rPr>
            <w:rStyle w:val="Hyperlink"/>
          </w:rPr>
          <w:t xml:space="preserve">Směrnice 2014/28/EU, Úř. </w:t>
        </w:r>
        <w:proofErr w:type="gramStart"/>
        <w:r>
          <w:rPr>
            <w:rStyle w:val="Hyperlink"/>
          </w:rPr>
          <w:t>věst</w:t>
        </w:r>
        <w:proofErr w:type="gramEnd"/>
        <w:r>
          <w:rPr>
            <w:rStyle w:val="Hyperlink"/>
          </w:rPr>
          <w:t xml:space="preserve">. L 96, </w:t>
        </w:r>
        <w:proofErr w:type="gramStart"/>
        <w:r>
          <w:rPr>
            <w:rStyle w:val="Hyperlink"/>
          </w:rPr>
          <w:t>29.3.2014</w:t>
        </w:r>
        <w:proofErr w:type="gramEnd"/>
        <w:r>
          <w:rPr>
            <w:rStyle w:val="Hyperlink"/>
          </w:rPr>
          <w:t>, s. 1</w:t>
        </w:r>
      </w:hyperlink>
      <w:r>
        <w:t>.</w:t>
      </w:r>
    </w:p>
  </w:footnote>
  <w:footnote w:id="34">
    <w:p w:rsidR="004F1F0D" w:rsidRPr="000A10E5" w:rsidRDefault="004F1F0D" w:rsidP="000A10E5">
      <w:pPr>
        <w:pStyle w:val="FootnoteText"/>
        <w:ind w:left="567" w:hanging="567"/>
        <w:rPr>
          <w:lang w:val="en-GB"/>
        </w:rPr>
      </w:pPr>
      <w:r>
        <w:rPr>
          <w:rStyle w:val="FootnoteReference"/>
        </w:rPr>
        <w:footnoteRef/>
      </w:r>
      <w:r>
        <w:t xml:space="preserve"> </w:t>
      </w:r>
      <w:r>
        <w:tab/>
      </w:r>
      <w:hyperlink r:id="rId38">
        <w:r>
          <w:rPr>
            <w:rStyle w:val="Hyperlink"/>
          </w:rPr>
          <w:t xml:space="preserve">Směrnice (EU) 2016/797, Úř. </w:t>
        </w:r>
        <w:proofErr w:type="gramStart"/>
        <w:r>
          <w:rPr>
            <w:rStyle w:val="Hyperlink"/>
          </w:rPr>
          <w:t>věst</w:t>
        </w:r>
        <w:proofErr w:type="gramEnd"/>
        <w:r>
          <w:rPr>
            <w:rStyle w:val="Hyperlink"/>
          </w:rPr>
          <w:t xml:space="preserve">. L 138, </w:t>
        </w:r>
        <w:proofErr w:type="gramStart"/>
        <w:r>
          <w:rPr>
            <w:rStyle w:val="Hyperlink"/>
          </w:rPr>
          <w:t>26.5.2016</w:t>
        </w:r>
        <w:proofErr w:type="gramEnd"/>
        <w:r>
          <w:rPr>
            <w:rStyle w:val="Hyperlink"/>
          </w:rPr>
          <w:t>, s. 44</w:t>
        </w:r>
        <w:r w:rsidRPr="003820C4">
          <w:t>.</w:t>
        </w:r>
      </w:hyperlink>
    </w:p>
  </w:footnote>
  <w:footnote w:id="35">
    <w:p w:rsidR="004F1F0D" w:rsidRPr="000A10E5" w:rsidRDefault="004F1F0D" w:rsidP="000A10E5">
      <w:pPr>
        <w:pStyle w:val="FootnoteText"/>
        <w:ind w:left="567" w:hanging="567"/>
        <w:rPr>
          <w:lang w:val="en-GB"/>
        </w:rPr>
      </w:pPr>
      <w:r>
        <w:rPr>
          <w:rStyle w:val="FootnoteReference"/>
        </w:rPr>
        <w:footnoteRef/>
      </w:r>
      <w:r>
        <w:t xml:space="preserve"> </w:t>
      </w:r>
      <w:r>
        <w:tab/>
      </w:r>
      <w:hyperlink r:id="rId39">
        <w:r>
          <w:rPr>
            <w:rStyle w:val="Hyperlink"/>
          </w:rPr>
          <w:t xml:space="preserve">Směrnice 2014/34/EU, Úř. </w:t>
        </w:r>
        <w:proofErr w:type="gramStart"/>
        <w:r>
          <w:rPr>
            <w:rStyle w:val="Hyperlink"/>
          </w:rPr>
          <w:t>věst</w:t>
        </w:r>
        <w:proofErr w:type="gramEnd"/>
        <w:r>
          <w:rPr>
            <w:rStyle w:val="Hyperlink"/>
          </w:rPr>
          <w:t xml:space="preserve">. L 96, </w:t>
        </w:r>
        <w:proofErr w:type="gramStart"/>
        <w:r>
          <w:rPr>
            <w:rStyle w:val="Hyperlink"/>
          </w:rPr>
          <w:t>29.3.2014</w:t>
        </w:r>
        <w:proofErr w:type="gramEnd"/>
        <w:r>
          <w:rPr>
            <w:rStyle w:val="Hyperlink"/>
          </w:rPr>
          <w:t>, s. 309</w:t>
        </w:r>
      </w:hyperlink>
      <w:r>
        <w:t>.</w:t>
      </w:r>
    </w:p>
  </w:footnote>
  <w:footnote w:id="36">
    <w:p w:rsidR="0065564F" w:rsidRPr="000A10E5" w:rsidRDefault="0065564F" w:rsidP="000A10E5">
      <w:pPr>
        <w:pStyle w:val="FootnoteText"/>
        <w:ind w:left="567" w:hanging="567"/>
        <w:rPr>
          <w:lang w:val="en-GB"/>
        </w:rPr>
      </w:pPr>
      <w:r>
        <w:rPr>
          <w:rStyle w:val="FootnoteReference"/>
        </w:rPr>
        <w:footnoteRef/>
      </w:r>
      <w:r>
        <w:t xml:space="preserve"> </w:t>
      </w:r>
      <w:r>
        <w:tab/>
      </w:r>
      <w:hyperlink r:id="rId40">
        <w:r>
          <w:rPr>
            <w:rStyle w:val="Hyperlink"/>
          </w:rPr>
          <w:t>Směrnice 2001/95/ES, Úř. </w:t>
        </w:r>
        <w:proofErr w:type="gramStart"/>
        <w:r>
          <w:rPr>
            <w:rStyle w:val="Hyperlink"/>
          </w:rPr>
          <w:t>věst</w:t>
        </w:r>
        <w:proofErr w:type="gramEnd"/>
        <w:r>
          <w:rPr>
            <w:rStyle w:val="Hyperlink"/>
          </w:rPr>
          <w:t xml:space="preserve">. L 11, </w:t>
        </w:r>
        <w:proofErr w:type="gramStart"/>
        <w:r>
          <w:rPr>
            <w:rStyle w:val="Hyperlink"/>
          </w:rPr>
          <w:t>15.1.2002</w:t>
        </w:r>
        <w:proofErr w:type="gramEnd"/>
        <w:r>
          <w:rPr>
            <w:rStyle w:val="Hyperlink"/>
          </w:rPr>
          <w:t>, s. 4</w:t>
        </w:r>
        <w:r w:rsidRPr="003820C4">
          <w:t>.</w:t>
        </w:r>
      </w:hyperlink>
    </w:p>
  </w:footnote>
  <w:footnote w:id="37">
    <w:p w:rsidR="000D5642" w:rsidRPr="000A10E5" w:rsidRDefault="000D5642" w:rsidP="000A10E5">
      <w:pPr>
        <w:pStyle w:val="FootnoteText"/>
        <w:ind w:left="567" w:hanging="567"/>
        <w:rPr>
          <w:lang w:val="en-GB"/>
        </w:rPr>
      </w:pPr>
      <w:r>
        <w:rPr>
          <w:rStyle w:val="FootnoteReference"/>
        </w:rPr>
        <w:footnoteRef/>
      </w:r>
      <w:r>
        <w:t xml:space="preserve"> </w:t>
      </w:r>
      <w:r>
        <w:tab/>
      </w:r>
      <w:hyperlink r:id="rId41">
        <w:r>
          <w:rPr>
            <w:rStyle w:val="Hyperlink"/>
          </w:rPr>
          <w:t xml:space="preserve">Úř. </w:t>
        </w:r>
        <w:proofErr w:type="gramStart"/>
        <w:r>
          <w:rPr>
            <w:rStyle w:val="Hyperlink"/>
          </w:rPr>
          <w:t>věst</w:t>
        </w:r>
        <w:proofErr w:type="gramEnd"/>
        <w:r>
          <w:rPr>
            <w:rStyle w:val="Hyperlink"/>
          </w:rPr>
          <w:t xml:space="preserve">. C 271, </w:t>
        </w:r>
        <w:proofErr w:type="gramStart"/>
        <w:r>
          <w:rPr>
            <w:rStyle w:val="Hyperlink"/>
          </w:rPr>
          <w:t>19.9.2013</w:t>
        </w:r>
        <w:proofErr w:type="gramEnd"/>
        <w:r>
          <w:rPr>
            <w:rStyle w:val="Hyperlink"/>
          </w:rPr>
          <w:t>, s. 81</w:t>
        </w:r>
        <w:r w:rsidRPr="003820C4">
          <w:t>.</w:t>
        </w:r>
      </w:hyperlink>
    </w:p>
  </w:footnote>
  <w:footnote w:id="38">
    <w:p w:rsidR="002F56F4" w:rsidRPr="000A10E5" w:rsidRDefault="002F56F4" w:rsidP="00084C68">
      <w:pPr>
        <w:pStyle w:val="FootnoteText"/>
        <w:ind w:left="567" w:hanging="567"/>
        <w:rPr>
          <w:lang w:val="en-GB"/>
        </w:rPr>
      </w:pPr>
      <w:r>
        <w:rPr>
          <w:rStyle w:val="FootnoteReference"/>
        </w:rPr>
        <w:footnoteRef/>
      </w:r>
      <w:r>
        <w:t xml:space="preserve"> </w:t>
      </w:r>
      <w:r>
        <w:tab/>
      </w:r>
      <w:hyperlink r:id="rId42">
        <w:proofErr w:type="gramStart"/>
        <w:r>
          <w:rPr>
            <w:rStyle w:val="Hyperlink"/>
          </w:rPr>
          <w:t>COM(2014</w:t>
        </w:r>
        <w:proofErr w:type="gramEnd"/>
        <w:r>
          <w:rPr>
            <w:rStyle w:val="Hyperlink"/>
          </w:rPr>
          <w:t>) 247 final</w:t>
        </w:r>
      </w:hyperlink>
      <w:r>
        <w:t xml:space="preserve">; </w:t>
      </w:r>
      <w:hyperlink r:id="rId43">
        <w:proofErr w:type="gramStart"/>
        <w:r>
          <w:rPr>
            <w:rStyle w:val="Hyperlink"/>
          </w:rPr>
          <w:t>COM(2015</w:t>
        </w:r>
        <w:proofErr w:type="gramEnd"/>
        <w:r>
          <w:rPr>
            <w:rStyle w:val="Hyperlink"/>
          </w:rPr>
          <w:t>) 624 final</w:t>
        </w:r>
      </w:hyperlink>
      <w:r>
        <w:t xml:space="preserve">; </w:t>
      </w:r>
      <w:hyperlink r:id="rId44">
        <w:proofErr w:type="gramStart"/>
        <w:r>
          <w:rPr>
            <w:rStyle w:val="Hyperlink"/>
          </w:rPr>
          <w:t>COM(2012</w:t>
        </w:r>
        <w:proofErr w:type="gramEnd"/>
        <w:r>
          <w:rPr>
            <w:rStyle w:val="Hyperlink"/>
          </w:rPr>
          <w:t>) 417 final</w:t>
        </w:r>
      </w:hyperlink>
      <w:r>
        <w:t>.</w:t>
      </w:r>
    </w:p>
  </w:footnote>
  <w:footnote w:id="39">
    <w:p w:rsidR="00AA1F62" w:rsidRPr="000A10E5" w:rsidRDefault="00AA1F62" w:rsidP="00084C68">
      <w:pPr>
        <w:pStyle w:val="FootnoteText"/>
        <w:ind w:left="567" w:hanging="567"/>
        <w:rPr>
          <w:lang w:val="en-GB"/>
        </w:rPr>
      </w:pPr>
      <w:r>
        <w:rPr>
          <w:rStyle w:val="FootnoteReference"/>
        </w:rPr>
        <w:footnoteRef/>
      </w:r>
      <w:r>
        <w:t xml:space="preserve"> </w:t>
      </w:r>
      <w:r>
        <w:tab/>
      </w:r>
      <w:proofErr w:type="spellStart"/>
      <w:r>
        <w:rPr>
          <w:i/>
        </w:rPr>
        <w:t>The</w:t>
      </w:r>
      <w:proofErr w:type="spellEnd"/>
      <w:r>
        <w:rPr>
          <w:i/>
        </w:rPr>
        <w:t xml:space="preserve"> </w:t>
      </w:r>
      <w:proofErr w:type="spellStart"/>
      <w:r>
        <w:rPr>
          <w:i/>
        </w:rPr>
        <w:t>Benefits</w:t>
      </w:r>
      <w:proofErr w:type="spellEnd"/>
      <w:r>
        <w:rPr>
          <w:i/>
        </w:rPr>
        <w:t xml:space="preserve"> </w:t>
      </w:r>
      <w:proofErr w:type="spellStart"/>
      <w:proofErr w:type="gramStart"/>
      <w:r>
        <w:rPr>
          <w:i/>
        </w:rPr>
        <w:t>of</w:t>
      </w:r>
      <w:proofErr w:type="spellEnd"/>
      <w:r>
        <w:rPr>
          <w:i/>
        </w:rPr>
        <w:t xml:space="preserve"> U.S.</w:t>
      </w:r>
      <w:proofErr w:type="gramEnd"/>
      <w:r>
        <w:rPr>
          <w:i/>
        </w:rPr>
        <w:t>-</w:t>
      </w:r>
      <w:proofErr w:type="spellStart"/>
      <w:r>
        <w:rPr>
          <w:i/>
        </w:rPr>
        <w:t>European</w:t>
      </w:r>
      <w:proofErr w:type="spellEnd"/>
      <w:r>
        <w:rPr>
          <w:i/>
        </w:rPr>
        <w:t xml:space="preserve"> </w:t>
      </w:r>
      <w:proofErr w:type="spellStart"/>
      <w:r>
        <w:rPr>
          <w:i/>
        </w:rPr>
        <w:t>Security</w:t>
      </w:r>
      <w:proofErr w:type="spellEnd"/>
      <w:r>
        <w:rPr>
          <w:i/>
        </w:rPr>
        <w:t xml:space="preserve"> </w:t>
      </w:r>
      <w:proofErr w:type="spellStart"/>
      <w:r>
        <w:rPr>
          <w:i/>
        </w:rPr>
        <w:t>Standardisation</w:t>
      </w:r>
      <w:proofErr w:type="spellEnd"/>
      <w:r>
        <w:rPr>
          <w:i/>
        </w:rPr>
        <w:t>.</w:t>
      </w:r>
      <w:r>
        <w:t xml:space="preserve"> (Přínosy normalizace USA-EU v oblasti bezpečnosti). </w:t>
      </w:r>
      <w:proofErr w:type="spellStart"/>
      <w:r>
        <w:rPr>
          <w:i/>
        </w:rPr>
        <w:t>National</w:t>
      </w:r>
      <w:proofErr w:type="spellEnd"/>
      <w:r>
        <w:rPr>
          <w:i/>
        </w:rPr>
        <w:t xml:space="preserve"> Institute </w:t>
      </w:r>
      <w:proofErr w:type="spellStart"/>
      <w:r>
        <w:rPr>
          <w:i/>
        </w:rPr>
        <w:t>of</w:t>
      </w:r>
      <w:proofErr w:type="spellEnd"/>
      <w:r>
        <w:rPr>
          <w:i/>
        </w:rPr>
        <w:t xml:space="preserve"> </w:t>
      </w:r>
      <w:proofErr w:type="spellStart"/>
      <w:r>
        <w:rPr>
          <w:i/>
        </w:rPr>
        <w:t>Standards</w:t>
      </w:r>
      <w:proofErr w:type="spellEnd"/>
      <w:r>
        <w:rPr>
          <w:i/>
        </w:rPr>
        <w:t xml:space="preserve"> and Technology.</w:t>
      </w:r>
      <w:r>
        <w:t xml:space="preserve"> (Národní ústav pro normalizaci a technologie). </w:t>
      </w:r>
      <w:proofErr w:type="gramStart"/>
      <w:r>
        <w:t>U.S.</w:t>
      </w:r>
      <w:proofErr w:type="gramEnd"/>
      <w:r>
        <w:t xml:space="preserve"> Department </w:t>
      </w:r>
      <w:proofErr w:type="spellStart"/>
      <w:r>
        <w:t>of</w:t>
      </w:r>
      <w:proofErr w:type="spellEnd"/>
      <w:r>
        <w:t xml:space="preserve"> </w:t>
      </w:r>
      <w:proofErr w:type="spellStart"/>
      <w:r>
        <w:t>Commerce</w:t>
      </w:r>
      <w:proofErr w:type="spellEnd"/>
      <w:r>
        <w:t>, červen 2012.</w:t>
      </w:r>
    </w:p>
  </w:footnote>
  <w:footnote w:id="40">
    <w:p w:rsidR="00C345AF" w:rsidRPr="000A10E5" w:rsidRDefault="00C345AF" w:rsidP="00084C68">
      <w:pPr>
        <w:pStyle w:val="FootnoteText"/>
        <w:ind w:left="567" w:hanging="567"/>
        <w:rPr>
          <w:lang w:val="en-GB"/>
        </w:rPr>
      </w:pPr>
      <w:r>
        <w:rPr>
          <w:rStyle w:val="FootnoteReference"/>
        </w:rPr>
        <w:footnoteRef/>
      </w:r>
      <w:r>
        <w:t xml:space="preserve"> </w:t>
      </w:r>
      <w:r>
        <w:tab/>
      </w:r>
      <w:hyperlink r:id="rId45">
        <w:proofErr w:type="gramStart"/>
        <w:r>
          <w:rPr>
            <w:rStyle w:val="Hyperlink"/>
          </w:rPr>
          <w:t>COM(2016</w:t>
        </w:r>
        <w:proofErr w:type="gramEnd"/>
        <w:r>
          <w:rPr>
            <w:rStyle w:val="Hyperlink"/>
          </w:rPr>
          <w:t>) 950 final</w:t>
        </w:r>
        <w:r w:rsidRPr="003820C4">
          <w:t>.</w:t>
        </w:r>
      </w:hyperlink>
    </w:p>
  </w:footnote>
  <w:footnote w:id="41">
    <w:p w:rsidR="005F0FB7" w:rsidRPr="000A10E5" w:rsidRDefault="005F0FB7" w:rsidP="00084C68">
      <w:pPr>
        <w:pStyle w:val="FootnoteText"/>
        <w:ind w:left="567" w:hanging="567"/>
        <w:rPr>
          <w:lang w:val="en-GB"/>
        </w:rPr>
      </w:pPr>
      <w:r>
        <w:rPr>
          <w:rStyle w:val="FootnoteReference"/>
        </w:rPr>
        <w:footnoteRef/>
      </w:r>
      <w:r>
        <w:t xml:space="preserve"> </w:t>
      </w:r>
      <w:r>
        <w:tab/>
      </w:r>
      <w:hyperlink r:id="rId46">
        <w:r>
          <w:rPr>
            <w:rStyle w:val="Hyperlink"/>
          </w:rPr>
          <w:t xml:space="preserve">Úř. </w:t>
        </w:r>
        <w:proofErr w:type="gramStart"/>
        <w:r>
          <w:rPr>
            <w:rStyle w:val="Hyperlink"/>
          </w:rPr>
          <w:t>věst</w:t>
        </w:r>
        <w:proofErr w:type="gramEnd"/>
        <w:r>
          <w:rPr>
            <w:rStyle w:val="Hyperlink"/>
          </w:rPr>
          <w:t xml:space="preserve">. C 288, </w:t>
        </w:r>
        <w:proofErr w:type="gramStart"/>
        <w:r>
          <w:rPr>
            <w:rStyle w:val="Hyperlink"/>
          </w:rPr>
          <w:t>31.8.2017</w:t>
        </w:r>
        <w:proofErr w:type="gramEnd"/>
        <w:r>
          <w:rPr>
            <w:rStyle w:val="Hyperlink"/>
          </w:rPr>
          <w:t>, s. 62</w:t>
        </w:r>
        <w:r w:rsidRPr="003820C4">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21" w:rsidRPr="00AA4021" w:rsidRDefault="00AA4021" w:rsidP="00AA4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21" w:rsidRPr="00AA4021" w:rsidRDefault="00AA4021" w:rsidP="00AA40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21" w:rsidRPr="00AA4021" w:rsidRDefault="00AA4021" w:rsidP="00AA40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0A" w:rsidRPr="00AA4021" w:rsidRDefault="00215D0A" w:rsidP="00AA40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0A" w:rsidRPr="00AA4021" w:rsidRDefault="00215D0A" w:rsidP="00AA40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0A" w:rsidRPr="00AA4021" w:rsidRDefault="00215D0A" w:rsidP="00AA40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ACEA3DC"/>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4F0D6684"/>
    <w:multiLevelType w:val="hybridMultilevel"/>
    <w:tmpl w:val="6242DD32"/>
    <w:lvl w:ilvl="0" w:tplc="FD58E2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4145870"/>
    <w:multiLevelType w:val="hybridMultilevel"/>
    <w:tmpl w:val="FFD2E33A"/>
    <w:lvl w:ilvl="0" w:tplc="FD58E2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5AB9"/>
    <w:rsid w:val="00005EB9"/>
    <w:rsid w:val="00006E24"/>
    <w:rsid w:val="00007A40"/>
    <w:rsid w:val="00016F8B"/>
    <w:rsid w:val="00020E6E"/>
    <w:rsid w:val="000273F0"/>
    <w:rsid w:val="00031A4B"/>
    <w:rsid w:val="000331DC"/>
    <w:rsid w:val="00033913"/>
    <w:rsid w:val="00033E5B"/>
    <w:rsid w:val="000357A8"/>
    <w:rsid w:val="000430A6"/>
    <w:rsid w:val="00044923"/>
    <w:rsid w:val="0005249C"/>
    <w:rsid w:val="000534A5"/>
    <w:rsid w:val="000546C4"/>
    <w:rsid w:val="0005680D"/>
    <w:rsid w:val="00063FB4"/>
    <w:rsid w:val="0006793E"/>
    <w:rsid w:val="00072E0F"/>
    <w:rsid w:val="000735E5"/>
    <w:rsid w:val="0007392F"/>
    <w:rsid w:val="00084C68"/>
    <w:rsid w:val="00087B39"/>
    <w:rsid w:val="00096502"/>
    <w:rsid w:val="0009794B"/>
    <w:rsid w:val="000A10E5"/>
    <w:rsid w:val="000A259A"/>
    <w:rsid w:val="000A49BB"/>
    <w:rsid w:val="000C3441"/>
    <w:rsid w:val="000C7F53"/>
    <w:rsid w:val="000D2F8E"/>
    <w:rsid w:val="000D5642"/>
    <w:rsid w:val="000F196B"/>
    <w:rsid w:val="000F267C"/>
    <w:rsid w:val="00105361"/>
    <w:rsid w:val="001101F8"/>
    <w:rsid w:val="0011206F"/>
    <w:rsid w:val="0011656A"/>
    <w:rsid w:val="00116EB6"/>
    <w:rsid w:val="0012220C"/>
    <w:rsid w:val="00136EA3"/>
    <w:rsid w:val="00137575"/>
    <w:rsid w:val="00144231"/>
    <w:rsid w:val="00150434"/>
    <w:rsid w:val="001520A5"/>
    <w:rsid w:val="0015251B"/>
    <w:rsid w:val="00155721"/>
    <w:rsid w:val="0016503F"/>
    <w:rsid w:val="0016674F"/>
    <w:rsid w:val="00167CA0"/>
    <w:rsid w:val="0017120D"/>
    <w:rsid w:val="001714F6"/>
    <w:rsid w:val="00176168"/>
    <w:rsid w:val="00177158"/>
    <w:rsid w:val="00180779"/>
    <w:rsid w:val="00184FD4"/>
    <w:rsid w:val="00186B04"/>
    <w:rsid w:val="00186F1E"/>
    <w:rsid w:val="00190836"/>
    <w:rsid w:val="00193930"/>
    <w:rsid w:val="0019466F"/>
    <w:rsid w:val="001963A5"/>
    <w:rsid w:val="00196F1E"/>
    <w:rsid w:val="00197FCA"/>
    <w:rsid w:val="001A27DB"/>
    <w:rsid w:val="001A6852"/>
    <w:rsid w:val="001B286A"/>
    <w:rsid w:val="001B2D02"/>
    <w:rsid w:val="001B3647"/>
    <w:rsid w:val="001B77FA"/>
    <w:rsid w:val="001C0ABE"/>
    <w:rsid w:val="001C5852"/>
    <w:rsid w:val="001D45F0"/>
    <w:rsid w:val="001E4A33"/>
    <w:rsid w:val="001E5C27"/>
    <w:rsid w:val="001F602B"/>
    <w:rsid w:val="001F6AC8"/>
    <w:rsid w:val="002037D5"/>
    <w:rsid w:val="00204D65"/>
    <w:rsid w:val="00206F90"/>
    <w:rsid w:val="00212B03"/>
    <w:rsid w:val="00215C10"/>
    <w:rsid w:val="00215C2D"/>
    <w:rsid w:val="00215D0A"/>
    <w:rsid w:val="00216292"/>
    <w:rsid w:val="002252C4"/>
    <w:rsid w:val="0023183E"/>
    <w:rsid w:val="00235138"/>
    <w:rsid w:val="00241F15"/>
    <w:rsid w:val="00243E36"/>
    <w:rsid w:val="0024540B"/>
    <w:rsid w:val="00245EF4"/>
    <w:rsid w:val="00250E11"/>
    <w:rsid w:val="00251383"/>
    <w:rsid w:val="002522C9"/>
    <w:rsid w:val="00252A21"/>
    <w:rsid w:val="00253E4F"/>
    <w:rsid w:val="002542E4"/>
    <w:rsid w:val="00261053"/>
    <w:rsid w:val="00262FDE"/>
    <w:rsid w:val="00263629"/>
    <w:rsid w:val="00273EA8"/>
    <w:rsid w:val="002769BD"/>
    <w:rsid w:val="002809EA"/>
    <w:rsid w:val="00284962"/>
    <w:rsid w:val="00287B0E"/>
    <w:rsid w:val="002A0B53"/>
    <w:rsid w:val="002A0EEF"/>
    <w:rsid w:val="002B2DF7"/>
    <w:rsid w:val="002C3BF4"/>
    <w:rsid w:val="002C749F"/>
    <w:rsid w:val="002E48F1"/>
    <w:rsid w:val="002F059B"/>
    <w:rsid w:val="002F300E"/>
    <w:rsid w:val="002F56F4"/>
    <w:rsid w:val="002F5B0B"/>
    <w:rsid w:val="00300924"/>
    <w:rsid w:val="0030596E"/>
    <w:rsid w:val="003073C3"/>
    <w:rsid w:val="00323637"/>
    <w:rsid w:val="00324E8A"/>
    <w:rsid w:val="00331D87"/>
    <w:rsid w:val="00332850"/>
    <w:rsid w:val="00334219"/>
    <w:rsid w:val="00334478"/>
    <w:rsid w:val="003346B4"/>
    <w:rsid w:val="00334AE6"/>
    <w:rsid w:val="003365D0"/>
    <w:rsid w:val="003439AB"/>
    <w:rsid w:val="003529B9"/>
    <w:rsid w:val="00354695"/>
    <w:rsid w:val="0035549B"/>
    <w:rsid w:val="003660E4"/>
    <w:rsid w:val="003755C8"/>
    <w:rsid w:val="00375687"/>
    <w:rsid w:val="00380AE0"/>
    <w:rsid w:val="003820C4"/>
    <w:rsid w:val="00383324"/>
    <w:rsid w:val="00387A75"/>
    <w:rsid w:val="003904FD"/>
    <w:rsid w:val="00394254"/>
    <w:rsid w:val="003C2BFB"/>
    <w:rsid w:val="003C436B"/>
    <w:rsid w:val="003C5337"/>
    <w:rsid w:val="003C5F92"/>
    <w:rsid w:val="003D7A8C"/>
    <w:rsid w:val="003D7C00"/>
    <w:rsid w:val="003E0C01"/>
    <w:rsid w:val="003E56E5"/>
    <w:rsid w:val="003E7E60"/>
    <w:rsid w:val="003F00D4"/>
    <w:rsid w:val="003F2209"/>
    <w:rsid w:val="003F3D39"/>
    <w:rsid w:val="003F646A"/>
    <w:rsid w:val="003F6761"/>
    <w:rsid w:val="003F6A0A"/>
    <w:rsid w:val="004024F5"/>
    <w:rsid w:val="00402DE1"/>
    <w:rsid w:val="004032C2"/>
    <w:rsid w:val="00403D8B"/>
    <w:rsid w:val="004058F1"/>
    <w:rsid w:val="00407E7D"/>
    <w:rsid w:val="0041283D"/>
    <w:rsid w:val="00413AB4"/>
    <w:rsid w:val="00421373"/>
    <w:rsid w:val="00421FB7"/>
    <w:rsid w:val="0042763B"/>
    <w:rsid w:val="0043024C"/>
    <w:rsid w:val="00436706"/>
    <w:rsid w:val="00443D38"/>
    <w:rsid w:val="00450E7A"/>
    <w:rsid w:val="004532C2"/>
    <w:rsid w:val="00456AF8"/>
    <w:rsid w:val="00470B15"/>
    <w:rsid w:val="00475869"/>
    <w:rsid w:val="00475A77"/>
    <w:rsid w:val="004803A5"/>
    <w:rsid w:val="00484F92"/>
    <w:rsid w:val="004866A9"/>
    <w:rsid w:val="00492774"/>
    <w:rsid w:val="00493B7F"/>
    <w:rsid w:val="00495079"/>
    <w:rsid w:val="00496D7A"/>
    <w:rsid w:val="004A31BC"/>
    <w:rsid w:val="004A3F1A"/>
    <w:rsid w:val="004A3F45"/>
    <w:rsid w:val="004B1AFA"/>
    <w:rsid w:val="004B7088"/>
    <w:rsid w:val="004C5B76"/>
    <w:rsid w:val="004C7C81"/>
    <w:rsid w:val="004D02CD"/>
    <w:rsid w:val="004D0B24"/>
    <w:rsid w:val="004D4B90"/>
    <w:rsid w:val="004D6B95"/>
    <w:rsid w:val="004D7F41"/>
    <w:rsid w:val="004E03A2"/>
    <w:rsid w:val="004E317E"/>
    <w:rsid w:val="004E3954"/>
    <w:rsid w:val="004E5856"/>
    <w:rsid w:val="004F1F0D"/>
    <w:rsid w:val="004F2330"/>
    <w:rsid w:val="004F53C6"/>
    <w:rsid w:val="004F69DB"/>
    <w:rsid w:val="004F6B87"/>
    <w:rsid w:val="00501C2D"/>
    <w:rsid w:val="00502637"/>
    <w:rsid w:val="00511140"/>
    <w:rsid w:val="00513CFE"/>
    <w:rsid w:val="00523B6A"/>
    <w:rsid w:val="00525396"/>
    <w:rsid w:val="00525F6C"/>
    <w:rsid w:val="0054592F"/>
    <w:rsid w:val="00546AB4"/>
    <w:rsid w:val="005514E5"/>
    <w:rsid w:val="00563C84"/>
    <w:rsid w:val="00566D4F"/>
    <w:rsid w:val="005762F6"/>
    <w:rsid w:val="00582173"/>
    <w:rsid w:val="00584FBE"/>
    <w:rsid w:val="00585483"/>
    <w:rsid w:val="00587378"/>
    <w:rsid w:val="00587C05"/>
    <w:rsid w:val="00590AAB"/>
    <w:rsid w:val="005938C3"/>
    <w:rsid w:val="0059468C"/>
    <w:rsid w:val="00595125"/>
    <w:rsid w:val="00596F21"/>
    <w:rsid w:val="005B1CDD"/>
    <w:rsid w:val="005B1E19"/>
    <w:rsid w:val="005B55FC"/>
    <w:rsid w:val="005C2D5E"/>
    <w:rsid w:val="005C3B81"/>
    <w:rsid w:val="005C650C"/>
    <w:rsid w:val="005D086C"/>
    <w:rsid w:val="005D11D3"/>
    <w:rsid w:val="005D19A2"/>
    <w:rsid w:val="005D4E1F"/>
    <w:rsid w:val="005D4FB3"/>
    <w:rsid w:val="005E2F07"/>
    <w:rsid w:val="005E2FEA"/>
    <w:rsid w:val="005E4DC0"/>
    <w:rsid w:val="005F0FB7"/>
    <w:rsid w:val="005F314B"/>
    <w:rsid w:val="00611AF2"/>
    <w:rsid w:val="0061212B"/>
    <w:rsid w:val="006127AF"/>
    <w:rsid w:val="00615FB2"/>
    <w:rsid w:val="00617BD1"/>
    <w:rsid w:val="00617CE8"/>
    <w:rsid w:val="006278A0"/>
    <w:rsid w:val="0063095F"/>
    <w:rsid w:val="00646AC2"/>
    <w:rsid w:val="00650390"/>
    <w:rsid w:val="00650993"/>
    <w:rsid w:val="00654DAB"/>
    <w:rsid w:val="0065564F"/>
    <w:rsid w:val="0066204A"/>
    <w:rsid w:val="00670E3C"/>
    <w:rsid w:val="006728B7"/>
    <w:rsid w:val="006742E5"/>
    <w:rsid w:val="006751BB"/>
    <w:rsid w:val="00677F57"/>
    <w:rsid w:val="00681088"/>
    <w:rsid w:val="0069577E"/>
    <w:rsid w:val="0069634B"/>
    <w:rsid w:val="00696623"/>
    <w:rsid w:val="006A04E9"/>
    <w:rsid w:val="006A114F"/>
    <w:rsid w:val="006A4A03"/>
    <w:rsid w:val="006A7543"/>
    <w:rsid w:val="006B5A1E"/>
    <w:rsid w:val="006B725C"/>
    <w:rsid w:val="006C273D"/>
    <w:rsid w:val="006C5C4F"/>
    <w:rsid w:val="006C6282"/>
    <w:rsid w:val="006C6813"/>
    <w:rsid w:val="006C762A"/>
    <w:rsid w:val="006D41EC"/>
    <w:rsid w:val="006D5FF9"/>
    <w:rsid w:val="006E0772"/>
    <w:rsid w:val="006E0F86"/>
    <w:rsid w:val="006F0B15"/>
    <w:rsid w:val="006F0DCC"/>
    <w:rsid w:val="006F3AFC"/>
    <w:rsid w:val="00700FFC"/>
    <w:rsid w:val="00703DF9"/>
    <w:rsid w:val="007048EB"/>
    <w:rsid w:val="00704FBB"/>
    <w:rsid w:val="0070726A"/>
    <w:rsid w:val="0071226B"/>
    <w:rsid w:val="00712512"/>
    <w:rsid w:val="00717040"/>
    <w:rsid w:val="00732955"/>
    <w:rsid w:val="00740C12"/>
    <w:rsid w:val="00743A77"/>
    <w:rsid w:val="007538CD"/>
    <w:rsid w:val="00774AF3"/>
    <w:rsid w:val="007750A2"/>
    <w:rsid w:val="007817D6"/>
    <w:rsid w:val="00787168"/>
    <w:rsid w:val="00787912"/>
    <w:rsid w:val="0079177A"/>
    <w:rsid w:val="00794836"/>
    <w:rsid w:val="007948D5"/>
    <w:rsid w:val="007A15C9"/>
    <w:rsid w:val="007A6676"/>
    <w:rsid w:val="007B7FF5"/>
    <w:rsid w:val="007C3FC6"/>
    <w:rsid w:val="007D2CE9"/>
    <w:rsid w:val="007D4FED"/>
    <w:rsid w:val="007D69DA"/>
    <w:rsid w:val="007D70B1"/>
    <w:rsid w:val="007D7140"/>
    <w:rsid w:val="007E1CDB"/>
    <w:rsid w:val="007E408C"/>
    <w:rsid w:val="007E7E21"/>
    <w:rsid w:val="007F0460"/>
    <w:rsid w:val="007F0DA2"/>
    <w:rsid w:val="007F39CE"/>
    <w:rsid w:val="007F5E0D"/>
    <w:rsid w:val="00801085"/>
    <w:rsid w:val="00801A89"/>
    <w:rsid w:val="0080500F"/>
    <w:rsid w:val="00812138"/>
    <w:rsid w:val="008151F2"/>
    <w:rsid w:val="0081777A"/>
    <w:rsid w:val="008210E0"/>
    <w:rsid w:val="00822797"/>
    <w:rsid w:val="00824079"/>
    <w:rsid w:val="00831F0A"/>
    <w:rsid w:val="00833A78"/>
    <w:rsid w:val="008345D6"/>
    <w:rsid w:val="0084585F"/>
    <w:rsid w:val="0085114A"/>
    <w:rsid w:val="00853E53"/>
    <w:rsid w:val="00864D76"/>
    <w:rsid w:val="008656C9"/>
    <w:rsid w:val="0086711C"/>
    <w:rsid w:val="00867535"/>
    <w:rsid w:val="00874777"/>
    <w:rsid w:val="00875C5B"/>
    <w:rsid w:val="00883C5F"/>
    <w:rsid w:val="00891C7D"/>
    <w:rsid w:val="00892FA7"/>
    <w:rsid w:val="00897131"/>
    <w:rsid w:val="008A3301"/>
    <w:rsid w:val="008A4DF1"/>
    <w:rsid w:val="008A5636"/>
    <w:rsid w:val="008B125E"/>
    <w:rsid w:val="008B241C"/>
    <w:rsid w:val="008B408B"/>
    <w:rsid w:val="008B4F11"/>
    <w:rsid w:val="008C2362"/>
    <w:rsid w:val="008C3049"/>
    <w:rsid w:val="008C593E"/>
    <w:rsid w:val="008D4AE9"/>
    <w:rsid w:val="008D5CF3"/>
    <w:rsid w:val="008D7D39"/>
    <w:rsid w:val="008E4574"/>
    <w:rsid w:val="008F3BF2"/>
    <w:rsid w:val="008F4016"/>
    <w:rsid w:val="008F42FE"/>
    <w:rsid w:val="008F4A00"/>
    <w:rsid w:val="008F5402"/>
    <w:rsid w:val="008F6AEC"/>
    <w:rsid w:val="0090053A"/>
    <w:rsid w:val="00901C2A"/>
    <w:rsid w:val="009118C7"/>
    <w:rsid w:val="00917EC3"/>
    <w:rsid w:val="009225B6"/>
    <w:rsid w:val="00925397"/>
    <w:rsid w:val="00934C10"/>
    <w:rsid w:val="0093662A"/>
    <w:rsid w:val="00937626"/>
    <w:rsid w:val="0094060C"/>
    <w:rsid w:val="009606A5"/>
    <w:rsid w:val="00962F1F"/>
    <w:rsid w:val="00963A7F"/>
    <w:rsid w:val="009642F6"/>
    <w:rsid w:val="00965304"/>
    <w:rsid w:val="009658B7"/>
    <w:rsid w:val="00971293"/>
    <w:rsid w:val="00973A3B"/>
    <w:rsid w:val="00973F9F"/>
    <w:rsid w:val="00983EAE"/>
    <w:rsid w:val="0098760B"/>
    <w:rsid w:val="009916EB"/>
    <w:rsid w:val="00993FD3"/>
    <w:rsid w:val="00997C1F"/>
    <w:rsid w:val="009A11DD"/>
    <w:rsid w:val="009B0014"/>
    <w:rsid w:val="009B30AA"/>
    <w:rsid w:val="009B5217"/>
    <w:rsid w:val="009C48DE"/>
    <w:rsid w:val="009D0D09"/>
    <w:rsid w:val="009D3107"/>
    <w:rsid w:val="009E1E1E"/>
    <w:rsid w:val="009E33E3"/>
    <w:rsid w:val="009E7F16"/>
    <w:rsid w:val="009F5052"/>
    <w:rsid w:val="00A04C85"/>
    <w:rsid w:val="00A05712"/>
    <w:rsid w:val="00A100F0"/>
    <w:rsid w:val="00A156E6"/>
    <w:rsid w:val="00A238B7"/>
    <w:rsid w:val="00A253E5"/>
    <w:rsid w:val="00A27D86"/>
    <w:rsid w:val="00A33151"/>
    <w:rsid w:val="00A346F5"/>
    <w:rsid w:val="00A36970"/>
    <w:rsid w:val="00A41EB4"/>
    <w:rsid w:val="00A44BFF"/>
    <w:rsid w:val="00A501E3"/>
    <w:rsid w:val="00A50F0C"/>
    <w:rsid w:val="00A56441"/>
    <w:rsid w:val="00A61E45"/>
    <w:rsid w:val="00A715B1"/>
    <w:rsid w:val="00A736DD"/>
    <w:rsid w:val="00A75C9C"/>
    <w:rsid w:val="00A82869"/>
    <w:rsid w:val="00A8758C"/>
    <w:rsid w:val="00A909EB"/>
    <w:rsid w:val="00A93DF9"/>
    <w:rsid w:val="00A946CA"/>
    <w:rsid w:val="00A9588E"/>
    <w:rsid w:val="00AA09B9"/>
    <w:rsid w:val="00AA127E"/>
    <w:rsid w:val="00AA19AE"/>
    <w:rsid w:val="00AA1F62"/>
    <w:rsid w:val="00AA3055"/>
    <w:rsid w:val="00AA4021"/>
    <w:rsid w:val="00AA423D"/>
    <w:rsid w:val="00AA6A95"/>
    <w:rsid w:val="00AB10DE"/>
    <w:rsid w:val="00AB3668"/>
    <w:rsid w:val="00AB5ED7"/>
    <w:rsid w:val="00AC0B4C"/>
    <w:rsid w:val="00AD0AEE"/>
    <w:rsid w:val="00AD141C"/>
    <w:rsid w:val="00AD49E3"/>
    <w:rsid w:val="00AD4B4F"/>
    <w:rsid w:val="00AD5C6E"/>
    <w:rsid w:val="00AF0616"/>
    <w:rsid w:val="00AF0E28"/>
    <w:rsid w:val="00AF6F9B"/>
    <w:rsid w:val="00B01409"/>
    <w:rsid w:val="00B0409C"/>
    <w:rsid w:val="00B10DBD"/>
    <w:rsid w:val="00B15629"/>
    <w:rsid w:val="00B23327"/>
    <w:rsid w:val="00B2372C"/>
    <w:rsid w:val="00B27CAC"/>
    <w:rsid w:val="00B32F70"/>
    <w:rsid w:val="00B373D0"/>
    <w:rsid w:val="00B43AAA"/>
    <w:rsid w:val="00B46EE5"/>
    <w:rsid w:val="00B53139"/>
    <w:rsid w:val="00B562CE"/>
    <w:rsid w:val="00B62DE2"/>
    <w:rsid w:val="00B67AAF"/>
    <w:rsid w:val="00B74417"/>
    <w:rsid w:val="00B749E2"/>
    <w:rsid w:val="00B74E8B"/>
    <w:rsid w:val="00B77246"/>
    <w:rsid w:val="00B866CD"/>
    <w:rsid w:val="00B93034"/>
    <w:rsid w:val="00B97C5D"/>
    <w:rsid w:val="00BA1290"/>
    <w:rsid w:val="00BA3D60"/>
    <w:rsid w:val="00BA5FFA"/>
    <w:rsid w:val="00BB2792"/>
    <w:rsid w:val="00BB373B"/>
    <w:rsid w:val="00BB76BF"/>
    <w:rsid w:val="00BC1AD1"/>
    <w:rsid w:val="00BC4A58"/>
    <w:rsid w:val="00BC613B"/>
    <w:rsid w:val="00BD51D9"/>
    <w:rsid w:val="00BD64E2"/>
    <w:rsid w:val="00BE2176"/>
    <w:rsid w:val="00BE4995"/>
    <w:rsid w:val="00BE4E9E"/>
    <w:rsid w:val="00BF094F"/>
    <w:rsid w:val="00BF429A"/>
    <w:rsid w:val="00BF62BE"/>
    <w:rsid w:val="00C01E21"/>
    <w:rsid w:val="00C07126"/>
    <w:rsid w:val="00C16853"/>
    <w:rsid w:val="00C248BB"/>
    <w:rsid w:val="00C252C6"/>
    <w:rsid w:val="00C25DFD"/>
    <w:rsid w:val="00C263F0"/>
    <w:rsid w:val="00C33D41"/>
    <w:rsid w:val="00C345AF"/>
    <w:rsid w:val="00C40AFD"/>
    <w:rsid w:val="00C41E20"/>
    <w:rsid w:val="00C42E3E"/>
    <w:rsid w:val="00C51C13"/>
    <w:rsid w:val="00C525A5"/>
    <w:rsid w:val="00C5300F"/>
    <w:rsid w:val="00C66CE0"/>
    <w:rsid w:val="00C71BED"/>
    <w:rsid w:val="00C81B53"/>
    <w:rsid w:val="00C81C7A"/>
    <w:rsid w:val="00C82AD2"/>
    <w:rsid w:val="00C90FB6"/>
    <w:rsid w:val="00C9220E"/>
    <w:rsid w:val="00C932BD"/>
    <w:rsid w:val="00C93429"/>
    <w:rsid w:val="00C94856"/>
    <w:rsid w:val="00C957B6"/>
    <w:rsid w:val="00CA16C5"/>
    <w:rsid w:val="00CA415A"/>
    <w:rsid w:val="00CA7A35"/>
    <w:rsid w:val="00CB1536"/>
    <w:rsid w:val="00CB5077"/>
    <w:rsid w:val="00CB7FB8"/>
    <w:rsid w:val="00CC1F71"/>
    <w:rsid w:val="00CC5EB3"/>
    <w:rsid w:val="00CD0E7B"/>
    <w:rsid w:val="00CD2ABD"/>
    <w:rsid w:val="00CD4024"/>
    <w:rsid w:val="00CD4617"/>
    <w:rsid w:val="00CD4855"/>
    <w:rsid w:val="00CE1F23"/>
    <w:rsid w:val="00CE3CF4"/>
    <w:rsid w:val="00CE6D43"/>
    <w:rsid w:val="00CE7888"/>
    <w:rsid w:val="00CF15F9"/>
    <w:rsid w:val="00D0622E"/>
    <w:rsid w:val="00D10E1C"/>
    <w:rsid w:val="00D12971"/>
    <w:rsid w:val="00D161A3"/>
    <w:rsid w:val="00D16876"/>
    <w:rsid w:val="00D20544"/>
    <w:rsid w:val="00D22E49"/>
    <w:rsid w:val="00D23716"/>
    <w:rsid w:val="00D25ED8"/>
    <w:rsid w:val="00D27F8F"/>
    <w:rsid w:val="00D306C5"/>
    <w:rsid w:val="00D31671"/>
    <w:rsid w:val="00D316B8"/>
    <w:rsid w:val="00D31CFC"/>
    <w:rsid w:val="00D3255D"/>
    <w:rsid w:val="00D340C3"/>
    <w:rsid w:val="00D409CD"/>
    <w:rsid w:val="00D423D4"/>
    <w:rsid w:val="00D42CAF"/>
    <w:rsid w:val="00D53CD9"/>
    <w:rsid w:val="00D601EF"/>
    <w:rsid w:val="00D61533"/>
    <w:rsid w:val="00D63B2F"/>
    <w:rsid w:val="00D70747"/>
    <w:rsid w:val="00D7261D"/>
    <w:rsid w:val="00D755FC"/>
    <w:rsid w:val="00D76B6D"/>
    <w:rsid w:val="00D84D07"/>
    <w:rsid w:val="00D8526A"/>
    <w:rsid w:val="00D858C3"/>
    <w:rsid w:val="00D90E91"/>
    <w:rsid w:val="00DB7EE8"/>
    <w:rsid w:val="00DC1347"/>
    <w:rsid w:val="00DC39F1"/>
    <w:rsid w:val="00DD43C1"/>
    <w:rsid w:val="00DE4B35"/>
    <w:rsid w:val="00DE7A05"/>
    <w:rsid w:val="00DF19C1"/>
    <w:rsid w:val="00DF4550"/>
    <w:rsid w:val="00DF54CA"/>
    <w:rsid w:val="00DF5B64"/>
    <w:rsid w:val="00E02794"/>
    <w:rsid w:val="00E043E3"/>
    <w:rsid w:val="00E0505B"/>
    <w:rsid w:val="00E06418"/>
    <w:rsid w:val="00E11280"/>
    <w:rsid w:val="00E12359"/>
    <w:rsid w:val="00E152FF"/>
    <w:rsid w:val="00E2461B"/>
    <w:rsid w:val="00E24886"/>
    <w:rsid w:val="00E24990"/>
    <w:rsid w:val="00E2697C"/>
    <w:rsid w:val="00E276FB"/>
    <w:rsid w:val="00E32595"/>
    <w:rsid w:val="00E33A74"/>
    <w:rsid w:val="00E4030B"/>
    <w:rsid w:val="00E41D56"/>
    <w:rsid w:val="00E44FA9"/>
    <w:rsid w:val="00E4541C"/>
    <w:rsid w:val="00E457DF"/>
    <w:rsid w:val="00E46642"/>
    <w:rsid w:val="00E5139A"/>
    <w:rsid w:val="00E5413D"/>
    <w:rsid w:val="00E57977"/>
    <w:rsid w:val="00E635D7"/>
    <w:rsid w:val="00E70576"/>
    <w:rsid w:val="00E8044F"/>
    <w:rsid w:val="00E83954"/>
    <w:rsid w:val="00E91730"/>
    <w:rsid w:val="00E96F04"/>
    <w:rsid w:val="00E97AEC"/>
    <w:rsid w:val="00EA20FE"/>
    <w:rsid w:val="00EB491E"/>
    <w:rsid w:val="00EB681B"/>
    <w:rsid w:val="00EB6AFF"/>
    <w:rsid w:val="00EC4FAD"/>
    <w:rsid w:val="00ED6A75"/>
    <w:rsid w:val="00EE03BC"/>
    <w:rsid w:val="00EE3CFA"/>
    <w:rsid w:val="00EE69E4"/>
    <w:rsid w:val="00EF2A7F"/>
    <w:rsid w:val="00EF7E90"/>
    <w:rsid w:val="00F002B6"/>
    <w:rsid w:val="00F10AFE"/>
    <w:rsid w:val="00F15C6C"/>
    <w:rsid w:val="00F17173"/>
    <w:rsid w:val="00F224DC"/>
    <w:rsid w:val="00F2687F"/>
    <w:rsid w:val="00F27F29"/>
    <w:rsid w:val="00F306F8"/>
    <w:rsid w:val="00F31568"/>
    <w:rsid w:val="00F32D54"/>
    <w:rsid w:val="00F36C54"/>
    <w:rsid w:val="00F418EA"/>
    <w:rsid w:val="00F41A29"/>
    <w:rsid w:val="00F44C1C"/>
    <w:rsid w:val="00F518DF"/>
    <w:rsid w:val="00F544DB"/>
    <w:rsid w:val="00F5729D"/>
    <w:rsid w:val="00F6502E"/>
    <w:rsid w:val="00F65663"/>
    <w:rsid w:val="00F756C0"/>
    <w:rsid w:val="00F75A40"/>
    <w:rsid w:val="00F77637"/>
    <w:rsid w:val="00F8435D"/>
    <w:rsid w:val="00F87DD0"/>
    <w:rsid w:val="00F93360"/>
    <w:rsid w:val="00F93FE4"/>
    <w:rsid w:val="00F97E4E"/>
    <w:rsid w:val="00FA217B"/>
    <w:rsid w:val="00FB05BE"/>
    <w:rsid w:val="00FB0BC5"/>
    <w:rsid w:val="00FB0BCC"/>
    <w:rsid w:val="00FC0FE5"/>
    <w:rsid w:val="00FD1ABC"/>
    <w:rsid w:val="00FD7DDF"/>
    <w:rsid w:val="00FE4C92"/>
    <w:rsid w:val="00FF0FAA"/>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cs-CZ"/>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iPriority="0" w:unhideWhenUsed="1"/>
    <w:lsdException w:name="header" w:locked="1" w:uiPriority="0" w:qFormat="1"/>
    <w:lsdException w:name="footer" w:locked="1"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92F"/>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54592F"/>
    <w:pPr>
      <w:numPr>
        <w:numId w:val="1"/>
      </w:numPr>
      <w:ind w:left="720" w:hanging="720"/>
      <w:outlineLvl w:val="0"/>
    </w:pPr>
    <w:rPr>
      <w:kern w:val="28"/>
    </w:rPr>
  </w:style>
  <w:style w:type="paragraph" w:styleId="Heading2">
    <w:name w:val="heading 2"/>
    <w:basedOn w:val="Normal"/>
    <w:next w:val="Normal"/>
    <w:link w:val="Heading2Char"/>
    <w:qFormat/>
    <w:rsid w:val="0054592F"/>
    <w:pPr>
      <w:numPr>
        <w:ilvl w:val="1"/>
        <w:numId w:val="1"/>
      </w:numPr>
      <w:outlineLvl w:val="1"/>
    </w:pPr>
  </w:style>
  <w:style w:type="paragraph" w:styleId="Heading3">
    <w:name w:val="heading 3"/>
    <w:basedOn w:val="Normal"/>
    <w:next w:val="Normal"/>
    <w:link w:val="Heading3Char"/>
    <w:qFormat/>
    <w:rsid w:val="0054592F"/>
    <w:pPr>
      <w:numPr>
        <w:ilvl w:val="2"/>
        <w:numId w:val="1"/>
      </w:numPr>
      <w:ind w:left="720" w:hanging="720"/>
      <w:outlineLvl w:val="2"/>
    </w:pPr>
  </w:style>
  <w:style w:type="paragraph" w:styleId="Heading4">
    <w:name w:val="heading 4"/>
    <w:basedOn w:val="Normal"/>
    <w:next w:val="Normal"/>
    <w:link w:val="Heading4Char"/>
    <w:qFormat/>
    <w:rsid w:val="0054592F"/>
    <w:pPr>
      <w:numPr>
        <w:ilvl w:val="3"/>
        <w:numId w:val="1"/>
      </w:numPr>
      <w:ind w:left="720" w:hanging="720"/>
      <w:outlineLvl w:val="3"/>
    </w:pPr>
  </w:style>
  <w:style w:type="paragraph" w:styleId="Heading5">
    <w:name w:val="heading 5"/>
    <w:basedOn w:val="Normal"/>
    <w:next w:val="Normal"/>
    <w:link w:val="Heading5Char"/>
    <w:qFormat/>
    <w:rsid w:val="0054592F"/>
    <w:pPr>
      <w:numPr>
        <w:ilvl w:val="4"/>
        <w:numId w:val="1"/>
      </w:numPr>
      <w:ind w:left="720" w:hanging="720"/>
      <w:outlineLvl w:val="4"/>
    </w:pPr>
  </w:style>
  <w:style w:type="paragraph" w:styleId="Heading6">
    <w:name w:val="heading 6"/>
    <w:basedOn w:val="Normal"/>
    <w:next w:val="Normal"/>
    <w:link w:val="Heading6Char"/>
    <w:qFormat/>
    <w:rsid w:val="0054592F"/>
    <w:pPr>
      <w:numPr>
        <w:ilvl w:val="5"/>
        <w:numId w:val="1"/>
      </w:numPr>
      <w:ind w:left="720" w:hanging="720"/>
      <w:outlineLvl w:val="5"/>
    </w:pPr>
  </w:style>
  <w:style w:type="paragraph" w:styleId="Heading7">
    <w:name w:val="heading 7"/>
    <w:basedOn w:val="Normal"/>
    <w:next w:val="Normal"/>
    <w:link w:val="Heading7Char"/>
    <w:qFormat/>
    <w:rsid w:val="0054592F"/>
    <w:pPr>
      <w:numPr>
        <w:ilvl w:val="6"/>
        <w:numId w:val="1"/>
      </w:numPr>
      <w:ind w:left="720" w:hanging="720"/>
      <w:outlineLvl w:val="6"/>
    </w:pPr>
  </w:style>
  <w:style w:type="paragraph" w:styleId="Heading8">
    <w:name w:val="heading 8"/>
    <w:basedOn w:val="Normal"/>
    <w:next w:val="Normal"/>
    <w:link w:val="Heading8Char"/>
    <w:qFormat/>
    <w:rsid w:val="0054592F"/>
    <w:pPr>
      <w:numPr>
        <w:ilvl w:val="7"/>
        <w:numId w:val="1"/>
      </w:numPr>
      <w:ind w:left="720" w:hanging="720"/>
      <w:outlineLvl w:val="7"/>
    </w:pPr>
  </w:style>
  <w:style w:type="paragraph" w:styleId="Heading9">
    <w:name w:val="heading 9"/>
    <w:basedOn w:val="Normal"/>
    <w:next w:val="Normal"/>
    <w:link w:val="Heading9Char"/>
    <w:qFormat/>
    <w:rsid w:val="0054592F"/>
    <w:pPr>
      <w:numPr>
        <w:ilvl w:val="8"/>
        <w:numId w:val="1"/>
      </w:numPr>
      <w:ind w:left="720" w:hanging="72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rPr>
  </w:style>
  <w:style w:type="character" w:customStyle="1" w:styleId="Heading2Char">
    <w:name w:val="Heading 2 Char"/>
    <w:basedOn w:val="DefaultParagraphFont"/>
    <w:link w:val="Heading2"/>
    <w:locked/>
    <w:rsid w:val="00CB1536"/>
    <w:rPr>
      <w:szCs w:val="20"/>
    </w:rPr>
  </w:style>
  <w:style w:type="character" w:customStyle="1" w:styleId="Heading3Char">
    <w:name w:val="Heading 3 Char"/>
    <w:basedOn w:val="DefaultParagraphFont"/>
    <w:link w:val="Heading3"/>
    <w:locked/>
    <w:rsid w:val="00CB1536"/>
    <w:rPr>
      <w:szCs w:val="20"/>
    </w:rPr>
  </w:style>
  <w:style w:type="character" w:customStyle="1" w:styleId="Heading4Char">
    <w:name w:val="Heading 4 Char"/>
    <w:basedOn w:val="DefaultParagraphFont"/>
    <w:link w:val="Heading4"/>
    <w:locked/>
    <w:rsid w:val="00CB1536"/>
    <w:rPr>
      <w:szCs w:val="20"/>
    </w:rPr>
  </w:style>
  <w:style w:type="character" w:customStyle="1" w:styleId="Heading5Char">
    <w:name w:val="Heading 5 Char"/>
    <w:basedOn w:val="DefaultParagraphFont"/>
    <w:link w:val="Heading5"/>
    <w:locked/>
    <w:rsid w:val="00CB1536"/>
    <w:rPr>
      <w:szCs w:val="20"/>
    </w:rPr>
  </w:style>
  <w:style w:type="character" w:customStyle="1" w:styleId="Heading6Char">
    <w:name w:val="Heading 6 Char"/>
    <w:basedOn w:val="DefaultParagraphFont"/>
    <w:link w:val="Heading6"/>
    <w:locked/>
    <w:rsid w:val="00CB1536"/>
    <w:rPr>
      <w:szCs w:val="20"/>
    </w:rPr>
  </w:style>
  <w:style w:type="character" w:customStyle="1" w:styleId="Heading7Char">
    <w:name w:val="Heading 7 Char"/>
    <w:basedOn w:val="DefaultParagraphFont"/>
    <w:link w:val="Heading7"/>
    <w:locked/>
    <w:rsid w:val="00CB1536"/>
    <w:rPr>
      <w:szCs w:val="20"/>
    </w:rPr>
  </w:style>
  <w:style w:type="character" w:customStyle="1" w:styleId="Heading8Char">
    <w:name w:val="Heading 8 Char"/>
    <w:basedOn w:val="DefaultParagraphFont"/>
    <w:link w:val="Heading8"/>
    <w:locked/>
    <w:rsid w:val="00CB1536"/>
    <w:rPr>
      <w:szCs w:val="20"/>
    </w:rPr>
  </w:style>
  <w:style w:type="character" w:customStyle="1" w:styleId="Heading9Char">
    <w:name w:val="Heading 9 Char"/>
    <w:basedOn w:val="DefaultParagraphFont"/>
    <w:link w:val="Heading9"/>
    <w:locked/>
    <w:rsid w:val="00CB1536"/>
    <w:rPr>
      <w:szCs w:val="20"/>
    </w:rPr>
  </w:style>
  <w:style w:type="paragraph" w:styleId="Footer">
    <w:name w:val="footer"/>
    <w:basedOn w:val="Normal"/>
    <w:link w:val="FooterChar"/>
    <w:rsid w:val="0054592F"/>
  </w:style>
  <w:style w:type="character" w:customStyle="1" w:styleId="FooterChar">
    <w:name w:val="Footer Char"/>
    <w:basedOn w:val="DefaultParagraphFont"/>
    <w:link w:val="Footer"/>
    <w:locked/>
    <w:rsid w:val="00CB1536"/>
    <w:rPr>
      <w:szCs w:val="20"/>
    </w:rPr>
  </w:style>
  <w:style w:type="paragraph" w:styleId="FootnoteText">
    <w:name w:val="footnote text"/>
    <w:basedOn w:val="Normal"/>
    <w:link w:val="FootnoteTextChar"/>
    <w:rsid w:val="0054592F"/>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cs-CZ" w:bidi="cs-CZ"/>
    </w:rPr>
  </w:style>
  <w:style w:type="paragraph" w:styleId="Header">
    <w:name w:val="header"/>
    <w:basedOn w:val="Normal"/>
    <w:link w:val="HeaderChar"/>
    <w:rsid w:val="0054592F"/>
  </w:style>
  <w:style w:type="character" w:customStyle="1" w:styleId="HeaderChar">
    <w:name w:val="Header Char"/>
    <w:basedOn w:val="DefaultParagraphFont"/>
    <w:link w:val="Header"/>
    <w:locked/>
    <w:rsid w:val="00CB1536"/>
    <w:rPr>
      <w:szCs w:val="20"/>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rsid w:val="0054592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957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7B6"/>
    <w:rPr>
      <w:rFonts w:ascii="Tahoma" w:hAnsi="Tahoma" w:cs="Tahoma"/>
      <w:sz w:val="16"/>
      <w:szCs w:val="16"/>
      <w:lang w:eastAsia="cs-CZ" w:bidi="cs-CZ"/>
    </w:rPr>
  </w:style>
  <w:style w:type="paragraph" w:styleId="ListParagraph">
    <w:name w:val="List Paragraph"/>
    <w:basedOn w:val="Normal"/>
    <w:uiPriority w:val="34"/>
    <w:qFormat/>
    <w:rsid w:val="00E454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cs-CZ"/>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iPriority="0" w:unhideWhenUsed="1"/>
    <w:lsdException w:name="header" w:locked="1" w:uiPriority="0" w:qFormat="1"/>
    <w:lsdException w:name="footer" w:locked="1"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92F"/>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54592F"/>
    <w:pPr>
      <w:numPr>
        <w:numId w:val="1"/>
      </w:numPr>
      <w:ind w:left="720" w:hanging="720"/>
      <w:outlineLvl w:val="0"/>
    </w:pPr>
    <w:rPr>
      <w:kern w:val="28"/>
    </w:rPr>
  </w:style>
  <w:style w:type="paragraph" w:styleId="Heading2">
    <w:name w:val="heading 2"/>
    <w:basedOn w:val="Normal"/>
    <w:next w:val="Normal"/>
    <w:link w:val="Heading2Char"/>
    <w:qFormat/>
    <w:rsid w:val="0054592F"/>
    <w:pPr>
      <w:numPr>
        <w:ilvl w:val="1"/>
        <w:numId w:val="1"/>
      </w:numPr>
      <w:outlineLvl w:val="1"/>
    </w:pPr>
  </w:style>
  <w:style w:type="paragraph" w:styleId="Heading3">
    <w:name w:val="heading 3"/>
    <w:basedOn w:val="Normal"/>
    <w:next w:val="Normal"/>
    <w:link w:val="Heading3Char"/>
    <w:qFormat/>
    <w:rsid w:val="0054592F"/>
    <w:pPr>
      <w:numPr>
        <w:ilvl w:val="2"/>
        <w:numId w:val="1"/>
      </w:numPr>
      <w:ind w:left="720" w:hanging="720"/>
      <w:outlineLvl w:val="2"/>
    </w:pPr>
  </w:style>
  <w:style w:type="paragraph" w:styleId="Heading4">
    <w:name w:val="heading 4"/>
    <w:basedOn w:val="Normal"/>
    <w:next w:val="Normal"/>
    <w:link w:val="Heading4Char"/>
    <w:qFormat/>
    <w:rsid w:val="0054592F"/>
    <w:pPr>
      <w:numPr>
        <w:ilvl w:val="3"/>
        <w:numId w:val="1"/>
      </w:numPr>
      <w:ind w:left="720" w:hanging="720"/>
      <w:outlineLvl w:val="3"/>
    </w:pPr>
  </w:style>
  <w:style w:type="paragraph" w:styleId="Heading5">
    <w:name w:val="heading 5"/>
    <w:basedOn w:val="Normal"/>
    <w:next w:val="Normal"/>
    <w:link w:val="Heading5Char"/>
    <w:qFormat/>
    <w:rsid w:val="0054592F"/>
    <w:pPr>
      <w:numPr>
        <w:ilvl w:val="4"/>
        <w:numId w:val="1"/>
      </w:numPr>
      <w:ind w:left="720" w:hanging="720"/>
      <w:outlineLvl w:val="4"/>
    </w:pPr>
  </w:style>
  <w:style w:type="paragraph" w:styleId="Heading6">
    <w:name w:val="heading 6"/>
    <w:basedOn w:val="Normal"/>
    <w:next w:val="Normal"/>
    <w:link w:val="Heading6Char"/>
    <w:qFormat/>
    <w:rsid w:val="0054592F"/>
    <w:pPr>
      <w:numPr>
        <w:ilvl w:val="5"/>
        <w:numId w:val="1"/>
      </w:numPr>
      <w:ind w:left="720" w:hanging="720"/>
      <w:outlineLvl w:val="5"/>
    </w:pPr>
  </w:style>
  <w:style w:type="paragraph" w:styleId="Heading7">
    <w:name w:val="heading 7"/>
    <w:basedOn w:val="Normal"/>
    <w:next w:val="Normal"/>
    <w:link w:val="Heading7Char"/>
    <w:qFormat/>
    <w:rsid w:val="0054592F"/>
    <w:pPr>
      <w:numPr>
        <w:ilvl w:val="6"/>
        <w:numId w:val="1"/>
      </w:numPr>
      <w:ind w:left="720" w:hanging="720"/>
      <w:outlineLvl w:val="6"/>
    </w:pPr>
  </w:style>
  <w:style w:type="paragraph" w:styleId="Heading8">
    <w:name w:val="heading 8"/>
    <w:basedOn w:val="Normal"/>
    <w:next w:val="Normal"/>
    <w:link w:val="Heading8Char"/>
    <w:qFormat/>
    <w:rsid w:val="0054592F"/>
    <w:pPr>
      <w:numPr>
        <w:ilvl w:val="7"/>
        <w:numId w:val="1"/>
      </w:numPr>
      <w:ind w:left="720" w:hanging="720"/>
      <w:outlineLvl w:val="7"/>
    </w:pPr>
  </w:style>
  <w:style w:type="paragraph" w:styleId="Heading9">
    <w:name w:val="heading 9"/>
    <w:basedOn w:val="Normal"/>
    <w:next w:val="Normal"/>
    <w:link w:val="Heading9Char"/>
    <w:qFormat/>
    <w:rsid w:val="0054592F"/>
    <w:pPr>
      <w:numPr>
        <w:ilvl w:val="8"/>
        <w:numId w:val="1"/>
      </w:numPr>
      <w:ind w:left="720" w:hanging="72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rPr>
  </w:style>
  <w:style w:type="character" w:customStyle="1" w:styleId="Heading2Char">
    <w:name w:val="Heading 2 Char"/>
    <w:basedOn w:val="DefaultParagraphFont"/>
    <w:link w:val="Heading2"/>
    <w:locked/>
    <w:rsid w:val="00CB1536"/>
    <w:rPr>
      <w:szCs w:val="20"/>
    </w:rPr>
  </w:style>
  <w:style w:type="character" w:customStyle="1" w:styleId="Heading3Char">
    <w:name w:val="Heading 3 Char"/>
    <w:basedOn w:val="DefaultParagraphFont"/>
    <w:link w:val="Heading3"/>
    <w:locked/>
    <w:rsid w:val="00CB1536"/>
    <w:rPr>
      <w:szCs w:val="20"/>
    </w:rPr>
  </w:style>
  <w:style w:type="character" w:customStyle="1" w:styleId="Heading4Char">
    <w:name w:val="Heading 4 Char"/>
    <w:basedOn w:val="DefaultParagraphFont"/>
    <w:link w:val="Heading4"/>
    <w:locked/>
    <w:rsid w:val="00CB1536"/>
    <w:rPr>
      <w:szCs w:val="20"/>
    </w:rPr>
  </w:style>
  <w:style w:type="character" w:customStyle="1" w:styleId="Heading5Char">
    <w:name w:val="Heading 5 Char"/>
    <w:basedOn w:val="DefaultParagraphFont"/>
    <w:link w:val="Heading5"/>
    <w:locked/>
    <w:rsid w:val="00CB1536"/>
    <w:rPr>
      <w:szCs w:val="20"/>
    </w:rPr>
  </w:style>
  <w:style w:type="character" w:customStyle="1" w:styleId="Heading6Char">
    <w:name w:val="Heading 6 Char"/>
    <w:basedOn w:val="DefaultParagraphFont"/>
    <w:link w:val="Heading6"/>
    <w:locked/>
    <w:rsid w:val="00CB1536"/>
    <w:rPr>
      <w:szCs w:val="20"/>
    </w:rPr>
  </w:style>
  <w:style w:type="character" w:customStyle="1" w:styleId="Heading7Char">
    <w:name w:val="Heading 7 Char"/>
    <w:basedOn w:val="DefaultParagraphFont"/>
    <w:link w:val="Heading7"/>
    <w:locked/>
    <w:rsid w:val="00CB1536"/>
    <w:rPr>
      <w:szCs w:val="20"/>
    </w:rPr>
  </w:style>
  <w:style w:type="character" w:customStyle="1" w:styleId="Heading8Char">
    <w:name w:val="Heading 8 Char"/>
    <w:basedOn w:val="DefaultParagraphFont"/>
    <w:link w:val="Heading8"/>
    <w:locked/>
    <w:rsid w:val="00CB1536"/>
    <w:rPr>
      <w:szCs w:val="20"/>
    </w:rPr>
  </w:style>
  <w:style w:type="character" w:customStyle="1" w:styleId="Heading9Char">
    <w:name w:val="Heading 9 Char"/>
    <w:basedOn w:val="DefaultParagraphFont"/>
    <w:link w:val="Heading9"/>
    <w:locked/>
    <w:rsid w:val="00CB1536"/>
    <w:rPr>
      <w:szCs w:val="20"/>
    </w:rPr>
  </w:style>
  <w:style w:type="paragraph" w:styleId="Footer">
    <w:name w:val="footer"/>
    <w:basedOn w:val="Normal"/>
    <w:link w:val="FooterChar"/>
    <w:rsid w:val="0054592F"/>
  </w:style>
  <w:style w:type="character" w:customStyle="1" w:styleId="FooterChar">
    <w:name w:val="Footer Char"/>
    <w:basedOn w:val="DefaultParagraphFont"/>
    <w:link w:val="Footer"/>
    <w:locked/>
    <w:rsid w:val="00CB1536"/>
    <w:rPr>
      <w:szCs w:val="20"/>
    </w:rPr>
  </w:style>
  <w:style w:type="paragraph" w:styleId="FootnoteText">
    <w:name w:val="footnote text"/>
    <w:basedOn w:val="Normal"/>
    <w:link w:val="FootnoteTextChar"/>
    <w:rsid w:val="0054592F"/>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cs-CZ" w:bidi="cs-CZ"/>
    </w:rPr>
  </w:style>
  <w:style w:type="paragraph" w:styleId="Header">
    <w:name w:val="header"/>
    <w:basedOn w:val="Normal"/>
    <w:link w:val="HeaderChar"/>
    <w:rsid w:val="0054592F"/>
  </w:style>
  <w:style w:type="character" w:customStyle="1" w:styleId="HeaderChar">
    <w:name w:val="Header Char"/>
    <w:basedOn w:val="DefaultParagraphFont"/>
    <w:link w:val="Header"/>
    <w:locked/>
    <w:rsid w:val="00CB1536"/>
    <w:rPr>
      <w:szCs w:val="20"/>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rsid w:val="0054592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957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7B6"/>
    <w:rPr>
      <w:rFonts w:ascii="Tahoma" w:hAnsi="Tahoma" w:cs="Tahoma"/>
      <w:sz w:val="16"/>
      <w:szCs w:val="16"/>
      <w:lang w:eastAsia="cs-CZ" w:bidi="cs-CZ"/>
    </w:rPr>
  </w:style>
  <w:style w:type="paragraph" w:styleId="ListParagraph">
    <w:name w:val="List Paragraph"/>
    <w:basedOn w:val="Normal"/>
    <w:uiPriority w:val="34"/>
    <w:qFormat/>
    <w:rsid w:val="00E4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CS/TXT/?uri=CELEX:52011DC0144" TargetMode="External"/><Relationship Id="rId13" Type="http://schemas.openxmlformats.org/officeDocument/2006/relationships/hyperlink" Target="http://eur-lex.europa.eu/eli/dir/2004/107/oj" TargetMode="External"/><Relationship Id="rId18" Type="http://schemas.openxmlformats.org/officeDocument/2006/relationships/hyperlink" Target="http://eur-lex.europa.eu/legal-content/CS/TXT/?uri=CELEX:52016PC0767" TargetMode="External"/><Relationship Id="rId26" Type="http://schemas.openxmlformats.org/officeDocument/2006/relationships/hyperlink" Target="http://eur-lex.europa.eu/legal-content/CS/TXT/?uri=CELEX:52016DC0705" TargetMode="External"/><Relationship Id="rId39" Type="http://schemas.openxmlformats.org/officeDocument/2006/relationships/hyperlink" Target="http://eur-lex.europa.eu/eli/dir/2014/34/oj" TargetMode="External"/><Relationship Id="rId3" Type="http://schemas.openxmlformats.org/officeDocument/2006/relationships/hyperlink" Target="http://eur-lex.europa.eu/legal-content/CS/TXT/?uri=uriserv:OJ.C_.2016.389.01.0080.01.CES" TargetMode="External"/><Relationship Id="rId21" Type="http://schemas.openxmlformats.org/officeDocument/2006/relationships/hyperlink" Target="http://eur-lex.europa.eu/legal-content/CS/TXT/?uri=CELEX:52014DC0445" TargetMode="External"/><Relationship Id="rId34" Type="http://schemas.openxmlformats.org/officeDocument/2006/relationships/hyperlink" Target="http://eur-lex.europa.eu/eli/dir/1998/83/oj" TargetMode="External"/><Relationship Id="rId42" Type="http://schemas.openxmlformats.org/officeDocument/2006/relationships/hyperlink" Target="http://eur-lex.europa.eu/legal-content/CS/TXT/?uri=CELEX:52014DC0247" TargetMode="External"/><Relationship Id="rId7" Type="http://schemas.openxmlformats.org/officeDocument/2006/relationships/hyperlink" Target="http://eur-lex.europa.eu/eli/dir/2016/797/oj" TargetMode="External"/><Relationship Id="rId12" Type="http://schemas.openxmlformats.org/officeDocument/2006/relationships/hyperlink" Target="http://eur-lex.europa.eu/eli/dir/2008/50/oj" TargetMode="External"/><Relationship Id="rId17" Type="http://schemas.openxmlformats.org/officeDocument/2006/relationships/hyperlink" Target="http://eur-lex.europa.eu/eli/dir/2009/28/oj" TargetMode="External"/><Relationship Id="rId25" Type="http://schemas.openxmlformats.org/officeDocument/2006/relationships/hyperlink" Target="http://eur-lex.europa.eu/eli/dir/2016/1629/oj" TargetMode="External"/><Relationship Id="rId33" Type="http://schemas.openxmlformats.org/officeDocument/2006/relationships/hyperlink" Target="http://eur-lex.europa.eu/eli/reg/2011/305/oj" TargetMode="External"/><Relationship Id="rId38" Type="http://schemas.openxmlformats.org/officeDocument/2006/relationships/hyperlink" Target="http://eur-lex.europa.eu/eli/dir/2016/797/oj" TargetMode="External"/><Relationship Id="rId46" Type="http://schemas.openxmlformats.org/officeDocument/2006/relationships/hyperlink" Target="http://eur-lex.europa.eu/legal-content/CS/TXT/?uri=CELEX:52016AE6865" TargetMode="External"/><Relationship Id="rId2" Type="http://schemas.openxmlformats.org/officeDocument/2006/relationships/hyperlink" Target="http://eur-lex.europa.eu/legal-content/CS/TXT/?uri=CELEX:52016PC0157" TargetMode="External"/><Relationship Id="rId16" Type="http://schemas.openxmlformats.org/officeDocument/2006/relationships/hyperlink" Target="http://eur-lex.europa.eu/eli/dir/2009/125/oj" TargetMode="External"/><Relationship Id="rId20" Type="http://schemas.openxmlformats.org/officeDocument/2006/relationships/hyperlink" Target="http://eur-lex.europa.eu/legal-content/CS/TXT/?uri=CELEX:52013DC0216" TargetMode="External"/><Relationship Id="rId29" Type="http://schemas.openxmlformats.org/officeDocument/2006/relationships/hyperlink" Target="http://eur-lex.europa.eu/legal-content/CS/TXT/?uri=uriserv:OJ.C_.2014.067.01.0096.01.CES" TargetMode="External"/><Relationship Id="rId41" Type="http://schemas.openxmlformats.org/officeDocument/2006/relationships/hyperlink" Target="http://eur-lex.europa.eu/legal-content/CS/ALL/?uri=CELEX:52013AE1600" TargetMode="External"/><Relationship Id="rId1" Type="http://schemas.openxmlformats.org/officeDocument/2006/relationships/hyperlink" Target="http://curia.europa.eu/juris/document/document.jsf?text=&amp;docid=184891&amp;pageIndex=0&amp;doclang=CS&amp;mode=lst&amp;dir=&amp;occ=first&amp;part=1&amp;cid=796374" TargetMode="External"/><Relationship Id="rId6" Type="http://schemas.openxmlformats.org/officeDocument/2006/relationships/hyperlink" Target="http://eur-lex.europa.eu/legal-content/CS/TXT/?uri=CELEX:32014L0053" TargetMode="External"/><Relationship Id="rId11" Type="http://schemas.openxmlformats.org/officeDocument/2006/relationships/hyperlink" Target="http://eur-lex.europa.eu/legal-content/CS/TXT/?uri=CELEX:52013SC0524" TargetMode="External"/><Relationship Id="rId24" Type="http://schemas.openxmlformats.org/officeDocument/2006/relationships/hyperlink" Target="http://eur-lex.europa.eu/legal-content/CS/TXT/?uri=CELEX:51995DC0302" TargetMode="External"/><Relationship Id="rId32" Type="http://schemas.openxmlformats.org/officeDocument/2006/relationships/hyperlink" Target="http://eur-lex.europa.eu/eli/reg/2017/746/oj" TargetMode="External"/><Relationship Id="rId37" Type="http://schemas.openxmlformats.org/officeDocument/2006/relationships/hyperlink" Target="http://eur-lex.europa.eu/eli/dir/2014/28/oj" TargetMode="External"/><Relationship Id="rId40" Type="http://schemas.openxmlformats.org/officeDocument/2006/relationships/hyperlink" Target="http://eur-lex.europa.eu/eli/dir/2001/95/oj" TargetMode="External"/><Relationship Id="rId45" Type="http://schemas.openxmlformats.org/officeDocument/2006/relationships/hyperlink" Target="http://eur-lex.europa.eu/legal-content/CS/TXT/?uri=CELEX:52016DC0950" TargetMode="External"/><Relationship Id="rId5" Type="http://schemas.openxmlformats.org/officeDocument/2006/relationships/hyperlink" Target="http://berec.europa.eu/eng/document_register/subject_matter/berec/reports/5755-berec-report-on-enabling-the-internet-of-things" TargetMode="External"/><Relationship Id="rId15" Type="http://schemas.openxmlformats.org/officeDocument/2006/relationships/hyperlink" Target="http://eur-lex.europa.eu/eli/reg/2006/1907/2014-04-10" TargetMode="External"/><Relationship Id="rId23" Type="http://schemas.openxmlformats.org/officeDocument/2006/relationships/hyperlink" Target="http://eur-lex.europa.eu/eli/dir/2003/87/oj" TargetMode="External"/><Relationship Id="rId28" Type="http://schemas.openxmlformats.org/officeDocument/2006/relationships/hyperlink" Target="http://eur-lex.europa.eu/legal-content/CS/TXT/?uri=CELEX:52015DC0192" TargetMode="External"/><Relationship Id="rId36" Type="http://schemas.openxmlformats.org/officeDocument/2006/relationships/hyperlink" Target="https://www.iso.org/news/2015/03/Ref1946.html" TargetMode="External"/><Relationship Id="rId10" Type="http://schemas.openxmlformats.org/officeDocument/2006/relationships/hyperlink" Target="http://eur-lex.europa.eu/legal-content/CS/TXT/?uri=CELEX:52013DC0913" TargetMode="External"/><Relationship Id="rId19" Type="http://schemas.openxmlformats.org/officeDocument/2006/relationships/hyperlink" Target="http://eur-lex.europa.eu/legal-content/CS/TXT/?uri=CELEX:52013DC0249" TargetMode="External"/><Relationship Id="rId31" Type="http://schemas.openxmlformats.org/officeDocument/2006/relationships/hyperlink" Target="http://eur-lex.europa.eu/eli/reg/2017/745/oj" TargetMode="External"/><Relationship Id="rId44" Type="http://schemas.openxmlformats.org/officeDocument/2006/relationships/hyperlink" Target="http://eur-lex.europa.eu/legal-content/CS/TXT/?uri=CELEX:52012DC0417" TargetMode="External"/><Relationship Id="rId4" Type="http://schemas.openxmlformats.org/officeDocument/2006/relationships/hyperlink" Target="http://eur-lex.europa.eu/legal-content/CS/TXT/?uri=CELEX:52016DC0176" TargetMode="External"/><Relationship Id="rId9" Type="http://schemas.openxmlformats.org/officeDocument/2006/relationships/hyperlink" Target="http://eur-lex.europa.eu/legal-content/CS/TXT/?uri=CELEX:52009DC0008" TargetMode="External"/><Relationship Id="rId14" Type="http://schemas.openxmlformats.org/officeDocument/2006/relationships/hyperlink" Target="http://eur-lex.europa.eu/eli/dir/2010/75/oj" TargetMode="External"/><Relationship Id="rId22" Type="http://schemas.openxmlformats.org/officeDocument/2006/relationships/hyperlink" Target="http://eur-lex.europa.eu/legal-content/CS/TXT/?uri=celex:32009L0028" TargetMode="External"/><Relationship Id="rId27" Type="http://schemas.openxmlformats.org/officeDocument/2006/relationships/hyperlink" Target="http://eur-lex.europa.eu/legal-content/CS/TXT/?uri=CELEX:52013DC0453" TargetMode="External"/><Relationship Id="rId30" Type="http://schemas.openxmlformats.org/officeDocument/2006/relationships/hyperlink" Target="http://eur-lex.europa.eu/eli/dir/2006/42/oj" TargetMode="External"/><Relationship Id="rId35" Type="http://schemas.openxmlformats.org/officeDocument/2006/relationships/hyperlink" Target="http://eur-lex.europa.eu/legal-content/CS/ALL/?uri=CELEX:52015PC0613" TargetMode="External"/><Relationship Id="rId43" Type="http://schemas.openxmlformats.org/officeDocument/2006/relationships/hyperlink" Target="http://eur-lex.europa.eu/legal-content/CS/TXT/?uri=CELEX:52015DC06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sis\dfs\softwlib\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WTPCSN73YJ26-7-6665</_dlc_DocId>
    <_dlc_DocIdUrl xmlns="8a3471f6-0f36-4ccf-b5ee-1ca67ea797ef">
      <Url>http://dm2016/eesc/2017/_layouts/DocIdRedir.aspx?ID=WTPCSN73YJ26-7-6665</Url>
      <Description>WTPCSN73YJ26-7-6665</Description>
    </_dlc_DocIdUrl>
    <MeetingNumber xmlns="f5b869d2-addc-441a-a17c-05e3e333473c">531</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a3471f6-0f36-4ccf-b5ee-1ca67ea797e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2017-12-21T12:00:00+00:00</ProductionDate>
    <DocumentNumber xmlns="f5b869d2-addc-441a-a17c-05e3e333473c">4398</DocumentNumber>
    <FicheYear xmlns="8a3471f6-0f36-4ccf-b5ee-1ca67ea797ef">2017</FicheYear>
    <DocumentVersion xmlns="8a3471f6-0f36-4ccf-b5ee-1ca67ea797ef">0</DocumentVersion>
    <DossierNumber xmlns="8a3471f6-0f36-4ccf-b5ee-1ca67ea797ef">830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2018-01-17T12:00:00+00:00</MeetingDate>
    <TaxCatchAll xmlns="8a3471f6-0f36-4ccf-b5ee-1ca67ea797ef">
      <Value>29</Value>
      <Value>38</Value>
      <Value>37</Value>
      <Value>36</Value>
      <Value>35</Value>
      <Value>34</Value>
      <Value>33</Value>
      <Value>32</Value>
      <Value>31</Value>
      <Value>30</Value>
      <Value>25</Value>
      <Value>28</Value>
      <Value>27</Value>
      <Value>26</Value>
      <Value>72</Value>
      <Value>24</Value>
      <Value>23</Value>
      <Value>22</Value>
      <Value>20</Value>
      <Value>18</Value>
      <Value>14</Value>
      <Value>15</Value>
      <Value>108</Value>
      <Value>12</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Rapporteur xmlns="8a3471f6-0f36-4ccf-b5ee-1ca67ea797ef">MENDOZA CASTRO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a3471f6-0f36-4ccf-b5ee-1ca67ea797ef">14068</FicheNumber>
    <DocumentYear xmlns="8a3471f6-0f36-4ccf-b5ee-1ca67ea797ef">2017</DocumentYear>
    <AdoptionDate xmlns="8a3471f6-0f36-4ccf-b5ee-1ca67ea797ef" xsi:nil="true"/>
    <DocumentPart xmlns="8a3471f6-0f36-4ccf-b5ee-1ca67ea797ef">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a3471f6-0f36-4ccf-b5ee-1ca67ea797ef">Marché unique, production, consommation</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C97235EC7FCE745BC5B366FF1DC5038" ma:contentTypeVersion="4" ma:contentTypeDescription="Defines the documents for Document Manager V2" ma:contentTypeScope="" ma:versionID="fdc5d479d401085172ccc511f8f942b2">
  <xsd:schema xmlns:xsd="http://www.w3.org/2001/XMLSchema" xmlns:xs="http://www.w3.org/2001/XMLSchema" xmlns:p="http://schemas.microsoft.com/office/2006/metadata/properties" xmlns:ns2="8a3471f6-0f36-4ccf-b5ee-1ca67ea797ef" xmlns:ns3="http://schemas.microsoft.com/sharepoint/v3/fields" xmlns:ns4="f5b869d2-addc-441a-a17c-05e3e333473c" targetNamespace="http://schemas.microsoft.com/office/2006/metadata/properties" ma:root="true" ma:fieldsID="db0b578ac21d9f92b9585d8b98348286" ns2:_="" ns3:_="" ns4:_="">
    <xsd:import namespace="8a3471f6-0f36-4ccf-b5ee-1ca67ea797ef"/>
    <xsd:import namespace="http://schemas.microsoft.com/sharepoint/v3/fields"/>
    <xsd:import namespace="f5b869d2-addc-441a-a17c-05e3e333473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b869d2-addc-441a-a17c-05e3e333473c"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A8437-F577-49A4-A733-5CC4B7ED4D29}"/>
</file>

<file path=customXml/itemProps2.xml><?xml version="1.0" encoding="utf-8"?>
<ds:datastoreItem xmlns:ds="http://schemas.openxmlformats.org/officeDocument/2006/customXml" ds:itemID="{BA470676-BA11-4F02-B286-5FDA13F4F3A5}"/>
</file>

<file path=customXml/itemProps3.xml><?xml version="1.0" encoding="utf-8"?>
<ds:datastoreItem xmlns:ds="http://schemas.openxmlformats.org/officeDocument/2006/customXml" ds:itemID="{90CBD04E-6A5E-48AF-A4C2-39AF8D6C755C}"/>
</file>

<file path=customXml/itemProps4.xml><?xml version="1.0" encoding="utf-8"?>
<ds:datastoreItem xmlns:ds="http://schemas.openxmlformats.org/officeDocument/2006/customXml" ds:itemID="{3E2F4CFA-2ADE-40C2-9884-08B2F6C76BDF}"/>
</file>

<file path=customXml/itemProps5.xml><?xml version="1.0" encoding="utf-8"?>
<ds:datastoreItem xmlns:ds="http://schemas.openxmlformats.org/officeDocument/2006/customXml" ds:itemID="{61F54B8C-9042-4470-B4D9-B703B9D7CBCF}"/>
</file>

<file path=docProps/app.xml><?xml version="1.0" encoding="utf-8"?>
<Properties xmlns="http://schemas.openxmlformats.org/officeDocument/2006/extended-properties" xmlns:vt="http://schemas.openxmlformats.org/officeDocument/2006/docPropsVTypes">
  <Template>Styles.dotm</Template>
  <TotalTime>8</TotalTime>
  <Pages>12</Pages>
  <Words>2592</Words>
  <Characters>15892</Characters>
  <Application>Microsoft Office Word</Application>
  <DocSecurity>0</DocSecurity>
  <Lines>132</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European standardisation 2018</vt:lpstr>
      <vt:lpstr>European Agenda on Migration: Second implementation package - A permanent crisis relocation mechanism under the Dublin system</vt:lpstr>
    </vt:vector>
  </TitlesOfParts>
  <Company>CESE-CdR</Company>
  <LinksUpToDate>false</LinksUpToDate>
  <CharactersWithSpaces>18448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Evropská normalizace na rok 2018</dc:title>
  <dc:creator/>
  <cp:keywords>EESC-2017-04398-00-00-AS-TRA-EN</cp:keywords>
  <dc:description>Rapporteur: MENDOZA CASTRO - Original language: EN - Date of document: 21/12/2017 - Date of meeting: 17/01/2018 - External documents: COM(2017)453-final - Administrator: M. Faure Jean-Pierre Bernard</dc:description>
  <cp:lastModifiedBy/>
  <cp:revision>7</cp:revision>
  <cp:lastPrinted>2017-11-28T16:16:00Z</cp:lastPrinted>
  <dcterms:created xsi:type="dcterms:W3CDTF">2017-12-19T14:03:00Z</dcterms:created>
  <dcterms:modified xsi:type="dcterms:W3CDTF">2017-12-21T16:39:00Z</dcterms:modified>
  <cp:category>INT/830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19/12/2017, 19/12/2017, 29/11/2017, 29/11/2017, 04/11/2015, 27/10/2015, 19/10/2015, 09/10/2015, 05/10/2015, 05/10/2015, 26/08/2015, 26/08/2015, 25/08/2015</vt:lpwstr>
  </property>
  <property fmtid="{D5CDD505-2E9C-101B-9397-08002B2CF9AE}" pid="4" name="Pref_Time">
    <vt:lpwstr>14:58:30, 14:50:57, 16:28:13, 16:14:58, 12:10:07, 14:44:02, 16:04:16, 14:09:30, 16:24:55, 16:04:02, 08:56:14, 07:27:56, 17:31:53</vt:lpwstr>
  </property>
  <property fmtid="{D5CDD505-2E9C-101B-9397-08002B2CF9AE}" pid="5" name="Pref_User">
    <vt:lpwstr>enied, htoo, enied, htoo, ssex, enied, amett, tvoc, mreg, mreg, amett, enied, ssex</vt:lpwstr>
  </property>
  <property fmtid="{D5CDD505-2E9C-101B-9397-08002B2CF9AE}" pid="6" name="Pref_FileName">
    <vt:lpwstr>EESC-2017-04398-00-00-AS-TRA-EN-CRR.docx, EESC-2017-04398-00-00-AS-CRR-EN.docx, EESC-2017-04398-00-00-PA-TRA-EN-CRR.docx, EESC-2017-04398-00-00-PA-CRR-EN.docx, EESC-2015-05408-00-00-PA-CRR-EN.docx, EESC-2015-05408-00-01-APA-ORI.docx, EESC-2015-04319-00-00</vt:lpwstr>
  </property>
  <property fmtid="{D5CDD505-2E9C-101B-9397-08002B2CF9AE}" pid="7" name="ContentTypeId">
    <vt:lpwstr>0x010100EA97B91038054C99906057A708A1480A00FC97235EC7FCE745BC5B366FF1DC5038</vt:lpwstr>
  </property>
  <property fmtid="{D5CDD505-2E9C-101B-9397-08002B2CF9AE}" pid="8" name="_dlc_DocIdItemGuid">
    <vt:lpwstr>92aa8a99-c2d8-469b-8984-3b5a2cbe23fd</vt:lpwstr>
  </property>
  <property fmtid="{D5CDD505-2E9C-101B-9397-08002B2CF9AE}" pid="9" name="MeetingNumber">
    <vt:i4>531</vt:i4>
  </property>
  <property fmtid="{D5CDD505-2E9C-101B-9397-08002B2CF9AE}" pid="10" name="DocumentType_0">
    <vt:lpwstr>AS|c7a748eb-f6f2-4d9d-8b5a-af0cafebc224</vt:lpwstr>
  </property>
  <property fmtid="{D5CDD505-2E9C-101B-9397-08002B2CF9AE}" pid="11" name="AvailableTranslations">
    <vt:lpwstr>12;#NL|55c6556c-b4f4-441d-9acf-c498d4f838bd;#30;#LV|46f7e311-5d9f-4663-b433-18aeccb7ace7;#31;#LT|a7ff5ce7-6123-4f68-865a-a57c31810414;#36;#BG|1a1b3951-7821-4e6a-85f5-5673fc08bd2c;#15;#PT|50ccc04a-eadd-42ae-a0cb-acaf45f812ba;#4;#EN|f2175f21-25d7-44a3-96da-d6a61b075e1b;#27;#CS|72f9705b-0217-4fd3-bea2-cbc7ed80e26e;#38;#HR|2f555653-ed1a-4fe6-8362-9082d95989e5;#35;#SL|98a412ae-eb01-49e9-ae3d-585a81724cfc;#22;#IT|0774613c-01ed-4e5d-a25d-11d2388de825;#18;#DE|f6b31e5a-26fa-4935-b661-318e46daf27e;#25;#FI|87606a43-d45f-42d6-b8c9-e1a3457db5b7;#28;#ET|ff6c3f4c-b02c-4c3c-ab07-2c37995a7a0a;#23;#DA|5d49c027-8956-412b-aa16-e85a0f96ad0e;#33;#PL|1e03da61-4678-4e07-b136-b5024ca9197b;#14;#ES|e7a6b05b-ae16-40c8-add9-68b64b03aeba;#26;#SV|c2ed69e7-a339-43d7-8f22-d93680a92aa0;#34;#SK|46d9fce0-ef79-4f71-b89b-cd6aa82426b8;#24;#EL|6d4f4d51-af9b-4650-94b4-4276bee85c91;#37;#RO|feb747a2-64cd-4299-af12-4833ddc30497;#8;#FR|d2afafd3-4c81-4f60-8f52-ee33f2f54ff3;#32;#MT|7df99101-6854-4a26-b53a-b88c0da02c26;#29;#HU|6b229040-c589-4408-b4c1-4285663d20a8</vt:lpwstr>
  </property>
  <property fmtid="{D5CDD505-2E9C-101B-9397-08002B2CF9AE}" pid="12" name="DossierName_0">
    <vt:lpwstr>INT|e1edfecb-ed43-427b-bb02-d45fe6645386</vt:lpwstr>
  </property>
  <property fmtid="{D5CDD505-2E9C-101B-9397-08002B2CF9AE}" pid="13" name="DocumentSource_0">
    <vt:lpwstr>EESC|422833ec-8d7e-4e65-8e4e-8bed07ffb729</vt:lpwstr>
  </property>
  <property fmtid="{D5CDD505-2E9C-101B-9397-08002B2CF9AE}" pid="14" name="FicheYear">
    <vt:i4>2017</vt:i4>
  </property>
  <property fmtid="{D5CDD505-2E9C-101B-9397-08002B2CF9AE}" pid="15" name="DocumentNumber">
    <vt:i4>4398</vt:i4>
  </property>
  <property fmtid="{D5CDD505-2E9C-101B-9397-08002B2CF9AE}" pid="16" name="DocumentVersion">
    <vt:i4>0</vt:i4>
  </property>
  <property fmtid="{D5CDD505-2E9C-101B-9397-08002B2CF9AE}" pid="17" name="DossierNumber">
    <vt:i4>830</vt:i4>
  </property>
  <property fmtid="{D5CDD505-2E9C-101B-9397-08002B2CF9AE}" pid="18" name="DocumentSource">
    <vt:lpwstr>1;#EESC|422833ec-8d7e-4e65-8e4e-8bed07ffb729</vt:lpwstr>
  </property>
  <property fmtid="{D5CDD505-2E9C-101B-9397-08002B2CF9AE}" pid="20" name="DocumentType">
    <vt:lpwstr>108;#AS|c7a748eb-f6f2-4d9d-8b5a-af0cafebc224</vt:lpwstr>
  </property>
  <property fmtid="{D5CDD505-2E9C-101B-9397-08002B2CF9AE}" pid="21" name="DocumentStatus">
    <vt:lpwstr>2;#TRA|150d2a88-1431-44e6-a8ca-0bb753ab8672</vt:lpwstr>
  </property>
  <property fmtid="{D5CDD505-2E9C-101B-9397-08002B2CF9AE}" pid="22" name="DossierName">
    <vt:lpwstr>20;#INT|e1edfecb-ed43-427b-bb02-d45fe6645386</vt:lpwstr>
  </property>
  <property fmtid="{D5CDD505-2E9C-101B-9397-08002B2CF9AE}" pid="23" name="DocumentPart">
    <vt:i4>0</vt:i4>
  </property>
  <property fmtid="{D5CDD505-2E9C-101B-9397-08002B2CF9AE}" pid="24" name="RequestingService">
    <vt:lpwstr>Marché unique, production, consommation</vt:lpwstr>
  </property>
  <property fmtid="{D5CDD505-2E9C-101B-9397-08002B2CF9AE}" pid="25" name="Confidentiality">
    <vt:lpwstr>5;#Unrestricted|826e22d7-d029-4ec0-a450-0c28ff673572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SPL-CES|32d8cb1f-c9ec-4365-95c7-8385a18618ac</vt:lpwstr>
  </property>
  <property fmtid="{D5CDD505-2E9C-101B-9397-08002B2CF9AE}" pid="28" name="OriginalLanguage">
    <vt:lpwstr>4;#EN|f2175f21-25d7-44a3-96da-d6a61b075e1b</vt:lpwstr>
  </property>
  <property fmtid="{D5CDD505-2E9C-101B-9397-08002B2CF9AE}" pid="29" name="MeetingName">
    <vt:lpwstr>72;#SPL-CES|32d8cb1f-c9ec-4365-95c7-8385a18618ac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MeetingDate">
    <vt:filetime>2018-01-17T12:00:00Z</vt:filetime>
  </property>
  <property fmtid="{D5CDD505-2E9C-101B-9397-08002B2CF9AE}" pid="33" name="TaxCatchAll">
    <vt:lpwstr>22;#IT|0774613c-01ed-4e5d-a25d-11d2388de825;#20;#INT|e1edfecb-ed43-427b-bb02-d45fe6645386;#18;#DE|f6b31e5a-26fa-4935-b661-318e46daf27e;#108;#AS|c7a748eb-f6f2-4d9d-8b5a-af0cafebc224;#14;#ES|e7a6b05b-ae16-40c8-add9-68b64b03aeba;#12;#NL|55c6556c-b4f4-441d-9acf-c498d4f838bd;#34;#SK|46d9fce0-ef79-4f71-b89b-cd6aa82426b8;#29;#HU|6b229040-c589-4408-b4c1-4285663d20a8;#31;#LT|a7ff5ce7-6123-4f68-865a-a57c31810414;#6;#Final|ea5e6674-7b27-4bac-b091-73adbb394efe;#5;#Unrestricted|826e22d7-d029-4ec0-a450-0c28ff673572;#4;#EN|f2175f21-25d7-44a3-96da-d6a61b075e1b;#72;#SPL-CES|32d8cb1f-c9ec-4365-95c7-8385a18618ac;#2;#TRA|150d2a88-1431-44e6-a8ca-0bb753ab8672;#1;#EESC|422833ec-8d7e-4e65-8e4e-8bed07ffb729</vt:lpwstr>
  </property>
  <property fmtid="{D5CDD505-2E9C-101B-9397-08002B2CF9AE}" pid="34" name="AvailableTranslations_0">
    <vt:lpwstr>NL|55c6556c-b4f4-441d-9acf-c498d4f838bd;LT|a7ff5ce7-6123-4f68-865a-a57c31810414;EN|f2175f21-25d7-44a3-96da-d6a61b075e1b;IT|0774613c-01ed-4e5d-a25d-11d2388de825;DE|f6b31e5a-26fa-4935-b661-318e46daf27e;ES|e7a6b05b-ae16-40c8-add9-68b64b03aeba;SK|46d9fce0-ef79-4f71-b89b-cd6aa82426b8;HU|6b229040-c589-4408-b4c1-4285663d20a8</vt:lpwstr>
  </property>
  <property fmtid="{D5CDD505-2E9C-101B-9397-08002B2CF9AE}" pid="35" name="VersionStatus">
    <vt:lpwstr>6;#Final|ea5e6674-7b27-4bac-b091-73adbb394efe</vt:lpwstr>
  </property>
  <property fmtid="{D5CDD505-2E9C-101B-9397-08002B2CF9AE}" pid="36" name="Rapporteur">
    <vt:lpwstr>MENDOZA CASTRO</vt:lpwstr>
  </property>
  <property fmtid="{D5CDD505-2E9C-101B-9397-08002B2CF9AE}" pid="37" name="VersionStatus_0">
    <vt:lpwstr>Final|ea5e6674-7b27-4bac-b091-73adbb394efe</vt:lpwstr>
  </property>
  <property fmtid="{D5CDD505-2E9C-101B-9397-08002B2CF9AE}" pid="38" name="FicheNumber">
    <vt:i4>14068</vt:i4>
  </property>
  <property fmtid="{D5CDD505-2E9C-101B-9397-08002B2CF9AE}" pid="39" name="DocumentYear">
    <vt:i4>2017</vt:i4>
  </property>
  <property fmtid="{D5CDD505-2E9C-101B-9397-08002B2CF9AE}" pid="40" name="DocumentLanguage">
    <vt:lpwstr>27;#CS|72f9705b-0217-4fd3-bea2-cbc7ed80e26e</vt:lpwstr>
  </property>
  <property name="OP_sanitized" fmtid="{D5CDD505-2E9C-101B-9397-08002B2CF9AE}" pid="40">
    <vt:lpwstr>True</vt:lpwstr>
  </property>
</Properties>
</file>