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A32" w:rsidRPr="00246074" w:rsidRDefault="00240152" w:rsidP="00240152">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529B772E-AD64-4DE1-8165-F55E4D123301" style="width:455.25pt;height:399pt">
            <v:imagedata r:id="rId10" o:title=""/>
          </v:shape>
        </w:pict>
      </w:r>
    </w:p>
    <w:p w:rsidR="00C17A32" w:rsidRPr="00246074" w:rsidRDefault="00C17A32" w:rsidP="00C17A32">
      <w:pPr>
        <w:rPr>
          <w:noProof/>
        </w:rPr>
        <w:sectPr w:rsidR="00C17A32" w:rsidRPr="00246074" w:rsidSect="00240152">
          <w:headerReference w:type="even" r:id="rId11"/>
          <w:headerReference w:type="default" r:id="rId12"/>
          <w:footerReference w:type="even" r:id="rId13"/>
          <w:footerReference w:type="default" r:id="rId14"/>
          <w:headerReference w:type="first" r:id="rId15"/>
          <w:footerReference w:type="first" r:id="rId16"/>
          <w:pgSz w:w="11907" w:h="16839"/>
          <w:pgMar w:top="1134" w:right="1417" w:bottom="1134" w:left="1417" w:header="709" w:footer="709" w:gutter="0"/>
          <w:pgNumType w:start="0"/>
          <w:cols w:space="720"/>
          <w:docGrid w:linePitch="360"/>
        </w:sectPr>
      </w:pPr>
    </w:p>
    <w:p w:rsidR="00C17A32" w:rsidRPr="00246074" w:rsidRDefault="00C17A32" w:rsidP="00A75600">
      <w:pPr>
        <w:pStyle w:val="Exposdesmotifstitre"/>
        <w:rPr>
          <w:noProof/>
        </w:rPr>
      </w:pPr>
      <w:bookmarkStart w:id="0" w:name="_GoBack"/>
      <w:bookmarkEnd w:id="0"/>
      <w:r w:rsidRPr="00246074">
        <w:rPr>
          <w:noProof/>
        </w:rPr>
        <w:lastRenderedPageBreak/>
        <w:t>DŮVODOVÁ ZPRÁVA</w:t>
      </w:r>
    </w:p>
    <w:p w:rsidR="00C17A32" w:rsidRPr="00246074" w:rsidRDefault="00C17A32" w:rsidP="00FB18DC">
      <w:pPr>
        <w:pStyle w:val="ManualHeading1"/>
        <w:rPr>
          <w:noProof/>
        </w:rPr>
      </w:pPr>
      <w:r w:rsidRPr="00246074">
        <w:rPr>
          <w:noProof/>
        </w:rPr>
        <w:t>1.</w:t>
      </w:r>
      <w:r w:rsidRPr="00246074">
        <w:rPr>
          <w:noProof/>
        </w:rPr>
        <w:tab/>
        <w:t>SOUVISLOSTI AKTU V PŘENESENÉ PRAVOMOCI</w:t>
      </w:r>
    </w:p>
    <w:p w:rsidR="00C17A32" w:rsidRPr="00246074" w:rsidRDefault="00AC020A" w:rsidP="00A75600">
      <w:pPr>
        <w:rPr>
          <w:noProof/>
        </w:rPr>
      </w:pPr>
      <w:r w:rsidRPr="00246074">
        <w:rPr>
          <w:noProof/>
        </w:rPr>
        <w:t>Revize 2 společné statistické klasifikace ekonomických činností v Evropské unii (NACE Rev. 2) byla zavedena nařízením (ES) č. 1893/2006, které se začalo používat dne 1. ledna 2008.</w:t>
      </w:r>
    </w:p>
    <w:p w:rsidR="00AC020A" w:rsidRPr="00246074" w:rsidRDefault="00AC020A" w:rsidP="00A75600">
      <w:pPr>
        <w:rPr>
          <w:noProof/>
        </w:rPr>
      </w:pPr>
      <w:r w:rsidRPr="00246074">
        <w:rPr>
          <w:noProof/>
        </w:rPr>
        <w:t>Od zahájení používání NACE Rev. 2 globalizace a digitalizace postupně proměňovaly způsob, jakým jsou prováděny mnohé ekonomické činnosti po celém světě. Tyto změny ovlivnily jak na mezinárodní úrovni, tak v rámci samotné EU statistiky, které jsou založeny na klasifikaci ekonomických činností.</w:t>
      </w:r>
    </w:p>
    <w:p w:rsidR="001215FF" w:rsidRPr="00246074" w:rsidRDefault="001215FF" w:rsidP="001215FF">
      <w:pPr>
        <w:rPr>
          <w:noProof/>
        </w:rPr>
      </w:pPr>
      <w:r w:rsidRPr="00246074">
        <w:rPr>
          <w:noProof/>
        </w:rPr>
        <w:t>NACE Rev. 2 musela být vzhledem k těmto změnám aktualizována, aby byla zachována její srovnatelnost a konzistentnost se standardy pro klasifikaci ekonomických činností, které se používají na mezinárodní úrovni. Komise proto, a rovněž za účelem jejího přizpůsobení technickému a vědeckému vývoji, přijala nařízení Komise v přenesené pravomoci 2023/137 ze dne 10. října 2022, kterým se zavádí aktualizovaná NACE (NACE Rev. 2.1).</w:t>
      </w:r>
    </w:p>
    <w:p w:rsidR="001215FF" w:rsidRPr="00246074" w:rsidRDefault="001215FF" w:rsidP="00A75600">
      <w:pPr>
        <w:rPr>
          <w:noProof/>
        </w:rPr>
      </w:pPr>
      <w:r w:rsidRPr="00246074">
        <w:rPr>
          <w:noProof/>
        </w:rPr>
        <w:t>Mnoho právních aktů týkajících se různých statistických oblastí obsahuje požadavky na předávání údajů týkající se konkrétních sekcí, oddílů, skupin či tříd NACE Rev. 2. Tyto akty je třeba změnit tak, aby byly požadavky vyjádřeny způsobem, který je slučitelný s NACE Rev. 2.1.</w:t>
      </w:r>
    </w:p>
    <w:p w:rsidR="00C17A32" w:rsidRPr="00246074" w:rsidRDefault="00C17A32" w:rsidP="00FB18DC">
      <w:pPr>
        <w:pStyle w:val="ManualHeading1"/>
        <w:rPr>
          <w:noProof/>
        </w:rPr>
      </w:pPr>
      <w:r w:rsidRPr="00246074">
        <w:rPr>
          <w:noProof/>
        </w:rPr>
        <w:t>2.</w:t>
      </w:r>
      <w:r w:rsidRPr="00246074">
        <w:rPr>
          <w:noProof/>
        </w:rPr>
        <w:tab/>
        <w:t>KONZULTACE PŘED PŘIJETÍM PRÁVNÍHO AKTU</w:t>
      </w:r>
    </w:p>
    <w:p w:rsidR="001215FF" w:rsidRPr="00246074" w:rsidRDefault="001215FF" w:rsidP="001215FF">
      <w:pPr>
        <w:rPr>
          <w:noProof/>
        </w:rPr>
      </w:pPr>
      <w:r w:rsidRPr="00246074">
        <w:rPr>
          <w:noProof/>
        </w:rPr>
        <w:t>Komise při přípravě tohoto aktu v přenesené pravomoci vedla příslušné konzultace. Ve dnech 7. a 8. prosince 2023 byla konzultována neformální skupina odborníků Komise, tzv. „pracovní skupina pro normy“.</w:t>
      </w:r>
    </w:p>
    <w:p w:rsidR="001215FF" w:rsidRPr="00246074" w:rsidRDefault="001215FF" w:rsidP="001215FF">
      <w:pPr>
        <w:rPr>
          <w:noProof/>
        </w:rPr>
      </w:pPr>
      <w:r w:rsidRPr="00246074">
        <w:rPr>
          <w:noProof/>
        </w:rPr>
        <w:t xml:space="preserve">Komise mimoto konzultovala neformální skupinu odborníků zastupujících národní statistické úřady Evropského statistického systému. </w:t>
      </w:r>
    </w:p>
    <w:p w:rsidR="00C17A32" w:rsidRPr="00246074" w:rsidRDefault="001215FF" w:rsidP="00A75600">
      <w:pPr>
        <w:rPr>
          <w:noProof/>
        </w:rPr>
      </w:pPr>
      <w:r w:rsidRPr="00246074">
        <w:rPr>
          <w:noProof/>
        </w:rPr>
        <w:t>Komise o přípravě aktu v přenesené pravomoci také informovala Evropský parlament a Radu.</w:t>
      </w:r>
    </w:p>
    <w:p w:rsidR="00C17A32" w:rsidRPr="00246074" w:rsidRDefault="00C17A32" w:rsidP="00FB18DC">
      <w:pPr>
        <w:pStyle w:val="ManualHeading1"/>
        <w:rPr>
          <w:noProof/>
        </w:rPr>
      </w:pPr>
      <w:r w:rsidRPr="00246074">
        <w:rPr>
          <w:noProof/>
        </w:rPr>
        <w:t>3.</w:t>
      </w:r>
      <w:r w:rsidRPr="00246074">
        <w:rPr>
          <w:noProof/>
        </w:rPr>
        <w:tab/>
        <w:t>PRÁVNÍ STRÁNKA AKTU V PŘENESENÉ PRAVOMOCI</w:t>
      </w:r>
    </w:p>
    <w:p w:rsidR="001215FF" w:rsidRPr="00246074" w:rsidRDefault="00A84BA0" w:rsidP="001215FF">
      <w:pPr>
        <w:rPr>
          <w:noProof/>
        </w:rPr>
      </w:pPr>
      <w:r w:rsidRPr="00246074">
        <w:rPr>
          <w:noProof/>
        </w:rPr>
        <w:t>Ustanovení čl. 3 odst. 3 nařízení (EU) č. 691/2011 stanoví cíl tohoto aktu v přenesené pravomoci, kterým je aktualizace příloh IV a V s ohledem na technický vývoj.</w:t>
      </w:r>
    </w:p>
    <w:p w:rsidR="001215FF" w:rsidRPr="00246074" w:rsidRDefault="00A84BA0" w:rsidP="001215FF">
      <w:pPr>
        <w:rPr>
          <w:noProof/>
        </w:rPr>
      </w:pPr>
      <w:r w:rsidRPr="00246074">
        <w:rPr>
          <w:noProof/>
        </w:rPr>
        <w:t>Akt v přenesené pravomoci mění přílohy IV a V nařízení (EU) č. 691/2011.</w:t>
      </w:r>
    </w:p>
    <w:p w:rsidR="001215FF" w:rsidRPr="00246074" w:rsidRDefault="001215FF" w:rsidP="001215FF">
      <w:pPr>
        <w:rPr>
          <w:noProof/>
        </w:rPr>
      </w:pPr>
      <w:r w:rsidRPr="00246074">
        <w:rPr>
          <w:noProof/>
        </w:rPr>
        <w:t xml:space="preserve">Akt v přenesené pravomoci se vztahuje na záležitost týkající se Evropského hospodářského prostoru (EHP), a jeho uplatňování by se proto mělo rozšířit na EHP. </w:t>
      </w:r>
    </w:p>
    <w:p w:rsidR="00C17A32" w:rsidRPr="00246074" w:rsidRDefault="001215FF" w:rsidP="00A75600">
      <w:pPr>
        <w:rPr>
          <w:noProof/>
        </w:rPr>
      </w:pPr>
      <w:r w:rsidRPr="00246074">
        <w:rPr>
          <w:noProof/>
        </w:rPr>
        <w:t>Tento akt v přenesené pravomoci nemá žádné důsledky pro rozpočet EU.</w:t>
      </w:r>
    </w:p>
    <w:p w:rsidR="00C17A32" w:rsidRPr="00246074" w:rsidRDefault="00C17A32" w:rsidP="00815964">
      <w:pPr>
        <w:rPr>
          <w:noProof/>
        </w:rPr>
        <w:sectPr w:rsidR="00C17A32" w:rsidRPr="00246074" w:rsidSect="00240152">
          <w:headerReference w:type="even" r:id="rId17"/>
          <w:footerReference w:type="even" r:id="rId18"/>
          <w:footerReference w:type="default" r:id="rId19"/>
          <w:headerReference w:type="first" r:id="rId20"/>
          <w:footerReference w:type="first" r:id="rId21"/>
          <w:pgSz w:w="11907" w:h="16839"/>
          <w:pgMar w:top="1134" w:right="1417" w:bottom="1134" w:left="1417" w:header="709" w:footer="709" w:gutter="0"/>
          <w:cols w:space="708"/>
          <w:docGrid w:linePitch="360"/>
        </w:sectPr>
      </w:pPr>
    </w:p>
    <w:p w:rsidR="00C17A32" w:rsidRPr="00246074" w:rsidRDefault="00246074" w:rsidP="00246074">
      <w:pPr>
        <w:pStyle w:val="Typedudocument"/>
        <w:rPr>
          <w:noProof/>
        </w:rPr>
      </w:pPr>
      <w:r w:rsidRPr="00246074">
        <w:rPr>
          <w:noProof/>
        </w:rPr>
        <w:lastRenderedPageBreak/>
        <w:t>NAŘÍZENÍ KOMISE V PŘENESENÉ PRAVOMOCI (EU) …/...</w:t>
      </w:r>
    </w:p>
    <w:p w:rsidR="00C17A32" w:rsidRPr="00246074" w:rsidRDefault="00D7763D" w:rsidP="00246074">
      <w:pPr>
        <w:pStyle w:val="Datedadoption"/>
        <w:rPr>
          <w:noProof/>
        </w:rPr>
      </w:pPr>
      <w:r>
        <w:rPr>
          <w:noProof/>
        </w:rPr>
        <w:t>ze dne 2.9.2024,</w:t>
      </w:r>
    </w:p>
    <w:p w:rsidR="00C17A32" w:rsidRPr="00246074" w:rsidRDefault="00246074" w:rsidP="00246074">
      <w:pPr>
        <w:pStyle w:val="Titreobjet"/>
        <w:rPr>
          <w:noProof/>
        </w:rPr>
      </w:pPr>
      <w:r w:rsidRPr="00246074">
        <w:rPr>
          <w:noProof/>
        </w:rPr>
        <w:t>kterým se mění nařízení Evropského parlamentu a Rady (EU) č. 691/2011, pokud jde o odkazy na statistickou klasifikaci ekonomických činností NACE zavedenou nařízením Evropského parlamentu a Rady (ES) č. 1893/2006</w:t>
      </w:r>
    </w:p>
    <w:p w:rsidR="00C17A32" w:rsidRPr="00246074" w:rsidRDefault="00246074" w:rsidP="00246074">
      <w:pPr>
        <w:pStyle w:val="IntrtEEE"/>
        <w:rPr>
          <w:noProof/>
        </w:rPr>
      </w:pPr>
      <w:r w:rsidRPr="00246074">
        <w:rPr>
          <w:noProof/>
        </w:rPr>
        <w:t>(Text s významem pro EHP)</w:t>
      </w:r>
    </w:p>
    <w:p w:rsidR="00C17A32" w:rsidRPr="00246074" w:rsidRDefault="00C17A32" w:rsidP="009343DF">
      <w:pPr>
        <w:pStyle w:val="Institutionquiagit"/>
        <w:rPr>
          <w:noProof/>
        </w:rPr>
      </w:pPr>
      <w:r w:rsidRPr="00246074">
        <w:rPr>
          <w:noProof/>
        </w:rPr>
        <w:t>EVROPSKÁ KOMISE,</w:t>
      </w:r>
    </w:p>
    <w:p w:rsidR="00C17A32" w:rsidRPr="00246074" w:rsidRDefault="00C17A32" w:rsidP="009343DF">
      <w:pPr>
        <w:rPr>
          <w:noProof/>
        </w:rPr>
      </w:pPr>
      <w:r w:rsidRPr="00246074">
        <w:rPr>
          <w:noProof/>
          <w:color w:val="000000"/>
        </w:rPr>
        <w:t>s ohledem na Smlouvu o fungování Evropské unie,</w:t>
      </w:r>
    </w:p>
    <w:p w:rsidR="00C17A32" w:rsidRPr="00246074" w:rsidRDefault="00A84BA0" w:rsidP="009343DF">
      <w:pPr>
        <w:rPr>
          <w:noProof/>
        </w:rPr>
      </w:pPr>
      <w:r w:rsidRPr="00246074">
        <w:rPr>
          <w:noProof/>
        </w:rPr>
        <w:t>s ohledem na nařízení Evropského parlamentu a Rady (EU) č. 691/2011 ze dne 6. července 2011 o evropských environmentálních hospodářských účtech</w:t>
      </w:r>
      <w:r w:rsidRPr="00246074">
        <w:rPr>
          <w:rStyle w:val="FootnoteReference"/>
          <w:noProof/>
        </w:rPr>
        <w:footnoteReference w:id="1"/>
      </w:r>
      <w:r w:rsidRPr="00246074">
        <w:rPr>
          <w:noProof/>
        </w:rPr>
        <w:t>, a zejména na čl. 3 odst. 3 uvedeného nařízení,</w:t>
      </w:r>
    </w:p>
    <w:p w:rsidR="00C17A32" w:rsidRPr="00246074" w:rsidRDefault="00C17A32" w:rsidP="009343DF">
      <w:pPr>
        <w:rPr>
          <w:noProof/>
        </w:rPr>
      </w:pPr>
      <w:r w:rsidRPr="00246074">
        <w:rPr>
          <w:noProof/>
        </w:rPr>
        <w:t>vzhledem k těmto důvodům:</w:t>
      </w:r>
    </w:p>
    <w:p w:rsidR="00C17A32" w:rsidRPr="00246074" w:rsidRDefault="00D56FAD" w:rsidP="00D56FAD">
      <w:pPr>
        <w:pStyle w:val="ManualConsidrant"/>
        <w:rPr>
          <w:noProof/>
        </w:rPr>
      </w:pPr>
      <w:r w:rsidRPr="00D56FAD">
        <w:rPr>
          <w:noProof/>
        </w:rPr>
        <w:t>(1)</w:t>
      </w:r>
      <w:r w:rsidRPr="00D56FAD">
        <w:rPr>
          <w:noProof/>
        </w:rPr>
        <w:tab/>
      </w:r>
      <w:r w:rsidR="00C17A32" w:rsidRPr="00246074">
        <w:rPr>
          <w:noProof/>
        </w:rPr>
        <w:t>Nařízením Evropského parlamentu a Rady (ES) č. 1893/2006</w:t>
      </w:r>
      <w:r w:rsidR="00C17A32" w:rsidRPr="00246074">
        <w:rPr>
          <w:rStyle w:val="FootnoteReference"/>
          <w:noProof/>
        </w:rPr>
        <w:footnoteReference w:id="2"/>
      </w:r>
      <w:r w:rsidR="00C17A32" w:rsidRPr="00246074">
        <w:rPr>
          <w:noProof/>
        </w:rPr>
        <w:t xml:space="preserve"> byla zavedena společná statistická klasifikace ekonomických činností v Unii (dále jen „NACE Rev. 2“), která se začala používat dne 1. ledna 2008.</w:t>
      </w:r>
    </w:p>
    <w:p w:rsidR="00C17A32" w:rsidRPr="00246074" w:rsidRDefault="00D56FAD" w:rsidP="00D56FAD">
      <w:pPr>
        <w:pStyle w:val="ManualConsidrant"/>
        <w:rPr>
          <w:noProof/>
        </w:rPr>
      </w:pPr>
      <w:r w:rsidRPr="00D56FAD">
        <w:rPr>
          <w:noProof/>
        </w:rPr>
        <w:t>(2)</w:t>
      </w:r>
      <w:r w:rsidRPr="00D56FAD">
        <w:rPr>
          <w:noProof/>
        </w:rPr>
        <w:tab/>
      </w:r>
      <w:r w:rsidR="00C17A32" w:rsidRPr="00246074">
        <w:rPr>
          <w:noProof/>
        </w:rPr>
        <w:t>Od zahájení používání NACE Rev. 2 globalizace a digitalizace postupně proměňovaly způsob, jakým jsou v rámci mnohých ekonomických činností po celém světě poskytovány zboží a služby.</w:t>
      </w:r>
    </w:p>
    <w:p w:rsidR="00C17A32" w:rsidRPr="00246074" w:rsidRDefault="00D56FAD" w:rsidP="00D56FAD">
      <w:pPr>
        <w:pStyle w:val="ManualConsidrant"/>
        <w:rPr>
          <w:noProof/>
        </w:rPr>
      </w:pPr>
      <w:r w:rsidRPr="00D56FAD">
        <w:rPr>
          <w:noProof/>
        </w:rPr>
        <w:t>(3)</w:t>
      </w:r>
      <w:r w:rsidRPr="00D56FAD">
        <w:rPr>
          <w:noProof/>
        </w:rPr>
        <w:tab/>
      </w:r>
      <w:r w:rsidR="00C17A32" w:rsidRPr="00246074">
        <w:rPr>
          <w:noProof/>
        </w:rPr>
        <w:t>V důsledku těchto změn bylo nutné aktualizovat NACE Rev. 2, aby si zachovala srovnatelnost a byla v souladu se standardy pro klasifikaci ekonomických činností, které se používají na mezinárodní úrovni. Nařízením Komise v přenesené pravomoci (EU) 2023/137</w:t>
      </w:r>
      <w:r w:rsidR="00C17A32" w:rsidRPr="00246074">
        <w:rPr>
          <w:rStyle w:val="FootnoteReference"/>
          <w:noProof/>
        </w:rPr>
        <w:footnoteReference w:id="3"/>
      </w:r>
      <w:r w:rsidR="00C17A32" w:rsidRPr="00246074">
        <w:rPr>
          <w:noProof/>
          <w:color w:val="333333"/>
        </w:rPr>
        <w:t xml:space="preserve"> se proto změnilo nařízení (ES) č. 1893/2006 a zavedla se</w:t>
      </w:r>
      <w:r w:rsidR="00C17A32" w:rsidRPr="00246074">
        <w:rPr>
          <w:noProof/>
        </w:rPr>
        <w:t xml:space="preserve"> aktualizovaná klasifikace </w:t>
      </w:r>
      <w:r w:rsidR="00C17A32" w:rsidRPr="00246074">
        <w:rPr>
          <w:noProof/>
          <w:color w:val="333333"/>
        </w:rPr>
        <w:t>(dále jen „NACE Rev. 2.1“)</w:t>
      </w:r>
      <w:r w:rsidR="00C17A32" w:rsidRPr="00246074">
        <w:rPr>
          <w:noProof/>
        </w:rPr>
        <w:t>.</w:t>
      </w:r>
    </w:p>
    <w:p w:rsidR="00C17A32" w:rsidRPr="00246074" w:rsidRDefault="00D56FAD" w:rsidP="00D56FAD">
      <w:pPr>
        <w:pStyle w:val="ManualConsidrant"/>
        <w:rPr>
          <w:noProof/>
        </w:rPr>
      </w:pPr>
      <w:r w:rsidRPr="00D56FAD">
        <w:rPr>
          <w:noProof/>
        </w:rPr>
        <w:t>(4)</w:t>
      </w:r>
      <w:r w:rsidRPr="00D56FAD">
        <w:rPr>
          <w:noProof/>
        </w:rPr>
        <w:tab/>
      </w:r>
      <w:r w:rsidR="00C17A32" w:rsidRPr="00246074">
        <w:rPr>
          <w:noProof/>
        </w:rPr>
        <w:t>Aby mohli uživatelé posoudit podrobný obsah změn provedených v NACE a srovnat předchozí verzi klasifikace s její aktualizovanou verzí, byla pro uživatele klasifikace dne 1. srpna 2023 zveřejněna srovnávací tabulka</w:t>
      </w:r>
      <w:r w:rsidR="00C17A32" w:rsidRPr="00246074">
        <w:rPr>
          <w:rStyle w:val="FootnoteReference"/>
          <w:noProof/>
        </w:rPr>
        <w:footnoteReference w:id="4"/>
      </w:r>
      <w:r w:rsidR="00C17A32" w:rsidRPr="00246074">
        <w:rPr>
          <w:noProof/>
        </w:rPr>
        <w:t xml:space="preserve"> společně s vysvětlivkami</w:t>
      </w:r>
      <w:r w:rsidR="00C17A32" w:rsidRPr="00246074">
        <w:rPr>
          <w:rStyle w:val="FootnoteReference"/>
          <w:noProof/>
        </w:rPr>
        <w:footnoteReference w:id="5"/>
      </w:r>
      <w:r w:rsidR="00C17A32" w:rsidRPr="00246074">
        <w:rPr>
          <w:noProof/>
        </w:rPr>
        <w:t>.</w:t>
      </w:r>
    </w:p>
    <w:p w:rsidR="002971E9" w:rsidRPr="00246074" w:rsidRDefault="00D56FAD" w:rsidP="00D56FAD">
      <w:pPr>
        <w:pStyle w:val="ManualConsidrant"/>
        <w:rPr>
          <w:noProof/>
        </w:rPr>
      </w:pPr>
      <w:r w:rsidRPr="00D56FAD">
        <w:rPr>
          <w:noProof/>
        </w:rPr>
        <w:t>(5)</w:t>
      </w:r>
      <w:r w:rsidRPr="00D56FAD">
        <w:rPr>
          <w:noProof/>
        </w:rPr>
        <w:tab/>
      </w:r>
      <w:r w:rsidR="005B330D" w:rsidRPr="00246074">
        <w:rPr>
          <w:noProof/>
        </w:rPr>
        <w:t>Velký soubor právních předpisů stanovící požadavky na předávání údajů, které se týkají konkrétních sekcí, oddílů, skupin či tříd NACE, zahrnuje nařízení (EU) č. 691/2011. Aby se zajistilo, že budou tyto požadavky na předávání vyjádřeny způsobem slučitelným s aktualizovanou klasifikací (NACE Rev. 2.1), mělo by být nařízení (EU) č. 691/2011 změněno.</w:t>
      </w:r>
    </w:p>
    <w:p w:rsidR="006A0334" w:rsidRPr="00246074" w:rsidRDefault="00D56FAD" w:rsidP="00D56FAD">
      <w:pPr>
        <w:pStyle w:val="ManualConsidrant"/>
        <w:rPr>
          <w:noProof/>
        </w:rPr>
      </w:pPr>
      <w:r w:rsidRPr="00D56FAD">
        <w:rPr>
          <w:noProof/>
        </w:rPr>
        <w:t>(6)</w:t>
      </w:r>
      <w:r w:rsidRPr="00D56FAD">
        <w:rPr>
          <w:noProof/>
        </w:rPr>
        <w:tab/>
      </w:r>
      <w:r w:rsidR="002971E9" w:rsidRPr="00246074">
        <w:rPr>
          <w:noProof/>
        </w:rPr>
        <w:t>Jelikož je granularita aktualizované klasifikace podobná granularitě původní verze klasifikace, změny nařízení (EU) č. 691/2011 stanovené v tomto nařízení by pro členské státy ani respondenty nepředstavovaly žádnou významnou dodatečnou zátěž.</w:t>
      </w:r>
    </w:p>
    <w:p w:rsidR="00880DC2" w:rsidRPr="00246074" w:rsidRDefault="00D56FAD" w:rsidP="00D56FAD">
      <w:pPr>
        <w:pStyle w:val="ManualConsidrant"/>
        <w:rPr>
          <w:noProof/>
        </w:rPr>
      </w:pPr>
      <w:r w:rsidRPr="00D56FAD">
        <w:rPr>
          <w:noProof/>
        </w:rPr>
        <w:t>(7)</w:t>
      </w:r>
      <w:r w:rsidRPr="00D56FAD">
        <w:rPr>
          <w:noProof/>
        </w:rPr>
        <w:tab/>
      </w:r>
      <w:r w:rsidR="00880DC2" w:rsidRPr="00246074">
        <w:rPr>
          <w:noProof/>
        </w:rPr>
        <w:t>Vzhledem k tomu, že poskytovatelům údajů je nutné zajistit určitý čas, aby se přizpůsobili novým regulatorním požadavkům, neměl by být soulad s aktualizovanou klasifikací vyžadován neprodleně. Je třeba připomenout, že nařízení v přenesené pravomoci (EU) 2023/137, kterým se mění nařízení (ES) č. 1893/2006, stanoví pro určité statistické oblasti pozdější data použitelnosti. Proto by měl být odložen i den použitelnosti tohoto nařízení.</w:t>
      </w:r>
    </w:p>
    <w:p w:rsidR="002634B3" w:rsidRPr="00246074" w:rsidRDefault="00D56FAD" w:rsidP="00D56FAD">
      <w:pPr>
        <w:pStyle w:val="ManualConsidrant"/>
        <w:rPr>
          <w:noProof/>
        </w:rPr>
      </w:pPr>
      <w:r w:rsidRPr="00D56FAD">
        <w:rPr>
          <w:noProof/>
        </w:rPr>
        <w:t>(8)</w:t>
      </w:r>
      <w:r w:rsidRPr="00D56FAD">
        <w:rPr>
          <w:noProof/>
        </w:rPr>
        <w:tab/>
      </w:r>
      <w:r w:rsidR="00880DC2" w:rsidRPr="00246074">
        <w:rPr>
          <w:noProof/>
        </w:rPr>
        <w:t>Nařízení (EU) č. 691/2011 by proto mělo být odpovídajícím způsobem změněno,</w:t>
      </w:r>
    </w:p>
    <w:p w:rsidR="00C17A32" w:rsidRPr="00246074" w:rsidRDefault="00C17A32" w:rsidP="009343DF">
      <w:pPr>
        <w:pStyle w:val="Formuledadoption"/>
        <w:rPr>
          <w:noProof/>
        </w:rPr>
      </w:pPr>
      <w:r w:rsidRPr="00246074">
        <w:rPr>
          <w:noProof/>
        </w:rPr>
        <w:t>PŘIJALA TOTO NAŘÍZENÍ:</w:t>
      </w:r>
    </w:p>
    <w:p w:rsidR="006A0334" w:rsidRPr="00246074" w:rsidRDefault="006A0334" w:rsidP="006A0334">
      <w:pPr>
        <w:pStyle w:val="Titrearticle"/>
        <w:rPr>
          <w:noProof/>
        </w:rPr>
      </w:pPr>
      <w:r w:rsidRPr="00246074">
        <w:rPr>
          <w:noProof/>
        </w:rPr>
        <w:t>Článek 1</w:t>
      </w:r>
    </w:p>
    <w:p w:rsidR="00A84BA0" w:rsidRPr="00246074" w:rsidRDefault="00A84BA0" w:rsidP="00A84BA0">
      <w:pPr>
        <w:pStyle w:val="Point0"/>
        <w:rPr>
          <w:noProof/>
        </w:rPr>
      </w:pPr>
      <w:r w:rsidRPr="00246074">
        <w:rPr>
          <w:noProof/>
        </w:rPr>
        <w:t>Nařízení (EU) č. 691/2011 se mění takto:</w:t>
      </w:r>
    </w:p>
    <w:p w:rsidR="00A84BA0" w:rsidRPr="00246074" w:rsidRDefault="00D56FAD" w:rsidP="00D56FAD">
      <w:pPr>
        <w:pStyle w:val="Point0"/>
        <w:rPr>
          <w:noProof/>
        </w:rPr>
      </w:pPr>
      <w:r w:rsidRPr="00D56FAD">
        <w:rPr>
          <w:noProof/>
        </w:rPr>
        <w:t>(1)</w:t>
      </w:r>
      <w:r w:rsidRPr="00D56FAD">
        <w:rPr>
          <w:noProof/>
        </w:rPr>
        <w:tab/>
      </w:r>
      <w:r w:rsidR="00CA22E0" w:rsidRPr="00246074">
        <w:rPr>
          <w:noProof/>
        </w:rPr>
        <w:t>v příloze IV oddíle 5 bodě 1 třetí odrážce se úvodní text nahrazuje tímto:</w:t>
      </w:r>
    </w:p>
    <w:p w:rsidR="00A84BA0" w:rsidRPr="00246074" w:rsidRDefault="00A84BA0" w:rsidP="001979A5">
      <w:pPr>
        <w:pStyle w:val="Text1"/>
        <w:rPr>
          <w:noProof/>
        </w:rPr>
      </w:pPr>
      <w:r w:rsidRPr="00246074">
        <w:rPr>
          <w:noProof/>
        </w:rPr>
        <w:t>„následujícího členění NACE pro pomocnou produkci služeb na ochranu životního prostředí: sekce B, C, D a oddíl 36 NACE. Údaje pro sekci C se vykazují takto:“;</w:t>
      </w:r>
    </w:p>
    <w:p w:rsidR="00A84BA0" w:rsidRPr="00246074" w:rsidRDefault="00D56FAD" w:rsidP="00D56FAD">
      <w:pPr>
        <w:pStyle w:val="Point0"/>
        <w:rPr>
          <w:noProof/>
        </w:rPr>
      </w:pPr>
      <w:r w:rsidRPr="00D56FAD">
        <w:rPr>
          <w:noProof/>
        </w:rPr>
        <w:t>(2)</w:t>
      </w:r>
      <w:r w:rsidRPr="00D56FAD">
        <w:rPr>
          <w:noProof/>
        </w:rPr>
        <w:tab/>
      </w:r>
      <w:r w:rsidR="00B55AEC" w:rsidRPr="00246074">
        <w:rPr>
          <w:noProof/>
        </w:rPr>
        <w:t>v příloze V oddíle 5 bodě 1 se první odrážka nahrazuje tímto:</w:t>
      </w:r>
    </w:p>
    <w:p w:rsidR="00B004CE" w:rsidRPr="00246074" w:rsidRDefault="00D3474D" w:rsidP="00D232E0">
      <w:pPr>
        <w:pStyle w:val="Point1"/>
        <w:rPr>
          <w:noProof/>
        </w:rPr>
      </w:pPr>
      <w:r w:rsidRPr="00246074">
        <w:rPr>
          <w:noProof/>
        </w:rPr>
        <w:t>„— klasifikace ekonomických činností NACE shrnuté takto:</w:t>
      </w:r>
    </w:p>
    <w:p w:rsidR="00B004CE" w:rsidRPr="00246074" w:rsidRDefault="00B004CE" w:rsidP="00D232E0">
      <w:pPr>
        <w:pStyle w:val="Point2"/>
        <w:rPr>
          <w:noProof/>
        </w:rPr>
      </w:pPr>
      <w:r w:rsidRPr="00246074">
        <w:rPr>
          <w:noProof/>
        </w:rPr>
        <w:t>— NACE A</w:t>
      </w:r>
    </w:p>
    <w:p w:rsidR="00B004CE" w:rsidRPr="00246074" w:rsidRDefault="00B004CE" w:rsidP="00D232E0">
      <w:pPr>
        <w:pStyle w:val="Point2"/>
        <w:rPr>
          <w:noProof/>
        </w:rPr>
      </w:pPr>
      <w:r w:rsidRPr="00246074">
        <w:rPr>
          <w:noProof/>
        </w:rPr>
        <w:t>— NACE B</w:t>
      </w:r>
    </w:p>
    <w:p w:rsidR="00B004CE" w:rsidRPr="00246074" w:rsidRDefault="00B004CE" w:rsidP="00D232E0">
      <w:pPr>
        <w:pStyle w:val="Point2"/>
        <w:rPr>
          <w:noProof/>
        </w:rPr>
      </w:pPr>
      <w:r w:rsidRPr="00246074">
        <w:rPr>
          <w:noProof/>
        </w:rPr>
        <w:t>— NACE C</w:t>
      </w:r>
    </w:p>
    <w:p w:rsidR="00B004CE" w:rsidRPr="00246074" w:rsidRDefault="00B004CE" w:rsidP="00D232E0">
      <w:pPr>
        <w:pStyle w:val="Point2"/>
        <w:rPr>
          <w:noProof/>
        </w:rPr>
      </w:pPr>
      <w:r w:rsidRPr="00246074">
        <w:rPr>
          <w:noProof/>
        </w:rPr>
        <w:t>— NACE D</w:t>
      </w:r>
    </w:p>
    <w:p w:rsidR="00B004CE" w:rsidRPr="00246074" w:rsidRDefault="00B004CE" w:rsidP="00D232E0">
      <w:pPr>
        <w:pStyle w:val="Point2"/>
        <w:rPr>
          <w:noProof/>
        </w:rPr>
      </w:pPr>
      <w:r w:rsidRPr="00246074">
        <w:rPr>
          <w:noProof/>
        </w:rPr>
        <w:t>— NACE E</w:t>
      </w:r>
    </w:p>
    <w:p w:rsidR="00B004CE" w:rsidRPr="00246074" w:rsidRDefault="00B004CE" w:rsidP="00D232E0">
      <w:pPr>
        <w:pStyle w:val="Point2"/>
        <w:rPr>
          <w:noProof/>
        </w:rPr>
      </w:pPr>
      <w:r w:rsidRPr="00246074">
        <w:rPr>
          <w:noProof/>
        </w:rPr>
        <w:t>— NACE F</w:t>
      </w:r>
    </w:p>
    <w:p w:rsidR="00B004CE" w:rsidRPr="00246074" w:rsidRDefault="00B004CE" w:rsidP="00D232E0">
      <w:pPr>
        <w:pStyle w:val="Point2"/>
        <w:rPr>
          <w:noProof/>
        </w:rPr>
      </w:pPr>
      <w:r w:rsidRPr="00246074">
        <w:rPr>
          <w:noProof/>
        </w:rPr>
        <w:t xml:space="preserve">— NACE J + NACE K </w:t>
      </w:r>
    </w:p>
    <w:p w:rsidR="00B004CE" w:rsidRPr="00246074" w:rsidRDefault="00B004CE" w:rsidP="00D232E0">
      <w:pPr>
        <w:pStyle w:val="Point2"/>
        <w:rPr>
          <w:noProof/>
        </w:rPr>
      </w:pPr>
      <w:r w:rsidRPr="00246074">
        <w:rPr>
          <w:noProof/>
        </w:rPr>
        <w:t>— NACE N</w:t>
      </w:r>
    </w:p>
    <w:p w:rsidR="00B004CE" w:rsidRPr="00246074" w:rsidRDefault="00B004CE" w:rsidP="00D232E0">
      <w:pPr>
        <w:pStyle w:val="Point2"/>
        <w:rPr>
          <w:noProof/>
        </w:rPr>
      </w:pPr>
      <w:r w:rsidRPr="00246074">
        <w:rPr>
          <w:noProof/>
        </w:rPr>
        <w:t>— NACE P</w:t>
      </w:r>
    </w:p>
    <w:p w:rsidR="00B004CE" w:rsidRPr="00246074" w:rsidRDefault="00B004CE" w:rsidP="00D232E0">
      <w:pPr>
        <w:pStyle w:val="Point2"/>
        <w:rPr>
          <w:noProof/>
        </w:rPr>
      </w:pPr>
      <w:r w:rsidRPr="00246074">
        <w:rPr>
          <w:noProof/>
        </w:rPr>
        <w:t>— NACE Q</w:t>
      </w:r>
    </w:p>
    <w:p w:rsidR="00A84BA0" w:rsidRPr="00246074" w:rsidRDefault="00B004CE" w:rsidP="00981E3D">
      <w:pPr>
        <w:pStyle w:val="Point2"/>
        <w:rPr>
          <w:noProof/>
        </w:rPr>
      </w:pPr>
      <w:r w:rsidRPr="00246074">
        <w:rPr>
          <w:noProof/>
        </w:rPr>
        <w:t>— souhrn NACE G + NACE H + NACE I + NACE L + NACE M + NACE O + NACE R + NACE S + NACE T + NACE U + NACE V“.</w:t>
      </w:r>
    </w:p>
    <w:p w:rsidR="00CF3A54" w:rsidRPr="00246074" w:rsidRDefault="00CF3A54" w:rsidP="00CF3A54">
      <w:pPr>
        <w:pStyle w:val="Titrearticle"/>
        <w:rPr>
          <w:noProof/>
        </w:rPr>
      </w:pPr>
      <w:r w:rsidRPr="00246074">
        <w:rPr>
          <w:noProof/>
        </w:rPr>
        <w:t>Článek 2</w:t>
      </w:r>
    </w:p>
    <w:p w:rsidR="00CF3A54" w:rsidRPr="00246074" w:rsidRDefault="00CF3A54" w:rsidP="00CF3A54">
      <w:pPr>
        <w:rPr>
          <w:noProof/>
        </w:rPr>
      </w:pPr>
      <w:r w:rsidRPr="00246074">
        <w:rPr>
          <w:noProof/>
        </w:rPr>
        <w:t xml:space="preserve">Toto nařízení vstupuje v platnost dvacátým dnem po vyhlášení v </w:t>
      </w:r>
      <w:r w:rsidRPr="00246074">
        <w:rPr>
          <w:i/>
          <w:noProof/>
        </w:rPr>
        <w:t>Úředním věstníku Evropské unie</w:t>
      </w:r>
      <w:r w:rsidRPr="00246074">
        <w:rPr>
          <w:noProof/>
        </w:rPr>
        <w:t>.</w:t>
      </w:r>
    </w:p>
    <w:p w:rsidR="00CF3A54" w:rsidRPr="00246074" w:rsidRDefault="00CF3A54" w:rsidP="00CF3A54">
      <w:pPr>
        <w:rPr>
          <w:noProof/>
        </w:rPr>
      </w:pPr>
      <w:r w:rsidRPr="00246074">
        <w:rPr>
          <w:noProof/>
        </w:rPr>
        <w:t>Použije se ode dne 1. ledna 2026, pokud jde o předávání údajů Komisi (Eurostatu), které se týkají každého referenčního období, které začíná tímto dnem nebo po něm.</w:t>
      </w:r>
    </w:p>
    <w:p w:rsidR="00CF3A54" w:rsidRPr="00246074" w:rsidRDefault="00CF3A54" w:rsidP="00CF3A54">
      <w:pPr>
        <w:pStyle w:val="Applicationdirecte"/>
        <w:rPr>
          <w:noProof/>
        </w:rPr>
      </w:pPr>
      <w:r w:rsidRPr="00246074">
        <w:rPr>
          <w:noProof/>
        </w:rPr>
        <w:t>Toto nařízení je závazné v celém rozsahu a přímo použitelné ve všech členských státech.</w:t>
      </w:r>
    </w:p>
    <w:p w:rsidR="00CF3A54" w:rsidRPr="00246074" w:rsidRDefault="00D7763D" w:rsidP="007548E3">
      <w:pPr>
        <w:pStyle w:val="Fait"/>
        <w:rPr>
          <w:noProof/>
        </w:rPr>
      </w:pPr>
      <w:r>
        <w:rPr>
          <w:noProof/>
        </w:rPr>
        <w:t>V Bruselu dne 2.9.2024</w:t>
      </w:r>
    </w:p>
    <w:p w:rsidR="004E1CE1" w:rsidRPr="00246074" w:rsidRDefault="00CF3A54" w:rsidP="007548E3">
      <w:pPr>
        <w:pStyle w:val="Institutionquisigne"/>
        <w:rPr>
          <w:noProof/>
        </w:rPr>
      </w:pPr>
      <w:r w:rsidRPr="00246074">
        <w:rPr>
          <w:noProof/>
        </w:rPr>
        <w:tab/>
        <w:t>Za Komisi</w:t>
      </w:r>
    </w:p>
    <w:p w:rsidR="004E1CE1" w:rsidRPr="00246074" w:rsidRDefault="002D0FEA" w:rsidP="007548E3">
      <w:pPr>
        <w:pStyle w:val="Personnequisigne"/>
        <w:keepNext/>
        <w:rPr>
          <w:noProof/>
        </w:rPr>
      </w:pPr>
      <w:r>
        <w:rPr>
          <w:noProof/>
        </w:rPr>
        <w:tab/>
        <w:t>předsedkyně</w:t>
      </w:r>
      <w:r>
        <w:rPr>
          <w:noProof/>
        </w:rPr>
        <w:br/>
      </w:r>
      <w:r>
        <w:rPr>
          <w:noProof/>
        </w:rPr>
        <w:tab/>
        <w:t>Ursula VON DER LEYEN</w:t>
      </w:r>
    </w:p>
    <w:p w:rsidR="004E1CE1" w:rsidRPr="00246074" w:rsidRDefault="004E1CE1" w:rsidP="004E1CE1">
      <w:pPr>
        <w:pStyle w:val="Personnequisigne"/>
        <w:rPr>
          <w:noProof/>
        </w:rPr>
      </w:pPr>
    </w:p>
    <w:sectPr w:rsidR="004E1CE1" w:rsidRPr="00246074" w:rsidSect="00240152">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621" w:rsidRDefault="00283621" w:rsidP="00C17A32">
      <w:pPr>
        <w:spacing w:before="0" w:after="0"/>
      </w:pPr>
      <w:r>
        <w:separator/>
      </w:r>
    </w:p>
  </w:endnote>
  <w:endnote w:type="continuationSeparator" w:id="0">
    <w:p w:rsidR="00283621" w:rsidRDefault="00283621" w:rsidP="00C17A3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152" w:rsidRPr="00240152" w:rsidRDefault="00240152" w:rsidP="00240152">
    <w:pPr>
      <w:pStyle w:val="Footer"/>
      <w:rPr>
        <w:rFonts w:ascii="Arial" w:hAnsi="Arial" w:cs="Arial"/>
        <w:b/>
        <w:sz w:val="48"/>
      </w:rPr>
    </w:pPr>
    <w:r w:rsidRPr="00240152">
      <w:rPr>
        <w:rFonts w:ascii="Arial" w:hAnsi="Arial" w:cs="Arial"/>
        <w:b/>
        <w:sz w:val="48"/>
      </w:rPr>
      <w:t>CS</w:t>
    </w:r>
    <w:r w:rsidRPr="00240152">
      <w:rPr>
        <w:rFonts w:ascii="Arial" w:hAnsi="Arial" w:cs="Arial"/>
        <w:b/>
        <w:sz w:val="48"/>
      </w:rPr>
      <w:tab/>
    </w:r>
    <w:r w:rsidRPr="00240152">
      <w:rPr>
        <w:rFonts w:ascii="Arial" w:hAnsi="Arial" w:cs="Arial"/>
        <w:b/>
        <w:sz w:val="48"/>
      </w:rPr>
      <w:tab/>
    </w:r>
    <w:r w:rsidRPr="00240152">
      <w:tab/>
    </w:r>
    <w:r w:rsidRPr="00240152">
      <w:rPr>
        <w:rFonts w:ascii="Arial" w:hAnsi="Arial" w:cs="Arial"/>
        <w:b/>
        <w:sz w:val="48"/>
      </w:rPr>
      <w:t>CS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152" w:rsidRPr="00240152" w:rsidRDefault="00240152" w:rsidP="00240152">
    <w:pPr>
      <w:pStyle w:val="Footer"/>
      <w:rPr>
        <w:rFonts w:ascii="Arial" w:hAnsi="Arial" w:cs="Arial"/>
        <w:b/>
        <w:sz w:val="48"/>
      </w:rPr>
    </w:pPr>
    <w:r w:rsidRPr="00240152">
      <w:rPr>
        <w:rFonts w:ascii="Arial" w:hAnsi="Arial" w:cs="Arial"/>
        <w:b/>
        <w:sz w:val="48"/>
      </w:rPr>
      <w:t>CS</w:t>
    </w:r>
    <w:r w:rsidRPr="00240152">
      <w:rPr>
        <w:rFonts w:ascii="Arial" w:hAnsi="Arial" w:cs="Arial"/>
        <w:b/>
        <w:sz w:val="48"/>
      </w:rPr>
      <w:tab/>
    </w:r>
    <w:r w:rsidRPr="00240152">
      <w:rPr>
        <w:rFonts w:ascii="Arial" w:hAnsi="Arial" w:cs="Arial"/>
        <w:b/>
        <w:sz w:val="48"/>
      </w:rPr>
      <w:tab/>
    </w:r>
    <w:r w:rsidRPr="00240152">
      <w:tab/>
    </w:r>
    <w:r w:rsidRPr="00240152">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152" w:rsidRPr="00240152" w:rsidRDefault="00240152" w:rsidP="002401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152" w:rsidRDefault="002401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152" w:rsidRPr="00240152" w:rsidRDefault="00240152" w:rsidP="00240152">
    <w:pPr>
      <w:pStyle w:val="Footer"/>
      <w:rPr>
        <w:rFonts w:ascii="Arial" w:hAnsi="Arial" w:cs="Arial"/>
        <w:b/>
        <w:sz w:val="48"/>
      </w:rPr>
    </w:pPr>
    <w:r w:rsidRPr="00240152">
      <w:rPr>
        <w:rFonts w:ascii="Arial" w:hAnsi="Arial" w:cs="Arial"/>
        <w:b/>
        <w:sz w:val="48"/>
      </w:rPr>
      <w:t>CS</w:t>
    </w:r>
    <w:r w:rsidRPr="00240152">
      <w:rPr>
        <w:rFonts w:ascii="Arial" w:hAnsi="Arial" w:cs="Arial"/>
        <w:b/>
        <w:sz w:val="48"/>
      </w:rPr>
      <w:tab/>
    </w:r>
    <w:r>
      <w:fldChar w:fldCharType="begin"/>
    </w:r>
    <w:r>
      <w:instrText xml:space="preserve"> PAGE  \* MERGEFORMAT </w:instrText>
    </w:r>
    <w:r>
      <w:fldChar w:fldCharType="separate"/>
    </w:r>
    <w:r w:rsidR="007548E3">
      <w:rPr>
        <w:noProof/>
      </w:rPr>
      <w:t>4</w:t>
    </w:r>
    <w:r>
      <w:fldChar w:fldCharType="end"/>
    </w:r>
    <w:r>
      <w:tab/>
    </w:r>
    <w:r w:rsidRPr="00240152">
      <w:tab/>
    </w:r>
    <w:r w:rsidRPr="00240152">
      <w:rPr>
        <w:rFonts w:ascii="Arial" w:hAnsi="Arial" w:cs="Arial"/>
        <w:b/>
        <w:sz w:val="48"/>
      </w:rPr>
      <w:t>CS</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152" w:rsidRDefault="00240152" w:rsidP="00240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621" w:rsidRDefault="00283621" w:rsidP="00C17A32">
      <w:pPr>
        <w:spacing w:before="0" w:after="0"/>
      </w:pPr>
      <w:r>
        <w:separator/>
      </w:r>
    </w:p>
  </w:footnote>
  <w:footnote w:type="continuationSeparator" w:id="0">
    <w:p w:rsidR="00283621" w:rsidRDefault="00283621" w:rsidP="00C17A32">
      <w:pPr>
        <w:spacing w:before="0" w:after="0"/>
      </w:pPr>
      <w:r>
        <w:continuationSeparator/>
      </w:r>
    </w:p>
  </w:footnote>
  <w:footnote w:id="1">
    <w:p w:rsidR="00A84BA0" w:rsidRPr="00494BE7" w:rsidRDefault="00A84BA0" w:rsidP="00A84BA0">
      <w:pPr>
        <w:pStyle w:val="FootnoteText"/>
      </w:pPr>
      <w:r>
        <w:rPr>
          <w:rStyle w:val="FootnoteReference"/>
        </w:rPr>
        <w:footnoteRef/>
      </w:r>
      <w:r>
        <w:tab/>
        <w:t xml:space="preserve">Úř. věst. L 192, 22.7.2011, s. 1, ELI: http://data.europa.eu/eli/reg/2011/691/oj. </w:t>
      </w:r>
    </w:p>
  </w:footnote>
  <w:footnote w:id="2">
    <w:p w:rsidR="00E446CF" w:rsidRPr="00246074" w:rsidRDefault="00E446CF" w:rsidP="00E446CF">
      <w:pPr>
        <w:pStyle w:val="FootnoteText"/>
        <w:rPr>
          <w:lang w:val="de-DE"/>
        </w:rPr>
      </w:pPr>
      <w:r>
        <w:rPr>
          <w:rStyle w:val="FootnoteReference"/>
        </w:rPr>
        <w:footnoteRef/>
      </w:r>
      <w:r>
        <w:tab/>
        <w:t xml:space="preserve">Nařízení Evropského Parlamentu a Rady (ES) č. 1893/2006 ze dne 20. prosince 2006, kterým se zavádí statistická klasifikace ekonomických činností NACE Revize 2 a kterým se mění nařízení Rady (EHS) č. 3037/90 a některá nařízení ES o specifických statistických oblastech (Úř. věst. </w:t>
      </w:r>
      <w:r w:rsidRPr="00246074">
        <w:rPr>
          <w:lang w:val="de-DE"/>
        </w:rPr>
        <w:t xml:space="preserve">L 393, 30.12.2006, s. 1, ELI: http://data.europa.eu/eli/reg/2006/1893/oj). </w:t>
      </w:r>
    </w:p>
  </w:footnote>
  <w:footnote w:id="3">
    <w:p w:rsidR="00E446CF" w:rsidRPr="00246074" w:rsidRDefault="00E446CF" w:rsidP="00E446CF">
      <w:pPr>
        <w:pStyle w:val="FootnoteText"/>
        <w:rPr>
          <w:lang w:val="de-DE"/>
        </w:rPr>
      </w:pPr>
      <w:r>
        <w:rPr>
          <w:rStyle w:val="FootnoteReference"/>
        </w:rPr>
        <w:footnoteRef/>
      </w:r>
      <w:r w:rsidRPr="00246074">
        <w:rPr>
          <w:lang w:val="de-DE"/>
        </w:rPr>
        <w:tab/>
        <w:t xml:space="preserve">Nařízení Komise v přenesené pravomoci (EU) 2023/137 ze dne 10. října 2022, kterým se mění nařízení Evropského parlamentu a Rady (ES) č. 1893/2006, kterým se zavádí statistická klasifikace ekonomických činností NACE Revize 2 (Úř. věst. L 19, 20.1.2023, s. 5, ELI: http://data.europa.eu/eli/reg_del/2023/137/oj). </w:t>
      </w:r>
    </w:p>
  </w:footnote>
  <w:footnote w:id="4">
    <w:p w:rsidR="00C17A32" w:rsidRPr="00246074" w:rsidRDefault="00C17A32" w:rsidP="00C17A32">
      <w:pPr>
        <w:pStyle w:val="FootnoteText"/>
        <w:rPr>
          <w:lang w:val="de-DE"/>
        </w:rPr>
      </w:pPr>
      <w:r>
        <w:rPr>
          <w:rStyle w:val="FootnoteReference"/>
        </w:rPr>
        <w:footnoteRef/>
      </w:r>
      <w:r w:rsidRPr="00246074">
        <w:rPr>
          <w:lang w:val="de-DE"/>
        </w:rPr>
        <w:tab/>
      </w:r>
      <w:hyperlink r:id="rId1">
        <w:r w:rsidRPr="00246074">
          <w:rPr>
            <w:rStyle w:val="Hyperlink"/>
            <w:lang w:val="de-DE"/>
          </w:rPr>
          <w:t>https://europa.eu/!f6H9nX</w:t>
        </w:r>
      </w:hyperlink>
    </w:p>
  </w:footnote>
  <w:footnote w:id="5">
    <w:p w:rsidR="00C17A32" w:rsidRPr="00246074" w:rsidRDefault="00C17A32" w:rsidP="00C17A32">
      <w:pPr>
        <w:pStyle w:val="FootnoteText"/>
        <w:rPr>
          <w:lang w:val="de-DE"/>
        </w:rPr>
      </w:pPr>
      <w:r>
        <w:rPr>
          <w:rStyle w:val="FootnoteReference"/>
        </w:rPr>
        <w:footnoteRef/>
      </w:r>
      <w:r w:rsidRPr="00246074">
        <w:rPr>
          <w:lang w:val="de-DE"/>
        </w:rPr>
        <w:tab/>
      </w:r>
      <w:hyperlink r:id="rId2">
        <w:r w:rsidRPr="00246074">
          <w:rPr>
            <w:rStyle w:val="Hyperlink"/>
            <w:lang w:val="de-DE"/>
          </w:rPr>
          <w:t>https://europa.eu/!FNRFFB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152" w:rsidRPr="00240152" w:rsidRDefault="00240152" w:rsidP="002401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152" w:rsidRPr="00240152" w:rsidRDefault="00240152" w:rsidP="002401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152" w:rsidRPr="00240152" w:rsidRDefault="00240152" w:rsidP="002401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152" w:rsidRDefault="002401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152" w:rsidRDefault="00240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167A92F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6249AF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B4C052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92543F4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lvlOverride w:ilvl="0">
      <w:startOverride w:val="1"/>
    </w:lvlOverride>
  </w:num>
  <w:num w:numId="2">
    <w:abstractNumId w:val="3"/>
  </w:num>
  <w:num w:numId="3">
    <w:abstractNumId w:val="2"/>
  </w:num>
  <w:num w:numId="4">
    <w:abstractNumId w:val="1"/>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8-27 10:15:5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529B772E-AD64-4DE1-8165-F55E4D123301"/>
    <w:docVar w:name="LW_COVERPAGE_TYPE" w:val="1"/>
    <w:docVar w:name="LW_CROSSREFERENCE" w:val="&lt;UNUSED&gt;"/>
    <w:docVar w:name="LW_DATE.ADOPT.CP" w:val="ze dne 2.9.2024,"/>
    <w:docVar w:name="LW_DATE.ADOPT.CP_DATEFORMAT" w:val="ze dne %DATE%,"/>
    <w:docVar w:name="LW_DATE.ADOPT.CP_ISODATE" w:val="2024-09-02"/>
    <w:docVar w:name="LW_DocType" w:val="COM"/>
    <w:docVar w:name="LW_EMISSION" w:val="2.9.2024"/>
    <w:docVar w:name="LW_EMISSION_ISODATE" w:val="2024-09-02"/>
    <w:docVar w:name="LW_EMISSION_LOCATION" w:val="BRX"/>
    <w:docVar w:name="LW_EMISSION_PREFIX" w:val="V Bruselu dne "/>
    <w:docVar w:name="LW_EMISSION_SUFFIX" w:val=" "/>
    <w:docVar w:name="LW_ID_DOCMODEL" w:val="SJ-003"/>
    <w:docVar w:name="LW_ID_DOCSIGNATURE" w:val="SJ-003"/>
    <w:docVar w:name="LW_ID_DOCSTRUCTURE" w:val="COM/AA"/>
    <w:docVar w:name="LW_ID_DOCTYPE" w:val="SJ-003"/>
    <w:docVar w:name="LW_INSERT_EXP.MOTIFS.NEW" w:val="1"/>
    <w:docVar w:name="LW_INTERETEEE.CP" w:val="(Text s významem pro EHP)"/>
    <w:docVar w:name="LW_LANGUE" w:val="CS"/>
    <w:docVar w:name="LW_LANGUESFAISANTFOI.CP" w:val="&lt;UNUSED&gt;"/>
    <w:docVar w:name="LW_LEVEL_OF_SENSITIVITY" w:val="Standard treatment"/>
    <w:docVar w:name="LW_NOM.INST" w:val="EVROPSKÁ KOMISE"/>
    <w:docVar w:name="LW_NOM.INST_JOINTDOC" w:val="&lt;EMPTY&gt;"/>
    <w:docVar w:name="LW_PART_NBR" w:val="1"/>
    <w:docVar w:name="LW_PART_NBR_TOTAL" w:val="1"/>
    <w:docVar w:name="LW_REF.INST.NEW" w:val="C"/>
    <w:docVar w:name="LW_REF.INST.NEW_ADOPTED" w:val="final"/>
    <w:docVar w:name="LW_REF.INST.NEW_TEXT" w:val="(2024) 598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kterým se m\u283?ní na\u345?ízení Evropského parlamentu a Rady (EU) \u269?. 691/2011, pokud jde o odkazy na statistickou klasifikaci ekonomických \u269?inností NACE zavedenou na\u345?ízením Evropského parlamentu a Rady (ES) \u269?. 1893/2006"/>
    <w:docVar w:name="LW_TYPE.DOC.CP" w:val="NA\u344?ÍZENÍ KOMISE V P\u344?ENESENÉ PRAVOMOCI (EU) \u8230?/..."/>
    <w:docVar w:name="LwApiVersions" w:val="LW4CoDe 1.24.5.0; LW 9.0, Build 20240221"/>
  </w:docVars>
  <w:rsids>
    <w:rsidRoot w:val="00C17A32"/>
    <w:rsid w:val="00041F77"/>
    <w:rsid w:val="0007796C"/>
    <w:rsid w:val="000A13EC"/>
    <w:rsid w:val="000C1583"/>
    <w:rsid w:val="000C6FEB"/>
    <w:rsid w:val="000D237F"/>
    <w:rsid w:val="000E4021"/>
    <w:rsid w:val="000F350A"/>
    <w:rsid w:val="000F54AE"/>
    <w:rsid w:val="001065F5"/>
    <w:rsid w:val="001215FF"/>
    <w:rsid w:val="001238EF"/>
    <w:rsid w:val="0014357C"/>
    <w:rsid w:val="00152819"/>
    <w:rsid w:val="00155740"/>
    <w:rsid w:val="00160A70"/>
    <w:rsid w:val="001958B1"/>
    <w:rsid w:val="00196A48"/>
    <w:rsid w:val="00197613"/>
    <w:rsid w:val="001979A5"/>
    <w:rsid w:val="001B0C95"/>
    <w:rsid w:val="001B448D"/>
    <w:rsid w:val="001C3AF3"/>
    <w:rsid w:val="001D02D3"/>
    <w:rsid w:val="00220678"/>
    <w:rsid w:val="00233DC7"/>
    <w:rsid w:val="00240152"/>
    <w:rsid w:val="00246074"/>
    <w:rsid w:val="00247779"/>
    <w:rsid w:val="002634B3"/>
    <w:rsid w:val="00283621"/>
    <w:rsid w:val="00285BEE"/>
    <w:rsid w:val="0028746C"/>
    <w:rsid w:val="0029533F"/>
    <w:rsid w:val="002971E9"/>
    <w:rsid w:val="002A7BC1"/>
    <w:rsid w:val="002B30AF"/>
    <w:rsid w:val="002B79F8"/>
    <w:rsid w:val="002D0FEA"/>
    <w:rsid w:val="002E3A38"/>
    <w:rsid w:val="002F7B31"/>
    <w:rsid w:val="0030065A"/>
    <w:rsid w:val="0033344A"/>
    <w:rsid w:val="003609DB"/>
    <w:rsid w:val="00380566"/>
    <w:rsid w:val="003A5B13"/>
    <w:rsid w:val="003C1DD1"/>
    <w:rsid w:val="003C4D4D"/>
    <w:rsid w:val="003C7A14"/>
    <w:rsid w:val="003F2EDC"/>
    <w:rsid w:val="0042648E"/>
    <w:rsid w:val="00427A7A"/>
    <w:rsid w:val="004614CC"/>
    <w:rsid w:val="004816E6"/>
    <w:rsid w:val="00487757"/>
    <w:rsid w:val="004936D2"/>
    <w:rsid w:val="00494BE7"/>
    <w:rsid w:val="004D0AB5"/>
    <w:rsid w:val="004E1CE1"/>
    <w:rsid w:val="004E7FE7"/>
    <w:rsid w:val="005475DB"/>
    <w:rsid w:val="005579E4"/>
    <w:rsid w:val="00564DFE"/>
    <w:rsid w:val="005B1EB6"/>
    <w:rsid w:val="005B330D"/>
    <w:rsid w:val="005C6ACD"/>
    <w:rsid w:val="005C7161"/>
    <w:rsid w:val="005E2936"/>
    <w:rsid w:val="005E7547"/>
    <w:rsid w:val="005F66A1"/>
    <w:rsid w:val="00616502"/>
    <w:rsid w:val="006316DF"/>
    <w:rsid w:val="006322D6"/>
    <w:rsid w:val="006704A9"/>
    <w:rsid w:val="00673327"/>
    <w:rsid w:val="0067332D"/>
    <w:rsid w:val="00675661"/>
    <w:rsid w:val="006A0334"/>
    <w:rsid w:val="006A6956"/>
    <w:rsid w:val="006C4BFF"/>
    <w:rsid w:val="006D744E"/>
    <w:rsid w:val="006E22AA"/>
    <w:rsid w:val="006F67E3"/>
    <w:rsid w:val="0070360B"/>
    <w:rsid w:val="0071665A"/>
    <w:rsid w:val="00721A9F"/>
    <w:rsid w:val="00723BBC"/>
    <w:rsid w:val="007548E3"/>
    <w:rsid w:val="00755C8A"/>
    <w:rsid w:val="00760AA2"/>
    <w:rsid w:val="007663F1"/>
    <w:rsid w:val="00766CC9"/>
    <w:rsid w:val="00773331"/>
    <w:rsid w:val="007813F9"/>
    <w:rsid w:val="00790CBC"/>
    <w:rsid w:val="007932EF"/>
    <w:rsid w:val="007E013D"/>
    <w:rsid w:val="007E05B0"/>
    <w:rsid w:val="00816AF5"/>
    <w:rsid w:val="00836CAA"/>
    <w:rsid w:val="00847293"/>
    <w:rsid w:val="008622B7"/>
    <w:rsid w:val="00874D22"/>
    <w:rsid w:val="00880DC2"/>
    <w:rsid w:val="00886CBC"/>
    <w:rsid w:val="008A2914"/>
    <w:rsid w:val="008E4D8E"/>
    <w:rsid w:val="008F320D"/>
    <w:rsid w:val="008F525B"/>
    <w:rsid w:val="008F7C14"/>
    <w:rsid w:val="009035EE"/>
    <w:rsid w:val="00941BC7"/>
    <w:rsid w:val="00953BD1"/>
    <w:rsid w:val="00953CE0"/>
    <w:rsid w:val="00961EC2"/>
    <w:rsid w:val="0097001F"/>
    <w:rsid w:val="00970BA4"/>
    <w:rsid w:val="00981E3D"/>
    <w:rsid w:val="009873B6"/>
    <w:rsid w:val="0099465B"/>
    <w:rsid w:val="00A41B4C"/>
    <w:rsid w:val="00A6495D"/>
    <w:rsid w:val="00A84BA0"/>
    <w:rsid w:val="00A90FE2"/>
    <w:rsid w:val="00A90FEE"/>
    <w:rsid w:val="00AA4996"/>
    <w:rsid w:val="00AB6881"/>
    <w:rsid w:val="00AC020A"/>
    <w:rsid w:val="00AF0AA1"/>
    <w:rsid w:val="00AF7945"/>
    <w:rsid w:val="00B004CE"/>
    <w:rsid w:val="00B20482"/>
    <w:rsid w:val="00B2605C"/>
    <w:rsid w:val="00B26D56"/>
    <w:rsid w:val="00B332A4"/>
    <w:rsid w:val="00B33455"/>
    <w:rsid w:val="00B55AEC"/>
    <w:rsid w:val="00BC1E4B"/>
    <w:rsid w:val="00BE55E0"/>
    <w:rsid w:val="00BE70D3"/>
    <w:rsid w:val="00C1027D"/>
    <w:rsid w:val="00C120B0"/>
    <w:rsid w:val="00C12301"/>
    <w:rsid w:val="00C17A32"/>
    <w:rsid w:val="00C311C9"/>
    <w:rsid w:val="00C423E2"/>
    <w:rsid w:val="00CA22E0"/>
    <w:rsid w:val="00CD7BF7"/>
    <w:rsid w:val="00CE6178"/>
    <w:rsid w:val="00CF3A54"/>
    <w:rsid w:val="00D14FAF"/>
    <w:rsid w:val="00D20381"/>
    <w:rsid w:val="00D232E0"/>
    <w:rsid w:val="00D3474D"/>
    <w:rsid w:val="00D556EC"/>
    <w:rsid w:val="00D562DE"/>
    <w:rsid w:val="00D56FAD"/>
    <w:rsid w:val="00D62A65"/>
    <w:rsid w:val="00D63004"/>
    <w:rsid w:val="00D752C6"/>
    <w:rsid w:val="00D7763D"/>
    <w:rsid w:val="00D963EC"/>
    <w:rsid w:val="00DB60EB"/>
    <w:rsid w:val="00DC4E5B"/>
    <w:rsid w:val="00DF3E5F"/>
    <w:rsid w:val="00E279DC"/>
    <w:rsid w:val="00E41C91"/>
    <w:rsid w:val="00E446CF"/>
    <w:rsid w:val="00E656EB"/>
    <w:rsid w:val="00E72CD1"/>
    <w:rsid w:val="00E87F0C"/>
    <w:rsid w:val="00EB32B0"/>
    <w:rsid w:val="00EE1EEB"/>
    <w:rsid w:val="00EF76A8"/>
    <w:rsid w:val="00F06E31"/>
    <w:rsid w:val="00F33330"/>
    <w:rsid w:val="00F33897"/>
    <w:rsid w:val="00F506CD"/>
    <w:rsid w:val="00F61289"/>
    <w:rsid w:val="00FA0397"/>
    <w:rsid w:val="00FB3310"/>
    <w:rsid w:val="00FC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DA25C6F8-4F9E-4494-85F3-8FFF6B74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cs-CZ"/>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7A32"/>
    <w:rPr>
      <w:color w:val="0000FF" w:themeColor="hyperlink"/>
      <w:u w:val="single"/>
    </w:rPr>
  </w:style>
  <w:style w:type="paragraph" w:styleId="Revision">
    <w:name w:val="Revision"/>
    <w:hidden/>
    <w:uiPriority w:val="99"/>
    <w:semiHidden/>
    <w:rsid w:val="00C17A32"/>
    <w:pPr>
      <w:spacing w:after="0" w:line="240" w:lineRule="auto"/>
    </w:pPr>
    <w:rPr>
      <w:rFonts w:ascii="Times New Roman" w:hAnsi="Times New Roman" w:cs="Times New Roman"/>
      <w:sz w:val="24"/>
    </w:rPr>
  </w:style>
  <w:style w:type="character" w:styleId="CommentReference">
    <w:name w:val="annotation reference"/>
    <w:basedOn w:val="DefaultParagraphFont"/>
    <w:uiPriority w:val="99"/>
    <w:semiHidden/>
    <w:unhideWhenUsed/>
    <w:rsid w:val="005B330D"/>
    <w:rPr>
      <w:sz w:val="16"/>
      <w:szCs w:val="16"/>
    </w:rPr>
  </w:style>
  <w:style w:type="paragraph" w:styleId="CommentText">
    <w:name w:val="annotation text"/>
    <w:basedOn w:val="Normal"/>
    <w:link w:val="CommentTextChar"/>
    <w:uiPriority w:val="99"/>
    <w:unhideWhenUsed/>
    <w:rsid w:val="005B330D"/>
    <w:rPr>
      <w:sz w:val="20"/>
      <w:szCs w:val="20"/>
    </w:rPr>
  </w:style>
  <w:style w:type="character" w:customStyle="1" w:styleId="CommentTextChar">
    <w:name w:val="Comment Text Char"/>
    <w:basedOn w:val="DefaultParagraphFont"/>
    <w:link w:val="CommentText"/>
    <w:uiPriority w:val="99"/>
    <w:rsid w:val="005B330D"/>
    <w:rPr>
      <w:rFonts w:ascii="Times New Roman" w:hAnsi="Times New Roman" w:cs="Times New Roman"/>
      <w:sz w:val="20"/>
      <w:szCs w:val="20"/>
      <w:lang w:val="cs-CZ"/>
    </w:rPr>
  </w:style>
  <w:style w:type="paragraph" w:styleId="ListBullet">
    <w:name w:val="List Bullet"/>
    <w:basedOn w:val="Normal"/>
    <w:uiPriority w:val="99"/>
    <w:semiHidden/>
    <w:unhideWhenUsed/>
    <w:rsid w:val="00220678"/>
    <w:pPr>
      <w:numPr>
        <w:numId w:val="2"/>
      </w:numPr>
      <w:contextualSpacing/>
    </w:pPr>
  </w:style>
  <w:style w:type="paragraph" w:styleId="ListBullet2">
    <w:name w:val="List Bullet 2"/>
    <w:basedOn w:val="Normal"/>
    <w:uiPriority w:val="99"/>
    <w:semiHidden/>
    <w:unhideWhenUsed/>
    <w:rsid w:val="00220678"/>
    <w:pPr>
      <w:numPr>
        <w:numId w:val="3"/>
      </w:numPr>
      <w:contextualSpacing/>
    </w:pPr>
  </w:style>
  <w:style w:type="paragraph" w:styleId="ListBullet3">
    <w:name w:val="List Bullet 3"/>
    <w:basedOn w:val="Normal"/>
    <w:uiPriority w:val="99"/>
    <w:semiHidden/>
    <w:unhideWhenUsed/>
    <w:rsid w:val="00220678"/>
    <w:pPr>
      <w:numPr>
        <w:numId w:val="4"/>
      </w:numPr>
      <w:contextualSpacing/>
    </w:pPr>
  </w:style>
  <w:style w:type="paragraph" w:styleId="ListBullet4">
    <w:name w:val="List Bullet 4"/>
    <w:basedOn w:val="Normal"/>
    <w:uiPriority w:val="99"/>
    <w:semiHidden/>
    <w:unhideWhenUsed/>
    <w:rsid w:val="00220678"/>
    <w:pPr>
      <w:numPr>
        <w:numId w:val="5"/>
      </w:numPr>
      <w:contextualSpacing/>
    </w:pPr>
  </w:style>
  <w:style w:type="paragraph" w:styleId="CommentSubject">
    <w:name w:val="annotation subject"/>
    <w:basedOn w:val="CommentText"/>
    <w:next w:val="CommentText"/>
    <w:link w:val="CommentSubjectChar"/>
    <w:uiPriority w:val="99"/>
    <w:semiHidden/>
    <w:unhideWhenUsed/>
    <w:rsid w:val="00E446CF"/>
    <w:rPr>
      <w:b/>
      <w:bCs/>
    </w:rPr>
  </w:style>
  <w:style w:type="character" w:customStyle="1" w:styleId="CommentSubjectChar">
    <w:name w:val="Comment Subject Char"/>
    <w:basedOn w:val="CommentTextChar"/>
    <w:link w:val="CommentSubject"/>
    <w:uiPriority w:val="99"/>
    <w:semiHidden/>
    <w:rsid w:val="00E446CF"/>
    <w:rPr>
      <w:rFonts w:ascii="Times New Roman" w:hAnsi="Times New Roman" w:cs="Times New Roman"/>
      <w:b/>
      <w:bCs/>
      <w:sz w:val="20"/>
      <w:szCs w:val="20"/>
      <w:lang w:val="cs-CZ"/>
    </w:rPr>
  </w:style>
  <w:style w:type="character" w:customStyle="1" w:styleId="UnresolvedMention">
    <w:name w:val="Unresolved Mention"/>
    <w:basedOn w:val="DefaultParagraphFont"/>
    <w:uiPriority w:val="99"/>
    <w:semiHidden/>
    <w:unhideWhenUsed/>
    <w:rsid w:val="00E446CF"/>
    <w:rPr>
      <w:color w:val="605E5C"/>
      <w:shd w:val="clear" w:color="auto" w:fill="E1DFDD"/>
    </w:rPr>
  </w:style>
  <w:style w:type="character" w:customStyle="1" w:styleId="HeaderChar">
    <w:name w:val="Header Char"/>
    <w:basedOn w:val="DefaultParagraphFont"/>
    <w:link w:val="Header"/>
    <w:uiPriority w:val="99"/>
    <w:rsid w:val="00240152"/>
    <w:rPr>
      <w:rFonts w:ascii="Times New Roman" w:hAnsi="Times New Roman" w:cs="Times New Roman"/>
      <w:sz w:val="24"/>
      <w:lang w:val="cs-CZ"/>
    </w:rPr>
  </w:style>
  <w:style w:type="character" w:customStyle="1" w:styleId="FooterChar">
    <w:name w:val="Footer Char"/>
    <w:basedOn w:val="DefaultParagraphFont"/>
    <w:link w:val="Footer"/>
    <w:uiPriority w:val="99"/>
    <w:rsid w:val="00240152"/>
    <w:rPr>
      <w:rFonts w:ascii="Times New Roman" w:hAnsi="Times New Roman" w:cs="Times New Roman"/>
      <w:sz w:val="24"/>
      <w:lang w:val="cs-CZ"/>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cs-CZ"/>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cs-CZ"/>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cs-CZ"/>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cs-CZ"/>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cs-CZ"/>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cs-CZ"/>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cs-CZ"/>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24015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40152"/>
    <w:pPr>
      <w:spacing w:before="0"/>
      <w:jc w:val="right"/>
    </w:pPr>
    <w:rPr>
      <w:sz w:val="28"/>
    </w:rPr>
  </w:style>
  <w:style w:type="paragraph" w:customStyle="1" w:styleId="FooterSensitivity">
    <w:name w:val="Footer Sensitivity"/>
    <w:basedOn w:val="Normal"/>
    <w:rsid w:val="0024015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240152"/>
    <w:pPr>
      <w:tabs>
        <w:tab w:val="center" w:pos="4535"/>
        <w:tab w:val="right" w:pos="9071"/>
      </w:tabs>
      <w:spacing w:before="0"/>
    </w:pPr>
  </w:style>
  <w:style w:type="paragraph" w:customStyle="1" w:styleId="HeaderLandscape">
    <w:name w:val="HeaderLandscape"/>
    <w:basedOn w:val="Normal"/>
    <w:rsid w:val="00240152"/>
    <w:pPr>
      <w:tabs>
        <w:tab w:val="center" w:pos="7285"/>
        <w:tab w:val="right" w:pos="14003"/>
      </w:tabs>
      <w:spacing w:before="0"/>
    </w:pPr>
  </w:style>
  <w:style w:type="paragraph" w:styleId="Footer">
    <w:name w:val="footer"/>
    <w:basedOn w:val="Normal"/>
    <w:link w:val="FooterChar"/>
    <w:uiPriority w:val="99"/>
    <w:unhideWhenUsed/>
    <w:rsid w:val="00240152"/>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240152"/>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opa.eu/!FNRFFB" TargetMode="External"/><Relationship Id="rId1" Type="http://schemas.openxmlformats.org/officeDocument/2006/relationships/hyperlink" Target="https://europa.eu/!f6H9n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0" ma:contentTypeDescription="Create a new document in this library." ma:contentTypeScope="" ma:versionID="9652a2d46328713989bb97f1a4bbd963">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4f29c4ebe26ab41c5114504f141434bd"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09592B-251D-41E5-9EC7-5EB6E6233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3943C3-CFE0-4C69-9641-5E033DCAACF3}">
  <ds:schemaRefs>
    <ds:schemaRef ds:uri="http://schemas.microsoft.com/office/2006/metadata/properties"/>
    <ds:schemaRef ds:uri="http://schemas.microsoft.com/office/infopath/2007/PartnerControls"/>
    <ds:schemaRef ds:uri="144c03d0-0f03-451f-9d46-5279004462a4"/>
    <ds:schemaRef ds:uri="http://schemas.microsoft.com/sharepoint/v3/fields"/>
  </ds:schemaRefs>
</ds:datastoreItem>
</file>

<file path=customXml/itemProps3.xml><?xml version="1.0" encoding="utf-8"?>
<ds:datastoreItem xmlns:ds="http://schemas.openxmlformats.org/officeDocument/2006/customXml" ds:itemID="{D4AEBBEB-8A6A-4C06-A675-411CF19A9F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COM.dotm</Template>
  <TotalTime>16</TotalTime>
  <Pages>5</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36</cp:revision>
  <dcterms:created xsi:type="dcterms:W3CDTF">2024-08-16T15:43:00Z</dcterms:created>
  <dcterms:modified xsi:type="dcterms:W3CDTF">2024-08-27T08:15:00Z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SJ-003</vt:lpwstr>
  </property>
  <property fmtid="{D5CDD505-2E9C-101B-9397-08002B2CF9AE}" pid="10" name="MSIP_Label_6bd9ddd1-4d20-43f6-abfa-fc3c07406f94_Enabled">
    <vt:lpwstr>true</vt:lpwstr>
  </property>
  <property fmtid="{D5CDD505-2E9C-101B-9397-08002B2CF9AE}" pid="11" name="MSIP_Label_6bd9ddd1-4d20-43f6-abfa-fc3c07406f94_SetDate">
    <vt:lpwstr>2024-06-19T10:42:51Z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0ab8d884-6874-4fa0-a47c-790949b0dfdd</vt:lpwstr>
  </property>
  <property fmtid="{D5CDD505-2E9C-101B-9397-08002B2CF9AE}" pid="16" name="MSIP_Label_6bd9ddd1-4d20-43f6-abfa-fc3c07406f94_ContentBits">
    <vt:lpwstr>0</vt:lpwstr>
  </property>
  <property fmtid="{D5CDD505-2E9C-101B-9397-08002B2CF9AE}" pid="17" name="ContentTypeId">
    <vt:lpwstr>0x010100BAD999D84E12C74482EA5120F5227F6F00217DECAAC21D6B43958DFE68658C192E</vt:lpwstr>
  </property>
  <property fmtid="{D5CDD505-2E9C-101B-9397-08002B2CF9AE}" pid="18" name="DQCStatus">
    <vt:lpwstr>Green (DQC version 03)</vt:lpwstr>
  </property>
  <property name="OP_sanitized" fmtid="{D5CDD505-2E9C-101B-9397-08002B2CF9AE}" pid="19">
    <vt:lpwstr>True</vt:lpwstr>
  </property>
</Properties>
</file>