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0D2" w:rsidRPr="00C91077" w:rsidRDefault="004B5DCE" w:rsidP="004B5DCE">
      <w:pPr>
        <w:pStyle w:val="Pagedecouverture"/>
        <w:rPr>
          <w:noProof/>
        </w:rPr>
      </w:pPr>
      <w:bookmarkStart w:id="0" w:name="_Hlk15828703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8773F64-98FD-49F0-BCE0-2238CB314BD4" style="width:455.25pt;height:399pt">
            <v:imagedata r:id="rId11" o:title=""/>
          </v:shape>
        </w:pict>
      </w:r>
    </w:p>
    <w:p w:rsidR="001810D2" w:rsidRPr="00C91077" w:rsidRDefault="001810D2" w:rsidP="001810D2">
      <w:pPr>
        <w:rPr>
          <w:noProof/>
        </w:rPr>
        <w:sectPr w:rsidR="001810D2" w:rsidRPr="00C91077" w:rsidSect="004B5DCE">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rsidR="001810D2" w:rsidRPr="00C91077" w:rsidRDefault="001810D2" w:rsidP="00A135E3">
      <w:pPr>
        <w:pStyle w:val="Exposdesmotifstitre"/>
        <w:rPr>
          <w:noProof/>
        </w:rPr>
      </w:pPr>
      <w:bookmarkStart w:id="1" w:name="_Hlk158287387"/>
      <w:bookmarkStart w:id="2" w:name="_GoBack"/>
      <w:bookmarkEnd w:id="2"/>
      <w:r w:rsidRPr="00C91077">
        <w:rPr>
          <w:noProof/>
        </w:rPr>
        <w:lastRenderedPageBreak/>
        <w:t>DŮVODOVÁ ZPRÁVA</w:t>
      </w:r>
    </w:p>
    <w:p w:rsidR="001810D2" w:rsidRPr="00C91077" w:rsidRDefault="001810D2" w:rsidP="00A135E3">
      <w:pPr>
        <w:pStyle w:val="ManualHeading1"/>
        <w:rPr>
          <w:noProof/>
        </w:rPr>
      </w:pPr>
      <w:r w:rsidRPr="00C91077">
        <w:rPr>
          <w:noProof/>
        </w:rPr>
        <w:t>1.</w:t>
      </w:r>
      <w:r w:rsidRPr="00C91077">
        <w:rPr>
          <w:noProof/>
        </w:rPr>
        <w:tab/>
        <w:t>SOUVISLOSTI AKTU V PŘENESENÉ PRAVOMOCI</w:t>
      </w:r>
    </w:p>
    <w:p w:rsidR="001F5FF6" w:rsidRPr="00C91077" w:rsidRDefault="00794EEA" w:rsidP="00571BD8">
      <w:pPr>
        <w:rPr>
          <w:noProof/>
          <w:bdr w:val="none" w:sz="0" w:space="0" w:color="auto" w:frame="1"/>
        </w:rPr>
      </w:pPr>
      <w:r w:rsidRPr="00C91077">
        <w:rPr>
          <w:noProof/>
        </w:rPr>
        <w:t>Evropský orgán pro cenné papíry a trhy (ESMA) má složitý systém financování založený na poplatcích, který vychází z různých právních základů v odvětvových právních předpisech.</w:t>
      </w:r>
      <w:r w:rsidRPr="00C91077">
        <w:rPr>
          <w:noProof/>
          <w:bdr w:val="none" w:sz="0" w:space="0" w:color="auto" w:frame="1"/>
        </w:rPr>
        <w:t xml:space="preserve"> V současné době existuje sedm aktů v přenesené pravomoci, které stanoví způsoby výpočtu a platby poplatků účtovaných různým druhům subjektů podléhajících přímému dohledu orgánu ESMA</w:t>
      </w:r>
      <w:r w:rsidRPr="00C91077">
        <w:rPr>
          <w:rStyle w:val="FootnoteReference"/>
          <w:noProof/>
          <w:bdr w:val="none" w:sz="0" w:space="0" w:color="auto" w:frame="1"/>
        </w:rPr>
        <w:footnoteReference w:id="2"/>
      </w:r>
      <w:r w:rsidRPr="00C91077">
        <w:rPr>
          <w:noProof/>
          <w:bdr w:val="none" w:sz="0" w:space="0" w:color="auto" w:frame="1"/>
        </w:rPr>
        <w:t>.</w:t>
      </w:r>
    </w:p>
    <w:p w:rsidR="001F675B" w:rsidRPr="00C91077" w:rsidRDefault="001F675B" w:rsidP="00571BD8">
      <w:pPr>
        <w:rPr>
          <w:noProof/>
          <w:bdr w:val="none" w:sz="0" w:space="0" w:color="auto" w:frame="1"/>
        </w:rPr>
      </w:pPr>
      <w:r w:rsidRPr="00C91077">
        <w:rPr>
          <w:noProof/>
          <w:bdr w:val="none" w:sz="0" w:space="0" w:color="auto" w:frame="1"/>
        </w:rPr>
        <w:t>Od 1. ledna 2022 je orgán ESMA odpovědný za dohled nad administrátory určitých referenčních hodnot s kritickým významem a uznanými administrátory referenčních hodnot mimo EU podle nařízení (EU) 2016/1011 (nařízení o referenčních hodnotách). V současné době vykonává orgán ESMA dohled nad jedním administrátorem referenční hodnoty s kritickým významem, Evropským institutem pro peněžní trhy jakožto administrátorem sazby EURIBOR, a nad deseti uznanými administrátory referenčních hodnot ze třetích zemí. Ustanovení čl. 48l odst. 3 nařízení o referenčních hodnotách uděluje Komisi mandát k přijetí aktu v přenesené pravomoci za účelem stanovení poplatků souvisejících s přímým dohledem orgánu ESMA nad těmito administrátory referenčních hodnot. Komise na základě tohoto zmocnění přijala nařízení v přenesené pravomoci (EU) 2022/805.</w:t>
      </w:r>
    </w:p>
    <w:p w:rsidR="009B7839" w:rsidRPr="00C91077" w:rsidRDefault="009B7839" w:rsidP="00571BD8">
      <w:pPr>
        <w:rPr>
          <w:noProof/>
          <w:bdr w:val="none" w:sz="0" w:space="0" w:color="auto" w:frame="1"/>
        </w:rPr>
      </w:pPr>
      <w:r w:rsidRPr="00C91077">
        <w:rPr>
          <w:noProof/>
        </w:rPr>
        <w:t xml:space="preserve">Útvar interního auditu Evropské komise dospěl ve svém přezkumu z roku 2018 k závěru, že důsledkem nedostatečné harmonizace mezi odvětvovými nařízeními v přenesené pravomoci je zbytečná složitost a to, že zdroje orgánu ESMA nejsou využívány co možná nejúčinněji a nejúčelněji. </w:t>
      </w:r>
      <w:r w:rsidRPr="00C91077">
        <w:rPr>
          <w:noProof/>
          <w:bdr w:val="none" w:sz="0" w:space="0" w:color="auto" w:frame="1"/>
        </w:rPr>
        <w:t>V témže roce Evropský účetní dvůr konstatoval, že složitost systému financování orgánu ESMA, který je založen na poplatcích, s sebou nese rizika pro správný výpočet těchto poplatků</w:t>
      </w:r>
      <w:r w:rsidRPr="00C91077">
        <w:rPr>
          <w:rStyle w:val="FootnoteReference"/>
          <w:noProof/>
          <w:bdr w:val="none" w:sz="0" w:space="0" w:color="auto" w:frame="1"/>
        </w:rPr>
        <w:footnoteReference w:id="3"/>
      </w:r>
      <w:r w:rsidRPr="00C91077">
        <w:rPr>
          <w:noProof/>
          <w:bdr w:val="none" w:sz="0" w:space="0" w:color="auto" w:frame="1"/>
        </w:rPr>
        <w:t>.</w:t>
      </w:r>
    </w:p>
    <w:p w:rsidR="009B7839" w:rsidRPr="00C91077" w:rsidRDefault="009B7839" w:rsidP="00571BD8">
      <w:pPr>
        <w:rPr>
          <w:noProof/>
        </w:rPr>
      </w:pPr>
      <w:r w:rsidRPr="00C91077">
        <w:rPr>
          <w:noProof/>
          <w:bdr w:val="none" w:sz="0" w:space="0" w:color="auto" w:frame="1"/>
        </w:rPr>
        <w:lastRenderedPageBreak/>
        <w:t xml:space="preserve">V návaznosti na tyto připomínky požádala Komise orgán ESMA o technická doporučení ohledně </w:t>
      </w:r>
      <w:r w:rsidRPr="00C91077">
        <w:rPr>
          <w:noProof/>
        </w:rPr>
        <w:t>harmonizace a zjednodušení aktů v přenesené pravomoci týkajících se poplatků účtovaných orgánem ESMA. Orgán ESMA předložil dvě technická doporučení s cílem podpořit soudržnost a harmonizaci všech nařízení v přenesené pravomoci týkajících se poplatků účtovaných orgánem ESMA: dne 21. června 2021 doporučení týkající se poplatků účtovaných ratingovým agenturám</w:t>
      </w:r>
      <w:r w:rsidR="00794EEA" w:rsidRPr="00C91077">
        <w:rPr>
          <w:rStyle w:val="FootnoteReference"/>
          <w:noProof/>
        </w:rPr>
        <w:footnoteReference w:id="4"/>
      </w:r>
      <w:r w:rsidRPr="00C91077">
        <w:rPr>
          <w:noProof/>
        </w:rPr>
        <w:t xml:space="preserve"> a dne 8. července 2021 doporučení týkající se poplatků účtovaných registrům obchodních údajů </w:t>
      </w:r>
      <w:bookmarkStart w:id="3" w:name="_Hlk154139126"/>
      <w:r w:rsidRPr="00C91077">
        <w:rPr>
          <w:noProof/>
        </w:rPr>
        <w:t>podle nařízení o infrastruktuře evropských trhů (EMIR)</w:t>
      </w:r>
      <w:bookmarkEnd w:id="3"/>
      <w:r w:rsidRPr="00C91077">
        <w:rPr>
          <w:noProof/>
        </w:rPr>
        <w:t xml:space="preserve"> a nařízení o obchodech zajišťujících financování (SFTR)</w:t>
      </w:r>
      <w:r w:rsidR="005E2DF8" w:rsidRPr="00C91077">
        <w:rPr>
          <w:rStyle w:val="FootnoteReference"/>
          <w:noProof/>
        </w:rPr>
        <w:footnoteReference w:id="5"/>
      </w:r>
      <w:r w:rsidRPr="00C91077">
        <w:rPr>
          <w:noProof/>
        </w:rPr>
        <w:t>. Tato technická doporučení jsou proto relevantní i pro nařízení v přenesené pravomoci (EU) 2022/805, pokud jde o poplatky účtované některým administrátorům referenčních hodnot.</w:t>
      </w:r>
    </w:p>
    <w:p w:rsidR="009B7839" w:rsidRPr="00C91077" w:rsidRDefault="009B7839" w:rsidP="00571BD8">
      <w:pPr>
        <w:rPr>
          <w:noProof/>
        </w:rPr>
      </w:pPr>
      <w:r w:rsidRPr="00C91077">
        <w:rPr>
          <w:noProof/>
        </w:rPr>
        <w:t xml:space="preserve">Na základě doporučení Útvaru interního auditu a Evropského účetního dvora a technických doporučení poskytnutých orgánem ESMA má Komise v úmyslu harmonizovat technické aspekty postupu výběru poplatků v rámci různých mandátů orgánu ESMA v oblasti dohledu. To vyžaduje změnu pěti ze sedmi nařízení v přenesené pravomoci. </w:t>
      </w:r>
      <w:bookmarkStart w:id="4" w:name="_Hlk154139719"/>
      <w:r w:rsidRPr="00C91077">
        <w:rPr>
          <w:noProof/>
        </w:rPr>
        <w:t>Nařízení v přenesené pravomoci týkající se ústředních protistran</w:t>
      </w:r>
      <w:r w:rsidR="00C278D6" w:rsidRPr="00C91077">
        <w:rPr>
          <w:rStyle w:val="FootnoteReference"/>
          <w:noProof/>
        </w:rPr>
        <w:footnoteReference w:id="6"/>
      </w:r>
      <w:r w:rsidRPr="00C91077">
        <w:rPr>
          <w:noProof/>
        </w:rPr>
        <w:t xml:space="preserve"> a nařízení v přenesené pravomoci týkající se poskytovatelů služeb hlášení údajů</w:t>
      </w:r>
      <w:r w:rsidR="00C278D6" w:rsidRPr="00C91077">
        <w:rPr>
          <w:rStyle w:val="FootnoteReference"/>
          <w:noProof/>
        </w:rPr>
        <w:footnoteReference w:id="7"/>
      </w:r>
      <w:r w:rsidRPr="00C91077">
        <w:rPr>
          <w:noProof/>
        </w:rPr>
        <w:t xml:space="preserve"> nebudou do tohoto procesu zahrnuta, neboť jejich hlavní relevantní aspekty se již shodují. </w:t>
      </w:r>
      <w:bookmarkEnd w:id="4"/>
      <w:r w:rsidRPr="00C91077">
        <w:rPr>
          <w:noProof/>
        </w:rPr>
        <w:t xml:space="preserve">Změny nařízení v přenesené pravomoci (EU) 2022/805 spolu se změnami čtyř dalších aktů v přenesené pravomoci týkajících se poplatků účtovaných orgánem ESMA zajistí soudržnost, pokud jde o pojem použitelného obratu, způsoby platby a obecný rozpočtový přístup, a zjednoduší tak správu poplatků orgánu ESMA. </w:t>
      </w:r>
    </w:p>
    <w:p w:rsidR="001810D2" w:rsidRPr="00C91077" w:rsidRDefault="001810D2" w:rsidP="00A135E3">
      <w:pPr>
        <w:pStyle w:val="ManualHeading1"/>
        <w:rPr>
          <w:noProof/>
        </w:rPr>
      </w:pPr>
      <w:r w:rsidRPr="00C91077">
        <w:rPr>
          <w:noProof/>
        </w:rPr>
        <w:t>2.</w:t>
      </w:r>
      <w:r w:rsidRPr="00C91077">
        <w:rPr>
          <w:noProof/>
        </w:rPr>
        <w:tab/>
        <w:t>KONZULTACE PŘED PŘIJETÍM PRÁVNÍHO AKTU</w:t>
      </w:r>
    </w:p>
    <w:p w:rsidR="0011163A" w:rsidRPr="00C91077" w:rsidRDefault="0011163A" w:rsidP="0011163A">
      <w:pPr>
        <w:rPr>
          <w:noProof/>
        </w:rPr>
      </w:pPr>
      <w:r w:rsidRPr="00C91077">
        <w:rPr>
          <w:noProof/>
        </w:rPr>
        <w:t xml:space="preserve">Dne 21. září 2023 konzultovala Komise obsah tohoto aktu v přenesené pravomoci s odbornou skupinou Evropského výboru pro cenné papíry. Odborná skupina přístup Komise podpořila. </w:t>
      </w:r>
    </w:p>
    <w:p w:rsidR="009920C5" w:rsidRPr="00C91077" w:rsidRDefault="009920C5" w:rsidP="0011163A">
      <w:pPr>
        <w:rPr>
          <w:noProof/>
        </w:rPr>
      </w:pPr>
      <w:r w:rsidRPr="00C91077">
        <w:rPr>
          <w:noProof/>
        </w:rPr>
        <w:t xml:space="preserve">Návrh nařízení v přenesené pravomoci byl v souladu se zásadami stanovenými v interinstitucionální dohodě o zdokonalení tvorby právních předpisů po dobu čtyř týdnů od </w:t>
      </w:r>
      <w:bookmarkStart w:id="5" w:name="_Hlk155886804"/>
      <w:r w:rsidRPr="00C91077">
        <w:rPr>
          <w:noProof/>
        </w:rPr>
        <w:t>3. do 31. ledna 2024</w:t>
      </w:r>
      <w:bookmarkEnd w:id="5"/>
      <w:r w:rsidRPr="00C91077">
        <w:rPr>
          <w:noProof/>
        </w:rPr>
        <w:t xml:space="preserve"> zveřejněn na portálu pro zlepšování právní úpravy za účelem získání zpětné vazby. </w:t>
      </w:r>
      <w:r w:rsidRPr="00C91077">
        <w:rPr>
          <w:noProof/>
          <w:bdr w:val="none" w:sz="0" w:space="0" w:color="auto" w:frame="1"/>
        </w:rPr>
        <w:t>K návrhu nařízení v přenesené pravomoci nebyly obdrženy žádné připomínky.</w:t>
      </w:r>
    </w:p>
    <w:p w:rsidR="001810D2" w:rsidRPr="00C91077" w:rsidRDefault="001810D2" w:rsidP="00A135E3">
      <w:pPr>
        <w:pStyle w:val="ManualHeading1"/>
        <w:rPr>
          <w:noProof/>
        </w:rPr>
      </w:pPr>
      <w:r w:rsidRPr="00C91077">
        <w:rPr>
          <w:noProof/>
        </w:rPr>
        <w:t>3.</w:t>
      </w:r>
      <w:r w:rsidRPr="00C91077">
        <w:rPr>
          <w:noProof/>
        </w:rPr>
        <w:tab/>
        <w:t>PRÁVNÍ STRÁNKA AKTU V PŘENESENÉ PRAVOMOCI</w:t>
      </w:r>
    </w:p>
    <w:p w:rsidR="001810D2" w:rsidRPr="00C91077" w:rsidRDefault="00CF08BA" w:rsidP="00A135E3">
      <w:pPr>
        <w:rPr>
          <w:noProof/>
        </w:rPr>
      </w:pPr>
      <w:r w:rsidRPr="00C91077">
        <w:rPr>
          <w:noProof/>
        </w:rPr>
        <w:t>V tomto aktu v přenesené pravomoci se způsoby výpočtu a výběru poplatků pro administrátory referenčních hodnot podléhající dohledu orgánu ESMA uvádějí do souladu se způsoby používanými v dalších oblastech, v nichž orgán ESMA účtuje poplatky. To vyžaduje změny ve třech oblastech pozměňovaného nařízení:</w:t>
      </w:r>
    </w:p>
    <w:p w:rsidR="00CE2D4F" w:rsidRPr="00C91077" w:rsidRDefault="00CE2D4F" w:rsidP="00E73941">
      <w:pPr>
        <w:pStyle w:val="Tiret0"/>
        <w:numPr>
          <w:ilvl w:val="0"/>
          <w:numId w:val="6"/>
        </w:numPr>
        <w:rPr>
          <w:noProof/>
        </w:rPr>
      </w:pPr>
      <w:r w:rsidRPr="00C91077">
        <w:rPr>
          <w:noProof/>
        </w:rPr>
        <w:t xml:space="preserve">vkládá se článek </w:t>
      </w:r>
      <w:bookmarkStart w:id="6" w:name="_Hlk154140101"/>
      <w:r w:rsidRPr="00C91077">
        <w:rPr>
          <w:noProof/>
        </w:rPr>
        <w:t xml:space="preserve">2a, který stanoví zásadu náhrady nákladů v plné výši a rozsah nákladů </w:t>
      </w:r>
      <w:bookmarkStart w:id="7" w:name="_Hlk154140214"/>
      <w:r w:rsidRPr="00C91077">
        <w:rPr>
          <w:noProof/>
        </w:rPr>
        <w:t>(přímých i nepřímých)</w:t>
      </w:r>
      <w:bookmarkEnd w:id="7"/>
      <w:r w:rsidRPr="00C91077">
        <w:rPr>
          <w:noProof/>
        </w:rPr>
        <w:t>, které mají být pokryty poplatky v plné výši,</w:t>
      </w:r>
      <w:bookmarkEnd w:id="6"/>
    </w:p>
    <w:p w:rsidR="00CF08BA" w:rsidRPr="00C91077" w:rsidRDefault="00CF08BA" w:rsidP="00E73941">
      <w:pPr>
        <w:pStyle w:val="Tiret0"/>
        <w:numPr>
          <w:ilvl w:val="0"/>
          <w:numId w:val="6"/>
        </w:numPr>
        <w:rPr>
          <w:noProof/>
        </w:rPr>
      </w:pPr>
      <w:r w:rsidRPr="00C91077">
        <w:rPr>
          <w:noProof/>
        </w:rPr>
        <w:t>v článku 6 se stanoví, že poplatek za rok n za dohled nad uznaným administrátorem referenční hodnoty ze třetí země by měl být vypočten na základě auditované účetní závěrky za rok n–2. Dříve se jako reference používala účetní závěrka za poslední ukončené účetní období,</w:t>
      </w:r>
    </w:p>
    <w:p w:rsidR="001810D2" w:rsidRPr="00C91077" w:rsidRDefault="00CF08BA" w:rsidP="00787D22">
      <w:pPr>
        <w:pStyle w:val="Tiret0"/>
        <w:rPr>
          <w:noProof/>
        </w:rPr>
      </w:pPr>
      <w:r w:rsidRPr="00C91077">
        <w:rPr>
          <w:noProof/>
        </w:rPr>
        <w:t>v článku 7 je upřesněno, že v případě prodlení při platbě se použije úrok z prodlení stanovený v článku 99 nařízení (EU, Euratom) 2018/1046 namísto pevného denního penále ve výši 0,1 % z dlužné částky.</w:t>
      </w:r>
    </w:p>
    <w:p w:rsidR="0011163A" w:rsidRPr="00C91077" w:rsidRDefault="0011163A" w:rsidP="0011163A">
      <w:pPr>
        <w:rPr>
          <w:noProof/>
        </w:rPr>
      </w:pPr>
      <w:r w:rsidRPr="00C91077">
        <w:rPr>
          <w:noProof/>
        </w:rPr>
        <w:t>Toto nařízení v přenesené pravomoci rovněž opravuje chybu v článku 5, který stanoví metodu výpočtu poplatku za dohled za první rok jak pro administrátory referenčních hodnot s kritickým významem, tak pro uznané administrátory referenčních hodnot ze třetích zemí.</w:t>
      </w:r>
    </w:p>
    <w:p w:rsidR="0011163A" w:rsidRPr="00C91077" w:rsidRDefault="0011163A" w:rsidP="0011163A">
      <w:pPr>
        <w:rPr>
          <w:noProof/>
        </w:rPr>
        <w:sectPr w:rsidR="0011163A" w:rsidRPr="00C91077" w:rsidSect="004B5DCE">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cols w:space="708"/>
          <w:docGrid w:linePitch="360"/>
        </w:sectPr>
      </w:pPr>
    </w:p>
    <w:p w:rsidR="001810D2" w:rsidRPr="00C91077" w:rsidRDefault="0031356A" w:rsidP="0031356A">
      <w:pPr>
        <w:pStyle w:val="Typedudocument"/>
        <w:rPr>
          <w:noProof/>
        </w:rPr>
      </w:pPr>
      <w:r w:rsidRPr="00C91077">
        <w:rPr>
          <w:noProof/>
        </w:rPr>
        <w:t>NAŘÍZENÍ KOMISE V PŘENESENÉ PRAVOMOCI (EU) …/...</w:t>
      </w:r>
    </w:p>
    <w:p w:rsidR="001810D2" w:rsidRPr="00C91077" w:rsidRDefault="00AD3AFB" w:rsidP="0031356A">
      <w:pPr>
        <w:pStyle w:val="Datedadoption"/>
        <w:rPr>
          <w:noProof/>
        </w:rPr>
      </w:pPr>
      <w:r>
        <w:rPr>
          <w:noProof/>
        </w:rPr>
        <w:t>ze dne 11.3.2024,</w:t>
      </w:r>
    </w:p>
    <w:p w:rsidR="001810D2" w:rsidRPr="00C91077" w:rsidRDefault="0031356A" w:rsidP="0031356A">
      <w:pPr>
        <w:pStyle w:val="Titreobjet"/>
        <w:rPr>
          <w:noProof/>
        </w:rPr>
      </w:pPr>
      <w:r w:rsidRPr="00C91077">
        <w:rPr>
          <w:noProof/>
        </w:rPr>
        <w:t>kterým se mění nařízení v přenesené pravomoci (EU) 2022/805, pokud jde o harmonizaci některých aspektů poplatků účtovaných Evropským orgánem pro cenné papíry a trhy některým administrátorům referenčních hodnot</w:t>
      </w:r>
    </w:p>
    <w:p w:rsidR="001810D2" w:rsidRPr="00C91077" w:rsidRDefault="0031356A" w:rsidP="0031356A">
      <w:pPr>
        <w:pStyle w:val="IntrtEEE"/>
        <w:rPr>
          <w:noProof/>
        </w:rPr>
      </w:pPr>
      <w:r w:rsidRPr="00C91077">
        <w:rPr>
          <w:noProof/>
        </w:rPr>
        <w:t>(Text s významem pro EHP)</w:t>
      </w:r>
    </w:p>
    <w:p w:rsidR="001810D2" w:rsidRPr="00C91077" w:rsidRDefault="001810D2" w:rsidP="00A135E3">
      <w:pPr>
        <w:pStyle w:val="Institutionquiagit"/>
        <w:rPr>
          <w:noProof/>
        </w:rPr>
      </w:pPr>
      <w:r w:rsidRPr="00C91077">
        <w:rPr>
          <w:noProof/>
        </w:rPr>
        <w:t>EVROPSKÁ KOMISE,</w:t>
      </w:r>
    </w:p>
    <w:p w:rsidR="001810D2" w:rsidRPr="00C91077" w:rsidRDefault="001810D2" w:rsidP="00A135E3">
      <w:pPr>
        <w:rPr>
          <w:noProof/>
        </w:rPr>
      </w:pPr>
      <w:r w:rsidRPr="00C91077">
        <w:rPr>
          <w:noProof/>
        </w:rPr>
        <w:t>s ohledem na Smlouvu o fungování Evropské unie,</w:t>
      </w:r>
    </w:p>
    <w:p w:rsidR="001810D2" w:rsidRPr="00C91077" w:rsidRDefault="001810D2" w:rsidP="00A135E3">
      <w:pPr>
        <w:rPr>
          <w:noProof/>
        </w:rPr>
      </w:pPr>
      <w:r w:rsidRPr="00C91077">
        <w:rPr>
          <w:noProof/>
        </w:rPr>
        <w:t>s ohledem na nařízení Evropského parlamentu a Rady (EU) 2016/1011 ze dne 8. června 2016 o indexech, které jsou používány jako referenční hodnoty ve finančních nástrojích a finančních smlouvách nebo k měření výkonnosti investičních fondů, a o změně směrnic 2008/48/ES a 2014/17/EU a nařízení (EU) č. 596/2014</w:t>
      </w:r>
      <w:r w:rsidRPr="00C91077">
        <w:rPr>
          <w:rStyle w:val="FootnoteReference"/>
          <w:noProof/>
        </w:rPr>
        <w:footnoteReference w:id="8"/>
      </w:r>
      <w:r w:rsidRPr="00C91077">
        <w:rPr>
          <w:noProof/>
        </w:rPr>
        <w:t>, a zejména na čl. 48l odst. 3 uvedeného nařízení,</w:t>
      </w:r>
    </w:p>
    <w:p w:rsidR="001810D2" w:rsidRPr="00C91077" w:rsidRDefault="001810D2" w:rsidP="00A135E3">
      <w:pPr>
        <w:rPr>
          <w:noProof/>
        </w:rPr>
      </w:pPr>
      <w:r w:rsidRPr="00C91077">
        <w:rPr>
          <w:noProof/>
        </w:rPr>
        <w:t>vzhledem k těmto důvodům:</w:t>
      </w:r>
    </w:p>
    <w:p w:rsidR="00382297" w:rsidRPr="00C91077" w:rsidRDefault="007E6923" w:rsidP="00FD3C81">
      <w:pPr>
        <w:pStyle w:val="ManualConsidrant"/>
        <w:rPr>
          <w:noProof/>
        </w:rPr>
      </w:pPr>
      <w:r>
        <w:rPr>
          <w:noProof/>
        </w:rPr>
        <w:t>(1)</w:t>
      </w:r>
      <w:r>
        <w:rPr>
          <w:noProof/>
        </w:rPr>
        <w:tab/>
      </w:r>
      <w:r w:rsidRPr="00C91077">
        <w:rPr>
          <w:noProof/>
          <w:bdr w:val="none" w:sz="0" w:space="0" w:color="auto" w:frame="1"/>
        </w:rPr>
        <w:t>Nařízení Komise v přenesené pravomoci (EU) 2022/805</w:t>
      </w:r>
      <w:r w:rsidRPr="00C91077">
        <w:rPr>
          <w:rStyle w:val="FootnoteReference"/>
          <w:noProof/>
          <w:bdr w:val="none" w:sz="0" w:space="0" w:color="auto" w:frame="1"/>
        </w:rPr>
        <w:footnoteReference w:id="9"/>
      </w:r>
      <w:r w:rsidRPr="00C91077">
        <w:rPr>
          <w:noProof/>
          <w:bdr w:val="none" w:sz="0" w:space="0" w:color="auto" w:frame="1"/>
        </w:rPr>
        <w:t xml:space="preserve"> stanoví typ poplatků, výpočet a způsoby platby, pokud jde o poplatky účtované Evropským orgánem pro cenné papíry a trhy (ESMA) některým administrátorům referenčních hodnot. </w:t>
      </w:r>
    </w:p>
    <w:p w:rsidR="009D0DE1" w:rsidRPr="00C91077" w:rsidRDefault="000246AB" w:rsidP="001810D2">
      <w:pPr>
        <w:pStyle w:val="ManualConsidrant"/>
        <w:rPr>
          <w:noProof/>
        </w:rPr>
      </w:pPr>
      <w:r>
        <w:rPr>
          <w:noProof/>
        </w:rPr>
        <w:t>(2)</w:t>
      </w:r>
      <w:r>
        <w:rPr>
          <w:noProof/>
        </w:rPr>
        <w:tab/>
      </w:r>
      <w:r w:rsidRPr="00C91077">
        <w:rPr>
          <w:noProof/>
        </w:rPr>
        <w:t>Jak přezkum Útvaru interního auditu Komise, tak audit Evropského účetního dvora</w:t>
      </w:r>
      <w:r w:rsidR="007E6923" w:rsidRPr="00C91077">
        <w:rPr>
          <w:rStyle w:val="FootnoteReference"/>
          <w:noProof/>
        </w:rPr>
        <w:footnoteReference w:id="10"/>
      </w:r>
      <w:r w:rsidRPr="00C91077">
        <w:rPr>
          <w:noProof/>
        </w:rPr>
        <w:t xml:space="preserve"> dospěly v roce 2018 k závěru, že systém poplatků, na němž je založeno financování orgánu ESMA, je zbytečně složitý. </w:t>
      </w:r>
      <w:r w:rsidRPr="00C91077">
        <w:rPr>
          <w:noProof/>
          <w:shd w:val="clear" w:color="auto" w:fill="FFFFFF"/>
        </w:rPr>
        <w:t>Aby se zjednodušil výběr poplatků a snížila se rizika spojená s nesprávným výpočtem nebo neefektivním rozdělováním poplatků</w:t>
      </w:r>
      <w:r w:rsidRPr="00C91077">
        <w:rPr>
          <w:noProof/>
        </w:rPr>
        <w:t xml:space="preserve">, je nezbytné </w:t>
      </w:r>
      <w:r w:rsidRPr="00C91077">
        <w:rPr>
          <w:noProof/>
          <w:shd w:val="clear" w:color="auto" w:fill="FFFFFF"/>
        </w:rPr>
        <w:t>zajistit soudržnost technických aspektů v různých aktech v přenesené pravomoci týkajících se poplatků účtovaných orgánem ESMA subjektům, nad nimiž orgán ESMA vykonává přímý dohled</w:t>
      </w:r>
      <w:r w:rsidRPr="00C91077">
        <w:rPr>
          <w:noProof/>
        </w:rPr>
        <w:t>.</w:t>
      </w:r>
    </w:p>
    <w:p w:rsidR="009833A1" w:rsidRPr="00C91077" w:rsidRDefault="009833A1" w:rsidP="005D1C8C">
      <w:pPr>
        <w:pStyle w:val="ManualConsidrant"/>
        <w:rPr>
          <w:noProof/>
        </w:rPr>
      </w:pPr>
      <w:r>
        <w:rPr>
          <w:noProof/>
        </w:rPr>
        <w:t>(3)</w:t>
      </w:r>
      <w:r>
        <w:rPr>
          <w:noProof/>
        </w:rPr>
        <w:tab/>
      </w:r>
      <w:r w:rsidRPr="00C91077">
        <w:rPr>
          <w:noProof/>
        </w:rPr>
        <w:t xml:space="preserve">Aby byly výdaje orgánu ESMA související s dohledem nad některými administrátory referenčních hodnot plně pokryty, měly by být roční poplatky za dohled stanoveny na základě </w:t>
      </w:r>
      <w:bookmarkStart w:id="8" w:name="_Hlk152938241"/>
      <w:r w:rsidRPr="00C91077">
        <w:rPr>
          <w:noProof/>
        </w:rPr>
        <w:t>ročního odhadu všech přímých nákladů nezbytných pro úkoly orgánu ESMA v oblasti dohledu a přiměřeného rozdělení fixních a variabilních režijních nákladů orgánu ESMA.</w:t>
      </w:r>
      <w:bookmarkEnd w:id="8"/>
      <w:r w:rsidRPr="00C91077">
        <w:rPr>
          <w:noProof/>
        </w:rPr>
        <w:t xml:space="preserve"> </w:t>
      </w:r>
    </w:p>
    <w:p w:rsidR="006624D3" w:rsidRPr="00C91077" w:rsidRDefault="006624D3" w:rsidP="0024681B">
      <w:pPr>
        <w:pStyle w:val="ManualConsidrant"/>
        <w:rPr>
          <w:noProof/>
        </w:rPr>
      </w:pPr>
      <w:r>
        <w:rPr>
          <w:noProof/>
        </w:rPr>
        <w:t>(4)</w:t>
      </w:r>
      <w:r>
        <w:rPr>
          <w:noProof/>
        </w:rPr>
        <w:tab/>
      </w:r>
      <w:r w:rsidRPr="00C91077">
        <w:rPr>
          <w:noProof/>
        </w:rPr>
        <w:t>V souladu s nařízením Komise v přenesené pravomoci (EU) 2019/715</w:t>
      </w:r>
      <w:r w:rsidRPr="00C91077">
        <w:rPr>
          <w:rStyle w:val="FootnoteReference"/>
          <w:noProof/>
        </w:rPr>
        <w:footnoteReference w:id="11"/>
      </w:r>
      <w:r w:rsidRPr="00C91077">
        <w:rPr>
          <w:noProof/>
        </w:rPr>
        <w:t xml:space="preserve"> by poplatky účtované administrátorům referenčních hodnot měly být stanoveny na úrovni, která zajistí, aby byly pokryty veškeré náklady na služby poskytované orgánem ESMA a aby se zabránilo vzniku schodku, ale zároveň aby se zabránilo akumulaci významného přebytku. </w:t>
      </w:r>
      <w:bookmarkStart w:id="9" w:name="_Hlk151979305"/>
      <w:r w:rsidRPr="00C91077">
        <w:rPr>
          <w:noProof/>
        </w:rPr>
        <w:t xml:space="preserve">V případě opakujících se výrazných kladných nebo záporných rozpočtových výsledků by se úroveň poplatků měla zrevidovat. </w:t>
      </w:r>
      <w:bookmarkEnd w:id="9"/>
    </w:p>
    <w:p w:rsidR="005D1C8C" w:rsidRPr="00C91077" w:rsidRDefault="005D1C8C" w:rsidP="005D1C8C">
      <w:pPr>
        <w:pStyle w:val="ManualConsidrant"/>
        <w:rPr>
          <w:noProof/>
        </w:rPr>
      </w:pPr>
      <w:r>
        <w:rPr>
          <w:noProof/>
        </w:rPr>
        <w:t>(5)</w:t>
      </w:r>
      <w:r>
        <w:rPr>
          <w:noProof/>
        </w:rPr>
        <w:tab/>
      </w:r>
      <w:r w:rsidRPr="00C91077">
        <w:rPr>
          <w:noProof/>
        </w:rPr>
        <w:t>Počáteční poplatek za dohled, který má administrátor referenční hodnoty zaplatit v roce uznání, nebo případně povolení, by měl být úměrný době, po niž byl administrátor referenční hodnoty v prvním roce uznaný nebo povolený.</w:t>
      </w:r>
    </w:p>
    <w:p w:rsidR="00E928DB" w:rsidRPr="00C91077" w:rsidRDefault="00E928DB" w:rsidP="00E928DB">
      <w:pPr>
        <w:pStyle w:val="ManualConsidrant"/>
        <w:rPr>
          <w:noProof/>
        </w:rPr>
      </w:pPr>
      <w:r>
        <w:rPr>
          <w:noProof/>
        </w:rPr>
        <w:t>(6)</w:t>
      </w:r>
      <w:r>
        <w:rPr>
          <w:noProof/>
        </w:rPr>
        <w:tab/>
      </w:r>
      <w:r w:rsidRPr="00C91077">
        <w:rPr>
          <w:noProof/>
        </w:rPr>
        <w:t xml:space="preserve">Aby byla zajištěna soudržnost mezi akty v přenesené pravomoci týkajícími se poplatků splatných orgánu ESMA a aby mohl orgán ESMA včas obdržet auditované údaje o obratu pro účely odhadu poplatků splatných administrátory referenčních hodnot orgánu ESMA, měl by být referenční rok auditované účetní závěrky pro účely stanovení použitelného obratu dva roky před rokem, za který orgán ESMA danému administrátorovi referenční hodnoty poplatky účtuje. </w:t>
      </w:r>
    </w:p>
    <w:p w:rsidR="00E928DB" w:rsidRPr="00C91077" w:rsidRDefault="00E928DB" w:rsidP="001810D2">
      <w:pPr>
        <w:pStyle w:val="ManualConsidrant"/>
        <w:rPr>
          <w:noProof/>
        </w:rPr>
      </w:pPr>
      <w:r>
        <w:rPr>
          <w:noProof/>
        </w:rPr>
        <w:t>(7)</w:t>
      </w:r>
      <w:r>
        <w:rPr>
          <w:noProof/>
        </w:rPr>
        <w:tab/>
      </w:r>
      <w:r w:rsidRPr="00C91077">
        <w:rPr>
          <w:noProof/>
        </w:rPr>
        <w:t>Použitelný obrat administrátorů referenčních hodnot se vypočítá v eurech. Je proto nutné zavést mechanismus pro přepočet příjmů vytvořených v jiných měnách na eura.</w:t>
      </w:r>
    </w:p>
    <w:p w:rsidR="00E928DB" w:rsidRPr="00C91077" w:rsidRDefault="005D1C8C" w:rsidP="008659EC">
      <w:pPr>
        <w:pStyle w:val="ManualConsidrant"/>
        <w:rPr>
          <w:noProof/>
        </w:rPr>
      </w:pPr>
      <w:r>
        <w:rPr>
          <w:noProof/>
        </w:rPr>
        <w:t>(8)</w:t>
      </w:r>
      <w:r>
        <w:rPr>
          <w:noProof/>
        </w:rPr>
        <w:tab/>
      </w:r>
      <w:r w:rsidRPr="00C91077">
        <w:rPr>
          <w:noProof/>
        </w:rPr>
        <w:t>Aby byla zajištěna soudržnost mezi akty v přenesené pravomoci týkajícími se poplatků hrazených orgánu ESMA, měl by orgán ESMA vypočítat sankci v případě prodlení při platbě v souladu s ustanoveními o úrocích z prodlení v článku 99 nařízení Evropského parlamentu a Rady (EU, Euratom) 2018/1046</w:t>
      </w:r>
      <w:r w:rsidR="007E6923" w:rsidRPr="00C91077">
        <w:rPr>
          <w:rStyle w:val="FootnoteReference"/>
          <w:noProof/>
          <w:lang w:eastAsia="en-IE"/>
        </w:rPr>
        <w:footnoteReference w:id="12"/>
      </w:r>
      <w:r w:rsidRPr="00C91077">
        <w:rPr>
          <w:noProof/>
        </w:rPr>
        <w:t>.</w:t>
      </w:r>
    </w:p>
    <w:p w:rsidR="006624D3" w:rsidRPr="00C91077" w:rsidRDefault="002A319A" w:rsidP="0024681B">
      <w:pPr>
        <w:pStyle w:val="ManualConsidrant"/>
        <w:rPr>
          <w:noProof/>
        </w:rPr>
      </w:pPr>
      <w:r>
        <w:rPr>
          <w:noProof/>
        </w:rPr>
        <w:t>(9)</w:t>
      </w:r>
      <w:r>
        <w:rPr>
          <w:noProof/>
        </w:rPr>
        <w:tab/>
      </w:r>
      <w:r w:rsidRPr="00C91077">
        <w:rPr>
          <w:noProof/>
        </w:rPr>
        <w:t>Aby se zabránilo právní nejistotě v případě aktuálně probíhajícího výběru poplatků, mělo by se toto nařízení použít ode dne 1. ledna 2025.</w:t>
      </w:r>
    </w:p>
    <w:p w:rsidR="001810D2" w:rsidRPr="00C91077" w:rsidRDefault="009D0DE1" w:rsidP="001810D2">
      <w:pPr>
        <w:pStyle w:val="ManualConsidrant"/>
        <w:rPr>
          <w:noProof/>
        </w:rPr>
      </w:pPr>
      <w:r>
        <w:rPr>
          <w:noProof/>
        </w:rPr>
        <w:t>(10)</w:t>
      </w:r>
      <w:r>
        <w:rPr>
          <w:noProof/>
        </w:rPr>
        <w:tab/>
      </w:r>
      <w:r w:rsidRPr="00C91077">
        <w:rPr>
          <w:noProof/>
          <w:shd w:val="clear" w:color="auto" w:fill="FFFFFF"/>
        </w:rPr>
        <w:t>Nařízení v přenesené pravomoci (EU) 2022/805 by proto mělo být odpovídajícím způsobem změněno,</w:t>
      </w:r>
    </w:p>
    <w:p w:rsidR="001810D2" w:rsidRPr="00C91077" w:rsidRDefault="001810D2" w:rsidP="00A135E3">
      <w:pPr>
        <w:pStyle w:val="Formuledadoption"/>
        <w:rPr>
          <w:noProof/>
        </w:rPr>
      </w:pPr>
      <w:r w:rsidRPr="00C91077">
        <w:rPr>
          <w:noProof/>
        </w:rPr>
        <w:t>PŘIJALA TOTO NAŘÍZENÍ:</w:t>
      </w:r>
    </w:p>
    <w:p w:rsidR="001810D2" w:rsidRPr="00C91077" w:rsidRDefault="001810D2" w:rsidP="00A135E3">
      <w:pPr>
        <w:pStyle w:val="Titrearticle"/>
        <w:rPr>
          <w:noProof/>
        </w:rPr>
      </w:pPr>
      <w:r w:rsidRPr="00C91077">
        <w:rPr>
          <w:noProof/>
        </w:rPr>
        <w:t>Článek 1</w:t>
      </w:r>
    </w:p>
    <w:p w:rsidR="001810D2" w:rsidRPr="00C91077" w:rsidRDefault="001810D2" w:rsidP="007634DD">
      <w:pPr>
        <w:jc w:val="center"/>
        <w:rPr>
          <w:b/>
          <w:bCs/>
          <w:noProof/>
        </w:rPr>
      </w:pPr>
      <w:r w:rsidRPr="00C91077">
        <w:rPr>
          <w:b/>
          <w:noProof/>
        </w:rPr>
        <w:t>Změny nařízení v přenesené pravomoci (EU) 2022/805</w:t>
      </w:r>
    </w:p>
    <w:p w:rsidR="00C402E9" w:rsidRPr="00C91077" w:rsidRDefault="00C402E9" w:rsidP="00C402E9">
      <w:pPr>
        <w:jc w:val="left"/>
        <w:rPr>
          <w:noProof/>
        </w:rPr>
      </w:pPr>
      <w:r w:rsidRPr="00C91077">
        <w:rPr>
          <w:noProof/>
        </w:rPr>
        <w:t>Nařízení v přenesené pravomoci (EU) 2022/805 se mění takto:</w:t>
      </w:r>
    </w:p>
    <w:p w:rsidR="009833A1" w:rsidRPr="00C91077" w:rsidRDefault="00CB7EC8" w:rsidP="00CB7EC8">
      <w:pPr>
        <w:pStyle w:val="Point0"/>
        <w:rPr>
          <w:noProof/>
        </w:rPr>
      </w:pPr>
      <w:r>
        <w:rPr>
          <w:noProof/>
        </w:rPr>
        <w:t>1)</w:t>
      </w:r>
      <w:r>
        <w:rPr>
          <w:noProof/>
        </w:rPr>
        <w:tab/>
      </w:r>
      <w:r w:rsidR="007E6923" w:rsidRPr="00C91077">
        <w:rPr>
          <w:noProof/>
        </w:rPr>
        <w:t>vkládá se nový článek 2a, který zní:</w:t>
      </w:r>
    </w:p>
    <w:p w:rsidR="009833A1" w:rsidRPr="00C91077" w:rsidRDefault="007E6923" w:rsidP="009833A1">
      <w:pPr>
        <w:pStyle w:val="NormalCentered"/>
        <w:rPr>
          <w:i/>
          <w:iCs/>
          <w:noProof/>
        </w:rPr>
      </w:pPr>
      <w:r w:rsidRPr="00C91077">
        <w:rPr>
          <w:i/>
          <w:noProof/>
        </w:rPr>
        <w:t>„Článek 2a</w:t>
      </w:r>
    </w:p>
    <w:p w:rsidR="009833A1" w:rsidRPr="00C91077" w:rsidRDefault="009833A1" w:rsidP="009833A1">
      <w:pPr>
        <w:pStyle w:val="NormalCentered"/>
        <w:rPr>
          <w:b/>
          <w:bCs/>
          <w:noProof/>
        </w:rPr>
      </w:pPr>
      <w:r w:rsidRPr="00C91077">
        <w:rPr>
          <w:b/>
          <w:noProof/>
        </w:rPr>
        <w:t>Náhrada nákladů na dohled v plné výši</w:t>
      </w:r>
    </w:p>
    <w:p w:rsidR="009833A1" w:rsidRPr="00C91077" w:rsidRDefault="009833A1" w:rsidP="009833A1">
      <w:pPr>
        <w:pStyle w:val="Text1"/>
        <w:rPr>
          <w:noProof/>
        </w:rPr>
      </w:pPr>
      <w:r w:rsidRPr="00C91077">
        <w:rPr>
          <w:noProof/>
        </w:rPr>
        <w:t>Poplatky účtované administrátorům referenčních hodnot pokrývají:</w:t>
      </w:r>
    </w:p>
    <w:p w:rsidR="009833A1" w:rsidRPr="00C91077" w:rsidRDefault="00CB7EC8" w:rsidP="00CB7EC8">
      <w:pPr>
        <w:pStyle w:val="Point1"/>
        <w:rPr>
          <w:noProof/>
        </w:rPr>
      </w:pPr>
      <w:r>
        <w:rPr>
          <w:noProof/>
        </w:rPr>
        <w:t>a)</w:t>
      </w:r>
      <w:r>
        <w:rPr>
          <w:noProof/>
        </w:rPr>
        <w:tab/>
      </w:r>
      <w:r w:rsidR="009833A1" w:rsidRPr="00C91077">
        <w:rPr>
          <w:noProof/>
        </w:rPr>
        <w:t>veškeré přímé i nepřímé náklady spojené s dohledem orgánu ESMA nad administrátory referenčních hodnot v souladu s nařízením (EU) 2016/1011, včetně nákladů spojených s uznáním, povolením nebo rozšířením povolení;</w:t>
      </w:r>
    </w:p>
    <w:p w:rsidR="009833A1" w:rsidRPr="00C91077" w:rsidRDefault="00CB7EC8" w:rsidP="00CB7EC8">
      <w:pPr>
        <w:pStyle w:val="Point1"/>
        <w:rPr>
          <w:noProof/>
        </w:rPr>
      </w:pPr>
      <w:r>
        <w:rPr>
          <w:noProof/>
        </w:rPr>
        <w:t>b)</w:t>
      </w:r>
      <w:r>
        <w:rPr>
          <w:noProof/>
        </w:rPr>
        <w:tab/>
      </w:r>
      <w:r w:rsidR="009833A1" w:rsidRPr="00C91077">
        <w:rPr>
          <w:noProof/>
        </w:rPr>
        <w:t>veškeré náklady na náhradu přímých i nepřímých nákladů příslušných orgánů, na které orgán ESMA přenesl úkoly v souladu s nařízením (EU) 2016/1011.“;</w:t>
      </w:r>
    </w:p>
    <w:p w:rsidR="00DA7721" w:rsidRPr="00C91077" w:rsidRDefault="00CB7EC8" w:rsidP="00CB7EC8">
      <w:pPr>
        <w:pStyle w:val="Point0"/>
        <w:rPr>
          <w:noProof/>
        </w:rPr>
      </w:pPr>
      <w:r>
        <w:rPr>
          <w:noProof/>
        </w:rPr>
        <w:t>2)</w:t>
      </w:r>
      <w:r>
        <w:rPr>
          <w:noProof/>
        </w:rPr>
        <w:tab/>
      </w:r>
      <w:r w:rsidR="009D0DE1" w:rsidRPr="00C91077">
        <w:rPr>
          <w:noProof/>
        </w:rPr>
        <w:t>v článku 5 se první pododstavec nahrazuje tímto:</w:t>
      </w:r>
    </w:p>
    <w:p w:rsidR="00DA7721" w:rsidRPr="00C91077" w:rsidRDefault="00DA7721" w:rsidP="002E36F1">
      <w:pPr>
        <w:ind w:left="567"/>
        <w:rPr>
          <w:noProof/>
        </w:rPr>
      </w:pPr>
      <w:r w:rsidRPr="00C91077">
        <w:rPr>
          <w:noProof/>
        </w:rPr>
        <w:t>„Odchylně od článku 4 se roční poplatek za dohled v prvním roce pro uznané administrátory ze třetích zemí a pro povolené administrátory referenčních hodnot s kritickým významem s odkazem na rok, v němž byli uznáni nebo získali povolení, vypočte tak, že se na poplatek za uznání nebo případně povolení použije tento koeficient:</w:t>
      </w:r>
    </w:p>
    <w:p w:rsidR="00DA7721" w:rsidRPr="00C91077" w:rsidRDefault="0031356A" w:rsidP="002E36F1">
      <w:pPr>
        <w:ind w:left="567"/>
        <w:rPr>
          <w:noProof/>
          <w:sz w:val="22"/>
        </w:rPr>
      </w:pPr>
      <m:oMath>
        <m:r>
          <w:rPr>
            <w:rFonts w:ascii="Cambria Math" w:hAnsi="Cambria Math"/>
            <w:noProof/>
            <w:sz w:val="22"/>
          </w:rPr>
          <m:t>Koeficient=</m:t>
        </m:r>
        <m:f>
          <m:fPr>
            <m:ctrlPr>
              <w:rPr>
                <w:rFonts w:ascii="Cambria Math" w:hAnsi="Cambria Math"/>
                <w:i/>
                <w:noProof/>
                <w:sz w:val="22"/>
              </w:rPr>
            </m:ctrlPr>
          </m:fPr>
          <m:num>
            <m:r>
              <w:rPr>
                <w:rFonts w:ascii="Cambria Math" w:hAnsi="Cambria Math"/>
                <w:noProof/>
                <w:sz w:val="22"/>
              </w:rPr>
              <m:t>Počet kalendářních dnů od data registrace do 31. prosince</m:t>
            </m:r>
          </m:num>
          <m:den>
            <m:r>
              <w:rPr>
                <w:rFonts w:ascii="Cambria Math" w:hAnsi="Cambria Math"/>
                <w:noProof/>
                <w:sz w:val="22"/>
              </w:rPr>
              <m:t>Počet kalendářních dnů v roce n</m:t>
            </m:r>
          </m:den>
        </m:f>
      </m:oMath>
      <w:r w:rsidR="002466E3" w:rsidRPr="00C91077">
        <w:rPr>
          <w:noProof/>
        </w:rPr>
        <w:t xml:space="preserve"> “;</w:t>
      </w:r>
    </w:p>
    <w:p w:rsidR="001810D2" w:rsidRPr="00C91077" w:rsidRDefault="00CB7EC8" w:rsidP="00CB7EC8">
      <w:pPr>
        <w:pStyle w:val="Point0"/>
        <w:rPr>
          <w:noProof/>
        </w:rPr>
      </w:pPr>
      <w:r>
        <w:rPr>
          <w:noProof/>
        </w:rPr>
        <w:t>3)</w:t>
      </w:r>
      <w:r>
        <w:rPr>
          <w:noProof/>
        </w:rPr>
        <w:tab/>
      </w:r>
      <w:r w:rsidR="000D4BD6" w:rsidRPr="00C91077">
        <w:rPr>
          <w:noProof/>
        </w:rPr>
        <w:t>článek 6 se nahrazuje tímto:</w:t>
      </w:r>
    </w:p>
    <w:p w:rsidR="000D4BD6" w:rsidRPr="00C91077" w:rsidRDefault="000D4BD6" w:rsidP="002E36F1">
      <w:pPr>
        <w:tabs>
          <w:tab w:val="left" w:pos="1134"/>
        </w:tabs>
        <w:ind w:left="567"/>
        <w:jc w:val="center"/>
        <w:rPr>
          <w:noProof/>
        </w:rPr>
      </w:pPr>
      <w:r w:rsidRPr="00C91077">
        <w:rPr>
          <w:noProof/>
        </w:rPr>
        <w:t>„</w:t>
      </w:r>
      <w:r w:rsidRPr="00C91077">
        <w:rPr>
          <w:i/>
          <w:noProof/>
        </w:rPr>
        <w:t>Článek 6</w:t>
      </w:r>
    </w:p>
    <w:p w:rsidR="000D4BD6" w:rsidRPr="00C91077" w:rsidRDefault="000D4BD6" w:rsidP="002E36F1">
      <w:pPr>
        <w:tabs>
          <w:tab w:val="left" w:pos="1134"/>
        </w:tabs>
        <w:ind w:left="567"/>
        <w:jc w:val="center"/>
        <w:rPr>
          <w:b/>
          <w:bCs/>
          <w:noProof/>
        </w:rPr>
      </w:pPr>
      <w:r w:rsidRPr="00C91077">
        <w:rPr>
          <w:b/>
          <w:noProof/>
        </w:rPr>
        <w:t>Použitelný obrat</w:t>
      </w:r>
    </w:p>
    <w:p w:rsidR="000D4BD6" w:rsidRPr="00C91077" w:rsidRDefault="000D4BD6" w:rsidP="002E36F1">
      <w:pPr>
        <w:tabs>
          <w:tab w:val="left" w:pos="1134"/>
        </w:tabs>
        <w:ind w:left="567"/>
        <w:rPr>
          <w:noProof/>
        </w:rPr>
      </w:pPr>
      <w:r w:rsidRPr="00C91077">
        <w:rPr>
          <w:noProof/>
        </w:rPr>
        <w:t>1.</w:t>
      </w:r>
      <w:r w:rsidRPr="00C91077">
        <w:rPr>
          <w:noProof/>
        </w:rPr>
        <w:tab/>
        <w:t>Použitelným obratem uznaného administrátora referenční hodnoty ze třetí země za daný rok n jsou jeho příjmy vzniklé v souvislosti s používáním jeho referenčních hodnot dohlíženými subjekty v Unii uvedené v auditované účetní závěrce za rok n–2.</w:t>
      </w:r>
    </w:p>
    <w:p w:rsidR="002466E3" w:rsidRPr="00C91077" w:rsidRDefault="000D4BD6" w:rsidP="002E36F1">
      <w:pPr>
        <w:tabs>
          <w:tab w:val="left" w:pos="1134"/>
        </w:tabs>
        <w:ind w:left="567"/>
        <w:rPr>
          <w:noProof/>
        </w:rPr>
      </w:pPr>
      <w:r w:rsidRPr="00C91077">
        <w:rPr>
          <w:noProof/>
        </w:rPr>
        <w:t>2.</w:t>
      </w:r>
      <w:r w:rsidRPr="00C91077">
        <w:rPr>
          <w:noProof/>
        </w:rPr>
        <w:tab/>
        <w:t>Uznaný administrátor referenční hodnoty ze třetí země každoročně poskytuje orgánu ESMA auditované údaje, které potvrzují jeho příjmy vzniklé v souvislosti s používáním jeho referenčních hodnot v Unii. Tyto údaje jsou ověřené externím auditem a předkládají se orgánu ESMA elektronickými prostředky do 30. září každého roku (n–1). Administrátor ze třetí země, který je uznán po 30. září, poskytne uvedené údaje neprodleně po uznání a do konce kalendářního roku uznání. Uznaný administrátor referenční hodnoty ze třetí země poskytne dokumenty obsahující auditované údaje v jazyce obvyklém pro finanční služby.</w:t>
      </w:r>
    </w:p>
    <w:p w:rsidR="00FA614B" w:rsidRPr="00C91077" w:rsidRDefault="002466E3" w:rsidP="002E36F1">
      <w:pPr>
        <w:tabs>
          <w:tab w:val="left" w:pos="1134"/>
        </w:tabs>
        <w:ind w:left="567"/>
        <w:rPr>
          <w:noProof/>
        </w:rPr>
      </w:pPr>
      <w:r w:rsidRPr="00C91077">
        <w:rPr>
          <w:noProof/>
        </w:rPr>
        <w:t>3.</w:t>
      </w:r>
      <w:r w:rsidRPr="00C91077">
        <w:rPr>
          <w:noProof/>
        </w:rPr>
        <w:tab/>
        <w:t>Pokud uznaný administrátor referenčních hodnot ze třetí země nevykonával činnost během celého roku (n–2), orgán ESMA odhadne použitelný obrat daného uznaného administrátora referenčních hodnot ze třetí země extrapolací hodnoty vypočtené za počet měsíců, během kterých tento uznaný administrátor referenčních hodnot ze třetí země v roce (n–2) vykonával činnost, na celý rok (n–2).</w:t>
      </w:r>
    </w:p>
    <w:p w:rsidR="000D4BD6" w:rsidRPr="00C91077" w:rsidRDefault="00F61695" w:rsidP="002E36F1">
      <w:pPr>
        <w:tabs>
          <w:tab w:val="left" w:pos="1134"/>
        </w:tabs>
        <w:ind w:left="567"/>
        <w:rPr>
          <w:noProof/>
        </w:rPr>
      </w:pPr>
      <w:r w:rsidRPr="00C91077">
        <w:rPr>
          <w:noProof/>
        </w:rPr>
        <w:t>4.</w:t>
      </w:r>
      <w:r w:rsidRPr="00C91077">
        <w:rPr>
          <w:noProof/>
        </w:rPr>
        <w:tab/>
        <w:t>Pokud není k dispozici auditovaná účetní závěrka za rok (n–2), použije orgán ESMA auditovanou účetní závěrku za rok (n–1).</w:t>
      </w:r>
    </w:p>
    <w:p w:rsidR="000D4BD6" w:rsidRPr="00C91077" w:rsidRDefault="00F61695" w:rsidP="002E36F1">
      <w:pPr>
        <w:tabs>
          <w:tab w:val="left" w:pos="1134"/>
        </w:tabs>
        <w:ind w:left="567"/>
        <w:rPr>
          <w:noProof/>
        </w:rPr>
      </w:pPr>
      <w:r w:rsidRPr="00C91077">
        <w:rPr>
          <w:noProof/>
        </w:rPr>
        <w:t>5.</w:t>
      </w:r>
      <w:r w:rsidRPr="00C91077">
        <w:rPr>
          <w:noProof/>
        </w:rPr>
        <w:tab/>
        <w:t>Jestliže jsou vykázané příjmy vyjádřeny v jiné měně než v eurech, orgán ESMA je převede na eura podle průměrného směnného kurzu eura platného v období, během kterého byly tyto příjmy zaznamenány. Za tím účelem použije orgán ESMA referenční sazbu směnného kurzu eura zveřejněnou Evropskou centrální bankou.“;</w:t>
      </w:r>
    </w:p>
    <w:p w:rsidR="000D4BD6" w:rsidRPr="00C91077" w:rsidRDefault="00CB7EC8" w:rsidP="00CB7EC8">
      <w:pPr>
        <w:pStyle w:val="Point0"/>
        <w:rPr>
          <w:noProof/>
        </w:rPr>
      </w:pPr>
      <w:r>
        <w:rPr>
          <w:noProof/>
        </w:rPr>
        <w:t>4)</w:t>
      </w:r>
      <w:r>
        <w:rPr>
          <w:noProof/>
        </w:rPr>
        <w:tab/>
      </w:r>
      <w:r w:rsidR="009D0DE1" w:rsidRPr="00C91077">
        <w:rPr>
          <w:noProof/>
        </w:rPr>
        <w:t>v článku 7 se odstavec 2 nahrazuje tímto:</w:t>
      </w:r>
    </w:p>
    <w:p w:rsidR="00416F53" w:rsidRPr="00C91077" w:rsidRDefault="0033663F" w:rsidP="002E36F1">
      <w:pPr>
        <w:pStyle w:val="QuotedNumPar"/>
        <w:tabs>
          <w:tab w:val="left" w:pos="1134"/>
        </w:tabs>
        <w:ind w:left="567" w:firstLine="0"/>
        <w:rPr>
          <w:noProof/>
        </w:rPr>
      </w:pPr>
      <w:r w:rsidRPr="00C91077">
        <w:rPr>
          <w:noProof/>
        </w:rPr>
        <w:t>„2.</w:t>
      </w:r>
      <w:r w:rsidRPr="00C91077">
        <w:rPr>
          <w:noProof/>
        </w:rPr>
        <w:tab/>
        <w:t>V případě jakéhokoli prodlení při platbě se účtuje úrok z prodlení stanovený v článku 99 nařízení Evropského parlamentu a Rady (EU, Euratom) 2018/1046</w:t>
      </w:r>
      <w:r w:rsidRPr="00C91077">
        <w:rPr>
          <w:noProof/>
          <w:vertAlign w:val="superscript"/>
        </w:rPr>
        <w:t>*</w:t>
      </w:r>
      <w:r w:rsidRPr="00C91077">
        <w:rPr>
          <w:noProof/>
        </w:rPr>
        <w:t>.</w:t>
      </w:r>
    </w:p>
    <w:p w:rsidR="00416F53" w:rsidRPr="00C91077" w:rsidRDefault="00416F53" w:rsidP="002E36F1">
      <w:pPr>
        <w:pStyle w:val="QuotedNumPar"/>
        <w:ind w:left="567" w:firstLine="0"/>
        <w:rPr>
          <w:noProof/>
        </w:rPr>
      </w:pPr>
      <w:r w:rsidRPr="00C91077">
        <w:rPr>
          <w:noProof/>
        </w:rPr>
        <w:t>________________</w:t>
      </w:r>
    </w:p>
    <w:p w:rsidR="0033663F" w:rsidRPr="00C91077" w:rsidRDefault="00416F53" w:rsidP="002E36F1">
      <w:pPr>
        <w:pStyle w:val="QuotedNumPar"/>
        <w:ind w:left="1276" w:hanging="709"/>
        <w:rPr>
          <w:noProof/>
          <w:sz w:val="20"/>
          <w:szCs w:val="20"/>
        </w:rPr>
      </w:pPr>
      <w:r w:rsidRPr="00C91077">
        <w:rPr>
          <w:noProof/>
          <w:sz w:val="20"/>
          <w:vertAlign w:val="superscript"/>
        </w:rPr>
        <w:t>*</w:t>
      </w:r>
      <w:r w:rsidRPr="00C91077">
        <w:rPr>
          <w:noProof/>
          <w:sz w:val="20"/>
          <w:vertAlign w:val="superscript"/>
        </w:rPr>
        <w:tab/>
      </w:r>
      <w:r w:rsidRPr="00C91077">
        <w:rPr>
          <w:noProof/>
          <w:sz w:val="20"/>
        </w:rPr>
        <w:t>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(Úř. věst. L 193, 30.7.2018, s. 1, ELI: http://data.europa.eu/eli/reg/2018/1046/oj).</w:t>
      </w:r>
      <w:r w:rsidRPr="00C91077">
        <w:rPr>
          <w:noProof/>
        </w:rPr>
        <w:t>“</w:t>
      </w:r>
    </w:p>
    <w:p w:rsidR="001810D2" w:rsidRPr="00C91077" w:rsidRDefault="001810D2" w:rsidP="00A135E3">
      <w:pPr>
        <w:pStyle w:val="Titrearticle"/>
        <w:rPr>
          <w:noProof/>
        </w:rPr>
      </w:pPr>
      <w:r w:rsidRPr="00C91077">
        <w:rPr>
          <w:noProof/>
        </w:rPr>
        <w:t>Článek 2</w:t>
      </w:r>
    </w:p>
    <w:p w:rsidR="008659EC" w:rsidRPr="00C91077" w:rsidRDefault="00841D13" w:rsidP="008659EC">
      <w:pPr>
        <w:pStyle w:val="NormalCentered"/>
        <w:rPr>
          <w:b/>
          <w:bCs/>
          <w:noProof/>
        </w:rPr>
      </w:pPr>
      <w:r w:rsidRPr="00C91077">
        <w:rPr>
          <w:b/>
          <w:noProof/>
        </w:rPr>
        <w:t>Vstup v platnost</w:t>
      </w:r>
    </w:p>
    <w:p w:rsidR="0079544E" w:rsidRPr="00C91077" w:rsidRDefault="001810D2" w:rsidP="0079544E">
      <w:pPr>
        <w:pStyle w:val="Applicationdirecte"/>
        <w:spacing w:before="120"/>
        <w:rPr>
          <w:noProof/>
        </w:rPr>
      </w:pPr>
      <w:r w:rsidRPr="00C91077">
        <w:rPr>
          <w:noProof/>
        </w:rPr>
        <w:t xml:space="preserve">Toto nařízení vstupuje v platnost dvacátým dnem po vyhlášení v </w:t>
      </w:r>
      <w:r w:rsidRPr="00C91077">
        <w:rPr>
          <w:i/>
          <w:noProof/>
        </w:rPr>
        <w:t>Úředním věstníku Evropské unie</w:t>
      </w:r>
      <w:r w:rsidRPr="00C91077">
        <w:rPr>
          <w:noProof/>
        </w:rPr>
        <w:t>. Použije se ode dne 1. ledna 2025.</w:t>
      </w:r>
    </w:p>
    <w:p w:rsidR="001810D2" w:rsidRPr="00C91077" w:rsidRDefault="001810D2" w:rsidP="0079544E">
      <w:pPr>
        <w:pStyle w:val="Applicationdirecte"/>
        <w:spacing w:before="120"/>
        <w:rPr>
          <w:noProof/>
        </w:rPr>
      </w:pPr>
      <w:r w:rsidRPr="00C91077">
        <w:rPr>
          <w:noProof/>
        </w:rPr>
        <w:t>Toto nařízení je závazné v celém rozsahu a přímo použitelné ve všech členských státech.</w:t>
      </w:r>
    </w:p>
    <w:p w:rsidR="001810D2" w:rsidRPr="00C91077" w:rsidRDefault="00AD3AFB" w:rsidP="00D65D44">
      <w:pPr>
        <w:pStyle w:val="Fait"/>
        <w:rPr>
          <w:noProof/>
        </w:rPr>
      </w:pPr>
      <w:r>
        <w:rPr>
          <w:noProof/>
        </w:rPr>
        <w:t>V Bruselu dne 11.3.2024</w:t>
      </w:r>
    </w:p>
    <w:p w:rsidR="001810D2" w:rsidRPr="00C91077" w:rsidRDefault="001810D2" w:rsidP="00D65D44">
      <w:pPr>
        <w:pStyle w:val="Institutionquisigne"/>
        <w:rPr>
          <w:noProof/>
        </w:rPr>
      </w:pPr>
      <w:r w:rsidRPr="00C91077">
        <w:rPr>
          <w:noProof/>
        </w:rPr>
        <w:tab/>
        <w:t>Za Komisi</w:t>
      </w:r>
    </w:p>
    <w:bookmarkEnd w:id="0"/>
    <w:bookmarkEnd w:id="1"/>
    <w:p w:rsidR="001810D2" w:rsidRPr="00C91077" w:rsidRDefault="00CD57B1" w:rsidP="001810D2">
      <w:pPr>
        <w:pStyle w:val="Personnequisigne"/>
        <w:rPr>
          <w:noProof/>
        </w:rPr>
      </w:pPr>
      <w:r>
        <w:rPr>
          <w:noProof/>
        </w:rPr>
        <w:tab/>
        <w:t>předsedkyně</w:t>
      </w:r>
      <w:r>
        <w:rPr>
          <w:noProof/>
        </w:rPr>
        <w:br/>
      </w:r>
      <w:r>
        <w:rPr>
          <w:noProof/>
        </w:rPr>
        <w:tab/>
        <w:t>Ursula VON DER LEYEN</w:t>
      </w:r>
    </w:p>
    <w:sectPr w:rsidR="001810D2" w:rsidRPr="00C91077" w:rsidSect="004B5DCE">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C21" w:rsidRDefault="00215C21" w:rsidP="001810D2">
      <w:pPr>
        <w:spacing w:before="0" w:after="0"/>
      </w:pPr>
      <w:r>
        <w:separator/>
      </w:r>
    </w:p>
  </w:endnote>
  <w:endnote w:type="continuationSeparator" w:id="0">
    <w:p w:rsidR="00215C21" w:rsidRDefault="00215C21" w:rsidP="001810D2">
      <w:pPr>
        <w:spacing w:before="0" w:after="0"/>
      </w:pPr>
      <w:r>
        <w:continuationSeparator/>
      </w:r>
    </w:p>
  </w:endnote>
  <w:endnote w:type="continuationNotice" w:id="1">
    <w:p w:rsidR="00215C21" w:rsidRDefault="00215C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CE" w:rsidRPr="004B5DCE" w:rsidRDefault="004B5DCE" w:rsidP="004B5DCE">
    <w:pPr>
      <w:pStyle w:val="Footer"/>
      <w:rPr>
        <w:rFonts w:ascii="Arial" w:hAnsi="Arial" w:cs="Arial"/>
        <w:b/>
        <w:sz w:val="48"/>
      </w:rPr>
    </w:pPr>
    <w:r w:rsidRPr="004B5DCE">
      <w:rPr>
        <w:rFonts w:ascii="Arial" w:hAnsi="Arial" w:cs="Arial"/>
        <w:b/>
        <w:sz w:val="48"/>
      </w:rPr>
      <w:t>CS</w:t>
    </w:r>
    <w:r w:rsidRPr="004B5DCE">
      <w:rPr>
        <w:rFonts w:ascii="Arial" w:hAnsi="Arial" w:cs="Arial"/>
        <w:b/>
        <w:sz w:val="48"/>
      </w:rPr>
      <w:tab/>
    </w:r>
    <w:r w:rsidRPr="004B5DCE">
      <w:rPr>
        <w:rFonts w:ascii="Arial" w:hAnsi="Arial" w:cs="Arial"/>
        <w:b/>
        <w:sz w:val="48"/>
      </w:rPr>
      <w:tab/>
    </w:r>
    <w:r w:rsidRPr="004B5DCE">
      <w:tab/>
    </w:r>
    <w:r w:rsidRPr="004B5DCE">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CE" w:rsidRPr="004B5DCE" w:rsidRDefault="004B5DCE" w:rsidP="004B5DCE">
    <w:pPr>
      <w:pStyle w:val="Footer"/>
      <w:rPr>
        <w:rFonts w:ascii="Arial" w:hAnsi="Arial" w:cs="Arial"/>
        <w:b/>
        <w:sz w:val="48"/>
      </w:rPr>
    </w:pPr>
    <w:r w:rsidRPr="004B5DCE">
      <w:rPr>
        <w:rFonts w:ascii="Arial" w:hAnsi="Arial" w:cs="Arial"/>
        <w:b/>
        <w:sz w:val="48"/>
      </w:rPr>
      <w:t>CS</w:t>
    </w:r>
    <w:r w:rsidRPr="004B5DCE">
      <w:rPr>
        <w:rFonts w:ascii="Arial" w:hAnsi="Arial" w:cs="Arial"/>
        <w:b/>
        <w:sz w:val="48"/>
      </w:rPr>
      <w:tab/>
    </w:r>
    <w:r w:rsidRPr="004B5DCE">
      <w:rPr>
        <w:rFonts w:ascii="Arial" w:hAnsi="Arial" w:cs="Arial"/>
        <w:b/>
        <w:sz w:val="48"/>
      </w:rPr>
      <w:tab/>
    </w:r>
    <w:r w:rsidRPr="004B5DCE">
      <w:tab/>
    </w:r>
    <w:r w:rsidRPr="004B5DCE">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CE" w:rsidRDefault="004B5D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CE" w:rsidRPr="004B5DCE" w:rsidRDefault="004B5DCE" w:rsidP="004B5DCE">
    <w:pPr>
      <w:pStyle w:val="Footer"/>
      <w:rPr>
        <w:rFonts w:ascii="Arial" w:hAnsi="Arial" w:cs="Arial"/>
        <w:b/>
        <w:sz w:val="48"/>
      </w:rPr>
    </w:pPr>
    <w:r w:rsidRPr="004B5DCE">
      <w:rPr>
        <w:rFonts w:ascii="Arial" w:hAnsi="Arial" w:cs="Arial"/>
        <w:b/>
        <w:sz w:val="48"/>
      </w:rPr>
      <w:t>CS</w:t>
    </w:r>
    <w:r w:rsidRPr="004B5DCE">
      <w:rPr>
        <w:rFonts w:ascii="Arial" w:hAnsi="Arial" w:cs="Arial"/>
        <w:b/>
        <w:sz w:val="48"/>
      </w:rPr>
      <w:tab/>
    </w:r>
    <w:r>
      <w:fldChar w:fldCharType="begin"/>
    </w:r>
    <w:r>
      <w:instrText xml:space="preserve"> PAGE  \* MERGEFORMAT </w:instrText>
    </w:r>
    <w:r>
      <w:fldChar w:fldCharType="separate"/>
    </w:r>
    <w:r w:rsidR="00D65D44">
      <w:rPr>
        <w:noProof/>
      </w:rPr>
      <w:t>7</w:t>
    </w:r>
    <w:r>
      <w:fldChar w:fldCharType="end"/>
    </w:r>
    <w:r>
      <w:tab/>
    </w:r>
    <w:r w:rsidRPr="004B5DCE">
      <w:tab/>
    </w:r>
    <w:r w:rsidRPr="004B5DCE">
      <w:rPr>
        <w:rFonts w:ascii="Arial" w:hAnsi="Arial" w:cs="Arial"/>
        <w:b/>
        <w:sz w:val="48"/>
      </w:rPr>
      <w:t>CS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CE" w:rsidRDefault="004B5DCE" w:rsidP="004B5D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C21" w:rsidRDefault="00215C21" w:rsidP="001810D2">
      <w:pPr>
        <w:spacing w:before="0" w:after="0"/>
      </w:pPr>
      <w:r>
        <w:separator/>
      </w:r>
    </w:p>
  </w:footnote>
  <w:footnote w:type="continuationSeparator" w:id="0">
    <w:p w:rsidR="00215C21" w:rsidRDefault="00215C21" w:rsidP="001810D2">
      <w:pPr>
        <w:spacing w:before="0" w:after="0"/>
      </w:pPr>
      <w:r>
        <w:continuationSeparator/>
      </w:r>
    </w:p>
  </w:footnote>
  <w:footnote w:type="continuationNotice" w:id="1">
    <w:p w:rsidR="00215C21" w:rsidRDefault="00215C21">
      <w:pPr>
        <w:spacing w:before="0" w:after="0"/>
      </w:pPr>
    </w:p>
  </w:footnote>
  <w:footnote w:id="2">
    <w:p w:rsidR="00794EEA" w:rsidRPr="008849ED" w:rsidRDefault="00794EEA" w:rsidP="00794EEA">
      <w:pPr>
        <w:pStyle w:val="FootnoteText"/>
      </w:pPr>
      <w:r>
        <w:rPr>
          <w:rStyle w:val="FootnoteReference"/>
        </w:rPr>
        <w:footnoteRef/>
      </w:r>
      <w:r>
        <w:tab/>
        <w:t>Nařízení Komise v přenesené pravomoci (EU) č. 272/2012 ze dne 7. února 2012, kterým se doplňuje nařízení Evropského parlamentu a Rady (ES) č. 1060/2009 s ohledem na poplatky účtované Evropským orgánem pro cenné papíry a trhy ratingovým agenturám (Úř. věst. L 90, 28.3.2012, s. 6).</w:t>
      </w:r>
    </w:p>
    <w:p w:rsidR="00794EEA" w:rsidRPr="008849ED" w:rsidRDefault="00794EEA" w:rsidP="00794EEA">
      <w:pPr>
        <w:pStyle w:val="FootnoteText"/>
        <w:ind w:firstLine="0"/>
      </w:pPr>
      <w:r>
        <w:t>Nařízení Komise v přenesené pravomoci (EU) č. 1003/2013 ze dne 12. července 2013, kterým se doplňuje nařízení Evropského parlamentu a Rady (EU) č. 648/2012, pokud jde o poplatky účtované Evropským orgánem pro cenné papíry a trhy registrům obchodních údajů (Úř. věst. L 279, 19.10.2013, s. 4).</w:t>
      </w:r>
    </w:p>
    <w:p w:rsidR="00794EEA" w:rsidRPr="008849ED" w:rsidRDefault="00794EEA" w:rsidP="00794EEA">
      <w:pPr>
        <w:pStyle w:val="FootnoteText"/>
        <w:ind w:firstLine="0"/>
      </w:pPr>
      <w:r>
        <w:t>Nařízení Komise v přenesené pravomoci (EU) 2019/360 ze dne 13. prosince 2018, kterým se doplňuje nařízení Evropského parlamentu a Rady (EU) 2015/2365, pokud jde o poplatky účtované Evropským orgánem pro cenné papíry a trhy registrům obchodních údajů (Úř. věst. L 81, 22.3.2019, s. 58).</w:t>
      </w:r>
    </w:p>
    <w:p w:rsidR="00794EEA" w:rsidRPr="008849ED" w:rsidRDefault="00794EEA" w:rsidP="00794EEA">
      <w:pPr>
        <w:pStyle w:val="FootnoteText"/>
        <w:ind w:firstLine="0"/>
      </w:pPr>
      <w:r>
        <w:t>Nařízení Komise v přenesené pravomoci (EU) 2020/1732 ze dne 18. září 2020, kterým se doplňuje nařízení Evropského parlamentu a Rady (EU) 2017/2402, pokud jde o poplatky účtované Evropským orgánem pro cenné papíry a trhy registrům sekuritizací (Úř. věst. L 390, 20.11.2020, s. 1).</w:t>
      </w:r>
    </w:p>
    <w:p w:rsidR="00794EEA" w:rsidRDefault="00794EEA" w:rsidP="00794EEA">
      <w:pPr>
        <w:pStyle w:val="FootnoteText"/>
        <w:ind w:firstLine="0"/>
      </w:pPr>
      <w:r>
        <w:t>Nařízení Komise v přenesené pravomoci (EU) 2022/805 ze dne 16. února 2022, kterým se doplňuje nařízení Evropského parlamentu a Rady (EU) 2016/1011 a upřesňují poplatky, které se vztahují na dohled Evropského orgánu pro cenné papíry a trhy nad některými administrátory referenčních hodnot (Úř. věst. L 145, 24.5.2022, s. 14).</w:t>
      </w:r>
    </w:p>
    <w:p w:rsidR="00794EEA" w:rsidRDefault="00794EEA" w:rsidP="00794EEA">
      <w:pPr>
        <w:pStyle w:val="FootnoteText"/>
        <w:ind w:firstLine="0"/>
      </w:pPr>
      <w:r>
        <w:t>Nařízení Komise v přenesené pravomoci (EU) 2020/1302 ze dne 14. července 2020, kterým se doplňuje nařízení Evropského parlamentu a Rady (EU) č. 648/2012, pokud jde o poplatky účtované Evropským orgánem pro cenné papíry a trhy ústředním protistranám usazeným v třetích zemích (Úř. věst. L 305, 21.9.2020, s. 1).</w:t>
      </w:r>
    </w:p>
    <w:p w:rsidR="00794EEA" w:rsidRPr="00794EEA" w:rsidRDefault="00794EEA" w:rsidP="00794EEA">
      <w:pPr>
        <w:pStyle w:val="FootnoteText"/>
        <w:ind w:firstLine="0"/>
      </w:pPr>
      <w:r>
        <w:t>Nařízení Komise v přenesené pravomoci (EU) 2022/930 ze dne 10. března 2022, kterým se doplňuje nařízení Evropského parlamentu a Rady (EU) č. 600/2014 upřesněním poplatků souvisejících s dohledem Evropského orgánu pro cenné papíry a trhy nad poskytovateli služeb hlášení údajů (Úř. věst. L 162, 17.6.2022, s. 1).</w:t>
      </w:r>
    </w:p>
  </w:footnote>
  <w:footnote w:id="3">
    <w:p w:rsidR="009B7839" w:rsidRPr="00BC568D" w:rsidRDefault="009B7839" w:rsidP="009B7839">
      <w:pPr>
        <w:pStyle w:val="FootnoteText"/>
      </w:pPr>
      <w:r>
        <w:rPr>
          <w:rStyle w:val="FootnoteReference"/>
        </w:rPr>
        <w:footnoteRef/>
      </w:r>
      <w:r>
        <w:tab/>
        <w:t xml:space="preserve">Evropský účetní dvůr, </w:t>
      </w:r>
      <w:r>
        <w:rPr>
          <w:i/>
          <w:iCs/>
        </w:rPr>
        <w:t>2018 audit of EU agencies in brief – Introducing the European Court of Auditors' 2018 annual report on EU agencies</w:t>
      </w:r>
      <w:r>
        <w:t xml:space="preserve"> (Stručný přehled auditu agentur EU za rok 2018 – Představení výroční zprávy Evropského účetního dvora o agenturách EU), Úřad pro publikace Evropské unie, 2019, https://data.europa.eu/doi/10.2865/74246.</w:t>
      </w:r>
    </w:p>
  </w:footnote>
  <w:footnote w:id="4">
    <w:p w:rsidR="00794EEA" w:rsidRPr="00794EEA" w:rsidRDefault="00794EEA">
      <w:pPr>
        <w:pStyle w:val="FootnoteText"/>
      </w:pPr>
      <w:r>
        <w:rPr>
          <w:rStyle w:val="FootnoteReference"/>
        </w:rPr>
        <w:footnoteRef/>
      </w:r>
      <w:r>
        <w:tab/>
        <w:t xml:space="preserve">Technical Advice on Fees Charged to CRAs by ESMA (Technické doporučení ohledně poplatků účtovaných orgánem ESMA ratingovým agenturám), 21. června 2021 | ESMA80-196-5170, </w:t>
      </w:r>
      <w:hyperlink r:id="rId1" w:history="1">
        <w:r>
          <w:rPr>
            <w:rStyle w:val="Hyperlink"/>
          </w:rPr>
          <w:t>https://www.esma.europa.eu/sites/default/files/library/esma80-196-5170_final_report_technical_advice_on_fees_charged_to_cras_by_esma_0.pdf</w:t>
        </w:r>
      </w:hyperlink>
    </w:p>
  </w:footnote>
  <w:footnote w:id="5">
    <w:p w:rsidR="005E2DF8" w:rsidRPr="00571BD8" w:rsidRDefault="005E2DF8" w:rsidP="005E2DF8">
      <w:pPr>
        <w:pStyle w:val="FootnoteText"/>
      </w:pPr>
      <w:r>
        <w:rPr>
          <w:rStyle w:val="FootnoteReference"/>
        </w:rPr>
        <w:footnoteRef/>
      </w:r>
      <w:r>
        <w:tab/>
        <w:t>Technical advice to EC on simplification and harmonisation of fees to TRs under EMIR and SFTR (Technické doporučení Evropské komisi ohledně zjednodušení a harmonizace poplatků účtovaných registrům obchodních údajů podle nařízení EMIR a SFTR), 8. července 2021| ESMA74-362-1978,</w:t>
      </w:r>
    </w:p>
    <w:p w:rsidR="005E2DF8" w:rsidRPr="00571BD8" w:rsidRDefault="005E2DF8" w:rsidP="005E2DF8">
      <w:pPr>
        <w:pStyle w:val="FootnoteText"/>
      </w:pPr>
      <w:r>
        <w:tab/>
        <w:t>https://www.esma.europa.eu/sites/default/files/library/esma74-362-1978_final_report_technical_advice_on_simplification_tr_fees_under_sftr_and_emir.pdf</w:t>
      </w:r>
    </w:p>
  </w:footnote>
  <w:footnote w:id="6">
    <w:p w:rsidR="00C278D6" w:rsidRPr="00537C26" w:rsidRDefault="00C278D6" w:rsidP="00C278D6">
      <w:pPr>
        <w:pStyle w:val="FootnoteText"/>
      </w:pPr>
      <w:r>
        <w:rPr>
          <w:rStyle w:val="FootnoteReference"/>
        </w:rPr>
        <w:footnoteRef/>
      </w:r>
      <w:r>
        <w:tab/>
        <w:t>Nařízení Komise v přenesené pravomoci (EU) 2020/1302.</w:t>
      </w:r>
    </w:p>
  </w:footnote>
  <w:footnote w:id="7">
    <w:p w:rsidR="00C278D6" w:rsidRPr="00537C26" w:rsidRDefault="00C278D6" w:rsidP="00C278D6">
      <w:pPr>
        <w:pStyle w:val="FootnoteText"/>
      </w:pPr>
      <w:r>
        <w:rPr>
          <w:rStyle w:val="FootnoteReference"/>
        </w:rPr>
        <w:footnoteRef/>
      </w:r>
      <w:r>
        <w:tab/>
        <w:t>Nařízení Komise v přenesené pravomoci (EU) 2022/930.</w:t>
      </w:r>
    </w:p>
  </w:footnote>
  <w:footnote w:id="8">
    <w:p w:rsidR="001810D2" w:rsidRPr="003F48C9" w:rsidRDefault="001810D2" w:rsidP="007E6923">
      <w:pPr>
        <w:pStyle w:val="FootnoteText"/>
      </w:pPr>
      <w:r>
        <w:rPr>
          <w:rStyle w:val="FootnoteReference"/>
        </w:rPr>
        <w:footnoteRef/>
      </w:r>
      <w:r>
        <w:tab/>
      </w:r>
      <w:r>
        <w:rPr>
          <w:rStyle w:val="FootnoteTextChar"/>
        </w:rPr>
        <w:t>Úř. věst. L 171, 29.6.2016, s. 1, ELI: http://data.europa.eu/eli/reg/2016/1011/oj.</w:t>
      </w:r>
      <w:r>
        <w:t xml:space="preserve"> </w:t>
      </w:r>
    </w:p>
  </w:footnote>
  <w:footnote w:id="9">
    <w:p w:rsidR="007E6923" w:rsidRPr="00892A57" w:rsidRDefault="007E6923">
      <w:pPr>
        <w:pStyle w:val="FootnoteText"/>
      </w:pPr>
      <w:r>
        <w:rPr>
          <w:rStyle w:val="FootnoteReference"/>
        </w:rPr>
        <w:footnoteRef/>
      </w:r>
      <w:r>
        <w:tab/>
        <w:t>Nařízení Komise v přenesené pravomoci (EU) 2022/805 ze dne 16. února 2022, kterým se doplňuje nařízení Evropského parlamentu a Rady (EU) 2016/1011 a upřesňují poplatky, které se vztahují na dohled Evropského orgánu pro cenné papíry a trhy nad některými administrátory referenčních hodnot (Úř. věst. L 145, 24.5.2022, s. 14, ELI: http://data.europa.eu/eli/reg_del/2022/805/oj).</w:t>
      </w:r>
    </w:p>
  </w:footnote>
  <w:footnote w:id="10">
    <w:p w:rsidR="007E6923" w:rsidRPr="00892A57" w:rsidRDefault="007E6923">
      <w:pPr>
        <w:pStyle w:val="FootnoteText"/>
      </w:pPr>
      <w:r>
        <w:rPr>
          <w:rStyle w:val="FootnoteReference"/>
        </w:rPr>
        <w:footnoteRef/>
      </w:r>
      <w:r>
        <w:tab/>
        <w:t>Viz Účetní dvůr, Výroční zpráva o agenturách EU za rozpočtový rok 2018 (Úř. věst. C 417, 11.12.2019, s. 1), s. 29 a 85.</w:t>
      </w:r>
    </w:p>
  </w:footnote>
  <w:footnote w:id="11">
    <w:p w:rsidR="006624D3" w:rsidRPr="00D97D80" w:rsidRDefault="006624D3" w:rsidP="006624D3">
      <w:pPr>
        <w:pStyle w:val="FootnoteText"/>
      </w:pPr>
      <w:r>
        <w:rPr>
          <w:rStyle w:val="FootnoteReference"/>
        </w:rPr>
        <w:footnoteRef/>
      </w:r>
      <w:r>
        <w:tab/>
        <w:t>Nařízení Komise v přenesené pravomoci (EU) 2019/715 ze dne 18. prosince 2018 o rámcovém finančním nařízení pro subjekty zřízené podle SFEU a Smlouvy o Euratomu a uvedené v článku 70 nařízení Evropského parlamentu a Rady (EU, Euratom) 2018/1046 (Úř. věst. L 122, 10.5.2019, s. 1, ELI: http://data.europa.eu/eli/reg_del/2019/715/oj).</w:t>
      </w:r>
    </w:p>
  </w:footnote>
  <w:footnote w:id="12">
    <w:p w:rsidR="007E6923" w:rsidRPr="00940A6F" w:rsidRDefault="007E6923" w:rsidP="007E6923">
      <w:pPr>
        <w:pStyle w:val="FootnoteText"/>
      </w:pPr>
      <w:r>
        <w:rPr>
          <w:rStyle w:val="FootnoteReference"/>
        </w:rPr>
        <w:footnoteRef/>
      </w:r>
      <w:r>
        <w:tab/>
        <w:t>Nařízení Evropského parlamentu a Rady (EU, Euratom) 2018/1046 ze dne 18. července 2018, kterým se stanoví finanční pravidla pro souhrnný rozpočet Unie, mění nařízení (EU) č. 1296/2013, (EU) č. 1301/2013, (EU) č. 1303/2013, (EU) č. 1304/2013, (EU) č. 1309/2013, (EU) č. 1316/2013, (EU) č. 223/2014 a (EU) č. 283/2014 a rozhodnutí č. 541/2014/EU a zrušuje nařízení (EU, Euratom) č. 966/2012 (Úř. věst. L 193, 30.7.2018, s. 1, ELI: http://data.europa.eu/eli/reg/2018/1046/oj).</w:t>
      </w:r>
    </w:p>
    <w:p w:rsidR="007E6923" w:rsidRPr="00CB7EC8" w:rsidRDefault="007E6923">
      <w:pPr>
        <w:pStyle w:val="FootnoteText"/>
        <w:rPr>
          <w:lang w:val="de-A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CE" w:rsidRDefault="004B5D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DCE" w:rsidRDefault="004B5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0204FC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7F6AF5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3AA632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E4679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4-03-04 09:15:58"/>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8773F64-98FD-49F0-BCE0-2238CB314BD4"/>
    <w:docVar w:name="LW_COVERPAGE_TYPE" w:val="1"/>
    <w:docVar w:name="LW_CROSSREFERENCE" w:val="&lt;UNUSED&gt;"/>
    <w:docVar w:name="LW_DATE.ADOPT.CP" w:val="ze dne 11.3.2024,"/>
    <w:docVar w:name="LW_DATE.ADOPT.CP_DATEFORMAT" w:val="ze dne %DATE%,"/>
    <w:docVar w:name="LW_DATE.ADOPT.CP_ISODATE" w:val="2024-03-11"/>
    <w:docVar w:name="LW_DocType" w:val="COM"/>
    <w:docVar w:name="LW_EMISSION" w:val="11.3.2024"/>
    <w:docVar w:name="LW_EMISSION_ISODATE" w:val="2024-03-11"/>
    <w:docVar w:name="LW_EMISSION_LOCATION" w:val="BRX"/>
    <w:docVar w:name="LW_EMISSION_PREFIX" w:val="V Bruselu dne "/>
    <w:docVar w:name="LW_EMISSION_SUFFIX" w:val=" "/>
    <w:docVar w:name="LW_ID_DOCMODEL" w:val="SJ-003"/>
    <w:docVar w:name="LW_ID_DOCSIGNATURE" w:val="SJ-003"/>
    <w:docVar w:name="LW_ID_DOCSTRUCTURE" w:val="COM/AA"/>
    <w:docVar w:name="LW_ID_DOCTYPE" w:val="SJ-003"/>
    <w:docVar w:name="LW_INSERT_EXP.MOTIFS.NEW" w:val="1"/>
    <w:docVar w:name="LW_INTERETEEE.CP" w:val="(Text s významem pro EHP)"/>
    <w:docVar w:name="LW_LANGUE" w:val="CS"/>
    <w:docVar w:name="LW_LANGUESFAISANTFOI.CP" w:val="&lt;UNUSED&gt;"/>
    <w:docVar w:name="LW_LEVEL_OF_SENSITIVITY" w:val="Standard treatment"/>
    <w:docVar w:name="LW_NOM.INST" w:val="EVROPSKÁ KOMISE"/>
    <w:docVar w:name="LW_NOM.INST_JOINTDOC" w:val="&lt;EMPTY&gt;"/>
    <w:docVar w:name="LW_PART_NBR" w:val="1"/>
    <w:docVar w:name="LW_PART_NBR_TOTAL" w:val="1"/>
    <w:docVar w:name="LW_REF.INST.NEW" w:val="C"/>
    <w:docVar w:name="LW_REF.INST.NEW_ADOPTED" w:val="final"/>
    <w:docVar w:name="LW_REF.INST.NEW_TEXT" w:val="(2024) 142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terým se m\u283?ní na\u345?ízení v p\u345?enesené pravomoci (EU) 2022/805, pokud jde o harmonizaci n\u283?kterých aspekt\u367? poplatk\u367? ú\u269?tovaných Evropským orgánem pro cenné papíry a trhy n\u283?kterým administrátor\u367?m referen\u269?ních hodnot"/>
    <w:docVar w:name="LW_TYPE.DOC.CP" w:val="NA\u344?ÍZENÍ KOMISE V P\u344?ENESENÉ PRAVOMOCI (EU) \u8230?/..."/>
    <w:docVar w:name="LwApiVersions" w:val="LW4CoDe 1.24.5.0; LW 9.0, Build 20240221"/>
  </w:docVars>
  <w:rsids>
    <w:rsidRoot w:val="001810D2"/>
    <w:rsid w:val="00005819"/>
    <w:rsid w:val="00006343"/>
    <w:rsid w:val="00021BB7"/>
    <w:rsid w:val="000246AB"/>
    <w:rsid w:val="00037E3A"/>
    <w:rsid w:val="00040DD8"/>
    <w:rsid w:val="0004428F"/>
    <w:rsid w:val="00053553"/>
    <w:rsid w:val="00056D18"/>
    <w:rsid w:val="00071FE6"/>
    <w:rsid w:val="0008418D"/>
    <w:rsid w:val="00085207"/>
    <w:rsid w:val="00091F21"/>
    <w:rsid w:val="000A4FB1"/>
    <w:rsid w:val="000B2979"/>
    <w:rsid w:val="000D1C1C"/>
    <w:rsid w:val="000D4BD6"/>
    <w:rsid w:val="000E7B55"/>
    <w:rsid w:val="001025B9"/>
    <w:rsid w:val="00103E9C"/>
    <w:rsid w:val="00104AF6"/>
    <w:rsid w:val="001065F5"/>
    <w:rsid w:val="0011163A"/>
    <w:rsid w:val="001238EF"/>
    <w:rsid w:val="001246B5"/>
    <w:rsid w:val="0013185A"/>
    <w:rsid w:val="00133C06"/>
    <w:rsid w:val="00160048"/>
    <w:rsid w:val="00176756"/>
    <w:rsid w:val="001810D2"/>
    <w:rsid w:val="00190C1A"/>
    <w:rsid w:val="00196829"/>
    <w:rsid w:val="00197613"/>
    <w:rsid w:val="001B06D0"/>
    <w:rsid w:val="001C2CA4"/>
    <w:rsid w:val="001E16E0"/>
    <w:rsid w:val="001F5FF6"/>
    <w:rsid w:val="001F675B"/>
    <w:rsid w:val="00215C21"/>
    <w:rsid w:val="00225B99"/>
    <w:rsid w:val="00231C7D"/>
    <w:rsid w:val="00233BAB"/>
    <w:rsid w:val="00233DC7"/>
    <w:rsid w:val="00240134"/>
    <w:rsid w:val="002406E8"/>
    <w:rsid w:val="00245DD5"/>
    <w:rsid w:val="002466E3"/>
    <w:rsid w:val="0024681B"/>
    <w:rsid w:val="00247779"/>
    <w:rsid w:val="0028107E"/>
    <w:rsid w:val="002847DE"/>
    <w:rsid w:val="002859B3"/>
    <w:rsid w:val="00285BEE"/>
    <w:rsid w:val="0029378B"/>
    <w:rsid w:val="0029533F"/>
    <w:rsid w:val="00295DC2"/>
    <w:rsid w:val="002A1CB2"/>
    <w:rsid w:val="002A319A"/>
    <w:rsid w:val="002B30AF"/>
    <w:rsid w:val="002E36F1"/>
    <w:rsid w:val="002E63F2"/>
    <w:rsid w:val="002F665D"/>
    <w:rsid w:val="0031356A"/>
    <w:rsid w:val="00316F2E"/>
    <w:rsid w:val="0032481F"/>
    <w:rsid w:val="0033322E"/>
    <w:rsid w:val="0033344A"/>
    <w:rsid w:val="0033663F"/>
    <w:rsid w:val="00360560"/>
    <w:rsid w:val="003720FB"/>
    <w:rsid w:val="00376679"/>
    <w:rsid w:val="0038103E"/>
    <w:rsid w:val="00382297"/>
    <w:rsid w:val="003870F9"/>
    <w:rsid w:val="00393020"/>
    <w:rsid w:val="003D45DA"/>
    <w:rsid w:val="003E4959"/>
    <w:rsid w:val="003E626B"/>
    <w:rsid w:val="003F48C9"/>
    <w:rsid w:val="00411DAB"/>
    <w:rsid w:val="00412142"/>
    <w:rsid w:val="00416F53"/>
    <w:rsid w:val="00422BBE"/>
    <w:rsid w:val="0042648E"/>
    <w:rsid w:val="00445B5F"/>
    <w:rsid w:val="0044632C"/>
    <w:rsid w:val="0045101C"/>
    <w:rsid w:val="00465A15"/>
    <w:rsid w:val="00466A12"/>
    <w:rsid w:val="00471112"/>
    <w:rsid w:val="0047630E"/>
    <w:rsid w:val="00486E02"/>
    <w:rsid w:val="004936D2"/>
    <w:rsid w:val="004A469C"/>
    <w:rsid w:val="004A54D1"/>
    <w:rsid w:val="004B25F2"/>
    <w:rsid w:val="004B5DCE"/>
    <w:rsid w:val="004C2439"/>
    <w:rsid w:val="004C6981"/>
    <w:rsid w:val="004D02A4"/>
    <w:rsid w:val="004E338E"/>
    <w:rsid w:val="004E44FE"/>
    <w:rsid w:val="004F163D"/>
    <w:rsid w:val="00502E26"/>
    <w:rsid w:val="00504F0E"/>
    <w:rsid w:val="00510211"/>
    <w:rsid w:val="005375D6"/>
    <w:rsid w:val="00541E52"/>
    <w:rsid w:val="0055499B"/>
    <w:rsid w:val="005552E6"/>
    <w:rsid w:val="00560D77"/>
    <w:rsid w:val="00571BD8"/>
    <w:rsid w:val="00584E72"/>
    <w:rsid w:val="005871CD"/>
    <w:rsid w:val="00590CCD"/>
    <w:rsid w:val="0059318C"/>
    <w:rsid w:val="005B1EB6"/>
    <w:rsid w:val="005D1C8C"/>
    <w:rsid w:val="005D1CF8"/>
    <w:rsid w:val="005D7D47"/>
    <w:rsid w:val="005E16AE"/>
    <w:rsid w:val="005E2DF8"/>
    <w:rsid w:val="005E57C7"/>
    <w:rsid w:val="005F09E9"/>
    <w:rsid w:val="0060276A"/>
    <w:rsid w:val="00640034"/>
    <w:rsid w:val="00651095"/>
    <w:rsid w:val="006624D3"/>
    <w:rsid w:val="006734CD"/>
    <w:rsid w:val="00677985"/>
    <w:rsid w:val="00686720"/>
    <w:rsid w:val="00687754"/>
    <w:rsid w:val="00693FD6"/>
    <w:rsid w:val="006950D8"/>
    <w:rsid w:val="006957E1"/>
    <w:rsid w:val="006A42F7"/>
    <w:rsid w:val="006B24DE"/>
    <w:rsid w:val="006B6760"/>
    <w:rsid w:val="006D5DA3"/>
    <w:rsid w:val="006F7810"/>
    <w:rsid w:val="00705694"/>
    <w:rsid w:val="00710177"/>
    <w:rsid w:val="00727D44"/>
    <w:rsid w:val="00730378"/>
    <w:rsid w:val="007343E9"/>
    <w:rsid w:val="00751C3A"/>
    <w:rsid w:val="007547AE"/>
    <w:rsid w:val="0076025D"/>
    <w:rsid w:val="00760704"/>
    <w:rsid w:val="007634DD"/>
    <w:rsid w:val="00773331"/>
    <w:rsid w:val="0077350D"/>
    <w:rsid w:val="007763EE"/>
    <w:rsid w:val="00787D22"/>
    <w:rsid w:val="00791F27"/>
    <w:rsid w:val="007932EF"/>
    <w:rsid w:val="00794EEA"/>
    <w:rsid w:val="0079544E"/>
    <w:rsid w:val="007A1802"/>
    <w:rsid w:val="007B4878"/>
    <w:rsid w:val="007E0209"/>
    <w:rsid w:val="007E04EA"/>
    <w:rsid w:val="007E05B0"/>
    <w:rsid w:val="007E6923"/>
    <w:rsid w:val="007F246A"/>
    <w:rsid w:val="007F6BDE"/>
    <w:rsid w:val="008036F7"/>
    <w:rsid w:val="008064EA"/>
    <w:rsid w:val="008067B0"/>
    <w:rsid w:val="00830E6F"/>
    <w:rsid w:val="0083367D"/>
    <w:rsid w:val="00833FB7"/>
    <w:rsid w:val="00841D13"/>
    <w:rsid w:val="00844720"/>
    <w:rsid w:val="00854A05"/>
    <w:rsid w:val="00856AB7"/>
    <w:rsid w:val="008621E2"/>
    <w:rsid w:val="008659EC"/>
    <w:rsid w:val="008671C6"/>
    <w:rsid w:val="008729CC"/>
    <w:rsid w:val="00874D22"/>
    <w:rsid w:val="00892A57"/>
    <w:rsid w:val="008A2914"/>
    <w:rsid w:val="008B4FB5"/>
    <w:rsid w:val="008C4D13"/>
    <w:rsid w:val="008C52AA"/>
    <w:rsid w:val="008D138B"/>
    <w:rsid w:val="008D4B57"/>
    <w:rsid w:val="008E2ABA"/>
    <w:rsid w:val="008E4D8E"/>
    <w:rsid w:val="008F6B78"/>
    <w:rsid w:val="00902C92"/>
    <w:rsid w:val="00905F26"/>
    <w:rsid w:val="009178A9"/>
    <w:rsid w:val="009232A5"/>
    <w:rsid w:val="00932273"/>
    <w:rsid w:val="009379BD"/>
    <w:rsid w:val="009455D7"/>
    <w:rsid w:val="00945FFD"/>
    <w:rsid w:val="00950250"/>
    <w:rsid w:val="00961531"/>
    <w:rsid w:val="0097623F"/>
    <w:rsid w:val="009833A1"/>
    <w:rsid w:val="009920C5"/>
    <w:rsid w:val="009A1E64"/>
    <w:rsid w:val="009A7081"/>
    <w:rsid w:val="009B02CE"/>
    <w:rsid w:val="009B5653"/>
    <w:rsid w:val="009B6032"/>
    <w:rsid w:val="009B7839"/>
    <w:rsid w:val="009D0DE1"/>
    <w:rsid w:val="009D3D95"/>
    <w:rsid w:val="009D7183"/>
    <w:rsid w:val="009D7B89"/>
    <w:rsid w:val="009E45E3"/>
    <w:rsid w:val="00A00CF6"/>
    <w:rsid w:val="00A135E3"/>
    <w:rsid w:val="00A36131"/>
    <w:rsid w:val="00A40E7D"/>
    <w:rsid w:val="00A56F73"/>
    <w:rsid w:val="00A66041"/>
    <w:rsid w:val="00A675CB"/>
    <w:rsid w:val="00A71913"/>
    <w:rsid w:val="00A73186"/>
    <w:rsid w:val="00A80CC2"/>
    <w:rsid w:val="00A86D40"/>
    <w:rsid w:val="00A943C8"/>
    <w:rsid w:val="00AB5689"/>
    <w:rsid w:val="00AD3AFB"/>
    <w:rsid w:val="00AF0636"/>
    <w:rsid w:val="00AF4185"/>
    <w:rsid w:val="00B10DBA"/>
    <w:rsid w:val="00B36E1E"/>
    <w:rsid w:val="00B37D0C"/>
    <w:rsid w:val="00B448C5"/>
    <w:rsid w:val="00B474F0"/>
    <w:rsid w:val="00B47A3B"/>
    <w:rsid w:val="00B54D92"/>
    <w:rsid w:val="00B67A55"/>
    <w:rsid w:val="00B75458"/>
    <w:rsid w:val="00B86105"/>
    <w:rsid w:val="00B94291"/>
    <w:rsid w:val="00B958FD"/>
    <w:rsid w:val="00B97189"/>
    <w:rsid w:val="00BA19C7"/>
    <w:rsid w:val="00BB7C03"/>
    <w:rsid w:val="00BC3F3F"/>
    <w:rsid w:val="00BC3F47"/>
    <w:rsid w:val="00BD16A3"/>
    <w:rsid w:val="00BF1B5B"/>
    <w:rsid w:val="00C12301"/>
    <w:rsid w:val="00C13096"/>
    <w:rsid w:val="00C14F3B"/>
    <w:rsid w:val="00C156DB"/>
    <w:rsid w:val="00C252AD"/>
    <w:rsid w:val="00C278D6"/>
    <w:rsid w:val="00C30089"/>
    <w:rsid w:val="00C402E9"/>
    <w:rsid w:val="00C408E4"/>
    <w:rsid w:val="00C47B7E"/>
    <w:rsid w:val="00C55F43"/>
    <w:rsid w:val="00C60D62"/>
    <w:rsid w:val="00C91077"/>
    <w:rsid w:val="00C96069"/>
    <w:rsid w:val="00C96324"/>
    <w:rsid w:val="00C969A2"/>
    <w:rsid w:val="00CA34D8"/>
    <w:rsid w:val="00CA4A0D"/>
    <w:rsid w:val="00CB765F"/>
    <w:rsid w:val="00CB7EC8"/>
    <w:rsid w:val="00CC0F63"/>
    <w:rsid w:val="00CD0013"/>
    <w:rsid w:val="00CD3538"/>
    <w:rsid w:val="00CD57B1"/>
    <w:rsid w:val="00CD7907"/>
    <w:rsid w:val="00CE1535"/>
    <w:rsid w:val="00CE2D4F"/>
    <w:rsid w:val="00CF08BA"/>
    <w:rsid w:val="00CF0EFE"/>
    <w:rsid w:val="00D005F3"/>
    <w:rsid w:val="00D00611"/>
    <w:rsid w:val="00D01678"/>
    <w:rsid w:val="00D15A56"/>
    <w:rsid w:val="00D20381"/>
    <w:rsid w:val="00D228D5"/>
    <w:rsid w:val="00D23E83"/>
    <w:rsid w:val="00D428C0"/>
    <w:rsid w:val="00D448D6"/>
    <w:rsid w:val="00D45F94"/>
    <w:rsid w:val="00D50B53"/>
    <w:rsid w:val="00D60210"/>
    <w:rsid w:val="00D65D44"/>
    <w:rsid w:val="00D74FD6"/>
    <w:rsid w:val="00DA249E"/>
    <w:rsid w:val="00DA7721"/>
    <w:rsid w:val="00DB4230"/>
    <w:rsid w:val="00DD6AA9"/>
    <w:rsid w:val="00DE6ACA"/>
    <w:rsid w:val="00DF002D"/>
    <w:rsid w:val="00E10867"/>
    <w:rsid w:val="00E247F7"/>
    <w:rsid w:val="00E32280"/>
    <w:rsid w:val="00E36847"/>
    <w:rsid w:val="00E40FA2"/>
    <w:rsid w:val="00E4457B"/>
    <w:rsid w:val="00E46595"/>
    <w:rsid w:val="00E47A8B"/>
    <w:rsid w:val="00E55364"/>
    <w:rsid w:val="00E56213"/>
    <w:rsid w:val="00E57171"/>
    <w:rsid w:val="00E61AFF"/>
    <w:rsid w:val="00E642CF"/>
    <w:rsid w:val="00E7035C"/>
    <w:rsid w:val="00E73941"/>
    <w:rsid w:val="00E7495F"/>
    <w:rsid w:val="00E773EA"/>
    <w:rsid w:val="00E92239"/>
    <w:rsid w:val="00E928DB"/>
    <w:rsid w:val="00EA2BE4"/>
    <w:rsid w:val="00EA6DBE"/>
    <w:rsid w:val="00EB2540"/>
    <w:rsid w:val="00EB7704"/>
    <w:rsid w:val="00EC4C58"/>
    <w:rsid w:val="00EC62D4"/>
    <w:rsid w:val="00ED1F63"/>
    <w:rsid w:val="00ED329E"/>
    <w:rsid w:val="00EE2C6A"/>
    <w:rsid w:val="00EF3FA8"/>
    <w:rsid w:val="00EF4E62"/>
    <w:rsid w:val="00F00166"/>
    <w:rsid w:val="00F247EA"/>
    <w:rsid w:val="00F51059"/>
    <w:rsid w:val="00F611BB"/>
    <w:rsid w:val="00F61695"/>
    <w:rsid w:val="00F6479E"/>
    <w:rsid w:val="00F726C1"/>
    <w:rsid w:val="00F83B45"/>
    <w:rsid w:val="00FA614B"/>
    <w:rsid w:val="00FA6F25"/>
    <w:rsid w:val="00FB4731"/>
    <w:rsid w:val="00FC38F8"/>
    <w:rsid w:val="00FD3C81"/>
    <w:rsid w:val="00FF0B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2B472FB-3D7A-4A3C-96E0-09E38363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D4BD6"/>
    <w:pPr>
      <w:spacing w:before="0" w:after="0"/>
      <w:jc w:val="left"/>
    </w:pPr>
    <w:rPr>
      <w:rFonts w:ascii="Calibri" w:hAnsi="Calibri" w:cs="Calibri"/>
      <w:sz w:val="20"/>
      <w:szCs w:val="20"/>
    </w:rPr>
  </w:style>
  <w:style w:type="character" w:customStyle="1" w:styleId="CommentTextChar">
    <w:name w:val="Comment Text Char"/>
    <w:basedOn w:val="DefaultParagraphFont"/>
    <w:link w:val="CommentText"/>
    <w:uiPriority w:val="99"/>
    <w:rsid w:val="000D4BD6"/>
    <w:rPr>
      <w:rFonts w:ascii="Calibri" w:hAnsi="Calibri" w:cs="Calibri"/>
      <w:sz w:val="20"/>
      <w:szCs w:val="20"/>
      <w:lang w:val="cs-CZ"/>
    </w:rPr>
  </w:style>
  <w:style w:type="character" w:styleId="CommentReference">
    <w:name w:val="annotation reference"/>
    <w:basedOn w:val="DefaultParagraphFont"/>
    <w:uiPriority w:val="99"/>
    <w:semiHidden/>
    <w:unhideWhenUsed/>
    <w:rsid w:val="000D4BD6"/>
    <w:rPr>
      <w:sz w:val="16"/>
      <w:szCs w:val="16"/>
    </w:rPr>
  </w:style>
  <w:style w:type="paragraph" w:styleId="ListBullet">
    <w:name w:val="List Bullet"/>
    <w:basedOn w:val="Normal"/>
    <w:uiPriority w:val="99"/>
    <w:semiHidden/>
    <w:unhideWhenUsed/>
    <w:rsid w:val="00C156DB"/>
    <w:pPr>
      <w:numPr>
        <w:numId w:val="1"/>
      </w:numPr>
      <w:contextualSpacing/>
    </w:pPr>
  </w:style>
  <w:style w:type="paragraph" w:styleId="ListBullet2">
    <w:name w:val="List Bullet 2"/>
    <w:basedOn w:val="Normal"/>
    <w:uiPriority w:val="99"/>
    <w:semiHidden/>
    <w:unhideWhenUsed/>
    <w:rsid w:val="00C156DB"/>
    <w:pPr>
      <w:numPr>
        <w:numId w:val="2"/>
      </w:numPr>
      <w:contextualSpacing/>
    </w:pPr>
  </w:style>
  <w:style w:type="paragraph" w:styleId="ListBullet3">
    <w:name w:val="List Bullet 3"/>
    <w:basedOn w:val="Normal"/>
    <w:uiPriority w:val="99"/>
    <w:semiHidden/>
    <w:unhideWhenUsed/>
    <w:rsid w:val="00C156DB"/>
    <w:pPr>
      <w:numPr>
        <w:numId w:val="3"/>
      </w:numPr>
      <w:contextualSpacing/>
    </w:pPr>
  </w:style>
  <w:style w:type="paragraph" w:styleId="ListBullet4">
    <w:name w:val="List Bullet 4"/>
    <w:basedOn w:val="Normal"/>
    <w:uiPriority w:val="99"/>
    <w:semiHidden/>
    <w:unhideWhenUsed/>
    <w:rsid w:val="00C156DB"/>
    <w:pPr>
      <w:numPr>
        <w:numId w:val="4"/>
      </w:numPr>
      <w:contextualSpacing/>
    </w:pPr>
  </w:style>
  <w:style w:type="paragraph" w:customStyle="1" w:styleId="oj-normal">
    <w:name w:val="oj-normal"/>
    <w:basedOn w:val="Normal"/>
    <w:rsid w:val="00DA7721"/>
    <w:pPr>
      <w:spacing w:before="100" w:beforeAutospacing="1" w:after="100" w:afterAutospacing="1"/>
      <w:jc w:val="left"/>
    </w:pPr>
    <w:rPr>
      <w:rFonts w:eastAsia="Times New Roman"/>
      <w:szCs w:val="24"/>
      <w:lang w:eastAsia="en-IE"/>
    </w:rPr>
  </w:style>
  <w:style w:type="paragraph" w:styleId="ListParagraph">
    <w:name w:val="List Paragraph"/>
    <w:basedOn w:val="Normal"/>
    <w:uiPriority w:val="34"/>
    <w:qFormat/>
    <w:rsid w:val="00CF08BA"/>
    <w:pPr>
      <w:ind w:left="720"/>
      <w:contextualSpacing/>
    </w:pPr>
  </w:style>
  <w:style w:type="paragraph" w:styleId="Revision">
    <w:name w:val="Revision"/>
    <w:hidden/>
    <w:uiPriority w:val="99"/>
    <w:semiHidden/>
    <w:rsid w:val="009920C5"/>
    <w:pPr>
      <w:spacing w:after="0" w:line="240" w:lineRule="auto"/>
    </w:pPr>
    <w:rPr>
      <w:rFonts w:ascii="Times New Roman" w:hAnsi="Times New Roman" w:cs="Times New Roman"/>
      <w:sz w:val="24"/>
    </w:rPr>
  </w:style>
  <w:style w:type="character" w:styleId="PlaceholderText">
    <w:name w:val="Placeholder Text"/>
    <w:basedOn w:val="DefaultParagraphFont"/>
    <w:uiPriority w:val="99"/>
    <w:semiHidden/>
    <w:rsid w:val="002466E3"/>
    <w:rPr>
      <w:color w:val="808080"/>
    </w:rPr>
  </w:style>
  <w:style w:type="paragraph" w:styleId="CommentSubject">
    <w:name w:val="annotation subject"/>
    <w:basedOn w:val="CommentText"/>
    <w:next w:val="CommentText"/>
    <w:link w:val="CommentSubjectChar"/>
    <w:uiPriority w:val="99"/>
    <w:semiHidden/>
    <w:unhideWhenUsed/>
    <w:rsid w:val="00F61695"/>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F61695"/>
    <w:rPr>
      <w:rFonts w:ascii="Times New Roman" w:hAnsi="Times New Roman" w:cs="Times New Roman"/>
      <w:b/>
      <w:bCs/>
      <w:sz w:val="20"/>
      <w:szCs w:val="20"/>
      <w:lang w:val="cs-CZ"/>
    </w:rPr>
  </w:style>
  <w:style w:type="character" w:styleId="Hyperlink">
    <w:name w:val="Hyperlink"/>
    <w:basedOn w:val="DefaultParagraphFont"/>
    <w:uiPriority w:val="99"/>
    <w:unhideWhenUsed/>
    <w:rsid w:val="00FA6F25"/>
    <w:rPr>
      <w:color w:val="0000FF" w:themeColor="hyperlink"/>
      <w:u w:val="single"/>
    </w:rPr>
  </w:style>
  <w:style w:type="character" w:customStyle="1" w:styleId="UnresolvedMention">
    <w:name w:val="Unresolved Mention"/>
    <w:basedOn w:val="DefaultParagraphFont"/>
    <w:uiPriority w:val="99"/>
    <w:semiHidden/>
    <w:unhideWhenUsed/>
    <w:rsid w:val="00844720"/>
    <w:rPr>
      <w:color w:val="605E5C"/>
      <w:shd w:val="clear" w:color="auto" w:fill="E1DFDD"/>
    </w:rPr>
  </w:style>
  <w:style w:type="character" w:customStyle="1" w:styleId="num">
    <w:name w:val="num"/>
    <w:basedOn w:val="DefaultParagraphFont"/>
    <w:uiPriority w:val="1"/>
    <w:rsid w:val="00CE2D4F"/>
  </w:style>
  <w:style w:type="character" w:customStyle="1" w:styleId="HeaderChar">
    <w:name w:val="Header Char"/>
    <w:basedOn w:val="DefaultParagraphFont"/>
    <w:link w:val="Header"/>
    <w:uiPriority w:val="99"/>
    <w:rsid w:val="004B5DCE"/>
    <w:rPr>
      <w:rFonts w:ascii="Times New Roman" w:hAnsi="Times New Roman" w:cs="Times New Roman"/>
      <w:sz w:val="24"/>
      <w:lang w:val="cs-CZ"/>
    </w:rPr>
  </w:style>
  <w:style w:type="character" w:customStyle="1" w:styleId="FooterChar">
    <w:name w:val="Footer Char"/>
    <w:basedOn w:val="DefaultParagraphFont"/>
    <w:link w:val="Footer"/>
    <w:uiPriority w:val="99"/>
    <w:rsid w:val="004B5DCE"/>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B5DCE"/>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B5DCE"/>
    <w:pPr>
      <w:spacing w:before="0"/>
      <w:jc w:val="right"/>
    </w:pPr>
    <w:rPr>
      <w:sz w:val="28"/>
    </w:rPr>
  </w:style>
  <w:style w:type="paragraph" w:customStyle="1" w:styleId="FooterSensitivity">
    <w:name w:val="Footer Sensitivity"/>
    <w:basedOn w:val="Normal"/>
    <w:rsid w:val="004B5DCE"/>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4B5DCE"/>
    <w:pPr>
      <w:tabs>
        <w:tab w:val="center" w:pos="4535"/>
        <w:tab w:val="right" w:pos="9071"/>
      </w:tabs>
      <w:spacing w:before="0"/>
    </w:pPr>
  </w:style>
  <w:style w:type="paragraph" w:customStyle="1" w:styleId="HeaderLandscape">
    <w:name w:val="HeaderLandscape"/>
    <w:basedOn w:val="Normal"/>
    <w:rsid w:val="004B5DCE"/>
    <w:pPr>
      <w:tabs>
        <w:tab w:val="center" w:pos="7285"/>
        <w:tab w:val="right" w:pos="14003"/>
      </w:tabs>
      <w:spacing w:before="0"/>
    </w:pPr>
  </w:style>
  <w:style w:type="paragraph" w:styleId="Footer">
    <w:name w:val="footer"/>
    <w:basedOn w:val="Normal"/>
    <w:link w:val="FooterChar"/>
    <w:uiPriority w:val="99"/>
    <w:unhideWhenUsed/>
    <w:rsid w:val="004B5DCE"/>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4B5DCE"/>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80316">
      <w:bodyDiv w:val="1"/>
      <w:marLeft w:val="0"/>
      <w:marRight w:val="0"/>
      <w:marTop w:val="0"/>
      <w:marBottom w:val="0"/>
      <w:divBdr>
        <w:top w:val="none" w:sz="0" w:space="0" w:color="auto"/>
        <w:left w:val="none" w:sz="0" w:space="0" w:color="auto"/>
        <w:bottom w:val="none" w:sz="0" w:space="0" w:color="auto"/>
        <w:right w:val="none" w:sz="0" w:space="0" w:color="auto"/>
      </w:divBdr>
    </w:div>
    <w:div w:id="1216966565">
      <w:bodyDiv w:val="1"/>
      <w:marLeft w:val="0"/>
      <w:marRight w:val="0"/>
      <w:marTop w:val="0"/>
      <w:marBottom w:val="0"/>
      <w:divBdr>
        <w:top w:val="none" w:sz="0" w:space="0" w:color="auto"/>
        <w:left w:val="none" w:sz="0" w:space="0" w:color="auto"/>
        <w:bottom w:val="none" w:sz="0" w:space="0" w:color="auto"/>
        <w:right w:val="none" w:sz="0" w:space="0" w:color="auto"/>
      </w:divBdr>
    </w:div>
    <w:div w:id="1299722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80-196-5170_final_report_technical_advice_on_fees_charged_to_cras_by_esma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379e0a09-5deb-44c7-a703-b352a170740d">
      <UserInfo>
        <DisplayName>Veronica Magrini</DisplayName>
        <AccountId>192</AccountId>
        <AccountType/>
      </UserInfo>
      <UserInfo>
        <DisplayName>Viktorija Guseinova</DisplayName>
        <AccountId>194</AccountId>
        <AccountType/>
      </UserInfo>
    </SharedWithUsers>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D136-D306-4E27-8950-69533288354D}">
  <ds:schemaRefs>
    <ds:schemaRef ds:uri="http://schemas.microsoft.com/sharepoint/v3/contenttype/forms"/>
  </ds:schemaRefs>
</ds:datastoreItem>
</file>

<file path=customXml/itemProps2.xml><?xml version="1.0" encoding="utf-8"?>
<ds:datastoreItem xmlns:ds="http://schemas.openxmlformats.org/officeDocument/2006/customXml" ds:itemID="{16C3EE63-60E6-4684-AC4E-5B491E9CF6EC}">
  <ds:schemaRefs>
    <ds:schemaRef ds:uri="http://schemas.microsoft.com/office/2006/metadata/properties"/>
    <ds:schemaRef ds:uri="http://schemas.microsoft.com/office/infopath/2007/PartnerControls"/>
    <ds:schemaRef ds:uri="379e0a09-5deb-44c7-a703-b352a170740d"/>
    <ds:schemaRef ds:uri="39d607b5-3019-4139-86e9-2e131faaffa8"/>
    <ds:schemaRef ds:uri="http://schemas.microsoft.com/sharepoint/v3/fields"/>
  </ds:schemaRefs>
</ds:datastoreItem>
</file>

<file path=customXml/itemProps3.xml><?xml version="1.0" encoding="utf-8"?>
<ds:datastoreItem xmlns:ds="http://schemas.openxmlformats.org/officeDocument/2006/customXml" ds:itemID="{7444629E-CA43-4F79-9CEE-F2FE5AA33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4C014B-F432-4605-AE50-A4E9651E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TotalTime>
  <Pages>8</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28</cp:revision>
  <cp:lastPrinted>2024-01-11T17:16:00Z</cp:lastPrinted>
  <dcterms:created xsi:type="dcterms:W3CDTF">2024-02-26T13:33:00Z</dcterms:created>
  <dcterms:modified xsi:type="dcterms:W3CDTF">2024-03-04T08:15:00Z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2023-09-15T14:53:01Z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320effd5-688e-486d-bce3-08e03441a6a8</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SJ-003</vt:lpwstr>
  </property>
  <property fmtid="{D5CDD505-2E9C-101B-9397-08002B2CF9AE}" pid="17" name="ContentTypeId">
    <vt:lpwstr>0x010100258AA79CEB83498886A3A086811232500033285A78CCB54F4DA2ECE5FA2B2AF218</vt:lpwstr>
  </property>
  <property fmtid="{D5CDD505-2E9C-101B-9397-08002B2CF9AE}" pid="18" name="TeamName">
    <vt:lpwstr>5;#Legal|55469a04-0b7f-4b43-884d-5076b10e8c77</vt:lpwstr>
  </property>
  <property fmtid="{D5CDD505-2E9C-101B-9397-08002B2CF9AE}" pid="19" name="_dlc_DocIdItemGuid">
    <vt:lpwstr>eae99120-42b7-4c0e-959e-f4de546ee29c</vt:lpwstr>
  </property>
  <property fmtid="{D5CDD505-2E9C-101B-9397-08002B2CF9AE}" pid="20" name="DocumentType">
    <vt:lpwstr>6;#Note|b9e1c92e-303a-4555-86f0-5c711c65937e</vt:lpwstr>
  </property>
  <property fmtid="{D5CDD505-2E9C-101B-9397-08002B2CF9AE}" pid="21" name="ConfidentialityLevel">
    <vt:lpwstr>8;#Regular|07f1e362-856b-423d-bea6-a14079762141</vt:lpwstr>
  </property>
  <property fmtid="{D5CDD505-2E9C-101B-9397-08002B2CF9AE}" pid="22" name="LegalInstrument">
    <vt:lpwstr>83;#General / transversal|1a3ce67b-68f9-4822-ae19-4d4588106fbe</vt:lpwstr>
  </property>
  <property fmtid="{D5CDD505-2E9C-101B-9397-08002B2CF9AE}" pid="23" name="MemberState">
    <vt:lpwstr/>
  </property>
  <property fmtid="{D5CDD505-2E9C-101B-9397-08002B2CF9AE}" pid="24" name="Related Legal Acts">
    <vt:lpwstr/>
  </property>
  <property fmtid="{D5CDD505-2E9C-101B-9397-08002B2CF9AE}" pid="25" name="Stakeholder">
    <vt:lpwstr/>
  </property>
  <property fmtid="{D5CDD505-2E9C-101B-9397-08002B2CF9AE}" pid="26" name="EsmaAudience">
    <vt:lpwstr/>
  </property>
  <property fmtid="{D5CDD505-2E9C-101B-9397-08002B2CF9AE}" pid="27" name="LegalAct">
    <vt:lpwstr>19;#ESMA Regulation|1f6010a2-1a2c-44cf-adf8-f8fd9b166bb1</vt:lpwstr>
  </property>
  <property fmtid="{D5CDD505-2E9C-101B-9397-08002B2CF9AE}" pid="28" name="DQCStatus">
    <vt:lpwstr>Green (DQC version 03)</vt:lpwstr>
  </property>
  <property name="OP_sanitized" fmtid="{D5CDD505-2E9C-101B-9397-08002B2CF9AE}" pid="29">
    <vt:lpwstr>True</vt:lpwstr>
  </property>
</Properties>
</file>