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6725A" w14:textId="0E4F3269" w:rsidR="0065658F" w:rsidRPr="009819FB" w:rsidRDefault="00A46F77" w:rsidP="00A46F77">
      <w:pPr>
        <w:pStyle w:val="Pagedecouverture"/>
        <w:rPr>
          <w:noProof/>
        </w:rPr>
      </w:pPr>
      <w:r>
        <w:rPr>
          <w:noProof/>
        </w:rPr>
        <w:pict w14:anchorId="078B4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125A5D17-AC98-44E3-BAE0-A22907683BC8" style="width:455.25pt;height:355.5pt">
            <v:imagedata r:id="rId7" o:title=""/>
          </v:shape>
        </w:pict>
      </w:r>
    </w:p>
    <w:p w14:paraId="3FEDE866" w14:textId="77777777" w:rsidR="0065658F" w:rsidRPr="009819FB" w:rsidRDefault="0065658F" w:rsidP="0065658F">
      <w:pPr>
        <w:rPr>
          <w:noProof/>
        </w:rPr>
        <w:sectPr w:rsidR="0065658F" w:rsidRPr="009819FB" w:rsidSect="00A46F77">
          <w:footerReference w:type="default" r:id="rId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4F954B8" w14:textId="77777777" w:rsidR="0065658F" w:rsidRPr="009819FB" w:rsidRDefault="0065658F" w:rsidP="00A75600">
      <w:pPr>
        <w:pStyle w:val="Exposdesmotifstitre"/>
        <w:rPr>
          <w:noProof/>
        </w:rPr>
      </w:pPr>
      <w:bookmarkStart w:id="0" w:name="_GoBack"/>
      <w:bookmarkEnd w:id="0"/>
      <w:r w:rsidRPr="009819FB">
        <w:rPr>
          <w:noProof/>
        </w:rPr>
        <w:lastRenderedPageBreak/>
        <w:t>DŮVODOVÁ ZPRÁVA</w:t>
      </w:r>
    </w:p>
    <w:p w14:paraId="0C33CB26" w14:textId="77777777" w:rsidR="0065658F" w:rsidRPr="009819FB" w:rsidRDefault="0065658F" w:rsidP="00FB18DC">
      <w:pPr>
        <w:pStyle w:val="ManualHeading1"/>
        <w:rPr>
          <w:noProof/>
        </w:rPr>
      </w:pPr>
      <w:r w:rsidRPr="009819FB">
        <w:rPr>
          <w:noProof/>
        </w:rPr>
        <w:t>1.</w:t>
      </w:r>
      <w:r w:rsidRPr="009819FB">
        <w:rPr>
          <w:noProof/>
        </w:rPr>
        <w:tab/>
        <w:t>SOUVISLOSTI AKTU V PŘENESENÉ PRAVOMOCI</w:t>
      </w:r>
    </w:p>
    <w:p w14:paraId="3A051C0A" w14:textId="61012BCA" w:rsidR="0065658F" w:rsidRPr="009819FB" w:rsidRDefault="0065658F" w:rsidP="0065658F">
      <w:pPr>
        <w:rPr>
          <w:noProof/>
        </w:rPr>
      </w:pPr>
      <w:r w:rsidRPr="009819FB">
        <w:rPr>
          <w:noProof/>
        </w:rPr>
        <w:t>Podle čl. 23 odst. 1 prvního pododstavce písm. e) a druhého pododstavce nařízení Evropského parlamentu a Rady (EU) 2021/691</w:t>
      </w:r>
      <w:r w:rsidRPr="009819FB">
        <w:rPr>
          <w:rStyle w:val="FootnoteReference"/>
          <w:noProof/>
        </w:rPr>
        <w:footnoteReference w:id="1"/>
      </w:r>
      <w:r w:rsidRPr="009819FB">
        <w:rPr>
          <w:noProof/>
        </w:rPr>
        <w:t xml:space="preserve"> musí členské státy v programovém období 2021–2027 podávat Komisi zprávy o nesrovnalostech, včetně podvodů, spojených s Evropským fondem pro přizpůsobení se globalizaci na pomoc propuštěným pracovníkům (EFG).</w:t>
      </w:r>
    </w:p>
    <w:p w14:paraId="71117E0D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Finanční zájmy Unie by měly být chráněny stejným způsobem bez ohledu na použitý zdroj financování a v souladu se specifickými cíli, na něž bylo financování poskytnuto. Pokud jde o jiné fondy EU, stanoví podrobná pravidla pro podávání zpráv o nesrovnalostech nařízení Evropského parlamentu a Rady (EU) 2021/1060</w:t>
      </w:r>
      <w:r w:rsidRPr="009819FB">
        <w:rPr>
          <w:rStyle w:val="FootnoteReference"/>
          <w:noProof/>
        </w:rPr>
        <w:footnoteReference w:id="2"/>
      </w:r>
      <w:r w:rsidRPr="009819FB">
        <w:rPr>
          <w:noProof/>
        </w:rPr>
        <w:t>. Aby se zajistilo, že se na všechny fondy budou vztahovat jednotná pravidla, zavádějí se obdobná a rovnocenná ustanovení ohledně povinnosti podávat zprávy týkající se EFG.</w:t>
      </w:r>
    </w:p>
    <w:p w14:paraId="471DB16F" w14:textId="40252859" w:rsidR="0065658F" w:rsidRPr="009819FB" w:rsidRDefault="0065658F" w:rsidP="0065658F">
      <w:pPr>
        <w:rPr>
          <w:noProof/>
        </w:rPr>
      </w:pPr>
      <w:r w:rsidRPr="009819FB">
        <w:rPr>
          <w:noProof/>
        </w:rPr>
        <w:t>Tento akt v přenesené pravomoci rovněž zohledňuje nařízení Komise v přenesené pravomoci (EU) 2015/1971, (EU) 2015/1972, (EU) 2015/1973 a (EU) 2015/1974, která stanovila zvláštní ustanovení pro podávání zpráv o nesrovnalostech týkajících se různých fondů EU v předchozím programovém období 2014–2020.</w:t>
      </w:r>
    </w:p>
    <w:p w14:paraId="592CBAC7" w14:textId="77777777" w:rsidR="0065658F" w:rsidRPr="009819FB" w:rsidRDefault="0065658F" w:rsidP="00FB18DC">
      <w:pPr>
        <w:pStyle w:val="ManualHeading1"/>
        <w:rPr>
          <w:noProof/>
        </w:rPr>
      </w:pPr>
      <w:r w:rsidRPr="009819FB">
        <w:rPr>
          <w:noProof/>
        </w:rPr>
        <w:t>2.</w:t>
      </w:r>
      <w:r w:rsidRPr="009819FB">
        <w:rPr>
          <w:noProof/>
        </w:rPr>
        <w:tab/>
        <w:t>KONZULTACE PŘED PŘIJETÍM PRÁVNÍHO AKTU</w:t>
      </w:r>
    </w:p>
    <w:p w14:paraId="24063AC3" w14:textId="77777777" w:rsidR="0065658F" w:rsidRPr="009819FB" w:rsidRDefault="0065658F" w:rsidP="0065658F">
      <w:pPr>
        <w:rPr>
          <w:noProof/>
          <w:sz w:val="22"/>
        </w:rPr>
      </w:pPr>
      <w:r w:rsidRPr="009819FB">
        <w:rPr>
          <w:noProof/>
        </w:rPr>
        <w:t>V souladu se zásadami stanovenými v interinstitucionální dohodě ze dne 13. dubna 2016 o zdokonalení tvorby právních předpisů Komise při přípravě tohoto návrhu aktu v přenesené pravomoci vedla konzultace s odborníky určenými jednotlivými členskými státy.</w:t>
      </w:r>
    </w:p>
    <w:p w14:paraId="1E0915D8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Konzultace proběhla na zasedáních Poradního výboru pro koordinaci boje proti podvodům (COCOLAF) ve dnech 12. prosince 2022, 4. května 2023 a 22. června 2023. Komise zohlednila názory a postoje vyjádřené během konzultace.</w:t>
      </w:r>
    </w:p>
    <w:p w14:paraId="5D97D27D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 xml:space="preserve">Na uvedených zasedáních Komise prezentovala navrhovaná ustanovení v plném rozsahu a proběhla obsáhlá výměna názorů ohledně všech aspektů tohoto návrhu aktu v přenesené pravomoci. Tato zasedání Komisi umožnila objasnit svůj přístup, vyslechnout názory odborníků na návrh tohoto aktu a na jejich základě jej zdokonalit. Odborníci rovněž mohli po každém zasedání předložit písemné připomínky. </w:t>
      </w:r>
    </w:p>
    <w:p w14:paraId="2472E924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Návrh aktu v přenesené pravomoci byl navíc po dobu čtyř týdnů zveřejněn na internetových stránkách Komise za účelem získání zpětné vazby. Nebyly obdrženy žádné příspěvky.</w:t>
      </w:r>
    </w:p>
    <w:p w14:paraId="6766DAD9" w14:textId="77777777" w:rsidR="0065658F" w:rsidRPr="009819FB" w:rsidRDefault="0065658F" w:rsidP="00FB18DC">
      <w:pPr>
        <w:pStyle w:val="ManualHeading1"/>
        <w:rPr>
          <w:noProof/>
        </w:rPr>
      </w:pPr>
      <w:r w:rsidRPr="009819FB">
        <w:rPr>
          <w:noProof/>
        </w:rPr>
        <w:t>3.</w:t>
      </w:r>
      <w:r w:rsidRPr="009819FB">
        <w:rPr>
          <w:noProof/>
        </w:rPr>
        <w:tab/>
        <w:t>PRÁVNÍ STRÁNKA AKTU V PŘENESENÉ PRAVOMOCI</w:t>
      </w:r>
    </w:p>
    <w:p w14:paraId="6FE6AFB0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Právo přijmout akt v přenesené pravomoci je stanoveno v čl. 23 odst. 6 nařízení (EU) 2021/691.</w:t>
      </w:r>
    </w:p>
    <w:p w14:paraId="7FEEF29D" w14:textId="77777777" w:rsidR="0065658F" w:rsidRPr="009819FB" w:rsidRDefault="0065658F" w:rsidP="00815964">
      <w:pPr>
        <w:rPr>
          <w:noProof/>
        </w:rPr>
        <w:sectPr w:rsidR="0065658F" w:rsidRPr="009819FB" w:rsidSect="00A46F77">
          <w:footerReference w:type="default" r:id="rId9"/>
          <w:footerReference w:type="first" r:id="rId10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0CDE5EA9" w14:textId="7E81C6B3" w:rsidR="0065658F" w:rsidRPr="009819FB" w:rsidRDefault="009819FB" w:rsidP="009819FB">
      <w:pPr>
        <w:pStyle w:val="Typedudocument"/>
        <w:rPr>
          <w:noProof/>
        </w:rPr>
      </w:pPr>
      <w:r w:rsidRPr="009819FB">
        <w:rPr>
          <w:noProof/>
        </w:rPr>
        <w:lastRenderedPageBreak/>
        <w:t>NAŘÍZENÍ KOMISE V PŘENESENÉ PRAVOMOCI (EU) …/...</w:t>
      </w:r>
    </w:p>
    <w:p w14:paraId="49E222FB" w14:textId="137D7655" w:rsidR="0065658F" w:rsidRPr="009819FB" w:rsidRDefault="00A01534" w:rsidP="009819FB">
      <w:pPr>
        <w:pStyle w:val="Datedadoption"/>
        <w:rPr>
          <w:noProof/>
        </w:rPr>
      </w:pPr>
      <w:r>
        <w:t>ze dne 18.12.2023</w:t>
      </w:r>
    </w:p>
    <w:p w14:paraId="0364C9C2" w14:textId="4D906D2E" w:rsidR="0065658F" w:rsidRPr="009819FB" w:rsidRDefault="009819FB" w:rsidP="009819FB">
      <w:pPr>
        <w:pStyle w:val="Titreobjet"/>
        <w:rPr>
          <w:noProof/>
        </w:rPr>
      </w:pPr>
      <w:r w:rsidRPr="009819FB">
        <w:rPr>
          <w:noProof/>
        </w:rPr>
        <w:t>kterým se doplňuje nařízení Evropského parlamentu a Rady (EU) 2021/691 o zvláštní ustanovení týkající se podávání zpráv o nesrovnalostech týkajících se Evropského fondu pro přizpůsobení se globalizaci na pomoc propuštěným pracovníkům (EFG)</w:t>
      </w:r>
    </w:p>
    <w:p w14:paraId="4C9CD165" w14:textId="77777777" w:rsidR="0065658F" w:rsidRPr="009819FB" w:rsidRDefault="0065658F" w:rsidP="009343DF">
      <w:pPr>
        <w:pStyle w:val="Institutionquiagit"/>
        <w:rPr>
          <w:noProof/>
        </w:rPr>
      </w:pPr>
      <w:r w:rsidRPr="009819FB">
        <w:rPr>
          <w:noProof/>
        </w:rPr>
        <w:t>EVROPSKÁ KOMISE,</w:t>
      </w:r>
    </w:p>
    <w:p w14:paraId="3719F931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s ohledem na Smlouvu o fungování Evropské unie,</w:t>
      </w:r>
    </w:p>
    <w:p w14:paraId="7A799D0C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s ohledem na nařízení Evropského parlamentu a Rady (EU) 2021/691 ze dne 28. dubna 2021 o Evropském fondu pro přizpůsobení se globalizaci na pomoc propuštěným pracovníkům (EFG) a o zrušení nařízení (EU) č. 1309/2013</w:t>
      </w:r>
      <w:r w:rsidRPr="009819FB">
        <w:rPr>
          <w:rStyle w:val="FootnoteReference"/>
          <w:noProof/>
        </w:rPr>
        <w:footnoteReference w:id="3"/>
      </w:r>
      <w:r w:rsidRPr="009819FB">
        <w:rPr>
          <w:noProof/>
        </w:rPr>
        <w:t>, a zejména na čl. 23 odst. 6 uvedeného nařízení,</w:t>
      </w:r>
    </w:p>
    <w:p w14:paraId="268AC3CE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vzhledem k těmto důvodům:</w:t>
      </w:r>
    </w:p>
    <w:p w14:paraId="348685C9" w14:textId="2C3359D3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65658F" w:rsidRPr="009819FB">
        <w:rPr>
          <w:noProof/>
        </w:rPr>
        <w:t>Účelem tohoto nařízení je doplnit ustanovení čl. 23 odst. 1 prvního pododstavce písm. e) a druhého pododstavce nařízení (EU) 2021/691 týkající se povinnosti členských států podávat Komisi zprávy o nesrovnalostech souvisejících s EFG. Aby mohla Komise plnit své povinnosti týkající se ochrany finančních zájmů Unie, zejména provádět analýzu rizik, vyvíjet systémy pro účinnější identifikaci rizik a vypracovávat zprávy pro účely těchto úkolů, je nezbytné stanovit kritéria pro určení případů nesrovnalostí, o nichž mají členské státy podávat zprávy Komisi, a upřesnit, které údaje mají být poskytovány.</w:t>
      </w:r>
    </w:p>
    <w:p w14:paraId="27C74298" w14:textId="34C2E58D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65658F" w:rsidRPr="009819FB">
        <w:rPr>
          <w:noProof/>
        </w:rPr>
        <w:t>Finanční zájmy Unie by měly být chráněny stejným způsobem bez ohledu na dotčené fondy a cíle, pro něž byly tyto fondy zřízeny. Za tímto účelem zmocňuje čl. 23 odst. 6 nařízení (EU) 2021/691 Komisi k přijetí pravidel, kterými se doplňují ustanovení o povinnosti členských států podávat zprávy o nesrovnalostech spojených s financováním EFG. Tato pravidla by měla být rovnocenná podrobným pravidlům pro podávání zpráv o nesrovnalostech stanoveným v příloze XII oddíle 1 nařízení Evropského parlamentu a Rady (EU) 2021/1060</w:t>
      </w:r>
      <w:r w:rsidR="0065658F" w:rsidRPr="009819FB">
        <w:rPr>
          <w:rStyle w:val="FootnoteReference"/>
          <w:noProof/>
        </w:rPr>
        <w:footnoteReference w:id="4"/>
      </w:r>
      <w:r w:rsidR="0065658F" w:rsidRPr="009819FB">
        <w:rPr>
          <w:noProof/>
        </w:rPr>
        <w:t xml:space="preserve"> a měla by být v souladu s pravidly stanovenými v nařízení Komise v přenesené pravomoci (EU) …/…</w:t>
      </w:r>
      <w:r w:rsidR="00C657F3" w:rsidRPr="009819FB">
        <w:rPr>
          <w:rStyle w:val="FootnoteReference"/>
          <w:noProof/>
        </w:rPr>
        <w:footnoteReference w:id="5"/>
      </w:r>
      <w:r w:rsidR="0065658F" w:rsidRPr="009819FB">
        <w:rPr>
          <w:noProof/>
        </w:rPr>
        <w:t xml:space="preserve"> [</w:t>
      </w:r>
      <w:r w:rsidR="0065658F" w:rsidRPr="009819FB">
        <w:rPr>
          <w:i/>
          <w:noProof/>
        </w:rPr>
        <w:t>Úřad pro publikace – vložte odkaz na nařízení v přenesené pravomoci, kterým se doplňuje nařízení (EU) 2021/2116 – C(2023) 8459</w:t>
      </w:r>
      <w:r w:rsidR="0065658F" w:rsidRPr="009819FB">
        <w:rPr>
          <w:noProof/>
        </w:rPr>
        <w:t xml:space="preserve">]. </w:t>
      </w:r>
    </w:p>
    <w:p w14:paraId="22527B24" w14:textId="2E31F8BA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</w:r>
      <w:r w:rsidR="0065658F" w:rsidRPr="009819FB">
        <w:rPr>
          <w:noProof/>
        </w:rPr>
        <w:t>Aby bylo možné jednotně uplatňovat požadavky na podávání zpráv ve všech členských státech, je nutné definovat pojem „podezření na podvod“ s přihlédnutím k definici podvodu a jiných trestných činů v čl. 3 odst. 2 písm. a) a b) a čl. 4 odst. 1, 2 a 3 směrnice Evropského parlamentu a Rady (EU) 2017/1371</w:t>
      </w:r>
      <w:r w:rsidR="0065658F" w:rsidRPr="009819FB">
        <w:rPr>
          <w:rStyle w:val="FootnoteReference"/>
          <w:noProof/>
        </w:rPr>
        <w:footnoteReference w:id="6"/>
      </w:r>
      <w:r w:rsidR="0065658F" w:rsidRPr="009819FB">
        <w:rPr>
          <w:noProof/>
        </w:rPr>
        <w:t xml:space="preserve"> a v případě členských států, které nejsou uvedenou směrnicí vázány, v čl. 1 odst. 1 písm. a) Úmluvy o ochraně finančních zájmů Evropských společenství, vypracované na základě článku K.3 Smlouvy o Evropské unii</w:t>
      </w:r>
      <w:r w:rsidR="0065658F" w:rsidRPr="009819FB">
        <w:rPr>
          <w:rStyle w:val="FootnoteReference"/>
          <w:noProof/>
        </w:rPr>
        <w:footnoteReference w:id="7"/>
      </w:r>
      <w:r w:rsidR="0065658F" w:rsidRPr="009819FB">
        <w:rPr>
          <w:noProof/>
        </w:rPr>
        <w:t xml:space="preserve">. </w:t>
      </w:r>
    </w:p>
    <w:p w14:paraId="514AD737" w14:textId="29B8BB4B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</w:r>
      <w:r w:rsidR="0065658F" w:rsidRPr="009819FB">
        <w:rPr>
          <w:noProof/>
        </w:rPr>
        <w:t xml:space="preserve">Obdobně je třeba definovat pojem „prvotní zjištění ve správním nebo soudním řízení“, aby byla zajištěna účinnost a jednotnost při plnění oznamovacích povinností. </w:t>
      </w:r>
    </w:p>
    <w:p w14:paraId="3F2F293B" w14:textId="0A826B84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r w:rsidR="0065658F" w:rsidRPr="009819FB">
        <w:rPr>
          <w:noProof/>
        </w:rPr>
        <w:t>Je nutné vyjasnit, že pro účely použití pojmu „nesrovnalost“ ve smyslu čl. 3 bodu 4 nařízení (EU) 2021/691 by se výrazem „hospodářský subjekt“ měla rozumět jakákoli fyzická nebo právnická osoba nebo jiný subjekt, které se podílejí na provádění pomoci z fondu, s výjimkou členského státu při výkonu veřejné moci ve smyslu čl. 2 bodu 30 nařízení (EU) 2021/1060.</w:t>
      </w:r>
    </w:p>
    <w:p w14:paraId="0F4D8485" w14:textId="0A876C6B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6)</w:t>
      </w:r>
      <w:r>
        <w:rPr>
          <w:noProof/>
        </w:rPr>
        <w:tab/>
      </w:r>
      <w:r w:rsidR="0065658F" w:rsidRPr="009819FB">
        <w:rPr>
          <w:noProof/>
        </w:rPr>
        <w:t>Nařízení (EU) 2021/1060 stanoví prahovou hodnotu pro podávání zpráv, do jejíž výše není zapotřebí podávat Komisi zprávy o nesrovnalostech, a případy, o kterých nemusí být podávány zprávy. V zájmu dosažení rovnováhy mezi administrativní zátěží členských států a společným zájmem na poskytování přesných údajů pro účely analýzy v rámci boje Unie proti podvodům je vhodné sladit prahové hodnoty a výjimky pro podávání zpráv o nesrovnalostech podle tohoto nařízení v přenesené pravomoci s těmi, jež jsou stanoveny v nařízení (EU) 2021/1060.</w:t>
      </w:r>
    </w:p>
    <w:p w14:paraId="2BE18BC1" w14:textId="124D58B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7)</w:t>
      </w:r>
      <w:r>
        <w:rPr>
          <w:noProof/>
        </w:rPr>
        <w:tab/>
      </w:r>
      <w:r w:rsidR="0065658F" w:rsidRPr="009819FB">
        <w:rPr>
          <w:noProof/>
        </w:rPr>
        <w:t>Aby bylo zajištěno jednotné podávání zpráv, je nezbytné stanovit kritéria pro určení případů nesrovnalostí, které mají být prvotně nahlášeny, a údajů, které mají být v těchto prvotních zprávách uvedeny.</w:t>
      </w:r>
    </w:p>
    <w:p w14:paraId="06BB2FC0" w14:textId="40853640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8)</w:t>
      </w:r>
      <w:r>
        <w:rPr>
          <w:noProof/>
        </w:rPr>
        <w:tab/>
      </w:r>
      <w:r w:rsidR="0065658F" w:rsidRPr="009819FB">
        <w:rPr>
          <w:noProof/>
        </w:rPr>
        <w:t>Aby byla zajištěna přesnost údajů poskytnutých Komisi, je nezbytné podávat zprávy o následných krocích. Členské státy by proto měly poskytovat Komisi aktuální informace o jakémkoli významném vývoji ve správních a soudních řízeních, která se týkají každé prvotní zprávy.</w:t>
      </w:r>
    </w:p>
    <w:p w14:paraId="56239AE9" w14:textId="249D05F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9)</w:t>
      </w:r>
      <w:r>
        <w:rPr>
          <w:noProof/>
        </w:rPr>
        <w:tab/>
      </w:r>
      <w:r w:rsidR="0065658F" w:rsidRPr="009819FB">
        <w:rPr>
          <w:noProof/>
        </w:rPr>
        <w:t>Pokud je pro účely tohoto nařízení nezbytné zpracovávat osobní údaje, mělo by se tak dít v souladu s právními předpisy Unie o ochraně osobních údajů. S ohledem na nařízení Evropského parlamentu a Rady (EU) 2016/679</w:t>
      </w:r>
      <w:r w:rsidR="0065658F" w:rsidRPr="009819FB">
        <w:rPr>
          <w:rStyle w:val="FootnoteReference"/>
          <w:noProof/>
        </w:rPr>
        <w:footnoteReference w:id="8"/>
      </w:r>
      <w:r w:rsidR="0065658F" w:rsidRPr="009819FB">
        <w:rPr>
          <w:noProof/>
        </w:rPr>
        <w:t xml:space="preserve"> a nařízení Evropského parlamentu a Rady (EU) 2018/1725</w:t>
      </w:r>
      <w:r w:rsidR="0065658F" w:rsidRPr="009819FB">
        <w:rPr>
          <w:rStyle w:val="FootnoteReference"/>
          <w:noProof/>
        </w:rPr>
        <w:footnoteReference w:id="9"/>
      </w:r>
      <w:r w:rsidR="0065658F" w:rsidRPr="009819FB">
        <w:rPr>
          <w:noProof/>
        </w:rPr>
        <w:t xml:space="preserve"> by Komise a členské státy měly v souvislosti s informacemi poskytovanými podle tohoto nařízení zabránit jakémukoli neoprávněnému vyzrazení osobních údajů nebo neoprávněnému přístupu k nim. Toto nařízení by dále mělo specifikovat účely, pro které Komise a členské státy mohou tyto údaje zpracovávat. Jakýmkoli dalším použitím těchto údajů není dotčen čl. 6 odst. 4 nařízení (EU) 2016/679.</w:t>
      </w:r>
    </w:p>
    <w:p w14:paraId="2EFAC565" w14:textId="4C9E0C43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10)</w:t>
      </w:r>
      <w:r>
        <w:rPr>
          <w:noProof/>
        </w:rPr>
        <w:tab/>
      </w:r>
      <w:r w:rsidR="0065658F" w:rsidRPr="009819FB">
        <w:rPr>
          <w:noProof/>
        </w:rPr>
        <w:t>Povinnosti členských států podávat zprávy o nesrovnalostech Komisi prostřednictvím systému pro řízení nesrovnalostí (IMS) podle nařízení (EU) 2021/691 by měly být uplatňovány, aniž jsou dotčeny jejich povinnosti podle nařízení Evropského parlamentu a Rady (EU, Euratom) č. 883/2013</w:t>
      </w:r>
      <w:r w:rsidR="0065658F" w:rsidRPr="009819FB">
        <w:rPr>
          <w:rStyle w:val="FootnoteReference"/>
          <w:noProof/>
        </w:rPr>
        <w:footnoteReference w:id="10"/>
      </w:r>
      <w:r w:rsidR="0065658F" w:rsidRPr="009819FB">
        <w:rPr>
          <w:noProof/>
        </w:rPr>
        <w:t xml:space="preserve"> a nařízení Rady (EU) 2017/1939</w:t>
      </w:r>
      <w:r w:rsidR="0065658F" w:rsidRPr="009819FB">
        <w:rPr>
          <w:rStyle w:val="FootnoteReference"/>
          <w:noProof/>
        </w:rPr>
        <w:footnoteReference w:id="11"/>
      </w:r>
      <w:r w:rsidR="0065658F" w:rsidRPr="009819FB">
        <w:rPr>
          <w:noProof/>
        </w:rPr>
        <w:t>.</w:t>
      </w:r>
    </w:p>
    <w:p w14:paraId="65738AFB" w14:textId="64850FE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11)</w:t>
      </w:r>
      <w:r>
        <w:rPr>
          <w:noProof/>
        </w:rPr>
        <w:tab/>
      </w:r>
      <w:r w:rsidR="0065658F" w:rsidRPr="009819FB">
        <w:rPr>
          <w:noProof/>
        </w:rPr>
        <w:t>V souladu s čl. 42 odst. 1 nařízení (EU) 2018/1725 bylo toto nařízení konzultováno s evropským inspektorem ochrany údajů.</w:t>
      </w:r>
    </w:p>
    <w:p w14:paraId="1CA7B07A" w14:textId="3C8BD8E4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12)</w:t>
      </w:r>
      <w:r>
        <w:rPr>
          <w:noProof/>
        </w:rPr>
        <w:tab/>
      </w:r>
      <w:r w:rsidR="0065658F" w:rsidRPr="009819FB">
        <w:rPr>
          <w:noProof/>
        </w:rPr>
        <w:t>Vzhledem k tomu, že k nesrovnalostem podléhajícím oznámení již mohlo dojít a je v zájmu Unie se těmito nesrovnalostmi zabývat, mělo by se toto nařízení použít co nejdříve. Mělo by proto vstoupit v platnost prvním dnem po vyhlášení v </w:t>
      </w:r>
      <w:r w:rsidR="0065658F" w:rsidRPr="009819FB">
        <w:rPr>
          <w:i/>
          <w:iCs/>
          <w:noProof/>
        </w:rPr>
        <w:t>Úředním věstníku Evropské unie</w:t>
      </w:r>
      <w:r w:rsidR="0065658F" w:rsidRPr="009819FB">
        <w:rPr>
          <w:noProof/>
        </w:rPr>
        <w:t>,</w:t>
      </w:r>
    </w:p>
    <w:p w14:paraId="682A045F" w14:textId="77777777" w:rsidR="0065658F" w:rsidRPr="009819FB" w:rsidRDefault="0065658F" w:rsidP="009343DF">
      <w:pPr>
        <w:pStyle w:val="Formuledadoption"/>
        <w:rPr>
          <w:noProof/>
        </w:rPr>
      </w:pPr>
      <w:r w:rsidRPr="009819FB">
        <w:rPr>
          <w:noProof/>
        </w:rPr>
        <w:t>PŘIJALA TOTO NAŘÍZENÍ:</w:t>
      </w:r>
    </w:p>
    <w:p w14:paraId="2EF6985D" w14:textId="77777777" w:rsidR="0065658F" w:rsidRPr="009819FB" w:rsidRDefault="0065658F" w:rsidP="0065658F">
      <w:pPr>
        <w:pStyle w:val="Titrearticle"/>
        <w:rPr>
          <w:noProof/>
        </w:rPr>
      </w:pPr>
      <w:r w:rsidRPr="009819FB">
        <w:rPr>
          <w:noProof/>
        </w:rPr>
        <w:t>Článek 1</w:t>
      </w:r>
    </w:p>
    <w:p w14:paraId="453FF82F" w14:textId="77777777" w:rsidR="0065658F" w:rsidRPr="009819FB" w:rsidRDefault="0065658F" w:rsidP="0065658F">
      <w:pPr>
        <w:jc w:val="center"/>
        <w:rPr>
          <w:b/>
          <w:bCs/>
          <w:noProof/>
        </w:rPr>
      </w:pPr>
      <w:r w:rsidRPr="009819FB">
        <w:rPr>
          <w:b/>
          <w:noProof/>
        </w:rPr>
        <w:t>Předmět</w:t>
      </w:r>
    </w:p>
    <w:p w14:paraId="4220F918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Toto nařízení stanoví kritéria pro určení případů nesrovnalostí, o nichž mají členské státy podávat zprávy, a údajů, které mají být v této souvislosti poskytnuty.</w:t>
      </w:r>
    </w:p>
    <w:p w14:paraId="0600D547" w14:textId="77777777" w:rsidR="0065658F" w:rsidRPr="009819FB" w:rsidRDefault="0065658F" w:rsidP="0065658F">
      <w:pPr>
        <w:pStyle w:val="Titrearticle"/>
        <w:rPr>
          <w:noProof/>
        </w:rPr>
      </w:pPr>
      <w:r w:rsidRPr="009819FB">
        <w:rPr>
          <w:noProof/>
        </w:rPr>
        <w:t>Článek 2</w:t>
      </w:r>
    </w:p>
    <w:p w14:paraId="6902CA2D" w14:textId="77777777" w:rsidR="0065658F" w:rsidRPr="009819FB" w:rsidRDefault="0065658F" w:rsidP="0065658F">
      <w:pPr>
        <w:jc w:val="center"/>
        <w:rPr>
          <w:b/>
          <w:noProof/>
        </w:rPr>
      </w:pPr>
      <w:r w:rsidRPr="009819FB">
        <w:rPr>
          <w:b/>
          <w:noProof/>
        </w:rPr>
        <w:t>Definice</w:t>
      </w:r>
    </w:p>
    <w:p w14:paraId="2B1301D5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Použijí se definice stanovené v nařízení (EU) 2021/691. Pro účely tohoto nařízení se dále rozumí:</w:t>
      </w:r>
    </w:p>
    <w:p w14:paraId="133A07EC" w14:textId="48F3E7D1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65658F" w:rsidRPr="009819FB">
        <w:rPr>
          <w:noProof/>
        </w:rPr>
        <w:t>„podezřením na podvod“ nesrovnalost, která vede k zahájení správního nebo soudního řízení na vnitrostátní úrovni s cílem zjistit existenci úmyslného jednání, zejména podvodu nebo jiných trestných činů uvedených v čl. 3 odst. 2 písm. a) a b) a čl. 4 odst. 1, 2 a 3 směrnice (EU) 2017/1371 a v případě členských států, které nejsou uvedenou směrnicí vázány, v čl. 1 odst. 1 písm. a) Úmluvy o ochraně finančních zájmů Evropských společenství, vypracované na základě článku K.3 Smlouvy o Evropské unii;</w:t>
      </w:r>
    </w:p>
    <w:p w14:paraId="344E9D69" w14:textId="5B84BF03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65658F" w:rsidRPr="009819FB">
        <w:rPr>
          <w:noProof/>
        </w:rPr>
        <w:t>„prvotním zjištěním ve správním nebo soudním řízení“ první písemné posouzení příslušného správního nebo soudního orgánu, které na základě určitých skutečností dospívá k závěru, že mohlo dojít k nesrovnalosti, aniž je tím dotčena možnost, že takový závěr může být nutné podle průběhu daného správního nebo soudního řízení následně revidovat či stáhnout.</w:t>
      </w:r>
    </w:p>
    <w:p w14:paraId="46F99338" w14:textId="77777777" w:rsidR="0065658F" w:rsidRPr="009819FB" w:rsidRDefault="0065658F" w:rsidP="0065658F">
      <w:pPr>
        <w:rPr>
          <w:noProof/>
        </w:rPr>
      </w:pPr>
    </w:p>
    <w:p w14:paraId="6F91AF85" w14:textId="77777777" w:rsidR="0065658F" w:rsidRPr="009819FB" w:rsidRDefault="0065658F" w:rsidP="0065658F">
      <w:pPr>
        <w:pStyle w:val="Titrearticle"/>
        <w:rPr>
          <w:noProof/>
        </w:rPr>
      </w:pPr>
      <w:r w:rsidRPr="009819FB">
        <w:rPr>
          <w:noProof/>
        </w:rPr>
        <w:t>Článek 3</w:t>
      </w:r>
    </w:p>
    <w:p w14:paraId="43077BE6" w14:textId="77777777" w:rsidR="0065658F" w:rsidRPr="009819FB" w:rsidRDefault="0065658F" w:rsidP="0065658F">
      <w:pPr>
        <w:jc w:val="center"/>
        <w:rPr>
          <w:b/>
          <w:noProof/>
        </w:rPr>
      </w:pPr>
      <w:r w:rsidRPr="009819FB">
        <w:rPr>
          <w:b/>
          <w:noProof/>
        </w:rPr>
        <w:t>Podávání zpráv</w:t>
      </w:r>
    </w:p>
    <w:p w14:paraId="112906B1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1. Členské státy podávají Komisi zprávy o nesrovnalostech, které byly předmětem prvotního zjištění ve správním nebo soudním řízení.</w:t>
      </w:r>
    </w:p>
    <w:p w14:paraId="6DF2697F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2. Odchylně od odstavce 1 nepodávají členské státy Komisi zprávy o:</w:t>
      </w:r>
    </w:p>
    <w:p w14:paraId="07C62BFE" w14:textId="258C998A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65658F" w:rsidRPr="009819FB">
        <w:rPr>
          <w:noProof/>
        </w:rPr>
        <w:t>nesrovnalostech v souvislosti s příspěvkem z fondu nižším než 10 000 EUR; tato výjimka se nevztahuje na nesrovnalosti, které spolu souvisejí a které zahrnují celkový příspěvek z fondu převyšující 10 000 EUR, přestože žádná z těchto nesrovnalostí sama o sobě tento strop nepřekročí;</w:t>
      </w:r>
    </w:p>
    <w:p w14:paraId="589276AE" w14:textId="0A367A5C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0065658F" w:rsidRPr="009819FB">
        <w:rPr>
          <w:noProof/>
        </w:rPr>
        <w:t>případech, kdy nesrovnalost spočívá pouze v úplném nebo částečném neprovedení opatření podpořeného z EFG z důvodu nepodvodného úpadku hospodářského subjektu, který se podílí na provádění EFG;</w:t>
      </w:r>
    </w:p>
    <w:p w14:paraId="05DFCF06" w14:textId="3A179A0C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 w:rsidR="0065658F" w:rsidRPr="009819FB">
        <w:rPr>
          <w:noProof/>
        </w:rPr>
        <w:t>případech, na něž řídící orgán nebo jiný příslušný orgán upozornil hospodářský subjekt podílející se na provádění EFG dobrovolně a dříve, než byly některým z těchto orgánů odhaleny, ať již před vyplacením příspěvku z veřejných zdrojů, nebo po jeho vyplacení;</w:t>
      </w:r>
    </w:p>
    <w:p w14:paraId="7615DC8A" w14:textId="0E067EF9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</w:r>
      <w:r w:rsidR="0065658F" w:rsidRPr="009819FB">
        <w:rPr>
          <w:noProof/>
        </w:rPr>
        <w:t>případech, které řídící orgán nebo jiný příslušný orgán zjistí a opraví před zahrnutím do výkazu výdajů předloženého Komisi spolu se závěrečnou zprávou o provádění finančního příspěvku.</w:t>
      </w:r>
    </w:p>
    <w:p w14:paraId="3FBA7F49" w14:textId="77777777" w:rsidR="0065658F" w:rsidRPr="009819FB" w:rsidRDefault="0065658F" w:rsidP="0065658F">
      <w:pPr>
        <w:rPr>
          <w:noProof/>
          <w:szCs w:val="24"/>
        </w:rPr>
      </w:pPr>
      <w:r w:rsidRPr="009819FB">
        <w:rPr>
          <w:noProof/>
        </w:rPr>
        <w:t>Výjimky uvedené v písmenech c) a d) předchozího pododstavce se nevztahují na případy nesrovnalostí uvedené v čl. 2 písm. a).</w:t>
      </w:r>
    </w:p>
    <w:p w14:paraId="70B1F5BF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3. Členské státy poskytnou v prvotní zprávě o nesrovnalostech tyto informace:</w:t>
      </w:r>
    </w:p>
    <w:p w14:paraId="762DA59B" w14:textId="05F1ABF8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</w:r>
      <w:r w:rsidR="0065658F" w:rsidRPr="009819FB">
        <w:rPr>
          <w:noProof/>
        </w:rPr>
        <w:t>identifikátory případu EFG (číslo společného identifikačního kódu (CCI) a název případu), opatření a dotčené operace;</w:t>
      </w:r>
    </w:p>
    <w:p w14:paraId="50372A03" w14:textId="33427189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h)</w:t>
      </w:r>
      <w:r>
        <w:rPr>
          <w:noProof/>
        </w:rPr>
        <w:tab/>
      </w:r>
      <w:r w:rsidR="0065658F" w:rsidRPr="009819FB">
        <w:rPr>
          <w:noProof/>
        </w:rPr>
        <w:t>totožnost dotčených fyzických či právnických osob nebo obou kategorií těchto osob nebo jakéhokoli jiného subjektu, které měly na vzniku nesrovnalosti podíl, a popis tohoto podílu, s výjimkou případů, kdy nejsou tyto informace vzhledem k povaze dané nesrovnalosti pro účely potírání nesrovnalostí důležité;</w:t>
      </w:r>
    </w:p>
    <w:p w14:paraId="6F5394EC" w14:textId="294A0D89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i)</w:t>
      </w:r>
      <w:r>
        <w:rPr>
          <w:noProof/>
        </w:rPr>
        <w:tab/>
      </w:r>
      <w:r w:rsidR="0065658F" w:rsidRPr="009819FB">
        <w:rPr>
          <w:noProof/>
        </w:rPr>
        <w:t>vnitrostátní identifikační číslo dotčených osob;</w:t>
      </w:r>
    </w:p>
    <w:p w14:paraId="748507C9" w14:textId="41EBE55B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j)</w:t>
      </w:r>
      <w:r>
        <w:rPr>
          <w:noProof/>
        </w:rPr>
        <w:tab/>
      </w:r>
      <w:r w:rsidR="0065658F" w:rsidRPr="009819FB">
        <w:rPr>
          <w:noProof/>
        </w:rPr>
        <w:t>identifikační číslo pro DPH dotčených osob;</w:t>
      </w:r>
    </w:p>
    <w:p w14:paraId="2E889325" w14:textId="7D09C839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k)</w:t>
      </w:r>
      <w:r>
        <w:rPr>
          <w:noProof/>
        </w:rPr>
        <w:tab/>
      </w:r>
      <w:r w:rsidR="0065658F" w:rsidRPr="009819FB">
        <w:rPr>
          <w:noProof/>
        </w:rPr>
        <w:t>region nebo oblast, kde byla daná operace provedena, vymezené prostřednictvím vhodných identifikačních údajů jako např. NUTS (klasifikace územních statistických jednotek);</w:t>
      </w:r>
    </w:p>
    <w:p w14:paraId="4881C649" w14:textId="1F6717D3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l)</w:t>
      </w:r>
      <w:r>
        <w:rPr>
          <w:noProof/>
        </w:rPr>
        <w:tab/>
      </w:r>
      <w:r w:rsidR="0065658F" w:rsidRPr="009819FB">
        <w:rPr>
          <w:noProof/>
        </w:rPr>
        <w:t>ustanovení, která byla porušena, na úrovni Unie a na vnitrostátní úrovni;</w:t>
      </w:r>
    </w:p>
    <w:p w14:paraId="35A0C22D" w14:textId="6AA6B9F1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m)</w:t>
      </w:r>
      <w:r>
        <w:rPr>
          <w:noProof/>
        </w:rPr>
        <w:tab/>
      </w:r>
      <w:r w:rsidR="0065658F" w:rsidRPr="009819FB">
        <w:rPr>
          <w:noProof/>
        </w:rPr>
        <w:t>datum a zdroj první informace, která vedla k podezření, že došlo k nesrovnalosti;</w:t>
      </w:r>
    </w:p>
    <w:p w14:paraId="73460226" w14:textId="1EC606D4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n)</w:t>
      </w:r>
      <w:r>
        <w:rPr>
          <w:noProof/>
        </w:rPr>
        <w:tab/>
      </w:r>
      <w:r w:rsidR="0065658F" w:rsidRPr="009819FB">
        <w:rPr>
          <w:noProof/>
        </w:rPr>
        <w:t>praktiky (</w:t>
      </w:r>
      <w:r w:rsidR="0065658F" w:rsidRPr="009819FB">
        <w:rPr>
          <w:i/>
          <w:noProof/>
        </w:rPr>
        <w:t>modi operandi</w:t>
      </w:r>
      <w:r w:rsidR="0065658F" w:rsidRPr="009819FB">
        <w:rPr>
          <w:noProof/>
        </w:rPr>
        <w:t>) použité při dopuštění se nesrovnalosti;</w:t>
      </w:r>
    </w:p>
    <w:p w14:paraId="5FCD68C9" w14:textId="29115B3C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o)</w:t>
      </w:r>
      <w:r>
        <w:rPr>
          <w:noProof/>
        </w:rPr>
        <w:tab/>
      </w:r>
      <w:r w:rsidR="0065658F" w:rsidRPr="009819FB">
        <w:rPr>
          <w:noProof/>
        </w:rPr>
        <w:t>v příslušných případech, zda tyto praktiky vzbuzují podezření na podvod;</w:t>
      </w:r>
    </w:p>
    <w:p w14:paraId="6639BFF5" w14:textId="449A563C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p)</w:t>
      </w:r>
      <w:r>
        <w:rPr>
          <w:noProof/>
        </w:rPr>
        <w:tab/>
      </w:r>
      <w:r w:rsidR="0065658F" w:rsidRPr="009819FB">
        <w:rPr>
          <w:noProof/>
        </w:rPr>
        <w:t>způsob, jakým byla nesrovnalost odhalena;</w:t>
      </w:r>
    </w:p>
    <w:p w14:paraId="50860B25" w14:textId="5ABB87B3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q)</w:t>
      </w:r>
      <w:r>
        <w:rPr>
          <w:noProof/>
        </w:rPr>
        <w:tab/>
      </w:r>
      <w:r w:rsidR="0065658F" w:rsidRPr="009819FB">
        <w:rPr>
          <w:noProof/>
        </w:rPr>
        <w:t>v příslušných případech číslo případu OLAF (Evropského úřadu pro boj proti podvodům);</w:t>
      </w:r>
    </w:p>
    <w:p w14:paraId="41666EEC" w14:textId="4BF12B4E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r)</w:t>
      </w:r>
      <w:r>
        <w:rPr>
          <w:noProof/>
        </w:rPr>
        <w:tab/>
      </w:r>
      <w:r w:rsidR="0065658F" w:rsidRPr="009819FB">
        <w:rPr>
          <w:noProof/>
        </w:rPr>
        <w:t>v příslušných případech členské státy, kterých se daný případ týká;</w:t>
      </w:r>
    </w:p>
    <w:p w14:paraId="11BA1D78" w14:textId="6314DB2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s)</w:t>
      </w:r>
      <w:r>
        <w:rPr>
          <w:noProof/>
        </w:rPr>
        <w:tab/>
      </w:r>
      <w:r w:rsidR="0065658F" w:rsidRPr="009819FB">
        <w:rPr>
          <w:noProof/>
        </w:rPr>
        <w:t>období, během něhož k nesrovnalosti došlo, nebo datum, kdy k nesrovnalosti došlo;</w:t>
      </w:r>
    </w:p>
    <w:p w14:paraId="2C092DE1" w14:textId="3C36225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t)</w:t>
      </w:r>
      <w:r>
        <w:rPr>
          <w:noProof/>
        </w:rPr>
        <w:tab/>
      </w:r>
      <w:r w:rsidR="0065658F" w:rsidRPr="009819FB">
        <w:rPr>
          <w:noProof/>
        </w:rPr>
        <w:t>datum prvotního zjištění nesrovnalosti ve správním nebo soudním řízení;</w:t>
      </w:r>
    </w:p>
    <w:p w14:paraId="7731EDCC" w14:textId="40F6B762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u)</w:t>
      </w:r>
      <w:r>
        <w:rPr>
          <w:noProof/>
        </w:rPr>
        <w:tab/>
      </w:r>
      <w:r w:rsidR="0065658F" w:rsidRPr="009819FB">
        <w:rPr>
          <w:noProof/>
        </w:rPr>
        <w:t>celkovou výši výdajů vyjádřenou ve vztahu k příspěvku Unie a vnitrostátnímu spolufinancování, včetně případných soukromých příspěvků;</w:t>
      </w:r>
    </w:p>
    <w:p w14:paraId="517C9BE0" w14:textId="01B48A2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v)</w:t>
      </w:r>
      <w:r>
        <w:rPr>
          <w:noProof/>
        </w:rPr>
        <w:tab/>
      </w:r>
      <w:r w:rsidR="0065658F" w:rsidRPr="009819FB">
        <w:rPr>
          <w:noProof/>
        </w:rPr>
        <w:t>částku dotčenou nesrovnalostí vyjádřenou ve vztahu k příspěvku Unie a vnitrostátnímu spolufinancování, včetně případných soukromých příspěvků;</w:t>
      </w:r>
    </w:p>
    <w:p w14:paraId="3474C874" w14:textId="28DC3D16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w)</w:t>
      </w:r>
      <w:r>
        <w:rPr>
          <w:noProof/>
        </w:rPr>
        <w:tab/>
      </w:r>
      <w:r w:rsidR="0065658F" w:rsidRPr="009819FB">
        <w:rPr>
          <w:noProof/>
        </w:rPr>
        <w:t>v případech podezření na podvod a v případech, kdy hospodářskému subjektu, jenž se podílí na provádění EFG, nebyl vyplacen žádný příspěvek z veřejných zdrojů, částku, která by bývala byla neoprávněně vyplacena, pokud by nesrovnalost nebyla zjištěna, vyjádřenou ve vztahu k příspěvku Unie a vnitrostátnímu financování, včetně případných soukromých příspěvků;</w:t>
      </w:r>
    </w:p>
    <w:p w14:paraId="7F3AC914" w14:textId="632D515B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x)</w:t>
      </w:r>
      <w:r>
        <w:rPr>
          <w:noProof/>
        </w:rPr>
        <w:tab/>
      </w:r>
      <w:r w:rsidR="0065658F" w:rsidRPr="009819FB">
        <w:rPr>
          <w:noProof/>
        </w:rPr>
        <w:t>povahu neoprávněného výdaje.</w:t>
      </w:r>
    </w:p>
    <w:p w14:paraId="0D40F449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4. Stanoví-li vnitrostátní předpisy důvěrnost šetření, lze informace sdělit pouze s povolením příslušného soudu nebo jiného subjektu v souladu s vnitrostátními předpisy.</w:t>
      </w:r>
    </w:p>
    <w:p w14:paraId="0FE85D47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5. Pokud některé z informací uvedených v odstavci 3, zejména ty, které se týkají praktik použitých při dopuštění se nesrovnalosti a způsobu, jakým byla nesrovnalost odhalena, nejsou k dispozici, nebo musí být opraveny či doplněny, poskytnou členské státy Komisi chybějící nebo správné informace v následných zprávách o nesrovnalostech.</w:t>
      </w:r>
    </w:p>
    <w:p w14:paraId="604F2E94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6. Členské státy Komisi průběžně informují o zahájení a ukončení veškerých řízení nebo o upuštění od řízení o uložení správních opatření, správních sankcí nebo trestních sankcí v souvislosti s nahlášenými nesrovnalostmi, jakož i o výsledcích těchto řízení. Členské státy dále v souvislosti s nesrovnalostmi, za něž byly uloženy sankce, uvedou:</w:t>
      </w:r>
    </w:p>
    <w:p w14:paraId="58BAD009" w14:textId="2DA0E43C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65658F" w:rsidRPr="009819FB">
        <w:rPr>
          <w:noProof/>
        </w:rPr>
        <w:t>zda jsou sankce správní nebo trestní povahy, a podrobnosti o těchto sankcích;</w:t>
      </w:r>
    </w:p>
    <w:p w14:paraId="11CBD52B" w14:textId="1CF6D341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65658F" w:rsidRPr="009819FB">
        <w:rPr>
          <w:noProof/>
        </w:rPr>
        <w:t>zda sankce vyplývají z porušení práva Unie nebo vnitrostátního práva;</w:t>
      </w:r>
    </w:p>
    <w:p w14:paraId="53BD9BAD" w14:textId="49A816F2" w:rsidR="0065658F" w:rsidRPr="009819FB" w:rsidRDefault="009F6CEC" w:rsidP="009F6CEC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65658F" w:rsidRPr="009819FB">
        <w:rPr>
          <w:noProof/>
        </w:rPr>
        <w:t>zda byl konstatován podvod.</w:t>
      </w:r>
    </w:p>
    <w:p w14:paraId="2C0A1982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7. Členské státy na písemnou žádost Komise poskytnou informace týkající se konkrétní nesrovnalosti nebo skupiny nesrovnalostí.</w:t>
      </w:r>
    </w:p>
    <w:p w14:paraId="1A816C04" w14:textId="77777777" w:rsidR="0065658F" w:rsidRPr="009819FB" w:rsidRDefault="0065658F" w:rsidP="0065658F">
      <w:pPr>
        <w:pStyle w:val="Titrearticle"/>
        <w:rPr>
          <w:noProof/>
        </w:rPr>
      </w:pPr>
      <w:r w:rsidRPr="009819FB">
        <w:rPr>
          <w:noProof/>
        </w:rPr>
        <w:t>Článek 4</w:t>
      </w:r>
    </w:p>
    <w:p w14:paraId="72199C7B" w14:textId="77777777" w:rsidR="0065658F" w:rsidRPr="009819FB" w:rsidRDefault="0065658F" w:rsidP="0065658F">
      <w:pPr>
        <w:jc w:val="center"/>
        <w:rPr>
          <w:b/>
          <w:noProof/>
        </w:rPr>
      </w:pPr>
      <w:r w:rsidRPr="009819FB">
        <w:rPr>
          <w:b/>
          <w:noProof/>
        </w:rPr>
        <w:t>Použití a zpracování oznámených informací</w:t>
      </w:r>
    </w:p>
    <w:p w14:paraId="5B952261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1. Komise může jakékoli informace poskytnuté členskými státy v souladu s tímto nařízením použít k provedení analýzy rizik s využitím podpory informačních technologií a může na základě získaných informací vypracovávat zprávy a vyvíjet systémy sloužící k účinnějšímu určování rizik.</w:t>
      </w:r>
    </w:p>
    <w:p w14:paraId="0354BB48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2. Na informace poskytnuté na základě tohoto nařízení se vztahuje služební tajemství a jsou chráněny stejným způsobem, jako by byly chráněny vnitrostátními právními předpisy členského státu, který je poskytl, a příslušnými ustanoveními použitelnými na orgány Unie. Členské státy a Komise přijmou veškerá nezbytná opatření, aby zajistily, že tyto informace zůstanou důvěrné.</w:t>
      </w:r>
    </w:p>
    <w:p w14:paraId="64A17D0A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3. Informace podle odstavce 2 nesmí být zejména sděleny jiným osobám než osobám z členských států a z orgánů, institucí a jiných subjektů Unie, jejichž povinnosti vyžadují, aby k nim měly přístup, ledaže s tím členský stát, který informace poskytl, výslovně souhlasil.</w:t>
      </w:r>
    </w:p>
    <w:p w14:paraId="2246D835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>4. Informace podle odstavce 2 se nesmí používat pro žádné jiné účely, než je ochrana finančních zájmů Unie, ledaže s tím členský stát, který je poskytl, výslovně souhlasil.</w:t>
      </w:r>
    </w:p>
    <w:p w14:paraId="12E11F21" w14:textId="77777777" w:rsidR="0065658F" w:rsidRPr="009819FB" w:rsidRDefault="0065658F" w:rsidP="0065658F">
      <w:pPr>
        <w:pStyle w:val="Titrearticle"/>
        <w:rPr>
          <w:noProof/>
        </w:rPr>
      </w:pPr>
      <w:r w:rsidRPr="009819FB">
        <w:rPr>
          <w:noProof/>
        </w:rPr>
        <w:t>Článek 5</w:t>
      </w:r>
    </w:p>
    <w:p w14:paraId="6173FF77" w14:textId="77777777" w:rsidR="0065658F" w:rsidRPr="009819FB" w:rsidRDefault="0065658F" w:rsidP="0065658F">
      <w:pPr>
        <w:jc w:val="center"/>
        <w:rPr>
          <w:b/>
          <w:noProof/>
          <w:szCs w:val="24"/>
        </w:rPr>
      </w:pPr>
      <w:r w:rsidRPr="009819FB">
        <w:rPr>
          <w:b/>
          <w:noProof/>
        </w:rPr>
        <w:t>Vstup v platnost</w:t>
      </w:r>
    </w:p>
    <w:p w14:paraId="3A1C6733" w14:textId="77777777" w:rsidR="0065658F" w:rsidRPr="009819FB" w:rsidRDefault="0065658F" w:rsidP="0065658F">
      <w:pPr>
        <w:rPr>
          <w:noProof/>
        </w:rPr>
      </w:pPr>
      <w:r w:rsidRPr="009819FB">
        <w:rPr>
          <w:noProof/>
        </w:rPr>
        <w:t xml:space="preserve">Toto nařízení vstupuje v platnost prvním dnem po vyhlášení v </w:t>
      </w:r>
      <w:r w:rsidRPr="009819FB">
        <w:rPr>
          <w:i/>
          <w:noProof/>
        </w:rPr>
        <w:t>Úředním věstníku Evropské unie</w:t>
      </w:r>
      <w:r w:rsidRPr="009819FB">
        <w:rPr>
          <w:noProof/>
        </w:rPr>
        <w:t>.</w:t>
      </w:r>
    </w:p>
    <w:p w14:paraId="6EAFE9BD" w14:textId="77777777" w:rsidR="0065658F" w:rsidRPr="009819FB" w:rsidRDefault="0065658F" w:rsidP="0065658F">
      <w:pPr>
        <w:pStyle w:val="Applicationdirecte"/>
        <w:rPr>
          <w:noProof/>
        </w:rPr>
      </w:pPr>
      <w:r w:rsidRPr="009819FB">
        <w:rPr>
          <w:noProof/>
        </w:rPr>
        <w:t>Toto nařízení je závazné v celém rozsahu a přímo použitelné ve všech členských státech.</w:t>
      </w:r>
    </w:p>
    <w:p w14:paraId="6DA6EC2C" w14:textId="632981CE" w:rsidR="0065658F" w:rsidRPr="009819FB" w:rsidRDefault="004674F9" w:rsidP="00AC7B15">
      <w:pPr>
        <w:pStyle w:val="Fait"/>
        <w:rPr>
          <w:noProof/>
        </w:rPr>
      </w:pPr>
      <w:r w:rsidRPr="004674F9">
        <w:t>V Bruselu dne 18.12.2023</w:t>
      </w:r>
    </w:p>
    <w:p w14:paraId="220C1289" w14:textId="77777777" w:rsidR="004058F3" w:rsidRPr="009819FB" w:rsidRDefault="0065658F" w:rsidP="00AC7B15">
      <w:pPr>
        <w:pStyle w:val="Institutionquisigne"/>
        <w:rPr>
          <w:noProof/>
        </w:rPr>
      </w:pPr>
      <w:r w:rsidRPr="009819FB">
        <w:rPr>
          <w:noProof/>
        </w:rPr>
        <w:tab/>
        <w:t>Za Komisi</w:t>
      </w:r>
    </w:p>
    <w:p w14:paraId="442FDD99" w14:textId="1F894DD7" w:rsidR="004058F3" w:rsidRPr="009819FB" w:rsidRDefault="00FC4BF2" w:rsidP="00AC7B15">
      <w:pPr>
        <w:pStyle w:val="Personnequisigne"/>
        <w:keepNext/>
        <w:rPr>
          <w:noProof/>
        </w:rPr>
      </w:pPr>
      <w:r>
        <w:tab/>
        <w:t>předsedkyně</w:t>
      </w:r>
      <w:r>
        <w:br/>
      </w:r>
      <w:r>
        <w:tab/>
        <w:t>Ursula VON DER LEYEN</w:t>
      </w:r>
    </w:p>
    <w:p w14:paraId="3EE8AB65" w14:textId="2B10F3D9" w:rsidR="0065658F" w:rsidRPr="009819FB" w:rsidRDefault="0065658F" w:rsidP="004058F3">
      <w:pPr>
        <w:pStyle w:val="Institutionquisigne"/>
        <w:rPr>
          <w:noProof/>
        </w:rPr>
      </w:pPr>
    </w:p>
    <w:sectPr w:rsidR="0065658F" w:rsidRPr="009819FB" w:rsidSect="00A46F77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CB324" w14:textId="77777777" w:rsidR="00582D47" w:rsidRDefault="00582D47" w:rsidP="0065658F">
      <w:pPr>
        <w:spacing w:before="0" w:after="0"/>
      </w:pPr>
      <w:r>
        <w:separator/>
      </w:r>
    </w:p>
  </w:endnote>
  <w:endnote w:type="continuationSeparator" w:id="0">
    <w:p w14:paraId="487F4281" w14:textId="77777777" w:rsidR="00582D47" w:rsidRDefault="00582D47" w:rsidP="006565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748E" w14:textId="5797C4DB" w:rsidR="009819FB" w:rsidRPr="00A46F77" w:rsidRDefault="00A46F77" w:rsidP="00A46F77">
    <w:pPr>
      <w:pStyle w:val="Footer"/>
      <w:rPr>
        <w:rFonts w:ascii="Arial" w:hAnsi="Arial" w:cs="Arial"/>
        <w:b/>
        <w:sz w:val="48"/>
      </w:rPr>
    </w:pPr>
    <w:r w:rsidRPr="00A46F77">
      <w:rPr>
        <w:rFonts w:ascii="Arial" w:hAnsi="Arial" w:cs="Arial"/>
        <w:b/>
        <w:sz w:val="48"/>
      </w:rPr>
      <w:t>CS</w:t>
    </w:r>
    <w:r w:rsidRPr="00A46F77">
      <w:rPr>
        <w:rFonts w:ascii="Arial" w:hAnsi="Arial" w:cs="Arial"/>
        <w:b/>
        <w:sz w:val="48"/>
      </w:rPr>
      <w:tab/>
    </w:r>
    <w:r w:rsidRPr="00A46F77">
      <w:rPr>
        <w:rFonts w:ascii="Arial" w:hAnsi="Arial" w:cs="Arial"/>
        <w:b/>
        <w:sz w:val="48"/>
      </w:rPr>
      <w:tab/>
    </w:r>
    <w:r w:rsidRPr="00A46F77">
      <w:tab/>
    </w:r>
    <w:r w:rsidRPr="00A46F77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0300B" w14:textId="24B92BB4" w:rsidR="00A46F77" w:rsidRPr="00A46F77" w:rsidRDefault="00A46F77" w:rsidP="00A46F77">
    <w:pPr>
      <w:pStyle w:val="Footer"/>
      <w:rPr>
        <w:rFonts w:ascii="Arial" w:hAnsi="Arial" w:cs="Arial"/>
        <w:b/>
        <w:sz w:val="48"/>
      </w:rPr>
    </w:pPr>
    <w:r w:rsidRPr="00A46F77">
      <w:rPr>
        <w:rFonts w:ascii="Arial" w:hAnsi="Arial" w:cs="Arial"/>
        <w:b/>
        <w:sz w:val="48"/>
      </w:rPr>
      <w:t>CS</w:t>
    </w:r>
    <w:r w:rsidRPr="00A46F7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AC7B15">
      <w:rPr>
        <w:noProof/>
      </w:rPr>
      <w:t>7</w:t>
    </w:r>
    <w:r>
      <w:fldChar w:fldCharType="end"/>
    </w:r>
    <w:r>
      <w:tab/>
    </w:r>
    <w:r w:rsidRPr="00A46F77">
      <w:tab/>
    </w:r>
    <w:r w:rsidRPr="00A46F77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A0D9" w14:textId="77777777" w:rsidR="00A46F77" w:rsidRPr="00A46F77" w:rsidRDefault="00A46F77" w:rsidP="00A4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DB54" w14:textId="77777777" w:rsidR="00582D47" w:rsidRDefault="00582D47" w:rsidP="0065658F">
      <w:pPr>
        <w:spacing w:before="0" w:after="0"/>
      </w:pPr>
      <w:r>
        <w:separator/>
      </w:r>
    </w:p>
  </w:footnote>
  <w:footnote w:type="continuationSeparator" w:id="0">
    <w:p w14:paraId="4A15FEC9" w14:textId="77777777" w:rsidR="00582D47" w:rsidRDefault="00582D47" w:rsidP="0065658F">
      <w:pPr>
        <w:spacing w:before="0" w:after="0"/>
      </w:pPr>
      <w:r>
        <w:continuationSeparator/>
      </w:r>
    </w:p>
  </w:footnote>
  <w:footnote w:id="1">
    <w:p w14:paraId="410C646D" w14:textId="77777777" w:rsidR="0065658F" w:rsidRPr="0039474D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2021/691 ze dne 28. dubna 2021 o Evropském fondu pro přizpůsobení se globalizaci na pomoc propuštěným pracovníkům (EFG) a o zrušení nařízení (EU) č. 1309/2013 (Úř. věst. L 153, 3.5.2021, s. 48).</w:t>
      </w:r>
    </w:p>
  </w:footnote>
  <w:footnote w:id="2">
    <w:p w14:paraId="1375908D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2021/1060 ze dne 24. června 2021 o společných ustanoveních pro Evropský fond pro regionální rozvoj, Evropský sociální fond plus, Fond soudržnosti, Fond pro spravedlivou transformaci a Evropský námořní, rybářský a akvakulturní fond a o finančních pravidlech pro tyto fondy a pro Azylový, migrační a integrační fond, Fond pro vnitřní bezpečnost a Nástroj pro finanční podporu správy hranic a vízové politiky (Úř. věst. L 231, 30.6.2021, s. 159).</w:t>
      </w:r>
    </w:p>
    <w:p w14:paraId="20373ABB" w14:textId="77777777" w:rsidR="0065658F" w:rsidRPr="0039474D" w:rsidRDefault="0065658F" w:rsidP="0065658F">
      <w:pPr>
        <w:pStyle w:val="FootnoteText"/>
      </w:pPr>
    </w:p>
  </w:footnote>
  <w:footnote w:id="3">
    <w:p w14:paraId="01D4D2AE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Úř. věst. L 153, 3.5.2021, s. 48.</w:t>
      </w:r>
    </w:p>
  </w:footnote>
  <w:footnote w:id="4">
    <w:p w14:paraId="5CA32045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2021/1060 ze dne 24. června 2021 o společných ustanoveních pro Evropský fond pro regionální rozvoj, Evropský sociální fond plus, Fond soudržnosti, Fond pro spravedlivou transformaci a Evropský námořní, rybářský a akvakulturní fond a o finančních pravidlech pro tyto fondy a pro Azylový, migrační a integrační fond, Fond pro vnitřní bezpečnost a Nástroj pro finanční podporu správy hranic a vízové politiky (Úř. věst. L 231, 30.6.2021, s. 159).</w:t>
      </w:r>
    </w:p>
  </w:footnote>
  <w:footnote w:id="5">
    <w:p w14:paraId="7919E6B5" w14:textId="3E82BEB8" w:rsidR="00C657F3" w:rsidRPr="006E3055" w:rsidRDefault="00C657F3" w:rsidP="00C657F3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ab/>
        <w:t xml:space="preserve">Nařízení Komise v přenesené pravomoci (EU) …/ …, kterým se doplňuje nařízení Evropského parlamentu a Rady (EU) 2021/2116 o zvláštní ustanovení týkající se podávání zpráv o nesrovnalostech ohledně Evropského zemědělského záručního fondu a Evropského zemědělského fondu pro rozvoj venkova a kterým se zrušuje nařízení Komise (EU) 2015/1971 </w:t>
      </w:r>
      <w:r>
        <w:rPr>
          <w:i/>
        </w:rPr>
        <w:t>[Úřad pro publikace – vložte odkaz na nařízení Komise v přenesené pravomoci C(2023) 8459].</w:t>
      </w:r>
    </w:p>
  </w:footnote>
  <w:footnote w:id="6">
    <w:p w14:paraId="71B4B752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Směrnice Evropského parlamentu a Rady (EU) 2017/1371 ze dne 5. července 2017 o boji vedeném trestněprávní cestou proti podvodům poškozujícím finanční zájmy Unie (Úř. věst. L 198, 28.7.2017, s. 29).</w:t>
      </w:r>
    </w:p>
  </w:footnote>
  <w:footnote w:id="7">
    <w:p w14:paraId="3CE9B183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Úř. věst. C 316, 27.11.1995, s. 49.</w:t>
      </w:r>
    </w:p>
  </w:footnote>
  <w:footnote w:id="8">
    <w:p w14:paraId="6C4BB7A4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2016/679 ze dne 27. dubna 2016 o ochraně fyzických osob v souvislosti se zpracováním osobních údajů a o volném pohybu těchto údajů a o zrušení směrnice 95/46/ES (obecné nařízení o ochraně osobních údajů) (Úř. věst. L 119, 4.5.2016, s. 1).</w:t>
      </w:r>
    </w:p>
  </w:footnote>
  <w:footnote w:id="9">
    <w:p w14:paraId="2FD1129A" w14:textId="77777777" w:rsidR="0065658F" w:rsidRPr="007D1DE9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2018/1725 ze dne 23. října 2018 o ochraně fyzických osob v souvislosti se zpracováním osobních údajů orgány, institucemi a jinými subjekty Unie a o volném pohybu těchto údajů a o zrušení nařízení (ES) č. 45/2001 a rozhodnutí č. 1247/2002/ES (Úř. věst. L 295, 21.11.2018, s. 39).</w:t>
      </w:r>
    </w:p>
  </w:footnote>
  <w:footnote w:id="10">
    <w:p w14:paraId="02C379E3" w14:textId="77777777" w:rsidR="0065658F" w:rsidRPr="00A22C2B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(EU, Euratom) č. 883/2013 ze dne 11. září 2013 o vyšetřování prováděném Evropským úřadem pro boj proti podvodům (OLAF) a o zrušení nařízení Evropského parlamentu a Rady (ES) č. 1073/1999 a nařízení Rady (Euratom) č. 1074/1999 (Úř. věst. L 248, 18.9.2013, s. 1).</w:t>
      </w:r>
    </w:p>
  </w:footnote>
  <w:footnote w:id="11">
    <w:p w14:paraId="2027A813" w14:textId="77777777" w:rsidR="0065658F" w:rsidRPr="00A22C2B" w:rsidRDefault="0065658F" w:rsidP="0065658F">
      <w:pPr>
        <w:pStyle w:val="FootnoteText"/>
      </w:pPr>
      <w:r>
        <w:rPr>
          <w:rStyle w:val="FootnoteReference"/>
        </w:rPr>
        <w:footnoteRef/>
      </w:r>
      <w:r>
        <w:tab/>
        <w:t>Nařízení Rady (EU) 2017/1939 ze dne 12. října 2017, kterým se provádí posílená spolupráce za účelem zřízení Úřadu evropského veřejného žalobce (Úř. věst. L 283, 31.10.2017, s.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108D2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138A6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FBA1E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D040B7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598A0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3D670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9341E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B884E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12"/>
  </w:num>
  <w:num w:numId="28">
    <w:abstractNumId w:val="21"/>
  </w:num>
  <w:num w:numId="29">
    <w:abstractNumId w:val="11"/>
  </w:num>
  <w:num w:numId="30">
    <w:abstractNumId w:val="13"/>
  </w:num>
  <w:num w:numId="31">
    <w:abstractNumId w:val="14"/>
  </w:num>
  <w:num w:numId="32">
    <w:abstractNumId w:val="9"/>
  </w:num>
  <w:num w:numId="33">
    <w:abstractNumId w:val="20"/>
  </w:num>
  <w:num w:numId="34">
    <w:abstractNumId w:val="8"/>
  </w:num>
  <w:num w:numId="35">
    <w:abstractNumId w:val="15"/>
  </w:num>
  <w:num w:numId="36">
    <w:abstractNumId w:val="17"/>
  </w:num>
  <w:num w:numId="37">
    <w:abstractNumId w:val="18"/>
  </w:num>
  <w:num w:numId="38">
    <w:abstractNumId w:val="10"/>
  </w:num>
  <w:num w:numId="39">
    <w:abstractNumId w:val="16"/>
  </w:num>
  <w:num w:numId="4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12-11 09:47:0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125A5D17-AC98-44E3-BAE0-A22907683BC8"/>
    <w:docVar w:name="LW_COVERPAGE_TYPE" w:val="1"/>
    <w:docVar w:name="LW_CROSSREFERENCE" w:val="&lt;UNUSED&gt;"/>
    <w:docVar w:name="LW_DATE.ADOPT.CP" w:val="ze dne 18.12.2023"/>
    <w:docVar w:name="LW_DATE.ADOPT.CP_DATEFORMAT" w:val="ze dne %DATE%,"/>
    <w:docVar w:name="LW_DATE.ADOPT.CP_ISODATE" w:val="2023-12-18"/>
    <w:docVar w:name="LW_DocType" w:val="COM"/>
    <w:docVar w:name="LW_EMISSION" w:val="18.12.2023"/>
    <w:docVar w:name="LW_EMISSION_ISODATE" w:val="2023-12-18"/>
    <w:docVar w:name="LW_EMISSION_LOCATION" w:val="BRX"/>
    <w:docVar w:name="LW_EMISSION_PREFIX" w:val="V Bruselu dne "/>
    <w:docVar w:name="LW_EMISSION_SUFFIX" w:val=" "/>
    <w:docVar w:name="LW_ID_DOCMODEL" w:val="SJ-003"/>
    <w:docVar w:name="LW_ID_DOCSIGNATURE" w:val="SJ-003"/>
    <w:docVar w:name="LW_ID_DOCSTRUCTURE" w:val="COM/AA"/>
    <w:docVar w:name="LW_ID_DOCTYPE" w:val="SJ-003"/>
    <w:docVar w:name="LW_INSERT_EXP.MOTIFS.NEW" w:val="1"/>
    <w:docVar w:name="LW_INTERETEEE.CP" w:val="&lt;UNUSED&gt;"/>
    <w:docVar w:name="LW_LANGUE" w:val="CS"/>
    <w:docVar w:name="LW_LANGUESFAISANTFOI.CP" w:val="&lt;UNUSED&gt;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3) 845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erým se doplňuje nařízení Evropského parlamentu a Rady (EU) 2021/691 o zvláštní ustanovení týkající se podávání zpráv o nesrovnalostech týkajících se Evropského fondu pro přizpůsobení se globalizaci na pomoc propuštěným pracovníkům (EFG)"/>
    <w:docVar w:name="LW_TYPE.DOC.CP" w:val="NAŘÍZENÍ KOMISE V PŘENESENÉ PRAVOMOCI (EU) …/..."/>
    <w:docVar w:name="LwApiVersions" w:val="LW4CoDe 1.23.2.0; LW 8.0, Build 20211117"/>
  </w:docVars>
  <w:rsids>
    <w:rsidRoot w:val="0065658F"/>
    <w:rsid w:val="000B494A"/>
    <w:rsid w:val="000F4843"/>
    <w:rsid w:val="001065F5"/>
    <w:rsid w:val="001238EF"/>
    <w:rsid w:val="001556D7"/>
    <w:rsid w:val="00197613"/>
    <w:rsid w:val="002063F1"/>
    <w:rsid w:val="00233DC7"/>
    <w:rsid w:val="00236BFB"/>
    <w:rsid w:val="00247779"/>
    <w:rsid w:val="00275CF9"/>
    <w:rsid w:val="00285BEE"/>
    <w:rsid w:val="0029533F"/>
    <w:rsid w:val="002B2471"/>
    <w:rsid w:val="002B30AF"/>
    <w:rsid w:val="0030405F"/>
    <w:rsid w:val="0033344A"/>
    <w:rsid w:val="00397554"/>
    <w:rsid w:val="004058F3"/>
    <w:rsid w:val="0042648E"/>
    <w:rsid w:val="004674F9"/>
    <w:rsid w:val="004874D2"/>
    <w:rsid w:val="004936D2"/>
    <w:rsid w:val="004D0445"/>
    <w:rsid w:val="00505F5A"/>
    <w:rsid w:val="00582D47"/>
    <w:rsid w:val="00586D3D"/>
    <w:rsid w:val="005B1EB6"/>
    <w:rsid w:val="005E3DF4"/>
    <w:rsid w:val="005F5AE2"/>
    <w:rsid w:val="006059E9"/>
    <w:rsid w:val="006318A4"/>
    <w:rsid w:val="0065658F"/>
    <w:rsid w:val="006579FE"/>
    <w:rsid w:val="006642DC"/>
    <w:rsid w:val="0067767E"/>
    <w:rsid w:val="006C732B"/>
    <w:rsid w:val="006E3055"/>
    <w:rsid w:val="00700510"/>
    <w:rsid w:val="00747713"/>
    <w:rsid w:val="00773331"/>
    <w:rsid w:val="007932EF"/>
    <w:rsid w:val="007A166A"/>
    <w:rsid w:val="007E05B0"/>
    <w:rsid w:val="007F41A0"/>
    <w:rsid w:val="008066EE"/>
    <w:rsid w:val="00834D14"/>
    <w:rsid w:val="00846218"/>
    <w:rsid w:val="00874D22"/>
    <w:rsid w:val="008A2914"/>
    <w:rsid w:val="008E4D8E"/>
    <w:rsid w:val="00916F00"/>
    <w:rsid w:val="00922689"/>
    <w:rsid w:val="00932C57"/>
    <w:rsid w:val="00971BCC"/>
    <w:rsid w:val="009819FB"/>
    <w:rsid w:val="009F6CEC"/>
    <w:rsid w:val="00A01534"/>
    <w:rsid w:val="00A34F7F"/>
    <w:rsid w:val="00A46F77"/>
    <w:rsid w:val="00AC7B15"/>
    <w:rsid w:val="00C12301"/>
    <w:rsid w:val="00C450C0"/>
    <w:rsid w:val="00C657F3"/>
    <w:rsid w:val="00CE4633"/>
    <w:rsid w:val="00D20381"/>
    <w:rsid w:val="00D42E8F"/>
    <w:rsid w:val="00DA4DA4"/>
    <w:rsid w:val="00DE236B"/>
    <w:rsid w:val="00E16147"/>
    <w:rsid w:val="00E30A38"/>
    <w:rsid w:val="00E74149"/>
    <w:rsid w:val="00F30CAE"/>
    <w:rsid w:val="00F7232D"/>
    <w:rsid w:val="00FC38F8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C4FF6C"/>
  <w15:docId w15:val="{F425C406-BF13-4606-AE93-26809F18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7F41A0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F41A0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7F41A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41A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41A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41A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7F41A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F41A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F41A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F41A0"/>
    <w:pPr>
      <w:numPr>
        <w:numId w:val="9"/>
      </w:numPr>
      <w:contextualSpacing/>
    </w:pPr>
  </w:style>
  <w:style w:type="paragraph" w:styleId="Revision">
    <w:name w:val="Revision"/>
    <w:hidden/>
    <w:uiPriority w:val="99"/>
    <w:semiHidden/>
    <w:rsid w:val="004058F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55"/>
    <w:rPr>
      <w:rFonts w:ascii="Segoe UI" w:hAnsi="Segoe UI" w:cs="Segoe UI"/>
      <w:sz w:val="18"/>
      <w:szCs w:val="18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A46F77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6F77"/>
    <w:rPr>
      <w:rFonts w:ascii="Times New Roman" w:hAnsi="Times New Roman"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A46F7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46F77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A46F77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46F77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46F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46F77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46F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Tiret5">
    <w:name w:val="Tiret 5"/>
    <w:basedOn w:val="Point5"/>
    <w:pPr>
      <w:numPr>
        <w:numId w:val="3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4"/>
      </w:numPr>
    </w:pPr>
  </w:style>
  <w:style w:type="paragraph" w:customStyle="1" w:styleId="Point1number">
    <w:name w:val="Point 1 (number)"/>
    <w:basedOn w:val="Normal"/>
    <w:pPr>
      <w:numPr>
        <w:ilvl w:val="2"/>
        <w:numId w:val="34"/>
      </w:numPr>
    </w:pPr>
  </w:style>
  <w:style w:type="paragraph" w:customStyle="1" w:styleId="Point2number">
    <w:name w:val="Point 2 (number)"/>
    <w:basedOn w:val="Normal"/>
    <w:pPr>
      <w:numPr>
        <w:ilvl w:val="4"/>
        <w:numId w:val="34"/>
      </w:numPr>
    </w:pPr>
  </w:style>
  <w:style w:type="paragraph" w:customStyle="1" w:styleId="Point3number">
    <w:name w:val="Point 3 (number)"/>
    <w:basedOn w:val="Normal"/>
    <w:pPr>
      <w:numPr>
        <w:ilvl w:val="6"/>
        <w:numId w:val="34"/>
      </w:numPr>
    </w:pPr>
  </w:style>
  <w:style w:type="paragraph" w:customStyle="1" w:styleId="Point0letter">
    <w:name w:val="Point 0 (letter)"/>
    <w:basedOn w:val="Normal"/>
    <w:pPr>
      <w:numPr>
        <w:ilvl w:val="1"/>
        <w:numId w:val="34"/>
      </w:numPr>
    </w:pPr>
  </w:style>
  <w:style w:type="paragraph" w:customStyle="1" w:styleId="Point1letter">
    <w:name w:val="Point 1 (letter)"/>
    <w:basedOn w:val="Normal"/>
    <w:pPr>
      <w:numPr>
        <w:ilvl w:val="3"/>
        <w:numId w:val="34"/>
      </w:numPr>
    </w:pPr>
  </w:style>
  <w:style w:type="paragraph" w:customStyle="1" w:styleId="Point2letter">
    <w:name w:val="Point 2 (letter)"/>
    <w:basedOn w:val="Normal"/>
    <w:pPr>
      <w:numPr>
        <w:ilvl w:val="5"/>
        <w:numId w:val="34"/>
      </w:numPr>
    </w:pPr>
  </w:style>
  <w:style w:type="paragraph" w:customStyle="1" w:styleId="Point3letter">
    <w:name w:val="Point 3 (letter)"/>
    <w:basedOn w:val="Normal"/>
    <w:pPr>
      <w:numPr>
        <w:ilvl w:val="7"/>
        <w:numId w:val="34"/>
      </w:numPr>
    </w:pPr>
  </w:style>
  <w:style w:type="paragraph" w:customStyle="1" w:styleId="Point4letter">
    <w:name w:val="Point 4 (letter)"/>
    <w:basedOn w:val="Normal"/>
    <w:pPr>
      <w:numPr>
        <w:ilvl w:val="8"/>
        <w:numId w:val="34"/>
      </w:numPr>
    </w:pPr>
  </w:style>
  <w:style w:type="paragraph" w:customStyle="1" w:styleId="Bullet0">
    <w:name w:val="Bullet 0"/>
    <w:basedOn w:val="Normal"/>
    <w:pPr>
      <w:numPr>
        <w:numId w:val="35"/>
      </w:numPr>
    </w:pPr>
  </w:style>
  <w:style w:type="paragraph" w:customStyle="1" w:styleId="Bullet1">
    <w:name w:val="Bullet 1"/>
    <w:basedOn w:val="Normal"/>
    <w:pPr>
      <w:numPr>
        <w:numId w:val="36"/>
      </w:numPr>
    </w:pPr>
  </w:style>
  <w:style w:type="paragraph" w:customStyle="1" w:styleId="Bullet2">
    <w:name w:val="Bullet 2"/>
    <w:basedOn w:val="Normal"/>
    <w:pPr>
      <w:numPr>
        <w:numId w:val="37"/>
      </w:numPr>
    </w:pPr>
  </w:style>
  <w:style w:type="paragraph" w:customStyle="1" w:styleId="Bullet3">
    <w:name w:val="Bullet 3"/>
    <w:basedOn w:val="Normal"/>
    <w:pPr>
      <w:numPr>
        <w:numId w:val="38"/>
      </w:numPr>
    </w:pPr>
  </w:style>
  <w:style w:type="paragraph" w:customStyle="1" w:styleId="Bullet4">
    <w:name w:val="Bullet 4"/>
    <w:basedOn w:val="Normal"/>
    <w:pPr>
      <w:numPr>
        <w:numId w:val="3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9</TotalTime>
  <Pages>8</Pages>
  <Words>2215</Words>
  <Characters>12825</Characters>
  <Application>Microsoft Office Word</Application>
  <DocSecurity>0</DocSecurity>
  <Lines>233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2023-12-06T14:37:00Z</dcterms:created>
  <dcterms:modified xsi:type="dcterms:W3CDTF">2023-12-11T08:47:00Z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8.1, Build 20220902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2023-12-04T11:56:31Z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423fde6d-481f-4d16-8d59-2c771f297823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  <property name="OP_sanitized" fmtid="{D5CDD505-2E9C-101B-9397-08002B2CF9AE}" pid="18">
    <vt:lpwstr>True</vt:lpwstr>
  </property>
</Properties>
</file>