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6CF3B" w14:textId="2E75C5FE" w:rsidR="006104B5" w:rsidRPr="003D5D41" w:rsidRDefault="00816BA8" w:rsidP="00816BA8">
      <w:pPr>
        <w:pStyle w:val="Pagedecouverture"/>
        <w:rPr>
          <w:noProof/>
        </w:rPr>
      </w:pPr>
      <w:r>
        <w:rPr>
          <w:noProof/>
        </w:rPr>
        <w:pict w14:anchorId="7FE25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13066B91-09BD-4EDE-8280-144A6CFBECFA" style="width:455.25pt;height:385.5pt">
            <v:imagedata r:id="rId11" o:title=""/>
          </v:shape>
        </w:pict>
      </w:r>
    </w:p>
    <w:p w14:paraId="3D67335B" w14:textId="77777777" w:rsidR="000C091A" w:rsidRPr="003D5D41" w:rsidRDefault="000C091A" w:rsidP="000C091A">
      <w:pPr>
        <w:pStyle w:val="Pagedecouverture"/>
        <w:rPr>
          <w:noProof/>
        </w:rPr>
        <w:sectPr w:rsidR="000C091A" w:rsidRPr="003D5D41" w:rsidSect="00816BA8">
          <w:footerReference w:type="default" r:id="rId12"/>
          <w:pgSz w:w="11907" w:h="16839"/>
          <w:pgMar w:top="1134" w:right="1417" w:bottom="1134" w:left="1417" w:header="709" w:footer="709" w:gutter="0"/>
          <w:pgNumType w:start="0"/>
          <w:cols w:space="720"/>
          <w:docGrid w:linePitch="360"/>
        </w:sectPr>
      </w:pPr>
    </w:p>
    <w:p w14:paraId="2F63CC5E" w14:textId="77777777" w:rsidR="00C70E14" w:rsidRPr="003D5D41" w:rsidRDefault="00C70E14" w:rsidP="00880325">
      <w:pPr>
        <w:pStyle w:val="Exposdesmotifstitre"/>
        <w:rPr>
          <w:noProof/>
        </w:rPr>
      </w:pPr>
      <w:bookmarkStart w:id="0" w:name="_GoBack"/>
      <w:bookmarkEnd w:id="0"/>
      <w:r w:rsidRPr="003D5D41">
        <w:rPr>
          <w:noProof/>
        </w:rPr>
        <w:lastRenderedPageBreak/>
        <w:t>DŮVODOVÁ ZPRÁVA</w:t>
      </w:r>
    </w:p>
    <w:p w14:paraId="22A402C6" w14:textId="77777777" w:rsidR="00C70E14" w:rsidRPr="003D5D41" w:rsidRDefault="00C70E14" w:rsidP="00880325">
      <w:pPr>
        <w:pStyle w:val="ManualHeading1"/>
        <w:rPr>
          <w:noProof/>
        </w:rPr>
      </w:pPr>
      <w:r w:rsidRPr="003D5D41">
        <w:rPr>
          <w:noProof/>
        </w:rPr>
        <w:t>1.</w:t>
      </w:r>
      <w:r w:rsidRPr="003D5D41">
        <w:rPr>
          <w:noProof/>
        </w:rPr>
        <w:tab/>
        <w:t>SOUVISLOSTI AKTU V PŘENESENÉ PRAVOMOCI</w:t>
      </w:r>
    </w:p>
    <w:p w14:paraId="090B2A7E" w14:textId="77777777" w:rsidR="00D274D0" w:rsidRPr="003D5D41" w:rsidRDefault="00B1320A" w:rsidP="008D57CB">
      <w:pPr>
        <w:rPr>
          <w:rFonts w:asciiTheme="majorBidi" w:eastAsia="Times New Roman" w:hAnsiTheme="majorBidi" w:cstheme="majorBidi"/>
          <w:noProof/>
          <w:w w:val="0"/>
          <w:szCs w:val="24"/>
        </w:rPr>
      </w:pPr>
      <w:r w:rsidRPr="003D5D41">
        <w:rPr>
          <w:noProof/>
        </w:rPr>
        <w:t>Dne 16. ledna 2023 vstoupila v platnost směrnice Evropského parlamentu a Rady (EU) 2022/2557 ze dne 14. prosince 2022 o odolnosti kritických subjektů a o zrušení směrnice Rady 2008/114/ES</w:t>
      </w:r>
      <w:r w:rsidRPr="003D5D41">
        <w:rPr>
          <w:rStyle w:val="FootnoteReference"/>
          <w:noProof/>
        </w:rPr>
        <w:footnoteReference w:id="2"/>
      </w:r>
      <w:r w:rsidRPr="003D5D41">
        <w:rPr>
          <w:noProof/>
        </w:rPr>
        <w:t xml:space="preserve"> (dále také jen „směrnice o odolnosti kritických subjektů“). Cílem směrnice o odolnosti kritických subjektů je zajistit, aby služby nezbytné pro zachování nejdůležitějších společenských funkcí nebo hospodářských činností </w:t>
      </w:r>
      <w:r w:rsidRPr="003D5D41">
        <w:rPr>
          <w:rFonts w:asciiTheme="majorBidi" w:hAnsiTheme="majorBidi"/>
          <w:noProof/>
        </w:rPr>
        <w:t xml:space="preserve">byly </w:t>
      </w:r>
      <w:r w:rsidRPr="003D5D41">
        <w:rPr>
          <w:noProof/>
        </w:rPr>
        <w:t>na vnitřním trhu poskytovány neomezeně a aby byla posílena odolnost kritických subjektů poskytujících tyto služby.</w:t>
      </w:r>
    </w:p>
    <w:p w14:paraId="0C69DEF8" w14:textId="77BE223A" w:rsidR="00050157" w:rsidRPr="003D5D41" w:rsidRDefault="00A1079A" w:rsidP="008D57CB">
      <w:pPr>
        <w:rPr>
          <w:noProof/>
        </w:rPr>
      </w:pPr>
      <w:r w:rsidRPr="003D5D41">
        <w:rPr>
          <w:noProof/>
        </w:rPr>
        <w:t xml:space="preserve">Směrnice o odolnosti kritických subjektů stanoví povinnosti pro kritické subjekty s cílem posílit jejich odolnost a pravidla pro dohled nad kritickými subjekty, vymáhání a určení kritických subjektů zvláštního evropského významu. Stanoví rovněž společná pravidla pro spolupráci mezi členskými státy a podávání zpráv o uplatňování směrnice. </w:t>
      </w:r>
    </w:p>
    <w:p w14:paraId="265E7818" w14:textId="77777777" w:rsidR="00F45A8C" w:rsidRPr="003D5D41" w:rsidRDefault="008D57CB" w:rsidP="008D57CB">
      <w:pPr>
        <w:rPr>
          <w:rFonts w:asciiTheme="majorBidi" w:eastAsia="Times New Roman" w:hAnsiTheme="majorBidi" w:cstheme="majorBidi"/>
          <w:noProof/>
          <w:w w:val="0"/>
          <w:szCs w:val="24"/>
        </w:rPr>
      </w:pPr>
      <w:r w:rsidRPr="003D5D41">
        <w:rPr>
          <w:noProof/>
        </w:rPr>
        <w:t xml:space="preserve">Směrnice o odolnosti kritických subjektů zejména stanoví členským státům povinnost provádět posouzení rizik a určit kritické subjekty, které poskytují základní služby. V této souvislosti je Komisi podle článku 5 směrnice o odolnosti kritických subjektů a v souladu s podmínkami stanovenými v článku 23 směrnice svěřena pravomoc přijmout do </w:t>
      </w:r>
      <w:r w:rsidRPr="003D5D41">
        <w:rPr>
          <w:noProof/>
          <w:color w:val="333333"/>
          <w:shd w:val="clear" w:color="auto" w:fill="FFFFFF"/>
        </w:rPr>
        <w:t xml:space="preserve">17. listopadu 2023 akt v přenesené pravomoci </w:t>
      </w:r>
      <w:r w:rsidRPr="003D5D41">
        <w:rPr>
          <w:noProof/>
        </w:rPr>
        <w:t xml:space="preserve">za účelem doplnění zmíněné směrnice stanovením seznamu základních služeb v odvětvích a pododvětvích uvedených v její příloze. </w:t>
      </w:r>
      <w:r w:rsidRPr="003D5D41">
        <w:rPr>
          <w:rFonts w:asciiTheme="majorBidi" w:hAnsiTheme="majorBidi"/>
          <w:noProof/>
        </w:rPr>
        <w:t xml:space="preserve">Tento seznam budou příslušné orgány v souladu se směrnicí o odolnosti kritických subjektů používat pro účely provedení posouzení rizik a následně pro určení kritických subjektů podle uvedené směrnice. </w:t>
      </w:r>
    </w:p>
    <w:p w14:paraId="549B969A" w14:textId="1CB6AB4A" w:rsidR="00046DE3" w:rsidRPr="003D5D41" w:rsidRDefault="009906FA" w:rsidP="008D57CB">
      <w:pPr>
        <w:rPr>
          <w:rFonts w:eastAsia="Times New Roman" w:cs="Arial"/>
          <w:noProof/>
          <w:w w:val="0"/>
        </w:rPr>
      </w:pPr>
      <w:r w:rsidRPr="003D5D41">
        <w:rPr>
          <w:rFonts w:asciiTheme="majorBidi" w:hAnsiTheme="majorBidi"/>
          <w:noProof/>
        </w:rPr>
        <w:t>S ohledem na přístup spočívající v minimální harmonizaci, který je v uvedené směrnici uplatňován, a na to, že je tento seznam demonstrativní, by jej členské státy v souladu s právními předpisy EU mohly doplnit o další základní služby na vnitrostátní úrovni, zejména s cílem zohlednit vnitrostátní specifika při poskytování základních služeb.</w:t>
      </w:r>
    </w:p>
    <w:p w14:paraId="6FED68DC" w14:textId="77777777" w:rsidR="00050157" w:rsidRPr="003D5D41" w:rsidRDefault="00050157" w:rsidP="008D57CB">
      <w:pPr>
        <w:rPr>
          <w:noProof/>
        </w:rPr>
      </w:pPr>
      <w:r w:rsidRPr="003D5D41">
        <w:rPr>
          <w:noProof/>
        </w:rPr>
        <w:t>Doporučení Rady o celounijním koordinovaném přístupu za účelem posílení odolnosti kritické infrastruktury</w:t>
      </w:r>
      <w:r w:rsidRPr="003D5D41">
        <w:rPr>
          <w:rStyle w:val="FootnoteReference"/>
          <w:noProof/>
        </w:rPr>
        <w:footnoteReference w:id="3"/>
      </w:r>
      <w:r w:rsidRPr="003D5D41">
        <w:rPr>
          <w:noProof/>
        </w:rPr>
        <w:t xml:space="preserve"> vyzývá Komisi, aby tento akt v přenesené pravomoci přijala včas.</w:t>
      </w:r>
    </w:p>
    <w:p w14:paraId="01DCB4BD" w14:textId="77777777" w:rsidR="00C70E14" w:rsidRPr="003D5D41" w:rsidRDefault="00C70E14" w:rsidP="00880325">
      <w:pPr>
        <w:pStyle w:val="ManualHeading1"/>
        <w:rPr>
          <w:noProof/>
        </w:rPr>
      </w:pPr>
      <w:r w:rsidRPr="003D5D41">
        <w:rPr>
          <w:noProof/>
        </w:rPr>
        <w:t>2.</w:t>
      </w:r>
      <w:r w:rsidRPr="003D5D41">
        <w:rPr>
          <w:noProof/>
        </w:rPr>
        <w:tab/>
        <w:t>KONZULTACE PŘED PŘIJETÍM PRÁVNÍHO AKTU</w:t>
      </w:r>
    </w:p>
    <w:p w14:paraId="0B0E7108" w14:textId="77777777" w:rsidR="00FD7ABB" w:rsidRPr="003D5D41" w:rsidRDefault="00046DE3" w:rsidP="00FD7ABB">
      <w:pPr>
        <w:autoSpaceDE w:val="0"/>
        <w:autoSpaceDN w:val="0"/>
        <w:adjustRightInd w:val="0"/>
        <w:rPr>
          <w:rFonts w:eastAsia="Times New Roman" w:cs="Arial"/>
          <w:noProof/>
          <w:w w:val="0"/>
        </w:rPr>
      </w:pPr>
      <w:r w:rsidRPr="003D5D41">
        <w:rPr>
          <w:noProof/>
        </w:rPr>
        <w:t>Komise v rámci přípravné práce na tomto aktu v přenesené pravomoci vedla odpovídající konzultace se zástupci členských států, a to i na odborné úrovni. Kromě toho v souladu se zásadami stanovenými v interinstitucionální dohodě ze dne 13. dubna 2016 o zdokonalení tvorby právních předpisů</w:t>
      </w:r>
      <w:bookmarkStart w:id="1" w:name="_DV_C436"/>
      <w:r w:rsidRPr="003D5D41">
        <w:rPr>
          <w:rStyle w:val="FootnoteReference"/>
          <w:noProof/>
        </w:rPr>
        <w:footnoteReference w:id="4"/>
      </w:r>
      <w:bookmarkEnd w:id="1"/>
      <w:r w:rsidRPr="003D5D41">
        <w:rPr>
          <w:noProof/>
        </w:rPr>
        <w:t xml:space="preserve"> v zájmu zajištění rovné účasti na vypracovávání aktů v přenesené pravomoci obdržely Evropský parlament a Rada veškeré dokumenty současně s odborníky z členských států a jejich odborníci měli v roli pozorovatelů automaticky přístup na setkání expertní skupiny Komise, která se přípravě aktu v přenesené pravomoci věnovala, a účastnili se jich.</w:t>
      </w:r>
    </w:p>
    <w:p w14:paraId="4413067E" w14:textId="77777777" w:rsidR="00046DE3" w:rsidRPr="003D5D41" w:rsidRDefault="00046DE3" w:rsidP="00880325">
      <w:pPr>
        <w:rPr>
          <w:noProof/>
        </w:rPr>
      </w:pPr>
      <w:bookmarkStart w:id="2" w:name="_Hlk131435809"/>
      <w:r w:rsidRPr="003D5D41">
        <w:rPr>
          <w:noProof/>
        </w:rPr>
        <w:t xml:space="preserve">První formální konzultace s odborníky z členských států se uskutečnila dne 25. ledna 2023 v rámci skupiny pro odolnost kritických subjektů (CERG), zřízené směrnicí o odolnosti kritických subjektů. Členské státy byly vyzvány, aby se k předloze textu vyjádřily, a to jak na setkání, tak následně písemně. </w:t>
      </w:r>
      <w:bookmarkStart w:id="3" w:name="_Hlk131435738"/>
    </w:p>
    <w:bookmarkEnd w:id="3"/>
    <w:p w14:paraId="28ECDE4A" w14:textId="0C301819" w:rsidR="00046DE3" w:rsidRPr="003D5D41" w:rsidRDefault="00577478" w:rsidP="00880325">
      <w:pPr>
        <w:rPr>
          <w:noProof/>
        </w:rPr>
      </w:pPr>
      <w:r w:rsidRPr="003D5D41">
        <w:rPr>
          <w:noProof/>
        </w:rPr>
        <w:t>Druhá formální konzultace v rámci skupiny CERG se uskutečnila dne 20. března. Konsolidované znění tohoto aktu v přenesené pravomoci bylo členským státům zasláno dne 1. června 2023 a v příslušném případě do něj byly začleněny relevantní připomínky.</w:t>
      </w:r>
    </w:p>
    <w:p w14:paraId="2218953A" w14:textId="04B464D5" w:rsidR="005E6403" w:rsidRPr="003D5D41" w:rsidRDefault="005E6403" w:rsidP="005E6403">
      <w:pPr>
        <w:rPr>
          <w:noProof/>
        </w:rPr>
      </w:pPr>
      <w:r w:rsidRPr="003D5D41">
        <w:rPr>
          <w:noProof/>
        </w:rPr>
        <w:t>Zápisy a program jednání byly v souladu se zásadou transparentnosti a řádné správy zveřejněny v Rejstříku expertních skupin (REGEXP).</w:t>
      </w:r>
    </w:p>
    <w:p w14:paraId="35E6F3A3" w14:textId="1FAFE309" w:rsidR="00E37C8D" w:rsidRPr="003D5D41" w:rsidRDefault="00E37C8D" w:rsidP="00E37C8D">
      <w:pPr>
        <w:rPr>
          <w:noProof/>
        </w:rPr>
      </w:pPr>
      <w:r w:rsidRPr="003D5D41">
        <w:rPr>
          <w:noProof/>
        </w:rPr>
        <w:t>Kromě toho byla předloha po dobu čtyř týdnů zveřejněna na internetových stránkách Komise „Podělte se o svůj názor“ s cílem získat zpětnou vazbu od veřejnosti. Toto období skončilo dne 29. června 2023, k předloze se vyjádřilo deset občanů a soukromých a veřejných subjektů, včetně sdružení, a tato zpětná vazba byla v příslušných případech a s ohledem na oblast působnosti předlohy vzata v úvahu. Zejména byl změněn čl. 2 odst. 2 písm. c) bod ii) tak, že byl odstraněn odkaz na „bezpečnostní služby“ jako příklad služeb poskytovaných řídícími orgány přístavů, včetně jejich přístavních zařízení.</w:t>
      </w:r>
    </w:p>
    <w:bookmarkEnd w:id="2"/>
    <w:p w14:paraId="24218B78" w14:textId="77777777" w:rsidR="005E6403" w:rsidRPr="003D5D41" w:rsidRDefault="005E6403" w:rsidP="00880325">
      <w:pPr>
        <w:rPr>
          <w:noProof/>
        </w:rPr>
      </w:pPr>
    </w:p>
    <w:p w14:paraId="35F03351" w14:textId="77777777" w:rsidR="00C70E14" w:rsidRPr="003D5D41" w:rsidRDefault="00C70E14" w:rsidP="00880325">
      <w:pPr>
        <w:pStyle w:val="ManualHeading1"/>
        <w:rPr>
          <w:noProof/>
        </w:rPr>
      </w:pPr>
      <w:r w:rsidRPr="003D5D41">
        <w:rPr>
          <w:noProof/>
        </w:rPr>
        <w:t>3.</w:t>
      </w:r>
      <w:r w:rsidRPr="003D5D41">
        <w:rPr>
          <w:noProof/>
        </w:rPr>
        <w:tab/>
        <w:t>PRÁVNÍ STRÁNKA AKTU V PŘENESENÉ PRAVOMOCI</w:t>
      </w:r>
    </w:p>
    <w:p w14:paraId="5AED7128" w14:textId="77777777" w:rsidR="009D4CE0" w:rsidRPr="003D5D41" w:rsidRDefault="00B82989" w:rsidP="005F7E46">
      <w:pPr>
        <w:rPr>
          <w:noProof/>
        </w:rPr>
      </w:pPr>
      <w:r w:rsidRPr="003D5D41">
        <w:rPr>
          <w:noProof/>
        </w:rPr>
        <w:t xml:space="preserve">Tento akt v přenesené pravomoci se přijímá na základě pravomoci svěřené Komisi v čl. 5 odst. 1 směrnice o odolnosti kritických subjektů v souladu s článkem 290 Smlouvy o fungování EU a za podmínek stanovených v článku 23 směrnice o odolnosti kritických subjektů. </w:t>
      </w:r>
    </w:p>
    <w:p w14:paraId="621AF75A" w14:textId="28D156E9" w:rsidR="0050396D" w:rsidRPr="003D5D41" w:rsidRDefault="0052335E" w:rsidP="0050396D">
      <w:pPr>
        <w:rPr>
          <w:rFonts w:eastAsia="Times New Roman"/>
          <w:noProof/>
          <w:w w:val="0"/>
          <w:szCs w:val="24"/>
        </w:rPr>
      </w:pPr>
      <w:r w:rsidRPr="003D5D41">
        <w:rPr>
          <w:noProof/>
        </w:rPr>
        <w:t>Tento akt v přenesené pravomoci stanoví demonstrativní seznam základních služeb, které soukromé nebo veřejné subjekty uvedené ve třetím sloupci přílohy směrnice („kategorie subjektů“) poskytují v odvětvích a pododvětvích uvedených ve zmíněné příloze. Seznam základních služeb musí být vykládán v úzkém spojení s tímto třetím sloupcem, neboť za základní služby se považují pouze služby poskytované těmito konkrétními subjekty uvedenými v tomto třetím sloupci, jak jsou definovány v příslušných právních předpisech. Tento seznam dále musí být vykládán s ohledem na definici základních služeb podle čl. 2 odst. 5 směrnice o odolnosti kritických subjektů. Podle uvedeného článku se základními službami rozumí služby, které jsou zásadní pro zachování nejdůležitějších společenských funkcí, hospodářských činností, veřejného zdraví a bezpečnosti nebo životního prostředí.</w:t>
      </w:r>
    </w:p>
    <w:p w14:paraId="3F902025" w14:textId="77777777" w:rsidR="009D4CE0" w:rsidRPr="003D5D41" w:rsidRDefault="0050396D" w:rsidP="00337042">
      <w:pPr>
        <w:rPr>
          <w:rFonts w:eastAsia="Times New Roman"/>
          <w:noProof/>
          <w:w w:val="0"/>
          <w:szCs w:val="24"/>
        </w:rPr>
      </w:pPr>
      <w:r w:rsidRPr="003D5D41">
        <w:rPr>
          <w:noProof/>
        </w:rPr>
        <w:t xml:space="preserve">Z hlediska zahrnutých odvětví zahrnuje tento seznam základní služby v následujících odvětvích: energetika, doprava, digitální infrastruktura, bankovnictví, infrastruktura finančních trhů, zdraví, pitná voda, odpadní voda, veřejná správa, vesmír a výroba, zpracování a distribuce potravin. </w:t>
      </w:r>
    </w:p>
    <w:p w14:paraId="172E0D3A" w14:textId="29080052" w:rsidR="00B82989" w:rsidRPr="003D5D41" w:rsidRDefault="009134EB" w:rsidP="00337042">
      <w:pPr>
        <w:pStyle w:val="Default"/>
        <w:jc w:val="both"/>
        <w:rPr>
          <w:rFonts w:ascii="Times New Roman" w:eastAsia="Times New Roman" w:hAnsi="Times New Roman" w:cs="Times New Roman"/>
          <w:noProof/>
          <w:w w:val="0"/>
        </w:rPr>
      </w:pPr>
      <w:bookmarkStart w:id="4" w:name="_DV_M404"/>
      <w:bookmarkStart w:id="5" w:name="_DV_M405"/>
      <w:bookmarkEnd w:id="4"/>
      <w:bookmarkEnd w:id="5"/>
      <w:r w:rsidRPr="003D5D41">
        <w:rPr>
          <w:rFonts w:ascii="Times New Roman" w:hAnsi="Times New Roman"/>
          <w:noProof/>
        </w:rPr>
        <w:t xml:space="preserve">Jak je uvedeno výše, členské státy mohou tento seznam doplnit o další základní služby na vnitrostátní úrovni. Podle čl. 7 odst. 2 písm. a) směrnice o odolnosti kritických subjektů mají členské státy předložit Komisi bez zbytečného odkladu seznam základních služeb, existují-li v porovnání se </w:t>
      </w:r>
      <w:r w:rsidRPr="003D5D41">
        <w:rPr>
          <w:rFonts w:asciiTheme="majorBidi" w:hAnsiTheme="majorBidi"/>
          <w:noProof/>
        </w:rPr>
        <w:t>seznamem stanoveným v tomto aktu v přenesené pravomoci</w:t>
      </w:r>
      <w:r w:rsidRPr="003D5D41">
        <w:rPr>
          <w:rFonts w:ascii="Times New Roman" w:hAnsi="Times New Roman"/>
          <w:noProof/>
        </w:rPr>
        <w:t xml:space="preserve"> další základní služby.</w:t>
      </w:r>
    </w:p>
    <w:p w14:paraId="5CBE1F1E" w14:textId="77777777" w:rsidR="00FD7ABB" w:rsidRPr="003D5D41" w:rsidRDefault="00FD7ABB" w:rsidP="00F13E13">
      <w:pPr>
        <w:rPr>
          <w:noProof/>
        </w:rPr>
      </w:pPr>
    </w:p>
    <w:p w14:paraId="04BCB2D2" w14:textId="77777777" w:rsidR="00FD7ABB" w:rsidRPr="003D5D41" w:rsidRDefault="00FD7ABB" w:rsidP="00F13E13">
      <w:pPr>
        <w:rPr>
          <w:noProof/>
        </w:rPr>
      </w:pPr>
    </w:p>
    <w:p w14:paraId="5624CB80" w14:textId="77777777" w:rsidR="00B82989" w:rsidRPr="003D5D41" w:rsidRDefault="00B82989" w:rsidP="00880325">
      <w:pPr>
        <w:rPr>
          <w:noProof/>
        </w:rPr>
      </w:pPr>
    </w:p>
    <w:p w14:paraId="5C9FC397" w14:textId="77777777" w:rsidR="00B82989" w:rsidRPr="003D5D41" w:rsidRDefault="00B82989" w:rsidP="00880325">
      <w:pPr>
        <w:rPr>
          <w:noProof/>
        </w:rPr>
      </w:pPr>
    </w:p>
    <w:p w14:paraId="781F6CBE" w14:textId="77777777" w:rsidR="00B82989" w:rsidRPr="003D5D41" w:rsidRDefault="00B82989" w:rsidP="00880325">
      <w:pPr>
        <w:rPr>
          <w:noProof/>
          <w:color w:val="0000FF"/>
        </w:rPr>
        <w:sectPr w:rsidR="00B82989" w:rsidRPr="003D5D41" w:rsidSect="00816BA8">
          <w:footerReference w:type="default" r:id="rId13"/>
          <w:footerReference w:type="first" r:id="rId14"/>
          <w:pgSz w:w="11907" w:h="16839"/>
          <w:pgMar w:top="1134" w:right="1417" w:bottom="1134" w:left="1417" w:header="709" w:footer="709" w:gutter="0"/>
          <w:cols w:space="708"/>
          <w:docGrid w:linePitch="360"/>
        </w:sectPr>
      </w:pPr>
    </w:p>
    <w:p w14:paraId="689B9CA6" w14:textId="228C3472" w:rsidR="00C70E14" w:rsidRPr="003D5D41" w:rsidRDefault="003D5D41" w:rsidP="003D5D41">
      <w:pPr>
        <w:pStyle w:val="Typedudocument"/>
        <w:rPr>
          <w:noProof/>
        </w:rPr>
      </w:pPr>
      <w:r w:rsidRPr="003D5D41">
        <w:rPr>
          <w:noProof/>
        </w:rPr>
        <w:t>NAŘÍZENÍ KOMISE V PŘENESENÉ PRAVOMOCI (EU) …/...</w:t>
      </w:r>
    </w:p>
    <w:p w14:paraId="34D56E3D" w14:textId="2CF56C38" w:rsidR="00C70E14" w:rsidRPr="003D5D41" w:rsidRDefault="0054233E" w:rsidP="003D5D41">
      <w:pPr>
        <w:pStyle w:val="Datedadoption"/>
        <w:rPr>
          <w:noProof/>
        </w:rPr>
      </w:pPr>
      <w:r>
        <w:t>ze dne 25.7.2023</w:t>
      </w:r>
    </w:p>
    <w:p w14:paraId="7AF2DD25" w14:textId="0B6EE1F3" w:rsidR="00B1320A" w:rsidRPr="003D5D41" w:rsidRDefault="003D5D41" w:rsidP="003D5D41">
      <w:pPr>
        <w:pStyle w:val="Titreobjet"/>
        <w:rPr>
          <w:noProof/>
        </w:rPr>
      </w:pPr>
      <w:r w:rsidRPr="003D5D41">
        <w:rPr>
          <w:noProof/>
        </w:rPr>
        <w:t>kterým se doplňuje směrnice Evropského parlamentu a Rady (EU) 2022/2557 stanovením seznamu základních služeb</w:t>
      </w:r>
    </w:p>
    <w:p w14:paraId="19DE83B2" w14:textId="7A38FE44" w:rsidR="00C3189A" w:rsidRPr="003D5D41" w:rsidRDefault="003D5D41" w:rsidP="003D5D41">
      <w:pPr>
        <w:pStyle w:val="IntrtEEE"/>
        <w:rPr>
          <w:noProof/>
        </w:rPr>
      </w:pPr>
      <w:r w:rsidRPr="003D5D41">
        <w:rPr>
          <w:noProof/>
        </w:rPr>
        <w:t>(Text s významem pro EHP)</w:t>
      </w:r>
    </w:p>
    <w:p w14:paraId="521ABD1E" w14:textId="6555710A" w:rsidR="00F51FCF" w:rsidRPr="003D5D41" w:rsidRDefault="00F51FCF" w:rsidP="00F51FCF">
      <w:pPr>
        <w:pStyle w:val="Institutionquiagit"/>
        <w:rPr>
          <w:noProof/>
          <w:szCs w:val="24"/>
        </w:rPr>
      </w:pPr>
      <w:r w:rsidRPr="003D5D41">
        <w:rPr>
          <w:noProof/>
        </w:rPr>
        <w:t>EVROPSKÁ KOMISE,</w:t>
      </w:r>
    </w:p>
    <w:p w14:paraId="66D5F84B" w14:textId="4EDF3DE7" w:rsidR="00F51FCF" w:rsidRPr="003D5D41" w:rsidRDefault="00F51FCF" w:rsidP="00F51FCF">
      <w:pPr>
        <w:rPr>
          <w:noProof/>
          <w:szCs w:val="24"/>
        </w:rPr>
      </w:pPr>
      <w:r w:rsidRPr="003D5D41">
        <w:rPr>
          <w:noProof/>
        </w:rPr>
        <w:t xml:space="preserve">s ohledem na Smlouvu o fungování Evropské unie, </w:t>
      </w:r>
    </w:p>
    <w:p w14:paraId="39A351A1" w14:textId="77777777" w:rsidR="00F51FCF" w:rsidRPr="003D5D41" w:rsidRDefault="00F51FCF" w:rsidP="00F51FCF">
      <w:pPr>
        <w:rPr>
          <w:noProof/>
          <w:szCs w:val="24"/>
        </w:rPr>
      </w:pPr>
      <w:r w:rsidRPr="003D5D41">
        <w:rPr>
          <w:noProof/>
        </w:rPr>
        <w:t>s ohledem na směrnici Evropského parlamentu a Rady (EU) 2022/2557 ze dne 14. prosince 2022 o odolnosti kritických subjektů a o zrušení směrnice Rady 2008/114/ES</w:t>
      </w:r>
      <w:r w:rsidRPr="003D5D41">
        <w:rPr>
          <w:rStyle w:val="FootnoteReference"/>
          <w:noProof/>
          <w:szCs w:val="24"/>
        </w:rPr>
        <w:footnoteReference w:id="5"/>
      </w:r>
      <w:r w:rsidRPr="003D5D41">
        <w:rPr>
          <w:noProof/>
        </w:rPr>
        <w:t>, zejména na čl. 5 odst. 1 uvedené směrnice,</w:t>
      </w:r>
    </w:p>
    <w:p w14:paraId="497F550B" w14:textId="77777777" w:rsidR="00F51FCF" w:rsidRPr="003D5D41" w:rsidRDefault="00F51FCF" w:rsidP="00F51FCF">
      <w:pPr>
        <w:rPr>
          <w:noProof/>
          <w:szCs w:val="24"/>
        </w:rPr>
      </w:pPr>
      <w:r w:rsidRPr="003D5D41">
        <w:rPr>
          <w:noProof/>
        </w:rPr>
        <w:t>vzhledem k těmto důvodům:</w:t>
      </w:r>
    </w:p>
    <w:p w14:paraId="34EE72BE" w14:textId="59F0100D" w:rsidR="00F51FCF" w:rsidRPr="003D5D41" w:rsidRDefault="00DF66D5" w:rsidP="00DF66D5">
      <w:pPr>
        <w:pStyle w:val="ManualConsidrant"/>
        <w:rPr>
          <w:noProof/>
          <w:szCs w:val="24"/>
        </w:rPr>
      </w:pPr>
      <w:r w:rsidRPr="00DF66D5">
        <w:t>(1)</w:t>
      </w:r>
      <w:r w:rsidRPr="00DF66D5">
        <w:tab/>
      </w:r>
      <w:r w:rsidR="00F51FCF" w:rsidRPr="003D5D41">
        <w:rPr>
          <w:noProof/>
        </w:rPr>
        <w:t xml:space="preserve">Cílem směrnice (EU) 2022/2557 </w:t>
      </w:r>
      <w:bookmarkStart w:id="6" w:name="_DV_C578"/>
      <w:r w:rsidR="00F51FCF" w:rsidRPr="003D5D41">
        <w:rPr>
          <w:noProof/>
        </w:rPr>
        <w:t xml:space="preserve">je zajistit, aby služby nezbytné pro zachování nejdůležitějších společenských funkcí nebo hospodářských činností byly na vnitřním trhu poskytovány neomezeně a aby byla posílena odolnost kritických subjektů poskytujících tyto služby. </w:t>
      </w:r>
    </w:p>
    <w:p w14:paraId="3AB4C481" w14:textId="7AFD13DD" w:rsidR="00F51FCF" w:rsidRPr="003D5D41" w:rsidRDefault="00DF66D5" w:rsidP="00DF66D5">
      <w:pPr>
        <w:pStyle w:val="ManualConsidrant"/>
        <w:rPr>
          <w:noProof/>
          <w:szCs w:val="24"/>
        </w:rPr>
      </w:pPr>
      <w:r w:rsidRPr="00DF66D5">
        <w:t>(2)</w:t>
      </w:r>
      <w:r w:rsidRPr="00DF66D5">
        <w:tab/>
      </w:r>
      <w:r w:rsidR="0038749B" w:rsidRPr="003D5D41">
        <w:rPr>
          <w:noProof/>
        </w:rPr>
        <w:t xml:space="preserve">Za tímto účelem a podle čl. 5 odst. 1 směrnice (EU) 2022/2557 je Komisi svěřena pravomoc přijmout akt v přenesené pravomoci, kterým se stanoví demonstrativní seznam základních služeb v odvětvích a pododvětvích uvedených v příloze zmíněné směrnice. Tento seznam mají příslušné orgány používat </w:t>
      </w:r>
      <w:bookmarkStart w:id="7" w:name="_DV_C583"/>
      <w:r w:rsidR="0038749B" w:rsidRPr="003D5D41">
        <w:rPr>
          <w:noProof/>
        </w:rPr>
        <w:t>pro účely provedení</w:t>
      </w:r>
      <w:bookmarkStart w:id="8" w:name="_DV_M365"/>
      <w:bookmarkEnd w:id="7"/>
      <w:bookmarkEnd w:id="8"/>
      <w:r w:rsidR="0038749B" w:rsidRPr="003D5D41">
        <w:rPr>
          <w:noProof/>
        </w:rPr>
        <w:t xml:space="preserve"> posouzení</w:t>
      </w:r>
      <w:bookmarkStart w:id="9" w:name="_DV_C584"/>
      <w:r w:rsidR="0038749B" w:rsidRPr="003D5D41">
        <w:rPr>
          <w:noProof/>
        </w:rPr>
        <w:t xml:space="preserve"> rizik</w:t>
      </w:r>
      <w:bookmarkStart w:id="10" w:name="_DV_M366"/>
      <w:bookmarkEnd w:id="9"/>
      <w:bookmarkEnd w:id="10"/>
      <w:r w:rsidR="0038749B" w:rsidRPr="003D5D41">
        <w:rPr>
          <w:noProof/>
        </w:rPr>
        <w:t xml:space="preserve"> a následně se má toto posouzení rizik</w:t>
      </w:r>
      <w:bookmarkStart w:id="11" w:name="_DV_C588"/>
      <w:r w:rsidR="0038749B" w:rsidRPr="003D5D41">
        <w:rPr>
          <w:noProof/>
        </w:rPr>
        <w:t xml:space="preserve"> použít pro</w:t>
      </w:r>
      <w:bookmarkEnd w:id="11"/>
      <w:r w:rsidR="0038749B" w:rsidRPr="003D5D41">
        <w:rPr>
          <w:noProof/>
        </w:rPr>
        <w:t xml:space="preserve"> účely určení kritických subjektů</w:t>
      </w:r>
      <w:bookmarkStart w:id="12" w:name="_DV_M369"/>
      <w:bookmarkEnd w:id="12"/>
      <w:r w:rsidR="0038749B" w:rsidRPr="003D5D41">
        <w:rPr>
          <w:noProof/>
        </w:rPr>
        <w:t xml:space="preserve">. </w:t>
      </w:r>
    </w:p>
    <w:p w14:paraId="071D303F" w14:textId="4F1BDD13" w:rsidR="00F51FCF" w:rsidRPr="003D5D41" w:rsidRDefault="00DF66D5" w:rsidP="00DF66D5">
      <w:pPr>
        <w:pStyle w:val="ManualConsidrant"/>
        <w:rPr>
          <w:noProof/>
        </w:rPr>
      </w:pPr>
      <w:r w:rsidRPr="00DF66D5">
        <w:t>(3)</w:t>
      </w:r>
      <w:r w:rsidRPr="00DF66D5">
        <w:tab/>
      </w:r>
      <w:r w:rsidR="00F51FCF" w:rsidRPr="003D5D41">
        <w:rPr>
          <w:noProof/>
        </w:rPr>
        <w:t xml:space="preserve">Seznam základních služeb by měl být sestaven obecně, aby zohledňoval specifika členských států, jako je velikost, hustota obyvatelstva nebo zeměpisná poloha. Měl by se však vztahovat pouze na základní služby kategorií subjektů uvedených v příloze směrnice (EU) 2022/2557. </w:t>
      </w:r>
      <w:bookmarkStart w:id="13" w:name="_Hlk135340336"/>
      <w:r w:rsidR="00F51FCF" w:rsidRPr="003D5D41">
        <w:rPr>
          <w:noProof/>
        </w:rPr>
        <w:t>Za základní služby definované v čl. 2 bodě 5 směrnice (EU) 2022/2557 by proto měly být považovány pouze služby poskytované subjekty spadajícími do uvedených kategorií</w:t>
      </w:r>
      <w:bookmarkEnd w:id="13"/>
      <w:r w:rsidR="00F51FCF" w:rsidRPr="003D5D41">
        <w:rPr>
          <w:noProof/>
        </w:rPr>
        <w:t>.</w:t>
      </w:r>
    </w:p>
    <w:p w14:paraId="05D0889A" w14:textId="478186C4" w:rsidR="00F51FCF" w:rsidRPr="003D5D41" w:rsidRDefault="00DF66D5" w:rsidP="00DF66D5">
      <w:pPr>
        <w:pStyle w:val="ManualConsidrant"/>
        <w:rPr>
          <w:noProof/>
        </w:rPr>
      </w:pPr>
      <w:bookmarkStart w:id="14" w:name="_Hlk135339577"/>
      <w:r w:rsidRPr="00DF66D5">
        <w:t>(4)</w:t>
      </w:r>
      <w:r w:rsidRPr="00DF66D5">
        <w:tab/>
      </w:r>
      <w:r w:rsidR="00F51FCF" w:rsidRPr="003D5D41">
        <w:rPr>
          <w:noProof/>
        </w:rPr>
        <w:t>V zásadě by tento seznam základních služeb měl být používán s ohledem na všechna příslušná ustanovení směrnice (EU) 2022/2557. To zahrnuje definici základních služeb jako služeb, které jsou zásadní pro zachování nejdůležitějších společenských funkcí, hospodářských činností, veřejného zdraví a bezpečnosti nebo životního prostředí, jakož i definici subjektu veřejné správy a ustanovení o oblasti působnosti uvedené směrnice. Podle čl. 1 odst. 6 směrnice (EU) 2022/2557 jsou z její oblasti působnosti vyloučeny subjekty veřejné správy, které vykonávají své činnosti v oblasti národní bezpečnosti, veřejné bezpečnosti, obrany nebo prosazování práva, včetně vyšetřování, odhalování a stíhání trestných činů.</w:t>
      </w:r>
    </w:p>
    <w:bookmarkEnd w:id="14"/>
    <w:p w14:paraId="2C1539C3" w14:textId="4C508169" w:rsidR="00F51FCF" w:rsidRPr="003D5D41" w:rsidRDefault="00DF66D5" w:rsidP="00DF66D5">
      <w:pPr>
        <w:pStyle w:val="ManualConsidrant"/>
        <w:rPr>
          <w:noProof/>
          <w:szCs w:val="24"/>
        </w:rPr>
      </w:pPr>
      <w:r w:rsidRPr="00DF66D5">
        <w:t>(5)</w:t>
      </w:r>
      <w:r w:rsidRPr="00DF66D5">
        <w:tab/>
      </w:r>
      <w:r w:rsidR="00F51FCF" w:rsidRPr="003D5D41">
        <w:rPr>
          <w:noProof/>
        </w:rPr>
        <w:t>Hospodářské činnosti uvedené v tomto nařízení v přenesené pravomoci, jejichž výčet je demonstrativní, by proto měly být pro účely tohoto nařízení v přenesené pravomoci a směrnice (EU) 2022/2557 považovány za základní služby pouze v případě, že je lze považovat za základní služby ve smyslu uvedené směrnice,</w:t>
      </w:r>
    </w:p>
    <w:bookmarkEnd w:id="6"/>
    <w:p w14:paraId="4555C20F" w14:textId="77777777" w:rsidR="00F51FCF" w:rsidRPr="003D5D41" w:rsidRDefault="00F51FCF" w:rsidP="00F51FCF">
      <w:pPr>
        <w:rPr>
          <w:noProof/>
          <w:szCs w:val="24"/>
        </w:rPr>
      </w:pPr>
    </w:p>
    <w:p w14:paraId="06029996" w14:textId="77777777" w:rsidR="00F51FCF" w:rsidRPr="003D5D41" w:rsidRDefault="00F51FCF" w:rsidP="00F51FCF">
      <w:pPr>
        <w:pStyle w:val="Formuledadoption"/>
        <w:rPr>
          <w:noProof/>
          <w:szCs w:val="24"/>
        </w:rPr>
      </w:pPr>
      <w:r w:rsidRPr="003D5D41">
        <w:rPr>
          <w:noProof/>
        </w:rPr>
        <w:t>PŘIJALA TOTO NAŘÍZENÍ:</w:t>
      </w:r>
    </w:p>
    <w:p w14:paraId="2CCAC4B1" w14:textId="77777777" w:rsidR="00F51FCF" w:rsidRPr="003D5D41" w:rsidRDefault="00F51FCF" w:rsidP="00F51FCF">
      <w:pPr>
        <w:pStyle w:val="Titrearticle"/>
        <w:rPr>
          <w:noProof/>
          <w:szCs w:val="24"/>
        </w:rPr>
      </w:pPr>
      <w:r w:rsidRPr="003D5D41">
        <w:rPr>
          <w:noProof/>
        </w:rPr>
        <w:t>Článek 1</w:t>
      </w:r>
    </w:p>
    <w:p w14:paraId="79E892CA" w14:textId="77777777" w:rsidR="00F51FCF" w:rsidRPr="003D5D41" w:rsidRDefault="00F51FCF" w:rsidP="00F51FCF">
      <w:pPr>
        <w:jc w:val="center"/>
        <w:rPr>
          <w:noProof/>
        </w:rPr>
      </w:pPr>
      <w:r w:rsidRPr="003D5D41">
        <w:rPr>
          <w:noProof/>
        </w:rPr>
        <w:t>Předmět</w:t>
      </w:r>
    </w:p>
    <w:p w14:paraId="6A543D13" w14:textId="48AD20B6" w:rsidR="00F51FCF" w:rsidRPr="003D5D41" w:rsidRDefault="00F51FCF" w:rsidP="00F51FCF">
      <w:pPr>
        <w:pStyle w:val="Titrearticle"/>
        <w:jc w:val="both"/>
        <w:rPr>
          <w:i w:val="0"/>
          <w:noProof/>
          <w:szCs w:val="24"/>
        </w:rPr>
      </w:pPr>
      <w:r w:rsidRPr="003D5D41">
        <w:rPr>
          <w:i w:val="0"/>
          <w:noProof/>
        </w:rPr>
        <w:t xml:space="preserve">Toto nařízení stanoví podle čl. 5 odst. 1 směrnice (EU) 2022/2557 demonstrativní seznam základních služeb ve smyslu čl. 2 bodu 5 uvedené směrnice v odvětvích </w:t>
      </w:r>
      <w:bookmarkStart w:id="15" w:name="_DV_C579"/>
      <w:r w:rsidRPr="003D5D41">
        <w:rPr>
          <w:i w:val="0"/>
          <w:noProof/>
        </w:rPr>
        <w:t xml:space="preserve">a pododvětvích, </w:t>
      </w:r>
      <w:bookmarkStart w:id="16" w:name="_DV_M364"/>
      <w:bookmarkEnd w:id="15"/>
      <w:bookmarkEnd w:id="16"/>
      <w:r w:rsidRPr="003D5D41">
        <w:rPr>
          <w:i w:val="0"/>
          <w:noProof/>
        </w:rPr>
        <w:t>které jsou stanoveny v příloze uvedené směrnice.</w:t>
      </w:r>
    </w:p>
    <w:p w14:paraId="3CB7FF1C" w14:textId="77777777" w:rsidR="00F51FCF" w:rsidRPr="003D5D41" w:rsidRDefault="00F51FCF" w:rsidP="00F51FCF">
      <w:pPr>
        <w:pStyle w:val="Titrearticle"/>
        <w:rPr>
          <w:noProof/>
          <w:szCs w:val="24"/>
        </w:rPr>
      </w:pPr>
      <w:r w:rsidRPr="003D5D41">
        <w:rPr>
          <w:noProof/>
        </w:rPr>
        <w:t>Článek 2</w:t>
      </w:r>
    </w:p>
    <w:p w14:paraId="79C29CA6" w14:textId="77777777" w:rsidR="00F51FCF" w:rsidRPr="003D5D41" w:rsidRDefault="00F51FCF" w:rsidP="00F51FCF">
      <w:pPr>
        <w:jc w:val="center"/>
        <w:rPr>
          <w:noProof/>
          <w:szCs w:val="24"/>
        </w:rPr>
      </w:pPr>
      <w:r w:rsidRPr="003D5D41">
        <w:rPr>
          <w:noProof/>
        </w:rPr>
        <w:t xml:space="preserve">Demonstrativní seznam základních služeb </w:t>
      </w:r>
    </w:p>
    <w:p w14:paraId="3A009772" w14:textId="77777777" w:rsidR="00F51FCF" w:rsidRPr="003D5D41" w:rsidRDefault="00F51FCF" w:rsidP="00F51FCF">
      <w:pPr>
        <w:rPr>
          <w:noProof/>
          <w:szCs w:val="24"/>
        </w:rPr>
      </w:pPr>
      <w:r w:rsidRPr="003D5D41">
        <w:rPr>
          <w:noProof/>
        </w:rPr>
        <w:t>Demonstrativní seznam základních služeb ve smyslu článku 1 je následující:</w:t>
      </w:r>
    </w:p>
    <w:p w14:paraId="43BED618" w14:textId="57E665FD" w:rsidR="00F51FCF" w:rsidRPr="003D5D41" w:rsidRDefault="001E134D" w:rsidP="001E134D">
      <w:pPr>
        <w:pStyle w:val="Point0"/>
        <w:rPr>
          <w:noProof/>
          <w:szCs w:val="24"/>
        </w:rPr>
      </w:pPr>
      <w:r>
        <w:rPr>
          <w:noProof/>
        </w:rPr>
        <w:t>1)</w:t>
      </w:r>
      <w:r>
        <w:rPr>
          <w:noProof/>
        </w:rPr>
        <w:tab/>
      </w:r>
      <w:r w:rsidR="00D72872" w:rsidRPr="003D5D41">
        <w:rPr>
          <w:noProof/>
        </w:rPr>
        <w:t xml:space="preserve">odvětví energetiky: </w:t>
      </w:r>
    </w:p>
    <w:p w14:paraId="0B281CDB" w14:textId="3549DBCB" w:rsidR="00F51FCF" w:rsidRPr="003D5D41" w:rsidRDefault="001E134D" w:rsidP="001E134D">
      <w:pPr>
        <w:pStyle w:val="Point0"/>
        <w:rPr>
          <w:noProof/>
          <w:szCs w:val="24"/>
        </w:rPr>
      </w:pPr>
      <w:r>
        <w:rPr>
          <w:noProof/>
        </w:rPr>
        <w:t>a)</w:t>
      </w:r>
      <w:r>
        <w:rPr>
          <w:noProof/>
        </w:rPr>
        <w:tab/>
      </w:r>
      <w:r w:rsidR="00D72872" w:rsidRPr="003D5D41">
        <w:rPr>
          <w:noProof/>
        </w:rPr>
        <w:t xml:space="preserve">pododvětví elektřiny: </w:t>
      </w:r>
    </w:p>
    <w:p w14:paraId="1CE7B1A3" w14:textId="31A9C2F4" w:rsidR="00F51FCF" w:rsidRPr="003D5D41" w:rsidRDefault="001B1CE3" w:rsidP="00EF4E90">
      <w:pPr>
        <w:pStyle w:val="Point"/>
        <w:rPr>
          <w:noProof/>
        </w:rPr>
      </w:pPr>
      <w:r w:rsidRPr="003D5D41">
        <w:rPr>
          <w:noProof/>
        </w:rPr>
        <w:t>dodávky elektřiny (elektroenergetické podniky);</w:t>
      </w:r>
    </w:p>
    <w:p w14:paraId="7F9676E7" w14:textId="133A1159" w:rsidR="00F51FCF" w:rsidRPr="003D5D41" w:rsidRDefault="001B1CE3" w:rsidP="00EF4E90">
      <w:pPr>
        <w:pStyle w:val="Point"/>
        <w:ind w:left="1037" w:hanging="680"/>
        <w:rPr>
          <w:noProof/>
        </w:rPr>
      </w:pPr>
      <w:r w:rsidRPr="003D5D41">
        <w:rPr>
          <w:noProof/>
        </w:rPr>
        <w:t>provoz, údržba a rozvoj distribuční soustavy elektřiny (</w:t>
      </w:r>
      <w:r w:rsidRPr="003D5D41">
        <w:rPr>
          <w:i/>
          <w:noProof/>
        </w:rPr>
        <w:t>provozovatelé distribuční soustavy</w:t>
      </w:r>
      <w:r w:rsidRPr="003D5D41">
        <w:rPr>
          <w:noProof/>
        </w:rPr>
        <w:t xml:space="preserve">); </w:t>
      </w:r>
    </w:p>
    <w:p w14:paraId="4A5C8111" w14:textId="2914B0E6" w:rsidR="00F51FCF" w:rsidRPr="003D5D41" w:rsidRDefault="001B1CE3" w:rsidP="00EF4E90">
      <w:pPr>
        <w:pStyle w:val="Point"/>
        <w:ind w:left="1037" w:hanging="680"/>
        <w:rPr>
          <w:noProof/>
        </w:rPr>
      </w:pPr>
      <w:r w:rsidRPr="003D5D41">
        <w:rPr>
          <w:noProof/>
        </w:rPr>
        <w:t>provoz, údržba a rozvoj elektroenergetické přenosové soustavy (</w:t>
      </w:r>
      <w:r w:rsidRPr="003D5D41">
        <w:rPr>
          <w:i/>
          <w:noProof/>
        </w:rPr>
        <w:t>provozovatelé přenosové soustavy</w:t>
      </w:r>
      <w:r w:rsidRPr="003D5D41">
        <w:rPr>
          <w:noProof/>
        </w:rPr>
        <w:t>);</w:t>
      </w:r>
    </w:p>
    <w:p w14:paraId="59D03A79" w14:textId="19D32B71" w:rsidR="00F51FCF" w:rsidRPr="003D5D41" w:rsidRDefault="001B1CE3" w:rsidP="00EF4E90">
      <w:pPr>
        <w:pStyle w:val="Point"/>
        <w:ind w:left="1037" w:hanging="680"/>
        <w:rPr>
          <w:noProof/>
        </w:rPr>
      </w:pPr>
      <w:r w:rsidRPr="003D5D41">
        <w:rPr>
          <w:noProof/>
        </w:rPr>
        <w:t>výroba elektřiny (</w:t>
      </w:r>
      <w:r w:rsidRPr="003D5D41">
        <w:rPr>
          <w:i/>
          <w:noProof/>
        </w:rPr>
        <w:t>výrobci</w:t>
      </w:r>
      <w:r w:rsidRPr="003D5D41">
        <w:rPr>
          <w:noProof/>
        </w:rPr>
        <w:t xml:space="preserve">); </w:t>
      </w:r>
    </w:p>
    <w:p w14:paraId="246010DF" w14:textId="1668332E" w:rsidR="00F51FCF" w:rsidRPr="003D5D41" w:rsidRDefault="00A239D9" w:rsidP="00EF4E90">
      <w:pPr>
        <w:pStyle w:val="Point"/>
        <w:ind w:left="1037" w:hanging="680"/>
        <w:rPr>
          <w:noProof/>
        </w:rPr>
      </w:pPr>
      <w:r w:rsidRPr="003D5D41">
        <w:rPr>
          <w:noProof/>
        </w:rPr>
        <w:t>služby nominovaného organizátora trhu s elektřinou (</w:t>
      </w:r>
      <w:r w:rsidRPr="003D5D41">
        <w:rPr>
          <w:i/>
          <w:noProof/>
        </w:rPr>
        <w:t>nominovaní organizátoři trhu s elektřinou</w:t>
      </w:r>
      <w:r w:rsidRPr="003D5D41">
        <w:rPr>
          <w:noProof/>
        </w:rPr>
        <w:t>);</w:t>
      </w:r>
    </w:p>
    <w:p w14:paraId="1473F77B" w14:textId="55365741" w:rsidR="00F51FCF" w:rsidRPr="003D5D41" w:rsidRDefault="001B1CE3" w:rsidP="00EF4E90">
      <w:pPr>
        <w:pStyle w:val="Point"/>
        <w:ind w:left="1037" w:hanging="680"/>
        <w:rPr>
          <w:noProof/>
        </w:rPr>
      </w:pPr>
      <w:r w:rsidRPr="003D5D41">
        <w:rPr>
          <w:noProof/>
        </w:rPr>
        <w:t>odezva strany poptávky (</w:t>
      </w:r>
      <w:r w:rsidRPr="003D5D41">
        <w:rPr>
          <w:i/>
          <w:noProof/>
        </w:rPr>
        <w:t>účastníci trhu s elektřinou</w:t>
      </w:r>
      <w:r w:rsidRPr="003D5D41">
        <w:rPr>
          <w:noProof/>
        </w:rPr>
        <w:t>);</w:t>
      </w:r>
    </w:p>
    <w:p w14:paraId="3FE9F390" w14:textId="6BBD29FC" w:rsidR="00F51FCF" w:rsidRPr="003D5D41" w:rsidRDefault="00D72872" w:rsidP="00EF4E90">
      <w:pPr>
        <w:pStyle w:val="Point"/>
        <w:ind w:left="1037" w:hanging="680"/>
        <w:rPr>
          <w:noProof/>
        </w:rPr>
      </w:pPr>
      <w:r w:rsidRPr="003D5D41">
        <w:rPr>
          <w:noProof/>
        </w:rPr>
        <w:t>agregace elektřiny (</w:t>
      </w:r>
      <w:r w:rsidRPr="003D5D41">
        <w:rPr>
          <w:i/>
          <w:noProof/>
        </w:rPr>
        <w:t>účastníci trhu s elektřinou</w:t>
      </w:r>
      <w:r w:rsidRPr="003D5D41">
        <w:rPr>
          <w:noProof/>
        </w:rPr>
        <w:t>);</w:t>
      </w:r>
    </w:p>
    <w:p w14:paraId="0D31B8E7" w14:textId="21E057CC" w:rsidR="00F51FCF" w:rsidRPr="003D5D41" w:rsidRDefault="00D72872" w:rsidP="00EF4E90">
      <w:pPr>
        <w:pStyle w:val="Point"/>
        <w:ind w:left="1037" w:hanging="680"/>
        <w:rPr>
          <w:noProof/>
        </w:rPr>
      </w:pPr>
      <w:r w:rsidRPr="003D5D41">
        <w:rPr>
          <w:noProof/>
        </w:rPr>
        <w:t>ukládání energie (</w:t>
      </w:r>
      <w:r w:rsidRPr="003D5D41">
        <w:rPr>
          <w:i/>
          <w:noProof/>
        </w:rPr>
        <w:t>účastníci trhu s elektřinou</w:t>
      </w:r>
      <w:r w:rsidRPr="003D5D41">
        <w:rPr>
          <w:noProof/>
        </w:rPr>
        <w:t>);</w:t>
      </w:r>
    </w:p>
    <w:p w14:paraId="478F2460" w14:textId="77777777" w:rsidR="00F51FCF" w:rsidRPr="003D5D41" w:rsidRDefault="00F51FCF" w:rsidP="00F51FCF">
      <w:pPr>
        <w:rPr>
          <w:noProof/>
          <w:szCs w:val="24"/>
        </w:rPr>
      </w:pPr>
    </w:p>
    <w:p w14:paraId="35B8E780" w14:textId="50A6D1C7" w:rsidR="00F51FCF" w:rsidRPr="003D5D41" w:rsidRDefault="001E134D" w:rsidP="001E134D">
      <w:pPr>
        <w:pStyle w:val="Point0"/>
        <w:rPr>
          <w:noProof/>
        </w:rPr>
      </w:pPr>
      <w:r>
        <w:rPr>
          <w:noProof/>
        </w:rPr>
        <w:t>b)</w:t>
      </w:r>
      <w:r>
        <w:rPr>
          <w:noProof/>
        </w:rPr>
        <w:tab/>
      </w:r>
      <w:r w:rsidR="001B1CE3" w:rsidRPr="003D5D41">
        <w:rPr>
          <w:noProof/>
        </w:rPr>
        <w:t>pododvětví dálkového vytápění a chlazení: poskytování dálkového vytápění nebo dálkového chlazení (</w:t>
      </w:r>
      <w:r w:rsidR="001B1CE3" w:rsidRPr="003D5D41">
        <w:rPr>
          <w:i/>
          <w:noProof/>
        </w:rPr>
        <w:t>provozovatelé dálkového vytápění a dálkového chlazení</w:t>
      </w:r>
      <w:r w:rsidR="001B1CE3" w:rsidRPr="003D5D41">
        <w:rPr>
          <w:noProof/>
        </w:rPr>
        <w:t>);</w:t>
      </w:r>
    </w:p>
    <w:p w14:paraId="1195F4FE" w14:textId="77777777" w:rsidR="00F51FCF" w:rsidRPr="003D5D41" w:rsidRDefault="00F51FCF" w:rsidP="00F51FCF">
      <w:pPr>
        <w:pStyle w:val="ListParagraph"/>
        <w:ind w:left="360"/>
        <w:rPr>
          <w:noProof/>
          <w:szCs w:val="24"/>
        </w:rPr>
      </w:pPr>
    </w:p>
    <w:p w14:paraId="40E45F6F" w14:textId="63E15EA8" w:rsidR="00F51FCF" w:rsidRPr="003D5D41" w:rsidRDefault="001E134D" w:rsidP="001E134D">
      <w:pPr>
        <w:pStyle w:val="Point0"/>
        <w:rPr>
          <w:noProof/>
          <w:szCs w:val="24"/>
        </w:rPr>
      </w:pPr>
      <w:r>
        <w:rPr>
          <w:noProof/>
        </w:rPr>
        <w:t>c)</w:t>
      </w:r>
      <w:r>
        <w:rPr>
          <w:noProof/>
        </w:rPr>
        <w:tab/>
      </w:r>
      <w:r w:rsidR="001B1CE3" w:rsidRPr="003D5D41">
        <w:rPr>
          <w:noProof/>
        </w:rPr>
        <w:t>pododvětví ropy:</w:t>
      </w:r>
    </w:p>
    <w:p w14:paraId="142DF0C8" w14:textId="5D829216" w:rsidR="00F51FCF" w:rsidRPr="003D5D41" w:rsidRDefault="001B1CE3" w:rsidP="00EF4E90">
      <w:pPr>
        <w:pStyle w:val="Point"/>
        <w:numPr>
          <w:ilvl w:val="0"/>
          <w:numId w:val="11"/>
        </w:numPr>
        <w:ind w:left="1037" w:hanging="680"/>
        <w:rPr>
          <w:noProof/>
        </w:rPr>
      </w:pPr>
      <w:bookmarkStart w:id="17" w:name="_Hlk138946421"/>
      <w:r w:rsidRPr="003D5D41">
        <w:rPr>
          <w:noProof/>
        </w:rPr>
        <w:t>přeprava ropy (</w:t>
      </w:r>
      <w:r w:rsidRPr="003D5D41">
        <w:rPr>
          <w:i/>
          <w:noProof/>
        </w:rPr>
        <w:t>provozovatelé ropovodů</w:t>
      </w:r>
      <w:r w:rsidRPr="003D5D41">
        <w:rPr>
          <w:noProof/>
        </w:rPr>
        <w:t>);</w:t>
      </w:r>
    </w:p>
    <w:p w14:paraId="417AD8C3" w14:textId="1F92D6EA" w:rsidR="00F51FCF" w:rsidRPr="003D5D41" w:rsidRDefault="001B1CE3" w:rsidP="00EF4E90">
      <w:pPr>
        <w:pStyle w:val="Point"/>
        <w:ind w:left="1037" w:hanging="680"/>
        <w:rPr>
          <w:noProof/>
        </w:rPr>
      </w:pPr>
      <w:r w:rsidRPr="003D5D41">
        <w:rPr>
          <w:noProof/>
        </w:rPr>
        <w:t>těžba ropy (</w:t>
      </w:r>
      <w:r w:rsidRPr="003D5D41">
        <w:rPr>
          <w:i/>
          <w:noProof/>
        </w:rPr>
        <w:t>provozovatelé zařízení na těžbu ropy</w:t>
      </w:r>
      <w:r w:rsidRPr="003D5D41">
        <w:rPr>
          <w:noProof/>
        </w:rPr>
        <w:t>);</w:t>
      </w:r>
    </w:p>
    <w:p w14:paraId="20DA7BD8" w14:textId="7DDCE71D" w:rsidR="00F51FCF" w:rsidRPr="003D5D41" w:rsidRDefault="001B4EAD" w:rsidP="00EF4E90">
      <w:pPr>
        <w:pStyle w:val="Point"/>
        <w:ind w:left="1037" w:hanging="680"/>
        <w:rPr>
          <w:noProof/>
        </w:rPr>
      </w:pPr>
      <w:r w:rsidRPr="003D5D41">
        <w:rPr>
          <w:noProof/>
        </w:rPr>
        <w:t xml:space="preserve"> rafinace a zpracování ropy (</w:t>
      </w:r>
      <w:r w:rsidRPr="003D5D41">
        <w:rPr>
          <w:i/>
          <w:noProof/>
        </w:rPr>
        <w:t>provozovatelé zařízení na rafinaci a zpracování ropy</w:t>
      </w:r>
      <w:r w:rsidRPr="003D5D41">
        <w:rPr>
          <w:noProof/>
        </w:rPr>
        <w:t>);</w:t>
      </w:r>
    </w:p>
    <w:p w14:paraId="78CDE07C" w14:textId="26CCC30F" w:rsidR="00F51FCF" w:rsidRPr="003D5D41" w:rsidRDefault="001B4EAD" w:rsidP="00EF4E90">
      <w:pPr>
        <w:pStyle w:val="Point"/>
        <w:ind w:left="1037" w:hanging="680"/>
        <w:rPr>
          <w:noProof/>
        </w:rPr>
      </w:pPr>
      <w:r w:rsidRPr="003D5D41">
        <w:rPr>
          <w:noProof/>
        </w:rPr>
        <w:t xml:space="preserve"> skladování ropy (</w:t>
      </w:r>
      <w:r w:rsidRPr="003D5D41">
        <w:rPr>
          <w:i/>
          <w:noProof/>
        </w:rPr>
        <w:t>provozovatelé zařízení pro skladování ropy</w:t>
      </w:r>
      <w:r w:rsidRPr="003D5D41">
        <w:rPr>
          <w:noProof/>
        </w:rPr>
        <w:t>);</w:t>
      </w:r>
    </w:p>
    <w:p w14:paraId="0D29FF25" w14:textId="3680360A" w:rsidR="00F51FCF" w:rsidRPr="003D5D41" w:rsidRDefault="001B1CE3" w:rsidP="00EF4E90">
      <w:pPr>
        <w:pStyle w:val="Point"/>
        <w:ind w:left="1037" w:hanging="680"/>
        <w:rPr>
          <w:noProof/>
        </w:rPr>
      </w:pPr>
      <w:bookmarkStart w:id="18" w:name="_Hlk135746275"/>
      <w:r w:rsidRPr="003D5D41">
        <w:rPr>
          <w:noProof/>
        </w:rPr>
        <w:t>správa zásob ropy, včetně nouzových zásob a specifických zásob ropy (</w:t>
      </w:r>
      <w:r w:rsidRPr="003D5D41">
        <w:rPr>
          <w:i/>
          <w:noProof/>
        </w:rPr>
        <w:t>ústřední správci zásob</w:t>
      </w:r>
      <w:r w:rsidRPr="003D5D41">
        <w:rPr>
          <w:noProof/>
        </w:rPr>
        <w:t xml:space="preserve">); </w:t>
      </w:r>
    </w:p>
    <w:bookmarkEnd w:id="18"/>
    <w:bookmarkEnd w:id="17"/>
    <w:p w14:paraId="1F2DD8EE" w14:textId="77777777" w:rsidR="00F51FCF" w:rsidRPr="003D5D41" w:rsidRDefault="00F51FCF" w:rsidP="00F51FCF">
      <w:pPr>
        <w:pStyle w:val="ListParagraph"/>
        <w:ind w:left="360"/>
        <w:rPr>
          <w:noProof/>
          <w:szCs w:val="24"/>
        </w:rPr>
      </w:pPr>
    </w:p>
    <w:p w14:paraId="3CE7D590" w14:textId="6F9EDA02" w:rsidR="00F51FCF" w:rsidRPr="003D5D41" w:rsidRDefault="001E134D" w:rsidP="001E134D">
      <w:pPr>
        <w:pStyle w:val="Point0"/>
        <w:rPr>
          <w:noProof/>
          <w:szCs w:val="24"/>
        </w:rPr>
      </w:pPr>
      <w:r>
        <w:rPr>
          <w:noProof/>
        </w:rPr>
        <w:t>d)</w:t>
      </w:r>
      <w:r>
        <w:rPr>
          <w:noProof/>
        </w:rPr>
        <w:tab/>
      </w:r>
      <w:r w:rsidR="001B1CE3" w:rsidRPr="003D5D41">
        <w:rPr>
          <w:noProof/>
        </w:rPr>
        <w:t>pododvětví zemního plynu:</w:t>
      </w:r>
    </w:p>
    <w:p w14:paraId="24F8CA82" w14:textId="51CF9AAD" w:rsidR="00F51FCF" w:rsidRPr="003D5D41" w:rsidRDefault="001B1CE3" w:rsidP="00EF4E90">
      <w:pPr>
        <w:pStyle w:val="Point"/>
        <w:numPr>
          <w:ilvl w:val="0"/>
          <w:numId w:val="12"/>
        </w:numPr>
        <w:ind w:left="1037" w:hanging="680"/>
        <w:rPr>
          <w:noProof/>
        </w:rPr>
      </w:pPr>
      <w:r w:rsidRPr="003D5D41">
        <w:rPr>
          <w:noProof/>
        </w:rPr>
        <w:t>dodávky zemního plynu (</w:t>
      </w:r>
      <w:r w:rsidRPr="003D5D41">
        <w:rPr>
          <w:i/>
          <w:noProof/>
        </w:rPr>
        <w:t>dodavatelský podnik</w:t>
      </w:r>
      <w:r w:rsidRPr="003D5D41">
        <w:rPr>
          <w:noProof/>
        </w:rPr>
        <w:t>);</w:t>
      </w:r>
    </w:p>
    <w:p w14:paraId="777DA4DB" w14:textId="20A665DC" w:rsidR="00F51FCF" w:rsidRPr="003D5D41" w:rsidRDefault="001B1CE3" w:rsidP="00EF4E90">
      <w:pPr>
        <w:pStyle w:val="Point"/>
        <w:ind w:left="1037" w:hanging="680"/>
        <w:rPr>
          <w:noProof/>
        </w:rPr>
      </w:pPr>
      <w:r w:rsidRPr="003D5D41">
        <w:rPr>
          <w:noProof/>
        </w:rPr>
        <w:t>distribuce plynu (</w:t>
      </w:r>
      <w:r w:rsidRPr="003D5D41">
        <w:rPr>
          <w:i/>
          <w:noProof/>
        </w:rPr>
        <w:t>provozovatelé distribuční soustavy</w:t>
      </w:r>
      <w:r w:rsidRPr="003D5D41">
        <w:rPr>
          <w:noProof/>
        </w:rPr>
        <w:t>);</w:t>
      </w:r>
    </w:p>
    <w:p w14:paraId="2A2A5847" w14:textId="249117EC" w:rsidR="00F51FCF" w:rsidRPr="003D5D41" w:rsidRDefault="001B1CE3" w:rsidP="00EF4E90">
      <w:pPr>
        <w:pStyle w:val="Point"/>
        <w:ind w:left="1037" w:hanging="680"/>
        <w:rPr>
          <w:noProof/>
        </w:rPr>
      </w:pPr>
      <w:r w:rsidRPr="003D5D41">
        <w:rPr>
          <w:noProof/>
        </w:rPr>
        <w:t>přeprava plynu (</w:t>
      </w:r>
      <w:r w:rsidRPr="003D5D41">
        <w:rPr>
          <w:i/>
          <w:noProof/>
        </w:rPr>
        <w:t>provozovatelé přenosové soustavy</w:t>
      </w:r>
      <w:r w:rsidRPr="003D5D41">
        <w:rPr>
          <w:noProof/>
        </w:rPr>
        <w:t>);</w:t>
      </w:r>
    </w:p>
    <w:p w14:paraId="358952DE" w14:textId="6D4F8DED" w:rsidR="00F51FCF" w:rsidRPr="003D5D41" w:rsidRDefault="001B1CE3" w:rsidP="00EF4E90">
      <w:pPr>
        <w:pStyle w:val="Point"/>
        <w:ind w:left="1037" w:hanging="680"/>
        <w:rPr>
          <w:noProof/>
        </w:rPr>
      </w:pPr>
      <w:r w:rsidRPr="003D5D41">
        <w:rPr>
          <w:noProof/>
        </w:rPr>
        <w:t>skladování plynu (</w:t>
      </w:r>
      <w:r w:rsidRPr="003D5D41">
        <w:rPr>
          <w:i/>
          <w:noProof/>
        </w:rPr>
        <w:t>provozovatelé uskladňovací soustavy</w:t>
      </w:r>
      <w:r w:rsidRPr="003D5D41">
        <w:rPr>
          <w:noProof/>
        </w:rPr>
        <w:t>);</w:t>
      </w:r>
    </w:p>
    <w:p w14:paraId="703CD587" w14:textId="50D02C66" w:rsidR="00F51FCF" w:rsidRPr="003D5D41" w:rsidRDefault="001B1CE3" w:rsidP="00EF4E90">
      <w:pPr>
        <w:pStyle w:val="Point"/>
        <w:ind w:left="1037" w:hanging="680"/>
        <w:rPr>
          <w:noProof/>
        </w:rPr>
      </w:pPr>
      <w:r w:rsidRPr="003D5D41">
        <w:rPr>
          <w:noProof/>
        </w:rPr>
        <w:t>provozování zařízení na zkapalněný zemní plyn (LNG) (</w:t>
      </w:r>
      <w:r w:rsidRPr="003D5D41">
        <w:rPr>
          <w:i/>
          <w:noProof/>
        </w:rPr>
        <w:t>provozovatelé zařízení LNG</w:t>
      </w:r>
      <w:r w:rsidRPr="003D5D41">
        <w:rPr>
          <w:noProof/>
        </w:rPr>
        <w:t>);</w:t>
      </w:r>
    </w:p>
    <w:p w14:paraId="68D895CD" w14:textId="2004AB18" w:rsidR="00F51FCF" w:rsidRPr="003D5D41" w:rsidRDefault="001B1CE3" w:rsidP="00EF4E90">
      <w:pPr>
        <w:pStyle w:val="Point"/>
        <w:ind w:left="1037" w:hanging="680"/>
        <w:rPr>
          <w:noProof/>
        </w:rPr>
      </w:pPr>
      <w:r w:rsidRPr="003D5D41">
        <w:rPr>
          <w:noProof/>
        </w:rPr>
        <w:t>těžba zemního plynu (</w:t>
      </w:r>
      <w:r w:rsidRPr="003D5D41">
        <w:rPr>
          <w:i/>
          <w:noProof/>
        </w:rPr>
        <w:t>plynárenské podniky</w:t>
      </w:r>
      <w:r w:rsidRPr="003D5D41">
        <w:rPr>
          <w:noProof/>
        </w:rPr>
        <w:t>);</w:t>
      </w:r>
    </w:p>
    <w:p w14:paraId="57F7B9C1" w14:textId="0D401CEA" w:rsidR="00F51FCF" w:rsidRPr="003D5D41" w:rsidRDefault="001B1CE3" w:rsidP="00EF4E90">
      <w:pPr>
        <w:pStyle w:val="Point"/>
        <w:ind w:left="1037" w:hanging="680"/>
        <w:rPr>
          <w:noProof/>
        </w:rPr>
      </w:pPr>
      <w:r w:rsidRPr="003D5D41">
        <w:rPr>
          <w:noProof/>
        </w:rPr>
        <w:t>nákup zemního plynu (</w:t>
      </w:r>
      <w:r w:rsidRPr="003D5D41">
        <w:rPr>
          <w:i/>
          <w:noProof/>
        </w:rPr>
        <w:t>plynárenské podniky</w:t>
      </w:r>
      <w:r w:rsidRPr="003D5D41">
        <w:rPr>
          <w:noProof/>
        </w:rPr>
        <w:t>);</w:t>
      </w:r>
    </w:p>
    <w:p w14:paraId="559E0A9C" w14:textId="3946805D" w:rsidR="00F51FCF" w:rsidRPr="003D5D41" w:rsidRDefault="001B1CE3" w:rsidP="00EF4E90">
      <w:pPr>
        <w:pStyle w:val="Point"/>
        <w:ind w:left="1037" w:hanging="680"/>
        <w:rPr>
          <w:noProof/>
        </w:rPr>
      </w:pPr>
      <w:r w:rsidRPr="003D5D41">
        <w:rPr>
          <w:noProof/>
        </w:rPr>
        <w:t>rafinace a zpracování zemního plynu (</w:t>
      </w:r>
      <w:r w:rsidRPr="003D5D41">
        <w:rPr>
          <w:i/>
          <w:noProof/>
        </w:rPr>
        <w:t>provozovatelé zařízení na rafinaci a zpracování zemního plynu</w:t>
      </w:r>
      <w:r w:rsidRPr="003D5D41">
        <w:rPr>
          <w:noProof/>
        </w:rPr>
        <w:t>);</w:t>
      </w:r>
    </w:p>
    <w:p w14:paraId="2B09F949" w14:textId="77777777" w:rsidR="00F51FCF" w:rsidRPr="003D5D41" w:rsidRDefault="00F51FCF" w:rsidP="00F51FCF">
      <w:pPr>
        <w:pStyle w:val="ListParagraph"/>
        <w:spacing w:line="276" w:lineRule="auto"/>
        <w:ind w:left="360"/>
        <w:rPr>
          <w:i/>
          <w:noProof/>
          <w:szCs w:val="24"/>
        </w:rPr>
      </w:pPr>
    </w:p>
    <w:p w14:paraId="38AD2D9A" w14:textId="6445E827" w:rsidR="00F51FCF" w:rsidRPr="003D5D41" w:rsidRDefault="001E134D" w:rsidP="001E134D">
      <w:pPr>
        <w:pStyle w:val="Point0"/>
        <w:rPr>
          <w:noProof/>
          <w:szCs w:val="24"/>
        </w:rPr>
      </w:pPr>
      <w:r>
        <w:rPr>
          <w:noProof/>
        </w:rPr>
        <w:t>e)</w:t>
      </w:r>
      <w:r>
        <w:rPr>
          <w:noProof/>
        </w:rPr>
        <w:tab/>
      </w:r>
      <w:r w:rsidR="001B1CE3" w:rsidRPr="003D5D41">
        <w:rPr>
          <w:noProof/>
        </w:rPr>
        <w:t>pododvětví vodíku:</w:t>
      </w:r>
    </w:p>
    <w:p w14:paraId="66BB3CBE" w14:textId="132CD273" w:rsidR="00F51FCF" w:rsidRPr="003D5D41" w:rsidRDefault="001B1CE3" w:rsidP="00EF4E90">
      <w:pPr>
        <w:pStyle w:val="Point"/>
        <w:numPr>
          <w:ilvl w:val="0"/>
          <w:numId w:val="14"/>
        </w:numPr>
        <w:ind w:left="1037" w:hanging="680"/>
        <w:rPr>
          <w:noProof/>
        </w:rPr>
      </w:pPr>
      <w:r w:rsidRPr="003D5D41">
        <w:rPr>
          <w:noProof/>
        </w:rPr>
        <w:t>výroba vodíku (</w:t>
      </w:r>
      <w:r w:rsidRPr="003D5D41">
        <w:rPr>
          <w:i/>
          <w:noProof/>
        </w:rPr>
        <w:t>provozovatelé zařízení na výrobu vodíku</w:t>
      </w:r>
      <w:r w:rsidRPr="003D5D41">
        <w:rPr>
          <w:noProof/>
        </w:rPr>
        <w:t xml:space="preserve">); </w:t>
      </w:r>
    </w:p>
    <w:p w14:paraId="38163006" w14:textId="503F97C9" w:rsidR="00F51FCF" w:rsidRPr="003D5D41" w:rsidRDefault="001B1CE3" w:rsidP="00EF4E90">
      <w:pPr>
        <w:pStyle w:val="Point"/>
        <w:ind w:left="1037" w:hanging="680"/>
        <w:rPr>
          <w:noProof/>
        </w:rPr>
      </w:pPr>
      <w:r w:rsidRPr="003D5D41">
        <w:rPr>
          <w:noProof/>
        </w:rPr>
        <w:t>skladování vodíku (</w:t>
      </w:r>
      <w:r w:rsidRPr="003D5D41">
        <w:rPr>
          <w:i/>
          <w:noProof/>
        </w:rPr>
        <w:t>provozovatelé zařízení pro skladování vodíku</w:t>
      </w:r>
      <w:r w:rsidRPr="003D5D41">
        <w:rPr>
          <w:noProof/>
        </w:rPr>
        <w:t>);</w:t>
      </w:r>
    </w:p>
    <w:p w14:paraId="463D1857" w14:textId="28381AD9" w:rsidR="00F51FCF" w:rsidRPr="003D5D41" w:rsidRDefault="001B1CE3" w:rsidP="00EF4E90">
      <w:pPr>
        <w:pStyle w:val="Point"/>
        <w:ind w:left="1037" w:hanging="680"/>
        <w:rPr>
          <w:noProof/>
        </w:rPr>
      </w:pPr>
      <w:r w:rsidRPr="003D5D41">
        <w:rPr>
          <w:noProof/>
        </w:rPr>
        <w:t>přeprava vodíku (</w:t>
      </w:r>
      <w:r w:rsidRPr="003D5D41">
        <w:rPr>
          <w:i/>
          <w:noProof/>
        </w:rPr>
        <w:t>provozovatelé zařízení pro přepravu vodíku</w:t>
      </w:r>
      <w:r w:rsidRPr="003D5D41">
        <w:rPr>
          <w:noProof/>
        </w:rPr>
        <w:t>);</w:t>
      </w:r>
    </w:p>
    <w:p w14:paraId="30DBAA5B" w14:textId="77777777" w:rsidR="00F51FCF" w:rsidRPr="003D5D41" w:rsidRDefault="00F51FCF" w:rsidP="00F51FCF">
      <w:pPr>
        <w:rPr>
          <w:noProof/>
          <w:szCs w:val="24"/>
        </w:rPr>
      </w:pPr>
    </w:p>
    <w:p w14:paraId="76233C59" w14:textId="36541C74" w:rsidR="00F51FCF" w:rsidRPr="003D5D41" w:rsidRDefault="001E134D" w:rsidP="001E134D">
      <w:pPr>
        <w:pStyle w:val="Point0"/>
        <w:rPr>
          <w:noProof/>
          <w:szCs w:val="24"/>
        </w:rPr>
      </w:pPr>
      <w:r>
        <w:rPr>
          <w:noProof/>
        </w:rPr>
        <w:t>2)</w:t>
      </w:r>
      <w:r>
        <w:rPr>
          <w:noProof/>
        </w:rPr>
        <w:tab/>
      </w:r>
      <w:r w:rsidR="001B1CE3" w:rsidRPr="003D5D41">
        <w:rPr>
          <w:noProof/>
        </w:rPr>
        <w:t xml:space="preserve">odvětví dopravy: </w:t>
      </w:r>
    </w:p>
    <w:p w14:paraId="40CF13A0" w14:textId="050CCBD7" w:rsidR="00F51FCF" w:rsidRPr="003D5D41" w:rsidRDefault="001E134D" w:rsidP="001E134D">
      <w:pPr>
        <w:pStyle w:val="Point0"/>
        <w:rPr>
          <w:noProof/>
          <w:szCs w:val="24"/>
        </w:rPr>
      </w:pPr>
      <w:r>
        <w:rPr>
          <w:noProof/>
        </w:rPr>
        <w:t>a)</w:t>
      </w:r>
      <w:r>
        <w:rPr>
          <w:noProof/>
        </w:rPr>
        <w:tab/>
      </w:r>
      <w:r w:rsidR="001B1CE3" w:rsidRPr="003D5D41">
        <w:rPr>
          <w:noProof/>
        </w:rPr>
        <w:t>pododvětví letecké dopravy:</w:t>
      </w:r>
    </w:p>
    <w:p w14:paraId="6330AD2D" w14:textId="04EBEC12" w:rsidR="00F51FCF" w:rsidRPr="003D5D41" w:rsidRDefault="001B1CE3" w:rsidP="00EF4E90">
      <w:pPr>
        <w:pStyle w:val="Point"/>
        <w:numPr>
          <w:ilvl w:val="0"/>
          <w:numId w:val="13"/>
        </w:numPr>
        <w:ind w:left="1037" w:hanging="680"/>
        <w:rPr>
          <w:noProof/>
        </w:rPr>
      </w:pPr>
      <w:r w:rsidRPr="003D5D41">
        <w:rPr>
          <w:noProof/>
        </w:rPr>
        <w:t>služby letecké dopravy využívané ke komerčním účelům (osobní a nákladní) (</w:t>
      </w:r>
      <w:r w:rsidRPr="003D5D41">
        <w:rPr>
          <w:i/>
          <w:noProof/>
        </w:rPr>
        <w:t>letečtí dopravci</w:t>
      </w:r>
      <w:r w:rsidRPr="003D5D41">
        <w:rPr>
          <w:noProof/>
        </w:rPr>
        <w:t>);</w:t>
      </w:r>
    </w:p>
    <w:p w14:paraId="5D707F32" w14:textId="3CC01580" w:rsidR="00F51FCF" w:rsidRPr="003D5D41" w:rsidRDefault="001B1CE3" w:rsidP="00EF4E90">
      <w:pPr>
        <w:pStyle w:val="Point"/>
        <w:ind w:left="1037" w:hanging="680"/>
        <w:rPr>
          <w:noProof/>
        </w:rPr>
      </w:pPr>
      <w:r w:rsidRPr="003D5D41">
        <w:rPr>
          <w:noProof/>
        </w:rPr>
        <w:t>provoz, správa a údržba infrastruktury letišť a sítě letišť (</w:t>
      </w:r>
      <w:r w:rsidRPr="003D5D41">
        <w:rPr>
          <w:i/>
          <w:noProof/>
        </w:rPr>
        <w:t>řídící orgány letišť</w:t>
      </w:r>
      <w:r w:rsidRPr="003D5D41">
        <w:rPr>
          <w:noProof/>
        </w:rPr>
        <w:t>);</w:t>
      </w:r>
    </w:p>
    <w:p w14:paraId="3FCC97ED" w14:textId="7D1207C1" w:rsidR="00F51FCF" w:rsidRPr="003D5D41" w:rsidRDefault="001B1CE3" w:rsidP="00EF4E90">
      <w:pPr>
        <w:pStyle w:val="Point"/>
        <w:ind w:left="1037" w:hanging="680"/>
        <w:rPr>
          <w:noProof/>
        </w:rPr>
      </w:pPr>
      <w:r w:rsidRPr="003D5D41">
        <w:rPr>
          <w:noProof/>
        </w:rPr>
        <w:t xml:space="preserve">služby </w:t>
      </w:r>
      <w:r w:rsidRPr="003D5D41">
        <w:rPr>
          <w:rStyle w:val="normaltextrun"/>
          <w:noProof/>
          <w:bdr w:val="none" w:sz="0" w:space="0" w:color="auto" w:frame="1"/>
        </w:rPr>
        <w:t>řízení</w:t>
      </w:r>
      <w:r w:rsidRPr="003D5D41">
        <w:rPr>
          <w:noProof/>
        </w:rPr>
        <w:t xml:space="preserve"> letového provozu (</w:t>
      </w:r>
      <w:r w:rsidRPr="003D5D41">
        <w:rPr>
          <w:i/>
          <w:noProof/>
        </w:rPr>
        <w:t>provozovatelé kontroly řízení provozu</w:t>
      </w:r>
      <w:r w:rsidRPr="003D5D41">
        <w:rPr>
          <w:noProof/>
        </w:rPr>
        <w:t>);</w:t>
      </w:r>
    </w:p>
    <w:p w14:paraId="26ED351E" w14:textId="77777777" w:rsidR="00F51FCF" w:rsidRPr="003D5D41" w:rsidRDefault="00F51FCF" w:rsidP="00F51FCF">
      <w:pPr>
        <w:pStyle w:val="ListParagraph"/>
        <w:spacing w:line="276" w:lineRule="auto"/>
        <w:ind w:left="360"/>
        <w:rPr>
          <w:noProof/>
          <w:szCs w:val="24"/>
        </w:rPr>
      </w:pPr>
    </w:p>
    <w:p w14:paraId="751B8774" w14:textId="5B39793B" w:rsidR="00F51FCF" w:rsidRPr="003D5D41" w:rsidRDefault="001E134D" w:rsidP="001E134D">
      <w:pPr>
        <w:pStyle w:val="Point0"/>
        <w:rPr>
          <w:noProof/>
          <w:szCs w:val="24"/>
        </w:rPr>
      </w:pPr>
      <w:r>
        <w:rPr>
          <w:noProof/>
        </w:rPr>
        <w:t>b)</w:t>
      </w:r>
      <w:r>
        <w:rPr>
          <w:noProof/>
        </w:rPr>
        <w:tab/>
      </w:r>
      <w:r w:rsidR="00A56444" w:rsidRPr="003D5D41">
        <w:rPr>
          <w:noProof/>
        </w:rPr>
        <w:t>pododvětví železniční dopravy:</w:t>
      </w:r>
    </w:p>
    <w:p w14:paraId="3C2858E3" w14:textId="75420381" w:rsidR="00F51FCF" w:rsidRPr="003D5D41" w:rsidRDefault="007725B9" w:rsidP="00EF4E90">
      <w:pPr>
        <w:pStyle w:val="Point"/>
        <w:numPr>
          <w:ilvl w:val="0"/>
          <w:numId w:val="15"/>
        </w:numPr>
        <w:ind w:left="1037" w:hanging="680"/>
        <w:rPr>
          <w:noProof/>
        </w:rPr>
      </w:pPr>
      <w:r w:rsidRPr="003D5D41">
        <w:rPr>
          <w:noProof/>
        </w:rPr>
        <w:t>služby železniční dopravy (osobní a nákladní) (</w:t>
      </w:r>
      <w:r w:rsidRPr="003D5D41">
        <w:rPr>
          <w:i/>
          <w:noProof/>
        </w:rPr>
        <w:t>železniční podniky</w:t>
      </w:r>
      <w:r w:rsidRPr="003D5D41">
        <w:rPr>
          <w:noProof/>
        </w:rPr>
        <w:t>);</w:t>
      </w:r>
    </w:p>
    <w:p w14:paraId="72E6DE18" w14:textId="7C5C495E" w:rsidR="00F51FCF" w:rsidRPr="003D5D41" w:rsidRDefault="007725B9" w:rsidP="00EF4E90">
      <w:pPr>
        <w:pStyle w:val="Point"/>
        <w:ind w:left="1037" w:hanging="680"/>
        <w:rPr>
          <w:noProof/>
        </w:rPr>
      </w:pPr>
      <w:r w:rsidRPr="003D5D41">
        <w:rPr>
          <w:noProof/>
        </w:rPr>
        <w:t>provoz, správa a údržba železniční infrastruktury, včetně osobních nádraží, nákladních terminálů, seřaďovacích nádraží a středisek řízení provozu (</w:t>
      </w:r>
      <w:r w:rsidRPr="003D5D41">
        <w:rPr>
          <w:i/>
          <w:noProof/>
        </w:rPr>
        <w:t>provozovatelé infrastruktury</w:t>
      </w:r>
      <w:r w:rsidRPr="003D5D41">
        <w:rPr>
          <w:noProof/>
        </w:rPr>
        <w:t>);</w:t>
      </w:r>
    </w:p>
    <w:p w14:paraId="1DE3328F" w14:textId="6A874D1F" w:rsidR="00B7293F" w:rsidRPr="003D5D41" w:rsidRDefault="007725B9" w:rsidP="00EF4E90">
      <w:pPr>
        <w:pStyle w:val="Point"/>
        <w:ind w:left="1037" w:hanging="680"/>
        <w:rPr>
          <w:noProof/>
        </w:rPr>
      </w:pPr>
      <w:r w:rsidRPr="003D5D41">
        <w:rPr>
          <w:noProof/>
        </w:rPr>
        <w:t>provoz, správa a údržba zařízení železničních služeb (</w:t>
      </w:r>
      <w:r w:rsidRPr="003D5D41">
        <w:rPr>
          <w:i/>
          <w:noProof/>
        </w:rPr>
        <w:t>provozovatelé zařízení služeb</w:t>
      </w:r>
      <w:r w:rsidRPr="003D5D41">
        <w:rPr>
          <w:noProof/>
        </w:rPr>
        <w:t>);</w:t>
      </w:r>
    </w:p>
    <w:p w14:paraId="30176AE5" w14:textId="5F6872A4" w:rsidR="00F51FCF" w:rsidRPr="003D5D41" w:rsidRDefault="007725B9" w:rsidP="00EF4E90">
      <w:pPr>
        <w:pStyle w:val="Point"/>
        <w:ind w:left="1037" w:hanging="680"/>
        <w:rPr>
          <w:i/>
          <w:noProof/>
        </w:rPr>
      </w:pPr>
      <w:r w:rsidRPr="003D5D41">
        <w:rPr>
          <w:rStyle w:val="normaltextrun"/>
          <w:noProof/>
        </w:rPr>
        <w:t>provoz, správa a údržba</w:t>
      </w:r>
      <w:r w:rsidRPr="003D5D41">
        <w:rPr>
          <w:noProof/>
        </w:rPr>
        <w:t xml:space="preserve"> řízení železničního provozu, řízení</w:t>
      </w:r>
      <w:r w:rsidRPr="003D5D41">
        <w:rPr>
          <w:rStyle w:val="normaltextrun"/>
          <w:noProof/>
        </w:rPr>
        <w:t xml:space="preserve"> a zabezpečení, jakož i telekomunikačních zařízení a systémů</w:t>
      </w:r>
      <w:r w:rsidRPr="003D5D41">
        <w:rPr>
          <w:noProof/>
        </w:rPr>
        <w:t xml:space="preserve"> používaných pro řízení a zabezpečení (</w:t>
      </w:r>
      <w:r w:rsidRPr="003D5D41">
        <w:rPr>
          <w:i/>
          <w:noProof/>
        </w:rPr>
        <w:t>provozovatelé infrastruktury</w:t>
      </w:r>
      <w:r w:rsidRPr="003D5D41">
        <w:rPr>
          <w:noProof/>
        </w:rPr>
        <w:t>);</w:t>
      </w:r>
    </w:p>
    <w:p w14:paraId="0D6CAFF5" w14:textId="77777777" w:rsidR="00F51FCF" w:rsidRPr="003D5D41" w:rsidRDefault="00F51FCF" w:rsidP="00F51FCF">
      <w:pPr>
        <w:pStyle w:val="ListParagraph"/>
        <w:ind w:left="360"/>
        <w:rPr>
          <w:noProof/>
          <w:szCs w:val="24"/>
        </w:rPr>
      </w:pPr>
    </w:p>
    <w:p w14:paraId="1DA6F889" w14:textId="5EFA3A5D" w:rsidR="00F51FCF" w:rsidRPr="003D5D41" w:rsidRDefault="001E134D" w:rsidP="001E134D">
      <w:pPr>
        <w:pStyle w:val="Point0"/>
        <w:rPr>
          <w:noProof/>
          <w:szCs w:val="24"/>
        </w:rPr>
      </w:pPr>
      <w:r>
        <w:rPr>
          <w:noProof/>
        </w:rPr>
        <w:t>c)</w:t>
      </w:r>
      <w:r>
        <w:rPr>
          <w:noProof/>
        </w:rPr>
        <w:tab/>
      </w:r>
      <w:r w:rsidR="007725B9" w:rsidRPr="003D5D41">
        <w:rPr>
          <w:noProof/>
        </w:rPr>
        <w:t>pododvětví vodní dopravy:</w:t>
      </w:r>
    </w:p>
    <w:p w14:paraId="299971E5" w14:textId="2636158C" w:rsidR="00F51FCF" w:rsidRPr="003D5D41" w:rsidRDefault="007725B9" w:rsidP="00EF4E90">
      <w:pPr>
        <w:pStyle w:val="Point"/>
        <w:numPr>
          <w:ilvl w:val="0"/>
          <w:numId w:val="16"/>
        </w:numPr>
        <w:ind w:left="1037" w:hanging="680"/>
        <w:rPr>
          <w:noProof/>
        </w:rPr>
      </w:pPr>
      <w:r w:rsidRPr="003D5D41">
        <w:rPr>
          <w:noProof/>
        </w:rPr>
        <w:t>služby vnitrozemské, námořní a pobřežní vodní dopravy (osobní a nákladní) (</w:t>
      </w:r>
      <w:r w:rsidRPr="003D5D41">
        <w:rPr>
          <w:i/>
          <w:noProof/>
        </w:rPr>
        <w:t>společnosti vnitrozemské, námořní a pobřežní osobní a nákladní vodní dopravy</w:t>
      </w:r>
      <w:r w:rsidRPr="003D5D41">
        <w:rPr>
          <w:noProof/>
        </w:rPr>
        <w:t>);</w:t>
      </w:r>
    </w:p>
    <w:p w14:paraId="7EB314A9" w14:textId="3F0A0F63" w:rsidR="00F51FCF" w:rsidRPr="003D5D41" w:rsidRDefault="007725B9" w:rsidP="00EF4E90">
      <w:pPr>
        <w:pStyle w:val="Point"/>
        <w:ind w:left="1037" w:hanging="680"/>
        <w:rPr>
          <w:noProof/>
        </w:rPr>
      </w:pPr>
      <w:r w:rsidRPr="003D5D41">
        <w:rPr>
          <w:noProof/>
        </w:rPr>
        <w:t>provoz, správa a údržba přístavů a přístavních zařízení a provoz děl a zařízení</w:t>
      </w:r>
      <w:r w:rsidRPr="003D5D41">
        <w:rPr>
          <w:noProof/>
          <w:color w:val="1F497D"/>
        </w:rPr>
        <w:t xml:space="preserve"> </w:t>
      </w:r>
      <w:r w:rsidRPr="003D5D41">
        <w:rPr>
          <w:noProof/>
        </w:rPr>
        <w:t>v rámci přístavů, včetně doplňování paliva, nákladových operací, vyvazování, služeb osobní dopravy, sběru lodního odpadu a zbytků lodního nákladu, lodivodských služeb a služeb vlečných lodí (</w:t>
      </w:r>
      <w:r w:rsidRPr="003D5D41">
        <w:rPr>
          <w:i/>
          <w:noProof/>
        </w:rPr>
        <w:t>řídící orgány přístavů a subjekty provádějící práce a provozující zařízení v přístavech</w:t>
      </w:r>
      <w:r w:rsidRPr="003D5D41">
        <w:rPr>
          <w:noProof/>
        </w:rPr>
        <w:t>);</w:t>
      </w:r>
    </w:p>
    <w:p w14:paraId="372C999F" w14:textId="6E248411" w:rsidR="00F51FCF" w:rsidRPr="003D5D41" w:rsidRDefault="007725B9" w:rsidP="00EF4E90">
      <w:pPr>
        <w:pStyle w:val="Point"/>
        <w:ind w:left="1037" w:hanging="680"/>
        <w:rPr>
          <w:noProof/>
        </w:rPr>
      </w:pPr>
      <w:r w:rsidRPr="003D5D41">
        <w:rPr>
          <w:noProof/>
        </w:rPr>
        <w:t>služby lodní dopravě (</w:t>
      </w:r>
      <w:r w:rsidRPr="003D5D41">
        <w:rPr>
          <w:i/>
          <w:noProof/>
        </w:rPr>
        <w:t>provozovatelé služeb lodní dopravě</w:t>
      </w:r>
      <w:r w:rsidRPr="003D5D41">
        <w:rPr>
          <w:noProof/>
        </w:rPr>
        <w:t>);</w:t>
      </w:r>
    </w:p>
    <w:p w14:paraId="450E36E9" w14:textId="77777777" w:rsidR="00F51FCF" w:rsidRPr="003D5D41" w:rsidRDefault="00F51FCF" w:rsidP="00F51FCF">
      <w:pPr>
        <w:pStyle w:val="ListParagraph"/>
        <w:spacing w:line="276" w:lineRule="auto"/>
        <w:ind w:left="360"/>
        <w:rPr>
          <w:i/>
          <w:noProof/>
          <w:szCs w:val="24"/>
        </w:rPr>
      </w:pPr>
    </w:p>
    <w:p w14:paraId="4D5D73CB" w14:textId="1D00147A" w:rsidR="00F51FCF" w:rsidRPr="003D5D41" w:rsidRDefault="001E134D" w:rsidP="001E134D">
      <w:pPr>
        <w:pStyle w:val="Point0"/>
        <w:rPr>
          <w:noProof/>
          <w:szCs w:val="24"/>
        </w:rPr>
      </w:pPr>
      <w:r>
        <w:rPr>
          <w:noProof/>
        </w:rPr>
        <w:t>d)</w:t>
      </w:r>
      <w:r>
        <w:rPr>
          <w:noProof/>
        </w:rPr>
        <w:tab/>
      </w:r>
      <w:r w:rsidR="007725B9" w:rsidRPr="003D5D41">
        <w:rPr>
          <w:noProof/>
        </w:rPr>
        <w:t>pododvětví silniční dopravy:</w:t>
      </w:r>
    </w:p>
    <w:p w14:paraId="153002D9" w14:textId="2A758421" w:rsidR="00F51FCF" w:rsidRPr="003D5D41" w:rsidRDefault="007725B9" w:rsidP="00EF4E90">
      <w:pPr>
        <w:pStyle w:val="Point"/>
        <w:numPr>
          <w:ilvl w:val="0"/>
          <w:numId w:val="17"/>
        </w:numPr>
        <w:ind w:left="1037" w:hanging="680"/>
        <w:rPr>
          <w:noProof/>
          <w:szCs w:val="24"/>
        </w:rPr>
      </w:pPr>
      <w:r w:rsidRPr="003D5D41">
        <w:rPr>
          <w:noProof/>
        </w:rPr>
        <w:t>kontrola řízení provozu, včetně aspektů souvisejících s plánováním, řízením a správou silniční sítě, s výjimkou řízení provozu nebo provozování inteligentních dopravních systémů, pokud nejsou podstatnou součástí obecné činnosti veřejných subjektů (</w:t>
      </w:r>
      <w:r w:rsidRPr="003D5D41">
        <w:rPr>
          <w:i/>
          <w:noProof/>
        </w:rPr>
        <w:t>silniční orgány</w:t>
      </w:r>
      <w:r w:rsidRPr="003D5D41">
        <w:rPr>
          <w:noProof/>
        </w:rPr>
        <w:t xml:space="preserve">); </w:t>
      </w:r>
    </w:p>
    <w:p w14:paraId="6DE9F8F9" w14:textId="049214EA" w:rsidR="00F51FCF" w:rsidRPr="003D5D41" w:rsidRDefault="00F51FCF" w:rsidP="00EF4E90">
      <w:pPr>
        <w:pStyle w:val="Point"/>
        <w:ind w:left="1037" w:hanging="680"/>
        <w:rPr>
          <w:noProof/>
          <w:szCs w:val="24"/>
        </w:rPr>
      </w:pPr>
      <w:r w:rsidRPr="003D5D41">
        <w:rPr>
          <w:noProof/>
        </w:rPr>
        <w:t>služby inteligentních dopravních systémů (</w:t>
      </w:r>
      <w:r w:rsidRPr="003D5D41">
        <w:rPr>
          <w:i/>
          <w:noProof/>
        </w:rPr>
        <w:t>provozovatelé inteligentních dopravních systémů</w:t>
      </w:r>
      <w:r w:rsidRPr="003D5D41">
        <w:rPr>
          <w:noProof/>
        </w:rPr>
        <w:t>);</w:t>
      </w:r>
    </w:p>
    <w:p w14:paraId="440166DC" w14:textId="77777777" w:rsidR="00F51FCF" w:rsidRPr="003D5D41" w:rsidRDefault="00F51FCF" w:rsidP="00F51FCF">
      <w:pPr>
        <w:pStyle w:val="ListParagraph"/>
        <w:ind w:left="360"/>
        <w:rPr>
          <w:noProof/>
          <w:szCs w:val="24"/>
        </w:rPr>
      </w:pPr>
    </w:p>
    <w:p w14:paraId="51B4710F" w14:textId="758F1241" w:rsidR="00F51FCF" w:rsidRPr="003D5D41" w:rsidRDefault="001E134D" w:rsidP="001E134D">
      <w:pPr>
        <w:pStyle w:val="Point0"/>
        <w:rPr>
          <w:noProof/>
        </w:rPr>
      </w:pPr>
      <w:r>
        <w:rPr>
          <w:noProof/>
        </w:rPr>
        <w:t>e)</w:t>
      </w:r>
      <w:r>
        <w:rPr>
          <w:noProof/>
        </w:rPr>
        <w:tab/>
      </w:r>
      <w:r w:rsidR="007725B9" w:rsidRPr="003D5D41">
        <w:rPr>
          <w:noProof/>
        </w:rPr>
        <w:t>pododvětví veřejné přepravy: veřejné služby v přepravě cestujících po železnici a či jiným druhem drážní dopravy a po silnici (</w:t>
      </w:r>
      <w:r w:rsidR="007725B9" w:rsidRPr="003D5D41">
        <w:rPr>
          <w:i/>
          <w:noProof/>
        </w:rPr>
        <w:t>provozovatelé veřejných služeb</w:t>
      </w:r>
      <w:r w:rsidR="007725B9" w:rsidRPr="003D5D41">
        <w:rPr>
          <w:noProof/>
        </w:rPr>
        <w:t>);</w:t>
      </w:r>
    </w:p>
    <w:p w14:paraId="126233EE" w14:textId="77777777" w:rsidR="00F51FCF" w:rsidRPr="003D5D41" w:rsidRDefault="00F51FCF" w:rsidP="00F51FCF">
      <w:pPr>
        <w:rPr>
          <w:noProof/>
          <w:szCs w:val="24"/>
        </w:rPr>
      </w:pPr>
    </w:p>
    <w:p w14:paraId="5C6EDF04" w14:textId="10B29521" w:rsidR="00F51FCF" w:rsidRPr="003D5D41" w:rsidRDefault="001E134D" w:rsidP="001E134D">
      <w:pPr>
        <w:pStyle w:val="Point0"/>
        <w:rPr>
          <w:noProof/>
          <w:szCs w:val="24"/>
        </w:rPr>
      </w:pPr>
      <w:r>
        <w:rPr>
          <w:noProof/>
        </w:rPr>
        <w:t>3)</w:t>
      </w:r>
      <w:r>
        <w:rPr>
          <w:noProof/>
        </w:rPr>
        <w:tab/>
      </w:r>
      <w:r w:rsidR="007725B9" w:rsidRPr="003D5D41">
        <w:rPr>
          <w:noProof/>
        </w:rPr>
        <w:t>odvětví bankovnictví:</w:t>
      </w:r>
    </w:p>
    <w:p w14:paraId="246E8714" w14:textId="4695D825" w:rsidR="00F51FCF" w:rsidRPr="003D5D41" w:rsidRDefault="007725B9" w:rsidP="00EF4E90">
      <w:pPr>
        <w:pStyle w:val="Point"/>
        <w:numPr>
          <w:ilvl w:val="0"/>
          <w:numId w:val="18"/>
        </w:numPr>
        <w:ind w:left="1037" w:hanging="680"/>
        <w:rPr>
          <w:noProof/>
        </w:rPr>
      </w:pPr>
      <w:r w:rsidRPr="003D5D41">
        <w:rPr>
          <w:noProof/>
        </w:rPr>
        <w:t>přijímání vkladů (</w:t>
      </w:r>
      <w:r w:rsidRPr="003D5D41">
        <w:rPr>
          <w:i/>
          <w:noProof/>
        </w:rPr>
        <w:t>úvěrové instituce</w:t>
      </w:r>
      <w:r w:rsidRPr="003D5D41">
        <w:rPr>
          <w:noProof/>
        </w:rPr>
        <w:t>);</w:t>
      </w:r>
    </w:p>
    <w:p w14:paraId="3F40CFF3" w14:textId="74CD2590" w:rsidR="00F51FCF" w:rsidRPr="003D5D41" w:rsidRDefault="007725B9" w:rsidP="00EF4E90">
      <w:pPr>
        <w:pStyle w:val="Point"/>
        <w:ind w:left="1037" w:hanging="680"/>
        <w:rPr>
          <w:noProof/>
        </w:rPr>
      </w:pPr>
      <w:r w:rsidRPr="003D5D41">
        <w:rPr>
          <w:noProof/>
        </w:rPr>
        <w:t>poskytování úvěrů (</w:t>
      </w:r>
      <w:r w:rsidRPr="003D5D41">
        <w:rPr>
          <w:i/>
          <w:noProof/>
        </w:rPr>
        <w:t>úvěrové instituce</w:t>
      </w:r>
      <w:r w:rsidRPr="003D5D41">
        <w:rPr>
          <w:noProof/>
        </w:rPr>
        <w:t>);</w:t>
      </w:r>
    </w:p>
    <w:p w14:paraId="34767445" w14:textId="77777777" w:rsidR="00F51FCF" w:rsidRPr="003D5D41" w:rsidRDefault="00F51FCF" w:rsidP="00F51FCF">
      <w:pPr>
        <w:rPr>
          <w:noProof/>
          <w:szCs w:val="24"/>
        </w:rPr>
      </w:pPr>
    </w:p>
    <w:p w14:paraId="3F57507C" w14:textId="31E33572" w:rsidR="00F51FCF" w:rsidRPr="003D5D41" w:rsidRDefault="001E134D" w:rsidP="001E134D">
      <w:pPr>
        <w:pStyle w:val="Point0"/>
        <w:rPr>
          <w:noProof/>
          <w:szCs w:val="24"/>
        </w:rPr>
      </w:pPr>
      <w:r>
        <w:rPr>
          <w:noProof/>
        </w:rPr>
        <w:t>4)</w:t>
      </w:r>
      <w:r>
        <w:rPr>
          <w:noProof/>
        </w:rPr>
        <w:tab/>
      </w:r>
      <w:r w:rsidR="007725B9" w:rsidRPr="003D5D41">
        <w:rPr>
          <w:noProof/>
        </w:rPr>
        <w:t>odvětví infrastruktury finančních trhů:</w:t>
      </w:r>
    </w:p>
    <w:p w14:paraId="13B78196" w14:textId="2E95E283" w:rsidR="00F51FCF" w:rsidRPr="003D5D41" w:rsidRDefault="007725B9" w:rsidP="00EF4E90">
      <w:pPr>
        <w:pStyle w:val="Point"/>
        <w:numPr>
          <w:ilvl w:val="0"/>
          <w:numId w:val="19"/>
        </w:numPr>
        <w:ind w:left="1037" w:hanging="680"/>
        <w:rPr>
          <w:noProof/>
        </w:rPr>
      </w:pPr>
      <w:r w:rsidRPr="003D5D41">
        <w:rPr>
          <w:noProof/>
        </w:rPr>
        <w:t>provozování obchodního systému (</w:t>
      </w:r>
      <w:r w:rsidRPr="003D5D41">
        <w:rPr>
          <w:i/>
          <w:noProof/>
        </w:rPr>
        <w:t>provozovatelé obchodních systémů</w:t>
      </w:r>
      <w:r w:rsidRPr="003D5D41">
        <w:rPr>
          <w:noProof/>
        </w:rPr>
        <w:t>);</w:t>
      </w:r>
    </w:p>
    <w:p w14:paraId="01F3177C" w14:textId="10025421" w:rsidR="00F51FCF" w:rsidRPr="003D5D41" w:rsidRDefault="007725B9" w:rsidP="00EF4E90">
      <w:pPr>
        <w:pStyle w:val="Point"/>
        <w:ind w:left="1037" w:hanging="680"/>
        <w:rPr>
          <w:noProof/>
        </w:rPr>
      </w:pPr>
      <w:r w:rsidRPr="003D5D41">
        <w:rPr>
          <w:noProof/>
        </w:rPr>
        <w:t>provozování clearingových systémů (</w:t>
      </w:r>
      <w:r w:rsidRPr="003D5D41">
        <w:rPr>
          <w:i/>
          <w:noProof/>
        </w:rPr>
        <w:t>ústřední protistrany</w:t>
      </w:r>
      <w:r w:rsidRPr="003D5D41">
        <w:rPr>
          <w:noProof/>
        </w:rPr>
        <w:t>);</w:t>
      </w:r>
    </w:p>
    <w:p w14:paraId="65D8A82B" w14:textId="77777777" w:rsidR="00F51FCF" w:rsidRPr="003D5D41" w:rsidRDefault="00F51FCF" w:rsidP="00F51FCF">
      <w:pPr>
        <w:rPr>
          <w:noProof/>
          <w:szCs w:val="24"/>
        </w:rPr>
      </w:pPr>
    </w:p>
    <w:p w14:paraId="43B85556" w14:textId="6343D747" w:rsidR="00F51FCF" w:rsidRPr="003D5D41" w:rsidRDefault="001E134D" w:rsidP="001E134D">
      <w:pPr>
        <w:pStyle w:val="Point0"/>
        <w:rPr>
          <w:noProof/>
          <w:szCs w:val="24"/>
        </w:rPr>
      </w:pPr>
      <w:r>
        <w:rPr>
          <w:noProof/>
        </w:rPr>
        <w:t>5)</w:t>
      </w:r>
      <w:r>
        <w:rPr>
          <w:noProof/>
        </w:rPr>
        <w:tab/>
      </w:r>
      <w:r w:rsidR="007725B9" w:rsidRPr="003D5D41">
        <w:rPr>
          <w:noProof/>
        </w:rPr>
        <w:t>zdraví:</w:t>
      </w:r>
    </w:p>
    <w:p w14:paraId="11AE9B50" w14:textId="40E16B71" w:rsidR="00F51FCF" w:rsidRPr="003D5D41" w:rsidRDefault="007725B9" w:rsidP="00EF4E90">
      <w:pPr>
        <w:pStyle w:val="Point"/>
        <w:numPr>
          <w:ilvl w:val="0"/>
          <w:numId w:val="20"/>
        </w:numPr>
        <w:ind w:left="1037" w:hanging="680"/>
        <w:rPr>
          <w:i/>
          <w:noProof/>
        </w:rPr>
      </w:pPr>
      <w:r w:rsidRPr="003D5D41">
        <w:rPr>
          <w:noProof/>
        </w:rPr>
        <w:t>poskytování služeb zdravotní péče (</w:t>
      </w:r>
      <w:r w:rsidRPr="003D5D41">
        <w:rPr>
          <w:i/>
          <w:noProof/>
        </w:rPr>
        <w:t>poskytovatelé zdravotní péče</w:t>
      </w:r>
      <w:r w:rsidRPr="003D5D41">
        <w:rPr>
          <w:noProof/>
        </w:rPr>
        <w:t>);</w:t>
      </w:r>
    </w:p>
    <w:p w14:paraId="0763A255" w14:textId="1494820B" w:rsidR="009A2DDC" w:rsidRPr="003D5D41" w:rsidRDefault="007725B9" w:rsidP="00EF4E90">
      <w:pPr>
        <w:pStyle w:val="Point"/>
        <w:ind w:left="1037" w:hanging="680"/>
        <w:rPr>
          <w:noProof/>
        </w:rPr>
      </w:pPr>
      <w:r w:rsidRPr="003D5D41">
        <w:rPr>
          <w:noProof/>
        </w:rPr>
        <w:t>analýzy prováděné referenční laboratoří Evropské unie (</w:t>
      </w:r>
      <w:r w:rsidRPr="003D5D41">
        <w:rPr>
          <w:i/>
          <w:noProof/>
        </w:rPr>
        <w:t>referenční laboratoře EU</w:t>
      </w:r>
      <w:r w:rsidRPr="003D5D41">
        <w:rPr>
          <w:noProof/>
        </w:rPr>
        <w:t>);</w:t>
      </w:r>
    </w:p>
    <w:p w14:paraId="72890215" w14:textId="69D626A2" w:rsidR="00F51FCF" w:rsidRPr="003D5D41" w:rsidRDefault="009A2DDC" w:rsidP="00EF4E90">
      <w:pPr>
        <w:pStyle w:val="Point"/>
        <w:ind w:left="1037" w:hanging="680"/>
        <w:rPr>
          <w:noProof/>
        </w:rPr>
      </w:pPr>
      <w:r w:rsidRPr="003D5D41">
        <w:rPr>
          <w:noProof/>
        </w:rPr>
        <w:t>výzkum a vývoj léčivých přípravků (</w:t>
      </w:r>
      <w:r w:rsidRPr="003D5D41">
        <w:rPr>
          <w:i/>
          <w:noProof/>
        </w:rPr>
        <w:t>subjekty provádějící činnosti v oblasti výzkumu a vývoje</w:t>
      </w:r>
      <w:r w:rsidRPr="003D5D41">
        <w:rPr>
          <w:noProof/>
        </w:rPr>
        <w:t xml:space="preserve"> </w:t>
      </w:r>
      <w:r w:rsidRPr="003D5D41">
        <w:rPr>
          <w:i/>
          <w:noProof/>
        </w:rPr>
        <w:t>léčivých přípravků</w:t>
      </w:r>
      <w:r w:rsidRPr="003D5D41">
        <w:rPr>
          <w:noProof/>
        </w:rPr>
        <w:t>);</w:t>
      </w:r>
    </w:p>
    <w:p w14:paraId="0D21DE69" w14:textId="579512CE" w:rsidR="00F51FCF" w:rsidRPr="003D5D41" w:rsidRDefault="007725B9" w:rsidP="00EF4E90">
      <w:pPr>
        <w:pStyle w:val="Point"/>
        <w:ind w:left="1037" w:hanging="680"/>
        <w:rPr>
          <w:noProof/>
        </w:rPr>
      </w:pPr>
      <w:r w:rsidRPr="003D5D41">
        <w:rPr>
          <w:noProof/>
        </w:rPr>
        <w:t>výroba základních farmaceutických výrobků a základních farmaceutických přípravků (</w:t>
      </w:r>
      <w:r w:rsidRPr="003D5D41">
        <w:rPr>
          <w:i/>
          <w:noProof/>
        </w:rPr>
        <w:t>subjekty vyrábějící základní farmaceutické výrobky a přípravky</w:t>
      </w:r>
      <w:r w:rsidRPr="003D5D41">
        <w:rPr>
          <w:noProof/>
        </w:rPr>
        <w:t>);</w:t>
      </w:r>
    </w:p>
    <w:p w14:paraId="675E2282" w14:textId="4AA07B46" w:rsidR="00F51FCF" w:rsidRPr="003D5D41" w:rsidRDefault="007725B9" w:rsidP="00EF4E90">
      <w:pPr>
        <w:pStyle w:val="Point"/>
        <w:ind w:left="1037" w:hanging="680"/>
        <w:rPr>
          <w:noProof/>
        </w:rPr>
      </w:pPr>
      <w:r w:rsidRPr="003D5D41">
        <w:rPr>
          <w:noProof/>
        </w:rPr>
        <w:t>výroba zdravotnických prostředků považovaných za kriticky důležité v průběhu mimořádné situace v oblasti veřejného zdraví (</w:t>
      </w:r>
      <w:r w:rsidRPr="003D5D41">
        <w:rPr>
          <w:i/>
          <w:noProof/>
        </w:rPr>
        <w:t>subjekty vyrábějící zdravotnické prostředky</w:t>
      </w:r>
      <w:r w:rsidRPr="003D5D41">
        <w:rPr>
          <w:noProof/>
        </w:rPr>
        <w:t>);</w:t>
      </w:r>
    </w:p>
    <w:p w14:paraId="215EB031" w14:textId="0CFF4FA4" w:rsidR="00F51FCF" w:rsidRPr="003D5D41" w:rsidRDefault="007725B9" w:rsidP="00EF4E90">
      <w:pPr>
        <w:pStyle w:val="Point"/>
        <w:ind w:left="1037" w:hanging="680"/>
        <w:rPr>
          <w:noProof/>
        </w:rPr>
      </w:pPr>
      <w:r w:rsidRPr="003D5D41">
        <w:rPr>
          <w:noProof/>
        </w:rPr>
        <w:t>distribuce léčivých přípravků (</w:t>
      </w:r>
      <w:r w:rsidRPr="003D5D41">
        <w:rPr>
          <w:i/>
          <w:noProof/>
        </w:rPr>
        <w:t>subjekty, které jsou držiteli povolení distribuce</w:t>
      </w:r>
      <w:r w:rsidRPr="003D5D41">
        <w:rPr>
          <w:noProof/>
        </w:rPr>
        <w:t>);</w:t>
      </w:r>
    </w:p>
    <w:p w14:paraId="489A0EE8" w14:textId="77777777" w:rsidR="00F51FCF" w:rsidRPr="003D5D41" w:rsidRDefault="00F51FCF" w:rsidP="00F51FCF">
      <w:pPr>
        <w:rPr>
          <w:noProof/>
          <w:szCs w:val="24"/>
        </w:rPr>
      </w:pPr>
    </w:p>
    <w:p w14:paraId="3E47A1F9" w14:textId="49699878" w:rsidR="00F51FCF" w:rsidRPr="003D5D41" w:rsidRDefault="001E134D" w:rsidP="001E134D">
      <w:pPr>
        <w:pStyle w:val="Point0"/>
        <w:rPr>
          <w:noProof/>
        </w:rPr>
      </w:pPr>
      <w:r>
        <w:rPr>
          <w:noProof/>
        </w:rPr>
        <w:t>6)</w:t>
      </w:r>
      <w:r>
        <w:rPr>
          <w:noProof/>
        </w:rPr>
        <w:tab/>
      </w:r>
      <w:r w:rsidR="007725B9" w:rsidRPr="003D5D41">
        <w:rPr>
          <w:noProof/>
        </w:rPr>
        <w:t>odvětví pitné vody: dodávka pitné vody a distribuce pitné vody s výjimkou distribuce vody určené k lidské spotřebě, pokud tato služba není podstatnou součástí obecné činnosti distributorů spočívající v distribuci jiných komodit a zboží (</w:t>
      </w:r>
      <w:r w:rsidR="007725B9" w:rsidRPr="003D5D41">
        <w:rPr>
          <w:i/>
          <w:noProof/>
        </w:rPr>
        <w:t>dodavatelé a distributoři vody určené k lidské spotřebě</w:t>
      </w:r>
      <w:r w:rsidR="007725B9" w:rsidRPr="003D5D41">
        <w:rPr>
          <w:noProof/>
        </w:rPr>
        <w:t>);</w:t>
      </w:r>
    </w:p>
    <w:p w14:paraId="5D1DB11C" w14:textId="478851E5" w:rsidR="00E7002E" w:rsidRPr="003D5D41" w:rsidRDefault="00E7002E" w:rsidP="003D33CF">
      <w:pPr>
        <w:rPr>
          <w:noProof/>
          <w:szCs w:val="24"/>
        </w:rPr>
      </w:pPr>
    </w:p>
    <w:p w14:paraId="125C333A" w14:textId="1840A365" w:rsidR="00F51FCF" w:rsidRPr="003D5D41" w:rsidRDefault="001E134D" w:rsidP="001E134D">
      <w:pPr>
        <w:pStyle w:val="Point0"/>
        <w:rPr>
          <w:noProof/>
          <w:szCs w:val="24"/>
        </w:rPr>
      </w:pPr>
      <w:r>
        <w:rPr>
          <w:noProof/>
        </w:rPr>
        <w:t>7)</w:t>
      </w:r>
      <w:r>
        <w:rPr>
          <w:noProof/>
        </w:rPr>
        <w:tab/>
      </w:r>
      <w:r w:rsidR="007725B9" w:rsidRPr="003D5D41">
        <w:rPr>
          <w:noProof/>
        </w:rPr>
        <w:t>odvětví odpadní vody: odvádění, čištění a vypouštění odpadních vod s výjimkou odvádění, vypouštění nebo čištění městských odpadních vod, splašků nebo průmyslových odpadních vod, pokud nejsou podstatnou součástí obecných činností podniků (</w:t>
      </w:r>
      <w:r w:rsidR="007725B9" w:rsidRPr="003D5D41">
        <w:rPr>
          <w:i/>
          <w:noProof/>
        </w:rPr>
        <w:t>podniky zajišťující odvádění, vypouštění nebo čištění městských odpadních vod, splašků a průmyslových odpadních vod</w:t>
      </w:r>
      <w:r w:rsidR="007725B9" w:rsidRPr="003D5D41">
        <w:rPr>
          <w:noProof/>
        </w:rPr>
        <w:t>);</w:t>
      </w:r>
    </w:p>
    <w:p w14:paraId="7625EAA5" w14:textId="77777777" w:rsidR="00F51FCF" w:rsidRPr="003D5D41" w:rsidRDefault="00F51FCF" w:rsidP="00F51FCF">
      <w:pPr>
        <w:rPr>
          <w:noProof/>
          <w:szCs w:val="24"/>
        </w:rPr>
      </w:pPr>
    </w:p>
    <w:p w14:paraId="27A7AD16" w14:textId="60B21097" w:rsidR="00F51FCF" w:rsidRPr="003D5D41" w:rsidRDefault="001E134D" w:rsidP="001E134D">
      <w:pPr>
        <w:pStyle w:val="Point0"/>
        <w:rPr>
          <w:noProof/>
          <w:szCs w:val="24"/>
        </w:rPr>
      </w:pPr>
      <w:r>
        <w:rPr>
          <w:noProof/>
        </w:rPr>
        <w:t>8)</w:t>
      </w:r>
      <w:r>
        <w:rPr>
          <w:noProof/>
        </w:rPr>
        <w:tab/>
      </w:r>
      <w:r w:rsidR="007725B9" w:rsidRPr="003D5D41">
        <w:rPr>
          <w:noProof/>
        </w:rPr>
        <w:t>odvětví digitální infrastruktury:</w:t>
      </w:r>
    </w:p>
    <w:p w14:paraId="66A7E341" w14:textId="6F7FCBB4" w:rsidR="00F51FCF" w:rsidRPr="003D5D41" w:rsidRDefault="007725B9" w:rsidP="00EF4E90">
      <w:pPr>
        <w:pStyle w:val="Point"/>
        <w:numPr>
          <w:ilvl w:val="0"/>
          <w:numId w:val="21"/>
        </w:numPr>
        <w:ind w:left="1037" w:hanging="680"/>
        <w:rPr>
          <w:noProof/>
        </w:rPr>
      </w:pPr>
      <w:r w:rsidRPr="003D5D41">
        <w:rPr>
          <w:noProof/>
        </w:rPr>
        <w:t>poskytování a provozování služeb výměnných uzlů internetu (</w:t>
      </w:r>
      <w:r w:rsidRPr="003D5D41">
        <w:rPr>
          <w:i/>
          <w:noProof/>
        </w:rPr>
        <w:t>poskytovatelé výměnných uzlů internetu</w:t>
      </w:r>
      <w:r w:rsidRPr="003D5D41">
        <w:rPr>
          <w:noProof/>
        </w:rPr>
        <w:t>);</w:t>
      </w:r>
    </w:p>
    <w:p w14:paraId="51C632A4" w14:textId="4687A07F" w:rsidR="00F51FCF" w:rsidRPr="003D5D41" w:rsidRDefault="007725B9" w:rsidP="00EF4E90">
      <w:pPr>
        <w:pStyle w:val="Point"/>
        <w:ind w:left="1037" w:hanging="680"/>
        <w:rPr>
          <w:noProof/>
        </w:rPr>
      </w:pPr>
      <w:r w:rsidRPr="003D5D41">
        <w:rPr>
          <w:noProof/>
        </w:rPr>
        <w:t>poskytování služeb systému překladu jmen domén (DNS) s výjimkou služeb souvisejících s kořenovými jmennými servery (</w:t>
      </w:r>
      <w:r w:rsidRPr="003D5D41">
        <w:rPr>
          <w:i/>
          <w:noProof/>
        </w:rPr>
        <w:t>provozovatelé služeb systému překladu jmen domén</w:t>
      </w:r>
      <w:r w:rsidRPr="003D5D41">
        <w:rPr>
          <w:noProof/>
        </w:rPr>
        <w:t>);</w:t>
      </w:r>
    </w:p>
    <w:p w14:paraId="3B91AB59" w14:textId="3610C965" w:rsidR="00F51FCF" w:rsidRPr="003D5D41" w:rsidRDefault="007725B9" w:rsidP="00EF4E90">
      <w:pPr>
        <w:pStyle w:val="Point"/>
        <w:ind w:left="1037" w:hanging="680"/>
        <w:rPr>
          <w:noProof/>
        </w:rPr>
      </w:pPr>
      <w:r w:rsidRPr="003D5D41">
        <w:rPr>
          <w:noProof/>
        </w:rPr>
        <w:t>provoz a správa registrů domén nejvyšší úrovně (TLD) (</w:t>
      </w:r>
      <w:r w:rsidRPr="003D5D41">
        <w:rPr>
          <w:i/>
          <w:noProof/>
        </w:rPr>
        <w:t>registry domén nejvyšší úrovně</w:t>
      </w:r>
      <w:r w:rsidRPr="003D5D41">
        <w:rPr>
          <w:noProof/>
        </w:rPr>
        <w:t>);</w:t>
      </w:r>
    </w:p>
    <w:p w14:paraId="5E675324" w14:textId="70BB3E74" w:rsidR="00F51FCF" w:rsidRPr="003D5D41" w:rsidRDefault="007725B9" w:rsidP="00EF4E90">
      <w:pPr>
        <w:pStyle w:val="Point"/>
        <w:ind w:left="1037" w:hanging="680"/>
        <w:rPr>
          <w:noProof/>
        </w:rPr>
      </w:pPr>
      <w:r w:rsidRPr="003D5D41">
        <w:rPr>
          <w:noProof/>
        </w:rPr>
        <w:t>poskytování služeb cloud computingu (</w:t>
      </w:r>
      <w:r w:rsidRPr="003D5D41">
        <w:rPr>
          <w:i/>
          <w:noProof/>
        </w:rPr>
        <w:t>poskytovatelé služeb cloud computingu</w:t>
      </w:r>
      <w:r w:rsidRPr="003D5D41">
        <w:rPr>
          <w:noProof/>
        </w:rPr>
        <w:t>);</w:t>
      </w:r>
    </w:p>
    <w:p w14:paraId="3CED75CD" w14:textId="4B3D6CEA" w:rsidR="00F51FCF" w:rsidRPr="003D5D41" w:rsidRDefault="007725B9" w:rsidP="00EF4E90">
      <w:pPr>
        <w:pStyle w:val="Point"/>
        <w:ind w:left="1037" w:hanging="680"/>
        <w:rPr>
          <w:noProof/>
        </w:rPr>
      </w:pPr>
      <w:r w:rsidRPr="003D5D41">
        <w:rPr>
          <w:noProof/>
        </w:rPr>
        <w:t>poskytování služeb datového centra (</w:t>
      </w:r>
      <w:r w:rsidRPr="003D5D41">
        <w:rPr>
          <w:i/>
          <w:noProof/>
        </w:rPr>
        <w:t>poskytovatelé služeb datového centra</w:t>
      </w:r>
      <w:r w:rsidRPr="003D5D41">
        <w:rPr>
          <w:noProof/>
        </w:rPr>
        <w:t>);</w:t>
      </w:r>
    </w:p>
    <w:p w14:paraId="7CCD1E9F" w14:textId="52484390" w:rsidR="00F51FCF" w:rsidRPr="003D5D41" w:rsidRDefault="007725B9" w:rsidP="00EF4E90">
      <w:pPr>
        <w:pStyle w:val="Point"/>
        <w:ind w:left="1037" w:hanging="680"/>
        <w:rPr>
          <w:noProof/>
        </w:rPr>
      </w:pPr>
      <w:r w:rsidRPr="003D5D41">
        <w:rPr>
          <w:noProof/>
        </w:rPr>
        <w:t>poskytování sítí pro doručování obsahu (</w:t>
      </w:r>
      <w:r w:rsidRPr="003D5D41">
        <w:rPr>
          <w:i/>
          <w:noProof/>
        </w:rPr>
        <w:t>poskytovatelé sítí pro doručování obsahu</w:t>
      </w:r>
      <w:r w:rsidRPr="003D5D41">
        <w:rPr>
          <w:noProof/>
        </w:rPr>
        <w:t>);</w:t>
      </w:r>
    </w:p>
    <w:p w14:paraId="641CC234" w14:textId="6D07355B" w:rsidR="00F51FCF" w:rsidRPr="003D5D41" w:rsidRDefault="007725B9" w:rsidP="00EF4E90">
      <w:pPr>
        <w:pStyle w:val="Point"/>
        <w:ind w:left="1037" w:hanging="680"/>
        <w:rPr>
          <w:noProof/>
        </w:rPr>
      </w:pPr>
      <w:r w:rsidRPr="003D5D41">
        <w:rPr>
          <w:noProof/>
        </w:rPr>
        <w:t>poskytování služeb vytvářejících důvěru (</w:t>
      </w:r>
      <w:r w:rsidRPr="003D5D41">
        <w:rPr>
          <w:i/>
          <w:noProof/>
        </w:rPr>
        <w:t>poskytovatelé služeb vytvářejících důvěru</w:t>
      </w:r>
      <w:r w:rsidRPr="003D5D41">
        <w:rPr>
          <w:noProof/>
        </w:rPr>
        <w:t>);</w:t>
      </w:r>
    </w:p>
    <w:p w14:paraId="3E533C40" w14:textId="72248926" w:rsidR="00F51FCF" w:rsidRPr="003D5D41" w:rsidRDefault="007725B9" w:rsidP="00EF4E90">
      <w:pPr>
        <w:pStyle w:val="Point"/>
        <w:ind w:left="1037" w:hanging="680"/>
        <w:rPr>
          <w:noProof/>
        </w:rPr>
      </w:pPr>
      <w:r w:rsidRPr="003D5D41">
        <w:rPr>
          <w:noProof/>
        </w:rPr>
        <w:t>poskytování veřejně dostupných služeb elektronických komunikací (</w:t>
      </w:r>
      <w:r w:rsidRPr="003D5D41">
        <w:rPr>
          <w:i/>
          <w:noProof/>
        </w:rPr>
        <w:t>poskytovatelé služeb elektronických komunikací</w:t>
      </w:r>
      <w:r w:rsidRPr="003D5D41">
        <w:rPr>
          <w:noProof/>
        </w:rPr>
        <w:t>);</w:t>
      </w:r>
    </w:p>
    <w:p w14:paraId="1A3B4AA7" w14:textId="6A2CB13D" w:rsidR="00F51FCF" w:rsidRPr="003D5D41" w:rsidRDefault="007725B9" w:rsidP="00EF4E90">
      <w:pPr>
        <w:pStyle w:val="Point"/>
        <w:ind w:left="1037" w:hanging="680"/>
        <w:rPr>
          <w:noProof/>
        </w:rPr>
      </w:pPr>
      <w:r w:rsidRPr="003D5D41">
        <w:rPr>
          <w:noProof/>
        </w:rPr>
        <w:t>poskytování veřejné sítě elektronických komunikací (</w:t>
      </w:r>
      <w:r w:rsidRPr="003D5D41">
        <w:rPr>
          <w:i/>
          <w:noProof/>
        </w:rPr>
        <w:t>poskytovatelé veřejné sítě elektronických komunikací</w:t>
      </w:r>
      <w:r w:rsidRPr="003D5D41">
        <w:rPr>
          <w:noProof/>
        </w:rPr>
        <w:t>);</w:t>
      </w:r>
    </w:p>
    <w:p w14:paraId="6FABB59E" w14:textId="480B05F9" w:rsidR="00F51FCF" w:rsidRPr="003D5D41" w:rsidRDefault="00F51FCF" w:rsidP="003D33CF">
      <w:pPr>
        <w:rPr>
          <w:noProof/>
          <w:szCs w:val="24"/>
        </w:rPr>
      </w:pPr>
    </w:p>
    <w:p w14:paraId="3EB0CAA8" w14:textId="32CB742A" w:rsidR="00AB7B89" w:rsidRPr="003D5D41" w:rsidRDefault="001E134D" w:rsidP="001E134D">
      <w:pPr>
        <w:pStyle w:val="Point0"/>
        <w:rPr>
          <w:noProof/>
        </w:rPr>
      </w:pPr>
      <w:r>
        <w:rPr>
          <w:noProof/>
        </w:rPr>
        <w:t>9)</w:t>
      </w:r>
      <w:r>
        <w:rPr>
          <w:noProof/>
        </w:rPr>
        <w:tab/>
      </w:r>
      <w:r w:rsidR="007725B9" w:rsidRPr="003D5D41">
        <w:rPr>
          <w:noProof/>
        </w:rPr>
        <w:t>odvětví veřejné správy: služby poskytované subjekty veřejné správy (ve smyslu čl. 2 bodu 10 směrnice (EU) 2022/2557) ústředních vlád vymezenými členskými státy v souladu s vnitrostátním právem (</w:t>
      </w:r>
      <w:r w:rsidR="007725B9" w:rsidRPr="003D5D41">
        <w:rPr>
          <w:i/>
          <w:noProof/>
        </w:rPr>
        <w:t>subjekty veřejné správy ústředních vlád</w:t>
      </w:r>
      <w:r w:rsidR="007725B9" w:rsidRPr="003D5D41">
        <w:rPr>
          <w:noProof/>
        </w:rPr>
        <w:t xml:space="preserve">);  </w:t>
      </w:r>
    </w:p>
    <w:p w14:paraId="66637501" w14:textId="77777777" w:rsidR="00F51FCF" w:rsidRPr="003D5D41" w:rsidRDefault="00F51FCF" w:rsidP="00F51FCF">
      <w:pPr>
        <w:pStyle w:val="ListParagraph"/>
        <w:ind w:left="1080"/>
        <w:rPr>
          <w:noProof/>
          <w:w w:val="0"/>
          <w:szCs w:val="24"/>
          <w:lang w:eastAsia="en-GB"/>
        </w:rPr>
      </w:pPr>
    </w:p>
    <w:p w14:paraId="7A762BDA" w14:textId="022C0DE7" w:rsidR="00F51FCF" w:rsidRPr="003D5D41" w:rsidRDefault="001E134D" w:rsidP="001E134D">
      <w:pPr>
        <w:pStyle w:val="Point0"/>
        <w:rPr>
          <w:iCs/>
          <w:noProof/>
        </w:rPr>
      </w:pPr>
      <w:r>
        <w:rPr>
          <w:noProof/>
        </w:rPr>
        <w:t>10)</w:t>
      </w:r>
      <w:r>
        <w:rPr>
          <w:noProof/>
        </w:rPr>
        <w:tab/>
      </w:r>
      <w:r w:rsidR="007725B9" w:rsidRPr="003D5D41">
        <w:rPr>
          <w:noProof/>
        </w:rPr>
        <w:t>odvětví vesmíru: provoz pozemních infrastruktur vlastněných, spravovaných a provozovaných členskými státy nebo soukromými subjekty a podporujících poskytování služeb využívajících kosmického prostoru, s výjimkou poskytovatelů veřejných sítí elektronických komunikací (</w:t>
      </w:r>
      <w:r w:rsidR="007725B9" w:rsidRPr="003D5D41">
        <w:rPr>
          <w:i/>
          <w:noProof/>
        </w:rPr>
        <w:t>provozovatelé pozemních infrastruktur</w:t>
      </w:r>
      <w:r w:rsidR="007725B9" w:rsidRPr="003D5D41">
        <w:rPr>
          <w:noProof/>
        </w:rPr>
        <w:t>);</w:t>
      </w:r>
    </w:p>
    <w:p w14:paraId="227D3B1D" w14:textId="77777777" w:rsidR="00F51FCF" w:rsidRPr="003D5D41" w:rsidRDefault="00F51FCF" w:rsidP="00F51FCF">
      <w:pPr>
        <w:rPr>
          <w:i/>
          <w:noProof/>
          <w:szCs w:val="24"/>
        </w:rPr>
      </w:pPr>
    </w:p>
    <w:p w14:paraId="0A21C324" w14:textId="0698E7E5" w:rsidR="00F51FCF" w:rsidRPr="003D5D41" w:rsidRDefault="001E134D" w:rsidP="001E134D">
      <w:pPr>
        <w:pStyle w:val="Point0"/>
        <w:rPr>
          <w:noProof/>
          <w:szCs w:val="24"/>
        </w:rPr>
      </w:pPr>
      <w:r>
        <w:rPr>
          <w:noProof/>
        </w:rPr>
        <w:t>11)</w:t>
      </w:r>
      <w:r>
        <w:rPr>
          <w:noProof/>
        </w:rPr>
        <w:tab/>
      </w:r>
      <w:r w:rsidR="007725B9" w:rsidRPr="003D5D41">
        <w:rPr>
          <w:noProof/>
        </w:rPr>
        <w:t>výroba, zpracování a distribuce v odvětví potravin (potravinářské podniky, které se zabývají výhradně logistickou a velkoobchodní distribucí a rozsáhlou průmyslovou výrobou a zpracováním):</w:t>
      </w:r>
    </w:p>
    <w:p w14:paraId="4C47E01E" w14:textId="14725A12" w:rsidR="00F51FCF" w:rsidRPr="003D5D41" w:rsidRDefault="007725B9" w:rsidP="00EF4E90">
      <w:pPr>
        <w:pStyle w:val="Point"/>
        <w:numPr>
          <w:ilvl w:val="0"/>
          <w:numId w:val="22"/>
        </w:numPr>
        <w:ind w:left="1037" w:hanging="680"/>
        <w:rPr>
          <w:noProof/>
        </w:rPr>
      </w:pPr>
      <w:r w:rsidRPr="003D5D41">
        <w:rPr>
          <w:noProof/>
        </w:rPr>
        <w:t xml:space="preserve">rozsáhlá průmyslová výroba a zpracování potravin; </w:t>
      </w:r>
    </w:p>
    <w:p w14:paraId="7C6DC6E5" w14:textId="01F62F19" w:rsidR="00F51FCF" w:rsidRPr="003D5D41" w:rsidRDefault="007725B9" w:rsidP="00EF4E90">
      <w:pPr>
        <w:pStyle w:val="Point"/>
        <w:ind w:left="1037" w:hanging="680"/>
        <w:rPr>
          <w:noProof/>
        </w:rPr>
      </w:pPr>
      <w:r w:rsidRPr="003D5D41">
        <w:rPr>
          <w:noProof/>
        </w:rPr>
        <w:t>služby dodavatelského řetězce potravin, včetně skladování a logistiky;</w:t>
      </w:r>
    </w:p>
    <w:p w14:paraId="27712DE7" w14:textId="29C33141" w:rsidR="00B757C1" w:rsidRPr="003D5D41" w:rsidRDefault="007725B9" w:rsidP="00EF4E90">
      <w:pPr>
        <w:pStyle w:val="Point"/>
        <w:ind w:left="1037" w:hanging="680"/>
        <w:rPr>
          <w:noProof/>
        </w:rPr>
      </w:pPr>
      <w:r w:rsidRPr="003D5D41">
        <w:rPr>
          <w:noProof/>
        </w:rPr>
        <w:t xml:space="preserve">velkoobchodní distribuce potravin. </w:t>
      </w:r>
    </w:p>
    <w:p w14:paraId="4C150541" w14:textId="77777777" w:rsidR="00B757C1" w:rsidRPr="003D5D41" w:rsidRDefault="00B757C1" w:rsidP="00B757C1">
      <w:pPr>
        <w:rPr>
          <w:noProof/>
        </w:rPr>
      </w:pPr>
    </w:p>
    <w:p w14:paraId="795D4FAD" w14:textId="77777777" w:rsidR="00F51FCF" w:rsidRPr="003D5D41" w:rsidRDefault="00F51FCF" w:rsidP="00F51FCF">
      <w:pPr>
        <w:jc w:val="center"/>
        <w:rPr>
          <w:i/>
          <w:noProof/>
          <w:szCs w:val="24"/>
        </w:rPr>
      </w:pPr>
      <w:r w:rsidRPr="003D5D41">
        <w:rPr>
          <w:i/>
          <w:noProof/>
        </w:rPr>
        <w:t>Článek 3</w:t>
      </w:r>
    </w:p>
    <w:p w14:paraId="0BC6957D" w14:textId="77777777" w:rsidR="00F51FCF" w:rsidRPr="003D5D41" w:rsidRDefault="00F51FCF" w:rsidP="00F51FCF">
      <w:pPr>
        <w:rPr>
          <w:noProof/>
          <w:szCs w:val="24"/>
        </w:rPr>
      </w:pPr>
      <w:r w:rsidRPr="003D5D41">
        <w:rPr>
          <w:noProof/>
        </w:rPr>
        <w:t>Toto nařízení vstupuje v platnost dvacátým dnem po vyhlášení v </w:t>
      </w:r>
      <w:r w:rsidRPr="003D5D41">
        <w:rPr>
          <w:i/>
          <w:noProof/>
        </w:rPr>
        <w:t>Úředním věstníku Evropské unie</w:t>
      </w:r>
      <w:r w:rsidRPr="003D5D41">
        <w:rPr>
          <w:noProof/>
        </w:rPr>
        <w:t>.</w:t>
      </w:r>
    </w:p>
    <w:p w14:paraId="5C6196C7" w14:textId="77777777" w:rsidR="00F51FCF" w:rsidRPr="003D5D41" w:rsidRDefault="00F51FCF" w:rsidP="00F51FCF">
      <w:pPr>
        <w:pStyle w:val="Applicationdirecte"/>
        <w:rPr>
          <w:noProof/>
          <w:szCs w:val="24"/>
        </w:rPr>
      </w:pPr>
      <w:r w:rsidRPr="003D5D41">
        <w:rPr>
          <w:noProof/>
        </w:rPr>
        <w:t>Toto nařízení je závazné v celém rozsahu a přímo použitelné ve všech členských státech.</w:t>
      </w:r>
    </w:p>
    <w:p w14:paraId="26E23D3E" w14:textId="77777777" w:rsidR="00F51FCF" w:rsidRPr="003D5D41" w:rsidRDefault="00F51FCF" w:rsidP="00F51FCF">
      <w:pPr>
        <w:rPr>
          <w:noProof/>
          <w:szCs w:val="24"/>
        </w:rPr>
      </w:pPr>
    </w:p>
    <w:p w14:paraId="50542B0B" w14:textId="0B87CF38" w:rsidR="00F51FCF" w:rsidRPr="003D5D41" w:rsidRDefault="0075743F" w:rsidP="0021408F">
      <w:pPr>
        <w:pStyle w:val="Fait"/>
        <w:rPr>
          <w:noProof/>
        </w:rPr>
      </w:pPr>
      <w:r w:rsidRPr="0075743F">
        <w:t>V Bruselu dne 25.7.2023</w:t>
      </w:r>
    </w:p>
    <w:p w14:paraId="480435B0" w14:textId="77777777" w:rsidR="00F51FCF" w:rsidRPr="003D5D41" w:rsidRDefault="00F51FCF" w:rsidP="0021408F">
      <w:pPr>
        <w:pStyle w:val="Institutionquisigne"/>
        <w:rPr>
          <w:noProof/>
          <w:szCs w:val="24"/>
        </w:rPr>
      </w:pPr>
      <w:r w:rsidRPr="003D5D41">
        <w:rPr>
          <w:noProof/>
        </w:rPr>
        <w:tab/>
        <w:t>Za Komisi</w:t>
      </w:r>
    </w:p>
    <w:p w14:paraId="648C81F8" w14:textId="3A32457F" w:rsidR="00C70E14" w:rsidRPr="003D5D41" w:rsidRDefault="00587C44" w:rsidP="00CD79FC">
      <w:pPr>
        <w:pStyle w:val="Personnequisigne"/>
        <w:rPr>
          <w:noProof/>
        </w:rPr>
      </w:pPr>
      <w:r>
        <w:tab/>
        <w:t>předsedkyně</w:t>
      </w:r>
      <w:r>
        <w:br/>
      </w:r>
      <w:r>
        <w:tab/>
        <w:t>Ursula VON DER LEYEN</w:t>
      </w:r>
    </w:p>
    <w:sectPr w:rsidR="00C70E14" w:rsidRPr="003D5D41" w:rsidSect="00816BA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206F4" w14:textId="77777777" w:rsidR="00831BEA" w:rsidRDefault="00831BEA" w:rsidP="00C70E14">
      <w:pPr>
        <w:spacing w:before="0" w:after="0"/>
      </w:pPr>
      <w:r>
        <w:separator/>
      </w:r>
    </w:p>
  </w:endnote>
  <w:endnote w:type="continuationSeparator" w:id="0">
    <w:p w14:paraId="036AC3F1" w14:textId="77777777" w:rsidR="00831BEA" w:rsidRDefault="00831BEA" w:rsidP="00C70E14">
      <w:pPr>
        <w:spacing w:before="0" w:after="0"/>
      </w:pPr>
      <w:r>
        <w:continuationSeparator/>
      </w:r>
    </w:p>
  </w:endnote>
  <w:endnote w:type="continuationNotice" w:id="1">
    <w:p w14:paraId="39B0B9AC" w14:textId="77777777" w:rsidR="00831BEA" w:rsidRDefault="00831BE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UAlbertina">
    <w:altName w:val="Cambria"/>
    <w:charset w:val="00"/>
    <w:family w:val="auto"/>
    <w:pitch w:val="variable"/>
    <w:sig w:usb0="00000001" w:usb1="1000E0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2C8E" w14:textId="77BD7D71" w:rsidR="000C091A" w:rsidRPr="00816BA8" w:rsidRDefault="00816BA8" w:rsidP="00816BA8">
    <w:pPr>
      <w:pStyle w:val="Footer"/>
      <w:rPr>
        <w:rFonts w:ascii="Arial" w:hAnsi="Arial" w:cs="Arial"/>
        <w:b/>
        <w:sz w:val="48"/>
      </w:rPr>
    </w:pPr>
    <w:r w:rsidRPr="00816BA8">
      <w:rPr>
        <w:rFonts w:ascii="Arial" w:hAnsi="Arial" w:cs="Arial"/>
        <w:b/>
        <w:sz w:val="48"/>
      </w:rPr>
      <w:t>CS</w:t>
    </w:r>
    <w:r w:rsidRPr="00816BA8">
      <w:rPr>
        <w:rFonts w:ascii="Arial" w:hAnsi="Arial" w:cs="Arial"/>
        <w:b/>
        <w:sz w:val="48"/>
      </w:rPr>
      <w:tab/>
    </w:r>
    <w:r w:rsidRPr="00816BA8">
      <w:rPr>
        <w:rFonts w:ascii="Arial" w:hAnsi="Arial" w:cs="Arial"/>
        <w:b/>
        <w:sz w:val="48"/>
      </w:rPr>
      <w:tab/>
    </w:r>
    <w:r w:rsidRPr="00816BA8">
      <w:tab/>
    </w:r>
    <w:r w:rsidRPr="00816BA8">
      <w:rPr>
        <w:rFonts w:ascii="Arial" w:hAnsi="Arial" w:cs="Arial"/>
        <w:b/>
        <w:sz w:val="48"/>
      </w:rPr>
      <w:t>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A432E" w14:textId="0A52B7B4" w:rsidR="00816BA8" w:rsidRPr="00816BA8" w:rsidRDefault="00816BA8" w:rsidP="00816BA8">
    <w:pPr>
      <w:pStyle w:val="Footer"/>
      <w:rPr>
        <w:rFonts w:ascii="Arial" w:hAnsi="Arial" w:cs="Arial"/>
        <w:b/>
        <w:sz w:val="48"/>
      </w:rPr>
    </w:pPr>
    <w:r w:rsidRPr="00816BA8">
      <w:rPr>
        <w:rFonts w:ascii="Arial" w:hAnsi="Arial" w:cs="Arial"/>
        <w:b/>
        <w:sz w:val="48"/>
      </w:rPr>
      <w:t>CS</w:t>
    </w:r>
    <w:r w:rsidRPr="00816BA8">
      <w:rPr>
        <w:rFonts w:ascii="Arial" w:hAnsi="Arial" w:cs="Arial"/>
        <w:b/>
        <w:sz w:val="48"/>
      </w:rPr>
      <w:tab/>
    </w:r>
    <w:r>
      <w:fldChar w:fldCharType="begin"/>
    </w:r>
    <w:r>
      <w:instrText xml:space="preserve"> PAGE  \* MERGEFORMAT </w:instrText>
    </w:r>
    <w:r>
      <w:fldChar w:fldCharType="separate"/>
    </w:r>
    <w:r w:rsidR="0021408F">
      <w:rPr>
        <w:noProof/>
      </w:rPr>
      <w:t>8</w:t>
    </w:r>
    <w:r>
      <w:fldChar w:fldCharType="end"/>
    </w:r>
    <w:r>
      <w:tab/>
    </w:r>
    <w:r w:rsidRPr="00816BA8">
      <w:tab/>
    </w:r>
    <w:r w:rsidRPr="00816BA8">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B223D" w14:textId="77777777" w:rsidR="00816BA8" w:rsidRPr="00816BA8" w:rsidRDefault="00816BA8" w:rsidP="00816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8A118" w14:textId="77777777" w:rsidR="00831BEA" w:rsidRDefault="00831BEA" w:rsidP="00C70E14">
      <w:pPr>
        <w:spacing w:before="0" w:after="0"/>
      </w:pPr>
      <w:r>
        <w:separator/>
      </w:r>
    </w:p>
  </w:footnote>
  <w:footnote w:type="continuationSeparator" w:id="0">
    <w:p w14:paraId="7CFDF8A4" w14:textId="77777777" w:rsidR="00831BEA" w:rsidRDefault="00831BEA" w:rsidP="00C70E14">
      <w:pPr>
        <w:spacing w:before="0" w:after="0"/>
      </w:pPr>
      <w:r>
        <w:continuationSeparator/>
      </w:r>
    </w:p>
  </w:footnote>
  <w:footnote w:type="continuationNotice" w:id="1">
    <w:p w14:paraId="34AA9165" w14:textId="77777777" w:rsidR="00831BEA" w:rsidRDefault="00831BEA">
      <w:pPr>
        <w:spacing w:before="0" w:after="0"/>
      </w:pPr>
    </w:p>
  </w:footnote>
  <w:footnote w:id="2">
    <w:p w14:paraId="201BF4C7" w14:textId="5C902042" w:rsidR="00880325" w:rsidRPr="00F23AC4" w:rsidRDefault="00880325" w:rsidP="00365741">
      <w:pPr>
        <w:pStyle w:val="FootnoteText"/>
        <w:rPr>
          <w:i/>
        </w:rPr>
      </w:pPr>
      <w:r>
        <w:rPr>
          <w:rStyle w:val="FootnoteReference"/>
        </w:rPr>
        <w:footnoteRef/>
      </w:r>
      <w:r>
        <w:tab/>
      </w:r>
      <w:r>
        <w:rPr>
          <w:rStyle w:val="Emphasis"/>
          <w:i w:val="0"/>
          <w:color w:val="333333"/>
          <w:shd w:val="clear" w:color="auto" w:fill="FFFFFF"/>
        </w:rPr>
        <w:t>Úř. věst. L 333, 27.12.2022, s. 164</w:t>
      </w:r>
      <w:r>
        <w:rPr>
          <w:i/>
        </w:rPr>
        <w:t>.</w:t>
      </w:r>
    </w:p>
  </w:footnote>
  <w:footnote w:id="3">
    <w:p w14:paraId="6B8A2D5D" w14:textId="77777777" w:rsidR="00880325" w:rsidRPr="00F23AC4" w:rsidRDefault="00880325">
      <w:pPr>
        <w:pStyle w:val="FootnoteText"/>
      </w:pPr>
      <w:r>
        <w:rPr>
          <w:rStyle w:val="FootnoteReference"/>
        </w:rPr>
        <w:footnoteRef/>
      </w:r>
      <w:r>
        <w:tab/>
        <w:t>Úř. věst. 2023/C 20/01, s. 1.</w:t>
      </w:r>
    </w:p>
  </w:footnote>
  <w:footnote w:id="4">
    <w:p w14:paraId="2EFB3608" w14:textId="77777777" w:rsidR="00880325" w:rsidRPr="00F23AC4" w:rsidRDefault="00880325" w:rsidP="00FD7ABB">
      <w:pPr>
        <w:pStyle w:val="FootnoteText"/>
        <w:rPr>
          <w:szCs w:val="24"/>
        </w:rPr>
      </w:pPr>
      <w:r>
        <w:rPr>
          <w:rStyle w:val="FootnoteReference"/>
          <w:szCs w:val="24"/>
          <w:lang w:val="en-IE"/>
        </w:rPr>
        <w:footnoteRef/>
      </w:r>
      <w:r>
        <w:tab/>
      </w:r>
      <w:r>
        <w:rPr>
          <w:rFonts w:asciiTheme="majorBidi" w:hAnsiTheme="majorBidi"/>
        </w:rPr>
        <w:t>Úř. věst. L 123, 12.5.2016, s. 1.</w:t>
      </w:r>
    </w:p>
  </w:footnote>
  <w:footnote w:id="5">
    <w:p w14:paraId="7654A473" w14:textId="16E999B8" w:rsidR="00F51FCF" w:rsidRPr="001A5948" w:rsidRDefault="00F51FCF" w:rsidP="00F51FCF">
      <w:pPr>
        <w:pStyle w:val="FootnoteText"/>
      </w:pPr>
      <w:r>
        <w:rPr>
          <w:rStyle w:val="FootnoteReference"/>
        </w:rPr>
        <w:footnoteRef/>
      </w:r>
      <w:r>
        <w:tab/>
        <w:t xml:space="preserve">Úř. věst. L 333, 27.12.2022, s. </w:t>
      </w:r>
      <w:r>
        <w:rPr>
          <w:rStyle w:val="Emphasis"/>
          <w:i w:val="0"/>
          <w:color w:val="333333"/>
          <w:shd w:val="clear" w:color="auto" w:fill="FFFFFF"/>
        </w:rPr>
        <w:t>164</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372A4B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CEC3A6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26A27E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EE6ACA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04C473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08657F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218AF5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64287C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1C1E5A14"/>
    <w:multiLevelType w:val="hybridMultilevel"/>
    <w:tmpl w:val="2AE642E0"/>
    <w:lvl w:ilvl="0" w:tplc="03E820B8">
      <w:start w:val="1"/>
      <w:numFmt w:val="lowerRoman"/>
      <w:pStyle w:val="Point"/>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3"/>
    <w:lvlOverride w:ilvl="0">
      <w:startOverride w:val="1"/>
    </w:lvlOverride>
  </w:num>
  <w:num w:numId="6">
    <w:abstractNumId w:val="6"/>
  </w:num>
  <w:num w:numId="7">
    <w:abstractNumId w:val="2"/>
  </w:num>
  <w:num w:numId="8">
    <w:abstractNumId w:val="1"/>
  </w:num>
  <w:num w:numId="9">
    <w:abstractNumId w:val="0"/>
  </w:num>
  <w:num w:numId="10">
    <w:abstractNumId w:val="9"/>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20"/>
  </w:num>
  <w:num w:numId="24">
    <w:abstractNumId w:val="13"/>
  </w:num>
  <w:num w:numId="25">
    <w:abstractNumId w:val="22"/>
  </w:num>
  <w:num w:numId="26">
    <w:abstractNumId w:val="12"/>
  </w:num>
  <w:num w:numId="27">
    <w:abstractNumId w:val="14"/>
  </w:num>
  <w:num w:numId="28">
    <w:abstractNumId w:val="15"/>
  </w:num>
  <w:num w:numId="29">
    <w:abstractNumId w:val="10"/>
  </w:num>
  <w:num w:numId="30">
    <w:abstractNumId w:val="21"/>
  </w:num>
  <w:num w:numId="31">
    <w:abstractNumId w:val="8"/>
  </w:num>
  <w:num w:numId="32">
    <w:abstractNumId w:val="16"/>
  </w:num>
  <w:num w:numId="33">
    <w:abstractNumId w:val="18"/>
  </w:num>
  <w:num w:numId="34">
    <w:abstractNumId w:val="19"/>
  </w:num>
  <w:num w:numId="35">
    <w:abstractNumId w:val="11"/>
  </w:num>
  <w:num w:numId="36">
    <w:abstractNumId w:val="17"/>
  </w:num>
  <w:num w:numId="37">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nl-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nl-NL" w:vendorID="64" w:dllVersion="0" w:nlCheck="1" w:checkStyle="0"/>
  <w:activeWritingStyle w:appName="MSWord" w:lang="fr-BE" w:vendorID="64" w:dllVersion="6" w:nlCheck="1" w:checkStyle="0"/>
  <w:activeWritingStyle w:appName="MSWord" w:lang="es-ES" w:vendorID="64" w:dllVersion="6" w:nlCheck="1" w:checkStyle="0"/>
  <w:activeWritingStyle w:appName="MSWord" w:lang="es-ES" w:vendorID="64" w:dllVersion="0" w:nlCheck="1" w:checkStyle="0"/>
  <w:activeWritingStyle w:appName="MSWord" w:lang="de-DE" w:vendorID="64" w:dllVersion="0" w:nlCheck="1" w:checkStyle="0"/>
  <w:activeWritingStyle w:appName="MSWord" w:lang="cs-CZ"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7-17 10:47:0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3066B91-09BD-4EDE-8280-144A6CFBECFA"/>
    <w:docVar w:name="LW_COVERPAGE_TYPE" w:val="1"/>
    <w:docVar w:name="LW_CROSSREFERENCE" w:val="&lt;UNUSED&gt;"/>
    <w:docVar w:name="LW_DATE.ADOPT.CP" w:val="ze dne 25.7.2023"/>
    <w:docVar w:name="LW_DATE.ADOPT.CP_DATEFORMAT" w:val="ze dne %DATE%,"/>
    <w:docVar w:name="LW_DATE.ADOPT.CP_ISODATE" w:val="2023-07-25"/>
    <w:docVar w:name="LW_DocType" w:val="COM"/>
    <w:docVar w:name="LW_EMISSION" w:val="25.7.2023"/>
    <w:docVar w:name="LW_EMISSION_ISODATE" w:val="2023-07-25"/>
    <w:docVar w:name="LW_EMISSION_LOCATION" w:val="BRX"/>
    <w:docVar w:name="LW_EMISSION_PREFIX" w:val="V Bruselu dne "/>
    <w:docVar w:name="LW_EMISSION_SUFFIX" w:val=" "/>
    <w:docVar w:name="LW_ID_DOCMODEL" w:val="SJ-003"/>
    <w:docVar w:name="LW_ID_DOCSIGNATURE" w:val="SJ-003"/>
    <w:docVar w:name="LW_ID_DOCSTRUCTURE" w:val="COM/AA"/>
    <w:docVar w:name="LW_ID_DOCTYPE" w:val="SJ-003"/>
    <w:docVar w:name="LW_INSERT_EXP.MOTIFS.NEW" w:val="1"/>
    <w:docVar w:name="LW_INTERETEEE.CP" w:val="(Text s významem pro EHP)"/>
    <w:docVar w:name="LW_LANGUE" w:val="CS"/>
    <w:docVar w:name="LW_LANGUESFAISANTFOI.CP" w:val="&lt;UNUSED&gt;"/>
    <w:docVar w:name="LW_LEVEL_OF_SENSITIVITY" w:val="Standard treatment"/>
    <w:docVar w:name="LW_NOM.INST" w:val="EVROPSKÁ KOMISE"/>
    <w:docVar w:name="LW_NOM.INST_JOINTDOC" w:val="&lt;EMPTY&gt;"/>
    <w:docVar w:name="LW_PART_NBR" w:val="1"/>
    <w:docVar w:name="LW_PART_NBR_TOTAL" w:val="1"/>
    <w:docVar w:name="LW_REF.INST.NEW" w:val="C"/>
    <w:docVar w:name="LW_REF.INST.NEW_ADOPTED" w:val="final"/>
    <w:docVar w:name="LW_REF.INST.NEW_TEXT" w:val="(2023) 487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kterým se doplňuje směrnice Evropského parlamentu a Rady (EU) 2022/2557 stanovením seznamu základních služeb"/>
    <w:docVar w:name="LW_TYPE.DOC.CP" w:val="NAŘÍZENÍ KOMISE V PŘENESENÉ PRAVOMOCI (EU) …/..."/>
    <w:docVar w:name="LwApiVersions" w:val="LW4CoDe 1.23.2.0; LW 8.0, Build 20211117"/>
  </w:docVars>
  <w:rsids>
    <w:rsidRoot w:val="00C70E14"/>
    <w:rsid w:val="00006FB7"/>
    <w:rsid w:val="00017AFA"/>
    <w:rsid w:val="00020231"/>
    <w:rsid w:val="00031241"/>
    <w:rsid w:val="00031843"/>
    <w:rsid w:val="00040B49"/>
    <w:rsid w:val="00041B2C"/>
    <w:rsid w:val="00044510"/>
    <w:rsid w:val="00046DE3"/>
    <w:rsid w:val="00047ED7"/>
    <w:rsid w:val="00050157"/>
    <w:rsid w:val="00050F36"/>
    <w:rsid w:val="000556BA"/>
    <w:rsid w:val="00072BA5"/>
    <w:rsid w:val="000809EE"/>
    <w:rsid w:val="0008323C"/>
    <w:rsid w:val="00087624"/>
    <w:rsid w:val="00093AA7"/>
    <w:rsid w:val="000A0FA6"/>
    <w:rsid w:val="000A25A0"/>
    <w:rsid w:val="000A44CC"/>
    <w:rsid w:val="000B3979"/>
    <w:rsid w:val="000C06DA"/>
    <w:rsid w:val="000C091A"/>
    <w:rsid w:val="000D34FB"/>
    <w:rsid w:val="000D6359"/>
    <w:rsid w:val="000F13A6"/>
    <w:rsid w:val="000F40B6"/>
    <w:rsid w:val="001065F5"/>
    <w:rsid w:val="00111B33"/>
    <w:rsid w:val="00112A2C"/>
    <w:rsid w:val="00116D76"/>
    <w:rsid w:val="001238EF"/>
    <w:rsid w:val="0013199A"/>
    <w:rsid w:val="00131A8C"/>
    <w:rsid w:val="00134285"/>
    <w:rsid w:val="00134726"/>
    <w:rsid w:val="00134C07"/>
    <w:rsid w:val="0013794D"/>
    <w:rsid w:val="00155F97"/>
    <w:rsid w:val="00157021"/>
    <w:rsid w:val="0016098A"/>
    <w:rsid w:val="001737F2"/>
    <w:rsid w:val="00197613"/>
    <w:rsid w:val="001A793E"/>
    <w:rsid w:val="001B0577"/>
    <w:rsid w:val="001B1CE3"/>
    <w:rsid w:val="001B2109"/>
    <w:rsid w:val="001B4EAD"/>
    <w:rsid w:val="001C6805"/>
    <w:rsid w:val="001D263F"/>
    <w:rsid w:val="001E134D"/>
    <w:rsid w:val="001E263C"/>
    <w:rsid w:val="001F1E93"/>
    <w:rsid w:val="001F391F"/>
    <w:rsid w:val="001F5CB6"/>
    <w:rsid w:val="00210DC0"/>
    <w:rsid w:val="002129CE"/>
    <w:rsid w:val="0021408F"/>
    <w:rsid w:val="00233DC7"/>
    <w:rsid w:val="00235E2C"/>
    <w:rsid w:val="00247779"/>
    <w:rsid w:val="0024777D"/>
    <w:rsid w:val="0025646D"/>
    <w:rsid w:val="00262B9D"/>
    <w:rsid w:val="00264A34"/>
    <w:rsid w:val="00275229"/>
    <w:rsid w:val="00284AA1"/>
    <w:rsid w:val="00285BEE"/>
    <w:rsid w:val="00285CC7"/>
    <w:rsid w:val="002912FC"/>
    <w:rsid w:val="00294BCA"/>
    <w:rsid w:val="0029533F"/>
    <w:rsid w:val="002B30AF"/>
    <w:rsid w:val="002D03CD"/>
    <w:rsid w:val="002D3374"/>
    <w:rsid w:val="002D7048"/>
    <w:rsid w:val="002F16B9"/>
    <w:rsid w:val="002F5030"/>
    <w:rsid w:val="002F603B"/>
    <w:rsid w:val="00307784"/>
    <w:rsid w:val="00310BE2"/>
    <w:rsid w:val="00323906"/>
    <w:rsid w:val="00323B7C"/>
    <w:rsid w:val="00330272"/>
    <w:rsid w:val="003309E6"/>
    <w:rsid w:val="003315D8"/>
    <w:rsid w:val="0033344A"/>
    <w:rsid w:val="003343C8"/>
    <w:rsid w:val="00337042"/>
    <w:rsid w:val="003370C7"/>
    <w:rsid w:val="0034599F"/>
    <w:rsid w:val="00365741"/>
    <w:rsid w:val="0036655C"/>
    <w:rsid w:val="00367EEA"/>
    <w:rsid w:val="0037002A"/>
    <w:rsid w:val="00383947"/>
    <w:rsid w:val="003851AC"/>
    <w:rsid w:val="0038749B"/>
    <w:rsid w:val="00390063"/>
    <w:rsid w:val="0039197F"/>
    <w:rsid w:val="003D2BDD"/>
    <w:rsid w:val="003D32D0"/>
    <w:rsid w:val="003D33CF"/>
    <w:rsid w:val="003D5D41"/>
    <w:rsid w:val="003E4B38"/>
    <w:rsid w:val="003E6FB7"/>
    <w:rsid w:val="0041737D"/>
    <w:rsid w:val="00423270"/>
    <w:rsid w:val="0042648E"/>
    <w:rsid w:val="0042655D"/>
    <w:rsid w:val="004267C4"/>
    <w:rsid w:val="00430BBD"/>
    <w:rsid w:val="00435F89"/>
    <w:rsid w:val="004415C9"/>
    <w:rsid w:val="004431AC"/>
    <w:rsid w:val="00443283"/>
    <w:rsid w:val="00454070"/>
    <w:rsid w:val="00455346"/>
    <w:rsid w:val="004578A5"/>
    <w:rsid w:val="004610DC"/>
    <w:rsid w:val="004936D2"/>
    <w:rsid w:val="00493DE8"/>
    <w:rsid w:val="004A3026"/>
    <w:rsid w:val="004A36C4"/>
    <w:rsid w:val="004B47DB"/>
    <w:rsid w:val="004B76E7"/>
    <w:rsid w:val="004D11EA"/>
    <w:rsid w:val="004D1235"/>
    <w:rsid w:val="004E7B83"/>
    <w:rsid w:val="004F091C"/>
    <w:rsid w:val="00501453"/>
    <w:rsid w:val="00502E63"/>
    <w:rsid w:val="0050396D"/>
    <w:rsid w:val="00504F76"/>
    <w:rsid w:val="00505B60"/>
    <w:rsid w:val="00507FB4"/>
    <w:rsid w:val="00512A2D"/>
    <w:rsid w:val="0052335E"/>
    <w:rsid w:val="005312C0"/>
    <w:rsid w:val="00541604"/>
    <w:rsid w:val="0054233E"/>
    <w:rsid w:val="0054253B"/>
    <w:rsid w:val="00544582"/>
    <w:rsid w:val="0054623A"/>
    <w:rsid w:val="00577478"/>
    <w:rsid w:val="00580FB9"/>
    <w:rsid w:val="00585912"/>
    <w:rsid w:val="00587C44"/>
    <w:rsid w:val="00591ACB"/>
    <w:rsid w:val="00593FCC"/>
    <w:rsid w:val="00595870"/>
    <w:rsid w:val="00597261"/>
    <w:rsid w:val="005A22C2"/>
    <w:rsid w:val="005A4793"/>
    <w:rsid w:val="005B1EB6"/>
    <w:rsid w:val="005C34F5"/>
    <w:rsid w:val="005D0729"/>
    <w:rsid w:val="005E3762"/>
    <w:rsid w:val="005E6403"/>
    <w:rsid w:val="005E67FF"/>
    <w:rsid w:val="005F718C"/>
    <w:rsid w:val="005F7E46"/>
    <w:rsid w:val="006041CD"/>
    <w:rsid w:val="006104B5"/>
    <w:rsid w:val="00615511"/>
    <w:rsid w:val="006202D3"/>
    <w:rsid w:val="006250EE"/>
    <w:rsid w:val="00646D63"/>
    <w:rsid w:val="0065077B"/>
    <w:rsid w:val="00650DA7"/>
    <w:rsid w:val="00650FBF"/>
    <w:rsid w:val="00660B55"/>
    <w:rsid w:val="0066184A"/>
    <w:rsid w:val="006840CD"/>
    <w:rsid w:val="006905D9"/>
    <w:rsid w:val="00693274"/>
    <w:rsid w:val="006A446D"/>
    <w:rsid w:val="006A7723"/>
    <w:rsid w:val="006B7673"/>
    <w:rsid w:val="006D28C7"/>
    <w:rsid w:val="006D2F9E"/>
    <w:rsid w:val="006D3CFE"/>
    <w:rsid w:val="006E0362"/>
    <w:rsid w:val="006E2AB3"/>
    <w:rsid w:val="006E6373"/>
    <w:rsid w:val="007074EF"/>
    <w:rsid w:val="00707C5F"/>
    <w:rsid w:val="00716F11"/>
    <w:rsid w:val="007171EC"/>
    <w:rsid w:val="00737F35"/>
    <w:rsid w:val="00743DE1"/>
    <w:rsid w:val="0075743F"/>
    <w:rsid w:val="0077116C"/>
    <w:rsid w:val="007725B9"/>
    <w:rsid w:val="00772BC3"/>
    <w:rsid w:val="00773331"/>
    <w:rsid w:val="007856C0"/>
    <w:rsid w:val="00786A8E"/>
    <w:rsid w:val="007932EF"/>
    <w:rsid w:val="00795A11"/>
    <w:rsid w:val="007B2468"/>
    <w:rsid w:val="007C5627"/>
    <w:rsid w:val="007D1012"/>
    <w:rsid w:val="007E05B0"/>
    <w:rsid w:val="007E4A88"/>
    <w:rsid w:val="007E7A4A"/>
    <w:rsid w:val="007F3F6C"/>
    <w:rsid w:val="008022BF"/>
    <w:rsid w:val="00803E8E"/>
    <w:rsid w:val="0081523C"/>
    <w:rsid w:val="00816BA8"/>
    <w:rsid w:val="008275E7"/>
    <w:rsid w:val="00830DEE"/>
    <w:rsid w:val="00831BEA"/>
    <w:rsid w:val="008370CD"/>
    <w:rsid w:val="00837D68"/>
    <w:rsid w:val="00842DBF"/>
    <w:rsid w:val="008676DE"/>
    <w:rsid w:val="00874D22"/>
    <w:rsid w:val="008770C4"/>
    <w:rsid w:val="00880325"/>
    <w:rsid w:val="0088465D"/>
    <w:rsid w:val="00895335"/>
    <w:rsid w:val="008A15C5"/>
    <w:rsid w:val="008A28F2"/>
    <w:rsid w:val="008A2914"/>
    <w:rsid w:val="008A5A8A"/>
    <w:rsid w:val="008B31E1"/>
    <w:rsid w:val="008B71FA"/>
    <w:rsid w:val="008C78B7"/>
    <w:rsid w:val="008D57CB"/>
    <w:rsid w:val="008D77EA"/>
    <w:rsid w:val="008E3798"/>
    <w:rsid w:val="008E4D8E"/>
    <w:rsid w:val="008E6886"/>
    <w:rsid w:val="008E7B55"/>
    <w:rsid w:val="008F76B1"/>
    <w:rsid w:val="00904B39"/>
    <w:rsid w:val="00904ED1"/>
    <w:rsid w:val="009134EB"/>
    <w:rsid w:val="00924C8F"/>
    <w:rsid w:val="00936838"/>
    <w:rsid w:val="00953ADE"/>
    <w:rsid w:val="009563A9"/>
    <w:rsid w:val="0097140E"/>
    <w:rsid w:val="009821CE"/>
    <w:rsid w:val="0098297E"/>
    <w:rsid w:val="00987B14"/>
    <w:rsid w:val="009906FA"/>
    <w:rsid w:val="00991DF8"/>
    <w:rsid w:val="00991FCD"/>
    <w:rsid w:val="009A2DDC"/>
    <w:rsid w:val="009A6597"/>
    <w:rsid w:val="009B4BCF"/>
    <w:rsid w:val="009B6375"/>
    <w:rsid w:val="009B65B3"/>
    <w:rsid w:val="009C11CE"/>
    <w:rsid w:val="009C7FD0"/>
    <w:rsid w:val="009D4CE0"/>
    <w:rsid w:val="009E79CE"/>
    <w:rsid w:val="009E7DE2"/>
    <w:rsid w:val="00A02413"/>
    <w:rsid w:val="00A1079A"/>
    <w:rsid w:val="00A138D1"/>
    <w:rsid w:val="00A1531E"/>
    <w:rsid w:val="00A20DF3"/>
    <w:rsid w:val="00A23402"/>
    <w:rsid w:val="00A239D9"/>
    <w:rsid w:val="00A252E2"/>
    <w:rsid w:val="00A44335"/>
    <w:rsid w:val="00A5420B"/>
    <w:rsid w:val="00A56444"/>
    <w:rsid w:val="00A6398F"/>
    <w:rsid w:val="00A64DCF"/>
    <w:rsid w:val="00A76FEA"/>
    <w:rsid w:val="00A80884"/>
    <w:rsid w:val="00A83AFC"/>
    <w:rsid w:val="00A958E9"/>
    <w:rsid w:val="00A97638"/>
    <w:rsid w:val="00AB28C3"/>
    <w:rsid w:val="00AB586B"/>
    <w:rsid w:val="00AB606A"/>
    <w:rsid w:val="00AB7B89"/>
    <w:rsid w:val="00AD4F1D"/>
    <w:rsid w:val="00AE06F0"/>
    <w:rsid w:val="00AE331D"/>
    <w:rsid w:val="00AE5B47"/>
    <w:rsid w:val="00B018F0"/>
    <w:rsid w:val="00B07456"/>
    <w:rsid w:val="00B120B9"/>
    <w:rsid w:val="00B1320A"/>
    <w:rsid w:val="00B2580D"/>
    <w:rsid w:val="00B330CD"/>
    <w:rsid w:val="00B5004E"/>
    <w:rsid w:val="00B65568"/>
    <w:rsid w:val="00B7293F"/>
    <w:rsid w:val="00B73C31"/>
    <w:rsid w:val="00B757C1"/>
    <w:rsid w:val="00B82989"/>
    <w:rsid w:val="00B85D04"/>
    <w:rsid w:val="00B967B1"/>
    <w:rsid w:val="00BA1EE1"/>
    <w:rsid w:val="00BA6A36"/>
    <w:rsid w:val="00BB13FF"/>
    <w:rsid w:val="00BC7288"/>
    <w:rsid w:val="00BD0448"/>
    <w:rsid w:val="00BD5C79"/>
    <w:rsid w:val="00BE53D4"/>
    <w:rsid w:val="00BE7D87"/>
    <w:rsid w:val="00BF5B96"/>
    <w:rsid w:val="00C12301"/>
    <w:rsid w:val="00C13549"/>
    <w:rsid w:val="00C20FA0"/>
    <w:rsid w:val="00C220D5"/>
    <w:rsid w:val="00C3189A"/>
    <w:rsid w:val="00C35CC1"/>
    <w:rsid w:val="00C42C4F"/>
    <w:rsid w:val="00C5515E"/>
    <w:rsid w:val="00C55FC7"/>
    <w:rsid w:val="00C568EB"/>
    <w:rsid w:val="00C57FE4"/>
    <w:rsid w:val="00C70E14"/>
    <w:rsid w:val="00C719F4"/>
    <w:rsid w:val="00C81621"/>
    <w:rsid w:val="00C91C01"/>
    <w:rsid w:val="00C926A7"/>
    <w:rsid w:val="00C937D1"/>
    <w:rsid w:val="00CB08C0"/>
    <w:rsid w:val="00CB18E3"/>
    <w:rsid w:val="00CB3860"/>
    <w:rsid w:val="00CC0DAB"/>
    <w:rsid w:val="00CD1192"/>
    <w:rsid w:val="00CD79FC"/>
    <w:rsid w:val="00CE07EB"/>
    <w:rsid w:val="00CE405A"/>
    <w:rsid w:val="00CF0A34"/>
    <w:rsid w:val="00D00191"/>
    <w:rsid w:val="00D003EC"/>
    <w:rsid w:val="00D03F10"/>
    <w:rsid w:val="00D16E59"/>
    <w:rsid w:val="00D20381"/>
    <w:rsid w:val="00D21A41"/>
    <w:rsid w:val="00D2267F"/>
    <w:rsid w:val="00D26EC4"/>
    <w:rsid w:val="00D274D0"/>
    <w:rsid w:val="00D360FF"/>
    <w:rsid w:val="00D47862"/>
    <w:rsid w:val="00D5035A"/>
    <w:rsid w:val="00D61067"/>
    <w:rsid w:val="00D619B2"/>
    <w:rsid w:val="00D61B8B"/>
    <w:rsid w:val="00D64E7C"/>
    <w:rsid w:val="00D72872"/>
    <w:rsid w:val="00D7496B"/>
    <w:rsid w:val="00D7532C"/>
    <w:rsid w:val="00DA0A6F"/>
    <w:rsid w:val="00DA195C"/>
    <w:rsid w:val="00DB454E"/>
    <w:rsid w:val="00DC1F87"/>
    <w:rsid w:val="00DC5E0F"/>
    <w:rsid w:val="00DD7290"/>
    <w:rsid w:val="00DD7780"/>
    <w:rsid w:val="00DE2BD8"/>
    <w:rsid w:val="00DE6AAC"/>
    <w:rsid w:val="00DF66D5"/>
    <w:rsid w:val="00DF7012"/>
    <w:rsid w:val="00E04996"/>
    <w:rsid w:val="00E049CB"/>
    <w:rsid w:val="00E260B5"/>
    <w:rsid w:val="00E37C8D"/>
    <w:rsid w:val="00E504B5"/>
    <w:rsid w:val="00E7002E"/>
    <w:rsid w:val="00E775B9"/>
    <w:rsid w:val="00E84199"/>
    <w:rsid w:val="00E92FB1"/>
    <w:rsid w:val="00EA444E"/>
    <w:rsid w:val="00EC310F"/>
    <w:rsid w:val="00EC447B"/>
    <w:rsid w:val="00EC5F75"/>
    <w:rsid w:val="00ED7FCD"/>
    <w:rsid w:val="00EE29EA"/>
    <w:rsid w:val="00EF3E29"/>
    <w:rsid w:val="00EF4E90"/>
    <w:rsid w:val="00F05348"/>
    <w:rsid w:val="00F12AA8"/>
    <w:rsid w:val="00F13E13"/>
    <w:rsid w:val="00F152EA"/>
    <w:rsid w:val="00F20C39"/>
    <w:rsid w:val="00F23AC4"/>
    <w:rsid w:val="00F35BB0"/>
    <w:rsid w:val="00F40B74"/>
    <w:rsid w:val="00F45A8C"/>
    <w:rsid w:val="00F51FCF"/>
    <w:rsid w:val="00F5509D"/>
    <w:rsid w:val="00F57EF2"/>
    <w:rsid w:val="00F75D4B"/>
    <w:rsid w:val="00FA0A9C"/>
    <w:rsid w:val="00FB116E"/>
    <w:rsid w:val="00FB3BD6"/>
    <w:rsid w:val="00FC38F8"/>
    <w:rsid w:val="00FD7ABB"/>
    <w:rsid w:val="00FE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7B7A64"/>
  <w15:docId w15:val="{59BF09A2-9411-4CFB-8428-1155406B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365741"/>
    <w:pPr>
      <w:numPr>
        <w:numId w:val="1"/>
      </w:numPr>
      <w:contextualSpacing/>
    </w:pPr>
  </w:style>
  <w:style w:type="paragraph" w:styleId="ListBullet2">
    <w:name w:val="List Bullet 2"/>
    <w:basedOn w:val="Normal"/>
    <w:uiPriority w:val="99"/>
    <w:semiHidden/>
    <w:unhideWhenUsed/>
    <w:rsid w:val="00365741"/>
    <w:pPr>
      <w:numPr>
        <w:numId w:val="2"/>
      </w:numPr>
      <w:contextualSpacing/>
    </w:pPr>
  </w:style>
  <w:style w:type="paragraph" w:styleId="ListBullet3">
    <w:name w:val="List Bullet 3"/>
    <w:basedOn w:val="Normal"/>
    <w:uiPriority w:val="99"/>
    <w:semiHidden/>
    <w:unhideWhenUsed/>
    <w:rsid w:val="00365741"/>
    <w:pPr>
      <w:numPr>
        <w:numId w:val="3"/>
      </w:numPr>
      <w:contextualSpacing/>
    </w:pPr>
  </w:style>
  <w:style w:type="paragraph" w:styleId="ListBullet4">
    <w:name w:val="List Bullet 4"/>
    <w:basedOn w:val="Normal"/>
    <w:uiPriority w:val="99"/>
    <w:semiHidden/>
    <w:unhideWhenUsed/>
    <w:rsid w:val="00365741"/>
    <w:pPr>
      <w:numPr>
        <w:numId w:val="4"/>
      </w:numPr>
      <w:contextualSpacing/>
    </w:pPr>
  </w:style>
  <w:style w:type="paragraph" w:customStyle="1" w:styleId="Default">
    <w:name w:val="Default"/>
    <w:rsid w:val="008676DE"/>
    <w:pPr>
      <w:autoSpaceDE w:val="0"/>
      <w:autoSpaceDN w:val="0"/>
      <w:adjustRightInd w:val="0"/>
      <w:spacing w:after="0" w:line="240" w:lineRule="auto"/>
    </w:pPr>
    <w:rPr>
      <w:rFonts w:ascii="EUAlbertina" w:hAnsi="EUAlbertina" w:cs="EUAlbertina"/>
      <w:color w:val="000000"/>
      <w:sz w:val="24"/>
      <w:szCs w:val="24"/>
    </w:rPr>
  </w:style>
  <w:style w:type="paragraph" w:styleId="ListParagraph">
    <w:name w:val="List Paragraph"/>
    <w:basedOn w:val="Normal"/>
    <w:uiPriority w:val="34"/>
    <w:qFormat/>
    <w:rsid w:val="00D64E7C"/>
    <w:pPr>
      <w:ind w:left="720"/>
      <w:contextualSpacing/>
    </w:pPr>
  </w:style>
  <w:style w:type="paragraph" w:styleId="BalloonText">
    <w:name w:val="Balloon Text"/>
    <w:basedOn w:val="Normal"/>
    <w:link w:val="BalloonTextChar"/>
    <w:uiPriority w:val="99"/>
    <w:semiHidden/>
    <w:unhideWhenUsed/>
    <w:rsid w:val="0058591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912"/>
    <w:rPr>
      <w:rFonts w:ascii="Segoe UI" w:hAnsi="Segoe UI" w:cs="Segoe UI"/>
      <w:sz w:val="18"/>
      <w:szCs w:val="18"/>
      <w:lang w:val="cs-CZ"/>
    </w:rPr>
  </w:style>
  <w:style w:type="character" w:styleId="CommentReference">
    <w:name w:val="annotation reference"/>
    <w:basedOn w:val="DefaultParagraphFont"/>
    <w:uiPriority w:val="99"/>
    <w:unhideWhenUsed/>
    <w:rsid w:val="00307784"/>
    <w:rPr>
      <w:sz w:val="16"/>
      <w:szCs w:val="16"/>
    </w:rPr>
  </w:style>
  <w:style w:type="paragraph" w:styleId="CommentText">
    <w:name w:val="annotation text"/>
    <w:basedOn w:val="Normal"/>
    <w:link w:val="CommentTextChar"/>
    <w:uiPriority w:val="99"/>
    <w:unhideWhenUsed/>
    <w:rsid w:val="00307784"/>
    <w:rPr>
      <w:sz w:val="20"/>
      <w:szCs w:val="20"/>
    </w:rPr>
  </w:style>
  <w:style w:type="character" w:customStyle="1" w:styleId="CommentTextChar">
    <w:name w:val="Comment Text Char"/>
    <w:basedOn w:val="DefaultParagraphFont"/>
    <w:link w:val="CommentText"/>
    <w:uiPriority w:val="99"/>
    <w:rsid w:val="00307784"/>
    <w:rPr>
      <w:rFonts w:ascii="Times New Roman" w:hAnsi="Times New Roman" w:cs="Times New Roman"/>
      <w:sz w:val="20"/>
      <w:szCs w:val="20"/>
      <w:lang w:val="cs-CZ"/>
    </w:rPr>
  </w:style>
  <w:style w:type="paragraph" w:styleId="CommentSubject">
    <w:name w:val="annotation subject"/>
    <w:basedOn w:val="CommentText"/>
    <w:next w:val="CommentText"/>
    <w:link w:val="CommentSubjectChar"/>
    <w:uiPriority w:val="99"/>
    <w:semiHidden/>
    <w:unhideWhenUsed/>
    <w:rsid w:val="00307784"/>
    <w:rPr>
      <w:b/>
      <w:bCs/>
    </w:rPr>
  </w:style>
  <w:style w:type="character" w:customStyle="1" w:styleId="CommentSubjectChar">
    <w:name w:val="Comment Subject Char"/>
    <w:basedOn w:val="CommentTextChar"/>
    <w:link w:val="CommentSubject"/>
    <w:uiPriority w:val="99"/>
    <w:semiHidden/>
    <w:rsid w:val="00307784"/>
    <w:rPr>
      <w:rFonts w:ascii="Times New Roman" w:hAnsi="Times New Roman" w:cs="Times New Roman"/>
      <w:b/>
      <w:bCs/>
      <w:sz w:val="20"/>
      <w:szCs w:val="20"/>
      <w:lang w:val="cs-CZ"/>
    </w:rPr>
  </w:style>
  <w:style w:type="paragraph" w:styleId="Revision">
    <w:name w:val="Revision"/>
    <w:hidden/>
    <w:uiPriority w:val="99"/>
    <w:semiHidden/>
    <w:rsid w:val="003D32D0"/>
    <w:pPr>
      <w:spacing w:after="0" w:line="240" w:lineRule="auto"/>
    </w:pPr>
    <w:rPr>
      <w:rFonts w:ascii="Times New Roman" w:hAnsi="Times New Roman" w:cs="Times New Roman"/>
      <w:sz w:val="24"/>
    </w:rPr>
  </w:style>
  <w:style w:type="character" w:customStyle="1" w:styleId="DeltaViewInsertion">
    <w:name w:val="DeltaView Insertion"/>
    <w:uiPriority w:val="99"/>
    <w:rsid w:val="00A1079A"/>
    <w:rPr>
      <w:b/>
      <w:i/>
      <w:color w:val="000000"/>
    </w:rPr>
  </w:style>
  <w:style w:type="character" w:customStyle="1" w:styleId="DeltaViewMoveDestination">
    <w:name w:val="DeltaView Move Destination"/>
    <w:uiPriority w:val="99"/>
    <w:rsid w:val="00A1079A"/>
    <w:rPr>
      <w:color w:val="00C000"/>
      <w:u w:val="double"/>
    </w:rPr>
  </w:style>
  <w:style w:type="paragraph" w:styleId="Caption">
    <w:name w:val="caption"/>
    <w:basedOn w:val="Normal"/>
    <w:next w:val="Normal"/>
    <w:uiPriority w:val="35"/>
    <w:semiHidden/>
    <w:unhideWhenUsed/>
    <w:qFormat/>
    <w:rsid w:val="0054253B"/>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54253B"/>
    <w:pPr>
      <w:spacing w:after="0"/>
    </w:pPr>
  </w:style>
  <w:style w:type="paragraph" w:styleId="ListNumber">
    <w:name w:val="List Number"/>
    <w:basedOn w:val="Normal"/>
    <w:uiPriority w:val="99"/>
    <w:semiHidden/>
    <w:unhideWhenUsed/>
    <w:rsid w:val="0054253B"/>
    <w:pPr>
      <w:numPr>
        <w:numId w:val="6"/>
      </w:numPr>
      <w:contextualSpacing/>
    </w:pPr>
  </w:style>
  <w:style w:type="paragraph" w:styleId="ListNumber2">
    <w:name w:val="List Number 2"/>
    <w:basedOn w:val="Normal"/>
    <w:uiPriority w:val="99"/>
    <w:semiHidden/>
    <w:unhideWhenUsed/>
    <w:rsid w:val="0054253B"/>
    <w:pPr>
      <w:numPr>
        <w:numId w:val="7"/>
      </w:numPr>
      <w:contextualSpacing/>
    </w:pPr>
  </w:style>
  <w:style w:type="paragraph" w:styleId="ListNumber3">
    <w:name w:val="List Number 3"/>
    <w:basedOn w:val="Normal"/>
    <w:uiPriority w:val="99"/>
    <w:semiHidden/>
    <w:unhideWhenUsed/>
    <w:rsid w:val="0054253B"/>
    <w:pPr>
      <w:numPr>
        <w:numId w:val="8"/>
      </w:numPr>
      <w:contextualSpacing/>
    </w:pPr>
  </w:style>
  <w:style w:type="paragraph" w:styleId="ListNumber4">
    <w:name w:val="List Number 4"/>
    <w:basedOn w:val="Normal"/>
    <w:uiPriority w:val="99"/>
    <w:semiHidden/>
    <w:unhideWhenUsed/>
    <w:rsid w:val="0054253B"/>
    <w:pPr>
      <w:numPr>
        <w:numId w:val="9"/>
      </w:numPr>
      <w:contextualSpacing/>
    </w:pPr>
  </w:style>
  <w:style w:type="character" w:styleId="Hyperlink">
    <w:name w:val="Hyperlink"/>
    <w:basedOn w:val="DefaultParagraphFont"/>
    <w:uiPriority w:val="99"/>
    <w:unhideWhenUsed/>
    <w:rsid w:val="00093AA7"/>
    <w:rPr>
      <w:color w:val="0000FF" w:themeColor="hyperlink"/>
      <w:u w:val="single"/>
    </w:rPr>
  </w:style>
  <w:style w:type="character" w:styleId="FollowedHyperlink">
    <w:name w:val="FollowedHyperlink"/>
    <w:basedOn w:val="DefaultParagraphFont"/>
    <w:uiPriority w:val="99"/>
    <w:semiHidden/>
    <w:unhideWhenUsed/>
    <w:rsid w:val="00044510"/>
    <w:rPr>
      <w:color w:val="800080" w:themeColor="followedHyperlink"/>
      <w:u w:val="single"/>
    </w:rPr>
  </w:style>
  <w:style w:type="character" w:styleId="Emphasis">
    <w:name w:val="Emphasis"/>
    <w:basedOn w:val="DefaultParagraphFont"/>
    <w:uiPriority w:val="20"/>
    <w:qFormat/>
    <w:rsid w:val="00B1320A"/>
    <w:rPr>
      <w:i/>
      <w:iCs/>
    </w:rPr>
  </w:style>
  <w:style w:type="character" w:customStyle="1" w:styleId="normaltextrun">
    <w:name w:val="normaltextrun"/>
    <w:basedOn w:val="DefaultParagraphFont"/>
    <w:rsid w:val="00F51FCF"/>
  </w:style>
  <w:style w:type="character" w:customStyle="1" w:styleId="eop">
    <w:name w:val="eop"/>
    <w:basedOn w:val="DefaultParagraphFont"/>
    <w:rsid w:val="00F51FCF"/>
  </w:style>
  <w:style w:type="paragraph" w:customStyle="1" w:styleId="Point">
    <w:name w:val="Point *"/>
    <w:basedOn w:val="Point0"/>
    <w:rsid w:val="00AB28C3"/>
    <w:pPr>
      <w:numPr>
        <w:numId w:val="10"/>
      </w:numPr>
    </w:pPr>
  </w:style>
  <w:style w:type="paragraph" w:customStyle="1" w:styleId="Point00">
    <w:name w:val="Point 0"/>
    <w:basedOn w:val="Normal"/>
    <w:pPr>
      <w:ind w:left="850" w:hanging="850"/>
    </w:pPr>
  </w:style>
  <w:style w:type="paragraph" w:customStyle="1" w:styleId="Point01">
    <w:name w:val="Point 0"/>
    <w:basedOn w:val="Normal"/>
    <w:pPr>
      <w:ind w:left="850" w:hanging="850"/>
    </w:pPr>
  </w:style>
  <w:style w:type="paragraph" w:styleId="Header">
    <w:name w:val="header"/>
    <w:basedOn w:val="Normal"/>
    <w:link w:val="HeaderChar"/>
    <w:uiPriority w:val="99"/>
    <w:unhideWhenUsed/>
    <w:rsid w:val="00816BA8"/>
    <w:pPr>
      <w:tabs>
        <w:tab w:val="center" w:pos="4535"/>
        <w:tab w:val="right" w:pos="9071"/>
      </w:tabs>
      <w:spacing w:before="0"/>
    </w:pPr>
  </w:style>
  <w:style w:type="character" w:customStyle="1" w:styleId="HeaderChar">
    <w:name w:val="Header Char"/>
    <w:basedOn w:val="DefaultParagraphFont"/>
    <w:link w:val="Header"/>
    <w:uiPriority w:val="99"/>
    <w:rsid w:val="00816BA8"/>
    <w:rPr>
      <w:rFonts w:ascii="Times New Roman" w:hAnsi="Times New Roman" w:cs="Times New Roman"/>
      <w:sz w:val="24"/>
      <w:lang w:val="cs-CZ"/>
    </w:rPr>
  </w:style>
  <w:style w:type="paragraph" w:styleId="Footer">
    <w:name w:val="footer"/>
    <w:basedOn w:val="Normal"/>
    <w:link w:val="FooterChar"/>
    <w:uiPriority w:val="99"/>
    <w:unhideWhenUsed/>
    <w:rsid w:val="00816BA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16BA8"/>
    <w:rPr>
      <w:rFonts w:ascii="Times New Roman" w:hAnsi="Times New Roman" w:cs="Times New Roman"/>
      <w:sz w:val="24"/>
      <w:lang w:val="cs-CZ"/>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cs-CZ"/>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cs-CZ"/>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cs-CZ"/>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cs-CZ"/>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cs-CZ"/>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cs-CZ"/>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cs-CZ"/>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816BA8"/>
    <w:pPr>
      <w:tabs>
        <w:tab w:val="center" w:pos="7285"/>
        <w:tab w:val="right" w:pos="14003"/>
      </w:tabs>
      <w:spacing w:before="0"/>
    </w:pPr>
  </w:style>
  <w:style w:type="paragraph" w:customStyle="1" w:styleId="FooterLandscape">
    <w:name w:val="FooterLandscape"/>
    <w:basedOn w:val="Normal"/>
    <w:rsid w:val="00816BA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16BA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16BA8"/>
    <w:pPr>
      <w:spacing w:before="0"/>
      <w:jc w:val="right"/>
    </w:pPr>
    <w:rPr>
      <w:sz w:val="28"/>
    </w:rPr>
  </w:style>
  <w:style w:type="paragraph" w:customStyle="1" w:styleId="FooterSensitivity">
    <w:name w:val="Footer Sensitivity"/>
    <w:basedOn w:val="Normal"/>
    <w:rsid w:val="00816BA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0A44CC"/>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65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9EAF286-BA3C-46FE-A81C-4C0B94AB7508}">
  <ds:schemaRefs>
    <ds:schemaRef ds:uri="http://purl.org/dc/elements/1.1/"/>
    <ds:schemaRef ds:uri="http://schemas.microsoft.com/office/2006/metadata/properties"/>
    <ds:schemaRef ds:uri="http://purl.org/dc/terms/"/>
    <ds:schemaRef ds:uri="http://schemas.microsoft.com/sharepoint/v3/fields"/>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39d607b5-3019-4139-86e9-2e131faaffa8"/>
    <ds:schemaRef ds:uri="http://www.w3.org/XML/1998/namespace"/>
    <ds:schemaRef ds:uri="http://purl.org/dc/dcmitype/"/>
  </ds:schemaRefs>
</ds:datastoreItem>
</file>

<file path=customXml/itemProps2.xml><?xml version="1.0" encoding="utf-8"?>
<ds:datastoreItem xmlns:ds="http://schemas.openxmlformats.org/officeDocument/2006/customXml" ds:itemID="{C76C6B10-CFFC-4A68-B5BB-59A037842EED}">
  <ds:schemaRefs>
    <ds:schemaRef ds:uri="http://schemas.microsoft.com/sharepoint/v3/contenttype/forms"/>
  </ds:schemaRefs>
</ds:datastoreItem>
</file>

<file path=customXml/itemProps3.xml><?xml version="1.0" encoding="utf-8"?>
<ds:datastoreItem xmlns:ds="http://schemas.openxmlformats.org/officeDocument/2006/customXml" ds:itemID="{47681CB6-D858-417C-813E-D85520F6C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A4796D-B129-4EB2-90DD-CF1903B91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TotalTime>
  <Pages>9</Pages>
  <Words>2219</Words>
  <Characters>14291</Characters>
  <Application>Microsoft Office Word</Application>
  <DocSecurity>0</DocSecurity>
  <Lines>291</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
  <cp:revision>54</cp:revision>
  <dcterms:created xsi:type="dcterms:W3CDTF">2023-06-30T15:20:00Z</dcterms:created>
  <dcterms:modified xsi:type="dcterms:W3CDTF">2023-07-17T08:47:00Z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MSIP_Label_6bd9ddd1-4d20-43f6-abfa-fc3c07406f94_Enabled">
    <vt:lpwstr>true</vt:lpwstr>
  </property>
  <property fmtid="{D5CDD505-2E9C-101B-9397-08002B2CF9AE}" pid="11" name="MSIP_Label_6bd9ddd1-4d20-43f6-abfa-fc3c07406f94_SetDate">
    <vt:lpwstr>2022-12-09T08:39:59Z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a0f0f541-810d-468a-bb53-d2849980f83f</vt:lpwstr>
  </property>
  <property fmtid="{D5CDD505-2E9C-101B-9397-08002B2CF9AE}" pid="16" name="MSIP_Label_6bd9ddd1-4d20-43f6-abfa-fc3c07406f94_ContentBits">
    <vt:lpwstr>0</vt:lpwstr>
  </property>
  <property fmtid="{D5CDD505-2E9C-101B-9397-08002B2CF9AE}" pid="17" name="ContentTypeId">
    <vt:lpwstr>0x010100258AA79CEB83498886A3A086811232500033285A78CCB54F4DA2ECE5FA2B2AF218</vt:lpwstr>
  </property>
  <property fmtid="{D5CDD505-2E9C-101B-9397-08002B2CF9AE}" pid="18" name="DQCStatus">
    <vt:lpwstr>Green (DQC version 03)</vt:lpwstr>
  </property>
  <property name="OP_sanitized" fmtid="{D5CDD505-2E9C-101B-9397-08002B2CF9AE}" pid="19">
    <vt:lpwstr>True</vt:lpwstr>
  </property>
</Properties>
</file>