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17A720D0-C2CC-4FBA-A468-8534AF070AE1" style="width:455.25pt;height:399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DŮVODOVÁ ZPRÁVA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SOUVISLOSTI AKTU V PŘENESENÉ PRAVOMOCI</w:t>
      </w:r>
    </w:p>
    <w:p>
      <w:pPr>
        <w:rPr>
          <w:noProof/>
        </w:rPr>
      </w:pPr>
      <w:r>
        <w:rPr>
          <w:noProof/>
        </w:rPr>
        <w:t>Článek 8 směrnice 2014/94/EU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zmocňuje Evropskou komisi k přijímání aktů v přenesené pravomoci za účelem doplnění nebo aktualizace technických specifikací pro infrastrukturu pro alternativní paliva uvedených v článcích 4, 5, 6 a v příloze II směrnice.</w:t>
      </w:r>
    </w:p>
    <w:p>
      <w:pPr>
        <w:rPr>
          <w:noProof/>
        </w:rPr>
      </w:pPr>
      <w:r>
        <w:rPr>
          <w:noProof/>
        </w:rPr>
        <w:t>Akty v přenesené pravomoci jsou nezbytné k tomu, aby bylo možné požadovat soulad infrastruktur, které mají být zavedeny nebo obnoveny, s technickými specifikacemi v evropských normách, které mají být vypracovány, aniž je dotčeno nařízení (EU) č. 1025/2012, v případech, kdy evropské normalizační organizace doporučily pouze jedno technické řešení s technickými specifikacemi, jak je popsáno v příslušné evropské normě.</w:t>
      </w:r>
    </w:p>
    <w:p>
      <w:pPr>
        <w:rPr>
          <w:noProof/>
        </w:rPr>
      </w:pPr>
      <w:r>
        <w:rPr>
          <w:noProof/>
        </w:rPr>
        <w:t>Za účelem provedení směrnice 2014/94/EU a v souladu s čl. 10 odst. 1 nařízení (EU) č. 1025/2012 předložila Komise Evropskému výboru pro normalizaci (CEN) a Evropskému výboru pro normalizaci v elektrotechnice (CENELEC) žádost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(M533) o vypracování a přijetí vhodných evropských norem nebo o změnu stávajících norem tím, že stanoví specifikace technické interoperability s jednotným řešením, které bude případně založeno na mezinárodních normách pro infrastrukturu pro alternativní paliva.</w:t>
      </w:r>
    </w:p>
    <w:p>
      <w:pPr>
        <w:rPr>
          <w:noProof/>
        </w:rPr>
      </w:pPr>
      <w:r>
        <w:rPr>
          <w:noProof/>
        </w:rPr>
        <w:t>Normy, které mají vypracovat CEN/CENELEC na základě žádosti M/533, se týkají technických specifikací pro infrastrukturu pro alternativní paliva ve směrnici 2014/94/EU. Tyto specifikace jsou uvedeny v čl. 4 odst. 14 a v bodech 1.3, 1.4, 1.5, 1.6 a 1.8 přílohy II – dodávky elektřiny pro silniční a námořní dopravu a vnitrozemskou plavbu; čl. 5 odst. 3 a bodu 2 přílohy II – dodávky vodíku pro silniční dopravu; a čl. 6 odst. 11 a bod 3 přílohy II – dodávky zemního plynu, včetně biomethanu, pro silniční a námořní dopravu a vnitrozemskou plavbu.</w:t>
      </w:r>
    </w:p>
    <w:p>
      <w:pPr>
        <w:rPr>
          <w:noProof/>
        </w:rPr>
      </w:pPr>
      <w:r>
        <w:rPr>
          <w:noProof/>
        </w:rPr>
        <w:t>Poté, co příslušné normy na základě žádosti M/533 dne 13. srpna 2019 přijal CEN/CENELEC, přijala Komise nařízení v přenesené pravomoci (EU) 2019/1745, kterým se doplňuje a mění směrnice Evropského parlamentu a Rady 2014/94/EU, pokud jde o dobíjecí stanice pro motorová vozidla kategorie L, dodávky elektřiny z pevniny pro plavidla vnitrozemské plavby, dodávky vodíku pro silniční dopravu a dodávky zemního plynu pro silniční a vodní dopravu, a kterým se zrušuje nařízení Komise v přenesené pravomoci (EU) 2018/674.</w:t>
      </w:r>
    </w:p>
    <w:p>
      <w:pPr>
        <w:rPr>
          <w:noProof/>
        </w:rPr>
      </w:pPr>
      <w:r>
        <w:rPr>
          <w:noProof/>
        </w:rPr>
        <w:t xml:space="preserve">Toto nařízení Komise v přenesené pravomoci doplňuje technické specifikace pro dobíjecí stanice pro elektrické autobusy uvedené v bodě 1.6 přílohy II směrnice 2014/94/EU. </w:t>
      </w:r>
    </w:p>
    <w:p>
      <w:pPr>
        <w:rPr>
          <w:noProof/>
        </w:rPr>
      </w:pPr>
      <w:r>
        <w:rPr>
          <w:noProof/>
        </w:rPr>
        <w:t xml:space="preserve">Je nezbytné přijmout společné normy pro dobíjecí stanice pro elektrické autobusy s cílem odstranit technické a regulační překážky v celé EU, a usnadnit tak rozvoj jednotného trhu s cílem vytvořit vhodné podmínky pro účastníky trhu a zajistit hladké provádění revidované směrnice o čistých vozidlech, která stanoví minimální vnitrostátní cíle pro zadávání veřejných </w:t>
      </w:r>
      <w:r>
        <w:rPr>
          <w:noProof/>
        </w:rPr>
        <w:lastRenderedPageBreak/>
        <w:t>zakázek na ekologické autobusy, včetně dílčího cíle pro zadávání veřejných zakázek na autobusy s nulovými emisemi</w:t>
      </w:r>
      <w:r>
        <w:rPr>
          <w:rStyle w:val="FootnoteReference"/>
          <w:noProof/>
        </w:rPr>
        <w:footnoteReference w:id="4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Směrnice předpokládá přechodné období v délce nejméně 24 měsíců před tím, než se příslušné technické specifikace nebo jejich změněná znění stanou závaznými pro infrastrukturu, která má být zavedena či obnovena.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KONZULTACE PŘED PŘIJETÍM PRÁVNÍHO AKTU</w:t>
      </w:r>
    </w:p>
    <w:p>
      <w:pPr>
        <w:rPr>
          <w:noProof/>
        </w:rPr>
      </w:pPr>
      <w:r>
        <w:rPr>
          <w:noProof/>
        </w:rPr>
        <w:t>Prostřednictvím Fóra pro udržitelnou dopravu se uskutečnily konzultace s odborníky z členských států o normách pro infrastrukturu pro alternativní paliva, jakož i s členy Výboru pro infrastrukturu pro alternativní paliva, kteří poskytli poradenství ohledně evropských norem, které jsou předmětem tohoto nařízení Komise v přenesené pravomoci.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PRÁVNÍ STRÁNKA AKTU V PŘENESENÉ PRAVOMOCI</w:t>
      </w:r>
    </w:p>
    <w:p>
      <w:pPr>
        <w:rPr>
          <w:noProof/>
        </w:rPr>
      </w:pPr>
      <w:r>
        <w:rPr>
          <w:noProof/>
        </w:rPr>
        <w:t>Toto nařízení Komise v přenesené pravomoci doplňuje směrnici 2014/94/EU v souladu s čl. 4 odst. 14 uvedené směrnice.</w:t>
      </w:r>
    </w:p>
    <w:p>
      <w:r>
        <w:rPr>
          <w:noProof/>
        </w:rPr>
        <w:t>Pro stanovení technických norem na úrovni EU je nezbytné nařízení, neboť to nevyžaduje vnitrostátní prováděcí opatření a zajišťuje včasnou harmonizaci a rychlou použitelnost norem v členských státech.</w:t>
      </w:r>
    </w:p>
    <w:p>
      <w:pPr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Typedudocument"/>
        <w:rPr>
          <w:noProof/>
        </w:rPr>
      </w:pPr>
      <w:r>
        <w:rPr>
          <w:noProof/>
        </w:rPr>
        <w:t>NAŘÍZENÍ KOMISE V PŘENESENÉ PRAVOMOCI (EU) …/...</w:t>
      </w:r>
    </w:p>
    <w:p>
      <w:pPr>
        <w:pStyle w:val="Datedadoption"/>
        <w:rPr>
          <w:noProof/>
        </w:rPr>
      </w:pPr>
      <w:r>
        <w:t>ze dne 17.6.2021,</w:t>
      </w:r>
    </w:p>
    <w:p>
      <w:pPr>
        <w:pStyle w:val="Titreobjet"/>
        <w:rPr>
          <w:noProof/>
        </w:rPr>
      </w:pPr>
      <w:r>
        <w:rPr>
          <w:noProof/>
        </w:rPr>
        <w:t xml:space="preserve">kterým se doplňuje směrnice Evropského parlamentu a Rady 2014/94/EU, pokud jde o normy pro dobíjecí stanice pro elektrické autobusy </w:t>
      </w:r>
      <w:r>
        <w:rPr>
          <w:noProof/>
        </w:rPr>
        <w:br/>
      </w:r>
    </w:p>
    <w:p>
      <w:pPr>
        <w:pStyle w:val="IntrtEEE"/>
        <w:rPr>
          <w:noProof/>
        </w:rPr>
      </w:pPr>
      <w:r>
        <w:rPr>
          <w:noProof/>
        </w:rPr>
        <w:t>(Text s významem pro EHP)</w:t>
      </w:r>
    </w:p>
    <w:p>
      <w:pPr>
        <w:pStyle w:val="Institutionquiagit"/>
        <w:rPr>
          <w:noProof/>
        </w:rPr>
      </w:pPr>
      <w:r>
        <w:rPr>
          <w:noProof/>
        </w:rPr>
        <w:t>EVROPSKÁ KOMISE,</w:t>
      </w:r>
    </w:p>
    <w:p>
      <w:pPr>
        <w:rPr>
          <w:noProof/>
        </w:rPr>
      </w:pPr>
      <w:r>
        <w:rPr>
          <w:noProof/>
          <w:color w:val="000000"/>
        </w:rPr>
        <w:t>s ohledem na Smlouvu o fungování Evropské unie</w:t>
      </w:r>
      <w:r>
        <w:rPr>
          <w:noProof/>
        </w:rPr>
        <w:t>,</w:t>
      </w:r>
    </w:p>
    <w:p>
      <w:pPr>
        <w:rPr>
          <w:noProof/>
        </w:rPr>
      </w:pPr>
      <w:r>
        <w:rPr>
          <w:noProof/>
        </w:rPr>
        <w:t>s ohledem na směrnici Evropského parlamentu a Rady 2014/94/EU ze dne 22. října 2014 o zavádění infrastruktury pro alternativní paliva</w:t>
      </w:r>
      <w:r>
        <w:rPr>
          <w:rStyle w:val="FootnoteReference"/>
          <w:noProof/>
        </w:rPr>
        <w:footnoteReference w:id="5"/>
      </w:r>
      <w:r>
        <w:rPr>
          <w:noProof/>
        </w:rPr>
        <w:t>, a zejména na čl. 4 odst. 14 uvedené směrnice,</w:t>
      </w:r>
    </w:p>
    <w:p>
      <w:pPr>
        <w:rPr>
          <w:noProof/>
        </w:rPr>
      </w:pPr>
      <w:r>
        <w:rPr>
          <w:noProof/>
        </w:rPr>
        <w:t>vzhledem k těmto důvodům: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Směrnice 2014/94/EU stanoví, že technické specifikace pro interoperabilitu dobíjecích a plnicích stanic by měly být stanoveny v evropských nebo mezinárodních normách. U dosud nepřijatých norem by normalizace měla být založena na normách, které se vypracovávají.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Podle čl. 10 odst. 1 nařízení Evropského parlamentu a Rady (EU) č. 1025/2012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 požádala Komise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Evropský výbor pro normalizaci (CEN) a Evropský výbor pro normalizaci v elektrotechnice (CENELEC), aby vypracovaly a přijaly odpovídající evropské normy nebo změnily normy již existující pro dodávky elektřiny pro silniční a námořní dopravu a vnitrozemskou plavbu; dodávky vodíku pro silniční dopravu; a dodávky zemního plynu, včetně biomethanu, pro silniční a námořní dopravu a vnitrozemskou plavbu.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 xml:space="preserve">V návaznosti na žádost Komise M/533 vypracovaly CEN a CENELEC normy obsahující technické specifikace pro dobíjecí stanice pro elektrické autobusy uvedené v bodě 1.6 přílohy II směrnice 2014/94/EU. 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 xml:space="preserve">Výbory CEN a CENELEC informovaly Komisi, že nejvhodnějším typem pro běžné a vysoce výkonné dobíjecí stanice střídavého proudu pro elektrické autobusy jsou zásuvkové přípojky typu 2, jak je popsáno </w:t>
      </w:r>
      <w:r>
        <w:rPr>
          <w:noProof/>
          <w:color w:val="000000" w:themeColor="text1"/>
        </w:rPr>
        <w:t>v normě EN 62196-2</w:t>
      </w:r>
      <w:r>
        <w:rPr>
          <w:noProof/>
        </w:rPr>
        <w:t>.</w:t>
      </w:r>
    </w:p>
    <w:p>
      <w:pPr>
        <w:pStyle w:val="ManualConsidrant"/>
        <w:rPr>
          <w:noProof/>
          <w:color w:val="000000" w:themeColor="text1"/>
        </w:rPr>
      </w:pPr>
      <w:r>
        <w:t>(5)</w:t>
      </w:r>
      <w:r>
        <w:tab/>
      </w:r>
      <w:r>
        <w:rPr>
          <w:noProof/>
        </w:rPr>
        <w:t xml:space="preserve">Výbory CEN a CENELEC informovaly Komisi, že u běžných a vysoce výkonných dobíjecích stanic na stejnosměrný proud pro elektrické autobusy by se měly používat zásuvkové přípojky kombinovaného </w:t>
      </w:r>
      <w:r>
        <w:rPr>
          <w:noProof/>
          <w:color w:val="000000" w:themeColor="text1"/>
        </w:rPr>
        <w:t>nabíjecího systému „Combo2“, jak je popsáno v normě EN 62196-3.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 xml:space="preserve">Výbory CEN a CENELEC informovaly Komisi, že pro automatizovaná zařízení s kontaktním rozhraním pro elektrické autobusy s vodivým dobíjením v režimu 4 podle normy EN 61851-23-1 by měla být použita norma </w:t>
      </w:r>
      <w:r>
        <w:rPr>
          <w:noProof/>
          <w:szCs w:val="24"/>
        </w:rPr>
        <w:t>EN 50696</w:t>
      </w:r>
      <w:r>
        <w:rPr>
          <w:noProof/>
        </w:rPr>
        <w:t>, aby byla zajištěna interoperabilita. Tato norma bude spolu s výše uvedenými normami hrát klíčovou úlohu při zavádění elektrických autobusů ve městech.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>Podle směrnice Evropského parlamentu a Rady (EU) 2019/1161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jsou na veřejné zakázky pro autobusy s nulovými emisemi vyhrazeny minimální vnitrostátní podíly až do výše 22,5 % v období 2021–2025 a 32,5 % v období 2026–2030. Vzhledem k tomu, že v zájmu dosažení těchto cílů přechází na autobusy s nulovými emisemi stále více podniků a provozovatelů veřejné dopravy, stává se plná interoperabilita vozidel a infrastruktury pro dobíjení naprosto nezbytnou.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 xml:space="preserve">Aby byly vytvořeny rovné podmínky pro výrobce a provozovatele, umožněny úspory z rozsahu a současně zajištěna otevřenost vůči technologickým řešením, měla by být zajištěna interoperabilita různých typů dobíjení pro elektrické autobusy. Ta by měla dále zlepšit využívání inteligentního dobíjení, včetně služeb vozidlo-síť. </w:t>
      </w:r>
    </w:p>
    <w:p>
      <w:pPr>
        <w:pStyle w:val="ManualConsidrant"/>
        <w:rPr>
          <w:noProof/>
        </w:rPr>
      </w:pPr>
      <w:r>
        <w:t>(9)</w:t>
      </w:r>
      <w:r>
        <w:tab/>
      </w:r>
      <w:r>
        <w:rPr>
          <w:noProof/>
        </w:rPr>
        <w:t>Odborníci z členských států, kteří byli konzultováni prostřednictvím Výboru pro infrastrukturu pro alternativní paliva, a atašé pro dopravu členských států poskytli poradenství ohledně evropských norem a technických specifikací, které jsou předmětem tohoto aktu v přenesené pravomoci.</w:t>
      </w:r>
    </w:p>
    <w:p>
      <w:pPr>
        <w:pStyle w:val="ManualConsidrant"/>
        <w:rPr>
          <w:noProof/>
        </w:rPr>
      </w:pPr>
      <w:r>
        <w:t>(10)</w:t>
      </w:r>
      <w:r>
        <w:tab/>
      </w:r>
      <w:r>
        <w:rPr>
          <w:noProof/>
        </w:rPr>
        <w:t>Komise by v souladu s tím měla doplnit bod 1.6 přílohy II směrnice 2014/94/EU o odkazy na evropské normy a technické specifikace vypracované organizacemi CEN a CENELEC.</w:t>
      </w:r>
    </w:p>
    <w:p>
      <w:pPr>
        <w:pStyle w:val="ManualConsidrant"/>
        <w:rPr>
          <w:noProof/>
        </w:rPr>
      </w:pPr>
      <w:r>
        <w:t>(11)</w:t>
      </w:r>
      <w:r>
        <w:tab/>
      </w:r>
      <w:r>
        <w:rPr>
          <w:noProof/>
        </w:rPr>
        <w:t>V případech, kdy mají být nové technické specifikace v příloze II směrnice 2014/94/EU provedeny prostřednictvím aktů v přenesené pravomoci, by se mělo uplatnit přechodné období v délce 24 měsíců,</w:t>
      </w:r>
    </w:p>
    <w:p>
      <w:pPr>
        <w:pStyle w:val="Formuledadoption"/>
        <w:rPr>
          <w:noProof/>
        </w:rPr>
      </w:pPr>
      <w:r>
        <w:rPr>
          <w:noProof/>
        </w:rPr>
        <w:t>PŘIJALA TOTO NAŘÍZENÍ:</w:t>
      </w:r>
    </w:p>
    <w:p>
      <w:pPr>
        <w:pStyle w:val="Titrearticle"/>
        <w:rPr>
          <w:noProof/>
        </w:rPr>
      </w:pPr>
      <w:r>
        <w:rPr>
          <w:noProof/>
        </w:rPr>
        <w:t>Článek 1</w:t>
      </w: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Dobíjecí stanice pro elektrické autobusy uvedené v bodě 1.6 přílohy II směrnice 2014/94/EU musí být pro účely interoperability vybaveny takto:</w:t>
      </w:r>
    </w:p>
    <w:p>
      <w:pPr>
        <w:pStyle w:val="Tiret0"/>
        <w:numPr>
          <w:ilvl w:val="0"/>
          <w:numId w:val="10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běžné a vysoce výkonné dobíjecí stanice na střídavý proud pro elektrické autobusy musí být vybaveny alespoň zásuvkovými přípojkami typu 2, jak je popsáno v normě EN 62196-2;</w:t>
      </w:r>
    </w:p>
    <w:p>
      <w:pPr>
        <w:pStyle w:val="Tiret0"/>
        <w:rPr>
          <w:noProof/>
          <w:color w:val="000000" w:themeColor="text1"/>
        </w:rPr>
      </w:pPr>
      <w:r>
        <w:rPr>
          <w:noProof/>
          <w:color w:val="000000" w:themeColor="text1"/>
        </w:rPr>
        <w:t>běžné a vysoce výkonné dobíjecí stanice na stejnosměrný proud pro elektrické autobusy musí být vybaveny alespoň zásuvkovými přípojkami kombinovaného nabíjecího systému typu Combo 2, jak je popsáno v normě EN 62196-3;</w:t>
      </w:r>
    </w:p>
    <w:p>
      <w:pPr>
        <w:pStyle w:val="Tiret0"/>
        <w:rPr>
          <w:noProof/>
        </w:rPr>
      </w:pPr>
      <w:r>
        <w:rPr>
          <w:noProof/>
          <w:color w:val="000000" w:themeColor="text1"/>
        </w:rPr>
        <w:t>automatizované zařízení s kontaktním rozhraním pro elektrické autobusy s vodivým dobíjením v režimu 4 podle normy EN 61851-23-1, pokud jde o</w:t>
      </w:r>
      <w:r>
        <w:rPr>
          <w:noProof/>
        </w:rPr>
        <w:t xml:space="preserve"> automatické připojovací zařízení (dále jen „ACD“) namontované na infrastruktuře (reverzní pantograf), ACD namontované na střeše vozidla, ACD namontované pod vozidlem a ACD namontované na infrastruktuře a připojujícího se na bok nebo střechu vozidla, musí být vybaveno mechanickými a elektrickými rozhraními, jak je definováno v normě EN 50696.</w:t>
      </w:r>
    </w:p>
    <w:p>
      <w:pPr>
        <w:pStyle w:val="Titrearticle"/>
        <w:rPr>
          <w:noProof/>
        </w:rPr>
      </w:pPr>
      <w:r>
        <w:rPr>
          <w:noProof/>
        </w:rPr>
        <w:t>Článek 2</w:t>
      </w:r>
    </w:p>
    <w:p>
      <w:pPr>
        <w:rPr>
          <w:noProof/>
        </w:rPr>
      </w:pPr>
      <w:r>
        <w:rPr>
          <w:noProof/>
        </w:rPr>
        <w:t xml:space="preserve">Toto nařízení vstupuje v platnost dvacátým dnem po vyhlášení v </w:t>
      </w:r>
      <w:r>
        <w:rPr>
          <w:i/>
          <w:noProof/>
        </w:rPr>
        <w:t>Úředním věstníku Evropské unie</w:t>
      </w:r>
      <w:r>
        <w:rPr>
          <w:noProof/>
        </w:rPr>
        <w:t xml:space="preserve">. </w:t>
      </w:r>
    </w:p>
    <w:p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Toto nařízení se použije ode dne </w:t>
      </w:r>
      <w:r>
        <w:rPr>
          <w:i/>
          <w:noProof/>
          <w:color w:val="000000" w:themeColor="text1"/>
        </w:rPr>
        <w:t>[Úřad pro publikace: vložte prosím datum 24 měsíců ode dne vstupu v platnost.]</w:t>
      </w:r>
      <w:r>
        <w:rPr>
          <w:noProof/>
          <w:color w:val="000000" w:themeColor="text1"/>
        </w:rPr>
        <w:t>.</w:t>
      </w:r>
    </w:p>
    <w:p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Toto nařízení se vztahuje pouze na dobíjecí stanice pro elektrické autobusy, které jsou nainstalovány po datu použitelnosti tohoto nařízení.</w:t>
      </w:r>
    </w:p>
    <w:p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Nařízení se nevztahuje na dobíjecí infrastrukturu trolejbusů (nadzemní trolejové vedení). </w:t>
      </w:r>
    </w:p>
    <w:p>
      <w:pPr>
        <w:rPr>
          <w:noProof/>
        </w:rPr>
      </w:pPr>
      <w:r>
        <w:rPr>
          <w:noProof/>
          <w:color w:val="000000" w:themeColor="text1"/>
        </w:rPr>
        <w:t>Toto nařízení</w:t>
      </w:r>
      <w:r>
        <w:rPr>
          <w:noProof/>
        </w:rPr>
        <w:t xml:space="preserve"> je závazné v celém rozsahu a přímo použitelné ve všech členských státech.</w:t>
      </w:r>
    </w:p>
    <w:p>
      <w:pPr>
        <w:pStyle w:val="Fait"/>
        <w:rPr>
          <w:noProof/>
        </w:rPr>
      </w:pPr>
      <w:r>
        <w:t>V Bruselu dne 17.6.2021</w:t>
      </w:r>
    </w:p>
    <w:p>
      <w:pPr>
        <w:pStyle w:val="Institutionquisigne"/>
        <w:rPr>
          <w:noProof/>
        </w:rPr>
      </w:pPr>
      <w:r>
        <w:rPr>
          <w:noProof/>
        </w:rPr>
        <w:tab/>
        <w:t>Za Komisi</w:t>
      </w:r>
    </w:p>
    <w:p>
      <w:pPr>
        <w:pStyle w:val="Personnequisigne"/>
        <w:rPr>
          <w:noProof/>
        </w:rPr>
      </w:pPr>
      <w:bookmarkStart w:id="1" w:name="_InMacro_"/>
      <w:bookmarkEnd w:id="1"/>
      <w:r>
        <w:tab/>
        <w:t>předsedkyně</w:t>
      </w:r>
      <w:r>
        <w:br/>
      </w:r>
      <w:r>
        <w:tab/>
        <w:t>Ursula VON DER LEYEN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CS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CS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CS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  <w:footnote w:id="2">
    <w:p>
      <w:r>
        <w:rPr>
          <w:rStyle w:val="FootnoteReference"/>
        </w:rPr>
        <w:footnoteRef/>
      </w:r>
      <w:r>
        <w:tab/>
      </w:r>
      <w:r>
        <w:rPr>
          <w:sz w:val="20"/>
        </w:rPr>
        <w:t xml:space="preserve">Směrnice Evropského parlamentu a Rady 2014/94/EU ze dne 22. října 2014 o zavádění infrastruktury pro alternativní paliva </w:t>
      </w:r>
      <w:r>
        <w:rPr>
          <w:sz w:val="20"/>
          <w:szCs w:val="20"/>
        </w:rPr>
        <w:t>(</w:t>
      </w:r>
      <w:r>
        <w:rPr>
          <w:sz w:val="20"/>
        </w:rPr>
        <w:t>Text s významem pro EHP</w:t>
      </w:r>
      <w:r>
        <w:rPr>
          <w:sz w:val="20"/>
          <w:szCs w:val="20"/>
        </w:rPr>
        <w:t>).</w:t>
      </w:r>
    </w:p>
  </w:footnote>
  <w:footnote w:id="3">
    <w:p>
      <w:r>
        <w:rPr>
          <w:rStyle w:val="FootnoteReference"/>
        </w:rPr>
        <w:footnoteRef/>
      </w:r>
      <w:r>
        <w:tab/>
      </w:r>
      <w:r>
        <w:rPr>
          <w:sz w:val="20"/>
        </w:rPr>
        <w:t xml:space="preserve">M/533 prováděcí rozhodnutí Komise C(2015) 1330 ze dne 12. března 2015 o žádosti o normalizaci adresované evropským </w:t>
      </w:r>
      <w:r>
        <w:rPr>
          <w:sz w:val="20"/>
          <w:szCs w:val="20"/>
        </w:rPr>
        <w:t>normalizačním organizacím</w:t>
      </w:r>
      <w:r>
        <w:rPr>
          <w:sz w:val="20"/>
        </w:rPr>
        <w:t xml:space="preserve"> v souladu s nařízením Evropského parlamentu a Rady (EU) č. 1025/2012 s cílem navrhnout evropské normy pro infrastrukturu pro alternativní paliva.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shd w:val="clear" w:color="auto" w:fill="FFFFFF"/>
        </w:rPr>
        <w:t>Směrnice Evropského parlamentu a Rady (EU) 2019/1161 ze dne 20. června 2019, kterou se mění směrnice 2009/33/ES o podpoře čistých a energeticky účinných silničních vozidel (Text s významem pro EHP).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 xml:space="preserve">Úř. věst. L 307, 28.10.2014, s. 1. 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 Rady (EU) č. 1025/2012 ze dne 25. října 2012 o evropské normalizaci, změně směrnic Rady 89/686/EHS a 93/15/EHS a směrnic Evropského parlamentu a Rady 94/9/ES, 94/25/ES, 95/16/ES, 97/23/ES, 98/34/ES, 2004/22/ES, 2007/23/ES, 2009/23/ES a 2009/105/ES, a kterým se ruší rozhodnutí Rady 87/95/EHS a rozhodnutí Evropského parlamentu a Rady č. 1673/2006/ES (Úř. věst. L 316, 14.11.2012, s. 12).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ab/>
        <w:t>M/533 prováděcí rozhodnutí Komise C(2015) 1330 ze dne 12. března 2015 o žádosti o normalizaci adresované evropským normalizačním organizacím v souladu s nařízením Evropského parlamentu a Rady (EU) č. 1025/2012 s cílem navrhnout evropské normy pro infrastrukturu pro alternativní paliva.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ab/>
        <w:t>Směrnice Evropského parlamentu a Rady (EU) 2019/1161 ze dne 20. června 2019, kterou se mění směrnice 2009/33/ES o podpoře čistých a energeticky účinných silničních vozidel (Úř. věst. L 188, 12.7.2019, s. 116).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8749A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1F9644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3DE3B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DC7ABF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E2804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4A142E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B7AA1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9369A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2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19"/>
  </w:num>
  <w:num w:numId="12">
    <w:abstractNumId w:val="12"/>
  </w:num>
  <w:num w:numId="13">
    <w:abstractNumId w:val="21"/>
  </w:num>
  <w:num w:numId="14">
    <w:abstractNumId w:val="11"/>
  </w:num>
  <w:num w:numId="15">
    <w:abstractNumId w:val="13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 w:numId="25">
    <w:abstractNumId w:val="19"/>
  </w:num>
  <w:num w:numId="26">
    <w:abstractNumId w:val="12"/>
  </w:num>
  <w:num w:numId="27">
    <w:abstractNumId w:val="21"/>
  </w:num>
  <w:num w:numId="28">
    <w:abstractNumId w:val="11"/>
  </w:num>
  <w:num w:numId="29">
    <w:abstractNumId w:val="13"/>
  </w:num>
  <w:num w:numId="30">
    <w:abstractNumId w:val="14"/>
  </w:num>
  <w:num w:numId="31">
    <w:abstractNumId w:val="9"/>
  </w:num>
  <w:num w:numId="32">
    <w:abstractNumId w:val="20"/>
  </w:num>
  <w:num w:numId="33">
    <w:abstractNumId w:val="8"/>
  </w:num>
  <w:num w:numId="34">
    <w:abstractNumId w:val="15"/>
  </w:num>
  <w:num w:numId="35">
    <w:abstractNumId w:val="17"/>
  </w:num>
  <w:num w:numId="36">
    <w:abstractNumId w:val="18"/>
  </w:num>
  <w:num w:numId="37">
    <w:abstractNumId w:val="10"/>
  </w:num>
  <w:num w:numId="38">
    <w:abstractNumId w:val="16"/>
  </w:num>
  <w:num w:numId="3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6-10 10:47:12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2"/>
    <w:docVar w:name="DQCStatus" w:val="Green"/>
    <w:docVar w:name="DQCVersion" w:val="3"/>
    <w:docVar w:name="DQCWithWarnings" w:val="0"/>
    <w:docVar w:name="LW_COVERPAGE_EXISTS" w:val="True"/>
    <w:docVar w:name="LW_COVERPAGE_GUID" w:val="17A720D0-C2CC-4FBA-A468-8534AF070AE1"/>
    <w:docVar w:name="LW_COVERPAGE_TYPE" w:val="1"/>
    <w:docVar w:name="LW_CROSSREFERENCE" w:val="&lt;UNUSED&gt;"/>
    <w:docVar w:name="LW_DATE.ADOPT.CP" w:val="ze dne 17.6.2021,"/>
    <w:docVar w:name="LW_DATE.ADOPT.CP_DATEFORMAT" w:val="ze dne %DATE%,"/>
    <w:docVar w:name="LW_DATE.ADOPT.CP_ISODATE" w:val="2021-06-17"/>
    <w:docVar w:name="LW_DocType" w:val="COM"/>
    <w:docVar w:name="LW_EMISSION" w:val="17.6.2021"/>
    <w:docVar w:name="LW_EMISSION_ISODATE" w:val="2021-06-17"/>
    <w:docVar w:name="LW_EMISSION_LOCATION" w:val="BRX"/>
    <w:docVar w:name="LW_EMISSION_PREFIX" w:val="V Bruselu dne "/>
    <w:docVar w:name="LW_EMISSION_SUFFIX" w:val=" "/>
    <w:docVar w:name="LW_ID_DOCMODEL" w:val="SJ-003"/>
    <w:docVar w:name="LW_ID_DOCSIGNATURE" w:val="SJ-003"/>
    <w:docVar w:name="LW_ID_DOCSTRUCTURE" w:val="COM/AA"/>
    <w:docVar w:name="LW_ID_DOCTYPE" w:val="SJ-003"/>
    <w:docVar w:name="LW_ID_EXP.MOTIFS.NEW" w:val="EM_AA_"/>
    <w:docVar w:name="LW_INTERETEEE.CP" w:val="(Text s významem pro EHP)"/>
    <w:docVar w:name="LW_LANGUE" w:val="CS"/>
    <w:docVar w:name="LW_LANGUESFAISANTFOI.CP" w:val="&lt;UNUSED&gt;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1) 425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kterým se dopl\u328?uje sm\u283?rnice Evropského parlamentu a Rady 2014/94/EU, pokud jde o normy pro dobíjecí stanice pro elektrické autobusy _x000b_"/>
    <w:docVar w:name="LW_TYPE.DOC.CP" w:val="NA\u344?ÍZENÍ KOMISE V P\u344?ENESENÉ PRAVOMOCI (EU) \u8230?/..."/>
    <w:docVar w:name="LwApiVersions" w:val="LW4CoDe 1.23.0.0; LW 8.0, Build 20210114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cs-CZ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2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2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2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2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cs-CZ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cs-CZ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Tiret5">
    <w:name w:val="Tiret 5"/>
    <w:basedOn w:val="Point5"/>
    <w:pPr>
      <w:numPr>
        <w:numId w:val="3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1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1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1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3"/>
      </w:numPr>
    </w:pPr>
  </w:style>
  <w:style w:type="paragraph" w:customStyle="1" w:styleId="Point1number">
    <w:name w:val="Point 1 (number)"/>
    <w:basedOn w:val="Normal"/>
    <w:pPr>
      <w:numPr>
        <w:ilvl w:val="2"/>
        <w:numId w:val="33"/>
      </w:numPr>
    </w:pPr>
  </w:style>
  <w:style w:type="paragraph" w:customStyle="1" w:styleId="Point2number">
    <w:name w:val="Point 2 (number)"/>
    <w:basedOn w:val="Normal"/>
    <w:pPr>
      <w:numPr>
        <w:ilvl w:val="4"/>
        <w:numId w:val="33"/>
      </w:numPr>
    </w:pPr>
  </w:style>
  <w:style w:type="paragraph" w:customStyle="1" w:styleId="Point3number">
    <w:name w:val="Point 3 (number)"/>
    <w:basedOn w:val="Normal"/>
    <w:pPr>
      <w:numPr>
        <w:ilvl w:val="6"/>
        <w:numId w:val="33"/>
      </w:numPr>
    </w:pPr>
  </w:style>
  <w:style w:type="paragraph" w:customStyle="1" w:styleId="Point0letter">
    <w:name w:val="Point 0 (letter)"/>
    <w:basedOn w:val="Normal"/>
    <w:pPr>
      <w:numPr>
        <w:ilvl w:val="1"/>
        <w:numId w:val="33"/>
      </w:numPr>
    </w:pPr>
  </w:style>
  <w:style w:type="paragraph" w:customStyle="1" w:styleId="Point1letter">
    <w:name w:val="Point 1 (letter)"/>
    <w:basedOn w:val="Normal"/>
    <w:pPr>
      <w:numPr>
        <w:ilvl w:val="3"/>
        <w:numId w:val="33"/>
      </w:numPr>
    </w:pPr>
  </w:style>
  <w:style w:type="paragraph" w:customStyle="1" w:styleId="Point2letter">
    <w:name w:val="Point 2 (letter)"/>
    <w:basedOn w:val="Normal"/>
    <w:pPr>
      <w:numPr>
        <w:ilvl w:val="5"/>
        <w:numId w:val="33"/>
      </w:numPr>
    </w:pPr>
  </w:style>
  <w:style w:type="paragraph" w:customStyle="1" w:styleId="Point3letter">
    <w:name w:val="Point 3 (letter)"/>
    <w:basedOn w:val="Normal"/>
    <w:pPr>
      <w:numPr>
        <w:ilvl w:val="7"/>
        <w:numId w:val="33"/>
      </w:numPr>
    </w:pPr>
  </w:style>
  <w:style w:type="paragraph" w:customStyle="1" w:styleId="Point4letter">
    <w:name w:val="Point 4 (letter)"/>
    <w:basedOn w:val="Normal"/>
    <w:pPr>
      <w:numPr>
        <w:ilvl w:val="8"/>
        <w:numId w:val="33"/>
      </w:numPr>
    </w:pPr>
  </w:style>
  <w:style w:type="paragraph" w:customStyle="1" w:styleId="Bullet0">
    <w:name w:val="Bullet 0"/>
    <w:basedOn w:val="Normal"/>
    <w:pPr>
      <w:numPr>
        <w:numId w:val="34"/>
      </w:numPr>
    </w:pPr>
  </w:style>
  <w:style w:type="paragraph" w:customStyle="1" w:styleId="Bullet1">
    <w:name w:val="Bullet 1"/>
    <w:basedOn w:val="Normal"/>
    <w:pPr>
      <w:numPr>
        <w:numId w:val="35"/>
      </w:numPr>
    </w:pPr>
  </w:style>
  <w:style w:type="paragraph" w:customStyle="1" w:styleId="Bullet2">
    <w:name w:val="Bullet 2"/>
    <w:basedOn w:val="Normal"/>
    <w:pPr>
      <w:numPr>
        <w:numId w:val="36"/>
      </w:numPr>
    </w:pPr>
  </w:style>
  <w:style w:type="paragraph" w:customStyle="1" w:styleId="Bullet3">
    <w:name w:val="Bullet 3"/>
    <w:basedOn w:val="Normal"/>
    <w:pPr>
      <w:numPr>
        <w:numId w:val="37"/>
      </w:numPr>
    </w:pPr>
  </w:style>
  <w:style w:type="paragraph" w:customStyle="1" w:styleId="Bullet4">
    <w:name w:val="Bullet 4"/>
    <w:basedOn w:val="Normal"/>
    <w:pPr>
      <w:numPr>
        <w:numId w:val="3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cs-CZ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2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2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2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2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cs-CZ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cs-CZ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Tiret5">
    <w:name w:val="Tiret 5"/>
    <w:basedOn w:val="Point5"/>
    <w:pPr>
      <w:numPr>
        <w:numId w:val="3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1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1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1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3"/>
      </w:numPr>
    </w:pPr>
  </w:style>
  <w:style w:type="paragraph" w:customStyle="1" w:styleId="Point1number">
    <w:name w:val="Point 1 (number)"/>
    <w:basedOn w:val="Normal"/>
    <w:pPr>
      <w:numPr>
        <w:ilvl w:val="2"/>
        <w:numId w:val="33"/>
      </w:numPr>
    </w:pPr>
  </w:style>
  <w:style w:type="paragraph" w:customStyle="1" w:styleId="Point2number">
    <w:name w:val="Point 2 (number)"/>
    <w:basedOn w:val="Normal"/>
    <w:pPr>
      <w:numPr>
        <w:ilvl w:val="4"/>
        <w:numId w:val="33"/>
      </w:numPr>
    </w:pPr>
  </w:style>
  <w:style w:type="paragraph" w:customStyle="1" w:styleId="Point3number">
    <w:name w:val="Point 3 (number)"/>
    <w:basedOn w:val="Normal"/>
    <w:pPr>
      <w:numPr>
        <w:ilvl w:val="6"/>
        <w:numId w:val="33"/>
      </w:numPr>
    </w:pPr>
  </w:style>
  <w:style w:type="paragraph" w:customStyle="1" w:styleId="Point0letter">
    <w:name w:val="Point 0 (letter)"/>
    <w:basedOn w:val="Normal"/>
    <w:pPr>
      <w:numPr>
        <w:ilvl w:val="1"/>
        <w:numId w:val="33"/>
      </w:numPr>
    </w:pPr>
  </w:style>
  <w:style w:type="paragraph" w:customStyle="1" w:styleId="Point1letter">
    <w:name w:val="Point 1 (letter)"/>
    <w:basedOn w:val="Normal"/>
    <w:pPr>
      <w:numPr>
        <w:ilvl w:val="3"/>
        <w:numId w:val="33"/>
      </w:numPr>
    </w:pPr>
  </w:style>
  <w:style w:type="paragraph" w:customStyle="1" w:styleId="Point2letter">
    <w:name w:val="Point 2 (letter)"/>
    <w:basedOn w:val="Normal"/>
    <w:pPr>
      <w:numPr>
        <w:ilvl w:val="5"/>
        <w:numId w:val="33"/>
      </w:numPr>
    </w:pPr>
  </w:style>
  <w:style w:type="paragraph" w:customStyle="1" w:styleId="Point3letter">
    <w:name w:val="Point 3 (letter)"/>
    <w:basedOn w:val="Normal"/>
    <w:pPr>
      <w:numPr>
        <w:ilvl w:val="7"/>
        <w:numId w:val="33"/>
      </w:numPr>
    </w:pPr>
  </w:style>
  <w:style w:type="paragraph" w:customStyle="1" w:styleId="Point4letter">
    <w:name w:val="Point 4 (letter)"/>
    <w:basedOn w:val="Normal"/>
    <w:pPr>
      <w:numPr>
        <w:ilvl w:val="8"/>
        <w:numId w:val="33"/>
      </w:numPr>
    </w:pPr>
  </w:style>
  <w:style w:type="paragraph" w:customStyle="1" w:styleId="Bullet0">
    <w:name w:val="Bullet 0"/>
    <w:basedOn w:val="Normal"/>
    <w:pPr>
      <w:numPr>
        <w:numId w:val="34"/>
      </w:numPr>
    </w:pPr>
  </w:style>
  <w:style w:type="paragraph" w:customStyle="1" w:styleId="Bullet1">
    <w:name w:val="Bullet 1"/>
    <w:basedOn w:val="Normal"/>
    <w:pPr>
      <w:numPr>
        <w:numId w:val="35"/>
      </w:numPr>
    </w:pPr>
  </w:style>
  <w:style w:type="paragraph" w:customStyle="1" w:styleId="Bullet2">
    <w:name w:val="Bullet 2"/>
    <w:basedOn w:val="Normal"/>
    <w:pPr>
      <w:numPr>
        <w:numId w:val="36"/>
      </w:numPr>
    </w:pPr>
  </w:style>
  <w:style w:type="paragraph" w:customStyle="1" w:styleId="Bullet3">
    <w:name w:val="Bullet 3"/>
    <w:basedOn w:val="Normal"/>
    <w:pPr>
      <w:numPr>
        <w:numId w:val="37"/>
      </w:numPr>
    </w:pPr>
  </w:style>
  <w:style w:type="paragraph" w:customStyle="1" w:styleId="Bullet4">
    <w:name w:val="Bullet 4"/>
    <w:basedOn w:val="Normal"/>
    <w:pPr>
      <w:numPr>
        <w:numId w:val="3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46E9A-6750-476A-B913-393D2DFC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6</Pages>
  <Words>1351</Words>
  <Characters>7960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38</cp:revision>
  <dcterms:created xsi:type="dcterms:W3CDTF">2021-05-27T13:49:00Z</dcterms:created>
  <dcterms:modified xsi:type="dcterms:W3CDTF">2021-06-10T08:47:00Z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20190916</vt:lpwstr>
  </property>
  <property fmtid="{D5CDD505-2E9C-101B-9397-08002B2CF9AE}" pid="5" name="Created using">
    <vt:lpwstr>LW 7.0.1, Build 20190916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SJ-003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