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6.2.0.0 -->
  <w:body>
    <w:p w:rsidR="00E72EF2" w:rsidRPr="00685E01">
      <w:pPr>
        <w:rPr>
          <w:rFonts w:ascii="Arial" w:hAnsi="Arial" w:cs="Arial"/>
          <w:b/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7"/>
        <w:gridCol w:w="7381"/>
      </w:tblGrid>
      <w:tr w:rsidTr="4F396EF3">
        <w:tblPrEx>
          <w:tblW w:w="101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188" w:type="dxa"/>
            <w:gridSpan w:val="2"/>
            <w:tcBorders>
              <w:bottom w:val="single" w:sz="4" w:space="0" w:color="auto"/>
            </w:tcBorders>
            <w:shd w:val="clear" w:color="auto" w:fill="0000FF"/>
          </w:tcPr>
          <w:p w:rsidR="007D6F93" w:rsidRPr="00685E01" w:rsidP="00824525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</w:rPr>
              <w:t>VÝZVA K PŘEDLOŽENÍ FAKTICKÝCH PODKLADŮ</w:t>
            </w:r>
          </w:p>
          <w:p w:rsidR="009E6661" w:rsidRPr="00685E01" w:rsidP="4F396EF3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sz w:val="28"/>
              </w:rPr>
              <w:t xml:space="preserve">PRO INICIATIVU </w:t>
            </w:r>
            <w:r>
              <w:rPr>
                <w:rFonts w:ascii="Arial" w:hAnsi="Arial"/>
                <w:b/>
                <w:color w:val="FFFFFF" w:themeColor="background1"/>
                <w:sz w:val="28"/>
              </w:rPr>
              <w:t>(bez posouzení dopadů)</w:t>
            </w:r>
          </w:p>
        </w:tc>
      </w:tr>
      <w:tr w:rsidTr="4F396EF3">
        <w:tblPrEx>
          <w:tblW w:w="10188" w:type="dxa"/>
          <w:tblLayout w:type="fixed"/>
          <w:tblLook w:val="01E0"/>
        </w:tblPrEx>
        <w:tc>
          <w:tcPr>
            <w:tcW w:w="1018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810C61" w:rsidRPr="00685E01" w:rsidP="4F396EF3">
            <w:pPr>
              <w:spacing w:before="120" w:after="120"/>
              <w:jc w:val="both"/>
              <w:rPr>
                <w:rFonts w:ascii="Arial" w:hAnsi="Arial" w:cs="Arial"/>
                <w:color w:val="000080"/>
                <w:sz w:val="18"/>
                <w:szCs w:val="18"/>
              </w:rPr>
            </w:pPr>
            <w:r>
              <w:rPr>
                <w:rFonts w:ascii="Arial" w:hAnsi="Arial"/>
                <w:color w:val="000080"/>
                <w:sz w:val="18"/>
              </w:rPr>
              <w:t xml:space="preserve">Tímto dokumentem mají být veřejnost a zúčastněné strany informovány o činnosti Komise, aby se k ní mohly vyjádřit a efektivně se podílet na konzultacích. </w:t>
            </w:r>
          </w:p>
          <w:p w:rsidR="00B96B28" w:rsidRPr="00685E01" w:rsidP="4F396EF3">
            <w:pPr>
              <w:spacing w:before="60" w:after="120"/>
              <w:jc w:val="both"/>
              <w:rPr>
                <w:rFonts w:ascii="Arial" w:hAnsi="Arial" w:cs="Arial"/>
                <w:color w:val="000080"/>
                <w:sz w:val="18"/>
                <w:szCs w:val="18"/>
              </w:rPr>
            </w:pPr>
            <w:r>
              <w:rPr>
                <w:rFonts w:ascii="Arial" w:hAnsi="Arial"/>
                <w:color w:val="000080"/>
                <w:sz w:val="18"/>
              </w:rPr>
              <w:t xml:space="preserve">Uvítáme jejich názory na to, jak na problém nahlíží Komise, jejich připomínky k možným řešením, jakož i veškeré relevantní informace, kterými případně disponují. </w:t>
            </w:r>
          </w:p>
        </w:tc>
      </w:tr>
      <w:tr w:rsidTr="4F396EF3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</w:tcBorders>
            <w:shd w:val="clear" w:color="auto" w:fill="E6E6E6"/>
          </w:tcPr>
          <w:p w:rsidR="009E6661" w:rsidRPr="00685E01" w:rsidP="00824525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Název iniciativy</w:t>
            </w:r>
          </w:p>
        </w:tc>
        <w:tc>
          <w:tcPr>
            <w:tcW w:w="7381" w:type="dxa"/>
            <w:shd w:val="clear" w:color="auto" w:fill="auto"/>
          </w:tcPr>
          <w:p w:rsidR="0075560F" w:rsidRPr="00685E01" w:rsidP="000C5A79">
            <w:pPr>
              <w:spacing w:before="60" w:after="60"/>
              <w:rPr>
                <w:rFonts w:ascii="Arial" w:hAnsi="Arial" w:cs="Arial"/>
                <w:color w:val="000080"/>
                <w:sz w:val="20"/>
              </w:rPr>
            </w:pPr>
            <w:r>
              <w:rPr>
                <w:rFonts w:ascii="Arial" w:hAnsi="Arial"/>
                <w:color w:val="000080"/>
                <w:sz w:val="20"/>
              </w:rPr>
              <w:t>Doporučení týkající se spořicích a investičních účtů</w:t>
            </w:r>
          </w:p>
          <w:p w:rsidR="000C5A79" w:rsidRPr="00685E01" w:rsidP="000C5A79">
            <w:pPr>
              <w:spacing w:before="60" w:after="60"/>
              <w:rPr>
                <w:rFonts w:ascii="Arial" w:hAnsi="Arial" w:cs="Arial"/>
                <w:color w:val="000080"/>
                <w:sz w:val="20"/>
              </w:rPr>
            </w:pPr>
          </w:p>
        </w:tc>
      </w:tr>
      <w:tr w:rsidTr="4F396EF3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7210" w:rsidRPr="00685E01" w:rsidP="008B4A52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 xml:space="preserve">Příslušné GŘ – odpovědné oddělení 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10" w:rsidP="00106A9A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/>
                <w:color w:val="000080"/>
                <w:sz w:val="20"/>
              </w:rPr>
              <w:t>GŘ FISMA – B1 Unie kapitálových trhů</w:t>
            </w:r>
          </w:p>
          <w:p w:rsidR="002010DE" w:rsidRPr="00685E01" w:rsidP="00106A9A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/>
                <w:color w:val="000080"/>
                <w:sz w:val="20"/>
              </w:rPr>
              <w:t>GŘ TAXUD – D2 Politika a spolupráce v oblasti přímých daní</w:t>
            </w:r>
          </w:p>
          <w:p w:rsidR="00321E63" w:rsidRPr="00685E01" w:rsidP="00106A9A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  <w:tr w:rsidTr="4F396EF3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23AEF" w:rsidRPr="00685E01" w:rsidP="00824525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Pravděpodobný druh iniciativy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E63" w:rsidRPr="00685E01" w:rsidP="00321E63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/>
                <w:color w:val="000080"/>
                <w:sz w:val="20"/>
              </w:rPr>
              <w:t>Doporučení</w:t>
            </w:r>
          </w:p>
          <w:p w:rsidR="00423AEF" w:rsidRPr="00685E01" w:rsidP="00321E63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  <w:tr w:rsidTr="4F396EF3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2DFF" w:rsidRPr="00685E01" w:rsidP="0066565B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Předběžný harmonogram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F" w:rsidRPr="00685E01" w:rsidP="00321E63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/>
                <w:color w:val="000080"/>
                <w:sz w:val="20"/>
              </w:rPr>
              <w:t>3. čtvrtletí 2025</w:t>
            </w:r>
          </w:p>
          <w:p w:rsidR="00321E63" w:rsidRPr="00685E01" w:rsidP="00321E63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  <w:tr w:rsidTr="4F396EF3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D5042" w:rsidRPr="00685E01" w:rsidP="00224B13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Další informace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042" w:rsidRPr="00685E01" w:rsidP="00321E63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/>
                <w:color w:val="000080"/>
                <w:sz w:val="20"/>
              </w:rPr>
              <w:t>—</w:t>
            </w:r>
          </w:p>
          <w:p w:rsidR="00321E63" w:rsidRPr="00685E01" w:rsidP="00321E63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  <w:tr w:rsidTr="4F396EF3">
        <w:tblPrEx>
          <w:tblW w:w="10188" w:type="dxa"/>
          <w:tblLayout w:type="fixed"/>
          <w:tblLook w:val="01E0"/>
        </w:tblPrEx>
        <w:tc>
          <w:tcPr>
            <w:tcW w:w="10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F6C0F" w:rsidRPr="00685E01" w:rsidP="00321E63">
            <w:pPr>
              <w:spacing w:before="60" w:after="6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i/>
                <w:color w:val="FF0000"/>
                <w:sz w:val="18"/>
              </w:rPr>
              <w:t xml:space="preserve">Tento dokument </w:t>
            </w:r>
            <w:r>
              <w:rPr>
                <w:rFonts w:ascii="Arial" w:hAnsi="Arial"/>
                <w:i/>
                <w:color w:val="FF0000"/>
                <w:sz w:val="18"/>
              </w:rPr>
              <w:t>slouží</w:t>
            </w:r>
            <w:r>
              <w:rPr>
                <w:rFonts w:ascii="Arial" w:hAnsi="Arial"/>
                <w:i/>
                <w:color w:val="FF0000"/>
                <w:sz w:val="18"/>
              </w:rPr>
              <w:t xml:space="preserve"> pouze k informačním účelům. Nepředjímá konečné rozhodnutí Komise o tom, zda tato iniciativa bude pokračovat, ani o jejím konečném obsahu. Všechny prvky iniciativy popsané v tomto dokumentu, včetně harmonogramu, se mohou změnit.</w:t>
            </w:r>
          </w:p>
        </w:tc>
      </w:tr>
    </w:tbl>
    <w:p w:rsidR="00BA33B7" w:rsidRPr="00685E01">
      <w:pPr>
        <w:rPr>
          <w:rFonts w:ascii="Arial" w:hAnsi="Arial" w:cs="Arial"/>
          <w:sz w:val="20"/>
          <w:szCs w:val="20"/>
        </w:rPr>
        <w:sectPr w:rsidSect="00E72EF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BA33B7" w:rsidRPr="00685E01">
      <w:pPr>
        <w:rPr>
          <w:rFonts w:ascii="Arial" w:hAnsi="Arial" w:cs="Arial"/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8"/>
      </w:tblGrid>
      <w:tr w:rsidTr="378EBC0E">
        <w:tblPrEx>
          <w:tblW w:w="101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0000FF"/>
          </w:tcPr>
          <w:p w:rsidR="009E6661" w:rsidRPr="00685E01" w:rsidP="00AB4B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A. Politické souvislosti, vymezení problému a kontrola subsidiarity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9E6661" w:rsidRPr="00685E01" w:rsidP="0034796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Politické souvislosti </w:t>
            </w:r>
            <w:r>
              <w:rPr>
                <w:rFonts w:ascii="Arial" w:hAnsi="Arial"/>
                <w:b/>
                <w:color w:val="FF0000"/>
              </w:rPr>
              <w:t>[max. 10 řádků]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2308E2" w:rsidRPr="00685E01" w:rsidP="00D33639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Předsedkyně Komise Ursula von der </w:t>
            </w:r>
            <w:r>
              <w:rPr>
                <w:rFonts w:ascii="Arial" w:hAnsi="Arial"/>
                <w:color w:val="1036A0"/>
                <w:sz w:val="20"/>
              </w:rPr>
              <w:t>Leyenová</w:t>
            </w:r>
            <w:r>
              <w:rPr>
                <w:rFonts w:ascii="Arial" w:hAnsi="Arial"/>
                <w:color w:val="1036A0"/>
                <w:sz w:val="20"/>
              </w:rPr>
              <w:t xml:space="preserve"> ve svých </w:t>
            </w:r>
            <w:r>
              <w:fldChar w:fldCharType="begin"/>
            </w:r>
            <w:r>
              <w:instrText xml:space="preserve"> HYPERLINK "https://commission.europa.eu/document/download/e6cd4328-673c-4e7a-8683-f63ffb2cf648_cs?filename=Political%20Guidelines%202024-2029_CS.pdf"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politických směrech na období 2024–2029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 oznámila, že Komise navrhne </w:t>
            </w:r>
            <w:r>
              <w:rPr>
                <w:rFonts w:ascii="Arial" w:hAnsi="Arial"/>
                <w:i/>
                <w:color w:val="1036A0"/>
                <w:sz w:val="20"/>
              </w:rPr>
              <w:t>„evropskou unii úspor a investic, jež bude zahrnovat i bankovní a kapitálové trhy“</w:t>
            </w:r>
            <w:r>
              <w:rPr>
                <w:rFonts w:ascii="Arial" w:hAnsi="Arial"/>
                <w:color w:val="1036A0"/>
                <w:sz w:val="20"/>
              </w:rPr>
              <w:t xml:space="preserve">. Cílem této iniciativy je pomoci využít obrovské bohatství soukromých úspor v Evropě k investicím do inovací, přechodu na čistou energii, digitalizace, obrany a dalších klíčových priorit EU. </w:t>
            </w:r>
          </w:p>
          <w:p w:rsidR="002308E2" w:rsidRPr="00685E01" w:rsidP="00347966">
            <w:pPr>
              <w:spacing w:before="120" w:after="120"/>
              <w:jc w:val="both"/>
              <w:rPr>
                <w:rFonts w:ascii="Arial" w:hAnsi="Arial" w:cs="Arial"/>
                <w:iCs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Ve svém </w:t>
            </w:r>
            <w:r>
              <w:fldChar w:fldCharType="begin"/>
            </w:r>
            <w:r>
              <w:instrText xml:space="preserve"> HYPERLINK "https://commission.europa.eu/document/download/ac06a896-2645-4857-9958-467d2ce6f221_en?filename=Mission%20letter%20-%20ALBUQUERQUE.pdf"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pověřovacím dopise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 pak předsedkyně von der </w:t>
            </w:r>
            <w:r>
              <w:rPr>
                <w:rFonts w:ascii="Arial" w:hAnsi="Arial"/>
                <w:color w:val="1036A0"/>
                <w:sz w:val="20"/>
              </w:rPr>
              <w:t>Leyenová</w:t>
            </w:r>
            <w:r>
              <w:rPr>
                <w:rFonts w:ascii="Arial" w:hAnsi="Arial"/>
                <w:color w:val="1036A0"/>
                <w:sz w:val="20"/>
              </w:rPr>
              <w:t xml:space="preserve"> pověřila komisařku </w:t>
            </w:r>
            <w:r>
              <w:rPr>
                <w:rFonts w:ascii="Arial" w:hAnsi="Arial"/>
                <w:color w:val="1036A0"/>
                <w:sz w:val="20"/>
              </w:rPr>
              <w:t>Albuquerqueovou</w:t>
            </w:r>
            <w:r>
              <w:rPr>
                <w:rFonts w:ascii="Arial" w:hAnsi="Arial"/>
                <w:color w:val="1036A0"/>
                <w:sz w:val="20"/>
              </w:rPr>
              <w:t xml:space="preserve"> vytvořením unie úspor a investic a tím, aby se zaměřila </w:t>
            </w:r>
            <w:r>
              <w:rPr>
                <w:rFonts w:ascii="Arial" w:hAnsi="Arial"/>
                <w:i/>
                <w:color w:val="1036A0"/>
                <w:sz w:val="20"/>
              </w:rPr>
              <w:t>„na pomoc lidem při optimalizaci jejich úspor, dále na zvýšení kapitálových investic do inovací, na uvolnění digitálních financí, zajištění konkurenceschopnosti finančního sektoru a využívání udržitelného financování“.</w:t>
            </w:r>
            <w:r>
              <w:rPr>
                <w:rFonts w:ascii="Arial" w:hAnsi="Arial"/>
                <w:color w:val="1036A0"/>
                <w:sz w:val="20"/>
              </w:rPr>
              <w:t xml:space="preserve"> Také komisař </w:t>
            </w:r>
            <w:r>
              <w:rPr>
                <w:rFonts w:ascii="Arial" w:hAnsi="Arial"/>
                <w:color w:val="1036A0"/>
                <w:sz w:val="20"/>
              </w:rPr>
              <w:t>Hoekstra</w:t>
            </w:r>
            <w:r>
              <w:rPr>
                <w:rFonts w:ascii="Arial" w:hAnsi="Arial"/>
                <w:color w:val="1036A0"/>
                <w:sz w:val="20"/>
              </w:rPr>
              <w:t xml:space="preserve"> dostal ve svém pověřovacím dopise za úkol </w:t>
            </w:r>
            <w:r>
              <w:rPr>
                <w:rFonts w:ascii="Arial" w:hAnsi="Arial"/>
                <w:i/>
                <w:color w:val="1036A0"/>
                <w:sz w:val="20"/>
              </w:rPr>
              <w:t>„nalézt inovativní řešení pro soudržný daňový rámec pro finanční sektor EU“.</w:t>
            </w:r>
          </w:p>
          <w:p w:rsidR="00221780" w:rsidP="006D515A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Ve </w:t>
            </w:r>
            <w:r>
              <w:fldChar w:fldCharType="begin"/>
            </w:r>
            <w:r>
              <w:instrText xml:space="preserve"> HYPERLINK "https://eur-lex.europa.eu/legal-content/cs/TXT/?uri=celex:52025DC0124"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sdělení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 ze dne 19. března 2025 Komise představila svou strategii v oblasti unie úspor a investic, v níž s cílem podpořit účast retailových investorů na kapitálových trzích oznámila opatření k vytvoření evropského plánu pro spořicí a investiční účty nebo produkty na základě stávajících osvědčených postupů, která doplní doporučení určené členským státům ve věci daňového režimu spořicích a investičních účtů.</w:t>
            </w:r>
          </w:p>
          <w:p w:rsidR="002D2B19" w:rsidRPr="00685E01" w:rsidP="00D636BA">
            <w:pPr>
              <w:spacing w:before="120" w:after="120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Potřebu větší účasti retailových investorů na kapitálových trzích opakovaně zdůrazňují i </w:t>
            </w:r>
            <w:r>
              <w:fldChar w:fldCharType="begin"/>
            </w:r>
            <w:r>
              <w:instrText xml:space="preserve"> HYPERLINK "https://www.consilium.europa.eu/cs/press/press-releases/2024/03/11/statement-of-the-eurogroup-in-inclusive-format-on-the-future-of-capital-markets-union/"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Euroskupina v inkluzivním formátu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 a při několika příležitostech i </w:t>
            </w:r>
            <w:r>
              <w:fldChar w:fldCharType="begin"/>
            </w:r>
            <w:r>
              <w:instrText xml:space="preserve"> HYPERLINK "https://www.consilium.europa.eu/media/viyhc2m4/20250320-european-council-conclusions-en.pdf"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Evropská rada</w:t>
            </w:r>
            <w:r>
              <w:fldChar w:fldCharType="end"/>
            </w:r>
            <w:r>
              <w:rPr>
                <w:rStyle w:val="Hyperlink"/>
                <w:u w:val="none"/>
              </w:rPr>
              <w:t xml:space="preserve">, </w:t>
            </w:r>
            <w:r>
              <w:rPr>
                <w:rFonts w:ascii="Arial" w:hAnsi="Arial"/>
                <w:color w:val="1036A0"/>
                <w:sz w:val="20"/>
              </w:rPr>
              <w:t xml:space="preserve">mimo jiné v závěrech ze dne 20. března 2025. Obě vyzývají Komisi, aby usnadnila retailový přístup k jednoduchým a efektivním spořicím a investičním produktům. Některé členské státy zároveň pracují na vymezení společných rysů možných evropských retailových spořicích produktů nebo účtů. 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71651E" w:rsidRPr="00685E01" w:rsidP="0034796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Problém, který má iniciativa řešit </w:t>
            </w:r>
            <w:r>
              <w:rPr>
                <w:rFonts w:ascii="Arial" w:hAnsi="Arial"/>
                <w:b/>
                <w:color w:val="FF0000"/>
              </w:rPr>
              <w:t>[max. 25 řádků]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2B2293" w:rsidRPr="00685E01" w:rsidP="54BDA515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Zprávy Maria </w:t>
            </w:r>
            <w:r>
              <w:rPr>
                <w:rFonts w:ascii="Arial" w:hAnsi="Arial"/>
                <w:color w:val="1036A0"/>
                <w:sz w:val="20"/>
              </w:rPr>
              <w:t>Draghiho</w:t>
            </w:r>
            <w:r>
              <w:rPr>
                <w:rFonts w:ascii="Arial" w:hAnsi="Arial"/>
                <w:color w:val="1036A0"/>
                <w:sz w:val="20"/>
              </w:rPr>
              <w:t xml:space="preserve"> a Enrica </w:t>
            </w:r>
            <w:r>
              <w:rPr>
                <w:rFonts w:ascii="Arial" w:hAnsi="Arial"/>
                <w:color w:val="1036A0"/>
                <w:sz w:val="20"/>
              </w:rPr>
              <w:t>Letty</w:t>
            </w:r>
            <w:r>
              <w:rPr>
                <w:rFonts w:ascii="Arial" w:hAnsi="Arial"/>
                <w:color w:val="1036A0"/>
                <w:sz w:val="20"/>
              </w:rPr>
              <w:t xml:space="preserve"> poukázaly na přetrvávající neefektivnost kapitálových trhů EU, zejména na značný nesoulad mezi úsporami a investicemi v rámci EU – úspory občanů zde </w:t>
            </w:r>
            <w:r>
              <w:rPr>
                <w:rFonts w:ascii="Arial" w:hAnsi="Arial"/>
                <w:color w:val="1036A0"/>
                <w:sz w:val="20"/>
              </w:rPr>
              <w:t>leží</w:t>
            </w:r>
            <w:r>
              <w:rPr>
                <w:rFonts w:ascii="Arial" w:hAnsi="Arial"/>
                <w:color w:val="1036A0"/>
                <w:sz w:val="20"/>
              </w:rPr>
              <w:t xml:space="preserve"> v drtivé většině na </w:t>
            </w:r>
            <w:r>
              <w:rPr>
                <w:rFonts w:ascii="Arial" w:hAnsi="Arial"/>
                <w:color w:val="1036A0"/>
                <w:sz w:val="20"/>
              </w:rPr>
              <w:t>nízkovýnosných</w:t>
            </w:r>
            <w:r>
              <w:rPr>
                <w:rFonts w:ascii="Arial" w:hAnsi="Arial"/>
                <w:color w:val="1036A0"/>
                <w:sz w:val="20"/>
              </w:rPr>
              <w:t xml:space="preserve"> vkladových účtech a firmám, zejména mladým a inovativním, se kvůli nedostatečným možnostem </w:t>
            </w:r>
            <w:r>
              <w:rPr>
                <w:rFonts w:ascii="Arial" w:hAnsi="Arial"/>
                <w:color w:val="1036A0"/>
                <w:sz w:val="20"/>
              </w:rPr>
              <w:t xml:space="preserve">financování nedaří pokrýt kapitálové potřeby. Je proto naléhavě nutné jednat, aby se úspory lépe propojily s investičními příležitostmi a aby bylo možné pozorovat skutečný hospodářský dopad. </w:t>
            </w:r>
          </w:p>
          <w:p w:rsidR="00017DA1" w:rsidRPr="00685E01" w:rsidP="4F396EF3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color w:val="1036A0"/>
                <w:sz w:val="20"/>
              </w:rPr>
              <w:t>Občané EU disponují značnými úsporami: ve druhém čtvrtletí roku 2023 měly domácnosti v EU uspořili 14,79 % svého disponibilního příjmu (</w:t>
            </w:r>
            <w:r>
              <w:fldChar w:fldCharType="begin"/>
            </w:r>
            <w:r>
              <w:instrText xml:space="preserve"> HYPERLINK "https://ec.europa.eu/eurostat/databrowser/view/NASQ_10_KI__custom_14394770/default/table?lang=en"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údaje ESTAT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>). V roce 2023 měli občané EU 31,01 % úspor, tj. 11,63 bilionu eur, v hotovosti a na vkladových účtech (</w:t>
            </w:r>
            <w:r>
              <w:fldChar w:fldCharType="begin"/>
            </w:r>
            <w:r>
              <w:instrText xml:space="preserve"> HYPERLINK "https://ec.europa.eu/eurostat/databrowser/view/NASA_10_F_BS__custom_13650774/default/table?lang=en"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údaje ESTAT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 z roku 2023). Bankovní vklady jsou bezpečné a likvidní a pro občany EU je důležité mít finanční rezervu v bankovních vkladech. Bankovní vklady však nabízejí jen omezené výnosy. Bez větší účasti na kapitálových trzích tak občané EU přicházejí o příležitosti ke zbohatnutí, jehož by mohli dosáhnout zvýšením návratnosti svých dlouhodobých úspor. Smyslem unie úspor a investic nejsou rychlé zisky na kapitálových trzích. Jejím cílem je, aby se investování stalo pro občany životaschopnou příležitostí k odpovědnému investování a rozšíření majetku a aby mohli snáze realizovat důležité životní projekty nebo zvládli neočekávané životní události.</w:t>
            </w:r>
          </w:p>
          <w:p w:rsidR="00557A91" w:rsidRPr="00685E01" w:rsidP="4F396EF3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Zároveň je v EU potřeba obrovského množství kapitálu k financování širších politických cílů, včetně oblasti konkurenceschopnosti, inovací, jakož i zelených, digitálních a obranných investic. Bankovní sektor zůstává v EU důležitým zdrojem financování a retailoví střadatelé již hrají hlavní roli při financování ekonomiky EU prostřednictvím bankovních vkladů: v roce 2023 tvořily bankovní úvěry 50,43 % financování nefinančních podniků (</w:t>
            </w:r>
            <w:r>
              <w:fldChar w:fldCharType="begin"/>
            </w:r>
            <w:r>
              <w:instrText xml:space="preserve"> HYPERLINK "https://ec.europa.eu/eurostat/databrowser/view/nasa_10_f_bs/default/table?lang=en"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ESTAT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, </w:t>
            </w:r>
            <w:r>
              <w:fldChar w:fldCharType="begin"/>
            </w:r>
            <w:r>
              <w:instrText xml:space="preserve"> HYPERLINK "https://ec.europa.eu/eurostat/databrowser/view/nasa_10_f_tr/default/table?lang=en"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ESTAT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, </w:t>
            </w:r>
            <w:r>
              <w:fldChar w:fldCharType="begin"/>
            </w:r>
            <w:r>
              <w:instrText xml:space="preserve"> HYPERLINK "https://data.ecb.europa.eu/data/datasets/BSI/BSI.M.DE.N.A.A20.A.1.U6.2240.Z01.E"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ECB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, výpočty GŘ FISMA). Tento typ financování však není vhodný k pokrytí všech investičních potřeb, zejména u mladých a inovativních firem, které si potřebují zajistit vlastní kapitál, nikoli se zadlužit, a které navíc představují relativně rizikovější investice. </w:t>
            </w:r>
          </w:p>
          <w:p w:rsidR="00E74B95" w:rsidRPr="00685E01" w:rsidP="00BD2461">
            <w:pPr>
              <w:spacing w:before="120" w:after="120"/>
              <w:jc w:val="both"/>
              <w:rPr>
                <w:rFonts w:ascii="Arial" w:hAnsi="Arial" w:cs="Arial"/>
                <w:iCs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Kapitálové trhy EU stále nemají dostatečný rozsah a hloubku, aby mohly nabídnout dostatečné možnosti financování dynamickým a inovativním evropským společnostem, a přeshraniční poskytování služeb a transakce stále podléhají mnoha překážkám. Větší přímá a nepřímá účast retailových investorů na kapitálových trzích by mohla přispět k větší hloubce a likviditě kapitálových trhů EU a ke zvýšení nabídky soukromého kapitálu společnostem v EU. 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9E6661" w:rsidRPr="00685E01" w:rsidP="0034796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Základ pro opatření na úrovni EU (právní základ a kontrola subsidiarity) </w:t>
            </w:r>
            <w:r>
              <w:rPr>
                <w:rFonts w:ascii="Arial" w:hAnsi="Arial"/>
                <w:b/>
                <w:color w:val="FF0000"/>
              </w:rPr>
              <w:t>[max. 10 řádků]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shd w:val="clear" w:color="auto" w:fill="D9D9D9" w:themeFill="background1" w:themeFillShade="D9"/>
          </w:tcPr>
          <w:p w:rsidR="002B1AA3" w:rsidRPr="00685E01" w:rsidP="001533F9">
            <w:pPr>
              <w:spacing w:before="120" w:after="120"/>
              <w:jc w:val="both"/>
              <w:rPr>
                <w:rFonts w:ascii="Arial" w:hAnsi="Arial" w:cs="Arial"/>
                <w:b/>
                <w:color w:val="1036A0"/>
              </w:rPr>
            </w:pPr>
            <w:r>
              <w:rPr>
                <w:rFonts w:ascii="Arial" w:hAnsi="Arial"/>
                <w:b/>
                <w:color w:val="000000" w:themeColor="text1"/>
              </w:rPr>
              <w:t>Právní základ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shd w:val="clear" w:color="auto" w:fill="auto"/>
          </w:tcPr>
          <w:p w:rsidR="001D7B82" w:rsidRPr="00685E01" w:rsidP="78F7F822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Podle článku 292 Smlouvy o fungování Evropské unie (SFEU) je doporučení nezávazným aktem EU. Jako takové neukládá členským státům žádné právní povinnosti, ale vyjadřuje názor a očekávání Komise ohledně přijetí osvědčených postupů, pokud jde o retailový přístup k finančním službám v EU a vnitřní trh s kapitálem. 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shd w:val="clear" w:color="auto" w:fill="D9D9D9" w:themeFill="background1" w:themeFillShade="D9"/>
          </w:tcPr>
          <w:p w:rsidR="002B1AA3" w:rsidRPr="00685E01" w:rsidP="001E25A5">
            <w:pPr>
              <w:spacing w:before="120" w:after="120"/>
              <w:jc w:val="both"/>
              <w:rPr>
                <w:rFonts w:ascii="Arial" w:hAnsi="Arial" w:cs="Arial"/>
                <w:b/>
                <w:color w:val="1036A0"/>
              </w:rPr>
            </w:pPr>
            <w:r>
              <w:rPr>
                <w:rFonts w:ascii="Arial" w:hAnsi="Arial"/>
                <w:b/>
                <w:color w:val="000000" w:themeColor="text1"/>
              </w:rPr>
              <w:t>Praktická potřeba opatření na úrovni EU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B82" w:rsidRPr="00B24DF8" w:rsidP="00A41AAE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Kromě toho, že větší účast retailových investorů v EU na kapitálových trzích </w:t>
            </w:r>
            <w:r>
              <w:rPr>
                <w:rFonts w:ascii="Arial" w:hAnsi="Arial"/>
                <w:color w:val="1036A0"/>
                <w:sz w:val="20"/>
              </w:rPr>
              <w:t>EUnabízí</w:t>
            </w:r>
            <w:r>
              <w:rPr>
                <w:rFonts w:ascii="Arial" w:hAnsi="Arial"/>
                <w:color w:val="1036A0"/>
                <w:sz w:val="20"/>
              </w:rPr>
              <w:t xml:space="preserve"> vyšší očekávané dlouhodobé výnosy ve srovnání s vklady, je v zájmu celé EU, protože může přispět ke zvýšení likvidity trhu a dostupnosti tržních zdrojů kapitálu pro společnosti v EU, a to i </w:t>
            </w:r>
            <w:r>
              <w:rPr>
                <w:rFonts w:ascii="Arial" w:hAnsi="Arial"/>
                <w:color w:val="1036A0"/>
                <w:sz w:val="20"/>
              </w:rPr>
              <w:t>přeshraničně .</w:t>
            </w:r>
            <w:r>
              <w:rPr>
                <w:rFonts w:ascii="Arial" w:hAnsi="Arial"/>
                <w:color w:val="1036A0"/>
                <w:sz w:val="20"/>
              </w:rPr>
              <w:t xml:space="preserve"> Zkušenosti z některých členských států ukázaly, že spořicí a investiční účty mohou zvýšit účast retailových investorů na kapitálových trzích, zejména pokud jsou spojeny s vhodnými daňovými pobídkami. Skutečnost, že ne všechny členské státy zavedly spořicí a investiční účty a že některá řešení byla úspěšnější než jiná, znamená, že existuje prostor pro opatření EU v podobě doporučení Komise. Koordinované úsilí členských států by zajistilo větší účinnost při dosahování těchto cílů ve srovnání s izolovanými a nekoordinovanými opatřeními.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0000FF"/>
          </w:tcPr>
          <w:p w:rsidR="00423AEF" w:rsidRPr="00B24DF8" w:rsidP="698B646C">
            <w:pPr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B. Čeho má iniciativa dosáhnout a jakým způsobem </w:t>
            </w:r>
            <w:r>
              <w:rPr>
                <w:rFonts w:ascii="Arial" w:hAnsi="Arial"/>
                <w:b/>
                <w:color w:val="FF0000"/>
              </w:rPr>
              <w:t>[max. 25 řádků]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727035" w:rsidP="4F396EF3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Cílem doporučení o zřízení spořicích a investičních účtů je usnadnit retailovým investorům účast na kapitálových trzích v celé EU s cílem zvýšit dlouhodobou návratnost retailových úspor a zároveň přispět k větší likviditě kapitálových trhů EU a podpořit přísun kapitálu evropským společnostem.</w:t>
            </w:r>
          </w:p>
          <w:p w:rsidR="00094AFF" w:rsidP="4F396EF3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Spořicí a investiční účty v některých členských státech existují a je prokázáno, že mohou fungovat jako snadná brána pro přístup retailových investorů k širokému souboru investičních příležitostí, jako jsou akcie, dluhopisy a investiční fondy, jakož i další finanční produkty, které nejlépe vyhovují jejich potřebám v krátkodobém i dlouhodobém horizontu. </w:t>
            </w:r>
          </w:p>
          <w:p w:rsidR="00D20D2F" w:rsidP="4F396EF3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Sdělení o unii úspor a investic zdůrazňuje, že spořicí a investiční účty by měly být založeny na osvědčených postupech a že nejúspěšnějšími příklady jsou účty, které jsou snadno použitelné, mají digitální rozhraní, umožňují přístup k široké škále investičních produktů, nabízejí zvýhodněné daňové sazby nebo zjednodušené daňové postupy a umožňují změnu poskytovatele zdarma nebo s nízkými náklady. </w:t>
            </w:r>
          </w:p>
          <w:p w:rsidR="00AB40C6" w:rsidP="4F396EF3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Zejména funkce brány by mohla být nejlépe plněna v kontextu, kdy by poskytovatel účtů poskytoval retailovým zákazníkům široký výběr produktů. Přenositelnost investic mezi spořicími a investičními účty v rámci téže jurisdikce za minimální náklady by rovněž mohla zvýšit konkurenci mezi poskytovateli a motivovat poskytovatele </w:t>
            </w:r>
            <w:r>
              <w:rPr>
                <w:rFonts w:ascii="Arial" w:hAnsi="Arial"/>
                <w:color w:val="1036A0"/>
                <w:sz w:val="20"/>
              </w:rPr>
              <w:t>účtů ke snížení poplatků za úschovu a transakce. Obecněji řečeno, konkurence v oblasti poskytování spořicích a investičních účtů a provádění příkazů by mohla zlepšit celkovou nabídku a výsledky pro retailové zákazníky, a to jak z hlediska šíře výběru, tak z hlediska nákladů, a tím je motivovat k účasti na kapitálových trzích a posílit jednotný trh finančních služeb.</w:t>
            </w:r>
          </w:p>
          <w:p w:rsidR="00F12DFB" w:rsidRPr="00383712" w:rsidP="00D85E9A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Spořicí a investiční účty, které zahrnují zjednodušené daňové postupy a daňové pobídky pro finanční investice, mohou být dalším katalyzátorem, který </w:t>
            </w:r>
            <w:r>
              <w:rPr>
                <w:rFonts w:ascii="Arial" w:hAnsi="Arial"/>
                <w:color w:val="1036A0"/>
                <w:sz w:val="20"/>
              </w:rPr>
              <w:t>podpoří</w:t>
            </w:r>
            <w:r>
              <w:rPr>
                <w:rFonts w:ascii="Arial" w:hAnsi="Arial"/>
                <w:color w:val="1036A0"/>
                <w:sz w:val="20"/>
              </w:rPr>
              <w:t xml:space="preserve"> účast retailových investorů a usnadní zachování a budování jejich finančního bohatství, přičemž zvýší nabídku kapitálu v evropské ekonomice a přispěje k dosažení širších cílů unie úspor a investic.</w:t>
            </w:r>
            <w:r>
              <w:t xml:space="preserve"> </w:t>
            </w:r>
            <w:r>
              <w:rPr>
                <w:rFonts w:ascii="Arial" w:hAnsi="Arial"/>
                <w:color w:val="1036A0"/>
                <w:sz w:val="20"/>
              </w:rPr>
              <w:t>Z počátečního přehledu osvědčených mezinárodních a domácích postupů zejména vyplývá, že snadno dostupné účty se zjednodušenými daňovými postupy, které pro retailové investory snižují skutečnou i vnímanou regulační zátěž, výrazně pozitivně přispívají k využívání těchto účtů občany. Je také prokázáno, že ty systémy, které ve srovnání s běžnými investičními účty poskytují daňové výhody, jsou častěji využívány.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0974" w:rsidRPr="00B24DF8" w:rsidP="4F396EF3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Pravděpodobné dopady</w:t>
            </w:r>
          </w:p>
        </w:tc>
      </w:tr>
      <w:tr w:rsidTr="0001279D">
        <w:tblPrEx>
          <w:tblW w:w="10188" w:type="dxa"/>
          <w:tblLook w:val="01E0"/>
        </w:tblPrEx>
        <w:trPr>
          <w:trHeight w:val="4920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67" w:rsidP="007515FF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Potenciální přínosy umožnění přístupu občanů EU k jednoduchému spořicímu a investičnímu účtu mohou být značné. </w:t>
            </w:r>
          </w:p>
          <w:p w:rsidR="00E4506D" w:rsidRPr="00B477BA" w:rsidP="007515FF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Podle </w:t>
            </w:r>
            <w:r>
              <w:fldChar w:fldCharType="begin"/>
            </w:r>
            <w:r>
              <w:instrText xml:space="preserve"> HYPERLINK "https://www.esma.europa.eu/sites/default/files/2025-01/ESMA50-524821-3525_ESMA_Market_Report_-_Costs_and_Performance_of_EU_Retail_Investment_Products.pdf"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ESMA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 xml:space="preserve"> by hypotetické akciové portfolio v letech 2014 až 2023 nabízelo roční čistý výnos 6,7 % (2,3 % v případě smíšeného portfolia SKIPCP). Analýza Komise na základě údajů ECB ukazuje, že ve stejném období činil roční čistý výnos termínovaných vkladů bank v eurozóně méně než 1 %. V dlouhodobém horizontu tak investice na kapitálových trzích pravděpodobně pomohou občanům EU dosáhnout vyšší návratnosti jejich úspor, přičemž tyto účinky by mohly být potenciálně umocněny daňovými výhodami spojenými s účty.</w:t>
            </w:r>
          </w:p>
          <w:p w:rsidR="00D558A3" w:rsidRPr="00B477BA" w:rsidP="007515FF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Na základě </w:t>
            </w:r>
            <w:r>
              <w:fldChar w:fldCharType="begin"/>
            </w:r>
            <w:r>
              <w:instrText xml:space="preserve"> HYPERLINK "https://www.ecb.europa.eu/press/key/date/2024/html/ecb.sp241122~fb84170883.en.html"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analýzy ECB</w:t>
            </w:r>
            <w:r>
              <w:fldChar w:fldCharType="end"/>
            </w:r>
            <w:r>
              <w:t xml:space="preserve"> </w:t>
            </w:r>
            <w:r>
              <w:rPr>
                <w:rFonts w:ascii="Arial" w:hAnsi="Arial"/>
                <w:color w:val="1036A0"/>
                <w:sz w:val="20"/>
              </w:rPr>
              <w:t>by navíc v případě, že by domácnosti v EU sladily svůj poměr vkladů k finančním aktivům s poměrem, který vykazují domácnosti v USA, bylo možné přesměrovat do tržních investic částku až 8 bilionů EUR, resp. tok 350 miliard EUR ročně</w:t>
            </w:r>
            <w:r>
              <w:rPr>
                <w:rStyle w:val="FootnoteReference"/>
                <w:rFonts w:ascii="Arial" w:hAnsi="Arial" w:cs="Arial"/>
                <w:color w:val="1036A0"/>
                <w:sz w:val="20"/>
                <w:szCs w:val="20"/>
              </w:rPr>
              <w:footnoteReference w:id="3"/>
            </w:r>
            <w:r>
              <w:t>.</w:t>
            </w:r>
            <w:r>
              <w:rPr>
                <w:rFonts w:ascii="Arial" w:hAnsi="Arial"/>
                <w:color w:val="1036A0"/>
                <w:sz w:val="20"/>
              </w:rPr>
              <w:t xml:space="preserve"> </w:t>
            </w:r>
          </w:p>
          <w:p w:rsidR="00622F2F" w:rsidRPr="0001279D" w:rsidP="008F4404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/>
                <w:color w:val="1036A0"/>
                <w:sz w:val="20"/>
              </w:rPr>
            </w:pPr>
            <w:r>
              <w:rPr>
                <w:rFonts w:ascii="Arial" w:hAnsi="Arial"/>
                <w:color w:val="1036A0"/>
                <w:sz w:val="20"/>
              </w:rPr>
              <w:t>Zvýšení dostupnosti a využívání spořicích a investičních účtů by zvýšilo míru účasti retailových subjektů na kapitálových trzích a podpořilo tvorbu bohatství domácností. Větší účast retailových občanů na kapitálových trzích by rovněž vytvořila pozitivní kaskádový efekt na společnosti v EU, včetně malých a středních subjektů, které by rády získaly finanční prostředky z kapitálových trhů, protože by mohly těžit z větší flexibility, pokud jde o zdroje financování, a také z potenciálně nižších nákladů na financování.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C75CC" w:rsidRPr="00B75817" w:rsidP="00A22CFB">
            <w:pPr>
              <w:spacing w:before="60" w:after="60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Budoucí monitorování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6C75CC" w:rsidRPr="00B75817" w:rsidP="008F4404">
            <w:pPr>
              <w:spacing w:before="120" w:after="120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Od roku 2021 zveřejňuje Komise </w:t>
            </w:r>
            <w:r>
              <w:fldChar w:fldCharType="begin"/>
            </w:r>
            <w:r>
              <w:instrText xml:space="preserve"> HYPERLINK "https://finance.ec.europa.eu/publications/list-indicators-monitor-progress-towards-cmu-objectives_en"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„Seznam ukazatelů pro sledování pokroku při plnění cílů unie kapitálových trhů“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>. Tento seznam ukazatelů bude upraven tak, aby zahrnoval i účast retailových investorů na kapitálových trzích, a poté bude využíván k pravidelnému sledování pokroku při plnění celkových cílů unie úspor a investic. Členské státy se zavázaly, že budou prostřednictvím FSC a EWG provádět strukturované monitorování pokroku v oblasti UKT. Konkrétně se členské státy vyzývají, aby podávaly zprávy o všech opatřeních zaměřených na vytváření spořicích a investičních účtů, které jsou spojeny s různými doprovodnými pobídkami k investování</w:t>
            </w:r>
            <w:r>
              <w:t xml:space="preserve"> </w:t>
            </w:r>
            <w:r>
              <w:rPr>
                <w:rFonts w:ascii="Arial" w:hAnsi="Arial"/>
                <w:color w:val="1036A0"/>
                <w:sz w:val="20"/>
              </w:rPr>
              <w:t>a aby se podělily o dopad a úlohu, které tyto pobídky měly.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0000FF"/>
          </w:tcPr>
          <w:p w:rsidR="0009231D" w:rsidRPr="00B75817" w:rsidP="00353BF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highlight w:val="blue"/>
              </w:rPr>
              <w:t>C. Zlepšování právní úpravy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B312B7" w:rsidRPr="00B75817" w:rsidP="0089398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Posouzení dopadů </w:t>
            </w:r>
            <w:r>
              <w:rPr>
                <w:rFonts w:ascii="Arial" w:hAnsi="Arial"/>
                <w:b/>
                <w:color w:val="FF0000"/>
                <w:sz w:val="20"/>
              </w:rPr>
              <w:t>[max. 10 řádků]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DD250A" w:rsidRPr="00B75817" w:rsidP="00373A7B">
            <w:pPr>
              <w:spacing w:before="120" w:after="120"/>
              <w:jc w:val="both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Protože navrhované doporučení Komise neukládá členským státům právní povinnosti, ale poskytuje pokyny, jak umožnit větší účast retailových investorů na kapitálových trzích, posouzení dopadů se nevyžaduje.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B312B7" w:rsidRPr="00B75817" w:rsidP="00BF556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Konzultační strategie </w:t>
            </w:r>
            <w:r>
              <w:rPr>
                <w:rFonts w:ascii="Arial" w:hAnsi="Arial"/>
                <w:b/>
                <w:color w:val="FF0000"/>
                <w:sz w:val="20"/>
              </w:rPr>
              <w:t>[max. 10 řádků]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373A7B" w:rsidRPr="006C5B0B" w:rsidP="006C5B0B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Zúčastněné strany se vyzývají, aby se vyjádřily k charakteristikám spořicích a investičních účtů, jakož i k možným výhodám a nevýhodám konkrétních charakteristik, jako je:</w:t>
            </w:r>
          </w:p>
          <w:p w:rsidR="00A91E5D" w:rsidRPr="005D314A" w:rsidP="00A91E5D">
            <w:pPr>
              <w:pStyle w:val="ListParagraph"/>
              <w:numPr>
                <w:ilvl w:val="0"/>
                <w:numId w:val="12"/>
              </w:numPr>
              <w:spacing w:before="120" w:after="120"/>
              <w:ind w:left="714" w:hanging="357"/>
              <w:contextualSpacing w:val="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možnost přístupu k široké škále produktů prostřednictvím účtu,</w:t>
            </w:r>
          </w:p>
          <w:p w:rsidR="00392801" w:rsidRPr="00392801" w:rsidP="006A5C4E">
            <w:pPr>
              <w:pStyle w:val="ListParagraph"/>
              <w:numPr>
                <w:ilvl w:val="0"/>
                <w:numId w:val="12"/>
              </w:numPr>
              <w:spacing w:before="120" w:after="120"/>
              <w:ind w:left="714" w:hanging="357"/>
              <w:contextualSpacing w:val="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vhodnost produktů, ke kterým lze přistupovat prostřednictvím spořicího a investičního účtu,</w:t>
            </w:r>
          </w:p>
          <w:p w:rsidR="00876766" w:rsidRPr="005D314A" w:rsidP="006A5C4E">
            <w:pPr>
              <w:pStyle w:val="ListParagraph"/>
              <w:numPr>
                <w:ilvl w:val="0"/>
                <w:numId w:val="12"/>
              </w:numPr>
              <w:spacing w:before="120" w:after="120"/>
              <w:ind w:left="714" w:hanging="357"/>
              <w:contextualSpacing w:val="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snadný přístup k účtům a investicím, a to i digitálními prostředky,</w:t>
            </w:r>
          </w:p>
          <w:p w:rsidR="00876766" w:rsidP="006A5C4E">
            <w:pPr>
              <w:pStyle w:val="ListParagraph"/>
              <w:numPr>
                <w:ilvl w:val="0"/>
                <w:numId w:val="12"/>
              </w:numPr>
              <w:spacing w:before="120" w:after="120"/>
              <w:ind w:left="714" w:hanging="357"/>
              <w:contextualSpacing w:val="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snadná a cenově dostupná přenositelnost účtu k jiným poskytovatelům,</w:t>
            </w:r>
          </w:p>
          <w:p w:rsidR="5BBEA2B9" w:rsidP="0075490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714" w:hanging="357"/>
              <w:contextualSpacing w:val="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předběžné podmínky pro poskytování spořicích a investičních účtů rezidentům v jiných členských státech a omezení této možnosti s cílem podpořit hospodářskou soutěž a celoevropské investice,</w:t>
            </w:r>
          </w:p>
          <w:p w:rsidR="004B0D9F" w:rsidP="006A5C4E">
            <w:pPr>
              <w:pStyle w:val="ListParagraph"/>
              <w:numPr>
                <w:ilvl w:val="0"/>
                <w:numId w:val="12"/>
              </w:numPr>
              <w:spacing w:before="120" w:after="120"/>
              <w:ind w:left="714" w:hanging="357"/>
              <w:contextualSpacing w:val="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daňová zjednodušení a daňové výhody, které mají být účtům poskytnuty,</w:t>
            </w:r>
          </w:p>
          <w:p w:rsidR="00AF2B4B" w:rsidP="3ED9E96C">
            <w:pPr>
              <w:pStyle w:val="ListParagraph"/>
              <w:numPr>
                <w:ilvl w:val="0"/>
                <w:numId w:val="12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jakékoli další pobídky/podněty k založení spořicího a investičního účtu. </w:t>
            </w:r>
          </w:p>
          <w:p w:rsidR="000C0825" w:rsidRPr="00B75817" w:rsidP="00ED0444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K této výzvě k předložení faktických podkladů je možné poskytovat zpětnou vazbu po dobu 4 týdnů. Příspěvky můžete zaslat na portálu </w:t>
            </w:r>
            <w:r>
              <w:fldChar w:fldCharType="begin"/>
            </w:r>
            <w:r>
              <w:instrText xml:space="preserve"> HYPERLINK "https://ec.europa.eu/info/law/better-regulation/have-your-say_cs" </w:instrText>
            </w:r>
            <w:r>
              <w:fldChar w:fldCharType="separate"/>
            </w:r>
            <w:r>
              <w:rPr>
                <w:rStyle w:val="Hyperlink"/>
                <w:rFonts w:ascii="Arial" w:hAnsi="Arial"/>
                <w:sz w:val="20"/>
              </w:rPr>
              <w:t>Podělte se o svůj názor</w:t>
            </w:r>
            <w:r>
              <w:fldChar w:fldCharType="end"/>
            </w:r>
            <w:r>
              <w:rPr>
                <w:rFonts w:ascii="Arial" w:hAnsi="Arial"/>
                <w:color w:val="1036A0"/>
                <w:sz w:val="20"/>
              </w:rPr>
              <w:t>, a to v kterémkoli z 24 úředních jazyků EU.</w:t>
            </w:r>
          </w:p>
          <w:p w:rsidR="00BF7303" w:rsidRPr="00876766" w:rsidP="00876766">
            <w:pPr>
              <w:spacing w:before="120" w:after="120"/>
              <w:jc w:val="both"/>
              <w:rPr>
                <w:rFonts w:ascii="Arial" w:hAnsi="Arial" w:cs="Arial"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 xml:space="preserve">Příspěvky zúčastněných stran k této výzvě k předložení faktických podkladů Komise </w:t>
            </w:r>
            <w:r>
              <w:rPr>
                <w:rFonts w:ascii="Arial" w:hAnsi="Arial"/>
                <w:color w:val="1036A0"/>
                <w:sz w:val="20"/>
              </w:rPr>
              <w:t>zváží</w:t>
            </w:r>
            <w:r>
              <w:rPr>
                <w:rFonts w:ascii="Arial" w:hAnsi="Arial"/>
                <w:color w:val="1036A0"/>
                <w:sz w:val="20"/>
              </w:rPr>
              <w:t xml:space="preserve"> při přípravě uvedeného doporučení.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312B7" w:rsidRPr="00685E01" w:rsidP="00B312B7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Proč se konzultace koná?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011CEA" w:rsidRPr="00685E01" w:rsidP="008F4404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Komise chce získat podněty, které mohou pomoci při tvorbě budoucích opatření, přičemž příspěvky zúčastněných stran k této výzvě k předložení faktických podkladů pak zohlední při přípravě daného doporučení. Komise konkrétně usiluje o získání zpětné vazby ohledně prvků, které by mohly ze spořicích a investičních účtů učinit snadné a pohodlné vstupní místo na kapitálové trhy pro retailové investory, kteří chtějí využít své úspory k investicím, a které by podpořily hospodářskou soutěž mezi poskytovateli těchto účtů.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312B7" w:rsidRPr="00685E01" w:rsidP="00B312B7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Cílová skupina</w:t>
            </w:r>
          </w:p>
        </w:tc>
      </w:tr>
      <w:tr w:rsidTr="378EBC0E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B312B7" w:rsidRPr="00685E01" w:rsidP="008F4404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color w:val="1036A0"/>
                <w:sz w:val="20"/>
              </w:rPr>
              <w:t>Hlavními zúčastněnými stranami jsou: občanská společnost, spotřebitelé a organizace spotřebitelů, sociální partneři, podniky, včetně malých a středních, finanční zprostředkovatelé, poskytovatelé finančních služeb, účastníci a infrastruktury finančního trhu a organizace, které je zastupují, evropské a vnitrostátní orgány.</w:t>
            </w:r>
          </w:p>
        </w:tc>
      </w:tr>
    </w:tbl>
    <w:p w:rsidR="009E6661" w:rsidRPr="00685E01" w:rsidP="004B7E6F">
      <w:pPr>
        <w:rPr>
          <w:rFonts w:ascii="Arial" w:hAnsi="Arial" w:cs="Arial"/>
          <w:sz w:val="20"/>
          <w:szCs w:val="20"/>
        </w:rPr>
      </w:pPr>
    </w:p>
    <w:sectPr w:rsidSect="00C9010B">
      <w:footerReference w:type="even" r:id="rId16"/>
      <w:footerReference w:type="default" r:id="rId17"/>
      <w:headerReference w:type="first" r:id="rId18"/>
      <w:type w:val="continuous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P="00D92C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35A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tab/>
    </w:r>
    <w:r>
      <w:tab/>
    </w:r>
  </w:p>
  <w:p w:rsidR="00035A3D" w:rsidRPr="002B4E61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tab/>
    </w:r>
    <w:r>
      <w:tab/>
    </w:r>
    <w:r>
      <w:tab/>
    </w:r>
    <w:r>
      <w:rPr>
        <w:rStyle w:val="PageNumber"/>
        <w:rFonts w:ascii="Arial" w:hAnsi="Arial"/>
        <w:sz w:val="16"/>
      </w:rPr>
      <w:t xml:space="preserve">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sz w:val="16"/>
      </w:rPr>
      <w:t>3</w:t>
    </w:r>
    <w:r>
      <w:rPr>
        <w:rStyle w:val="PageNumber"/>
        <w:rFonts w:ascii="Arial" w:hAnsi="Arial"/>
        <w:sz w:val="16"/>
      </w:rPr>
      <w:fldChar w:fldCharType="end"/>
    </w:r>
  </w:p>
  <w:p w:rsidR="00035A3D" w:rsidRPr="002B4E61">
    <w:pPr>
      <w:pStyle w:val="Foo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C4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P="00D92C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35A3D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tab/>
    </w:r>
    <w:r>
      <w:tab/>
    </w:r>
  </w:p>
  <w:p w:rsidR="00035A3D" w:rsidRPr="002B4E61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tab/>
    </w:r>
    <w:r>
      <w:tab/>
    </w:r>
    <w:r>
      <w:tab/>
    </w:r>
    <w:r>
      <w:rPr>
        <w:rStyle w:val="PageNumber"/>
        <w:rFonts w:ascii="Arial" w:hAnsi="Arial"/>
        <w:sz w:val="16"/>
      </w:rPr>
      <w:t xml:space="preserve">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</w:p>
  <w:p w:rsidR="00035A3D" w:rsidRPr="002B4E61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544DB">
      <w:r>
        <w:separator/>
      </w:r>
    </w:p>
  </w:footnote>
  <w:footnote w:type="continuationSeparator" w:id="1">
    <w:p w:rsidR="000544DB">
      <w:r>
        <w:continuationSeparator/>
      </w:r>
    </w:p>
  </w:footnote>
  <w:footnote w:type="continuationNotice" w:id="2">
    <w:p w:rsidR="000544DB"/>
  </w:footnote>
  <w:footnote w:id="3">
    <w:p w:rsidR="002B2DA2" w:rsidRPr="00754901">
      <w:pPr>
        <w:pStyle w:val="FootnoteText"/>
      </w:pPr>
      <w:r>
        <w:rPr>
          <w:rStyle w:val="FootnoteReference"/>
        </w:rPr>
        <w:footnoteRef/>
      </w:r>
      <w:r>
        <w:t xml:space="preserve"> Evropská centrální banka, „</w:t>
      </w:r>
      <w:r>
        <w:t>Follow</w:t>
      </w:r>
      <w:r>
        <w:t xml:space="preserve"> </w:t>
      </w:r>
      <w:r>
        <w:t>the</w:t>
      </w:r>
      <w:r>
        <w:t xml:space="preserve"> </w:t>
      </w:r>
      <w:r>
        <w:t>money</w:t>
      </w:r>
      <w:r>
        <w:t xml:space="preserve">: </w:t>
      </w:r>
      <w:r>
        <w:t>channelling</w:t>
      </w:r>
      <w:r>
        <w:t xml:space="preserve"> </w:t>
      </w:r>
      <w:r>
        <w:t>savings</w:t>
      </w:r>
      <w:r>
        <w:t xml:space="preserve"> </w:t>
      </w:r>
      <w:r>
        <w:t>into</w:t>
      </w:r>
      <w:r>
        <w:t xml:space="preserve"> investment and innovation in Europe (Sledovat peníze: směrování úspor do investic a inovací v Evropě), projev Christine Lagardeové, prezidentky Evropské centrální banky, 22. listopadu 2024.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C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C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P="00E72EF2">
    <w:pPr>
      <w:pStyle w:val="Header"/>
      <w:jc w:val="center"/>
    </w:pPr>
    <w:r w:rsidRPr="00D3375E">
      <w:rPr>
        <w:noProof/>
      </w:rPr>
      <w:t xml:space="preserve"> </w:t>
    </w:r>
    <w:r w:rsidRPr="00D3375E">
      <w:drawing>
        <wp:inline distT="0" distB="0" distL="0" distR="0">
          <wp:extent cx="1657192" cy="500324"/>
          <wp:effectExtent l="0" t="0" r="635" b="0"/>
          <wp:docPr id="1697939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93903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31021" cy="522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P="00E72EF2">
    <w:pPr>
      <w:pStyle w:val="Header"/>
      <w:jc w:val="center"/>
    </w:pPr>
    <w:r>
      <w:rPr>
        <w:rFonts w:ascii="Arial" w:hAnsi="Arial"/>
        <w:noProof/>
      </w:rPr>
      <w:drawing>
        <wp:inline distT="0" distB="0" distL="0" distR="0">
          <wp:extent cx="1908175" cy="508635"/>
          <wp:effectExtent l="0" t="0" r="0" b="5715"/>
          <wp:docPr id="2" name="Picture 2" descr="logo-ce-horizontal-en-quadri-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ce-horizontal-en-quadri-l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63BD0"/>
    <w:multiLevelType w:val="hybridMultilevel"/>
    <w:tmpl w:val="D60C47D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3">
    <w:nsid w:val="05274C54"/>
    <w:multiLevelType w:val="hybridMultilevel"/>
    <w:tmpl w:val="D004C9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>
    <w:nsid w:val="069F23F8"/>
    <w:multiLevelType w:val="multilevel"/>
    <w:tmpl w:val="571E7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0F2DB7"/>
    <w:multiLevelType w:val="hybridMultilevel"/>
    <w:tmpl w:val="4198B356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87F45"/>
    <w:multiLevelType w:val="hybridMultilevel"/>
    <w:tmpl w:val="A2BA4A4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>
    <w:nsid w:val="1E265C8F"/>
    <w:multiLevelType w:val="multilevel"/>
    <w:tmpl w:val="569AD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1437F7"/>
    <w:multiLevelType w:val="hybridMultilevel"/>
    <w:tmpl w:val="A530B5BE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9">
    <w:nsid w:val="293049AA"/>
    <w:multiLevelType w:val="hybridMultilevel"/>
    <w:tmpl w:val="922885AC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0">
    <w:nsid w:val="2D4D22EC"/>
    <w:multiLevelType w:val="hybridMultilevel"/>
    <w:tmpl w:val="C59A3C2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>
    <w:nsid w:val="323144FB"/>
    <w:multiLevelType w:val="hybridMultilevel"/>
    <w:tmpl w:val="466036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6F288B"/>
    <w:multiLevelType w:val="multilevel"/>
    <w:tmpl w:val="19E85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5E6935"/>
    <w:multiLevelType w:val="hybridMultilevel"/>
    <w:tmpl w:val="08E6D7DA"/>
    <w:lvl w:ilvl="0">
      <w:start w:val="1"/>
      <w:numFmt w:val="bullet"/>
      <w:lvlText w:val="-"/>
      <w:lvlJc w:val="left"/>
      <w:pPr>
        <w:ind w:left="415" w:hanging="360"/>
      </w:pPr>
      <w:rPr>
        <w:rFonts w:ascii="Calibri" w:eastAsia="Calibri" w:hAnsi="Calibri" w:cs="Calibri" w:hint="default"/>
        <w:b/>
      </w:rPr>
    </w:lvl>
    <w:lvl w:ilvl="1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4">
    <w:nsid w:val="62731053"/>
    <w:multiLevelType w:val="hybridMultilevel"/>
    <w:tmpl w:val="C2A47E2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>
    <w:nsid w:val="6A6901C1"/>
    <w:multiLevelType w:val="singleLevel"/>
    <w:tmpl w:val="208841AE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6">
    <w:nsid w:val="6D2B5511"/>
    <w:multiLevelType w:val="singleLevel"/>
    <w:tmpl w:val="74A09970"/>
    <w:name w:val="List Bullet 1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7">
    <w:nsid w:val="6D5C27CC"/>
    <w:multiLevelType w:val="hybridMultilevel"/>
    <w:tmpl w:val="097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>
    <w:nsid w:val="6D7B58CE"/>
    <w:multiLevelType w:val="hybridMultilevel"/>
    <w:tmpl w:val="55143764"/>
    <w:lvl w:ilvl="0">
      <w:start w:val="1"/>
      <w:numFmt w:val="bullet"/>
      <w:pStyle w:val="ListDash4"/>
      <w:lvlText w:val="–"/>
      <w:lvlJc w:val="left"/>
      <w:pPr>
        <w:tabs>
          <w:tab w:val="num" w:pos="1287"/>
        </w:tabs>
        <w:ind w:left="1287" w:hanging="283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-"/>
      <w:lvlJc w:val="left"/>
      <w:pPr>
        <w:ind w:left="1593" w:hanging="360"/>
      </w:pPr>
      <w:rPr>
        <w:rFonts w:ascii="Times" w:eastAsia="Times New Roman" w:hAnsi="Time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9">
    <w:nsid w:val="70E73111"/>
    <w:multiLevelType w:val="hybridMultilevel"/>
    <w:tmpl w:val="138C3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04DE4"/>
    <w:multiLevelType w:val="hybridMultilevel"/>
    <w:tmpl w:val="C596A19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7"/>
  </w:num>
  <w:num w:numId="5">
    <w:abstractNumId w:val="12"/>
  </w:num>
  <w:num w:numId="6">
    <w:abstractNumId w:val="4"/>
  </w:num>
  <w:num w:numId="7">
    <w:abstractNumId w:val="17"/>
  </w:num>
  <w:num w:numId="8">
    <w:abstractNumId w:val="11"/>
  </w:num>
  <w:num w:numId="9">
    <w:abstractNumId w:val="13"/>
  </w:num>
  <w:num w:numId="10">
    <w:abstractNumId w:val="19"/>
  </w:num>
  <w:num w:numId="11">
    <w:abstractNumId w:val="8"/>
  </w:num>
  <w:num w:numId="12">
    <w:abstractNumId w:val="5"/>
  </w:num>
  <w:num w:numId="13">
    <w:abstractNumId w:val="2"/>
  </w:num>
  <w:num w:numId="14">
    <w:abstractNumId w:val="9"/>
  </w:num>
  <w:num w:numId="15">
    <w:abstractNumId w:val="3"/>
  </w:num>
  <w:num w:numId="16">
    <w:abstractNumId w:val="20"/>
  </w:num>
  <w:num w:numId="17">
    <w:abstractNumId w:val="6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ocumentProtection w:edit="forms" w:enforcement="0"/>
  <w:defaultTabStop w:val="720"/>
  <w:hyphenationZone w:val="425"/>
  <w:doNotShadeFormData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07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6661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sid w:val="009E6661"/>
    <w:pPr>
      <w:spacing w:after="240"/>
      <w:ind w:left="357" w:hanging="357"/>
      <w:jc w:val="both"/>
    </w:pPr>
    <w:rPr>
      <w:sz w:val="20"/>
      <w:szCs w:val="20"/>
    </w:rPr>
  </w:style>
  <w:style w:type="character" w:styleId="FootnoteReference">
    <w:name w:val="footnote reference"/>
    <w:aliases w:val=" BVI fnr,BVI fnr,Footnote Reference Superscript,Footnote symbol"/>
    <w:semiHidden/>
    <w:rsid w:val="009E6661"/>
    <w:rPr>
      <w:vertAlign w:val="superscript"/>
    </w:rPr>
  </w:style>
  <w:style w:type="character" w:customStyle="1" w:styleId="FootnoteTextChar">
    <w:name w:val="Footnote Text Char"/>
    <w:link w:val="FootnoteText"/>
    <w:rsid w:val="009E6661"/>
    <w:rPr>
      <w:lang w:val="cs-CZ" w:eastAsia="en-GB" w:bidi="ar-SA"/>
    </w:rPr>
  </w:style>
  <w:style w:type="paragraph" w:styleId="ListBullet">
    <w:name w:val="List Bullet"/>
    <w:basedOn w:val="Normal"/>
    <w:rsid w:val="009E6661"/>
    <w:pPr>
      <w:numPr>
        <w:numId w:val="1"/>
      </w:numPr>
      <w:spacing w:before="120" w:after="120"/>
      <w:jc w:val="both"/>
    </w:pPr>
    <w:rPr>
      <w:lang w:eastAsia="de-DE"/>
    </w:rPr>
  </w:style>
  <w:style w:type="paragraph" w:customStyle="1" w:styleId="Text1">
    <w:name w:val="Text 1"/>
    <w:basedOn w:val="Normal"/>
    <w:rsid w:val="009E6661"/>
    <w:pPr>
      <w:spacing w:before="120" w:after="120"/>
      <w:ind w:left="850"/>
      <w:jc w:val="both"/>
    </w:pPr>
    <w:rPr>
      <w:lang w:eastAsia="en-US"/>
    </w:rPr>
  </w:style>
  <w:style w:type="character" w:styleId="Emphasis">
    <w:name w:val="Emphasis"/>
    <w:qFormat/>
    <w:rsid w:val="009E6661"/>
    <w:rPr>
      <w:b/>
      <w:bCs/>
      <w:i w:val="0"/>
      <w:iCs w:val="0"/>
    </w:rPr>
  </w:style>
  <w:style w:type="paragraph" w:customStyle="1" w:styleId="ListBullet1">
    <w:name w:val="List Bullet 1"/>
    <w:basedOn w:val="Normal"/>
    <w:rsid w:val="009E6661"/>
    <w:pPr>
      <w:numPr>
        <w:numId w:val="2"/>
      </w:numPr>
      <w:spacing w:before="120" w:after="120"/>
      <w:jc w:val="both"/>
    </w:pPr>
    <w:rPr>
      <w:lang w:eastAsia="de-DE"/>
    </w:rPr>
  </w:style>
  <w:style w:type="character" w:customStyle="1" w:styleId="at31">
    <w:name w:val="a__t31"/>
    <w:rsid w:val="009E6661"/>
    <w:rPr>
      <w:b/>
      <w:bCs/>
    </w:rPr>
  </w:style>
  <w:style w:type="paragraph" w:styleId="NormalWeb">
    <w:name w:val="Normal (Web)"/>
    <w:basedOn w:val="Normal"/>
    <w:link w:val="NormalWebChar"/>
    <w:rsid w:val="00D03063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rsid w:val="00D03063"/>
    <w:rPr>
      <w:sz w:val="24"/>
      <w:szCs w:val="24"/>
      <w:lang w:val="cs-CZ" w:eastAsia="en-GB" w:bidi="ar-SA"/>
    </w:rPr>
  </w:style>
  <w:style w:type="paragraph" w:customStyle="1" w:styleId="ListDash4">
    <w:name w:val="List Dash 4"/>
    <w:basedOn w:val="Normal"/>
    <w:rsid w:val="00D03063"/>
    <w:pPr>
      <w:numPr>
        <w:numId w:val="3"/>
      </w:numPr>
    </w:pPr>
  </w:style>
  <w:style w:type="paragraph" w:styleId="Footer">
    <w:name w:val="footer"/>
    <w:basedOn w:val="Normal"/>
    <w:rsid w:val="00B0795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07956"/>
  </w:style>
  <w:style w:type="paragraph" w:styleId="BalloonText">
    <w:name w:val="Balloon Text"/>
    <w:basedOn w:val="Normal"/>
    <w:semiHidden/>
    <w:rsid w:val="0099112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54F3"/>
    <w:rPr>
      <w:color w:val="0000FF"/>
      <w:u w:val="single"/>
    </w:rPr>
  </w:style>
  <w:style w:type="character" w:styleId="CommentReference">
    <w:name w:val="annotation reference"/>
    <w:rsid w:val="000E13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1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132C"/>
  </w:style>
  <w:style w:type="paragraph" w:styleId="CommentSubject">
    <w:name w:val="annotation subject"/>
    <w:basedOn w:val="CommentText"/>
    <w:next w:val="CommentText"/>
    <w:link w:val="CommentSubjectChar"/>
    <w:rsid w:val="000E132C"/>
    <w:rPr>
      <w:b/>
      <w:bCs/>
    </w:rPr>
  </w:style>
  <w:style w:type="character" w:customStyle="1" w:styleId="CommentSubjectChar">
    <w:name w:val="Comment Subject Char"/>
    <w:link w:val="CommentSubject"/>
    <w:rsid w:val="000E132C"/>
    <w:rPr>
      <w:b/>
      <w:bCs/>
    </w:rPr>
  </w:style>
  <w:style w:type="paragraph" w:customStyle="1" w:styleId="ListDash1">
    <w:name w:val="List Dash 1"/>
    <w:basedOn w:val="Normal"/>
    <w:qFormat/>
    <w:rsid w:val="00FA069C"/>
    <w:pPr>
      <w:tabs>
        <w:tab w:val="num" w:pos="567"/>
      </w:tabs>
      <w:ind w:left="568" w:hanging="284"/>
    </w:pPr>
  </w:style>
  <w:style w:type="paragraph" w:styleId="ListParagraph">
    <w:name w:val="List Paragraph"/>
    <w:basedOn w:val="Normal"/>
    <w:uiPriority w:val="34"/>
    <w:qFormat/>
    <w:rsid w:val="001C7D0F"/>
    <w:pPr>
      <w:ind w:left="720"/>
      <w:contextualSpacing/>
    </w:pPr>
  </w:style>
  <w:style w:type="character" w:styleId="FollowedHyperlink">
    <w:name w:val="FollowedHyperlink"/>
    <w:basedOn w:val="DefaultParagraphFont"/>
    <w:rsid w:val="00454F2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10C61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7B2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64089"/>
    <w:pPr>
      <w:spacing w:before="100" w:beforeAutospacing="1" w:after="100" w:afterAutospacing="1"/>
    </w:pPr>
    <w:rPr>
      <w:lang w:eastAsia="en-IE"/>
    </w:rPr>
  </w:style>
  <w:style w:type="character" w:customStyle="1" w:styleId="normaltextrun">
    <w:name w:val="normaltextrun"/>
    <w:basedOn w:val="DefaultParagraphFont"/>
    <w:rsid w:val="00964089"/>
  </w:style>
  <w:style w:type="character" w:customStyle="1" w:styleId="eop">
    <w:name w:val="eop"/>
    <w:basedOn w:val="DefaultParagraphFont"/>
    <w:rsid w:val="00964089"/>
  </w:style>
  <w:style w:type="character" w:customStyle="1" w:styleId="Mention">
    <w:name w:val="Mention"/>
    <w:basedOn w:val="DefaultParagraphFont"/>
    <w:uiPriority w:val="99"/>
    <w:unhideWhenUsed/>
    <w:rsid w:val="00586F8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header" Target="header4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92E8ADFE8694CB47A0ED9AF0A856A" ma:contentTypeVersion="18" ma:contentTypeDescription="Create a new document." ma:contentTypeScope="" ma:versionID="ba6eef32f44f5a0df91b5240ddde4448">
  <xsd:schema xmlns:xsd="http://www.w3.org/2001/XMLSchema" xmlns:xs="http://www.w3.org/2001/XMLSchema" xmlns:p="http://schemas.microsoft.com/office/2006/metadata/properties" xmlns:ns2="215c848a-c450-4216-b5d7-67c0a3e5a4cf" xmlns:ns3="3261c53a-6e59-4cbd-82f8-37d575d39092" targetNamespace="http://schemas.microsoft.com/office/2006/metadata/properties" ma:root="true" ma:fieldsID="68dbdf11d7b41a26705aa0457d1110d6" ns2:_="" ns3:_="">
    <xsd:import namespace="215c848a-c450-4216-b5d7-67c0a3e5a4cf"/>
    <xsd:import namespace="3261c53a-6e59-4cbd-82f8-37d575d39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picoftheBriefing" minOccurs="0"/>
                <xsd:element ref="ns2:f539539ddf914311a83570e1b5ff7d6b" minOccurs="0"/>
                <xsd:element ref="ns2:TypeofDocument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c848a-c450-4216-b5d7-67c0a3e5a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TopicoftheBriefing" ma:index="21" nillable="true" ma:displayName="Topic of the Briefing" ma:format="Dropdown" ma:internalName="TopicoftheBriefing">
      <xsd:simpleType>
        <xsd:restriction base="dms:Text">
          <xsd:maxLength value="255"/>
        </xsd:restriction>
      </xsd:simpleType>
    </xsd:element>
    <xsd:element name="f539539ddf914311a83570e1b5ff7d6b" ma:index="23" nillable="true" ma:taxonomy="true" ma:internalName="f539539ddf914311a83570e1b5ff7d6b" ma:taxonomyFieldName="Tags" ma:displayName="Tags" ma:default="" ma:fieldId="{f539539d-df91-4311-a835-70e1b5ff7d6b}" ma:taxonomyMulti="true" ma:sspId="22b2fad6-9d2c-441c-a321-3f5f1e9bd928" ma:termSetId="5e40e955-c7f5-409e-a439-acd3f9e5de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ypeofDocument" ma:index="24" nillable="true" ma:displayName="Type of Document" ma:format="Dropdown" ma:internalName="TypeofDocument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1c53a-6e59-4cbd-82f8-37d575d39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2ac5839-77cf-4fbe-965e-768f513ba6fa}" ma:internalName="TaxCatchAll" ma:showField="CatchAllData" ma:web="3261c53a-6e59-4cbd-82f8-37d575d39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61c53a-6e59-4cbd-82f8-37d575d39092" xsi:nil="true"/>
    <_Flow_SignoffStatus xmlns="215c848a-c450-4216-b5d7-67c0a3e5a4cf" xsi:nil="true"/>
    <f539539ddf914311a83570e1b5ff7d6b xmlns="215c848a-c450-4216-b5d7-67c0a3e5a4cf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f539539ddf914311a83570e1b5ff7d6b>
    <lcf76f155ced4ddcb4097134ff3c332f xmlns="215c848a-c450-4216-b5d7-67c0a3e5a4cf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opicoftheBriefing xmlns="215c848a-c450-4216-b5d7-67c0a3e5a4cf" xsi:nil="true"/>
    <TypeofDocument xmlns="215c848a-c450-4216-b5d7-67c0a3e5a4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7E1D4-DC19-4CFF-A66F-6CB142103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c848a-c450-4216-b5d7-67c0a3e5a4cf"/>
    <ds:schemaRef ds:uri="3261c53a-6e59-4cbd-82f8-37d575d39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DF71C-59A8-4C6F-A3C1-8CF867750A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90E075D-50DD-4480-AB21-5F67266CBE93}">
  <ds:schemaRefs>
    <ds:schemaRef ds:uri="http://schemas.microsoft.com/office/2006/metadata/properties"/>
    <ds:schemaRef ds:uri="http://schemas.microsoft.com/office/infopath/2007/PartnerControls"/>
    <ds:schemaRef ds:uri="3261c53a-6e59-4cbd-82f8-37d575d39092"/>
    <ds:schemaRef ds:uri="215c848a-c450-4216-b5d7-67c0a3e5a4cf"/>
  </ds:schemaRefs>
</ds:datastoreItem>
</file>

<file path=customXml/itemProps4.xml><?xml version="1.0" encoding="utf-8"?>
<ds:datastoreItem xmlns:ds="http://schemas.openxmlformats.org/officeDocument/2006/customXml" ds:itemID="{BF5AF9AB-654D-441C-8920-62C7EFD01A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19C7C2-FFD0-42A3-8379-592EFD88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