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E72EF2" w:rsidRPr="00E828C0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7"/>
        <w:gridCol w:w="7381"/>
      </w:tblGrid>
      <w:tr w:rsidTr="75A72DDE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7D6F93" w:rsidRPr="00E828C0" w:rsidP="0082452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VÝZVA K PŘEDLOŽENÍ FAKTICKÝCH PODKLADŮ</w:t>
            </w:r>
          </w:p>
          <w:p w:rsidR="009E6661" w:rsidRPr="00E828C0" w:rsidP="00B312B7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</w:rPr>
              <w:t xml:space="preserve">PRO INICIATIVU </w:t>
            </w:r>
            <w:r>
              <w:rPr>
                <w:rFonts w:ascii="Arial" w:hAnsi="Arial"/>
                <w:b/>
                <w:color w:val="FFFFFF" w:themeColor="background1"/>
                <w:sz w:val="28"/>
              </w:rPr>
              <w:t>(bez posouzení dopadů)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96B28" w:rsidRPr="00E828C0" w:rsidP="75A72DDE">
            <w:pPr>
              <w:spacing w:before="60" w:after="120"/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E828C0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Název iniciativy</w:t>
            </w:r>
          </w:p>
        </w:tc>
        <w:tc>
          <w:tcPr>
            <w:tcW w:w="7381" w:type="dxa"/>
            <w:shd w:val="clear" w:color="auto" w:fill="auto"/>
          </w:tcPr>
          <w:p w:rsidR="0075560F" w:rsidRPr="00E828C0" w:rsidP="70E062F2">
            <w:pPr>
              <w:spacing w:before="60" w:after="120" w:line="259" w:lineRule="auto"/>
              <w:jc w:val="both"/>
            </w:pPr>
            <w:r>
              <w:rPr>
                <w:rFonts w:ascii="Arial" w:hAnsi="Arial"/>
                <w:color w:val="000080"/>
                <w:sz w:val="20"/>
              </w:rPr>
              <w:t>Evropská strategie vnitřní bezpečnosti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7210" w:rsidRPr="00E828C0" w:rsidP="008B4A52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Příslušné GŘ – odpovědné oddělení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10" w:rsidRPr="00E828C0" w:rsidP="00106A9A">
            <w:pPr>
              <w:spacing w:before="60" w:after="6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GŘ HOME.D5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3AEF" w:rsidRPr="00E828C0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Pravděpodobný druh iniciativy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EF" w:rsidRPr="00E828C0" w:rsidP="427C7746">
            <w:pPr>
              <w:spacing w:before="60" w:after="60" w:line="259" w:lineRule="auto"/>
              <w:jc w:val="both"/>
            </w:pPr>
            <w:r>
              <w:rPr>
                <w:rFonts w:ascii="Arial" w:hAnsi="Arial"/>
                <w:color w:val="000080"/>
                <w:sz w:val="20"/>
              </w:rPr>
              <w:t>Sdělení Komise Evropskému parlamentu a Radě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2DFF" w:rsidRPr="00E828C0" w:rsidP="0066565B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Předběžný harmonogram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DFF" w:rsidRPr="00E828C0" w:rsidP="427C7746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1. čtvrtletí 2025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5042" w:rsidRPr="00E828C0" w:rsidP="00224B13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Další informace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42" w:rsidRPr="00E828C0" w:rsidP="427C7746">
            <w:pPr>
              <w:spacing w:before="120" w:after="120" w:line="259" w:lineRule="auto"/>
              <w:jc w:val="both"/>
            </w:pPr>
            <w:r>
              <w:rPr>
                <w:rFonts w:ascii="Arial" w:hAnsi="Arial"/>
                <w:color w:val="000080"/>
                <w:sz w:val="20"/>
              </w:rPr>
              <w:t>–</w:t>
            </w:r>
          </w:p>
        </w:tc>
      </w:tr>
      <w:tr w:rsidTr="75A72DDE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6C0F" w:rsidRPr="00E828C0" w:rsidP="05533326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i/>
                <w:color w:val="FF0000"/>
                <w:sz w:val="18"/>
              </w:rPr>
              <w:t>Tento dokument slouží pouze k informačním účelům. Nepředjímá konečné rozhodnutí Komise o tom, zda tato iniciativa bude pokračovat, ani o jejím konečném obsahu. Všechny prvky iniciativy popsané v tomto dokumentu, včetně harmonogramu, se mohou změnit.</w:t>
            </w:r>
          </w:p>
        </w:tc>
      </w:tr>
    </w:tbl>
    <w:p w:rsidR="00BA33B7" w:rsidRPr="00E828C0">
      <w:pPr>
        <w:rPr>
          <w:sz w:val="20"/>
          <w:szCs w:val="20"/>
        </w:rPr>
        <w:sectPr w:rsidSect="00E72E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A33B7" w:rsidRPr="00E828C0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Tr="1F9B4539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9E6661" w:rsidRPr="00E828C0" w:rsidP="00AB4B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A. Politické souvislosti, vymezení problému a kontrola subsidiarity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E828C0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Politické souvislosti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534611" w:rsidRPr="00E828C0" w:rsidP="003944C8">
            <w:pPr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DE3376" w:rsidRPr="00E828C0" w:rsidP="003944C8">
            <w:pPr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Desetiletí spolupráce a integrace vytvořila silnou EU se svobodnou, otevřenou a demokratickou společností založenou na zásadách právního státu a prosperujícím jednotném trhu EU. Evropa však dnes čelí novým a naléhavým geopolitickým výzvám a celé řadě bezpečnostních hrozeb plynoucích z organizované trestné činnosti,</w:t>
            </w:r>
            <w:r>
              <w:rPr>
                <w:rStyle w:val="normaltextrun"/>
                <w:rFonts w:ascii="Arial" w:hAnsi="Arial"/>
              </w:rPr>
              <w:t xml:space="preserve"> </w:t>
            </w:r>
            <w:r>
              <w:rPr>
                <w:rStyle w:val="normaltextrun"/>
                <w:rFonts w:ascii="Arial" w:hAnsi="Arial"/>
                <w:sz w:val="20"/>
              </w:rPr>
              <w:t>terorismu a ze strany nepřátelských státních i nestátních aktérů. Stejně jako se společnosti rychleji mění a stávají se složitějšími, zvyšuje se i komplexnost bezpečnostních hrozeb: každou technologickou inovaci se někdo pokusí zneužít k nekalým účelům.</w:t>
            </w:r>
          </w:p>
          <w:p w:rsidR="002F02C8" w:rsidRPr="00E828C0" w:rsidP="00394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6B54" w:rsidRPr="00E828C0" w:rsidP="003944C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Evropská strategie vnitřní bezpečnosti, iniciativa oznámená předsedkyní von der Leyenovou v politických směrech pro novou Komisi</w:t>
            </w:r>
            <w:r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>
              <w:rPr>
                <w:rFonts w:ascii="Arial" w:hAnsi="Arial"/>
                <w:color w:val="000000" w:themeColor="text1"/>
                <w:sz w:val="20"/>
              </w:rPr>
              <w:t xml:space="preserve">, vytyčí komplexní reakci EU na všechny hrozby pro vnitřní bezpečnost – online i offline. Zajistí, aby otázky bezpečnosti byly začleněny do právních předpisů a politik EU. Uvedená strategie bude vycházet ze strategie bezpečnostní unie EU na období 2020–2025 </w:t>
            </w:r>
            <w:r>
              <w:rPr>
                <w:rFonts w:ascii="Arial" w:hAnsi="Arial"/>
                <w:sz w:val="20"/>
              </w:rPr>
              <w:t>a doplní další iniciativy Komise, zejména Strategii unie připravenosti, bílou knihu o budoucnosti obrany a Štít pro demokracii.</w:t>
            </w:r>
          </w:p>
          <w:p w:rsidR="003944C8" w:rsidRPr="00E828C0" w:rsidP="003944C8">
            <w:pPr>
              <w:spacing w:before="6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71651E" w:rsidRPr="00E828C0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Problém, který má iniciativa řešit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12047F" w:rsidRPr="00E828C0" w:rsidP="001204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="00B94AF7" w:rsidRPr="00E828C0" w:rsidP="00350200">
            <w:pPr>
              <w:pStyle w:val="paragraph"/>
              <w:spacing w:before="0" w:beforeAutospacing="0" w:after="0" w:afterAutospacing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 xml:space="preserve">Během předchozího funkčního období Komise (2019–2024) poskytla strategie bezpečnostní unie </w:t>
            </w:r>
            <w:r>
              <w:rPr>
                <w:rFonts w:ascii="Arial" w:hAnsi="Arial"/>
                <w:sz w:val="20"/>
              </w:rPr>
              <w:t>pevný rámec pro budování kapacity EU pro řešení hrozeb. EU je díky ní na bezpečnostní výzvy připravena lépe, než tomu bylo v době, kdy byla strategie přijata.</w:t>
            </w:r>
          </w:p>
          <w:p w:rsidR="002F02C8" w:rsidRPr="00E828C0" w:rsidP="00350200">
            <w:pPr>
              <w:pStyle w:val="paragraph"/>
              <w:spacing w:before="0" w:beforeAutospacing="0" w:after="0" w:afterAutospacing="0" w:line="259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5E52" w:rsidRPr="00E828C0" w:rsidP="00350200">
            <w:pPr>
              <w:pStyle w:val="paragraph"/>
              <w:spacing w:before="0" w:beforeAutospacing="0" w:after="0" w:afterAutospacing="0" w:line="259" w:lineRule="auto"/>
              <w:jc w:val="both"/>
              <w:rPr>
                <w:rStyle w:val="normaltextrun"/>
              </w:rPr>
            </w:pPr>
            <w:r>
              <w:rPr>
                <w:rFonts w:ascii="Arial" w:hAnsi="Arial"/>
                <w:sz w:val="20"/>
              </w:rPr>
              <w:t>V poslední zprávě o pokroku, přijaté v květnu 2024</w:t>
            </w:r>
            <w:r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4"/>
            </w:r>
            <w:r>
              <w:rPr>
                <w:rFonts w:ascii="Arial" w:hAnsi="Arial"/>
                <w:sz w:val="20"/>
              </w:rPr>
              <w:t xml:space="preserve">, se však zdůrazňuje, že v geopolitickém, hospodářském a bezpečnostním kontextu v EU i v jejím okolí došlo k hlubokým a trvalým změnám. </w:t>
            </w:r>
            <w:r>
              <w:rPr>
                <w:rStyle w:val="normaltextrun"/>
                <w:rFonts w:ascii="Arial" w:hAnsi="Arial"/>
                <w:sz w:val="20"/>
              </w:rPr>
              <w:t>EU musí být připravena předvídat budoucí hrozby a bojovat proti nim v rámci měnícího se geopolitického scénáře. Zločinecké sítě, násilní extremisté, teroristé a další nepřátelské subjekty působí na mezinárodní úrovni a snadno se pohybují mezi digitálním a fyzickým světem. Těží ze sociálních problémů a ekonomické nerovnosti;</w:t>
            </w:r>
            <w:bookmarkStart w:id="0" w:name="_Hlk188374910"/>
            <w:r>
              <w:rPr>
                <w:rStyle w:val="normaltextrun"/>
                <w:rFonts w:ascii="Arial" w:hAnsi="Arial"/>
                <w:sz w:val="20"/>
              </w:rPr>
              <w:t xml:space="preserve"> zločinecké sítě uplatňují extrémní násilí ke zvýšení zisků a využívají korupci k pronikání do veřejných institucí, místních komunit a legální ekonomiky. To narušuje důvěru v demokratické instituce a právní stát.</w:t>
            </w:r>
            <w:bookmarkStart w:id="1" w:name="_Hlk188374881"/>
            <w:bookmarkEnd w:id="0"/>
            <w:r>
              <w:rPr>
                <w:rStyle w:val="normaltextrun"/>
                <w:rFonts w:ascii="Arial" w:hAnsi="Arial"/>
                <w:sz w:val="20"/>
              </w:rPr>
              <w:t xml:space="preserve"> Došlo rovněž k prudkému vzestupu nových </w:t>
            </w:r>
            <w:r>
              <w:rPr>
                <w:rStyle w:val="normaltextrun"/>
                <w:rFonts w:ascii="Arial" w:hAnsi="Arial"/>
                <w:sz w:val="20"/>
              </w:rPr>
              <w:t>a hybridních ideologií a protisystémových/protivládních extremistů, kteří se jednoznačně snaží přetvořit demokratický právní řád</w:t>
            </w:r>
            <w:bookmarkEnd w:id="1"/>
            <w:r>
              <w:rPr>
                <w:rStyle w:val="normaltextrun"/>
                <w:rFonts w:ascii="Arial" w:hAnsi="Arial"/>
                <w:sz w:val="20"/>
              </w:rPr>
              <w:t>; v důsledku mezinárodního geopolitického napětí a konfliktů sílí také teroristické hrozby.</w:t>
            </w:r>
          </w:p>
          <w:p w:rsidR="000D6DE5" w:rsidRPr="00E828C0" w:rsidP="001204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0DE8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Globální vývoj zásadním způsobem ovlivňuje vnitřní bezpečnost. EU se musí vypořádat s vedlejšími účinky proměňující se dynamiky geopolitické moci a vnější nestability – na Ukrajině po ruské útočné válce, na Blízkém východě a v subsaharské oblasti. Bezpečnost EU je rovněž ovlivněna její závislostí na třetích zemích, například pokud jde o energetiku, technologie a IT a telekomunikační zařízení. V tomto náročném prostředí čelí EU hybridním hrozbám ze strany státních i nestátních aktérů (vlád a dalších subjektů). Kritická infrastruktura, včetně energetických sítí a dopravních systémů, je cílem kybernetických útoků a sabotáže, které odhalují zranitelná místa v poskytování základních služeb a mají závažný dopad na hospodářskou bezpečnost EU.</w:t>
            </w:r>
          </w:p>
          <w:p w:rsidR="002F02C8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="00350200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bookmarkStart w:id="2" w:name="_Hlk188374965"/>
            <w:r>
              <w:rPr>
                <w:rStyle w:val="normaltextrun"/>
                <w:rFonts w:ascii="Arial" w:hAnsi="Arial"/>
                <w:sz w:val="20"/>
              </w:rPr>
              <w:t>Digitální technologie se stala zásadním faktorem pro všechny aspekty bezpečnosti, kdy většina hrozeb zahrnuje kybernetický prvek a také dezinformace, jejichž cílem je zesílit rozdělení, polarizaci a nedůvěru v evropské vlády a instituce.</w:t>
            </w:r>
            <w:bookmarkEnd w:id="2"/>
            <w:r>
              <w:rPr>
                <w:rStyle w:val="eop"/>
                <w:rFonts w:ascii="Arial" w:hAnsi="Arial"/>
                <w:sz w:val="20"/>
              </w:rPr>
              <w:t> </w:t>
            </w:r>
            <w:r>
              <w:rPr>
                <w:rStyle w:val="normaltextrun"/>
                <w:rFonts w:ascii="Arial" w:hAnsi="Arial"/>
                <w:sz w:val="20"/>
              </w:rPr>
              <w:t>Donucovací orgány v neposlední řadě často postrádají vhodné nástroje a přístup k údajům nezbytným pro vyšetřování nezákonných finančních toků a přípravy útoků nebo k tomu, aby byly schopny rozbít vnitrostátní a nadnárodní zločinecké sítě. Je proto třeba posílit mechanismy přeshraniční a mezinárodní spolupráce, aby členské státy mohly účinně bojovat proti organizované trestné činnosti a terorismu.</w:t>
            </w:r>
          </w:p>
          <w:p w:rsidR="0012047F" w:rsidRPr="00E828C0" w:rsidP="001204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E828C0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Základ pro opatření na úrovni EU (právní základ a kontrola subsidiarity)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3A46A1" w:rsidRPr="00E828C0" w:rsidP="003A09C2">
            <w:pPr>
              <w:pStyle w:val="ListParagraph"/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E828C0" w:rsidP="001533F9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Právní</w:t>
            </w:r>
            <w:r>
              <w:rPr>
                <w:rFonts w:ascii="Arial" w:hAnsi="Arial"/>
                <w:b/>
                <w:color w:val="1036A0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</w:rPr>
              <w:t>základ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3A09C2" w:rsidRPr="00E828C0" w:rsidP="003A09C2">
            <w:pPr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Hmotněprávním základem iniciativy jsou ustanovení týkající se širší činnosti EU v části třetí hlavě V Smlouvy o fungování EU (SFEU) týkající se prostoru svobody, bezpečnosti a práva.</w:t>
            </w:r>
          </w:p>
          <w:p w:rsidR="003A09C2" w:rsidRPr="00E828C0" w:rsidP="003A09C2">
            <w:pPr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Spolupráce v rámci iniciativy se zeměmi, které nejsou členy EU, je založena na tomto právním základu:</w:t>
            </w:r>
          </w:p>
          <w:p w:rsidR="003A09C2" w:rsidRPr="00E828C0" w:rsidP="003A09C2">
            <w:pPr>
              <w:pStyle w:val="ListParagraph"/>
              <w:numPr>
                <w:ilvl w:val="0"/>
                <w:numId w:val="1"/>
              </w:numPr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společná zahraniční a bezpečnostní politika / společná bezpečnostní a obranná politika: články 42 až 43 SFEU,</w:t>
            </w:r>
          </w:p>
          <w:p w:rsidR="003A09C2" w:rsidRPr="00E828C0" w:rsidP="003A09C2">
            <w:pPr>
              <w:pStyle w:val="ListParagraph"/>
              <w:numPr>
                <w:ilvl w:val="0"/>
                <w:numId w:val="1"/>
              </w:numPr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vztahy s mezinárodními organizacemi a třetími zeměmi: SFEU, zejména článek 220,</w:t>
            </w:r>
          </w:p>
          <w:p w:rsidR="00A91F8F" w:rsidRPr="00E828C0" w:rsidP="003A09C2">
            <w:pPr>
              <w:pStyle w:val="ListParagraph"/>
              <w:numPr>
                <w:ilvl w:val="0"/>
                <w:numId w:val="1"/>
              </w:numPr>
              <w:spacing w:before="60" w:after="2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dialogy o bezpečnosti: Smlouva o Evropské unii, čl. 27 odst. 2.</w:t>
            </w:r>
          </w:p>
          <w:p w:rsidR="002B1AA3" w:rsidRPr="00E828C0" w:rsidP="003A09C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Toto nelegislativní sdělení nenavrhuje žádné rozšíření regulačních pravomocí EU ani povinných závazků pro členské státy, nýbrž má za cíl doplnit a podpořit činnosti členských států v této oblasti politiky.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E828C0" w:rsidP="001E25A5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Praktická potřeba opatření na úrovni EU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A828A3" w:rsidRPr="00E828C0" w:rsidP="00A828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="00032E85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Vzhledem k tomu, že zločinecké sítě, teroristé, extremistické skupiny a nepřátelské státní i nestátní subjekty působí v globálním a vzájemně propojeném prostředí, a to jak v rámci EU, tak mimo ni, jakož i ke stále závažnějším hrozbám pro bezpečnost, zabezpečení, společnost a právní stát v EU, nejsou stávající opatření členských států a EU v oblasti svobody, bezpečnosti a práva dostatečná. Je třeba přijmout další klíčová opatření na ochranu vnitřní bezpečnosti EU nyní i v budoucnu a k zachování společného prostoru svobody, bezpečnosti a práva v souladu se sdílenými pravomocemi EU a členských států.</w:t>
            </w:r>
          </w:p>
          <w:p w:rsidR="00A828A3" w:rsidRPr="00E828C0" w:rsidP="00A828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:rsidR="002B1AA3" w:rsidRPr="00E828C0" w:rsidP="000D6D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Vzhledem k silné vazbě mezi vnitřními a vnějšími aspekty bezpečnostní politiky a vzhledem k tomu, že bezpečnostní hrozby přesahují evropské hranice, se očekává, že opatření na úrovni EU oproti opatřením přijatým jednotlivými členskými státy přinesou</w:t>
            </w:r>
            <w:r>
              <w:rPr>
                <w:rStyle w:val="normaltextrun"/>
                <w:rFonts w:ascii="Arial" w:hAnsi="Arial"/>
                <w:b/>
                <w:sz w:val="20"/>
              </w:rPr>
              <w:t xml:space="preserve"> hmatatelnou přidanou hodnotu</w:t>
            </w:r>
            <w:r>
              <w:rPr>
                <w:rStyle w:val="normaltextrun"/>
                <w:rFonts w:ascii="Arial" w:hAnsi="Arial"/>
                <w:sz w:val="20"/>
              </w:rPr>
              <w:t>.</w:t>
            </w:r>
          </w:p>
          <w:p w:rsidR="000D6DE5" w:rsidRPr="00E828C0" w:rsidP="000D6D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423AEF" w:rsidRPr="00E828C0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B. Čeho má iniciativa dosáhnout a jakým způsobem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7C627E" w:rsidRPr="00E828C0" w:rsidP="005006B1">
            <w:pPr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:rsidR="00BD2A11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 xml:space="preserve">Očekává se, že iniciativa poskytne komplexní a zastřešující plán na posílení vnitřní bezpečnosti EU a bude informovat o konkrétních opatřeních, která mají být provedena během funkčního období této Komise. </w:t>
            </w:r>
            <w:r>
              <w:rPr>
                <w:rFonts w:ascii="Arial" w:hAnsi="Arial"/>
                <w:sz w:val="20"/>
              </w:rPr>
              <w:t>Strategie rovněž zdůrazní řadu úspěchů, jichž EU již dosáhla v oblasti ochrany své bezpečnosti, a to, jak na nich bude EU dále stavět formou operativních a legislativních opatření.</w:t>
            </w:r>
          </w:p>
          <w:p w:rsidR="00BD2A11" w:rsidP="005006B1">
            <w:pPr>
              <w:jc w:val="both"/>
            </w:pPr>
          </w:p>
          <w:p w:rsidR="00BD2A11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Strategie bude usilovat o začlenění bezpečnosti do politik, právních předpisů a programů EU se zaměřením na:</w:t>
            </w:r>
          </w:p>
          <w:p w:rsidR="00BD2A11" w:rsidRPr="00044103" w:rsidP="0004410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schopnost předvídat hrozby a reagovat na ně,</w:t>
            </w:r>
          </w:p>
          <w:p w:rsidR="00BD2A11" w:rsidRPr="00044103" w:rsidP="0004410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nutnost předcházet škodám a chránit lidi,</w:t>
            </w:r>
          </w:p>
          <w:p w:rsidR="00BD2A11" w:rsidRPr="00044103" w:rsidP="0004410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potřebu jednat na všech úrovních (od globálního rozměru až po místní rozměr) a dále</w:t>
            </w:r>
          </w:p>
          <w:p w:rsidR="00BD2A11" w:rsidRPr="00044103" w:rsidP="0004410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potřebu zajistit, aby mezinárodní spolupráce byla přínosná pro vnitřní bezpečnost EU.</w:t>
            </w:r>
          </w:p>
          <w:p w:rsidR="00BD2A11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Strategie se rovněž snaží zapojit všechny zúčastněné strany, které mohou k vnitřní bezpečnosti přispět v rámci celospolečenského přístupu, včetně soukromých partnerů a občanské společnosti.</w:t>
            </w:r>
          </w:p>
          <w:p w:rsidR="005006B1" w:rsidRPr="00044103" w:rsidP="005006B1">
            <w:pPr>
              <w:jc w:val="both"/>
              <w:rPr>
                <w:rFonts w:ascii="Arial" w:hAnsi="Arial" w:cs="Arial"/>
                <w:sz w:val="20"/>
                <w:szCs w:val="20"/>
                <w:u w:val="wavyDouble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Strategie konkrétně posílí strukturu EU pro vnitřní bezpečnost, což vyžaduje navýšení operační kapacity formou rozšíření Europolu a agentury Frontex a také diskusi o úloze Eurojustu a Úřadu evropského veřejného žalobce.</w:t>
            </w: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Kromě toho budou ve strategii hrát významnou úlohu digitální technologie. To zahrnuje zvážit opatření týkající se přístupu k údajům pro účely vymáhání práva a uchovávání údajů, boje proti kyberkriminalitě a teroristickému obsahu online a posílení spolupráce s technologickými platformami prostřednictvím internetového fóra EU. Digitální technologie a umělá inteligence navíc nabízejí významné možnosti pro zlepšení kapacit v oblasti prosazování práva a k účinnému řešení vyvíjejících se hrozeb.</w:t>
            </w: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4EA44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Komise v rámci strategie rovněž oznámí nový program EU pro předcházení terorismu, včetně jeho financování, a násilnému extremismu a pro boj proti nim, a posílenou politiku v oblasti předcházení radikalizaci.</w:t>
            </w:r>
          </w:p>
          <w:p w:rsidR="00871B88" w:rsidRPr="00E828C0" w:rsidP="4EA44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Oznámí Akční plán EU proti obchodu s drogami a budoucí práce zaměřené na revizi pravidel pro organizovanou trestnou činnost a opatření pro boj se zločineckými sítěmi.</w:t>
            </w: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 zájmu posílení připravenosti bude oznámen evropský kritický komunikační systém, jehož cílem bude zlepšit každodenní operativní spolupráci mezi prvními zásahovými složkami, jako jsou policie a hasiči, v boji proti terorismu a trestné činnosti a při záchraně životů v mimořádných situacích.</w:t>
            </w: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06B1" w:rsidRPr="00E828C0" w:rsidP="005006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 neposlední řadě strategie zdůrazní potřebu posílit právní rámec EU pro řešení průřezových bezpečnostních výzev a hybridních hrozeb, včetně správy hranic, sabotáže a špionáže.</w:t>
            </w:r>
          </w:p>
          <w:p w:rsidR="007C627E" w:rsidRPr="00E828C0" w:rsidP="005006B1">
            <w:pPr>
              <w:jc w:val="both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974" w:rsidRPr="00E828C0" w:rsidP="006C75C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Pravděpodobné dopady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C872A9" w:rsidRPr="00044103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Arial" w:hAnsi="Arial"/>
                <w:sz w:val="20"/>
              </w:rPr>
              <w:t>Opatření oznámená ve strategii poskytnou veřejným institucím, donucovacím orgánům, justičním orgánům a dalším veřejným a soukromým subjektům nástroje, které jim umožní předcházet bezpečnostním hrozbám, které představuje organizovaná trestná činnost, terorismus a nepřátelské státní a nestátní subjekty, chránit se před nimi a reagovat na ně. Donucovacím a justičním orgánům poskytne větší podporu při vyšetřování a stíhání závažné a organizované trestné činnosti a terorismu a rozhodování v těchto záležitostech a zajistí pohnání pachatelů k odpovědnosti a obětem spravedlnost.</w:t>
            </w:r>
          </w:p>
          <w:p w:rsidR="00C872A9" w:rsidRPr="00E828C0" w:rsidP="00C872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72A9" w:rsidRPr="00E828C0" w:rsidP="00C872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Iniciativa přispěje ke splnění cíle udržitelného rozvoje OSN č. 16 týkajícího se míru, spravedlnosti a silných institucí, neboť se zaměřuje na zvýšení veřejné bezpečnosti a prosazování právního státu, a to za plného dodržování základních práv.</w:t>
            </w:r>
          </w:p>
          <w:p w:rsidR="0046489F" w:rsidRPr="00E828C0" w:rsidP="00C872A9">
            <w:pPr>
              <w:spacing w:after="12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75CC" w:rsidRPr="00E828C0" w:rsidP="00A22CFB">
            <w:pPr>
              <w:spacing w:before="60" w:after="6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Budoucí monitorování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796495" w:rsidRPr="00E828C0" w:rsidP="00C51B86">
            <w:pPr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color w:val="000000"/>
                <w:sz w:val="20"/>
                <w:shd w:val="clear" w:color="auto" w:fill="FFFFFF"/>
              </w:rPr>
              <w:t>Iniciativy obsažené ve strategii vnitřní bezpečnosti budou posuzovány a monitorovány individuálně.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09231D" w:rsidRPr="00E828C0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highlight w:val="blue"/>
              </w:rPr>
              <w:t>C. Zlepšování právní úpravy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E828C0" w:rsidP="0027500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Posouzení dopadů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A7DB5" w:rsidRPr="00E828C0" w:rsidP="05533326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Tato iniciativa má podobu sdělení a stanoví obecný politický přístup, aniž by vyžadovala konkrétní legislativní opatření.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E828C0" w:rsidP="00BF5565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Konzultační strategie </w:t>
            </w:r>
          </w:p>
        </w:tc>
      </w:tr>
      <w:tr w:rsidTr="1F9B453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CB3509" w:rsidRPr="00E828C0" w:rsidP="00CB35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="00CB3509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0"/>
              </w:rPr>
              <w:t>Za účelem přípravy této iniciativy Komise vyzývá veřejnost a soukromé zúčastněné strany, a to jak v EU, tak mimo ni, aby prostřednictvím této výzvy k předložení faktických podkladů poskytly své názory a podněty. Iniciativa zhodnotí zjištění ze studií a zpráv a pokrok dosažený v rámci předchozích strategických dokumentů EU o bezpečnostní politice.</w:t>
            </w:r>
          </w:p>
          <w:p w:rsidR="00CB3509" w:rsidRPr="00E828C0" w:rsidP="00CB35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:rsidR="00B407E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Mezi hlavní zúčastněné strany, které mají být konzultovány, patří:</w:t>
            </w:r>
          </w:p>
          <w:p w:rsidR="00B407E0" w:rsidP="00044103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 xml:space="preserve">donucovací orgány na úrovni EU a na vnitrostátní úrovni, včetně celních, daňových a pohraničních orgánů, justičních orgánů, orgánů veřejné správy a orgánů a subjektů odpovědných za boj proti závažné a </w:t>
            </w:r>
            <w:r>
              <w:rPr>
                <w:rStyle w:val="normaltextrun"/>
                <w:rFonts w:ascii="Arial" w:hAnsi="Arial"/>
                <w:sz w:val="20"/>
              </w:rPr>
              <w:t>organizované trestné činnosti, terorismu a radikalizaci a za zajištění bezpečnosti hranic a kybernetické bezpečnosti,</w:t>
            </w:r>
          </w:p>
          <w:p w:rsidR="00B407E0" w:rsidP="00044103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organizace občanské společnosti,</w:t>
            </w:r>
          </w:p>
          <w:p w:rsidR="00B407E0" w:rsidP="00044103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akademická obec</w:t>
            </w:r>
          </w:p>
          <w:p w:rsidR="00B407E0" w:rsidP="00044103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/>
                <w:sz w:val="20"/>
              </w:rPr>
              <w:t>a soukromé společnosti, včetně online platforem.</w:t>
            </w:r>
          </w:p>
          <w:p w:rsidR="00B407E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="00CB3509" w:rsidRPr="00E828C0" w:rsidP="240D0D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/>
                <w:sz w:val="20"/>
              </w:rPr>
              <w:t>Příspěvky budou rovněž očekávány od klíčových mezinárodních partnerů, jako je Organizace spojených národů, INTERPOL, Finanční akční výbor a Rada Evropy.</w:t>
            </w:r>
          </w:p>
          <w:p w:rsidR="00B312B7" w:rsidRPr="00E828C0" w:rsidP="00CB3509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i/>
                <w:color w:val="1036A0"/>
                <w:sz w:val="20"/>
                <w:szCs w:val="20"/>
              </w:rPr>
            </w:pPr>
          </w:p>
        </w:tc>
      </w:tr>
    </w:tbl>
    <w:p w:rsidR="05533326" w:rsidRPr="00E828C0"/>
    <w:p w:rsidR="009E6661" w:rsidRPr="00E828C0" w:rsidP="004B7E6F">
      <w:pPr>
        <w:rPr>
          <w:rFonts w:ascii="Arial" w:hAnsi="Arial" w:cs="Arial"/>
          <w:sz w:val="20"/>
          <w:szCs w:val="20"/>
        </w:rPr>
      </w:pPr>
    </w:p>
    <w:sectPr w:rsidSect="00C9010B">
      <w:footerReference w:type="even" r:id="rId16"/>
      <w:footerReference w:type="default" r:id="rId17"/>
      <w:headerReference w:type="first" r:id="rId18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D92C25">
    <w:pPr>
      <w:pStyle w:val="Footer"/>
      <w:framePr w:wrap="around" w:vAnchor="text" w:hAnchor="margin" w:xAlign="center" w:y="1"/>
      <w:rPr>
        <w:rStyle w:val="PageNumber"/>
      </w:rPr>
    </w:pPr>
    <w:r w:rsidRPr="00E828C0">
      <w:rPr>
        <w:rStyle w:val="PageNumber"/>
      </w:rPr>
      <w:fldChar w:fldCharType="begin"/>
    </w:r>
    <w:r w:rsidRPr="00E828C0">
      <w:rPr>
        <w:rStyle w:val="PageNumber"/>
      </w:rPr>
      <w:instrText xml:space="preserve">PAGE  </w:instrText>
    </w:r>
    <w:r w:rsidRPr="00E828C0">
      <w:rPr>
        <w:rStyle w:val="PageNumber"/>
      </w:rPr>
      <w:fldChar w:fldCharType="separate"/>
    </w:r>
    <w:r w:rsidRPr="00E828C0">
      <w:rPr>
        <w:rStyle w:val="PageNumber"/>
      </w:rPr>
      <w:t>4</w:t>
    </w:r>
    <w:r w:rsidRPr="00E828C0">
      <w:rPr>
        <w:rStyle w:val="PageNumber"/>
      </w:rPr>
      <w:fldChar w:fldCharType="end"/>
    </w:r>
  </w:p>
  <w:p w:rsidR="00035A3D" w:rsidRPr="00E82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E828C0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E828C0">
      <w:rPr>
        <w:rStyle w:val="PageNumber"/>
        <w:rFonts w:ascii="Arial" w:hAnsi="Arial"/>
        <w:sz w:val="16"/>
      </w:rPr>
      <w:fldChar w:fldCharType="begin"/>
    </w:r>
    <w:r w:rsidRPr="00E828C0">
      <w:rPr>
        <w:rStyle w:val="PageNumber"/>
        <w:rFonts w:ascii="Arial" w:hAnsi="Arial"/>
        <w:sz w:val="16"/>
      </w:rPr>
      <w:instrText xml:space="preserve">PAGE  </w:instrText>
    </w:r>
    <w:r w:rsidRPr="00E828C0">
      <w:rPr>
        <w:rStyle w:val="PageNumber"/>
        <w:rFonts w:ascii="Arial" w:hAnsi="Arial"/>
        <w:sz w:val="16"/>
      </w:rPr>
      <w:fldChar w:fldCharType="separate"/>
    </w:r>
    <w:r w:rsidRPr="00E828C0">
      <w:rPr>
        <w:rStyle w:val="PageNumber"/>
        <w:rFonts w:ascii="Arial" w:hAnsi="Arial"/>
        <w:sz w:val="16"/>
      </w:rPr>
      <w:t>3</w:t>
    </w:r>
    <w:r w:rsidRPr="00E828C0">
      <w:rPr>
        <w:rStyle w:val="PageNumber"/>
        <w:rFonts w:ascii="Arial" w:hAnsi="Arial"/>
        <w:sz w:val="16"/>
      </w:rPr>
      <w:fldChar w:fldCharType="end"/>
    </w:r>
  </w:p>
  <w:p w:rsidR="00035A3D" w:rsidRPr="00E828C0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E828C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D92C25">
    <w:pPr>
      <w:pStyle w:val="Footer"/>
      <w:framePr w:wrap="around" w:vAnchor="text" w:hAnchor="margin" w:xAlign="center" w:y="1"/>
      <w:rPr>
        <w:rStyle w:val="PageNumber"/>
      </w:rPr>
    </w:pPr>
    <w:r w:rsidRPr="00E828C0">
      <w:rPr>
        <w:rStyle w:val="PageNumber"/>
      </w:rPr>
      <w:fldChar w:fldCharType="begin"/>
    </w:r>
    <w:r w:rsidRPr="00E828C0">
      <w:rPr>
        <w:rStyle w:val="PageNumber"/>
      </w:rPr>
      <w:instrText xml:space="preserve">PAGE  </w:instrText>
    </w:r>
    <w:r w:rsidRPr="00E828C0">
      <w:rPr>
        <w:rStyle w:val="PageNumber"/>
      </w:rPr>
      <w:fldChar w:fldCharType="separate"/>
    </w:r>
    <w:r w:rsidRPr="00E828C0">
      <w:rPr>
        <w:rStyle w:val="PageNumber"/>
      </w:rPr>
      <w:t>4</w:t>
    </w:r>
    <w:r w:rsidRPr="00E828C0">
      <w:rPr>
        <w:rStyle w:val="PageNumber"/>
      </w:rPr>
      <w:fldChar w:fldCharType="end"/>
    </w:r>
  </w:p>
  <w:p w:rsidR="00035A3D" w:rsidRPr="00E828C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E828C0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E828C0">
      <w:rPr>
        <w:rStyle w:val="PageNumber"/>
        <w:rFonts w:ascii="Arial" w:hAnsi="Arial"/>
        <w:sz w:val="16"/>
      </w:rPr>
      <w:fldChar w:fldCharType="begin"/>
    </w:r>
    <w:r w:rsidRPr="00E828C0">
      <w:rPr>
        <w:rStyle w:val="PageNumber"/>
        <w:rFonts w:ascii="Arial" w:hAnsi="Arial"/>
        <w:sz w:val="16"/>
      </w:rPr>
      <w:instrText xml:space="preserve">PAGE  </w:instrText>
    </w:r>
    <w:r w:rsidRPr="00E828C0">
      <w:rPr>
        <w:rStyle w:val="PageNumber"/>
        <w:rFonts w:ascii="Arial" w:hAnsi="Arial"/>
        <w:sz w:val="16"/>
      </w:rPr>
      <w:fldChar w:fldCharType="separate"/>
    </w:r>
    <w:r w:rsidRPr="00E828C0" w:rsidR="00E66E1E">
      <w:rPr>
        <w:rStyle w:val="PageNumber"/>
        <w:rFonts w:ascii="Arial" w:hAnsi="Arial"/>
        <w:sz w:val="16"/>
      </w:rPr>
      <w:t>2</w:t>
    </w:r>
    <w:r w:rsidRPr="00E828C0">
      <w:rPr>
        <w:rStyle w:val="PageNumber"/>
        <w:rFonts w:ascii="Arial" w:hAnsi="Arial"/>
        <w:sz w:val="16"/>
      </w:rPr>
      <w:fldChar w:fldCharType="end"/>
    </w:r>
  </w:p>
  <w:p w:rsidR="00035A3D" w:rsidRPr="00E828C0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1705F" w:rsidRPr="00E828C0">
      <w:r w:rsidRPr="00E828C0">
        <w:separator/>
      </w:r>
    </w:p>
  </w:footnote>
  <w:footnote w:type="continuationSeparator" w:id="1">
    <w:p w:rsidR="0001705F" w:rsidRPr="00E828C0">
      <w:r w:rsidRPr="00E828C0">
        <w:continuationSeparator/>
      </w:r>
    </w:p>
  </w:footnote>
  <w:footnote w:type="continuationNotice" w:id="2">
    <w:p w:rsidR="0001705F" w:rsidRPr="00E828C0"/>
  </w:footnote>
  <w:footnote w:id="3">
    <w:p w:rsidR="003273F0" w:rsidRPr="00E828C0" w:rsidP="00E206F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„Volba Evropy: politické směry pro příští Evropskou komisi 2024–2029, </w:t>
      </w:r>
      <w:r>
        <w:fldChar w:fldCharType="begin"/>
      </w:r>
      <w:r>
        <w:instrText xml:space="preserve"> HYPERLINK "https://commission.europa.eu/document/download/e6cd4328-673c-4e7a-8683-f63ffb2cf648_cs?filename=Political%20Guidelines%202024-2029_CS.pdf" </w:instrText>
      </w:r>
      <w:r>
        <w:fldChar w:fldCharType="separate"/>
      </w:r>
      <w:r>
        <w:rPr>
          <w:rStyle w:val="Hyperlink"/>
        </w:rPr>
        <w:t>e6cd4328-673c-4e7a-8683-f63ffb2cf648_cs</w:t>
      </w:r>
      <w:r>
        <w:fldChar w:fldCharType="end"/>
      </w:r>
      <w:r>
        <w:rPr>
          <w:rStyle w:val="Hyperlink"/>
          <w:color w:val="auto"/>
          <w:u w:val="none"/>
        </w:rPr>
        <w:t>.</w:t>
      </w:r>
    </w:p>
  </w:footnote>
  <w:footnote w:id="4">
    <w:p w:rsidR="00A95644" w:rsidRPr="00E828C0">
      <w:pPr>
        <w:pStyle w:val="FootnoteText"/>
      </w:pPr>
      <w:r>
        <w:rPr>
          <w:rStyle w:val="FootnoteReference"/>
        </w:rPr>
        <w:footnoteRef/>
      </w:r>
      <w:r>
        <w:t xml:space="preserve"> COM(2024) 198 final.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E82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E82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E72EF2">
    <w:pPr>
      <w:pStyle w:val="Header"/>
      <w:jc w:val="center"/>
    </w:pPr>
    <w:r>
      <w:rPr>
        <w:rFonts w:ascii="Arial" w:hAnsi="Arial"/>
        <w:noProof/>
      </w:rPr>
      <w:drawing>
        <wp:inline distT="0" distB="0" distL="0" distR="0">
          <wp:extent cx="1908175" cy="508635"/>
          <wp:effectExtent l="0" t="0" r="0" b="5715"/>
          <wp:docPr id="5" name="Picture 5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E828C0" w:rsidP="00E72EF2">
    <w:pPr>
      <w:pStyle w:val="Header"/>
      <w:jc w:val="center"/>
    </w:pPr>
    <w:r>
      <w:rPr>
        <w:rFonts w:ascii="Arial" w:hAnsi="Arial"/>
        <w:noProof/>
      </w:rPr>
      <w:drawing>
        <wp:inline distT="0" distB="0" distL="0" distR="0">
          <wp:extent cx="1908175" cy="508635"/>
          <wp:effectExtent l="0" t="0" r="0" b="5715"/>
          <wp:docPr id="2" name="Picture 2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6D0A44"/>
    <w:multiLevelType w:val="hybridMultilevel"/>
    <w:tmpl w:val="E84C4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BB8A8"/>
    <w:multiLevelType w:val="hybridMultilevel"/>
    <w:tmpl w:val="1616B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3D2A"/>
    <w:multiLevelType w:val="hybridMultilevel"/>
    <w:tmpl w:val="54EA0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66A31"/>
    <w:multiLevelType w:val="hybridMultilevel"/>
    <w:tmpl w:val="415A6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330A7"/>
    <w:multiLevelType w:val="hybridMultilevel"/>
    <w:tmpl w:val="7AE2D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5F7553A2"/>
    <w:multiLevelType w:val="hybridMultilevel"/>
    <w:tmpl w:val="E5B6F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>
    <w:nsid w:val="6D2B5511"/>
    <w:multiLevelType w:val="singleLevel"/>
    <w:tmpl w:val="74A09970"/>
    <w:name w:val="List Bullet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>
    <w:nsid w:val="6D7B58CE"/>
    <w:multiLevelType w:val="hybridMultilevel"/>
    <w:tmpl w:val="55143764"/>
    <w:lvl w:ilvl="0">
      <w:start w:val="1"/>
      <w:numFmt w:val="bullet"/>
      <w:pStyle w:val="ListDash4"/>
      <w:lvlText w:val="–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593" w:hanging="360"/>
      </w:pPr>
      <w:rPr>
        <w:rFonts w:ascii="Times" w:eastAsia="Times New Roman" w:hAnsi="Time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doNotShadeFormData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HOME\HOME-2025-00247\HOME-2025-00247-00-00-EN-EDT-00.202502100935436709068.DOCX"/>
  </w:docVar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7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666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E6661"/>
    <w:pPr>
      <w:spacing w:after="240"/>
      <w:ind w:left="357" w:hanging="357"/>
      <w:jc w:val="both"/>
    </w:pPr>
    <w:rPr>
      <w:sz w:val="20"/>
      <w:szCs w:val="20"/>
    </w:rPr>
  </w:style>
  <w:style w:type="character" w:styleId="FootnoteReference">
    <w:name w:val="footnote reference"/>
    <w:aliases w:val=" BVI fnr,BVI fnr,Footnote Reference Superscript,Footnote symbol"/>
    <w:semiHidden/>
    <w:rsid w:val="009E6661"/>
    <w:rPr>
      <w:vertAlign w:val="superscript"/>
    </w:rPr>
  </w:style>
  <w:style w:type="character" w:customStyle="1" w:styleId="FootnoteTextChar">
    <w:name w:val="Footnote Text Char"/>
    <w:rsid w:val="009E6661"/>
    <w:rPr>
      <w:lang w:val="cs-CZ" w:eastAsia="en-GB" w:bidi="ar-SA"/>
    </w:rPr>
  </w:style>
  <w:style w:type="paragraph" w:styleId="ListBullet">
    <w:name w:val="List Bullet"/>
    <w:basedOn w:val="Normal"/>
    <w:rsid w:val="009E6661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Text1">
    <w:name w:val="Text 1"/>
    <w:basedOn w:val="Normal"/>
    <w:rsid w:val="009E6661"/>
    <w:pPr>
      <w:spacing w:before="120" w:after="120"/>
      <w:ind w:left="850"/>
      <w:jc w:val="both"/>
    </w:pPr>
    <w:rPr>
      <w:lang w:eastAsia="en-US"/>
    </w:rPr>
  </w:style>
  <w:style w:type="character" w:styleId="Emphasis">
    <w:name w:val="Emphasis"/>
    <w:qFormat/>
    <w:rsid w:val="009E6661"/>
    <w:rPr>
      <w:b/>
      <w:bCs/>
      <w:i w:val="0"/>
      <w:iCs w:val="0"/>
    </w:rPr>
  </w:style>
  <w:style w:type="paragraph" w:customStyle="1" w:styleId="ListBullet1">
    <w:name w:val="List Bullet 1"/>
    <w:basedOn w:val="Normal"/>
    <w:rsid w:val="009E6661"/>
    <w:pPr>
      <w:numPr>
        <w:numId w:val="3"/>
      </w:numPr>
      <w:spacing w:before="120" w:after="120"/>
      <w:jc w:val="both"/>
    </w:pPr>
    <w:rPr>
      <w:lang w:eastAsia="de-DE"/>
    </w:rPr>
  </w:style>
  <w:style w:type="character" w:customStyle="1" w:styleId="at31">
    <w:name w:val="a__t31"/>
    <w:rsid w:val="009E6661"/>
    <w:rPr>
      <w:b/>
      <w:bCs/>
    </w:rPr>
  </w:style>
  <w:style w:type="paragraph" w:styleId="NormalWeb">
    <w:name w:val="Normal (Web)"/>
    <w:basedOn w:val="Normal"/>
    <w:link w:val="NormalWebChar"/>
    <w:rsid w:val="00D0306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03063"/>
    <w:rPr>
      <w:sz w:val="24"/>
      <w:szCs w:val="24"/>
      <w:lang w:val="cs-CZ" w:eastAsia="en-GB" w:bidi="ar-SA"/>
    </w:rPr>
  </w:style>
  <w:style w:type="paragraph" w:customStyle="1" w:styleId="ListDash4">
    <w:name w:val="List Dash 4"/>
    <w:basedOn w:val="Normal"/>
    <w:rsid w:val="00D03063"/>
    <w:pPr>
      <w:numPr>
        <w:numId w:val="4"/>
      </w:numPr>
    </w:pPr>
  </w:style>
  <w:style w:type="paragraph" w:styleId="Footer">
    <w:name w:val="footer"/>
    <w:basedOn w:val="Normal"/>
    <w:rsid w:val="00B079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7956"/>
  </w:style>
  <w:style w:type="paragraph" w:styleId="BalloonText">
    <w:name w:val="Balloon Text"/>
    <w:basedOn w:val="Normal"/>
    <w:semiHidden/>
    <w:rsid w:val="009911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F3"/>
    <w:rPr>
      <w:color w:val="0000FF"/>
      <w:u w:val="single"/>
    </w:rPr>
  </w:style>
  <w:style w:type="character" w:styleId="CommentReference">
    <w:name w:val="annotation reference"/>
    <w:rsid w:val="000E1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132C"/>
  </w:style>
  <w:style w:type="paragraph" w:styleId="CommentSubject">
    <w:name w:val="annotation subject"/>
    <w:basedOn w:val="CommentText"/>
    <w:next w:val="CommentText"/>
    <w:link w:val="CommentSubjectChar"/>
    <w:rsid w:val="000E132C"/>
    <w:rPr>
      <w:b/>
      <w:bCs/>
    </w:rPr>
  </w:style>
  <w:style w:type="character" w:customStyle="1" w:styleId="CommentSubjectChar">
    <w:name w:val="Comment Subject Char"/>
    <w:link w:val="CommentSubject"/>
    <w:rsid w:val="000E132C"/>
    <w:rPr>
      <w:b/>
      <w:bCs/>
    </w:rPr>
  </w:style>
  <w:style w:type="paragraph" w:customStyle="1" w:styleId="ListDash1">
    <w:name w:val="List Dash 1"/>
    <w:basedOn w:val="Normal"/>
    <w:qFormat/>
    <w:rsid w:val="00FA069C"/>
    <w:pPr>
      <w:tabs>
        <w:tab w:val="num" w:pos="567"/>
      </w:tabs>
      <w:ind w:left="568" w:hanging="284"/>
    </w:pPr>
  </w:style>
  <w:style w:type="paragraph" w:styleId="ListParagraph">
    <w:name w:val="List Paragraph"/>
    <w:basedOn w:val="Normal"/>
    <w:uiPriority w:val="34"/>
    <w:qFormat/>
    <w:rsid w:val="001C7D0F"/>
    <w:pPr>
      <w:ind w:left="720"/>
      <w:contextualSpacing/>
    </w:pPr>
  </w:style>
  <w:style w:type="character" w:styleId="FollowedHyperlink">
    <w:name w:val="FollowedHyperlink"/>
    <w:basedOn w:val="DefaultParagraphFont"/>
    <w:rsid w:val="00454F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0C61"/>
    <w:rPr>
      <w:sz w:val="24"/>
      <w:szCs w:val="24"/>
    </w:rPr>
  </w:style>
  <w:style w:type="character" w:customStyle="1" w:styleId="normaltextrun">
    <w:name w:val="normaltextrun"/>
    <w:basedOn w:val="DefaultParagraphFont"/>
    <w:rsid w:val="00DE3376"/>
  </w:style>
  <w:style w:type="paragraph" w:customStyle="1" w:styleId="paragraph">
    <w:name w:val="paragraph"/>
    <w:basedOn w:val="Normal"/>
    <w:rsid w:val="0012047F"/>
    <w:pPr>
      <w:spacing w:before="100" w:beforeAutospacing="1" w:after="100" w:afterAutospacing="1"/>
    </w:pPr>
    <w:rPr>
      <w:lang w:eastAsia="en-IE"/>
    </w:rPr>
  </w:style>
  <w:style w:type="character" w:customStyle="1" w:styleId="eop">
    <w:name w:val="eop"/>
    <w:basedOn w:val="DefaultParagraphFont"/>
    <w:rsid w:val="0012047F"/>
  </w:style>
  <w:style w:type="character" w:customStyle="1" w:styleId="superscript">
    <w:name w:val="superscript"/>
    <w:basedOn w:val="DefaultParagraphFont"/>
    <w:rsid w:val="00CB35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F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4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sspa\Desktop\ROADMAP%20template%20new%2010%20January%20201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80411DCDFCD458AAC30620330B8A3" ma:contentTypeVersion="4" ma:contentTypeDescription="Create a new document." ma:contentTypeScope="" ma:versionID="3ac6d1bdc822d1813422b94e3e4dcd18">
  <xsd:schema xmlns:xsd="http://www.w3.org/2001/XMLSchema" xmlns:xs="http://www.w3.org/2001/XMLSchema" xmlns:p="http://schemas.microsoft.com/office/2006/metadata/properties" xmlns:ns2="5516bb1d-bee6-442b-a1b7-3fe0eacbbcfa" targetNamespace="http://schemas.microsoft.com/office/2006/metadata/properties" ma:root="true" ma:fieldsID="50a7c9f541715ba0099e4a6937881d95" ns2:_="">
    <xsd:import namespace="5516bb1d-bee6-442b-a1b7-3fe0eacbb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bb1d-bee6-442b-a1b7-3fe0eacbb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DF71C-59A8-4C6F-A3C1-8CF867750A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DF6C39-4E2B-4682-AD7B-317E1085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bb1d-bee6-442b-a1b7-3fe0eacbb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9C7C2-FFD0-42A3-8379-592EFD88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DC3C4-2292-4C4E-BF8F-969950C98C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8AD5CF-E8B4-447F-AE82-B85FCBFC3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