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347966">
      <w:pP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008607B9">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347966" w:rsidP="00824525">
            <w:pPr>
              <w:spacing w:before="60" w:after="60"/>
              <w:jc w:val="center"/>
              <w:rPr>
                <w:rFonts w:ascii="Arial" w:hAnsi="Arial" w:cs="Arial"/>
                <w:b/>
                <w:sz w:val="28"/>
                <w:szCs w:val="28"/>
              </w:rPr>
            </w:pPr>
            <w:r>
              <w:rPr>
                <w:rFonts w:ascii="Arial" w:hAnsi="Arial"/>
                <w:b/>
                <w:sz w:val="28"/>
              </w:rPr>
              <w:t>VÝZVA K PŘEDLOŽENÍ FAKTICKÝCH PODKLADŮ</w:t>
            </w:r>
          </w:p>
          <w:p w:rsidR="009E6661" w:rsidRPr="00347966" w:rsidP="00B312B7">
            <w:pPr>
              <w:spacing w:before="60" w:after="60"/>
              <w:jc w:val="center"/>
              <w:rPr>
                <w:rFonts w:ascii="Arial" w:hAnsi="Arial" w:cs="Arial"/>
                <w:b/>
                <w:i/>
                <w:sz w:val="20"/>
                <w:szCs w:val="20"/>
              </w:rPr>
            </w:pPr>
            <w:r>
              <w:rPr>
                <w:rFonts w:ascii="Arial" w:hAnsi="Arial"/>
                <w:b/>
                <w:sz w:val="28"/>
              </w:rPr>
              <w:t xml:space="preserve">PRO INICIATIVU </w:t>
            </w:r>
            <w:r>
              <w:rPr>
                <w:rFonts w:ascii="Arial" w:hAnsi="Arial"/>
                <w:b/>
                <w:color w:val="FFFFFF" w:themeColor="background1"/>
                <w:sz w:val="28"/>
              </w:rPr>
              <w:t>(bez posouzení dopadů)</w:t>
            </w:r>
          </w:p>
        </w:tc>
      </w:tr>
      <w:tr w:rsidTr="00035A3D">
        <w:tblPrEx>
          <w:tblW w:w="10188" w:type="dxa"/>
          <w:tblLayout w:type="fixed"/>
          <w:tblLook w:val="01E0"/>
        </w:tblPrEx>
        <w:tc>
          <w:tcPr>
            <w:tcW w:w="10188" w:type="dxa"/>
            <w:gridSpan w:val="2"/>
            <w:tcBorders>
              <w:bottom w:val="single" w:sz="4" w:space="0" w:color="auto"/>
            </w:tcBorders>
            <w:shd w:val="clear" w:color="auto" w:fill="E6E6E6"/>
          </w:tcPr>
          <w:p w:rsidR="00810C61" w:rsidRPr="003A46A1" w:rsidP="00347966">
            <w:pPr>
              <w:spacing w:before="120" w:after="120"/>
              <w:jc w:val="both"/>
              <w:rPr>
                <w:rFonts w:ascii="Arial" w:hAnsi="Arial" w:cs="Arial"/>
                <w:color w:val="000080"/>
                <w:sz w:val="18"/>
                <w:szCs w:val="18"/>
              </w:rPr>
            </w:pPr>
            <w:r>
              <w:rPr>
                <w:rFonts w:ascii="Arial" w:hAnsi="Arial"/>
                <w:color w:val="000080"/>
                <w:sz w:val="18"/>
              </w:rPr>
              <w:t xml:space="preserve">Tímto dokumentem mají být veřejnost a zúčastněné strany informovány o činnosti Komise, aby se k ní mohly vyjádřit a efektivně se podílet na konzultacích. </w:t>
            </w:r>
          </w:p>
          <w:p w:rsidR="00B96B28" w:rsidRPr="00347966" w:rsidP="0072067B">
            <w:pPr>
              <w:spacing w:before="60" w:after="120"/>
              <w:jc w:val="both"/>
              <w:rPr>
                <w:rFonts w:ascii="Arial" w:hAnsi="Arial" w:cs="Arial"/>
                <w:b/>
                <w:color w:val="FF0000"/>
                <w:sz w:val="20"/>
                <w:szCs w:val="20"/>
              </w:rPr>
            </w:pPr>
            <w:r>
              <w:rPr>
                <w:rFonts w:ascii="Arial" w:hAnsi="Arial"/>
                <w:color w:val="000080"/>
                <w:sz w:val="18"/>
              </w:rPr>
              <w:t xml:space="preserve">Uvítáme jejich názory na to, jak na problém nahlíží Komise, jejich připomínky k možným řešením, jakož i veškeré relevantní informace, kterými případně disponují. </w:t>
            </w:r>
          </w:p>
        </w:tc>
      </w:tr>
      <w:tr w:rsidTr="008607B9">
        <w:tblPrEx>
          <w:tblW w:w="10188" w:type="dxa"/>
          <w:tblLayout w:type="fixed"/>
          <w:tblLook w:val="01E0"/>
        </w:tblPrEx>
        <w:tc>
          <w:tcPr>
            <w:tcW w:w="2807" w:type="dxa"/>
            <w:tcBorders>
              <w:bottom w:val="single" w:sz="4" w:space="0" w:color="auto"/>
            </w:tcBorders>
            <w:shd w:val="clear" w:color="auto" w:fill="E6E6E6"/>
          </w:tcPr>
          <w:p w:rsidR="009E6661" w:rsidRPr="00196B5E" w:rsidP="00824525">
            <w:pPr>
              <w:spacing w:before="60" w:after="60"/>
              <w:jc w:val="both"/>
              <w:rPr>
                <w:rFonts w:ascii="Arial" w:hAnsi="Arial" w:cs="Arial"/>
                <w:b/>
                <w:bCs/>
                <w:smallCaps/>
                <w:sz w:val="20"/>
                <w:szCs w:val="20"/>
              </w:rPr>
            </w:pPr>
            <w:r>
              <w:rPr>
                <w:rFonts w:ascii="Arial" w:hAnsi="Arial"/>
                <w:b/>
                <w:smallCaps/>
                <w:sz w:val="20"/>
              </w:rPr>
              <w:t>Název iniciativy</w:t>
            </w:r>
          </w:p>
        </w:tc>
        <w:tc>
          <w:tcPr>
            <w:tcW w:w="7381" w:type="dxa"/>
            <w:shd w:val="clear" w:color="auto" w:fill="auto"/>
          </w:tcPr>
          <w:p w:rsidR="0075560F" w:rsidRPr="007267E1" w:rsidP="007267E1">
            <w:pPr>
              <w:pStyle w:val="ListParagraph"/>
              <w:numPr>
                <w:ilvl w:val="0"/>
                <w:numId w:val="65"/>
              </w:numPr>
              <w:spacing w:before="60" w:after="120"/>
              <w:jc w:val="both"/>
              <w:rPr>
                <w:rFonts w:ascii="Arial" w:hAnsi="Arial" w:cs="Arial"/>
                <w:sz w:val="20"/>
              </w:rPr>
            </w:pPr>
            <w:r>
              <w:rPr>
                <w:rFonts w:ascii="Arial" w:hAnsi="Arial"/>
                <w:sz w:val="20"/>
              </w:rPr>
              <w:t xml:space="preserve">Sdělení Komise o maximalizaci potenciálu mobility talentů v rámci Evropského roku dovedností  </w:t>
            </w:r>
          </w:p>
          <w:p w:rsidR="00B61DCA" w:rsidRPr="00E15492" w:rsidP="00DF19D3">
            <w:pPr>
              <w:pStyle w:val="ListParagraph"/>
              <w:numPr>
                <w:ilvl w:val="0"/>
                <w:numId w:val="65"/>
              </w:numPr>
              <w:spacing w:before="60" w:after="120"/>
              <w:jc w:val="both"/>
              <w:rPr>
                <w:rFonts w:ascii="Arial" w:hAnsi="Arial" w:cs="Arial"/>
                <w:sz w:val="20"/>
                <w:szCs w:val="20"/>
              </w:rPr>
            </w:pPr>
            <w:r>
              <w:rPr>
                <w:rFonts w:ascii="Arial" w:hAnsi="Arial"/>
                <w:sz w:val="20"/>
              </w:rPr>
              <w:t>Doporučení Komise o uznávání kvalifikací státních příslušníků třetích zemí</w:t>
            </w:r>
          </w:p>
        </w:tc>
      </w:tr>
      <w:tr w:rsidTr="00035A3D">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196B5E" w:rsidP="008B4A52">
            <w:pPr>
              <w:spacing w:before="60" w:after="60"/>
              <w:jc w:val="both"/>
              <w:rPr>
                <w:rFonts w:ascii="Arial" w:hAnsi="Arial" w:cs="Arial"/>
                <w:b/>
                <w:bCs/>
                <w:smallCaps/>
                <w:sz w:val="20"/>
                <w:szCs w:val="20"/>
              </w:rPr>
            </w:pPr>
            <w:r>
              <w:rPr>
                <w:rFonts w:ascii="Arial" w:hAnsi="Arial"/>
                <w:b/>
                <w:smallCaps/>
                <w:sz w:val="20"/>
              </w:rPr>
              <w:t xml:space="preserve">Příslušné GŘ – odpovědné oddělení </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F07210" w:rsidRPr="00E15492" w:rsidP="00106A9A">
            <w:pPr>
              <w:spacing w:before="60" w:after="60"/>
              <w:jc w:val="both"/>
              <w:rPr>
                <w:rFonts w:ascii="Arial" w:hAnsi="Arial" w:cs="Arial"/>
                <w:sz w:val="20"/>
                <w:szCs w:val="20"/>
              </w:rPr>
            </w:pPr>
            <w:r>
              <w:rPr>
                <w:rFonts w:ascii="Arial" w:hAnsi="Arial"/>
                <w:sz w:val="20"/>
              </w:rPr>
              <w:t>SG.E</w:t>
            </w:r>
            <w:r>
              <w:rPr>
                <w:rFonts w:ascii="Arial" w:hAnsi="Arial"/>
                <w:sz w:val="20"/>
              </w:rPr>
              <w:t>2 / GROW.D1</w:t>
            </w:r>
          </w:p>
        </w:tc>
      </w:tr>
      <w:tr w:rsidTr="008607B9">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196B5E" w:rsidP="00824525">
            <w:pPr>
              <w:spacing w:before="60" w:after="60"/>
              <w:jc w:val="both"/>
              <w:rPr>
                <w:rFonts w:ascii="Arial" w:hAnsi="Arial" w:cs="Arial"/>
                <w:b/>
                <w:bCs/>
                <w:smallCaps/>
                <w:sz w:val="20"/>
                <w:szCs w:val="20"/>
              </w:rPr>
            </w:pPr>
            <w:r>
              <w:rPr>
                <w:rFonts w:ascii="Arial" w:hAnsi="Arial"/>
                <w:b/>
                <w:smallCaps/>
                <w:sz w:val="20"/>
              </w:rPr>
              <w:t>Pravděpodobný druh iniciativy</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8E30C9" w:rsidRPr="00DF19D3" w:rsidP="00DF19D3">
            <w:pPr>
              <w:pStyle w:val="ListParagraph"/>
              <w:numPr>
                <w:ilvl w:val="0"/>
                <w:numId w:val="66"/>
              </w:numPr>
              <w:spacing w:before="60" w:after="60"/>
              <w:jc w:val="both"/>
              <w:rPr>
                <w:rFonts w:ascii="Arial" w:hAnsi="Arial" w:cs="Arial"/>
                <w:sz w:val="20"/>
                <w:szCs w:val="20"/>
              </w:rPr>
            </w:pPr>
            <w:r>
              <w:rPr>
                <w:rFonts w:ascii="Arial" w:hAnsi="Arial"/>
                <w:sz w:val="20"/>
              </w:rPr>
              <w:t>Sdělení Komise Evropskému parlamentu, Radě, Evropskému hospodářskému a sociálnímu výboru a Výboru regionů</w:t>
            </w:r>
          </w:p>
          <w:p w:rsidR="00423AEF" w:rsidRPr="00DF19D3" w:rsidP="00DF19D3">
            <w:pPr>
              <w:pStyle w:val="ListParagraph"/>
              <w:numPr>
                <w:ilvl w:val="0"/>
                <w:numId w:val="66"/>
              </w:numPr>
              <w:spacing w:before="60" w:after="60"/>
              <w:jc w:val="both"/>
              <w:rPr>
                <w:rFonts w:ascii="Arial" w:hAnsi="Arial" w:cs="Arial"/>
                <w:sz w:val="20"/>
                <w:szCs w:val="20"/>
              </w:rPr>
            </w:pPr>
            <w:r>
              <w:rPr>
                <w:rFonts w:ascii="Arial" w:hAnsi="Arial"/>
                <w:sz w:val="20"/>
              </w:rPr>
              <w:t xml:space="preserve">Doporučení Komise </w:t>
            </w:r>
          </w:p>
        </w:tc>
      </w:tr>
      <w:tr w:rsidTr="00AB5C82">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196B5E" w:rsidP="0066565B">
            <w:pPr>
              <w:spacing w:before="60" w:after="60"/>
              <w:jc w:val="both"/>
              <w:rPr>
                <w:rFonts w:ascii="Arial" w:hAnsi="Arial" w:cs="Arial"/>
                <w:b/>
                <w:bCs/>
                <w:smallCaps/>
                <w:sz w:val="20"/>
                <w:szCs w:val="20"/>
              </w:rPr>
            </w:pPr>
            <w:r>
              <w:rPr>
                <w:rFonts w:ascii="Arial" w:hAnsi="Arial"/>
                <w:b/>
                <w:smallCaps/>
                <w:sz w:val="20"/>
              </w:rPr>
              <w:t>Předběžný harmonogram</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002DFF" w:rsidRPr="00E15492" w:rsidP="00B312B7">
            <w:pPr>
              <w:spacing w:before="120" w:after="120"/>
              <w:jc w:val="both"/>
              <w:rPr>
                <w:rFonts w:ascii="Arial" w:hAnsi="Arial" w:cs="Arial"/>
                <w:sz w:val="20"/>
                <w:szCs w:val="20"/>
                <w:highlight w:val="green"/>
              </w:rPr>
            </w:pPr>
            <w:r>
              <w:rPr>
                <w:rFonts w:ascii="Arial" w:hAnsi="Arial"/>
                <w:sz w:val="20"/>
              </w:rPr>
              <w:t>4. čtvrtletí 2023</w:t>
            </w:r>
          </w:p>
        </w:tc>
      </w:tr>
      <w:tr w:rsidTr="00224B13">
        <w:tblPrEx>
          <w:tblW w:w="10188" w:type="dxa"/>
          <w:tblLayout w:type="fixed"/>
          <w:tblLook w:val="01E0"/>
        </w:tblPrEx>
        <w:tc>
          <w:tcPr>
            <w:tcW w:w="2807" w:type="dxa"/>
            <w:tcBorders>
              <w:bottom w:val="single" w:sz="4" w:space="0" w:color="auto"/>
              <w:right w:val="single" w:sz="4" w:space="0" w:color="auto"/>
            </w:tcBorders>
            <w:shd w:val="clear" w:color="auto" w:fill="E6E6E6"/>
          </w:tcPr>
          <w:p w:rsidR="008D5042" w:rsidRPr="00196B5E" w:rsidP="00224B13">
            <w:pPr>
              <w:spacing w:before="60" w:after="60"/>
              <w:jc w:val="both"/>
              <w:rPr>
                <w:rFonts w:ascii="Arial" w:hAnsi="Arial" w:cs="Arial"/>
                <w:b/>
                <w:bCs/>
                <w:smallCaps/>
                <w:sz w:val="20"/>
                <w:szCs w:val="20"/>
              </w:rPr>
            </w:pPr>
            <w:r>
              <w:rPr>
                <w:rFonts w:ascii="Arial" w:hAnsi="Arial"/>
                <w:b/>
                <w:smallCaps/>
                <w:sz w:val="20"/>
              </w:rPr>
              <w:t>Další informace</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8D5042" w:rsidRPr="00E15492" w:rsidP="00347966">
            <w:pPr>
              <w:spacing w:before="120" w:after="120"/>
              <w:jc w:val="both"/>
              <w:rPr>
                <w:rFonts w:ascii="Arial" w:hAnsi="Arial" w:cs="Arial"/>
                <w:sz w:val="20"/>
                <w:szCs w:val="20"/>
              </w:rPr>
            </w:pPr>
            <w:r>
              <w:rPr>
                <w:rFonts w:ascii="Arial" w:hAnsi="Arial"/>
                <w:sz w:val="20"/>
              </w:rPr>
              <w:t>Výzva k předložení faktických podkladů se týká dvou iniciativ, které budou součástí balíčku zaměřeného na maximalizaci potenciálu mobility talentů v rámci Evropského roku dovedností. Tyto iniciativy naplní bod pracovního programu Komise na rok 2023 týkající se uznávání kvalifikací státních příslušníků třetích zemí (tj. zemí mimo EU). Další prvky balíčku byly zahrnuty v jiných výzvách k předložení faktických podkladů.</w:t>
            </w:r>
          </w:p>
        </w:tc>
      </w:tr>
      <w:tr w:rsidTr="008607B9">
        <w:tblPrEx>
          <w:tblW w:w="10188" w:type="dxa"/>
          <w:tblLayout w:type="fixed"/>
          <w:tblLook w:val="01E0"/>
        </w:tblPrEx>
        <w:tc>
          <w:tcPr>
            <w:tcW w:w="10188" w:type="dxa"/>
            <w:gridSpan w:val="2"/>
            <w:tcBorders>
              <w:bottom w:val="single" w:sz="4" w:space="0" w:color="auto"/>
              <w:right w:val="single" w:sz="4" w:space="0" w:color="auto"/>
            </w:tcBorders>
            <w:shd w:val="clear" w:color="auto" w:fill="E6E6E6"/>
          </w:tcPr>
          <w:p w:rsidR="00CF6C0F" w:rsidRPr="00347966" w:rsidP="0072067B">
            <w:pPr>
              <w:spacing w:before="60" w:after="60"/>
              <w:rPr>
                <w:rFonts w:ascii="Arial" w:hAnsi="Arial" w:cs="Arial"/>
                <w:b/>
                <w:color w:val="FF0000"/>
                <w:sz w:val="20"/>
                <w:szCs w:val="20"/>
              </w:rPr>
            </w:pPr>
            <w:r>
              <w:rPr>
                <w:rFonts w:ascii="Arial" w:hAnsi="Arial"/>
                <w:i/>
                <w:color w:val="FF0000"/>
                <w:sz w:val="18"/>
              </w:rPr>
              <w:t xml:space="preserve">Tento dokument </w:t>
            </w:r>
            <w:r>
              <w:rPr>
                <w:rFonts w:ascii="Arial" w:hAnsi="Arial"/>
                <w:i/>
                <w:color w:val="FF0000"/>
                <w:sz w:val="18"/>
              </w:rPr>
              <w:t>slouží</w:t>
            </w:r>
            <w:r>
              <w:rPr>
                <w:rFonts w:ascii="Arial" w:hAnsi="Arial"/>
                <w:i/>
                <w:color w:val="FF0000"/>
                <w:sz w:val="18"/>
              </w:rPr>
              <w:t xml:space="preserve"> pouze k informačním účelům. Nepředjímá konečné rozhodnutí Komise o tom, zda tato iniciativa bude pokračovat, ani o jejím konečném obsahu. Všechny prvky iniciativy popsané v tomto dokumentu, včetně harmonogramu, se mohou změnit.</w:t>
            </w:r>
          </w:p>
        </w:tc>
      </w:tr>
    </w:tbl>
    <w:p w:rsidR="00BA33B7" w:rsidRPr="00347966">
      <w:pPr>
        <w:rPr>
          <w:sz w:val="20"/>
          <w:szCs w:val="20"/>
        </w:rPr>
        <w:sectPr w:rsidSect="00E72EF2">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851" w:left="1134" w:header="709" w:footer="709" w:gutter="0"/>
          <w:cols w:space="708"/>
          <w:titlePg/>
          <w:docGrid w:linePitch="360"/>
        </w:sectPr>
      </w:pPr>
    </w:p>
    <w:p w:rsidR="00BA33B7" w:rsidRPr="00347966">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002D1A81">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347966" w:rsidP="00AB4B4B">
            <w:pPr>
              <w:spacing w:before="60" w:after="60"/>
              <w:jc w:val="center"/>
              <w:rPr>
                <w:rFonts w:ascii="Arial" w:hAnsi="Arial" w:cs="Arial"/>
                <w:b/>
              </w:rPr>
            </w:pPr>
            <w:r>
              <w:rPr>
                <w:rFonts w:ascii="Arial" w:hAnsi="Arial"/>
                <w:b/>
              </w:rPr>
              <w:t>A. Politické souvislosti, vymezení problému a kontrola subsidiarity</w:t>
            </w:r>
          </w:p>
        </w:tc>
      </w:tr>
      <w:tr w:rsidTr="002D1A81">
        <w:tblPrEx>
          <w:tblW w:w="10188" w:type="dxa"/>
          <w:tblLook w:val="01E0"/>
        </w:tblPrEx>
        <w:tc>
          <w:tcPr>
            <w:tcW w:w="10188" w:type="dxa"/>
            <w:tcBorders>
              <w:bottom w:val="single" w:sz="4" w:space="0" w:color="auto"/>
            </w:tcBorders>
            <w:shd w:val="clear" w:color="auto" w:fill="E6E6E6"/>
          </w:tcPr>
          <w:p w:rsidR="009E6661" w:rsidRPr="00347966" w:rsidP="00347966">
            <w:pPr>
              <w:spacing w:before="120" w:after="120"/>
              <w:jc w:val="both"/>
              <w:rPr>
                <w:rFonts w:ascii="Arial" w:hAnsi="Arial" w:cs="Arial"/>
              </w:rPr>
            </w:pPr>
            <w:r>
              <w:rPr>
                <w:rFonts w:ascii="Arial" w:hAnsi="Arial"/>
                <w:b/>
              </w:rPr>
              <w:t xml:space="preserve">Politické souvislosti </w:t>
            </w:r>
          </w:p>
        </w:tc>
      </w:tr>
      <w:tr w:rsidTr="002D1A81">
        <w:tblPrEx>
          <w:tblW w:w="10188" w:type="dxa"/>
          <w:tblLook w:val="01E0"/>
        </w:tblPrEx>
        <w:tc>
          <w:tcPr>
            <w:tcW w:w="10188" w:type="dxa"/>
            <w:tcBorders>
              <w:bottom w:val="single" w:sz="4" w:space="0" w:color="auto"/>
            </w:tcBorders>
            <w:shd w:val="clear" w:color="auto" w:fill="auto"/>
          </w:tcPr>
          <w:p w:rsidR="00187995" w:rsidP="00E15492">
            <w:pPr>
              <w:spacing w:before="120" w:after="120"/>
              <w:jc w:val="both"/>
              <w:rPr>
                <w:rFonts w:ascii="Arial" w:hAnsi="Arial" w:cs="Arial"/>
                <w:sz w:val="20"/>
                <w:szCs w:val="20"/>
              </w:rPr>
            </w:pPr>
            <w:r>
              <w:rPr>
                <w:rFonts w:ascii="Arial" w:hAnsi="Arial"/>
                <w:sz w:val="20"/>
              </w:rPr>
              <w:t>Předsedkyně von der Leyenová ve svém</w:t>
            </w:r>
            <w:r>
              <w:fldChar w:fldCharType="begin"/>
            </w:r>
            <w:r>
              <w:instrText xml:space="preserve"> HYPERLINK "https://ec.europa.eu/commission/presscorner/detail/en/speech_22_5493" </w:instrText>
            </w:r>
            <w:r>
              <w:fldChar w:fldCharType="separate"/>
            </w:r>
            <w:r>
              <w:rPr>
                <w:rStyle w:val="Hyperlink"/>
                <w:rFonts w:ascii="Arial" w:hAnsi="Arial"/>
                <w:sz w:val="20"/>
              </w:rPr>
              <w:t xml:space="preserve"> projevu o stavu Unie v roce 2022</w:t>
            </w:r>
            <w:r>
              <w:fldChar w:fldCharType="end"/>
            </w:r>
            <w:r>
              <w:t xml:space="preserve"> </w:t>
            </w:r>
            <w:r>
              <w:rPr>
                <w:rFonts w:ascii="Arial" w:hAnsi="Arial"/>
                <w:sz w:val="20"/>
              </w:rPr>
              <w:t xml:space="preserve">oznámila, že aby se napomohlo vyřešit závažný nedostatek pracovních sil, jemuž čelí evropští zaměstnavatelé, navrhne Komise Evropský rok dovedností a </w:t>
            </w:r>
            <w:r>
              <w:rPr>
                <w:rFonts w:ascii="Arial" w:hAnsi="Arial"/>
                <w:sz w:val="20"/>
              </w:rPr>
              <w:t>předloží</w:t>
            </w:r>
            <w:r>
              <w:rPr>
                <w:rFonts w:ascii="Arial" w:hAnsi="Arial"/>
                <w:sz w:val="20"/>
              </w:rPr>
              <w:t xml:space="preserve"> iniciativu týkající se uznávání kvalifikací státních příslušníků třetích zemí. Tato iniciativa je součástí pracovního programu Komise na rok 2023.</w:t>
            </w:r>
          </w:p>
          <w:p w:rsidR="00187995" w:rsidP="00E15492">
            <w:pPr>
              <w:spacing w:before="120" w:after="120"/>
              <w:jc w:val="both"/>
              <w:rPr>
                <w:rFonts w:ascii="Arial" w:hAnsi="Arial" w:cs="Arial"/>
                <w:sz w:val="20"/>
                <w:szCs w:val="20"/>
              </w:rPr>
            </w:pPr>
            <w:r>
              <w:rPr>
                <w:rFonts w:ascii="Arial" w:hAnsi="Arial"/>
                <w:sz w:val="20"/>
              </w:rPr>
              <w:t>V návaznosti na tento závazek přijme Komise balíček zaměřený na maximalizaci potenciálu mobility talentů v rámci Evropského roku dovedností. Ten bude zahrnovat sdělení, doporučení Komise o uznávání kvalifikací státních příslušníků třetích zemí, legislativní návrh rezervoáru talentů EU a návrh doporučení Rady o rámci mobility ve vzdělávání. Tato výzva k předložení faktických podkladů se zabývá prvními dvěma prvky balíčku</w:t>
            </w:r>
            <w:r>
              <w:rPr>
                <w:rStyle w:val="FootnoteReference"/>
                <w:rFonts w:ascii="Arial" w:hAnsi="Arial" w:cs="Arial"/>
                <w:sz w:val="20"/>
                <w:szCs w:val="20"/>
              </w:rPr>
              <w:footnoteReference w:id="2"/>
            </w:r>
            <w:r>
              <w:rPr>
                <w:rFonts w:ascii="Arial" w:hAnsi="Arial"/>
                <w:sz w:val="20"/>
              </w:rPr>
              <w:t>.</w:t>
            </w:r>
          </w:p>
          <w:p w:rsidR="00B275A6" w:rsidP="00E15492">
            <w:pPr>
              <w:spacing w:before="120" w:after="120"/>
              <w:jc w:val="both"/>
              <w:rPr>
                <w:rFonts w:ascii="Arial" w:hAnsi="Arial" w:cs="Arial"/>
                <w:sz w:val="20"/>
                <w:szCs w:val="20"/>
              </w:rPr>
            </w:pPr>
            <w:r>
              <w:rPr>
                <w:rFonts w:ascii="Arial" w:hAnsi="Arial"/>
                <w:sz w:val="20"/>
              </w:rPr>
              <w:t xml:space="preserve">Balíček </w:t>
            </w:r>
            <w:r>
              <w:rPr>
                <w:rFonts w:ascii="Arial" w:hAnsi="Arial"/>
                <w:sz w:val="20"/>
              </w:rPr>
              <w:t>podpoří</w:t>
            </w:r>
            <w:r>
              <w:rPr>
                <w:rFonts w:ascii="Arial" w:hAnsi="Arial"/>
                <w:sz w:val="20"/>
              </w:rPr>
              <w:t xml:space="preserve"> </w:t>
            </w:r>
            <w:r>
              <w:fldChar w:fldCharType="begin"/>
            </w:r>
            <w:r>
              <w:instrText xml:space="preserve"> HYPERLINK "https://ec.europa.eu/social/main.jsp?catId=1223&amp;langId=cs" </w:instrText>
            </w:r>
            <w:r>
              <w:fldChar w:fldCharType="separate"/>
            </w:r>
            <w:r>
              <w:rPr>
                <w:rStyle w:val="Hyperlink"/>
                <w:rFonts w:ascii="Arial" w:hAnsi="Arial"/>
                <w:sz w:val="20"/>
              </w:rPr>
              <w:t>Evropskou agendu dovedností</w:t>
            </w:r>
            <w:r>
              <w:fldChar w:fldCharType="end"/>
            </w:r>
            <w:r>
              <w:rPr>
                <w:rFonts w:ascii="Arial" w:hAnsi="Arial"/>
                <w:sz w:val="20"/>
              </w:rPr>
              <w:t xml:space="preserve"> a bude pokračováním práce na </w:t>
            </w:r>
            <w:r>
              <w:fldChar w:fldCharType="begin"/>
            </w:r>
            <w:r>
              <w:instrText xml:space="preserve"> HYPERLINK "https://commission.europa.eu/strategy-and-policy/priorities-2019-2024/promoting-our-european-way-life/new-pact-migration-and-asylum_cs" </w:instrText>
            </w:r>
            <w:r>
              <w:fldChar w:fldCharType="separate"/>
            </w:r>
            <w:r>
              <w:rPr>
                <w:rStyle w:val="Hyperlink"/>
                <w:rFonts w:ascii="Arial" w:hAnsi="Arial"/>
                <w:sz w:val="20"/>
              </w:rPr>
              <w:t>paktu o migraci a azylu</w:t>
            </w:r>
            <w:r>
              <w:fldChar w:fldCharType="end"/>
            </w:r>
            <w:r>
              <w:rPr>
                <w:rFonts w:ascii="Arial" w:hAnsi="Arial"/>
                <w:sz w:val="20"/>
              </w:rPr>
              <w:t xml:space="preserve"> a na </w:t>
            </w:r>
            <w:r>
              <w:fldChar w:fldCharType="begin"/>
            </w:r>
            <w:r>
              <w:instrText xml:space="preserve"> HYPERLINK "https://ec.europa.eu/commission/presscorner/detail/cs/IP_22_2654" </w:instrText>
            </w:r>
            <w:r>
              <w:fldChar w:fldCharType="separate"/>
            </w:r>
            <w:r>
              <w:rPr>
                <w:rStyle w:val="Hyperlink"/>
                <w:rFonts w:ascii="Arial" w:hAnsi="Arial"/>
                <w:sz w:val="20"/>
              </w:rPr>
              <w:t>balíčku opatření týkajících se získávání kvalifikovaných a talentovaných lidí</w:t>
            </w:r>
            <w:r>
              <w:fldChar w:fldCharType="end"/>
            </w:r>
            <w:r>
              <w:rPr>
                <w:rFonts w:ascii="Arial" w:hAnsi="Arial"/>
                <w:sz w:val="20"/>
              </w:rPr>
              <w:t>.</w:t>
            </w:r>
            <w:r>
              <w:t xml:space="preserve"> </w:t>
            </w:r>
            <w:r>
              <w:rPr>
                <w:rFonts w:ascii="Arial" w:hAnsi="Arial"/>
                <w:sz w:val="20"/>
              </w:rPr>
              <w:t xml:space="preserve">Má rovněž přímý význam pro </w:t>
            </w:r>
            <w:r>
              <w:fldChar w:fldCharType="begin"/>
            </w:r>
            <w:r>
              <w:instrText xml:space="preserve"> HYPERLINK "https://home-affairs.ec.europa.eu/policies/migration-and-asylum/legal-migration-and-integration/integration/action-plan-integration-and-inclusion_en" </w:instrText>
            </w:r>
            <w:r>
              <w:fldChar w:fldCharType="separate"/>
            </w:r>
            <w:r>
              <w:rPr>
                <w:rStyle w:val="Hyperlink"/>
                <w:rFonts w:ascii="Arial" w:hAnsi="Arial"/>
                <w:sz w:val="20"/>
              </w:rPr>
              <w:t>akční plán Komise pro integraci a začleňování</w:t>
            </w:r>
            <w:r>
              <w:fldChar w:fldCharType="end"/>
            </w:r>
            <w:r>
              <w:rPr>
                <w:rFonts w:ascii="Arial" w:hAnsi="Arial"/>
                <w:sz w:val="20"/>
              </w:rPr>
              <w:t>, jehož cílem je zajistit rychlejší a spravedlivější začleňování migrantů na trh práce, a pro</w:t>
            </w:r>
            <w:r>
              <w:t xml:space="preserve"> </w:t>
            </w:r>
            <w:r>
              <w:fldChar w:fldCharType="begin"/>
            </w:r>
            <w:r>
              <w:instrText xml:space="preserve"> HYPERLINK "https://ec.europa.eu/commission/presscorner/detail/cs/ip_23_510" </w:instrText>
            </w:r>
            <w:r>
              <w:fldChar w:fldCharType="separate"/>
            </w:r>
            <w:r>
              <w:rPr>
                <w:rStyle w:val="Hyperlink"/>
                <w:rFonts w:ascii="Arial" w:hAnsi="Arial"/>
                <w:sz w:val="20"/>
              </w:rPr>
              <w:t>průmyslový plán Komise v rámci Zelené dohody pro Evropu</w:t>
            </w:r>
            <w:r>
              <w:fldChar w:fldCharType="end"/>
            </w:r>
            <w:r>
              <w:rPr>
                <w:rFonts w:ascii="Arial" w:hAnsi="Arial"/>
                <w:sz w:val="20"/>
              </w:rPr>
              <w:t>, který zdůrazňuje potřebu usnadnit uznávání dovedností a kvalifikací pro občany EU i ze zemí mimo EU v odvětvích, která jsou důležitá pro ekologickou transformaci. Rámec mobility ve vzdělávání je klíčem k vytvoření</w:t>
            </w:r>
            <w:r>
              <w:t xml:space="preserve"> </w:t>
            </w:r>
            <w:r>
              <w:fldChar w:fldCharType="begin"/>
            </w:r>
            <w:r>
              <w:instrText xml:space="preserve"> HYPERLINK "https://ec.europa.eu/commission/presscorner/detail/cs/ip_20_1743" </w:instrText>
            </w:r>
            <w:r>
              <w:fldChar w:fldCharType="separate"/>
            </w:r>
            <w:r>
              <w:rPr>
                <w:rStyle w:val="Hyperlink"/>
                <w:rFonts w:ascii="Arial" w:hAnsi="Arial"/>
                <w:sz w:val="20"/>
              </w:rPr>
              <w:t>Evropského prostoru vzdělávání</w:t>
            </w:r>
            <w:r>
              <w:fldChar w:fldCharType="end"/>
            </w:r>
            <w:r>
              <w:rPr>
                <w:rFonts w:ascii="Arial" w:hAnsi="Arial"/>
                <w:sz w:val="20"/>
              </w:rPr>
              <w:t>.</w:t>
            </w:r>
          </w:p>
          <w:p w:rsidR="00BD7F34" w:rsidRPr="00BD7F34" w:rsidP="008C0B52">
            <w:pPr>
              <w:spacing w:before="120" w:after="120"/>
              <w:jc w:val="both"/>
              <w:rPr>
                <w:rFonts w:ascii="Arial" w:hAnsi="Arial" w:cs="Arial"/>
                <w:sz w:val="20"/>
                <w:szCs w:val="20"/>
              </w:rPr>
            </w:pPr>
            <w:r>
              <w:rPr>
                <w:rFonts w:ascii="Arial" w:hAnsi="Arial"/>
                <w:sz w:val="20"/>
              </w:rPr>
              <w:t>Usnadnění uznávání kvalifikací a dovedností získaných v zemích mimo EU je klíčovým faktorem umožňujícím pracovní migraci a integraci migrantů do hostitelských společností. Jak je uvedeno ve sdělení o</w:t>
            </w:r>
            <w:r>
              <w:t xml:space="preserve"> </w:t>
            </w:r>
            <w:r>
              <w:fldChar w:fldCharType="begin"/>
            </w:r>
            <w:r>
              <w:instrText xml:space="preserve"> HYPERLINK "https://commission.europa.eu/system/files/2023-03/Communication_Long-term-competitiveness.pdf" </w:instrText>
            </w:r>
            <w:r>
              <w:fldChar w:fldCharType="separate"/>
            </w:r>
            <w:r>
              <w:rPr>
                <w:rStyle w:val="Hyperlink"/>
                <w:rFonts w:ascii="Arial" w:hAnsi="Arial"/>
                <w:sz w:val="20"/>
              </w:rPr>
              <w:t>dlouhodobé konkurenceschopnosti EU</w:t>
            </w:r>
            <w:r>
              <w:fldChar w:fldCharType="end"/>
            </w:r>
            <w:r>
              <w:rPr>
                <w:rFonts w:ascii="Arial" w:hAnsi="Arial"/>
                <w:sz w:val="20"/>
              </w:rPr>
              <w:t xml:space="preserve">, může tento krok pomoci zmírnit nejnaléhavější nedostatek pracovních sil a dovedností. </w:t>
            </w:r>
            <w:bookmarkStart w:id="0" w:name="_Hlk132127281"/>
            <w:r>
              <w:rPr>
                <w:rFonts w:ascii="Arial" w:hAnsi="Arial"/>
                <w:sz w:val="20"/>
              </w:rPr>
              <w:t xml:space="preserve">Může rovněž usnadnit mobilitu migrantů v rámci EU, což může vést k tomu, že EU jako celek bude </w:t>
            </w:r>
            <w:r>
              <w:rPr>
                <w:rFonts w:ascii="Arial" w:hAnsi="Arial"/>
                <w:sz w:val="20"/>
              </w:rPr>
              <w:t>přitažlivější pro ekonomické migranty s dovednostmi požadovanými zaměstnavateli v EU</w:t>
            </w:r>
            <w:bookmarkEnd w:id="0"/>
            <w:r>
              <w:rPr>
                <w:rFonts w:ascii="Arial" w:hAnsi="Arial"/>
                <w:sz w:val="20"/>
              </w:rPr>
              <w:t xml:space="preserve">. Tento aspekt je rovněž úzce spjat s podporou mobility ve vzdělávání. V důsledku agrese Ruska proti Ukrajině a vysokého počtu vysídlených osob, které uprchly do EU, nabyla na významu otázka, co lze učinit na úrovni EU pro rychlou validaci dovedností a uznávání kvalifikací státních příslušníků třetích zemí. V dubnu 2022 Komise přijala </w:t>
            </w:r>
            <w:r>
              <w:fldChar w:fldCharType="begin"/>
            </w:r>
            <w:r>
              <w:instrText xml:space="preserve"> HYPERLINK "https://eur-lex.europa.eu/legal-content/CS/TXT/PDF/?uri=CELEX:32022H0554&amp;from=CS" </w:instrText>
            </w:r>
            <w:r>
              <w:fldChar w:fldCharType="separate"/>
            </w:r>
            <w:r>
              <w:rPr>
                <w:rStyle w:val="Hyperlink"/>
                <w:rFonts w:ascii="Arial" w:hAnsi="Arial"/>
                <w:sz w:val="20"/>
              </w:rPr>
              <w:t>doporučení</w:t>
            </w:r>
            <w:r>
              <w:fldChar w:fldCharType="end"/>
            </w:r>
            <w:r>
              <w:rPr>
                <w:rFonts w:ascii="Arial" w:hAnsi="Arial"/>
                <w:sz w:val="20"/>
              </w:rPr>
              <w:t xml:space="preserve"> o uznávání kvalifikací osob prchajících před ruskou invazí na Ukrajině. </w:t>
            </w:r>
            <w:r>
              <w:fldChar w:fldCharType="begin"/>
            </w:r>
            <w:r>
              <w:instrText xml:space="preserve"> HYPERLINK "https://single-market-economy.ec.europa.eu/publications/assessment-commission-recommendation-eu-2022554-5-april-2022-recognition-qualifications-people_en" </w:instrText>
            </w:r>
            <w:r>
              <w:fldChar w:fldCharType="separate"/>
            </w:r>
            <w:r>
              <w:rPr>
                <w:rStyle w:val="Hyperlink"/>
                <w:rFonts w:ascii="Arial" w:hAnsi="Arial"/>
                <w:sz w:val="20"/>
              </w:rPr>
              <w:t>Z posouzení</w:t>
            </w:r>
            <w:r>
              <w:fldChar w:fldCharType="end"/>
            </w:r>
            <w:r>
              <w:rPr>
                <w:rFonts w:ascii="Arial" w:hAnsi="Arial"/>
                <w:sz w:val="20"/>
              </w:rPr>
              <w:t xml:space="preserve"> jeho provádění vyplynulo, že členské státy zavedly v této oblasti řadu inovativních postupů s cílem pomoci vysídleným osobám při jejich vstupu na trh práce. Při přípravě sdělení a doporučení Komise </w:t>
            </w:r>
            <w:r>
              <w:rPr>
                <w:rFonts w:ascii="Arial" w:hAnsi="Arial"/>
                <w:sz w:val="20"/>
              </w:rPr>
              <w:t>zváží</w:t>
            </w:r>
            <w:r>
              <w:rPr>
                <w:rFonts w:ascii="Arial" w:hAnsi="Arial"/>
                <w:sz w:val="20"/>
              </w:rPr>
              <w:t>, jak lze tyto zkušenosti uplatnit v širším měřítku.</w:t>
            </w:r>
          </w:p>
        </w:tc>
      </w:tr>
      <w:tr w:rsidTr="002D1A81">
        <w:tblPrEx>
          <w:tblW w:w="10188" w:type="dxa"/>
          <w:tblLook w:val="01E0"/>
        </w:tblPrEx>
        <w:tc>
          <w:tcPr>
            <w:tcW w:w="10188" w:type="dxa"/>
            <w:tcBorders>
              <w:bottom w:val="single" w:sz="4" w:space="0" w:color="auto"/>
            </w:tcBorders>
            <w:shd w:val="clear" w:color="auto" w:fill="E6E6E6"/>
          </w:tcPr>
          <w:p w:rsidR="0071651E" w:rsidRPr="00347966" w:rsidP="00347966">
            <w:pPr>
              <w:spacing w:before="120" w:after="120"/>
              <w:jc w:val="both"/>
              <w:rPr>
                <w:rFonts w:ascii="Arial" w:hAnsi="Arial" w:cs="Arial"/>
              </w:rPr>
            </w:pPr>
            <w:r>
              <w:rPr>
                <w:rFonts w:ascii="Arial" w:hAnsi="Arial"/>
                <w:b/>
              </w:rPr>
              <w:t xml:space="preserve">Problém, který má iniciativa řešit </w:t>
            </w:r>
          </w:p>
        </w:tc>
      </w:tr>
      <w:tr w:rsidTr="002D1A81">
        <w:tblPrEx>
          <w:tblW w:w="10188" w:type="dxa"/>
          <w:tblLook w:val="01E0"/>
        </w:tblPrEx>
        <w:tc>
          <w:tcPr>
            <w:tcW w:w="10188" w:type="dxa"/>
            <w:tcBorders>
              <w:bottom w:val="single" w:sz="4" w:space="0" w:color="auto"/>
            </w:tcBorders>
            <w:shd w:val="clear" w:color="auto" w:fill="auto"/>
          </w:tcPr>
          <w:p w:rsidR="0073150B" w:rsidP="00215D8E">
            <w:pPr>
              <w:spacing w:before="120" w:after="120"/>
              <w:jc w:val="both"/>
              <w:rPr>
                <w:rFonts w:ascii="Arial" w:hAnsi="Arial" w:cs="Arial"/>
                <w:sz w:val="20"/>
                <w:szCs w:val="20"/>
              </w:rPr>
            </w:pPr>
            <w:r>
              <w:rPr>
                <w:rFonts w:ascii="Arial" w:hAnsi="Arial"/>
                <w:sz w:val="20"/>
              </w:rPr>
              <w:t>Nedostatek pracovních sil představuje pro hospodářství EU velkou hrozbu. Brzdí růst, inovační kapacitu a schopnost průmyslu a veřejných orgánů EU řídit digitální a ekologickou transformaci. Očekává se, že v zelené ekonomice bude v příštích desetiletích vytvořeno pět milionů nových pracovních míst.</w:t>
            </w:r>
            <w:r>
              <w:t xml:space="preserve"> </w:t>
            </w:r>
            <w:r>
              <w:rPr>
                <w:rFonts w:ascii="Arial" w:hAnsi="Arial"/>
                <w:sz w:val="20"/>
              </w:rPr>
              <w:t>V klíčových odvětvích, jako je doprava, pracovní síla rychle stárne a v některých povoláních již existují značné nedostatky. Pokud jde o zdravotní a dlouhodobou péči, EU již nemá přibližně 2 miliony pracovníků a do roku 2030 se očekává až 1 milion nových pracovních míst pro zdravotnické pracovníky a pracovníky dlouhodobé péče</w:t>
            </w:r>
            <w:r>
              <w:rPr>
                <w:rStyle w:val="FootnoteReference"/>
                <w:rFonts w:ascii="Arial" w:hAnsi="Arial" w:cs="Arial"/>
                <w:sz w:val="20"/>
                <w:szCs w:val="20"/>
              </w:rPr>
              <w:footnoteReference w:id="3"/>
            </w:r>
            <w:r>
              <w:rPr>
                <w:rFonts w:ascii="Arial" w:hAnsi="Arial"/>
                <w:sz w:val="20"/>
              </w:rPr>
              <w:t xml:space="preserve">. </w:t>
            </w:r>
          </w:p>
          <w:p w:rsidR="00215D8E" w:rsidRPr="006815C9" w:rsidP="00215D8E">
            <w:pPr>
              <w:spacing w:before="120" w:after="120"/>
              <w:jc w:val="both"/>
              <w:rPr>
                <w:rFonts w:ascii="Arial" w:hAnsi="Arial" w:cs="Arial"/>
                <w:sz w:val="20"/>
                <w:szCs w:val="20"/>
              </w:rPr>
            </w:pPr>
            <w:r>
              <w:rPr>
                <w:rFonts w:ascii="Arial" w:hAnsi="Arial"/>
                <w:sz w:val="20"/>
              </w:rPr>
              <w:t>Nedostatek pracovních sil má několik hlavních příčin. Prohlubování dovedností má zásadní význam pro digitální transformaci, EU zde však zaostává. Chybí nám například 11 milionů z celkových 20 milionů odborníků v oblasti IKT, což je cíl do roku 2030, jehož smyslem je, aby náš kontinent získal vedoucí postavení v digitální oblasti a aby se podpořila odvětví, jako jsou data, umělá inteligence, kybernetická bezpečnost a polovodiče, která jsou závislá na špičkových technologiích. Pro řešení těchto nedostatků v oblasti dovedností mají zásadní význam opatření zaměřená na zvyšování kvalifikace a rekvalifikaci pracovní síly EU a na uvedení významné neaktivní populace (včetně mnoha migrantů a uprchlíků) na trh práce. Zpráva</w:t>
            </w:r>
            <w:r>
              <w:t xml:space="preserve"> </w:t>
            </w:r>
            <w:r>
              <w:fldChar w:fldCharType="begin"/>
            </w:r>
            <w:r>
              <w:instrText xml:space="preserve"> HYPERLINK "https://ec.europa.eu/commission/presscorner/detail/en/ip_23_3704" </w:instrText>
            </w:r>
            <w:r>
              <w:fldChar w:fldCharType="separate"/>
            </w:r>
            <w:r>
              <w:rPr>
                <w:rStyle w:val="Hyperlink"/>
                <w:rFonts w:ascii="Arial" w:hAnsi="Arial"/>
                <w:sz w:val="20"/>
              </w:rPr>
              <w:t>o vývoji zaměstnanosti a sociální situace v Evropě (ESDE)</w:t>
            </w:r>
            <w:r>
              <w:fldChar w:fldCharType="end"/>
            </w:r>
            <w:r>
              <w:t xml:space="preserve"> </w:t>
            </w:r>
            <w:r>
              <w:rPr>
                <w:rFonts w:ascii="Arial" w:hAnsi="Arial"/>
                <w:sz w:val="20"/>
              </w:rPr>
              <w:t>z roku 2023 ukazuje, že účast na trhu práce je nižší u žen, osob s nižším vzděláním, osob přistěhovaleckého původu a osob ve starším a mladším věku. Ačkoli jsou opatření zaměřená na stávající pracovní sílu v EU nepostradatelná a usilovně se na nich pracuje, nebudou sama o sobě stačit. Jak je uvedeno v</w:t>
            </w:r>
            <w:r>
              <w:t xml:space="preserve"> </w:t>
            </w:r>
            <w:r>
              <w:fldChar w:fldCharType="begin"/>
            </w:r>
            <w:r>
              <w:instrText xml:space="preserve"> HYPERLINK "https://eur-lex.europa.eu/legal-content/CS/ALL/?uri=COM:2022:657:FIN" </w:instrText>
            </w:r>
            <w:r>
              <w:fldChar w:fldCharType="separate"/>
            </w:r>
            <w:r>
              <w:rPr>
                <w:rStyle w:val="Hyperlink"/>
                <w:rFonts w:ascii="Arial" w:hAnsi="Arial"/>
                <w:sz w:val="20"/>
              </w:rPr>
              <w:t>balíčku opatření týkajících se získávání kvalifikovaných a talentovaných lidí</w:t>
            </w:r>
            <w:r>
              <w:fldChar w:fldCharType="end"/>
            </w:r>
            <w:r>
              <w:rPr>
                <w:rFonts w:ascii="Arial" w:hAnsi="Arial"/>
                <w:sz w:val="20"/>
              </w:rPr>
              <w:t xml:space="preserve">, bez mezinárodního rozměru se </w:t>
            </w:r>
            <w:r>
              <w:rPr>
                <w:rFonts w:ascii="Arial" w:hAnsi="Arial"/>
                <w:sz w:val="20"/>
              </w:rPr>
              <w:t>nepodaří</w:t>
            </w:r>
            <w:r>
              <w:rPr>
                <w:rFonts w:ascii="Arial" w:hAnsi="Arial"/>
                <w:sz w:val="20"/>
              </w:rPr>
              <w:t xml:space="preserve"> tuto problematiku vyřešit. </w:t>
            </w:r>
          </w:p>
          <w:p w:rsidR="00215D8E" w:rsidRPr="006815C9" w:rsidP="00215D8E">
            <w:pPr>
              <w:spacing w:before="120" w:after="120"/>
              <w:jc w:val="both"/>
              <w:rPr>
                <w:rFonts w:ascii="Arial" w:hAnsi="Arial" w:cs="Arial"/>
                <w:sz w:val="20"/>
                <w:szCs w:val="20"/>
              </w:rPr>
            </w:pPr>
            <w:r>
              <w:rPr>
                <w:rFonts w:ascii="Arial" w:hAnsi="Arial"/>
                <w:sz w:val="20"/>
              </w:rPr>
              <w:t xml:space="preserve">Pro mnoho kvalifikovaných státních příslušníků třetích zemí není EU nejatraktivnější destinací. V rámci pěti zemích s nejvyšším ukazatelem atraktivity OECD pro vysoce kvalifikované pracovníky figuruje pouze jeden členský stát (Švédsko). </w:t>
            </w:r>
            <w:r>
              <w:fldChar w:fldCharType="begin"/>
            </w:r>
            <w:r>
              <w:instrText xml:space="preserve"> HYPERLINK "https://home-affairs.ec.europa.eu/policies/migration-and-asylum/legal-migration-and-integration/legal-migration-fitness-check_en" </w:instrText>
            </w:r>
            <w:r>
              <w:fldChar w:fldCharType="separate"/>
            </w:r>
            <w:r>
              <w:rPr>
                <w:rStyle w:val="Hyperlink"/>
                <w:rFonts w:ascii="Arial" w:hAnsi="Arial"/>
                <w:sz w:val="20"/>
              </w:rPr>
              <w:t>Kontrola účelnosti v oblasti legální migrace z roku 2019</w:t>
            </w:r>
            <w:r>
              <w:fldChar w:fldCharType="end"/>
            </w:r>
            <w:r>
              <w:rPr>
                <w:rFonts w:ascii="Arial" w:hAnsi="Arial"/>
                <w:sz w:val="20"/>
              </w:rPr>
              <w:t xml:space="preserve"> poukázala na řadu důvodů, přičemž jedním z nejdůležitějších je složitost a nedostatečná transparentnost při uznávání kvalifikací státních příslušníků třetích zemí. Zaměstnavatelé, kteří usilují o nábor státních příslušníků třetích zemí, se mohou potýkat se značnými překážkami, včetně obtíží při určování vhodných uchazečů a nedostatku informací o příslušných pravidlech a stávajících nástrojích. Zejména je obtížné nalézt informace o postupech uznávání v jednotlivých členských státech, požadavky jsou někdy nepřiměřené a postupy jsou často příliš zdlouhavé. Zaměstnavatelé a orgány vydávající uznání rovněž často nemají přístup k informacím o obsahu kvalifikace osob ze zemí mimo EU. Orgány vydávající uznání rovněž často postrádají informace o postupech nebo analýzách svých protějšků v jiných členských státech. Potíže s pochopením pravosti, obsahu a úrovně zahraničních kvalifikací a nejasnosti ohledně dovedností získaných v zahraničí proto významně odrazují zaměstnavatele v EU od náboru státních příslušníků třetích zemí. S podobnými obtížemi se mohou potýkat i občané EU, kteří získali kvalifikaci v zemích mimo EU. To má dopad jak na regulovaná, tak na neregulovaná povolání.</w:t>
            </w:r>
          </w:p>
          <w:p w:rsidR="00215D8E" w:rsidRPr="006815C9" w:rsidP="0090779D">
            <w:pPr>
              <w:spacing w:before="120" w:after="120"/>
              <w:jc w:val="both"/>
              <w:rPr>
                <w:rFonts w:ascii="Arial" w:hAnsi="Arial" w:cs="Arial"/>
                <w:sz w:val="20"/>
                <w:szCs w:val="20"/>
              </w:rPr>
            </w:pPr>
            <w:r>
              <w:rPr>
                <w:rFonts w:ascii="Arial" w:hAnsi="Arial"/>
                <w:sz w:val="20"/>
              </w:rPr>
              <w:t>Výsledná situace ovlivňuje nejen atraktivitu EU, ale vede také k „plýtvání mozky“ (migranti pracují pod úrovní své kvalifikace) v celé EU. Podle</w:t>
            </w:r>
            <w:r>
              <w:fldChar w:fldCharType="begin"/>
            </w:r>
            <w:r>
              <w:instrText xml:space="preserve"> HYPERLINK "https://ec.europa.eu/eurostat/databrowser/view/lfsa_eoqgan/default/table?lang=en" </w:instrText>
            </w:r>
            <w:r>
              <w:fldChar w:fldCharType="separate"/>
            </w:r>
            <w:r>
              <w:rPr>
                <w:rStyle w:val="Hyperlink"/>
                <w:rFonts w:ascii="Arial" w:hAnsi="Arial"/>
                <w:sz w:val="20"/>
              </w:rPr>
              <w:t xml:space="preserve"> Eurostatu</w:t>
            </w:r>
            <w:r>
              <w:fldChar w:fldCharType="end"/>
            </w:r>
            <w:r>
              <w:rPr>
                <w:rFonts w:ascii="Arial" w:hAnsi="Arial"/>
                <w:sz w:val="20"/>
              </w:rPr>
              <w:t xml:space="preserve"> má více než čtvrtina migrantů vysokou kvalifikaci, přičemž téměř 40 % má vyšší kvalifikaci, než jaká je nutná pro práci, kterou vykonávají (tj. pracují v povoláních s nízkou nebo střední kvalifikací navzdory jejich vysoké úrovni vzdělání). U občanů EU, kteří pobývají ve vlastní zemi, to činí 20 %. Posouzení doporučení Komise o uznávání kvalifikací osob prchajících před ruskou invazí na Ukrajině rovněž zdůrazňuje „potenciální riziko, že kvalifikovaní ukrajinští odborníci mohou uvíznout na pozicích asistentů“. Akční plán pro integraci a začleňování na období 2021–2027 uznává, že usnadnění uznávání kvalifikací získaných v zemích mimo EU je klíčem k rychlejšímu a spravedlivějšímu začleňování migrantů na trh práce a umožní jim co nejlépe využít jejich kompetencí a dovedností.</w:t>
            </w:r>
          </w:p>
          <w:p w:rsidR="00215D8E" w:rsidRPr="006815C9" w:rsidP="00BC211A">
            <w:pPr>
              <w:spacing w:before="120" w:after="120"/>
              <w:jc w:val="both"/>
              <w:rPr>
                <w:rFonts w:ascii="Arial" w:hAnsi="Arial" w:cs="Arial"/>
                <w:i/>
                <w:color w:val="00B050"/>
                <w:sz w:val="20"/>
                <w:szCs w:val="20"/>
              </w:rPr>
            </w:pPr>
            <w:r>
              <w:rPr>
                <w:rFonts w:ascii="Arial" w:hAnsi="Arial"/>
                <w:sz w:val="20"/>
              </w:rPr>
              <w:t>Údaje o dovednostech získané na úrovni EU (střediskem Cedefop, Evropským orgánem pro pracovní záležitosti, Eurostatem atd.) i na vnitrostátní a regionální úrovni lze strategičtěji</w:t>
            </w:r>
            <w:r>
              <w:t xml:space="preserve"> </w:t>
            </w:r>
            <w:r>
              <w:rPr>
                <w:rFonts w:ascii="Arial" w:hAnsi="Arial"/>
                <w:sz w:val="20"/>
              </w:rPr>
              <w:t>využít jako podklad pro politiky EU v oblasti migrace pracovních sil a uznávání dovedností a kvalifikací a pomoci EU přizpůsobit se měnícím se potřebám trhu práce. První zasedání</w:t>
            </w:r>
            <w:r>
              <w:t xml:space="preserve"> </w:t>
            </w:r>
            <w:r>
              <w:fldChar w:fldCharType="begin"/>
            </w:r>
            <w:r>
              <w:instrText xml:space="preserve"> HYPERLINK "https://ec.europa.eu/commission/presscorner/detail/en/ip_23_103" </w:instrText>
            </w:r>
            <w:r>
              <w:fldChar w:fldCharType="separate"/>
            </w:r>
            <w:r>
              <w:rPr>
                <w:rStyle w:val="Hyperlink"/>
                <w:rFonts w:ascii="Arial" w:hAnsi="Arial"/>
                <w:sz w:val="20"/>
              </w:rPr>
              <w:t>platformy pro migraci pracovních sil</w:t>
            </w:r>
            <w:r>
              <w:fldChar w:fldCharType="end"/>
            </w:r>
            <w:r>
              <w:t xml:space="preserve"> </w:t>
            </w:r>
            <w:r>
              <w:rPr>
                <w:rFonts w:ascii="Arial" w:hAnsi="Arial"/>
                <w:sz w:val="20"/>
              </w:rPr>
              <w:t xml:space="preserve">dne 10. ledna 2023 ukázalo, že členské státy nepostupují jednotně, pokud jde o způsob, jakým určují nedostatek na trhu práce a jakým zahrnují tyto informace do tvorby politik v oblasti migrace pracovních sil (pokud vůbec). </w:t>
            </w:r>
          </w:p>
        </w:tc>
      </w:tr>
      <w:tr w:rsidTr="002D1A81">
        <w:tblPrEx>
          <w:tblW w:w="10188" w:type="dxa"/>
          <w:tblLook w:val="01E0"/>
        </w:tblPrEx>
        <w:tc>
          <w:tcPr>
            <w:tcW w:w="10188" w:type="dxa"/>
            <w:tcBorders>
              <w:bottom w:val="single" w:sz="4" w:space="0" w:color="auto"/>
            </w:tcBorders>
            <w:shd w:val="clear" w:color="auto" w:fill="E6E6E6"/>
          </w:tcPr>
          <w:p w:rsidR="009E6661" w:rsidRPr="006815C9" w:rsidP="00347966">
            <w:pPr>
              <w:spacing w:before="120" w:after="120"/>
              <w:jc w:val="both"/>
              <w:rPr>
                <w:rFonts w:ascii="Arial" w:hAnsi="Arial" w:cs="Arial"/>
              </w:rPr>
            </w:pPr>
            <w:r>
              <w:rPr>
                <w:rFonts w:ascii="Arial" w:hAnsi="Arial"/>
                <w:b/>
              </w:rPr>
              <w:t xml:space="preserve">Základ pro opatření na úrovni EU (právní základ a kontrola subsidiarity) </w:t>
            </w:r>
          </w:p>
        </w:tc>
      </w:tr>
      <w:tr w:rsidTr="002D1A81">
        <w:tblPrEx>
          <w:tblW w:w="10188" w:type="dxa"/>
          <w:tblLook w:val="01E0"/>
        </w:tblPrEx>
        <w:tc>
          <w:tcPr>
            <w:tcW w:w="10188" w:type="dxa"/>
            <w:shd w:val="clear" w:color="auto" w:fill="D9D9D9" w:themeFill="background1" w:themeFillShade="D9"/>
          </w:tcPr>
          <w:p w:rsidR="002B1AA3" w:rsidRPr="006815C9" w:rsidP="001533F9">
            <w:pPr>
              <w:spacing w:before="120" w:after="120"/>
              <w:jc w:val="both"/>
              <w:rPr>
                <w:rFonts w:ascii="Arial" w:hAnsi="Arial" w:cs="Arial"/>
                <w:b/>
                <w:color w:val="1036A0"/>
              </w:rPr>
            </w:pPr>
            <w:r>
              <w:rPr>
                <w:rFonts w:ascii="Arial" w:hAnsi="Arial"/>
                <w:b/>
              </w:rPr>
              <w:t>Právní základ</w:t>
            </w:r>
          </w:p>
        </w:tc>
      </w:tr>
      <w:tr w:rsidTr="002D1A81">
        <w:tblPrEx>
          <w:tblW w:w="10188" w:type="dxa"/>
          <w:tblLook w:val="01E0"/>
        </w:tblPrEx>
        <w:tc>
          <w:tcPr>
            <w:tcW w:w="10188" w:type="dxa"/>
            <w:shd w:val="clear" w:color="auto" w:fill="auto"/>
          </w:tcPr>
          <w:p w:rsidR="008554CE" w:rsidP="003D6DDA">
            <w:pPr>
              <w:spacing w:before="120" w:after="120"/>
              <w:jc w:val="both"/>
              <w:rPr>
                <w:rFonts w:ascii="Arial" w:hAnsi="Arial" w:cs="Arial"/>
                <w:sz w:val="20"/>
                <w:szCs w:val="20"/>
              </w:rPr>
            </w:pPr>
            <w:r>
              <w:rPr>
                <w:rFonts w:ascii="Arial" w:hAnsi="Arial"/>
                <w:sz w:val="20"/>
              </w:rPr>
              <w:t xml:space="preserve">Sdělení stanoví opatření v různých oblastech politiky, včetně politiky v oblasti dovedností, uznávání odborných kvalifikací členskými státy, vzdělávací politiky a politiky legální migrace a integrace. Články 165 a 166 SFEU poskytují základ pro činnost EU v oblasti vzdělávání, včetně mobility studentů, a stanoví, že EU musí provádět politiku odborného vzdělávání a podporovat spolupráci se třetími zeměmi v této oblasti. Ustanovení čl. 79 odst. 2 písm. a) a b) SFEU umožňují EU přijmout opatření, která stanoví podmínky vstupu a pobytu státních příslušníků třetích zemí, jakož i práva státních příslušníků třetích zemí oprávněně pobývajících v členském státě.  Zatímco politika integrace migrantů spadá především do pravomoci členských států, čl. 79 odst. 4 umožňuje EU zavést opatření na podporu členských států v této oblasti, jako je sdílení osvědčených postupů. </w:t>
            </w:r>
          </w:p>
          <w:p w:rsidR="002B1AA3" w:rsidRPr="006815C9" w:rsidP="003D6DDA">
            <w:pPr>
              <w:spacing w:before="120" w:after="120"/>
              <w:jc w:val="both"/>
              <w:rPr>
                <w:rFonts w:ascii="Arial" w:hAnsi="Arial" w:cs="Arial"/>
                <w:sz w:val="20"/>
                <w:szCs w:val="20"/>
              </w:rPr>
            </w:pPr>
            <w:r>
              <w:rPr>
                <w:rFonts w:ascii="Arial" w:hAnsi="Arial"/>
                <w:sz w:val="20"/>
              </w:rPr>
              <w:t>Článek 292 SFEU poskytuje Komisi právní základ pro přijímání doporučení.</w:t>
            </w:r>
          </w:p>
        </w:tc>
      </w:tr>
      <w:tr w:rsidTr="002D1A81">
        <w:tblPrEx>
          <w:tblW w:w="10188" w:type="dxa"/>
          <w:tblLook w:val="01E0"/>
        </w:tblPrEx>
        <w:tc>
          <w:tcPr>
            <w:tcW w:w="10188" w:type="dxa"/>
            <w:shd w:val="clear" w:color="auto" w:fill="D9D9D9" w:themeFill="background1" w:themeFillShade="D9"/>
          </w:tcPr>
          <w:p w:rsidR="002B1AA3" w:rsidRPr="006815C9" w:rsidP="001E25A5">
            <w:pPr>
              <w:spacing w:before="120" w:after="120"/>
              <w:jc w:val="both"/>
              <w:rPr>
                <w:rFonts w:ascii="Arial" w:hAnsi="Arial" w:cs="Arial"/>
                <w:b/>
                <w:color w:val="1036A0"/>
              </w:rPr>
            </w:pPr>
            <w:r>
              <w:rPr>
                <w:rFonts w:ascii="Arial" w:hAnsi="Arial"/>
                <w:b/>
                <w:color w:val="000000" w:themeColor="text1"/>
              </w:rPr>
              <w:t>Praktická potřeba opatření na úrovni EU</w:t>
            </w:r>
          </w:p>
        </w:tc>
      </w:tr>
      <w:tr w:rsidTr="002D1A81">
        <w:tblPrEx>
          <w:tblW w:w="10188" w:type="dxa"/>
          <w:tblLook w:val="01E0"/>
        </w:tblPrEx>
        <w:tc>
          <w:tcPr>
            <w:tcW w:w="10188" w:type="dxa"/>
            <w:shd w:val="clear" w:color="auto" w:fill="auto"/>
          </w:tcPr>
          <w:p w:rsidR="00753268" w:rsidRPr="006815C9" w:rsidP="001533F9">
            <w:pPr>
              <w:spacing w:before="120" w:after="120"/>
              <w:jc w:val="both"/>
              <w:rPr>
                <w:rFonts w:ascii="Arial" w:hAnsi="Arial" w:cs="Arial"/>
                <w:sz w:val="20"/>
                <w:szCs w:val="20"/>
              </w:rPr>
            </w:pPr>
            <w:r>
              <w:rPr>
                <w:rFonts w:ascii="Arial" w:hAnsi="Arial"/>
                <w:sz w:val="20"/>
              </w:rPr>
              <w:t>Pakt o migraci a azylu zdůrazňuje, že legální migrace má zásadní význam v rámci komplexního přístupu EU k migraci a přímo přispívá k prioritám EU v oblasti dovedností. Migrační politika EU musí odrážet integraci hospodářství EU a vzájemnou závislost trhů práce členských států. Politika EU v oblasti migrace pracovních sil může pomoci narovnat podmínky na trzích práce jakožto destinacích migrace a pomoci členským státům využít jejich členství v EU jako výhodu pro přilákání talentů. Integrace migračních politik a politik EU v oblasti dovedností a mobility ve vzdělávání může pomoci maximalizovat jejich potenciál.</w:t>
            </w:r>
          </w:p>
          <w:p w:rsidR="00F74036" w:rsidRPr="00290163" w:rsidP="001533F9">
            <w:pPr>
              <w:spacing w:before="120" w:after="120"/>
              <w:jc w:val="both"/>
              <w:rPr>
                <w:rFonts w:ascii="Arial" w:hAnsi="Arial" w:cs="Arial"/>
                <w:sz w:val="20"/>
                <w:szCs w:val="20"/>
              </w:rPr>
            </w:pPr>
            <w:r>
              <w:rPr>
                <w:rFonts w:ascii="Arial" w:hAnsi="Arial"/>
                <w:sz w:val="20"/>
              </w:rPr>
              <w:t>Členské státy mají podobné problémy, pokud jde o uznávání kvalifikací a validaci dovedností získaných v zemích mimo EU. Uplatňování přístupu „dovednosti na prvním místě“, zlepšení spolupráce v oblasti uznávání kvalifikací a validace dovedností a posun ke společnému přístupu by mohly vést k úsporám nákladů pro vnitrostátní orgány a zaměstnavatele, zefektivnit postupy a zvýšit schopnost EU přilákat a co nejlépe využívat talentované pracovníky ze zahraničí. Zkušenosti s doporučením Komise o uznávání kvalifikací osob vysídlených z Ukrajiny rovněž ukázaly význam výměny osvědčených postupů mezi členskými státy, spolupráce se zeměmi mimo EU, využívání elektronických nástrojů a praktických doporučení, která mají vnitrostátním orgánům pomoci zlepšit postupy pro konkrétní skupiny. Opatření týkající se uznávání kvalifikací a validace dovedností státních příslušníků třetích zemí budou muset zajistit rovné zacházení se státními příslušníky EU se stejnou kvalifikací nebo dovednostmi.</w:t>
            </w:r>
          </w:p>
          <w:p w:rsidR="00EF3EB0" w:rsidRPr="006815C9" w:rsidP="004E3729">
            <w:pPr>
              <w:spacing w:before="120" w:after="120"/>
              <w:jc w:val="both"/>
              <w:rPr>
                <w:rFonts w:ascii="Arial" w:hAnsi="Arial" w:cs="Arial"/>
                <w:sz w:val="20"/>
                <w:szCs w:val="20"/>
              </w:rPr>
            </w:pPr>
            <w:r>
              <w:rPr>
                <w:rFonts w:ascii="Arial" w:hAnsi="Arial"/>
                <w:sz w:val="20"/>
              </w:rPr>
              <w:t>Pouze opatření na úrovni EU mohou zlepšit způsob, jakým jsou stávající nástroje EU pro získávání poznatků o dovednostech, dokumentace kvalifikací, transparentnost a uznávání využívány k posílení transparentnosti dovedností a kvalifikací získaných v zemích mimo EU. EU může rovněž podpořit mezinárodní spolupráci s cílem pomoci posílit důvěru, porozumění a transparentnost, pokud jde o dovednosti a kvalifikace, a posílit systémy odborné přípravy a rámce kvalifikací ve třetích zemích. EU má lepší předpoklady ke koordinaci činností v oblasti nadnárodní mobility ve vzdělávání než jednotlivé členské státy, neboť je třeba zapojit organizace v různých zemích.</w:t>
            </w:r>
          </w:p>
        </w:tc>
      </w:tr>
      <w:tr w:rsidTr="002D1A81">
        <w:tblPrEx>
          <w:tblW w:w="10188" w:type="dxa"/>
          <w:tblLook w:val="01E0"/>
        </w:tblPrEx>
        <w:tc>
          <w:tcPr>
            <w:tcW w:w="10188" w:type="dxa"/>
            <w:tcBorders>
              <w:bottom w:val="single" w:sz="4" w:space="0" w:color="auto"/>
            </w:tcBorders>
            <w:shd w:val="clear" w:color="auto" w:fill="0000FF"/>
          </w:tcPr>
          <w:p w:rsidR="00423AEF" w:rsidRPr="006815C9" w:rsidP="00353BFB">
            <w:pPr>
              <w:spacing w:before="60" w:after="60"/>
              <w:jc w:val="both"/>
              <w:rPr>
                <w:rFonts w:ascii="Arial" w:hAnsi="Arial" w:cs="Arial"/>
                <w:b/>
              </w:rPr>
            </w:pPr>
            <w:r>
              <w:rPr>
                <w:rFonts w:ascii="Arial" w:hAnsi="Arial"/>
                <w:b/>
              </w:rPr>
              <w:t xml:space="preserve">B. Čeho má iniciativa dosáhnout a jakým způsobem </w:t>
            </w:r>
          </w:p>
        </w:tc>
      </w:tr>
      <w:tr w:rsidTr="002D1A81">
        <w:tblPrEx>
          <w:tblW w:w="10188" w:type="dxa"/>
          <w:tblLook w:val="01E0"/>
        </w:tblPrEx>
        <w:tc>
          <w:tcPr>
            <w:tcW w:w="10188" w:type="dxa"/>
            <w:tcBorders>
              <w:bottom w:val="single" w:sz="4" w:space="0" w:color="auto"/>
            </w:tcBorders>
            <w:shd w:val="clear" w:color="auto" w:fill="auto"/>
          </w:tcPr>
          <w:p w:rsidR="00B619CC" w:rsidRPr="006815C9" w:rsidP="00DA5548">
            <w:pPr>
              <w:spacing w:before="120" w:after="120"/>
              <w:jc w:val="both"/>
              <w:rPr>
                <w:rFonts w:ascii="Arial" w:hAnsi="Arial" w:cs="Arial"/>
                <w:sz w:val="20"/>
                <w:szCs w:val="20"/>
              </w:rPr>
            </w:pPr>
            <w:r>
              <w:rPr>
                <w:rFonts w:ascii="Arial" w:hAnsi="Arial"/>
                <w:sz w:val="20"/>
              </w:rPr>
              <w:t>Celkovými cíli balíčku bude: i) zvýšit atraktivitu EU pro talentované lidi ze zemí mimo Evropu a snížit náklady zaměstnavatelů na nábor migrantů; ii) zajistit, aby migranti mohli co nejlépe využívat svých dovedností a kvalifikací; iii) prohlubovat spolupráci se zeměmi mimo EU, pokud jde o legální možnosti migrace, a iv) podporovat mobilitu studujících. Balíček bude fungovat v koordinaci s pokračujícím úsilím o rekvalifikaci, zvyšování kvalifikace a aktivaci pracovní síly v EU. Komise se bude snažit zajistit, aby z různých opatření, která mají migrantům pomoci využívat jejich dovednosti a kvalifikace, měli prospěch jak nově příchozí, tak ti, kteří již v EU pobývají.</w:t>
            </w:r>
          </w:p>
          <w:p w:rsidR="00DA5548" w:rsidRPr="006815C9" w:rsidP="00DA5548">
            <w:pPr>
              <w:spacing w:before="120" w:after="120"/>
              <w:jc w:val="both"/>
              <w:rPr>
                <w:rFonts w:ascii="Arial" w:hAnsi="Arial" w:cs="Arial"/>
                <w:sz w:val="20"/>
                <w:szCs w:val="20"/>
              </w:rPr>
            </w:pPr>
            <w:r>
              <w:rPr>
                <w:rFonts w:ascii="Arial" w:hAnsi="Arial"/>
                <w:sz w:val="20"/>
              </w:rPr>
              <w:t xml:space="preserve">Sdělení o maximalizaci potenciálu mobility talentů v rámci Evropského roku dovedností bude kombinovat systémová dlouhodobá opatření s krátkodobými výstupy. Bude zahrnovat důraz na opatření, která jsou relevantní pro odstranění nedostatků v dovednostech v profesích, které podporují ekologickou a digitální transformaci (např. stavebnictví, energetika, doprava), a v odvětvích zdravotnictví a dlouhodobé péče. Opatření týkající se dovedností a státních příslušníků třetích zemí budou začleněna do činnosti agendy dovedností a Evropského roku dovedností, připraví pracovní sílu EU na trh práce a budou sledovat konkrétní cíle, jako je začlenění osob, které nejsou zaměstnané ani se neúčastní vzdělávání nebo odborné přípravy (NEET), zejména osob z přistěhovaleckého prostředí, na trh práce. Bude vycházet ze stávajících oblastí činnosti, včetně provádění balíčku týkajícího se dovedností a talentů přijatého v dubnu 2022, úsilí o zahájení talentových partnerství s vybranými zeměmi mimo EU a činnosti Evropské nadace odborného vzdělávání (ETF). </w:t>
            </w:r>
            <w:r>
              <w:rPr>
                <w:rFonts w:ascii="Arial" w:hAnsi="Arial"/>
                <w:sz w:val="20"/>
              </w:rPr>
              <w:t>Podpoří</w:t>
            </w:r>
            <w:r>
              <w:rPr>
                <w:rFonts w:ascii="Arial" w:hAnsi="Arial"/>
                <w:sz w:val="20"/>
              </w:rPr>
              <w:t xml:space="preserve"> přístup „dovednosti na prvním místě“, zavede praktická opatření, která usnadní uznávání kvalifikací a validace dovedností pro státní příslušníky třetích zemí, a zlepší spolupráci se zeměmi mimo EU v oblasti mobility talentů </w:t>
            </w:r>
            <w:r>
              <w:rPr>
                <w:rFonts w:ascii="Arial" w:hAnsi="Arial"/>
                <w:sz w:val="20"/>
              </w:rPr>
              <w:t xml:space="preserve">a získávání dovedností. Sdělení rovněž představí rezervoár talentů EU a návrh doporučení Rady o mobilitě ve vzdělávání a stanoví způsob jejich vzájemné interakce s dalšími plánovanými opatřeními, která mají EU pomoci přilákat talentované státní příslušníky třetích zemí. </w:t>
            </w:r>
            <w:r>
              <w:rPr>
                <w:rFonts w:ascii="Arial" w:hAnsi="Arial"/>
                <w:sz w:val="20"/>
              </w:rPr>
              <w:t>Zváží</w:t>
            </w:r>
            <w:r>
              <w:rPr>
                <w:rFonts w:ascii="Arial" w:hAnsi="Arial"/>
                <w:sz w:val="20"/>
              </w:rPr>
              <w:t xml:space="preserve"> rovněž úlohu údajů o dovednostech, které EU pomáhají lépe zacílit její iniciativy na mobilitu dovedností a talentů. Prioritou bude řešení nedostatků v oblasti dovedností, s nimiž se potýkají malé a střední podniky.</w:t>
            </w:r>
          </w:p>
          <w:p w:rsidR="00F74036" w:rsidRPr="006815C9" w:rsidP="00034B46">
            <w:pPr>
              <w:spacing w:before="120" w:after="120"/>
              <w:jc w:val="both"/>
              <w:rPr>
                <w:rFonts w:ascii="Arial" w:hAnsi="Arial" w:cs="Arial"/>
                <w:i/>
                <w:color w:val="00B050"/>
                <w:sz w:val="20"/>
                <w:szCs w:val="20"/>
              </w:rPr>
            </w:pPr>
            <w:r>
              <w:rPr>
                <w:rFonts w:ascii="Arial" w:hAnsi="Arial"/>
                <w:sz w:val="20"/>
              </w:rPr>
              <w:t xml:space="preserve">Doporučení o uznávání kvalifikací státních příslušníků třetích zemí stanoví pokyny pro zjednodušení a urychlení uznávání kvalifikací získaných v zemích mimo EU v různých kontextech. </w:t>
            </w:r>
            <w:r>
              <w:rPr>
                <w:rFonts w:ascii="Arial" w:hAnsi="Arial"/>
                <w:sz w:val="20"/>
              </w:rPr>
              <w:t>Zaměří</w:t>
            </w:r>
            <w:r>
              <w:rPr>
                <w:rFonts w:ascii="Arial" w:hAnsi="Arial"/>
                <w:sz w:val="20"/>
              </w:rPr>
              <w:t xml:space="preserve"> se na usnadnění uznávání přístupu k regulovaným povoláním, zejména v odvětvích, po kterých je poptávka; na uznání jako součást řízení o legální migraci; na usnadnění přístupu k zaměstnání a na zpracování žádostí o uznání souvisejících s prioritními povoláními. Postupy uznávání kvalifikací mohou potenciální žadatele odradit nebo vyloučit, a v konečném důsledku tím omezit potenciál země přilákat typ a objem pracovníků nezbytných k řešení nedostatku pracovních sil. Doporučení zdůrazní význam přístupu „dovednosti na prvním místě“, v němž jsou dovednosti jednotlivců chápány a oceňovány, ať už byly získány ve formálním, neformálním nebo informálním prostředí. Formální uznávání kvalifikací by se mělo uplatňovat pouze v nezbytných případech. Znění </w:t>
            </w:r>
            <w:r>
              <w:rPr>
                <w:rFonts w:ascii="Arial" w:hAnsi="Arial"/>
                <w:sz w:val="20"/>
              </w:rPr>
              <w:t>doporučí</w:t>
            </w:r>
            <w:r>
              <w:rPr>
                <w:rFonts w:ascii="Arial" w:hAnsi="Arial"/>
                <w:sz w:val="20"/>
              </w:rPr>
              <w:t xml:space="preserve"> členským státům, aby lépe sladily své postupy uznávání kvalifikací státních příslušníků třetích zemí se systémem stanoveným ve směrnici 2005/36/ES, zjednodušily postupy, zkrátily dobu zpracování a umožnily přístup k elektronickým postupům s cílem snížit zátěž pro žadatele a zároveň zajistit spolehlivost systému. Doporučení se inspiruje zkušenostmi získanými při usnadňování uznávání kvalifikací pro osoby prchající před agresí Ruska proti Ukrajině. </w:t>
            </w:r>
          </w:p>
        </w:tc>
      </w:tr>
      <w:tr w:rsidTr="002D1A81">
        <w:tblPrEx>
          <w:tblW w:w="10188" w:type="dxa"/>
          <w:tblLook w:val="01E0"/>
        </w:tblPrEx>
        <w:tc>
          <w:tcPr>
            <w:tcW w:w="10188" w:type="dxa"/>
            <w:tcBorders>
              <w:bottom w:val="single" w:sz="4" w:space="0" w:color="auto"/>
            </w:tcBorders>
            <w:shd w:val="clear" w:color="auto" w:fill="D9D9D9" w:themeFill="background1" w:themeFillShade="D9"/>
          </w:tcPr>
          <w:p w:rsidR="00990974" w:rsidRPr="006815C9" w:rsidP="006C75CC">
            <w:pPr>
              <w:spacing w:before="60" w:after="60"/>
              <w:jc w:val="both"/>
              <w:rPr>
                <w:rFonts w:ascii="Arial" w:hAnsi="Arial" w:cs="Arial"/>
                <w:b/>
                <w:sz w:val="20"/>
                <w:szCs w:val="20"/>
              </w:rPr>
            </w:pPr>
            <w:r>
              <w:rPr>
                <w:rFonts w:ascii="Arial" w:hAnsi="Arial"/>
                <w:b/>
                <w:sz w:val="20"/>
              </w:rPr>
              <w:t>Pravděpodobné dopady</w:t>
            </w:r>
          </w:p>
        </w:tc>
      </w:tr>
      <w:tr w:rsidTr="002D1A81">
        <w:tblPrEx>
          <w:tblW w:w="10188" w:type="dxa"/>
          <w:tblLook w:val="01E0"/>
        </w:tblPrEx>
        <w:tc>
          <w:tcPr>
            <w:tcW w:w="10188" w:type="dxa"/>
            <w:tcBorders>
              <w:bottom w:val="single" w:sz="4" w:space="0" w:color="auto"/>
            </w:tcBorders>
            <w:shd w:val="clear" w:color="auto" w:fill="auto"/>
          </w:tcPr>
          <w:p w:rsidR="003C54D9" w:rsidRPr="006815C9" w:rsidP="0055371A">
            <w:pPr>
              <w:spacing w:before="120" w:after="120"/>
              <w:jc w:val="both"/>
              <w:rPr>
                <w:rFonts w:ascii="Arial" w:hAnsi="Arial" w:cs="Arial"/>
                <w:sz w:val="20"/>
                <w:szCs w:val="20"/>
              </w:rPr>
            </w:pPr>
            <w:r>
              <w:rPr>
                <w:rFonts w:ascii="Arial" w:hAnsi="Arial"/>
                <w:sz w:val="20"/>
              </w:rPr>
              <w:t xml:space="preserve">Očekává se, že iniciativy budou mít pozitivní hospodářské dopady. Opatření by měla hospodářství EU pomoci získat lepší přístup ke kvalifikované pracovní síle, což by podpořilo růst, inovace a úspěšnou digitální a ekologickou transformaci. Díky přístupu „dovednosti na prvním místě“ se usnadní uznávání kvalifikací a validace dovedností a pomůže uchazečům nalézt volná pracovní místa prostřednictvím rezervoáru talentů EU, </w:t>
            </w:r>
            <w:r>
              <w:rPr>
                <w:rFonts w:ascii="Arial" w:hAnsi="Arial"/>
                <w:sz w:val="20"/>
              </w:rPr>
              <w:t>sníží</w:t>
            </w:r>
            <w:r>
              <w:rPr>
                <w:rFonts w:ascii="Arial" w:hAnsi="Arial"/>
                <w:sz w:val="20"/>
              </w:rPr>
              <w:t xml:space="preserve"> administrativní zátěž a náklady zaměstnavatelů při náboru migrujících pracovníků a zefektivní veřejná správa. To by mělo zatraktivnit EU pro kvalifikované pracovníky ze zemí mimo EU, kteří chtějí pracovat v cílených strategických odvětvích a přispět k zajištění co nejlepšího využití mobility ve vzdělávání. To může být přínosné zejména pro malé a střední podniky, které se často potýkají s omezenými zdroji, které jim brání v náboru pracovníků na mezinárodní úrovni. Iniciativa se bude muset zabývat potenciálními riziky spojenými s odlivem mozků v zemích mimo EU. Sdělení například </w:t>
            </w:r>
            <w:r>
              <w:rPr>
                <w:rFonts w:ascii="Arial" w:hAnsi="Arial"/>
                <w:sz w:val="20"/>
              </w:rPr>
              <w:t>zváží</w:t>
            </w:r>
            <w:r>
              <w:rPr>
                <w:rFonts w:ascii="Arial" w:hAnsi="Arial"/>
                <w:sz w:val="20"/>
              </w:rPr>
              <w:t xml:space="preserve">, jak by EU mohla spolupracovat s ostatními zeměmi v oblasti rozvoje dovedností, aby z toho měli prospěch zaměstnavatelé jak v EU, tak v dotčených zemích mimo EU. </w:t>
            </w:r>
          </w:p>
          <w:p w:rsidR="0055371A" w:rsidRPr="006815C9" w:rsidP="0055371A">
            <w:pPr>
              <w:spacing w:before="120" w:after="120"/>
              <w:jc w:val="both"/>
              <w:rPr>
                <w:rFonts w:ascii="Arial" w:hAnsi="Arial" w:cs="Arial"/>
                <w:sz w:val="20"/>
                <w:szCs w:val="20"/>
              </w:rPr>
            </w:pPr>
            <w:r>
              <w:rPr>
                <w:rFonts w:ascii="Arial" w:hAnsi="Arial"/>
                <w:sz w:val="20"/>
              </w:rPr>
              <w:t xml:space="preserve">Pokud jde o sociální dopady, pozitivní dopad budou mít opatření na aktivaci nevyužitého potenciálu na trhu práce a využívání dovedností státních příslušníků třetích zemí. Usnadnění spravedlivého náboru, podpora přístupu „dovednosti na prvním místě“ a pomoc státním příslušníkům třetích zemí, aby bylo možné snadněji uznávat jejich kvalifikace a ověřovat jejich dovednosti, mohou přispět k jejich integraci a začlenění a k řešení problémů spojených s odlivem mozků v EU. Důležité bude rovněž, aby se opatření pro státní příslušníky třetích zemí zaměřila na odvětví, která se potýkají s nedostatkem pracovních sil, což nelze řešit pouze zvyšováním kvalifikace nebo aktivací domácí pracovní síly EU nebo zlepšováním nevhodných pracovních podmínek, které mohou osoby již pobývající v EU odradit od práce v daném odvětví. </w:t>
            </w:r>
          </w:p>
          <w:p w:rsidR="007E2D0D" w:rsidRPr="006815C9" w:rsidP="0087760A">
            <w:pPr>
              <w:spacing w:before="120" w:after="120"/>
              <w:jc w:val="both"/>
            </w:pPr>
            <w:r>
              <w:rPr>
                <w:rFonts w:ascii="Arial" w:hAnsi="Arial"/>
                <w:sz w:val="20"/>
              </w:rPr>
              <w:t>Neočekává se žádný negativní dopad na základní práva. Tato iniciativa může státním příslušníkům třetích zemí pomoci při výkonu práva pracovat a práva svobodné volby povolání (článek 15 Listiny základních práv Evropské unie). Nebudou existovat žádné konkrétní dopady na životní prostředí a iniciativa by mohla pomoci zajistit dovednosti potřebné pro ekologickou transformaci.</w:t>
            </w:r>
          </w:p>
        </w:tc>
      </w:tr>
      <w:tr w:rsidTr="002D1A81">
        <w:tblPrEx>
          <w:tblW w:w="10188" w:type="dxa"/>
          <w:tblLook w:val="01E0"/>
        </w:tblPrEx>
        <w:tc>
          <w:tcPr>
            <w:tcW w:w="10188" w:type="dxa"/>
            <w:tcBorders>
              <w:bottom w:val="single" w:sz="4" w:space="0" w:color="auto"/>
            </w:tcBorders>
            <w:shd w:val="clear" w:color="auto" w:fill="D9D9D9" w:themeFill="background1" w:themeFillShade="D9"/>
          </w:tcPr>
          <w:p w:rsidR="006C75CC" w:rsidRPr="006815C9" w:rsidP="00A22CFB">
            <w:pPr>
              <w:spacing w:before="60" w:after="60"/>
              <w:jc w:val="both"/>
              <w:rPr>
                <w:rFonts w:ascii="Arial" w:hAnsi="Arial" w:cs="Arial"/>
                <w:color w:val="00B050"/>
                <w:sz w:val="20"/>
                <w:szCs w:val="20"/>
              </w:rPr>
            </w:pPr>
            <w:r>
              <w:rPr>
                <w:rFonts w:ascii="Arial" w:hAnsi="Arial"/>
                <w:b/>
                <w:sz w:val="20"/>
              </w:rPr>
              <w:t>Budoucí monitorování</w:t>
            </w:r>
          </w:p>
        </w:tc>
      </w:tr>
      <w:tr w:rsidTr="002D1A81">
        <w:tblPrEx>
          <w:tblW w:w="10188" w:type="dxa"/>
          <w:tblLook w:val="01E0"/>
        </w:tblPrEx>
        <w:tc>
          <w:tcPr>
            <w:tcW w:w="10188" w:type="dxa"/>
            <w:tcBorders>
              <w:bottom w:val="single" w:sz="4" w:space="0" w:color="auto"/>
            </w:tcBorders>
            <w:shd w:val="clear" w:color="auto" w:fill="auto"/>
          </w:tcPr>
          <w:p w:rsidR="006C75CC" w:rsidRPr="006815C9" w:rsidP="0087760A">
            <w:pPr>
              <w:spacing w:before="120" w:after="120"/>
              <w:jc w:val="both"/>
              <w:rPr>
                <w:rFonts w:ascii="Arial" w:hAnsi="Arial" w:cs="Arial"/>
                <w:color w:val="00B050"/>
                <w:sz w:val="20"/>
                <w:szCs w:val="20"/>
              </w:rPr>
            </w:pPr>
            <w:r>
              <w:rPr>
                <w:rFonts w:ascii="Arial" w:hAnsi="Arial"/>
                <w:sz w:val="20"/>
              </w:rPr>
              <w:t xml:space="preserve">Sdělení stanoví, jak bude zajištěno monitorování opatření, která oznamuje, a jaká budou následná opatření. Doporučení bude monitorováno prostřednictvím skupiny koordinátorů pro odborné kvalifikace, případně po konzultaci s členskými státy a skupinami zúčastněných stran působícími v oblasti dovedností, kvalifikací a migrace, včetně sociálních partnerů. </w:t>
            </w:r>
          </w:p>
        </w:tc>
      </w:tr>
      <w:tr w:rsidTr="002D1A81">
        <w:tblPrEx>
          <w:tblW w:w="10188" w:type="dxa"/>
          <w:tblLook w:val="01E0"/>
        </w:tblPrEx>
        <w:tc>
          <w:tcPr>
            <w:tcW w:w="10188" w:type="dxa"/>
            <w:tcBorders>
              <w:bottom w:val="single" w:sz="4" w:space="0" w:color="auto"/>
            </w:tcBorders>
            <w:shd w:val="clear" w:color="auto" w:fill="0000FF"/>
          </w:tcPr>
          <w:p w:rsidR="0009231D" w:rsidRPr="006815C9" w:rsidP="00353BFB">
            <w:pPr>
              <w:spacing w:before="60" w:after="60"/>
              <w:jc w:val="both"/>
              <w:rPr>
                <w:rFonts w:ascii="Arial" w:hAnsi="Arial" w:cs="Arial"/>
                <w:b/>
              </w:rPr>
            </w:pPr>
            <w:r>
              <w:rPr>
                <w:rFonts w:ascii="Arial" w:hAnsi="Arial"/>
                <w:b/>
              </w:rPr>
              <w:t>C. Zlepšování právní úpravy</w:t>
            </w:r>
          </w:p>
        </w:tc>
      </w:tr>
      <w:tr w:rsidTr="002D1A81">
        <w:tblPrEx>
          <w:tblW w:w="10188" w:type="dxa"/>
          <w:tblLook w:val="01E0"/>
        </w:tblPrEx>
        <w:tc>
          <w:tcPr>
            <w:tcW w:w="10188" w:type="dxa"/>
            <w:tcBorders>
              <w:bottom w:val="single" w:sz="4" w:space="0" w:color="auto"/>
            </w:tcBorders>
            <w:shd w:val="clear" w:color="auto" w:fill="E6E6E6"/>
          </w:tcPr>
          <w:p w:rsidR="00B312B7" w:rsidRPr="006815C9" w:rsidP="000F2CC5">
            <w:pPr>
              <w:spacing w:before="120" w:after="120"/>
              <w:jc w:val="both"/>
              <w:rPr>
                <w:rFonts w:ascii="Arial" w:hAnsi="Arial" w:cs="Arial"/>
                <w:sz w:val="20"/>
                <w:szCs w:val="20"/>
              </w:rPr>
            </w:pPr>
            <w:r>
              <w:rPr>
                <w:rFonts w:ascii="Arial" w:hAnsi="Arial"/>
                <w:b/>
                <w:sz w:val="20"/>
              </w:rPr>
              <w:t xml:space="preserve">Posouzení dopadů </w:t>
            </w:r>
          </w:p>
        </w:tc>
      </w:tr>
      <w:tr w:rsidTr="00CD76DF">
        <w:tblPrEx>
          <w:tblW w:w="10188" w:type="dxa"/>
          <w:tblLook w:val="01E0"/>
        </w:tblPrEx>
        <w:tc>
          <w:tcPr>
            <w:tcW w:w="10188" w:type="dxa"/>
            <w:tcBorders>
              <w:bottom w:val="single" w:sz="4" w:space="0" w:color="auto"/>
            </w:tcBorders>
            <w:shd w:val="clear" w:color="auto" w:fill="auto"/>
          </w:tcPr>
          <w:p w:rsidR="00034B46" w:rsidRPr="006815C9" w:rsidP="00AA35B0">
            <w:pPr>
              <w:spacing w:before="120" w:after="120"/>
              <w:jc w:val="both"/>
              <w:rPr>
                <w:rFonts w:ascii="Arial" w:hAnsi="Arial" w:cs="Arial"/>
                <w:sz w:val="20"/>
                <w:szCs w:val="20"/>
              </w:rPr>
            </w:pPr>
            <w:r>
              <w:rPr>
                <w:rFonts w:ascii="Arial" w:hAnsi="Arial"/>
                <w:sz w:val="20"/>
              </w:rPr>
              <w:t>U těchto iniciativ se neplánuje žádné posouzení dopadů. Sdělení stanovuje obecný politický přístup a následná opatření. Doporučení bude nezávazným aktem EU. Potřeba posoudit dopad budoucích opatření oznámených ve sdělení bude včas posouzena v souladu s pokyny pro zlepšování právní úpravy. Obě iniciativy budou vycházet z řady zdrojů, včetně zpětné vazby k této výzvě k předložení faktických podkladů, příslušných zjištění kontroly účelnosti v oblasti legální migrace z roku 2019 a zkušeností s usnadňováním uznávání kvalifikací osob vysídlených z Ukrajiny.</w:t>
            </w:r>
          </w:p>
          <w:p w:rsidR="00AA35B0" w:rsidRPr="006815C9" w:rsidP="00D75483">
            <w:pPr>
              <w:spacing w:before="120" w:after="120"/>
              <w:jc w:val="both"/>
              <w:rPr>
                <w:rFonts w:ascii="Arial" w:hAnsi="Arial" w:cs="Arial"/>
                <w:color w:val="00B050"/>
                <w:sz w:val="20"/>
                <w:szCs w:val="20"/>
              </w:rPr>
            </w:pPr>
            <w:r>
              <w:rPr>
                <w:rFonts w:ascii="Arial" w:hAnsi="Arial"/>
                <w:sz w:val="20"/>
              </w:rPr>
              <w:t xml:space="preserve">V současné době se provádí posouzení dopadů připravovaného legislativního návrhu o rezervoáru talentů EU. </w:t>
            </w:r>
          </w:p>
        </w:tc>
      </w:tr>
      <w:tr w:rsidTr="002D1A81">
        <w:tblPrEx>
          <w:tblW w:w="10188" w:type="dxa"/>
          <w:tblLook w:val="01E0"/>
        </w:tblPrEx>
        <w:tc>
          <w:tcPr>
            <w:tcW w:w="10188" w:type="dxa"/>
            <w:tcBorders>
              <w:bottom w:val="single" w:sz="4" w:space="0" w:color="auto"/>
            </w:tcBorders>
            <w:shd w:val="clear" w:color="auto" w:fill="E6E6E6"/>
          </w:tcPr>
          <w:p w:rsidR="00B312B7" w:rsidRPr="006815C9" w:rsidP="00BF5565">
            <w:pPr>
              <w:spacing w:before="60" w:after="60"/>
              <w:jc w:val="both"/>
              <w:rPr>
                <w:rFonts w:ascii="Arial" w:hAnsi="Arial" w:cs="Arial"/>
              </w:rPr>
            </w:pPr>
            <w:r>
              <w:rPr>
                <w:rFonts w:ascii="Arial" w:hAnsi="Arial"/>
                <w:b/>
              </w:rPr>
              <w:t xml:space="preserve">Konzultační strategie </w:t>
            </w:r>
          </w:p>
        </w:tc>
      </w:tr>
      <w:tr w:rsidTr="002D1A81">
        <w:tblPrEx>
          <w:tblW w:w="10188" w:type="dxa"/>
          <w:tblLook w:val="01E0"/>
        </w:tblPrEx>
        <w:tc>
          <w:tcPr>
            <w:tcW w:w="10188" w:type="dxa"/>
            <w:tcBorders>
              <w:bottom w:val="single" w:sz="4" w:space="0" w:color="auto"/>
            </w:tcBorders>
            <w:shd w:val="clear" w:color="auto" w:fill="auto"/>
          </w:tcPr>
          <w:p w:rsidR="00330C05" w:rsidRPr="006815C9" w:rsidP="00675EAE">
            <w:pPr>
              <w:spacing w:before="120" w:after="120"/>
              <w:jc w:val="both"/>
              <w:rPr>
                <w:rFonts w:ascii="Arial" w:hAnsi="Arial" w:cs="Arial"/>
                <w:sz w:val="20"/>
                <w:szCs w:val="20"/>
              </w:rPr>
            </w:pPr>
            <w:r>
              <w:rPr>
                <w:rFonts w:ascii="Arial" w:hAnsi="Arial"/>
                <w:sz w:val="20"/>
              </w:rPr>
              <w:t xml:space="preserve">Komise vyzývá zúčastněné strany, aby se prostřednictvím této výzvy k předložení faktických podkladů vyjádřily k připravovanému sdělení a doporučení. Vítány jsou příspěvky od široké veřejnosti, zejména od zaměstnavatelů a organizací zaměstnavatelů, státních příslušníků třetích zemí, kteří mají bydliště v EU nebo mají zájem o zaměstnání v EU, členských států, odborů, vnitrostátních a regionálních orgánů zapojených do uznávání kvalifikací nebo validace dovedností, skupin občanské společnosti včetně organizací migrantů a mezinárodních organizací. </w:t>
            </w:r>
          </w:p>
          <w:p w:rsidR="00442B1F" w:rsidRPr="006815C9" w:rsidP="008E30C9">
            <w:pPr>
              <w:spacing w:before="120" w:after="120"/>
              <w:jc w:val="both"/>
              <w:rPr>
                <w:rFonts w:ascii="Arial" w:hAnsi="Arial" w:cs="Arial"/>
                <w:i/>
                <w:color w:val="1036A0"/>
                <w:sz w:val="20"/>
                <w:szCs w:val="20"/>
              </w:rPr>
            </w:pPr>
            <w:r>
              <w:rPr>
                <w:rFonts w:ascii="Arial" w:hAnsi="Arial"/>
                <w:sz w:val="20"/>
              </w:rPr>
              <w:t>Tato iniciativa bude rovněž vycházet z diskusí zúčastněných stran organizovaných v rámci Evropského roku dovedností a z cílených konzultací za účelem přípravy iniciativy rezervoáru talentů EU, včetně diskusí se sociálními partnery a platformou EU pro pracovní migraci o klíčových překážkách bránících náboru migrantů. Komise rovněž konzultovala s členskými státy doporučení o uznávání kvalifikací osob prchajících před ruskou invazí na Ukrajině. Uznávání kvalifikací bylo předmětem kontroly účelnosti legální migrace dokončené v roce 2019, která se opírala o veřejnou konzultaci.</w:t>
            </w:r>
          </w:p>
        </w:tc>
      </w:tr>
    </w:tbl>
    <w:p w:rsidR="009E6661" w:rsidRPr="00347966" w:rsidP="004B7E6F">
      <w:pPr>
        <w:rPr>
          <w:rFonts w:ascii="Arial" w:hAnsi="Arial" w:cs="Arial"/>
          <w:sz w:val="20"/>
          <w:szCs w:val="20"/>
        </w:rPr>
      </w:pPr>
    </w:p>
    <w:sectPr w:rsidSect="00C9010B">
      <w:footerReference w:type="even" r:id="rId13"/>
      <w:footerReference w:type="default" r:id="rId14"/>
      <w:headerReference w:type="first" r:id="rId15"/>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rFonts w:ascii="Arial" w:hAnsi="Arial"/>
        <w:sz w:val="16"/>
      </w:rPr>
    </w:pPr>
    <w:r>
      <w:tab/>
    </w:r>
    <w:r>
      <w:tab/>
    </w:r>
  </w:p>
  <w:p w:rsidR="00035A3D" w:rsidRPr="002B4E61"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035A3D" w:rsidRPr="002B4E61">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28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rFonts w:ascii="Arial" w:hAnsi="Arial"/>
        <w:sz w:val="16"/>
      </w:rPr>
    </w:pPr>
    <w:r>
      <w:tab/>
    </w:r>
    <w:r>
      <w:tab/>
    </w:r>
  </w:p>
  <w:p w:rsidR="00035A3D" w:rsidRPr="002B4E61"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035A3D" w:rsidRPr="002B4E61">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90CED">
      <w:r>
        <w:separator/>
      </w:r>
    </w:p>
  </w:footnote>
  <w:footnote w:type="continuationSeparator" w:id="1">
    <w:p w:rsidR="00C90CED">
      <w:r>
        <w:continuationSeparator/>
      </w:r>
    </w:p>
  </w:footnote>
  <w:footnote w:id="2">
    <w:p w:rsidR="00621D00" w:rsidRPr="008C0B52">
      <w:pPr>
        <w:pStyle w:val="FootnoteText"/>
        <w:rPr>
          <w:rFonts w:ascii="Arial" w:hAnsi="Arial" w:cs="Arial"/>
          <w:sz w:val="18"/>
          <w:szCs w:val="18"/>
        </w:rPr>
      </w:pPr>
      <w:r>
        <w:rPr>
          <w:rStyle w:val="FootnoteReference"/>
          <w:rFonts w:ascii="Arial" w:hAnsi="Arial" w:cs="Arial"/>
          <w:sz w:val="18"/>
          <w:szCs w:val="18"/>
        </w:rPr>
        <w:footnoteRef/>
      </w:r>
      <w:r>
        <w:fldChar w:fldCharType="begin"/>
      </w:r>
      <w:r>
        <w:instrText xml:space="preserve"> HYPERLINK "https://ec.europa.eu/info/law/better-regulation/have-your-say/initiatives/13716-EU-Talent-Pool_cs" </w:instrText>
      </w:r>
      <w:r>
        <w:fldChar w:fldCharType="separate"/>
      </w:r>
      <w:r>
        <w:rPr>
          <w:rStyle w:val="Hyperlink"/>
          <w:rFonts w:ascii="Arial" w:hAnsi="Arial"/>
          <w:sz w:val="18"/>
        </w:rPr>
        <w:t>Rezervoár talentů EU</w:t>
      </w:r>
      <w:r>
        <w:fldChar w:fldCharType="end"/>
      </w:r>
      <w:r>
        <w:rPr>
          <w:rFonts w:ascii="Arial" w:hAnsi="Arial"/>
          <w:sz w:val="18"/>
        </w:rPr>
        <w:t xml:space="preserve"> a </w:t>
      </w:r>
      <w:r>
        <w:fldChar w:fldCharType="begin"/>
      </w:r>
      <w:r>
        <w:instrText xml:space="preserve"> HYPERLINK "https://ec.europa.eu/info/law/better-regulation/have-your-say/initiatives/13563-Learning-opportunities-learning-mobility-abroad-in-Europe-for-everyone_cs" </w:instrText>
      </w:r>
      <w:r>
        <w:fldChar w:fldCharType="separate"/>
      </w:r>
      <w:r>
        <w:rPr>
          <w:rStyle w:val="Hyperlink"/>
          <w:rFonts w:ascii="Arial" w:hAnsi="Arial"/>
          <w:sz w:val="18"/>
        </w:rPr>
        <w:t>rámec pro mobilitu ve vzdělávání</w:t>
      </w:r>
      <w:r>
        <w:fldChar w:fldCharType="end"/>
      </w:r>
      <w:r>
        <w:rPr>
          <w:rFonts w:ascii="Arial" w:hAnsi="Arial"/>
          <w:sz w:val="18"/>
        </w:rPr>
        <w:t xml:space="preserve"> již byly předmětem dřívějších výzev k předložení faktických podkladů.</w:t>
      </w:r>
    </w:p>
  </w:footnote>
  <w:footnote w:id="3">
    <w:p w:rsidR="008A3398" w:rsidRPr="008C0B52" w:rsidP="008A3398">
      <w:pPr>
        <w:pStyle w:val="FootnoteText"/>
        <w:rPr>
          <w:rFonts w:ascii="Arial" w:hAnsi="Arial" w:cs="Arial"/>
          <w:sz w:val="18"/>
          <w:szCs w:val="18"/>
        </w:rPr>
      </w:pPr>
      <w:r>
        <w:rPr>
          <w:rStyle w:val="FootnoteReference"/>
          <w:rFonts w:ascii="Arial" w:hAnsi="Arial" w:cs="Arial"/>
          <w:sz w:val="18"/>
          <w:szCs w:val="18"/>
        </w:rPr>
        <w:footnoteRef/>
      </w:r>
      <w:r>
        <w:fldChar w:fldCharType="begin"/>
      </w:r>
      <w:r>
        <w:instrText xml:space="preserve"> HYPERLINK "https://ec.europa.eu/social/main.jsp?catId=738&amp;langId=en&amp;pubId=8396" </w:instrText>
      </w:r>
      <w:r>
        <w:fldChar w:fldCharType="separate"/>
      </w:r>
      <w:r>
        <w:rPr>
          <w:rStyle w:val="Hyperlink"/>
          <w:rFonts w:ascii="Arial" w:hAnsi="Arial"/>
          <w:sz w:val="18"/>
        </w:rPr>
        <w:t>Zpráva o dlouhodobé péči z roku 2021:</w:t>
      </w:r>
      <w:r>
        <w:fldChar w:fldCharType="end"/>
      </w:r>
      <w:r>
        <w:fldChar w:fldCharType="begin"/>
      </w:r>
      <w:r>
        <w:instrText xml:space="preserve"> HYPERLINK "https://ec.europa.eu/social/main.jsp?catId=738&amp;langId=en&amp;pubId=8396" </w:instrText>
      </w:r>
      <w:r>
        <w:fldChar w:fldCharType="separate"/>
      </w:r>
      <w:r>
        <w:rPr>
          <w:rStyle w:val="Hyperlink"/>
          <w:rFonts w:ascii="Arial" w:hAnsi="Arial"/>
          <w:sz w:val="18"/>
        </w:rPr>
        <w:t xml:space="preserve"> trendy, výzvy a příležitosti ve stárnoucí společnosti</w:t>
      </w:r>
      <w:r>
        <w:fldChar w:fldCharType="end"/>
      </w:r>
      <w:r>
        <w:rPr>
          <w:rFonts w:ascii="Arial" w:hAnsi="Arial"/>
          <w:sz w:val="18"/>
        </w:rPr>
        <w:t>, Evropská komise.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2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2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rFonts w:ascii="Arial" w:hAnsi="Arial"/>
        <w:noProof/>
      </w:rPr>
      <w:drawing>
        <wp:inline distT="0" distB="0" distL="0" distR="0">
          <wp:extent cx="1908175" cy="508635"/>
          <wp:effectExtent l="0" t="0" r="0" b="5715"/>
          <wp:docPr id="5" name="Picture 5"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rFonts w:ascii="Arial" w:hAnsi="Arial"/>
        <w:noProof/>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1.9pt;height:11.9pt" o:bullet="t">
        <v:imagedata r:id="rId1" o:title="warning"/>
      </v:shape>
    </w:pict>
  </w:numPicBullet>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817336"/>
    <w:multiLevelType w:val="hybridMultilevel"/>
    <w:tmpl w:val="BEC2BCAC"/>
    <w:lvl w:ilvl="0">
      <w:start w:val="1"/>
      <w:numFmt w:val="bullet"/>
      <w:lvlText w:val=""/>
      <w:lvlJc w:val="left"/>
      <w:pPr>
        <w:tabs>
          <w:tab w:val="num" w:pos="420"/>
        </w:tabs>
        <w:ind w:left="420" w:hanging="360"/>
      </w:pPr>
      <w:rPr>
        <w:rFonts w:ascii="Symbol" w:hAnsi="Symbol" w:hint="default"/>
        <w:color w:val="auto"/>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026E585C"/>
    <w:multiLevelType w:val="hybridMultilevel"/>
    <w:tmpl w:val="FA3440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0D5E5F"/>
    <w:multiLevelType w:val="hybridMultilevel"/>
    <w:tmpl w:val="594C4F2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B139FC"/>
    <w:multiLevelType w:val="hybridMultilevel"/>
    <w:tmpl w:val="7862ED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F05494"/>
    <w:multiLevelType w:val="multilevel"/>
    <w:tmpl w:val="2570B046"/>
    <w:lvl w:ilvl="0">
      <w:start w:val="1"/>
      <w:numFmt w:val="decimal"/>
      <w:lvlText w:val="(%1)"/>
      <w:lvlJc w:val="left"/>
      <w:pPr>
        <w:tabs>
          <w:tab w:val="num" w:pos="720"/>
        </w:tabs>
        <w:ind w:left="720" w:hanging="72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9D82F03"/>
    <w:multiLevelType w:val="hybridMultilevel"/>
    <w:tmpl w:val="3F5AB3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B9E3807"/>
    <w:multiLevelType w:val="hybridMultilevel"/>
    <w:tmpl w:val="67604E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BA70D2C"/>
    <w:multiLevelType w:val="hybridMultilevel"/>
    <w:tmpl w:val="E4A674DE"/>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C34307B"/>
    <w:multiLevelType w:val="hybridMultilevel"/>
    <w:tmpl w:val="529EDEAC"/>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FD31A23"/>
    <w:multiLevelType w:val="multilevel"/>
    <w:tmpl w:val="E220AA92"/>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0C55A74"/>
    <w:multiLevelType w:val="hybridMultilevel"/>
    <w:tmpl w:val="CE308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A613A4"/>
    <w:multiLevelType w:val="hybridMultilevel"/>
    <w:tmpl w:val="88BCF7CA"/>
    <w:lvl w:ilvl="0">
      <w:start w:val="1"/>
      <w:numFmt w:val="bullet"/>
      <w:lvlText w:val=""/>
      <w:lvlJc w:val="left"/>
      <w:pPr>
        <w:ind w:left="1080" w:hanging="360"/>
      </w:pPr>
      <w:rPr>
        <w:rFonts w:ascii="Symbol" w:hAnsi="Symbol" w:hint="default"/>
        <w:color w:val="00B05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2C87C11"/>
    <w:multiLevelType w:val="hybridMultilevel"/>
    <w:tmpl w:val="CEC618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4076867"/>
    <w:multiLevelType w:val="hybridMultilevel"/>
    <w:tmpl w:val="07745386"/>
    <w:lvl w:ilvl="0">
      <w:start w:val="1"/>
      <w:numFmt w:val="bullet"/>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7FD4EFF"/>
    <w:multiLevelType w:val="hybridMultilevel"/>
    <w:tmpl w:val="A9C0D7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A966F93"/>
    <w:multiLevelType w:val="multilevel"/>
    <w:tmpl w:val="1B723916"/>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C5869AA"/>
    <w:multiLevelType w:val="multilevel"/>
    <w:tmpl w:val="529EDEAC"/>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CF56CE7"/>
    <w:multiLevelType w:val="hybridMultilevel"/>
    <w:tmpl w:val="2FE48D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D1962A8"/>
    <w:multiLevelType w:val="multilevel"/>
    <w:tmpl w:val="1032AAE0"/>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D5E2CC9"/>
    <w:multiLevelType w:val="hybridMultilevel"/>
    <w:tmpl w:val="D250E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18575A8"/>
    <w:multiLevelType w:val="hybridMultilevel"/>
    <w:tmpl w:val="5678B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326B767D"/>
    <w:multiLevelType w:val="hybridMultilevel"/>
    <w:tmpl w:val="E4483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EA6205"/>
    <w:multiLevelType w:val="hybridMultilevel"/>
    <w:tmpl w:val="0D500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68724A1"/>
    <w:multiLevelType w:val="hybridMultilevel"/>
    <w:tmpl w:val="DD26854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9897C36"/>
    <w:multiLevelType w:val="multilevel"/>
    <w:tmpl w:val="E220AA92"/>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3A307DE5"/>
    <w:multiLevelType w:val="hybridMultilevel"/>
    <w:tmpl w:val="1520C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3C3D2A"/>
    <w:multiLevelType w:val="hybridMultilevel"/>
    <w:tmpl w:val="54EA010A"/>
    <w:lvl w:ilvl="0">
      <w:start w:val="1"/>
      <w:numFmt w:val="bullet"/>
      <w:lvlText w:val=""/>
      <w:lvlJc w:val="left"/>
      <w:pPr>
        <w:ind w:left="360" w:hanging="360"/>
      </w:pPr>
      <w:rPr>
        <w:rFonts w:ascii="Symbol" w:hAnsi="Symbol" w:hint="default"/>
        <w:color w:val="00206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276634C"/>
    <w:multiLevelType w:val="hybridMultilevel"/>
    <w:tmpl w:val="C5F272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3BE1588"/>
    <w:multiLevelType w:val="hybridMultilevel"/>
    <w:tmpl w:val="880E19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5840C1C"/>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F792AF0"/>
    <w:multiLevelType w:val="hybridMultilevel"/>
    <w:tmpl w:val="21BED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835A61"/>
    <w:multiLevelType w:val="hybridMultilevel"/>
    <w:tmpl w:val="FCEC84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55863B45"/>
    <w:multiLevelType w:val="hybridMultilevel"/>
    <w:tmpl w:val="324A93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6664BD7"/>
    <w:multiLevelType w:val="hybridMultilevel"/>
    <w:tmpl w:val="6A7A26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6856FBB"/>
    <w:multiLevelType w:val="hybridMultilevel"/>
    <w:tmpl w:val="594AC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58B016D8"/>
    <w:multiLevelType w:val="hybridMultilevel"/>
    <w:tmpl w:val="E220AA92"/>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nsid w:val="5BAD451E"/>
    <w:multiLevelType w:val="multilevel"/>
    <w:tmpl w:val="C69C089A"/>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A651A2"/>
    <w:multiLevelType w:val="hybridMultilevel"/>
    <w:tmpl w:val="459A8C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F7553A2"/>
    <w:multiLevelType w:val="hybridMultilevel"/>
    <w:tmpl w:val="E5B6FA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646A11D7"/>
    <w:multiLevelType w:val="hybridMultilevel"/>
    <w:tmpl w:val="1B723916"/>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48754F0"/>
    <w:multiLevelType w:val="hybridMultilevel"/>
    <w:tmpl w:val="B888AF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57F010F"/>
    <w:multiLevelType w:val="hybridMultilevel"/>
    <w:tmpl w:val="9A24EDC4"/>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9386236"/>
    <w:multiLevelType w:val="hybridMultilevel"/>
    <w:tmpl w:val="D7FC7A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48">
    <w:nsid w:val="6B574228"/>
    <w:multiLevelType w:val="hybridMultilevel"/>
    <w:tmpl w:val="076299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51">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abstractNum w:abstractNumId="52">
    <w:nsid w:val="6EA908FE"/>
    <w:multiLevelType w:val="hybridMultilevel"/>
    <w:tmpl w:val="24AE98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nsid w:val="6EE231E5"/>
    <w:multiLevelType w:val="hybridMultilevel"/>
    <w:tmpl w:val="D71CCF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70B11079"/>
    <w:multiLevelType w:val="hybridMultilevel"/>
    <w:tmpl w:val="440AB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F8230A"/>
    <w:multiLevelType w:val="hybridMultilevel"/>
    <w:tmpl w:val="C69C089A"/>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7530130B"/>
    <w:multiLevelType w:val="hybridMultilevel"/>
    <w:tmpl w:val="9A648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787F71DC"/>
    <w:multiLevelType w:val="hybridMultilevel"/>
    <w:tmpl w:val="CD04A9BA"/>
    <w:lvl w:ilvl="0">
      <w:start w:val="1"/>
      <w:numFmt w:val="bullet"/>
      <w:lvlText w:val="-"/>
      <w:lvlJc w:val="left"/>
      <w:pPr>
        <w:ind w:left="360" w:hanging="360"/>
      </w:pPr>
      <w:rPr>
        <w:rFonts w:ascii="Calibri" w:hAnsi="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7A9D3B63"/>
    <w:multiLevelType w:val="hybridMultilevel"/>
    <w:tmpl w:val="E808F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AA02D34"/>
    <w:multiLevelType w:val="hybridMultilevel"/>
    <w:tmpl w:val="805480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7BDA39E1"/>
    <w:multiLevelType w:val="hybridMultilevel"/>
    <w:tmpl w:val="5470C2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C2607D2"/>
    <w:multiLevelType w:val="hybridMultilevel"/>
    <w:tmpl w:val="5E042CE8"/>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50"/>
  </w:num>
  <w:num w:numId="3">
    <w:abstractNumId w:val="5"/>
  </w:num>
  <w:num w:numId="4">
    <w:abstractNumId w:val="36"/>
  </w:num>
  <w:num w:numId="5">
    <w:abstractNumId w:val="0"/>
  </w:num>
  <w:num w:numId="6">
    <w:abstractNumId w:val="1"/>
  </w:num>
  <w:num w:numId="7">
    <w:abstractNumId w:val="2"/>
  </w:num>
  <w:num w:numId="8">
    <w:abstractNumId w:val="26"/>
  </w:num>
  <w:num w:numId="9">
    <w:abstractNumId w:val="47"/>
  </w:num>
  <w:num w:numId="10">
    <w:abstractNumId w:val="19"/>
  </w:num>
  <w:num w:numId="11">
    <w:abstractNumId w:val="30"/>
  </w:num>
  <w:num w:numId="12">
    <w:abstractNumId w:val="51"/>
  </w:num>
  <w:num w:numId="13">
    <w:abstractNumId w:val="32"/>
  </w:num>
  <w:num w:numId="14">
    <w:abstractNumId w:val="14"/>
  </w:num>
  <w:num w:numId="15">
    <w:abstractNumId w:val="39"/>
  </w:num>
  <w:num w:numId="16">
    <w:abstractNumId w:val="20"/>
  </w:num>
  <w:num w:numId="17">
    <w:abstractNumId w:val="6"/>
  </w:num>
  <w:num w:numId="18">
    <w:abstractNumId w:val="11"/>
  </w:num>
  <w:num w:numId="19">
    <w:abstractNumId w:val="55"/>
  </w:num>
  <w:num w:numId="20">
    <w:abstractNumId w:val="27"/>
  </w:num>
  <w:num w:numId="21">
    <w:abstractNumId w:val="61"/>
  </w:num>
  <w:num w:numId="22">
    <w:abstractNumId w:val="40"/>
  </w:num>
  <w:num w:numId="23">
    <w:abstractNumId w:val="43"/>
  </w:num>
  <w:num w:numId="24">
    <w:abstractNumId w:val="17"/>
  </w:num>
  <w:num w:numId="25">
    <w:abstractNumId w:val="10"/>
  </w:num>
  <w:num w:numId="26">
    <w:abstractNumId w:val="18"/>
  </w:num>
  <w:num w:numId="27">
    <w:abstractNumId w:val="45"/>
  </w:num>
  <w:num w:numId="28">
    <w:abstractNumId w:val="29"/>
  </w:num>
  <w:num w:numId="29">
    <w:abstractNumId w:val="41"/>
  </w:num>
  <w:num w:numId="30">
    <w:abstractNumId w:val="38"/>
  </w:num>
  <w:num w:numId="31">
    <w:abstractNumId w:val="7"/>
  </w:num>
  <w:num w:numId="32">
    <w:abstractNumId w:val="57"/>
  </w:num>
  <w:num w:numId="33">
    <w:abstractNumId w:val="59"/>
  </w:num>
  <w:num w:numId="34">
    <w:abstractNumId w:val="3"/>
  </w:num>
  <w:num w:numId="35">
    <w:abstractNumId w:val="16"/>
  </w:num>
  <w:num w:numId="36">
    <w:abstractNumId w:val="22"/>
  </w:num>
  <w:num w:numId="37">
    <w:abstractNumId w:val="37"/>
  </w:num>
  <w:num w:numId="38">
    <w:abstractNumId w:val="52"/>
  </w:num>
  <w:num w:numId="39">
    <w:abstractNumId w:val="35"/>
  </w:num>
  <w:num w:numId="40">
    <w:abstractNumId w:val="31"/>
  </w:num>
  <w:num w:numId="41">
    <w:abstractNumId w:val="46"/>
  </w:num>
  <w:num w:numId="42">
    <w:abstractNumId w:val="23"/>
  </w:num>
  <w:num w:numId="43">
    <w:abstractNumId w:val="53"/>
  </w:num>
  <w:num w:numId="44">
    <w:abstractNumId w:val="4"/>
  </w:num>
  <w:num w:numId="45">
    <w:abstractNumId w:val="44"/>
  </w:num>
  <w:num w:numId="46">
    <w:abstractNumId w:val="9"/>
  </w:num>
  <w:num w:numId="47">
    <w:abstractNumId w:val="12"/>
  </w:num>
  <w:num w:numId="48">
    <w:abstractNumId w:val="56"/>
  </w:num>
  <w:num w:numId="49">
    <w:abstractNumId w:val="60"/>
  </w:num>
  <w:num w:numId="50">
    <w:abstractNumId w:val="29"/>
  </w:num>
  <w:num w:numId="51">
    <w:abstractNumId w:val="15"/>
  </w:num>
  <w:num w:numId="52">
    <w:abstractNumId w:val="49"/>
  </w:num>
  <w:num w:numId="53">
    <w:abstractNumId w:val="42"/>
  </w:num>
  <w:num w:numId="54">
    <w:abstractNumId w:val="34"/>
  </w:num>
  <w:num w:numId="55">
    <w:abstractNumId w:val="54"/>
  </w:num>
  <w:num w:numId="56">
    <w:abstractNumId w:val="58"/>
  </w:num>
  <w:num w:numId="57">
    <w:abstractNumId w:val="25"/>
  </w:num>
  <w:num w:numId="58">
    <w:abstractNumId w:val="13"/>
  </w:num>
  <w:num w:numId="59">
    <w:abstractNumId w:val="28"/>
  </w:num>
  <w:num w:numId="60">
    <w:abstractNumId w:val="29"/>
  </w:num>
  <w:num w:numId="61">
    <w:abstractNumId w:val="33"/>
  </w:num>
  <w:num w:numId="62">
    <w:abstractNumId w:val="21"/>
  </w:num>
  <w:num w:numId="63">
    <w:abstractNumId w:val="21"/>
  </w:num>
  <w:num w:numId="64">
    <w:abstractNumId w:val="21"/>
  </w:num>
  <w:num w:numId="65">
    <w:abstractNumId w:val="24"/>
  </w:num>
  <w:num w:numId="6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isplayBackgroundShape/>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NORMAL"/>
  </w:docVars>
  <m:mathPr>
    <m:mathFont m:val="Cambria Math"/>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 w:val="20"/>
      <w:szCs w:val="20"/>
    </w:rPr>
  </w:style>
  <w:style w:type="character" w:styleId="FootnoteReference">
    <w:name w:val="footnote reference"/>
    <w:aliases w:val=" BVI fnr,BVI fnr,Footnote Reference Superscript,Footnote symbol"/>
    <w:semiHidden/>
    <w:rsid w:val="009E6661"/>
    <w:rPr>
      <w:vertAlign w:val="superscript"/>
    </w:rPr>
  </w:style>
  <w:style w:type="character" w:customStyle="1" w:styleId="FootnoteTextChar">
    <w:name w:val="Footnote Text Char"/>
    <w:link w:val="FootnoteText"/>
    <w:rsid w:val="009E6661"/>
    <w:rPr>
      <w:lang w:val="cs-CZ" w:eastAsia="en-GB" w:bidi="ar-SA"/>
    </w:rPr>
  </w:style>
  <w:style w:type="paragraph" w:styleId="ListBullet">
    <w:name w:val="List Bullet"/>
    <w:basedOn w:val="Normal"/>
    <w:rsid w:val="009E6661"/>
    <w:pPr>
      <w:numPr>
        <w:numId w:val="2"/>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9"/>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cs-CZ" w:eastAsia="en-GB" w:bidi="ar-SA"/>
    </w:rPr>
  </w:style>
  <w:style w:type="paragraph" w:customStyle="1" w:styleId="ListDash4">
    <w:name w:val="List Dash 4"/>
    <w:basedOn w:val="Normal"/>
    <w:rsid w:val="00D03063"/>
    <w:pPr>
      <w:numPr>
        <w:numId w:val="12"/>
      </w:numPr>
    </w:p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rsid w:val="000E132C"/>
    <w:rPr>
      <w:sz w:val="20"/>
      <w:szCs w:val="20"/>
    </w:rPr>
  </w:style>
  <w:style w:type="character" w:customStyle="1" w:styleId="CommentTextChar">
    <w:name w:val="Comment Text Char"/>
    <w:basedOn w:val="DefaultParagraphFont"/>
    <w:link w:val="CommentTex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style>
  <w:style w:type="paragraph" w:styleId="ListParagraph">
    <w:name w:val="List Paragraph"/>
    <w:basedOn w:val="Normal"/>
    <w:uiPriority w:val="34"/>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1">
    <w:name w:val="Unresolved Mention1"/>
    <w:basedOn w:val="DefaultParagraphFont"/>
    <w:uiPriority w:val="99"/>
    <w:semiHidden/>
    <w:unhideWhenUsed/>
    <w:rsid w:val="00E15492"/>
    <w:rPr>
      <w:color w:val="605E5C"/>
      <w:shd w:val="clear" w:color="auto" w:fill="E1DFDD"/>
    </w:rPr>
  </w:style>
  <w:style w:type="character" w:customStyle="1" w:styleId="UnresolvedMention">
    <w:name w:val="Unresolved Mention"/>
    <w:basedOn w:val="DefaultParagraphFont"/>
    <w:uiPriority w:val="99"/>
    <w:semiHidden/>
    <w:unhideWhenUsed/>
    <w:rsid w:val="00532838"/>
    <w:rPr>
      <w:color w:val="605E5C"/>
      <w:shd w:val="clear" w:color="auto" w:fill="E1DFDD"/>
    </w:rPr>
  </w:style>
  <w:style w:type="paragraph" w:customStyle="1" w:styleId="Normal1">
    <w:name w:val="Normal1"/>
    <w:basedOn w:val="Normal"/>
    <w:rsid w:val="00CC6DC5"/>
    <w:pPr>
      <w:spacing w:before="100" w:beforeAutospacing="1" w:after="100" w:afterAutospacing="1"/>
    </w:pPr>
    <w:rPr>
      <w:lang w:eastAsia="en-IE"/>
    </w:rPr>
  </w:style>
  <w:style w:type="paragraph" w:customStyle="1" w:styleId="LegalNumPar">
    <w:name w:val="LegalNumPar"/>
    <w:basedOn w:val="Normal"/>
    <w:rsid w:val="007267E1"/>
    <w:pPr>
      <w:numPr>
        <w:numId w:val="64"/>
      </w:numPr>
      <w:spacing w:line="360" w:lineRule="auto"/>
    </w:pPr>
  </w:style>
  <w:style w:type="paragraph" w:customStyle="1" w:styleId="LegalNumPar2">
    <w:name w:val="LegalNumPar2"/>
    <w:basedOn w:val="Normal"/>
    <w:rsid w:val="007267E1"/>
    <w:pPr>
      <w:numPr>
        <w:ilvl w:val="1"/>
        <w:numId w:val="64"/>
      </w:numPr>
      <w:spacing w:line="360" w:lineRule="auto"/>
    </w:pPr>
  </w:style>
  <w:style w:type="paragraph" w:customStyle="1" w:styleId="LegalNumPar3">
    <w:name w:val="LegalNumPar3"/>
    <w:basedOn w:val="Normal"/>
    <w:rsid w:val="007267E1"/>
    <w:pPr>
      <w:numPr>
        <w:ilvl w:val="2"/>
        <w:numId w:val="64"/>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A379B1D-27E1-4696-B9DF-4569B5BFE072}">
  <ds:schemaRefs>
    <ds:schemaRef ds:uri="http://schemas.openxmlformats.org/officeDocument/2006/bibliography"/>
  </ds:schemaRefs>
</ds:datastoreItem>
</file>

<file path=customXml/itemProps2.xml><?xml version="1.0" encoding="utf-8"?>
<ds:datastoreItem xmlns:ds="http://schemas.openxmlformats.org/officeDocument/2006/customXml" ds:itemID="{A9ADF71C-59A8-4C6F-A3C1-8CF867750A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