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p w:rsidR="00E72EF2" w:rsidRPr="00DC7595">
      <w:pPr>
        <w:rPr>
          <w:rFonts w:ascii="Arial" w:hAnsi="Arial" w:cs="Arial"/>
          <w:b/>
        </w:rPr>
      </w:pPr>
      <w:bookmarkStart w:id="0" w:name="_GoBack"/>
      <w:bookmarkEnd w:id="0"/>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507"/>
      </w:tblGrid>
      <w:tr w:rsidTr="000166D2">
        <w:tblPrEx>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314" w:type="dxa"/>
            <w:gridSpan w:val="2"/>
            <w:tcBorders>
              <w:bottom w:val="single" w:sz="4" w:space="0" w:color="auto"/>
            </w:tcBorders>
            <w:shd w:val="clear" w:color="auto" w:fill="0000FF"/>
          </w:tcPr>
          <w:p w:rsidR="009E6661" w:rsidRPr="00DC7595" w:rsidP="00824525">
            <w:pPr>
              <w:spacing w:before="60" w:after="60"/>
              <w:jc w:val="center"/>
              <w:rPr>
                <w:rFonts w:ascii="Arial" w:hAnsi="Arial" w:cs="Arial"/>
                <w:b/>
                <w:sz w:val="22"/>
              </w:rPr>
            </w:pPr>
            <w:r>
              <w:rPr>
                <w:rFonts w:ascii="Arial" w:hAnsi="Arial"/>
                <w:b/>
                <w:sz w:val="22"/>
              </w:rPr>
              <w:t>VÝZVA K PŘEDLOŽENÍ FAKTICKÝCH PODKLADŮ</w:t>
            </w:r>
          </w:p>
          <w:p w:rsidR="00CF5664" w:rsidRPr="00DC7595" w:rsidP="00CF5664">
            <w:pPr>
              <w:spacing w:before="60" w:after="60"/>
              <w:jc w:val="center"/>
              <w:rPr>
                <w:rFonts w:ascii="Arial" w:hAnsi="Arial" w:cs="Arial"/>
                <w:b/>
                <w:sz w:val="22"/>
              </w:rPr>
            </w:pPr>
            <w:r>
              <w:rPr>
                <w:rFonts w:ascii="Arial" w:hAnsi="Arial"/>
                <w:b/>
                <w:sz w:val="22"/>
              </w:rPr>
              <w:t>PRO POSOUZENÍ DOPADŮ</w:t>
            </w:r>
          </w:p>
          <w:p w:rsidR="00745991" w:rsidRPr="00DC7595" w:rsidP="00824525">
            <w:pPr>
              <w:spacing w:before="60" w:after="60"/>
              <w:jc w:val="center"/>
              <w:rPr>
                <w:rFonts w:ascii="Arial" w:hAnsi="Arial" w:cs="Arial"/>
                <w:b/>
                <w:sz w:val="22"/>
              </w:rPr>
            </w:pPr>
          </w:p>
        </w:tc>
      </w:tr>
      <w:tr w:rsidTr="006B7114">
        <w:tblPrEx>
          <w:tblW w:w="10314" w:type="dxa"/>
          <w:tblLayout w:type="fixed"/>
          <w:tblLook w:val="01E0"/>
        </w:tblPrEx>
        <w:tc>
          <w:tcPr>
            <w:tcW w:w="10314" w:type="dxa"/>
            <w:gridSpan w:val="2"/>
            <w:tcBorders>
              <w:bottom w:val="single" w:sz="4" w:space="0" w:color="auto"/>
            </w:tcBorders>
            <w:shd w:val="clear" w:color="auto" w:fill="E6E6E6"/>
          </w:tcPr>
          <w:p w:rsidR="00F26C1C" w:rsidRPr="00DC7595" w:rsidP="00495B9F">
            <w:pPr>
              <w:spacing w:before="60" w:after="60"/>
              <w:jc w:val="both"/>
              <w:rPr>
                <w:rFonts w:ascii="Arial" w:hAnsi="Arial" w:cs="Arial"/>
                <w:color w:val="000080"/>
                <w:sz w:val="18"/>
              </w:rPr>
            </w:pPr>
            <w:r>
              <w:rPr>
                <w:rFonts w:ascii="Arial" w:hAnsi="Arial"/>
                <w:color w:val="000080"/>
                <w:sz w:val="18"/>
              </w:rPr>
              <w:t>Tímto dokumentem mají být veřejnost a zúčastněné strany informovány o budoucí legislativní činnosti Komise. Mohou se tak vyjádřit k tomu, jak na problém nahlíží Komise. Současně mohou poskytnout připomínky k možným řešením a veškeré relevantní informace, kterými případně disponují, mimo jiné ohledně možných dopadů zvažovaných opatření.</w:t>
            </w:r>
          </w:p>
        </w:tc>
      </w:tr>
      <w:tr w:rsidTr="000166D2">
        <w:tblPrEx>
          <w:tblW w:w="10314" w:type="dxa"/>
          <w:tblLayout w:type="fixed"/>
          <w:tblLook w:val="01E0"/>
        </w:tblPrEx>
        <w:tc>
          <w:tcPr>
            <w:tcW w:w="2807" w:type="dxa"/>
            <w:tcBorders>
              <w:bottom w:val="single" w:sz="4" w:space="0" w:color="auto"/>
            </w:tcBorders>
            <w:shd w:val="clear" w:color="auto" w:fill="E6E6E6"/>
          </w:tcPr>
          <w:p w:rsidR="009E6661" w:rsidRPr="00DC7595" w:rsidP="00824525">
            <w:pPr>
              <w:spacing w:before="60" w:after="60"/>
              <w:jc w:val="both"/>
              <w:rPr>
                <w:rFonts w:ascii="Arial" w:hAnsi="Arial" w:cs="Arial"/>
                <w:b/>
                <w:smallCaps/>
                <w:sz w:val="20"/>
              </w:rPr>
            </w:pPr>
            <w:r>
              <w:rPr>
                <w:rFonts w:ascii="Arial" w:hAnsi="Arial"/>
                <w:b/>
                <w:smallCaps/>
                <w:sz w:val="20"/>
              </w:rPr>
              <w:t>Název iniciativy</w:t>
            </w:r>
          </w:p>
        </w:tc>
        <w:tc>
          <w:tcPr>
            <w:tcW w:w="7507" w:type="dxa"/>
            <w:shd w:val="clear" w:color="auto" w:fill="auto"/>
          </w:tcPr>
          <w:p w:rsidR="00BF2D27" w:rsidRPr="00DC7595" w:rsidP="0088136F">
            <w:pPr>
              <w:spacing w:before="60" w:after="60"/>
              <w:jc w:val="both"/>
              <w:rPr>
                <w:rFonts w:ascii="Arial" w:hAnsi="Arial" w:cs="Arial"/>
                <w:color w:val="000080"/>
                <w:sz w:val="20"/>
              </w:rPr>
            </w:pPr>
            <w:r>
              <w:rPr>
                <w:rFonts w:ascii="Arial" w:hAnsi="Arial"/>
                <w:color w:val="000080"/>
                <w:sz w:val="20"/>
              </w:rPr>
              <w:t>Podnikání v Evropě: rámec pro zdanění příjmů (BEFIT)</w:t>
            </w:r>
          </w:p>
        </w:tc>
      </w:tr>
      <w:tr w:rsidTr="006B7114">
        <w:tblPrEx>
          <w:tblW w:w="10314" w:type="dxa"/>
          <w:tblLayout w:type="fixed"/>
          <w:tblLook w:val="01E0"/>
        </w:tblPrEx>
        <w:tc>
          <w:tcPr>
            <w:tcW w:w="2807" w:type="dxa"/>
            <w:tcBorders>
              <w:bottom w:val="single" w:sz="4" w:space="0" w:color="auto"/>
              <w:right w:val="single" w:sz="4" w:space="0" w:color="auto"/>
            </w:tcBorders>
            <w:shd w:val="clear" w:color="auto" w:fill="E6E6E6"/>
          </w:tcPr>
          <w:p w:rsidR="005D7950" w:rsidRPr="00DC7595" w:rsidP="00085D8B">
            <w:pPr>
              <w:spacing w:before="60" w:after="60"/>
              <w:jc w:val="both"/>
              <w:rPr>
                <w:rFonts w:ascii="Arial" w:hAnsi="Arial" w:cs="Arial"/>
                <w:b/>
                <w:smallCaps/>
                <w:sz w:val="20"/>
              </w:rPr>
            </w:pPr>
            <w:r>
              <w:rPr>
                <w:rFonts w:ascii="Arial" w:hAnsi="Arial"/>
                <w:b/>
                <w:smallCaps/>
                <w:sz w:val="20"/>
              </w:rPr>
              <w:t>Příslušné GŘ (odpovědné oddělení)</w:t>
            </w:r>
          </w:p>
        </w:tc>
        <w:tc>
          <w:tcPr>
            <w:tcW w:w="7507" w:type="dxa"/>
            <w:tcBorders>
              <w:top w:val="single" w:sz="4" w:space="0" w:color="auto"/>
              <w:left w:val="single" w:sz="4" w:space="0" w:color="auto"/>
              <w:bottom w:val="single" w:sz="4" w:space="0" w:color="auto"/>
              <w:right w:val="single" w:sz="4" w:space="0" w:color="auto"/>
            </w:tcBorders>
            <w:shd w:val="clear" w:color="auto" w:fill="auto"/>
          </w:tcPr>
          <w:p w:rsidR="005D7950" w:rsidRPr="00DC7595" w:rsidP="004C611C">
            <w:pPr>
              <w:spacing w:before="60" w:after="60"/>
              <w:rPr>
                <w:rFonts w:ascii="Arial" w:hAnsi="Arial" w:cs="Arial"/>
                <w:color w:val="000080"/>
                <w:sz w:val="22"/>
              </w:rPr>
            </w:pPr>
            <w:r>
              <w:rPr>
                <w:rFonts w:ascii="Arial" w:hAnsi="Arial"/>
                <w:color w:val="000080"/>
                <w:sz w:val="20"/>
              </w:rPr>
              <w:t>Generální ředitelství pro daně a celní unii – Oddělení iniciativ v oblasti zdanění podniků (D1)</w:t>
            </w:r>
          </w:p>
        </w:tc>
      </w:tr>
      <w:tr w:rsidTr="000166D2">
        <w:tblPrEx>
          <w:tblW w:w="10314" w:type="dxa"/>
          <w:tblLayout w:type="fixed"/>
          <w:tblLook w:val="01E0"/>
        </w:tblPrEx>
        <w:tc>
          <w:tcPr>
            <w:tcW w:w="2807" w:type="dxa"/>
            <w:tcBorders>
              <w:bottom w:val="single" w:sz="4" w:space="0" w:color="auto"/>
              <w:right w:val="single" w:sz="4" w:space="0" w:color="auto"/>
            </w:tcBorders>
            <w:shd w:val="clear" w:color="auto" w:fill="E6E6E6"/>
          </w:tcPr>
          <w:p w:rsidR="00423AEF" w:rsidRPr="00DC7595">
            <w:pPr>
              <w:spacing w:before="60" w:after="60"/>
              <w:jc w:val="both"/>
              <w:rPr>
                <w:rFonts w:ascii="Arial" w:hAnsi="Arial" w:cs="Arial"/>
                <w:b/>
                <w:smallCaps/>
                <w:sz w:val="20"/>
              </w:rPr>
            </w:pPr>
            <w:r>
              <w:rPr>
                <w:rFonts w:ascii="Arial" w:hAnsi="Arial"/>
                <w:b/>
                <w:smallCaps/>
                <w:sz w:val="20"/>
              </w:rPr>
              <w:t>Pravděpodobný druh iniciativy</w:t>
            </w:r>
          </w:p>
        </w:tc>
        <w:tc>
          <w:tcPr>
            <w:tcW w:w="7507" w:type="dxa"/>
            <w:tcBorders>
              <w:top w:val="single" w:sz="4" w:space="0" w:color="auto"/>
              <w:left w:val="single" w:sz="4" w:space="0" w:color="auto"/>
              <w:bottom w:val="single" w:sz="4" w:space="0" w:color="auto"/>
              <w:right w:val="single" w:sz="4" w:space="0" w:color="auto"/>
            </w:tcBorders>
            <w:shd w:val="clear" w:color="auto" w:fill="auto"/>
          </w:tcPr>
          <w:p w:rsidR="00423AEF" w:rsidRPr="00DC7595" w:rsidP="0088136F">
            <w:pPr>
              <w:spacing w:before="60" w:after="60"/>
              <w:jc w:val="both"/>
              <w:rPr>
                <w:rFonts w:ascii="Arial" w:hAnsi="Arial" w:cs="Arial"/>
                <w:color w:val="000080"/>
                <w:sz w:val="20"/>
              </w:rPr>
            </w:pPr>
            <w:r>
              <w:rPr>
                <w:rFonts w:ascii="Arial" w:hAnsi="Arial"/>
                <w:color w:val="000080"/>
                <w:sz w:val="20"/>
              </w:rPr>
              <w:t>Legislativní návrh</w:t>
            </w:r>
          </w:p>
        </w:tc>
      </w:tr>
      <w:tr w:rsidTr="000166D2">
        <w:tblPrEx>
          <w:tblW w:w="10314" w:type="dxa"/>
          <w:tblLayout w:type="fixed"/>
          <w:tblLook w:val="01E0"/>
        </w:tblPrEx>
        <w:tc>
          <w:tcPr>
            <w:tcW w:w="2807" w:type="dxa"/>
            <w:tcBorders>
              <w:bottom w:val="single" w:sz="4" w:space="0" w:color="auto"/>
              <w:right w:val="single" w:sz="4" w:space="0" w:color="auto"/>
            </w:tcBorders>
            <w:shd w:val="clear" w:color="auto" w:fill="E6E6E6"/>
          </w:tcPr>
          <w:p w:rsidR="00002DFF" w:rsidRPr="00DC7595">
            <w:pPr>
              <w:spacing w:before="60" w:after="60"/>
              <w:jc w:val="both"/>
              <w:rPr>
                <w:rFonts w:ascii="Arial" w:hAnsi="Arial" w:cs="Arial"/>
                <w:b/>
                <w:smallCaps/>
                <w:sz w:val="20"/>
              </w:rPr>
            </w:pPr>
            <w:r>
              <w:rPr>
                <w:rFonts w:ascii="Arial" w:hAnsi="Arial"/>
                <w:b/>
                <w:smallCaps/>
                <w:sz w:val="20"/>
              </w:rPr>
              <w:t>Předběžný harmonogram</w:t>
            </w:r>
          </w:p>
        </w:tc>
        <w:tc>
          <w:tcPr>
            <w:tcW w:w="7507" w:type="dxa"/>
            <w:tcBorders>
              <w:top w:val="single" w:sz="4" w:space="0" w:color="auto"/>
              <w:left w:val="single" w:sz="4" w:space="0" w:color="auto"/>
              <w:bottom w:val="single" w:sz="4" w:space="0" w:color="auto"/>
              <w:right w:val="single" w:sz="4" w:space="0" w:color="auto"/>
            </w:tcBorders>
            <w:shd w:val="clear" w:color="auto" w:fill="auto"/>
          </w:tcPr>
          <w:p w:rsidR="00002DFF" w:rsidRPr="00DC7595" w:rsidP="00CB5DAA">
            <w:pPr>
              <w:spacing w:before="60" w:after="60"/>
              <w:jc w:val="both"/>
              <w:rPr>
                <w:rFonts w:ascii="Arial" w:hAnsi="Arial" w:cs="Arial"/>
                <w:color w:val="000080"/>
                <w:sz w:val="20"/>
                <w:highlight w:val="green"/>
              </w:rPr>
            </w:pPr>
            <w:r>
              <w:rPr>
                <w:rFonts w:ascii="Arial" w:hAnsi="Arial"/>
                <w:color w:val="000080"/>
                <w:sz w:val="20"/>
              </w:rPr>
              <w:t>3. čtvrtletí 2023</w:t>
            </w:r>
          </w:p>
        </w:tc>
      </w:tr>
      <w:tr w:rsidTr="000166D2">
        <w:tblPrEx>
          <w:tblW w:w="10314" w:type="dxa"/>
          <w:tblLayout w:type="fixed"/>
          <w:tblLook w:val="01E0"/>
        </w:tblPrEx>
        <w:tc>
          <w:tcPr>
            <w:tcW w:w="2807" w:type="dxa"/>
            <w:tcBorders>
              <w:bottom w:val="single" w:sz="4" w:space="0" w:color="auto"/>
              <w:right w:val="single" w:sz="4" w:space="0" w:color="auto"/>
            </w:tcBorders>
            <w:shd w:val="clear" w:color="auto" w:fill="E6E6E6"/>
          </w:tcPr>
          <w:p w:rsidR="008D5042" w:rsidRPr="00DC7595">
            <w:pPr>
              <w:spacing w:before="60" w:after="60"/>
              <w:jc w:val="both"/>
              <w:rPr>
                <w:rFonts w:ascii="Arial" w:hAnsi="Arial" w:cs="Arial"/>
                <w:b/>
                <w:smallCaps/>
                <w:sz w:val="20"/>
              </w:rPr>
            </w:pPr>
            <w:r>
              <w:rPr>
                <w:rFonts w:ascii="Arial" w:hAnsi="Arial"/>
                <w:b/>
                <w:smallCaps/>
                <w:sz w:val="20"/>
              </w:rPr>
              <w:t>Další informace</w:t>
            </w:r>
          </w:p>
        </w:tc>
        <w:tc>
          <w:tcPr>
            <w:tcW w:w="7507" w:type="dxa"/>
            <w:tcBorders>
              <w:top w:val="single" w:sz="4" w:space="0" w:color="auto"/>
              <w:left w:val="single" w:sz="4" w:space="0" w:color="auto"/>
              <w:bottom w:val="single" w:sz="4" w:space="0" w:color="auto"/>
              <w:right w:val="single" w:sz="4" w:space="0" w:color="auto"/>
            </w:tcBorders>
            <w:shd w:val="clear" w:color="auto" w:fill="auto"/>
          </w:tcPr>
          <w:p w:rsidR="008D5042" w:rsidRPr="00DC7595" w:rsidP="00962B30">
            <w:pPr>
              <w:spacing w:before="60" w:after="60"/>
              <w:jc w:val="both"/>
              <w:rPr>
                <w:rFonts w:ascii="Arial" w:hAnsi="Arial" w:cs="Arial"/>
                <w:color w:val="000080"/>
                <w:sz w:val="20"/>
              </w:rPr>
            </w:pPr>
            <w:r>
              <w:rPr>
                <w:rFonts w:ascii="Arial" w:hAnsi="Arial"/>
                <w:color w:val="000080"/>
                <w:sz w:val="20"/>
              </w:rPr>
              <w:t>—</w:t>
            </w:r>
          </w:p>
        </w:tc>
      </w:tr>
      <w:tr w:rsidTr="000166D2">
        <w:tblPrEx>
          <w:tblW w:w="10314" w:type="dxa"/>
          <w:tblLayout w:type="fixed"/>
          <w:tblLook w:val="01E0"/>
        </w:tblPrEx>
        <w:tc>
          <w:tcPr>
            <w:tcW w:w="10314" w:type="dxa"/>
            <w:gridSpan w:val="2"/>
            <w:tcBorders>
              <w:bottom w:val="single" w:sz="4" w:space="0" w:color="auto"/>
              <w:right w:val="single" w:sz="4" w:space="0" w:color="auto"/>
            </w:tcBorders>
            <w:shd w:val="clear" w:color="auto" w:fill="E6E6E6"/>
          </w:tcPr>
          <w:p w:rsidR="00A120FB" w:rsidRPr="00DC7595" w:rsidP="006D1BCA">
            <w:pPr>
              <w:spacing w:before="60" w:after="60"/>
              <w:jc w:val="both"/>
              <w:rPr>
                <w:rFonts w:ascii="Arial" w:hAnsi="Arial" w:cs="Arial"/>
                <w:b/>
                <w:color w:val="FF0000"/>
                <w:sz w:val="18"/>
              </w:rPr>
            </w:pPr>
            <w:r>
              <w:rPr>
                <w:rFonts w:ascii="Arial" w:hAnsi="Arial"/>
                <w:i/>
                <w:color w:val="FF0000"/>
                <w:sz w:val="18"/>
              </w:rPr>
              <w:t>Tento dokument slouží pouze k informačním účelům. Nepředjímá konečné rozhodnutí Komise o tom, zda tato iniciativa bude pokračovat, ani o jejím konečném obsahu. Všechny prvky iniciativy popsané v tomto dokumentu, včetně harmonogramu, se mohou změnit.</w:t>
            </w:r>
          </w:p>
        </w:tc>
      </w:tr>
    </w:tbl>
    <w:p w:rsidR="00BA33B7" w:rsidRPr="00DC7595">
      <w:pPr>
        <w:sectPr w:rsidSect="00E72EF2">
          <w:headerReference w:type="even" r:id="rId10"/>
          <w:headerReference w:type="default" r:id="rId11"/>
          <w:footerReference w:type="even" r:id="rId12"/>
          <w:footerReference w:type="default" r:id="rId13"/>
          <w:headerReference w:type="first" r:id="rId14"/>
          <w:footerReference w:type="first" r:id="rId15"/>
          <w:pgSz w:w="11906" w:h="16838" w:code="9"/>
          <w:pgMar w:top="851" w:right="567" w:bottom="851" w:left="1134" w:header="709" w:footer="709" w:gutter="0"/>
          <w:cols w:space="708"/>
          <w:titlePg/>
          <w:docGrid w:linePitch="360"/>
        </w:sectPr>
      </w:pPr>
    </w:p>
    <w:p w:rsidR="00BA33B7" w:rsidRPr="00DC7595"/>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00"/>
      </w:tblGrid>
      <w:tr w:rsidTr="009E6E8C">
        <w:tblPrEx>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200" w:type="dxa"/>
            <w:tcBorders>
              <w:bottom w:val="single" w:sz="4" w:space="0" w:color="auto"/>
            </w:tcBorders>
            <w:shd w:val="clear" w:color="auto" w:fill="0000FF"/>
          </w:tcPr>
          <w:p w:rsidR="009E6661" w:rsidRPr="00DC7595" w:rsidP="00057DC7">
            <w:pPr>
              <w:spacing w:before="120" w:after="60"/>
              <w:jc w:val="both"/>
              <w:rPr>
                <w:rFonts w:ascii="Arial" w:hAnsi="Arial" w:cs="Arial"/>
                <w:b/>
                <w:sz w:val="22"/>
              </w:rPr>
            </w:pPr>
            <w:r>
              <w:rPr>
                <w:rFonts w:ascii="Arial" w:hAnsi="Arial"/>
                <w:b/>
                <w:sz w:val="22"/>
              </w:rPr>
              <w:t xml:space="preserve">A. Politické souvislosti, vymezení problému a kontrola subsidiarity </w:t>
            </w:r>
          </w:p>
        </w:tc>
      </w:tr>
      <w:tr w:rsidTr="009E6E8C">
        <w:tblPrEx>
          <w:tblW w:w="10200" w:type="dxa"/>
          <w:tblLook w:val="01E0"/>
        </w:tblPrEx>
        <w:tc>
          <w:tcPr>
            <w:tcW w:w="10200" w:type="dxa"/>
            <w:tcBorders>
              <w:bottom w:val="single" w:sz="4" w:space="0" w:color="auto"/>
            </w:tcBorders>
            <w:shd w:val="clear" w:color="auto" w:fill="E6E6E6"/>
          </w:tcPr>
          <w:p w:rsidR="009E6661" w:rsidRPr="00057DC7">
            <w:pPr>
              <w:spacing w:before="60" w:after="60"/>
              <w:jc w:val="both"/>
              <w:rPr>
                <w:rFonts w:ascii="Arial" w:hAnsi="Arial" w:cs="Arial"/>
                <w:b/>
              </w:rPr>
            </w:pPr>
            <w:r>
              <w:rPr>
                <w:rFonts w:ascii="Arial" w:hAnsi="Arial"/>
                <w:b/>
              </w:rPr>
              <w:t>Politické souvislosti</w:t>
            </w:r>
          </w:p>
        </w:tc>
      </w:tr>
      <w:tr w:rsidTr="00255D8A">
        <w:tblPrEx>
          <w:tblW w:w="10200" w:type="dxa"/>
          <w:tblLook w:val="01E0"/>
        </w:tblPrEx>
        <w:tc>
          <w:tcPr>
            <w:tcW w:w="10311" w:type="dxa"/>
            <w:tcBorders>
              <w:bottom w:val="single" w:sz="4" w:space="0" w:color="auto"/>
            </w:tcBorders>
            <w:shd w:val="clear" w:color="auto" w:fill="auto"/>
          </w:tcPr>
          <w:p w:rsidR="004A724D" w:rsidP="00B808A0">
            <w:pPr>
              <w:spacing w:before="100" w:beforeAutospacing="1" w:after="100" w:afterAutospacing="1"/>
              <w:jc w:val="both"/>
            </w:pPr>
            <w:r>
              <w:t xml:space="preserve">Ve svém </w:t>
            </w:r>
            <w:r>
              <w:fldChar w:fldCharType="begin"/>
            </w:r>
            <w:r>
              <w:instrText xml:space="preserve"> HYPERLINK "https://taxation-customs.ec.europa.eu/communication-business-taxation-21st-century_en" </w:instrText>
            </w:r>
            <w:r>
              <w:fldChar w:fldCharType="separate"/>
            </w:r>
            <w:r>
              <w:rPr>
                <w:rStyle w:val="Hyperlink"/>
              </w:rPr>
              <w:t>sdělení nazvaném „</w:t>
            </w:r>
            <w:r>
              <w:rPr>
                <w:rStyle w:val="Hyperlink"/>
                <w:i/>
              </w:rPr>
              <w:t>Zdanění podniků pro 21. století“</w:t>
            </w:r>
            <w:r>
              <w:rPr>
                <w:rStyle w:val="FootnoteReference"/>
              </w:rPr>
              <w:footnoteReference w:id="3"/>
            </w:r>
            <w:r>
              <w:fldChar w:fldCharType="end"/>
            </w:r>
            <w:r>
              <w:t xml:space="preserve"> oznámila Komise návrh nového rámce daně z příjmů pro podniky, který má: i) zvýšit konkurenceschopnost jednotného trhu; ii) snížit náklady na dodržování předpisů, a to i pro malé a střední podniky, a iii) podpořit investice v EU. Tento nový návrh je znám pod názvem „podnikání v Evropě: rámec pro zdanění příjmů“ (BEFIT). Komise oznámila, že rámec BEFIT bude představovat jednotný soubor pravidel pro daň z příjmů právnických osob v EU, který je založen na klíčových prvcích společného základu daně a rozdělení zisků mezi členské státy podle určitého vzorce (také nazývaném „rozdělování na základě vzorce“). Jak oznámila předsedkyně von der Leyenová ve svém projevu o stavu Unie v roce 2022</w:t>
            </w:r>
            <w:r>
              <w:rPr>
                <w:rStyle w:val="FootnoteReference"/>
              </w:rPr>
              <w:footnoteReference w:id="4"/>
            </w:r>
            <w:r>
              <w:t>, rámec BEFIT usnadní podnikání v naší Unii a zlepší přístup k dynamice našeho kontinentálního trhu.</w:t>
            </w:r>
          </w:p>
          <w:p w:rsidR="0007011A" w:rsidRPr="00DC7595" w:rsidP="00054569">
            <w:pPr>
              <w:spacing w:before="100" w:beforeAutospacing="1" w:after="100" w:afterAutospacing="1"/>
              <w:jc w:val="both"/>
            </w:pPr>
            <w:r>
              <w:t>Některé aspekty myšlenky vytvoření společného systému daně z příjmů právnických osob pro vnitřní trh se objevily v politických dokumentech Evropského hospodářského společenství již v 60. letech 20. století. Při koncipování tohoto návrhu se bude vycházet ze zkušeností získaných při práci na iniciativách v oblasti daně z příjmů právnických osob za posledních 10–15 let, zejména z návrhu společného konsolidovaného základu daně z příjmů právnických osob z roku 2011, návrhů společného základu daně z příjmů právnických osob a společného konsolidovaného základu daně z příjmů právnických osob z roku 2016 a z dvoupilířového přístupu dohodnutého v rámci inkluzivního rámce Organizace pro hospodářskou spolupráci a rozvoj (OECD) / skupiny G20. Zatímco zásady společného základu daně a rozdělení na základě vzorce byly obsaženy již v předchozích návrzích společného konsolidovaného základu daně z příjmů právnických osob, rámec BEFIT bude odrážet významné změny, ke kterým mezitím došlo v ekonomice a mezinárodním rámci. Nový návrh bude vycházet z dvoupilířového přístupu inkluzivního rámce Organizace pro hospodářskou spolupráci a rozvoj (OECD) a skupiny G20, neboť</w:t>
            </w:r>
            <w:r>
              <w:rPr>
                <w:color w:val="FF0000"/>
              </w:rPr>
              <w:t xml:space="preserve"> </w:t>
            </w:r>
            <w:r>
              <w:t xml:space="preserve">vzorec pro rozdělování zisků pilíře 1 a pravidla vytvořená pro pilíř 2 budou zdrojem inspirace pro návrh politiky rámce BEFIT. </w:t>
            </w:r>
          </w:p>
          <w:p w:rsidR="00A621F0" w:rsidRPr="00DC7595" w:rsidP="00A621F0">
            <w:pPr>
              <w:spacing w:after="240"/>
              <w:jc w:val="both"/>
            </w:pPr>
            <w:r>
              <w:t>Dosažení jednotného systému daně z příjmů právnických osob v celé EU pro společnosti spadající pod rámec BEFIT je plně v souladu s prioritami Komise v oblasti daní a přispěje k jejich naplnění. Rámec BEFIT vytvoří rámec zdanění podniků pro 21. století: rámec pro zajištění spravedlivého, moderního a účinného daňového systému, který odpovídá potřebám veřejných financí a současně podporuje oživení a ekologickou a digitální transformaci, a to tím, že vytvoří prostředí přispívající ke spravedlivému, udržitelnému a na pracovní místa bohatému růstu a investicím. Rámec BEFIT doplní další politiky EU v oblasti přímých daní, jako je směrnice proti vyhýbání se daňovým povinnostem</w:t>
            </w:r>
            <w:r>
              <w:rPr>
                <w:rStyle w:val="FootnoteReference"/>
              </w:rPr>
              <w:footnoteReference w:id="5"/>
            </w:r>
            <w:r>
              <w:t xml:space="preserve"> a její změny. Od chvíle, kdy Komise tento návrh v květnu 2021 představila, získal širokou podporu občanské společnosti. Evropský parlament navíc nedávno vyzval k přijetí nových legislativních návrhů v letech 2022–2023 a konkrétně podpořil odůvodnění návrhu Komise týkajícího se rámce BEFIT</w:t>
            </w:r>
            <w:r>
              <w:rPr>
                <w:rStyle w:val="FootnoteReference"/>
              </w:rPr>
              <w:footnoteReference w:id="6"/>
            </w:r>
            <w:r>
              <w:t>. Kromě toho Komise označila rámec BEFIT za návrh, který navazuje na požadavky vznesené v oblasti daní na Konferenci o budoucnosti Evropy, která umožnila lidem, akademické obci a dalším zúčastněným stranám diskutovat o výzvách a prioritách EU pro budoucnost</w:t>
            </w:r>
            <w:r>
              <w:rPr>
                <w:rStyle w:val="FootnoteReference"/>
              </w:rPr>
              <w:footnoteReference w:id="7"/>
            </w:r>
            <w:r>
              <w:t xml:space="preserve">. </w:t>
            </w:r>
          </w:p>
          <w:p w:rsidR="00BF2D27" w:rsidRPr="00DC7595" w:rsidP="00D623A1">
            <w:pPr>
              <w:spacing w:after="240"/>
              <w:jc w:val="both"/>
              <w:rPr>
                <w:rFonts w:ascii="Arial" w:hAnsi="Arial" w:cs="Arial"/>
                <w:color w:val="00B050"/>
                <w:sz w:val="20"/>
              </w:rPr>
            </w:pPr>
            <w:r>
              <w:t>V souladu s mandátem uděleným Evropskou radou a závazky přijatými v interinstitucionální dohodě připojené k novému víceletému finančnímu rámci, a jak bylo oznámeno ve sdělení „</w:t>
            </w:r>
            <w:r>
              <w:rPr>
                <w:i/>
              </w:rPr>
              <w:t>Nová generace vlastních zdrojů pro rozpočet EU“</w:t>
            </w:r>
            <w:r>
              <w:rPr>
                <w:rStyle w:val="FootnoteReference"/>
              </w:rPr>
              <w:footnoteReference w:id="8"/>
            </w:r>
            <w:r>
              <w:t>, Komise předloží do konce roku 2023 návrh druhého souboru nových vlastních zdrojů, který bude vycházet z návrhu rámce BEFIT.</w:t>
            </w:r>
          </w:p>
        </w:tc>
      </w:tr>
      <w:tr w:rsidTr="009E6E8C">
        <w:tblPrEx>
          <w:tblW w:w="10200" w:type="dxa"/>
          <w:tblLook w:val="01E0"/>
        </w:tblPrEx>
        <w:tc>
          <w:tcPr>
            <w:tcW w:w="10200" w:type="dxa"/>
            <w:tcBorders>
              <w:bottom w:val="single" w:sz="4" w:space="0" w:color="auto"/>
            </w:tcBorders>
            <w:shd w:val="clear" w:color="auto" w:fill="E6E6E6"/>
          </w:tcPr>
          <w:p w:rsidR="0071651E" w:rsidRPr="00057DC7" w:rsidP="00DD6EB7">
            <w:pPr>
              <w:spacing w:before="60" w:after="60"/>
              <w:jc w:val="both"/>
              <w:rPr>
                <w:rFonts w:ascii="Arial" w:hAnsi="Arial" w:cs="Arial"/>
                <w:b/>
              </w:rPr>
            </w:pPr>
            <w:r>
              <w:rPr>
                <w:rFonts w:ascii="Arial" w:hAnsi="Arial"/>
                <w:b/>
              </w:rPr>
              <w:t>Problém, který má iniciativa řešit</w:t>
            </w:r>
          </w:p>
        </w:tc>
      </w:tr>
      <w:tr w:rsidTr="008B785C">
        <w:tblPrEx>
          <w:tblW w:w="10200" w:type="dxa"/>
          <w:tblLook w:val="01E0"/>
        </w:tblPrEx>
        <w:tc>
          <w:tcPr>
            <w:tcW w:w="10200" w:type="dxa"/>
            <w:tcBorders>
              <w:bottom w:val="single" w:sz="4" w:space="0" w:color="auto"/>
            </w:tcBorders>
            <w:shd w:val="clear" w:color="auto" w:fill="auto"/>
          </w:tcPr>
          <w:p w:rsidR="00172C31" w:rsidP="00057DC7">
            <w:pPr>
              <w:spacing w:after="240"/>
              <w:jc w:val="both"/>
            </w:pPr>
            <w:r>
              <w:t>Cílem této iniciativy je řešit složitost a vysoké náklady, s nimiž se podniky, zejména ty s přeshraniční činností, potýkají v důsledku nutnosti dodržovat 27 různých systémů daně z příjmů právnických osob při podnikání v EU. Neexistence společného systému daně z příjmů právnických osob narušuje konkurenceschopnost jednotného trhu v důsledku:</w:t>
            </w:r>
          </w:p>
          <w:p w:rsidR="00172C31" w:rsidP="008B785C">
            <w:pPr>
              <w:pStyle w:val="ListParagraph"/>
              <w:numPr>
                <w:ilvl w:val="0"/>
                <w:numId w:val="50"/>
              </w:numPr>
              <w:spacing w:after="240"/>
              <w:contextualSpacing w:val="0"/>
              <w:jc w:val="both"/>
            </w:pPr>
            <w:r>
              <w:t>zkreslení investičních a finančních rozhodnutí (která mohou být také vedena spíše strategiemi daňové optimalizace než primárně obchodními úvahami</w:t>
            </w:r>
            <w:r>
              <w:rPr>
                <w:rStyle w:val="FootnoteReference"/>
              </w:rPr>
              <w:footnoteReference w:id="9"/>
            </w:r>
            <w:r>
              <w:t>) a</w:t>
            </w:r>
          </w:p>
          <w:p w:rsidR="00172C31" w:rsidP="008B785C">
            <w:pPr>
              <w:pStyle w:val="ListParagraph"/>
              <w:numPr>
                <w:ilvl w:val="0"/>
                <w:numId w:val="50"/>
              </w:numPr>
              <w:spacing w:after="240"/>
              <w:contextualSpacing w:val="0"/>
              <w:jc w:val="both"/>
            </w:pPr>
            <w:r>
              <w:t>vyšších nákladů na dodržování předpisů pro podniky působící ve více než jednom členském státě v důsledku nutnosti dodržovat mnoho různých daňových systémů.</w:t>
            </w:r>
          </w:p>
          <w:p w:rsidR="00020191" w:rsidRPr="00DC7595" w:rsidP="008B785C">
            <w:pPr>
              <w:spacing w:after="240"/>
              <w:jc w:val="both"/>
            </w:pPr>
            <w:r>
              <w:t>Tato situace vytváří konkurenční nevýhodu pro jednotný trh ve srovnání s velkými trhy mimo EU</w:t>
            </w:r>
            <w:r>
              <w:rPr>
                <w:rStyle w:val="FootnoteReference"/>
              </w:rPr>
              <w:footnoteReference w:id="10"/>
            </w:r>
            <w:r>
              <w:t xml:space="preserve">. </w:t>
            </w:r>
          </w:p>
          <w:p w:rsidR="00AD52D3" w:rsidRPr="00DC7595">
            <w:pPr>
              <w:spacing w:before="100" w:beforeAutospacing="1" w:after="100" w:afterAutospacing="1"/>
              <w:jc w:val="both"/>
            </w:pPr>
            <w:r>
              <w:t>Na základě článku 9 vzorové úmluvy OECD o daních z příjmu a majetku</w:t>
            </w:r>
            <w:r>
              <w:rPr>
                <w:rStyle w:val="FootnoteReference"/>
              </w:rPr>
              <w:footnoteReference w:id="11"/>
            </w:r>
            <w:r>
              <w:t xml:space="preserve"> musí být podniky zapojené do přeshraničního obchodu se subjekty stejné skupiny zdaněny na základě předpokladu, že spolu jednají navzájem podle zásady obvyklých tržních podmínek. V posledních letech je dodržování těchto </w:t>
            </w:r>
            <w:r>
              <w:t xml:space="preserve">pravidel stanovování převodních cen stále složitější. </w:t>
            </w:r>
          </w:p>
          <w:p w:rsidR="00BD24B0" w:rsidRPr="00DC7595">
            <w:pPr>
              <w:spacing w:before="100" w:beforeAutospacing="1" w:after="100" w:afterAutospacing="1"/>
              <w:jc w:val="both"/>
            </w:pPr>
            <w:r>
              <w:t>Současné systémy daně z příjmů právnických osob navíc plně neodrážejí realitu dnešní ekonomiky a globálního vývoje, protože jsou stále založeny především na principech místní fyzicky přítomné výroby. Domníváme se, že tyto zásady jsou zastaralé, protože globalizace, digitalizace a intenzivnější využívání nehmotného majetku podstatně změnily způsob podnikání společností. Tyto změny by se měly odrazit i ve způsobu jejich zdanění. To, že vlády přijímají opatření proti vyhýbání se daňovým povinnostem a daňovým únikům, aby bojovaly proti mechanismům daňových podvodů, přičemž volí rozdílná řešení, ještě více komplikuje situaci</w:t>
            </w:r>
            <w:r>
              <w:rPr>
                <w:rStyle w:val="FootnoteReference"/>
              </w:rPr>
              <w:footnoteReference w:id="12"/>
            </w:r>
            <w:r>
              <w:t>. Tato rozdílnost může být stále významnější pro ty malé a střední podniky, které díky přístupu na jednotný trh EU rostou a očekávají stále větší přeshraniční expanzi v současné době, kdy se dodavatelské řetězce mění v důsledku ruské vojenské agrese vůči Ukrajině a opatření, která EU přijímá k posílení své strategické autonomie.</w:t>
            </w:r>
          </w:p>
          <w:p w:rsidR="00495B9F" w:rsidRPr="00DC7595" w:rsidP="00054569">
            <w:pPr>
              <w:jc w:val="both"/>
              <w:rPr>
                <w:rFonts w:ascii="Arial" w:hAnsi="Arial" w:cs="Arial"/>
                <w:color w:val="00B050"/>
                <w:sz w:val="20"/>
              </w:rPr>
            </w:pPr>
            <w:r>
              <w:t xml:space="preserve">Bez dalších politických opatření budou zjištěné problémy přetrvávat a zátěž spojená s dodržováním předpisů bude nadále vysoká, zatímco konkurenceschopnost jednotného trhu bude nadále negativně ovlivňována. </w:t>
            </w:r>
          </w:p>
        </w:tc>
      </w:tr>
      <w:tr w:rsidTr="009E6E8C">
        <w:tblPrEx>
          <w:tblW w:w="10200" w:type="dxa"/>
          <w:tblLook w:val="01E0"/>
        </w:tblPrEx>
        <w:tc>
          <w:tcPr>
            <w:tcW w:w="10200" w:type="dxa"/>
            <w:tcBorders>
              <w:bottom w:val="single" w:sz="4" w:space="0" w:color="auto"/>
            </w:tcBorders>
            <w:shd w:val="clear" w:color="auto" w:fill="E6E6E6"/>
          </w:tcPr>
          <w:p w:rsidR="009E6661" w:rsidRPr="008B785C" w:rsidP="008B785C">
            <w:pPr>
              <w:spacing w:before="120" w:after="120"/>
              <w:jc w:val="both"/>
              <w:rPr>
                <w:rFonts w:ascii="Arial" w:hAnsi="Arial" w:cs="Arial"/>
                <w:b/>
                <w:color w:val="000000" w:themeColor="text1"/>
              </w:rPr>
            </w:pPr>
            <w:r>
              <w:rPr>
                <w:rFonts w:ascii="Arial" w:hAnsi="Arial"/>
                <w:b/>
                <w:color w:val="000000" w:themeColor="text1"/>
              </w:rPr>
              <w:t>Základ pro opatření na úrovni EU (právní základ a kontrola subsidiarity)</w:t>
            </w:r>
          </w:p>
        </w:tc>
      </w:tr>
      <w:tr w:rsidTr="009E6E8C">
        <w:tblPrEx>
          <w:tblW w:w="10200" w:type="dxa"/>
          <w:tblLook w:val="01E0"/>
        </w:tblPrEx>
        <w:tc>
          <w:tcPr>
            <w:tcW w:w="10200" w:type="dxa"/>
            <w:shd w:val="clear" w:color="auto" w:fill="D9D9D9" w:themeFill="background1" w:themeFillShade="D9"/>
          </w:tcPr>
          <w:p w:rsidR="00EF6EA7" w:rsidRPr="008B785C" w:rsidP="00474C45">
            <w:pPr>
              <w:spacing w:before="120" w:after="120"/>
              <w:jc w:val="both"/>
              <w:rPr>
                <w:rFonts w:ascii="Arial" w:hAnsi="Arial" w:cs="Arial"/>
                <w:b/>
                <w:color w:val="000000" w:themeColor="text1"/>
                <w:sz w:val="20"/>
              </w:rPr>
            </w:pPr>
            <w:r>
              <w:rPr>
                <w:rFonts w:ascii="Arial" w:hAnsi="Arial"/>
                <w:b/>
                <w:color w:val="000000" w:themeColor="text1"/>
                <w:sz w:val="20"/>
              </w:rPr>
              <w:t>Právní základ</w:t>
            </w:r>
          </w:p>
        </w:tc>
      </w:tr>
      <w:tr w:rsidTr="008B785C">
        <w:tblPrEx>
          <w:tblW w:w="10200" w:type="dxa"/>
          <w:tblLook w:val="01E0"/>
        </w:tblPrEx>
        <w:tc>
          <w:tcPr>
            <w:tcW w:w="10200" w:type="dxa"/>
            <w:shd w:val="clear" w:color="auto" w:fill="auto"/>
          </w:tcPr>
          <w:p w:rsidR="00EF6EA7" w:rsidRPr="00DC7595" w:rsidP="000924D4">
            <w:pPr>
              <w:spacing w:before="100" w:beforeAutospacing="1" w:after="240"/>
              <w:jc w:val="both"/>
              <w:rPr>
                <w:rFonts w:ascii="Arial" w:hAnsi="Arial" w:cs="Arial"/>
                <w:color w:val="1036A0"/>
              </w:rPr>
            </w:pPr>
            <w:r>
              <w:t>Legislativní iniciativy v oblasti přímých daní spadají do působnosti článku 115 Smlouvy o fungování Evropské unie (SFEU). Článek 115 SFEU umožňuje Komisi navrhovat směrnice pro sbližování vnitrostátních právních předpisů členských států, aby bylo zajištěno řádné fungování jednotného trhu. Rada jako rozhodovací orgán podle Smluv musí tyto směrnice přijímat a vydávat jednomyslně v souladu se zvláštním legislativním postupem a po konzultaci s Evropským parlamentem a Hospodářským a sociálním výborem.</w:t>
            </w:r>
          </w:p>
        </w:tc>
      </w:tr>
      <w:tr w:rsidTr="009E6E8C">
        <w:tblPrEx>
          <w:tblW w:w="10200" w:type="dxa"/>
          <w:tblLook w:val="01E0"/>
        </w:tblPrEx>
        <w:tc>
          <w:tcPr>
            <w:tcW w:w="10200" w:type="dxa"/>
            <w:shd w:val="clear" w:color="auto" w:fill="D9D9D9" w:themeFill="background1" w:themeFillShade="D9"/>
          </w:tcPr>
          <w:p w:rsidR="00EF6EA7" w:rsidRPr="008B785C" w:rsidP="00474C45">
            <w:pPr>
              <w:spacing w:before="120" w:after="120"/>
              <w:jc w:val="both"/>
              <w:rPr>
                <w:rFonts w:ascii="Arial" w:hAnsi="Arial" w:cs="Arial"/>
                <w:b/>
                <w:color w:val="000000" w:themeColor="text1"/>
                <w:sz w:val="20"/>
              </w:rPr>
            </w:pPr>
            <w:r>
              <w:rPr>
                <w:rFonts w:ascii="Arial" w:hAnsi="Arial"/>
                <w:b/>
                <w:color w:val="000000" w:themeColor="text1"/>
                <w:sz w:val="20"/>
              </w:rPr>
              <w:t>Praktická potřeba opatření na úrovni EU</w:t>
            </w:r>
          </w:p>
        </w:tc>
      </w:tr>
      <w:tr w:rsidTr="008B785C">
        <w:tblPrEx>
          <w:tblW w:w="10200" w:type="dxa"/>
          <w:tblLook w:val="01E0"/>
        </w:tblPrEx>
        <w:tc>
          <w:tcPr>
            <w:tcW w:w="10200" w:type="dxa"/>
            <w:shd w:val="clear" w:color="auto" w:fill="auto"/>
          </w:tcPr>
          <w:p w:rsidR="00807A3D" w:rsidRPr="00DC7595" w:rsidP="00A959C4">
            <w:pPr>
              <w:spacing w:before="100" w:beforeAutospacing="1" w:after="240"/>
              <w:jc w:val="both"/>
            </w:pPr>
            <w:r>
              <w:t>Cílem rámce BEFIT je zjednodušit pravidla pro zdanění právnických osob na jednotném trhu, která jsou především důsledkem roztříštěnosti EU na 27 rozdílných daňových systémů. To představuje vážnou překážku pro podniky, které působí ve více než jednom členském státě. Současný rámec nekoordinovaných opatření, která plánuje a provádí každý členský stát samostatně, vede k přetrvávající roztříštěnosti a složitosti, neboť společnosti se musí vypořádat s 27 různými daňovými systémy a stejným počtem daňových správ (podle jejich daňové přítomnosti).</w:t>
            </w:r>
          </w:p>
          <w:p w:rsidR="00807A3D" w:rsidRPr="00DC7595" w:rsidP="00A959C4">
            <w:pPr>
              <w:spacing w:before="100" w:beforeAutospacing="1" w:after="240"/>
              <w:jc w:val="both"/>
            </w:pPr>
            <w:r>
              <w:t xml:space="preserve">Nejlepšího výsledku, který by napravil narušení trhu způsobené interakcí 27 vnitrostátních systémů daně z příjmů právnických osob, lze dosáhnout pouze přijetím společného přístupu (např. jednotného souboru pravidel pro výpočet, konsolidaci a sdílení daňových základů). </w:t>
            </w:r>
          </w:p>
          <w:p w:rsidR="00EF6EA7" w:rsidRPr="00DC7595" w:rsidP="00A959C4">
            <w:pPr>
              <w:spacing w:before="100" w:beforeAutospacing="1" w:after="240"/>
              <w:jc w:val="both"/>
            </w:pPr>
            <w:r>
              <w:t>Tento problém je především přeshraniční povahy, takže jej lze řešit pouze stanovením právních předpisů na úrovni EU. Tato iniciativa je tedy v souladu se zásadou subsidiarity vzhledem k tomu, že jednotlivé nekoordinované kroky členských států by pouze prohloubily současnou roztříštěnost právního rámce pro zdanění právnických osob a nepřinesly by zamýšlené výsledky. Největší šanci na dosažení zamýšlených cílů by měl společný přístup pro všechny členské státy.</w:t>
            </w:r>
          </w:p>
          <w:p w:rsidR="004A724D" w:rsidRPr="00DC7595" w:rsidP="00054569">
            <w:pPr>
              <w:spacing w:before="100" w:beforeAutospacing="1" w:after="100" w:afterAutospacing="1"/>
              <w:jc w:val="both"/>
              <w:rPr>
                <w:rFonts w:ascii="Arial" w:hAnsi="Arial" w:cs="Arial"/>
                <w:color w:val="1036A0"/>
              </w:rPr>
            </w:pPr>
          </w:p>
        </w:tc>
      </w:tr>
      <w:tr w:rsidTr="009E6E8C">
        <w:tblPrEx>
          <w:tblW w:w="10200" w:type="dxa"/>
          <w:tblLook w:val="01E0"/>
        </w:tblPrEx>
        <w:tc>
          <w:tcPr>
            <w:tcW w:w="10200" w:type="dxa"/>
            <w:tcBorders>
              <w:bottom w:val="single" w:sz="4" w:space="0" w:color="auto"/>
            </w:tcBorders>
            <w:shd w:val="clear" w:color="auto" w:fill="0000FF"/>
          </w:tcPr>
          <w:p w:rsidR="00423AEF" w:rsidRPr="00DC7595" w:rsidP="001E17DF">
            <w:pPr>
              <w:spacing w:before="120" w:after="60"/>
              <w:jc w:val="both"/>
              <w:rPr>
                <w:rFonts w:ascii="Arial" w:hAnsi="Arial" w:cs="Arial"/>
                <w:b/>
                <w:sz w:val="22"/>
              </w:rPr>
            </w:pPr>
            <w:r>
              <w:rPr>
                <w:rFonts w:ascii="Arial" w:hAnsi="Arial"/>
                <w:b/>
                <w:sz w:val="22"/>
              </w:rPr>
              <w:t>B. Cíle a zvažovaná opatření</w:t>
            </w:r>
          </w:p>
        </w:tc>
      </w:tr>
      <w:tr w:rsidTr="008B785C">
        <w:tblPrEx>
          <w:tblW w:w="10200" w:type="dxa"/>
          <w:tblLook w:val="01E0"/>
        </w:tblPrEx>
        <w:tc>
          <w:tcPr>
            <w:tcW w:w="10200" w:type="dxa"/>
            <w:tcBorders>
              <w:bottom w:val="single" w:sz="4" w:space="0" w:color="auto"/>
            </w:tcBorders>
            <w:shd w:val="clear" w:color="auto" w:fill="auto"/>
          </w:tcPr>
          <w:p w:rsidR="00555EF1" w:rsidRPr="00DC7595" w:rsidP="00D01EB0">
            <w:pPr>
              <w:spacing w:after="120"/>
              <w:jc w:val="both"/>
            </w:pPr>
            <w:r>
              <w:rPr>
                <w:b/>
              </w:rPr>
              <w:t>Hlavními cíli</w:t>
            </w:r>
            <w:r>
              <w:t xml:space="preserve"> rámce BEFIT je:</w:t>
            </w:r>
          </w:p>
          <w:p w:rsidR="00555EF1" w:rsidRPr="00DC7595" w:rsidP="00D27819">
            <w:pPr>
              <w:pStyle w:val="ListParagraph"/>
              <w:numPr>
                <w:ilvl w:val="0"/>
                <w:numId w:val="39"/>
              </w:numPr>
              <w:spacing w:after="120"/>
              <w:contextualSpacing w:val="0"/>
              <w:jc w:val="both"/>
            </w:pPr>
            <w:r>
              <w:t xml:space="preserve">zvýšit odolnost podniků tím, že se sníží složitost daňových předpisů a náklady na jejich </w:t>
            </w:r>
            <w:r>
              <w:t>dodržování, kterým čelí podniky v EU působící za hranicemi;</w:t>
            </w:r>
          </w:p>
          <w:p w:rsidR="00555EF1" w:rsidRPr="00DC7595" w:rsidP="006E059E">
            <w:pPr>
              <w:pStyle w:val="ListParagraph"/>
              <w:numPr>
                <w:ilvl w:val="0"/>
                <w:numId w:val="39"/>
              </w:numPr>
              <w:spacing w:after="120"/>
              <w:contextualSpacing w:val="0"/>
              <w:jc w:val="both"/>
            </w:pPr>
            <w:r>
              <w:t>odstranit překážky přeshraničních investic a učinit jednotný trh atraktivnějším místem pro mezinárodní investice;</w:t>
            </w:r>
          </w:p>
          <w:p w:rsidR="00F7698C" w:rsidRPr="00DC7595" w:rsidP="006E059E">
            <w:pPr>
              <w:pStyle w:val="ListParagraph"/>
              <w:numPr>
                <w:ilvl w:val="0"/>
                <w:numId w:val="39"/>
              </w:numPr>
              <w:spacing w:after="120"/>
              <w:contextualSpacing w:val="0"/>
              <w:jc w:val="both"/>
            </w:pPr>
            <w:r>
              <w:t>vytvořit prostředí podporující spravedlivý a udržitelný růst tím, že připraví půdu pro zjednodušení administrativy, a</w:t>
            </w:r>
          </w:p>
          <w:p w:rsidR="00C6767E" w:rsidRPr="00DC7595" w:rsidP="00D27819">
            <w:pPr>
              <w:pStyle w:val="ListParagraph"/>
              <w:numPr>
                <w:ilvl w:val="0"/>
                <w:numId w:val="39"/>
              </w:numPr>
              <w:spacing w:after="120"/>
              <w:contextualSpacing w:val="0"/>
              <w:jc w:val="both"/>
            </w:pPr>
            <w:r>
              <w:t xml:space="preserve">zajistit udržitelné daňové příjmy, což je v současném složitém hospodářském prostředí obzvláště důležité. </w:t>
            </w:r>
          </w:p>
          <w:p w:rsidR="004A724D" w:rsidP="004A724D">
            <w:pPr>
              <w:spacing w:after="240"/>
              <w:jc w:val="both"/>
            </w:pPr>
            <w:r>
              <w:t xml:space="preserve">Za účelem zajištění efektivity nákladů by návrh měl být v souladu se zásadami, na nichž je založen dvoupilířový přístup OECD, a pokud možno na nich stavět. </w:t>
            </w:r>
          </w:p>
          <w:p w:rsidR="00555EF1" w:rsidRPr="00DC7595" w:rsidP="00120EC7">
            <w:pPr>
              <w:spacing w:after="120"/>
              <w:jc w:val="both"/>
            </w:pPr>
            <w:r>
              <w:t>Níže je uveden neúplný</w:t>
            </w:r>
            <w:r>
              <w:rPr>
                <w:b/>
              </w:rPr>
              <w:t xml:space="preserve"> </w:t>
            </w:r>
            <w:r>
              <w:t>seznam</w:t>
            </w:r>
            <w:r>
              <w:rPr>
                <w:b/>
              </w:rPr>
              <w:t xml:space="preserve"> možností politiky</w:t>
            </w:r>
            <w:r>
              <w:t>, které budou podrobně analyzovány.</w:t>
            </w:r>
          </w:p>
          <w:p w:rsidR="006C267C" w:rsidRPr="00DC7595" w:rsidP="00120EC7">
            <w:pPr>
              <w:pStyle w:val="ListParagraph"/>
              <w:numPr>
                <w:ilvl w:val="0"/>
                <w:numId w:val="42"/>
              </w:numPr>
              <w:spacing w:after="120"/>
              <w:contextualSpacing w:val="0"/>
              <w:rPr>
                <w:b/>
              </w:rPr>
            </w:pPr>
            <w:r>
              <w:rPr>
                <w:b/>
              </w:rPr>
              <w:t xml:space="preserve">Scénář zachování současného stavu – žádná opatření na úrovni EU </w:t>
            </w:r>
          </w:p>
          <w:p w:rsidR="00E269E3" w:rsidRPr="00DC7595" w:rsidP="006E059E">
            <w:pPr>
              <w:spacing w:after="120"/>
              <w:jc w:val="both"/>
            </w:pPr>
            <w:r>
              <w:t xml:space="preserve">Základní scénář použitý jako referenční měřítko předpokládá, že současná vnitrostátní pravidla zdanění právnických osob zůstanou nezměněna. To by znamenalo zachování stávající absence společného systému daně z příjmů právnických osob na jednotném trhu. </w:t>
            </w:r>
          </w:p>
          <w:p w:rsidR="00A959C4" w:rsidRPr="00DC7595" w:rsidP="00120EC7">
            <w:pPr>
              <w:pStyle w:val="ListParagraph"/>
              <w:numPr>
                <w:ilvl w:val="0"/>
                <w:numId w:val="42"/>
              </w:numPr>
              <w:spacing w:after="120"/>
              <w:contextualSpacing w:val="0"/>
              <w:rPr>
                <w:b/>
              </w:rPr>
            </w:pPr>
            <w:r>
              <w:rPr>
                <w:b/>
              </w:rPr>
              <w:t>Opatření na úrovni EU – zlepšení stávajících právních předpisů prostřednictvím směrnice</w:t>
            </w:r>
          </w:p>
          <w:p w:rsidR="0059128F" w:rsidRPr="00DC7595" w:rsidP="006E059E">
            <w:pPr>
              <w:spacing w:after="120"/>
              <w:jc w:val="both"/>
            </w:pPr>
            <w:r>
              <w:t xml:space="preserve">Opatření na úrovni EU by poskytlo klíčové prvky společného daňového základu spolu s rozdělením zisků mezi členské státy na základě vzorce. Tento vzorec by měl zajistit vyvážené rozdělení výnosu daně z příjmů právnických osob mezi členské státy, které by při rozdělování základu daně členským státům lépe zohledňovalo realitu dnešní ekonomiky a globální vývoj. </w:t>
            </w:r>
          </w:p>
          <w:p w:rsidR="00755513" w:rsidRPr="00DC7595" w:rsidP="006E059E">
            <w:pPr>
              <w:spacing w:after="120"/>
              <w:jc w:val="both"/>
            </w:pPr>
            <w:r>
              <w:t xml:space="preserve">Vzhledem k povaze problému (přeshraniční obchodní činnosti, které se potýkají s daňovými komplikacemi, legislativní roztříštěnost vnitrostátních systémů daně z příjmů právnických osob a snížená konkurenceschopnost jednotného trhu EU) se jeví jako vhodné přijmout opatření na úrovni EU ve formě směrnice, nikoliv v podobě právně nevynutitelných předpisů. Opatření v podobě právně nevynutitelných předpisů mají zpravidla omezenou účinnost, protože systematicky nenahrazují nebo nezjednodušují stávající pravidla, a proto pouze mírně zlepšují stávající stav.  </w:t>
            </w:r>
          </w:p>
          <w:p w:rsidR="00432F1C" w:rsidRPr="00DC7595" w:rsidP="006E059E">
            <w:pPr>
              <w:spacing w:after="120"/>
              <w:jc w:val="both"/>
            </w:pPr>
            <w:r>
              <w:t xml:space="preserve">Rozsah možností politiky by měl zahrnovat pět klíčových stavebních prvků zvažovaného systému (rámec BEFIT), které jsou uvedeny níže. </w:t>
            </w:r>
          </w:p>
          <w:p w:rsidR="00A959C4" w:rsidRPr="00DC7595" w:rsidP="00120EC7">
            <w:pPr>
              <w:pStyle w:val="ListParagraph"/>
              <w:numPr>
                <w:ilvl w:val="0"/>
                <w:numId w:val="41"/>
              </w:numPr>
              <w:spacing w:after="120"/>
              <w:contextualSpacing w:val="0"/>
              <w:jc w:val="both"/>
              <w:rPr>
                <w:b/>
                <w:i/>
              </w:rPr>
            </w:pPr>
            <w:r>
              <w:rPr>
                <w:b/>
                <w:i/>
              </w:rPr>
              <w:t xml:space="preserve">Rozsah působnosti </w:t>
            </w:r>
          </w:p>
          <w:p w:rsidR="00432F1C" w:rsidRPr="00DC7595" w:rsidP="00120EC7">
            <w:pPr>
              <w:spacing w:after="120"/>
              <w:ind w:left="568"/>
              <w:jc w:val="both"/>
              <w:rPr>
                <w:b/>
              </w:rPr>
            </w:pPr>
            <w:r>
              <w:rPr>
                <w:b/>
              </w:rPr>
              <w:t xml:space="preserve">Možnost 1: skupiny s konsolidovanými celosvětovými příjmy přesahujícími 750 milionů EUR </w:t>
            </w:r>
          </w:p>
          <w:p w:rsidR="00EE3F75" w:rsidRPr="00DC7595" w:rsidP="006E059E">
            <w:pPr>
              <w:spacing w:after="120"/>
              <w:jc w:val="both"/>
            </w:pPr>
            <w:r>
              <w:t>V rámci této možnosti by byla prahová hodnota, po jejímž překročení by skupina společností spadala pod rámec BEFIT, stanovena na 750 milionů EUR konsolidovaných celosvětových příjmů. Definice „skupiny společností“ by byla v souladu s definicí použitou v návrhu směrnice o pilíři 2</w:t>
            </w:r>
            <w:r>
              <w:rPr>
                <w:rStyle w:val="FootnoteReference"/>
              </w:rPr>
              <w:footnoteReference w:id="13"/>
            </w:r>
            <w:r>
              <w:t>. Oba aspekty by zajistily dobré sladění oblasti působnosti rámce BEFIT s oblastí působnosti navrhované směrnice o pilíři 2.</w:t>
            </w:r>
          </w:p>
          <w:p w:rsidR="00EE3F75" w:rsidRPr="00DC7595" w:rsidP="00120EC7">
            <w:pPr>
              <w:spacing w:after="120"/>
              <w:ind w:left="568"/>
              <w:jc w:val="both"/>
              <w:rPr>
                <w:b/>
              </w:rPr>
            </w:pPr>
            <w:r>
              <w:rPr>
                <w:b/>
              </w:rPr>
              <w:t>Možnost 2: širší rozsah</w:t>
            </w:r>
          </w:p>
          <w:p w:rsidR="00EE3F75" w:rsidRPr="00DC7595" w:rsidP="00C069CE">
            <w:pPr>
              <w:spacing w:after="120"/>
              <w:jc w:val="both"/>
            </w:pPr>
            <w:r>
              <w:t xml:space="preserve">Tato možnost by zahrnovala snížení prahové hodnoty příjmů pod 750 milionů EUR, čímž by se právní rámec stal inkluzivnějším a snížily by se rozdíly. Širší rozsah působnosti by byl zajímavý zejména pro malé a střední podniky s přeshraniční činností nebo pro ty, které plánují, že se brzy rozšíří a začnou působit v zahraničí. Tyto malé a střední podniky by se mohly rozhodnout pro rámec BEFIT, aby mohly využívat společných pravidel EU pro základ daně a rozdělování zisků. </w:t>
            </w:r>
          </w:p>
          <w:p w:rsidR="00CD5074" w:rsidRPr="00DC7595" w:rsidP="00C069CE">
            <w:pPr>
              <w:spacing w:after="120"/>
              <w:jc w:val="both"/>
              <w:rPr>
                <w:b/>
              </w:rPr>
            </w:pPr>
            <w:r>
              <w:rPr>
                <w:b/>
              </w:rPr>
              <w:t>Odvětvové aspekty</w:t>
            </w:r>
          </w:p>
          <w:p w:rsidR="00CD5074" w:rsidRPr="00DC7595" w:rsidP="00C069CE">
            <w:pPr>
              <w:spacing w:after="120"/>
              <w:jc w:val="both"/>
            </w:pPr>
            <w:r>
              <w:t>Aby se zajistilo, že rámec BEFIT přinese zamýšlené zjednodušení a poskytne výhody co největšímu počtu podniků, bylo by vhodnější mít omezené odvětvové výjimky. Za tímto účelem Komise prozkoumá, jak by bylo nejlepší použít vzorec rámce BEFIT pro rozdělení zisků v odvětví finančních služeb.</w:t>
            </w:r>
          </w:p>
          <w:p w:rsidR="00CD5074" w:rsidRPr="00DC7595" w:rsidP="00C069CE">
            <w:pPr>
              <w:spacing w:after="120"/>
              <w:jc w:val="both"/>
            </w:pPr>
          </w:p>
          <w:p w:rsidR="00A959C4" w:rsidRPr="00DC7595" w:rsidP="00120EC7">
            <w:pPr>
              <w:pStyle w:val="ListParagraph"/>
              <w:numPr>
                <w:ilvl w:val="0"/>
                <w:numId w:val="41"/>
              </w:numPr>
              <w:spacing w:after="120"/>
              <w:contextualSpacing w:val="0"/>
              <w:jc w:val="both"/>
              <w:rPr>
                <w:b/>
                <w:i/>
              </w:rPr>
            </w:pPr>
            <w:r>
              <w:rPr>
                <w:b/>
                <w:i/>
              </w:rPr>
              <w:t>Výpočet základu daně</w:t>
            </w:r>
          </w:p>
          <w:p w:rsidR="00735B5B" w:rsidRPr="00DC7595" w:rsidP="00120EC7">
            <w:pPr>
              <w:spacing w:after="120"/>
              <w:ind w:left="568"/>
              <w:jc w:val="both"/>
              <w:rPr>
                <w:b/>
              </w:rPr>
            </w:pPr>
            <w:r>
              <w:rPr>
                <w:b/>
              </w:rPr>
              <w:t xml:space="preserve">Možnost 1: omezené daňové úpravy </w:t>
            </w:r>
          </w:p>
          <w:p w:rsidR="00246882" w:rsidRPr="00DC7595" w:rsidP="006E059E">
            <w:pPr>
              <w:spacing w:after="120"/>
              <w:jc w:val="both"/>
            </w:pPr>
            <w:r>
              <w:t>Cílem iniciativy BEFIT je vytvořit jednodušší, ale účinný společný systém daně z příjmů právnických osob v EU. Za účelem stanovení základu daně a splnění tohoto cíle by se v rámci této možnosti na příjmy vykázané v účetních závěrkách subjektů skupiny spadajících pod rámec BEFIT použil omezený seznam daňových úprav. Seznam úprav by byl sestaven z prvků, které tvoří významnou část základu daně z příjmů právnických osob (přibližně 90 %). Všechny společnosti ve skupině spadající pod rámec BEFIT by musely jako výchozí bod pro výpočet základu daně použít účetní závěrku sestavenou v souladu se stejným účetním standardem schváleným pro použití v EU.</w:t>
            </w:r>
          </w:p>
          <w:p w:rsidR="00246882" w:rsidRPr="00DC7595" w:rsidP="00120EC7">
            <w:pPr>
              <w:spacing w:after="120"/>
              <w:ind w:left="568"/>
              <w:jc w:val="both"/>
              <w:rPr>
                <w:b/>
              </w:rPr>
            </w:pPr>
            <w:r>
              <w:rPr>
                <w:b/>
              </w:rPr>
              <w:t>Možnost 2: komplexní soubor daňových pravidel</w:t>
            </w:r>
          </w:p>
          <w:p w:rsidR="00FA0D64" w:rsidP="006E059E">
            <w:pPr>
              <w:spacing w:after="120"/>
              <w:jc w:val="both"/>
            </w:pPr>
            <w:r>
              <w:t xml:space="preserve">Alternativní možností by bylo zavést komplexní systém daně z příjmů právnických osob s podrobnými pravidly pro všechny aspekty stanovení zisku/daně, spíše než vybudovat systém založený na finančním účetnictví jako v případě možnosti 1. Pokud by byla zvolena tato možnost, musely by členské státy souběžně používat dva komplexní soubory pravidel pro daň z příjmů právnických osob, tj. rámec BEFIT a své vnitrostátní předpisy (to by neplatilo v případě možnosti 1, kdy budou pravidla rámce BEFIT pro stanovení daně zjednodušena). </w:t>
            </w:r>
          </w:p>
          <w:p w:rsidR="00E269E3" w:rsidRPr="00DC7595" w:rsidP="006E059E">
            <w:pPr>
              <w:spacing w:after="120"/>
              <w:jc w:val="both"/>
            </w:pPr>
          </w:p>
          <w:p w:rsidR="00A959C4" w:rsidRPr="00DC7595" w:rsidP="00120EC7">
            <w:pPr>
              <w:pStyle w:val="ListParagraph"/>
              <w:numPr>
                <w:ilvl w:val="0"/>
                <w:numId w:val="41"/>
              </w:numPr>
              <w:spacing w:after="120"/>
              <w:contextualSpacing w:val="0"/>
              <w:jc w:val="both"/>
              <w:rPr>
                <w:b/>
                <w:i/>
              </w:rPr>
            </w:pPr>
            <w:r>
              <w:rPr>
                <w:b/>
                <w:i/>
              </w:rPr>
              <w:t xml:space="preserve">Vzorec pro rozdělení zdanitelných zisků </w:t>
            </w:r>
          </w:p>
          <w:p w:rsidR="00427B7B" w:rsidRPr="00DC7595" w:rsidP="00120EC7">
            <w:pPr>
              <w:spacing w:after="120"/>
              <w:jc w:val="both"/>
            </w:pPr>
            <w:r>
              <w:t xml:space="preserve">Třetí stavební prvek by se zaměřil na způsob rozdělení základu daně mezi ty členské státy, v nichž má skupina spadající pod BEFIT daňovou přítomnost. Základní zásadou, kterou je třeba dodržet při rozhodování o rozdělení na základě vzorce, je zvolit faktory, které odrážejí zdroj tvorby příjmů. </w:t>
            </w:r>
          </w:p>
          <w:p w:rsidR="00A959C4" w:rsidRPr="00DC7595" w:rsidP="00120EC7">
            <w:pPr>
              <w:spacing w:after="120"/>
              <w:ind w:left="568"/>
              <w:jc w:val="both"/>
              <w:rPr>
                <w:b/>
              </w:rPr>
            </w:pPr>
            <w:r>
              <w:rPr>
                <w:b/>
              </w:rPr>
              <w:t>Možnost 1: vzorec bez zahrnutí nehmotných aktiv</w:t>
            </w:r>
          </w:p>
          <w:p w:rsidR="00EE3F75" w:rsidRPr="00DC7595" w:rsidP="006E059E">
            <w:pPr>
              <w:spacing w:after="120"/>
              <w:jc w:val="both"/>
            </w:pPr>
            <w:r>
              <w:t xml:space="preserve">V rámci této možnosti by návrh zohlednil tři faktory, které se nejčastěji používají pro rozdělení zisků na základě vzorce mezi daňové jurisdikce, a to: i) hmotná aktiva (s výjimkou finančních aktiv, pokud nejsou ve verzi specifické pro dané odvětví); ii) práci (případně rovnoměrně rozdělenou mezi zaměstnance a platy) a iii) prodej podle místa určení. Jsou možné i jiné varianty faktorů, které se mají ve vzorci použít, ale v historické literatuře převládá názor, že tyto faktory by měly co nejpřesněji odrážet tvorbu příjmů a být nejméně náchylné ke zneužití.   </w:t>
            </w:r>
          </w:p>
          <w:p w:rsidR="00EE3F75" w:rsidRPr="00DC7595" w:rsidP="00120EC7">
            <w:pPr>
              <w:spacing w:after="120"/>
              <w:ind w:left="568"/>
              <w:jc w:val="both"/>
              <w:rPr>
                <w:b/>
              </w:rPr>
            </w:pPr>
            <w:r>
              <w:rPr>
                <w:b/>
              </w:rPr>
              <w:t>Možnost 2: vzorec zahrnující nehmotná aktiva</w:t>
            </w:r>
          </w:p>
          <w:p w:rsidR="00246882" w:rsidP="006E059E">
            <w:pPr>
              <w:spacing w:after="120"/>
              <w:jc w:val="both"/>
            </w:pPr>
            <w:r>
              <w:t xml:space="preserve">Alternativní možností by bylo zahrnout nehmotná aktiva jako faktor do vzorce vedle tří výše uvedených faktorů, aby se zohlednila realita moderních ekonomik. Konkrétněji by nehmotná aktiva mohla být zahrnuta pomocí náhradní hodnoty, která by se mohla skládat z takových aspektů, jako jsou výdaje na výzkum a vývoj a náklady na marketing a reklamu. </w:t>
            </w:r>
          </w:p>
          <w:p w:rsidR="00E269E3" w:rsidRPr="00DC7595" w:rsidP="006E059E">
            <w:pPr>
              <w:spacing w:after="120"/>
              <w:jc w:val="both"/>
            </w:pPr>
          </w:p>
          <w:p w:rsidR="004F2E80" w:rsidRPr="00DC7595" w:rsidP="006E059E">
            <w:pPr>
              <w:pStyle w:val="ListParagraph"/>
              <w:numPr>
                <w:ilvl w:val="0"/>
                <w:numId w:val="41"/>
              </w:numPr>
              <w:spacing w:after="120"/>
              <w:contextualSpacing w:val="0"/>
              <w:jc w:val="both"/>
              <w:rPr>
                <w:b/>
                <w:i/>
              </w:rPr>
            </w:pPr>
            <w:r>
              <w:rPr>
                <w:b/>
                <w:i/>
              </w:rPr>
              <w:t xml:space="preserve">Rozdělení zisku spřízněným subjektům mimo skupinu </w:t>
            </w:r>
          </w:p>
          <w:p w:rsidR="00961928" w:rsidRPr="00DC7595" w:rsidP="006E059E">
            <w:pPr>
              <w:spacing w:after="120"/>
              <w:jc w:val="both"/>
            </w:pPr>
            <w:r>
              <w:t xml:space="preserve">Právo EU se obecně vztahuje pouze na činnosti probíhající v rámci EU, takže možnosti opatření v této oblasti jsou omezené. Předpokládá se, že stávající zásady stanovování převodních cen se budou i nadále vztahovat na transakce se spřízněnými subjekty, které jsou rezidenty mimo konsolidovanou skupinu. </w:t>
            </w:r>
          </w:p>
          <w:p w:rsidR="00961928" w:rsidRPr="00DC7595" w:rsidP="006E059E">
            <w:pPr>
              <w:spacing w:after="120"/>
              <w:ind w:left="568"/>
              <w:jc w:val="both"/>
              <w:rPr>
                <w:b/>
              </w:rPr>
            </w:pPr>
            <w:r>
              <w:rPr>
                <w:b/>
              </w:rPr>
              <w:t>Možnost 1: zjednodušený přístup k převodním cenám</w:t>
            </w:r>
          </w:p>
          <w:p w:rsidR="004F2E80" w:rsidRPr="00DC7595" w:rsidP="006E059E">
            <w:pPr>
              <w:spacing w:after="120"/>
              <w:jc w:val="both"/>
            </w:pPr>
            <w:r>
              <w:t xml:space="preserve">V rámci této možnosti by se v zájmu zjednodušení a zvýšení daňové jistoty pro podniky v návrhu počítalo se zjednodušeným přístupem ke správě pravidel stanovování převodních cen na základě </w:t>
            </w:r>
            <w:r>
              <w:t xml:space="preserve">makroekonomických referenčních hodnot odvětví. Cílem by nebylo nahradit zásadu obvyklých tržních podmínek. Podniky by totiž i nadále musely provádět nezbytné analýzy stanovování převodních cen. Plánovaná pravidla by pouze poskytovala pokyny pro přístup daňových orgánů k riziku transakcí podniků se spřízněnými subjekty mimo konsolidovanou skupinu. </w:t>
            </w:r>
          </w:p>
          <w:p w:rsidR="00803AAF" w:rsidRPr="00DC7595" w:rsidP="006E059E">
            <w:pPr>
              <w:spacing w:after="120"/>
              <w:ind w:left="568"/>
              <w:jc w:val="both"/>
              <w:rPr>
                <w:b/>
              </w:rPr>
            </w:pPr>
            <w:r>
              <w:rPr>
                <w:b/>
              </w:rPr>
              <w:t>Možnost 2: zachovat stávající pravidla stanovování převodních cen</w:t>
            </w:r>
          </w:p>
          <w:p w:rsidR="00803AAF" w:rsidP="006E059E">
            <w:pPr>
              <w:spacing w:after="120"/>
              <w:jc w:val="both"/>
            </w:pPr>
            <w:r>
              <w:t xml:space="preserve">Druhou možností je zachovat současný přístup k uplatňování pravidel stanovování převodních cen. </w:t>
            </w:r>
          </w:p>
          <w:p w:rsidR="00E269E3" w:rsidRPr="00DC7595" w:rsidP="006E059E">
            <w:pPr>
              <w:spacing w:after="120"/>
              <w:jc w:val="both"/>
            </w:pPr>
          </w:p>
          <w:p w:rsidR="0005730C" w:rsidRPr="00DC7595" w:rsidP="004C716C">
            <w:pPr>
              <w:pStyle w:val="ListParagraph"/>
              <w:numPr>
                <w:ilvl w:val="0"/>
                <w:numId w:val="41"/>
              </w:numPr>
              <w:spacing w:after="120"/>
              <w:contextualSpacing w:val="0"/>
              <w:jc w:val="both"/>
              <w:rPr>
                <w:b/>
                <w:i/>
              </w:rPr>
            </w:pPr>
            <w:r>
              <w:rPr>
                <w:b/>
                <w:i/>
              </w:rPr>
              <w:t>Správa</w:t>
            </w:r>
          </w:p>
          <w:p w:rsidR="0005730C" w:rsidRPr="00DC7595" w:rsidP="006E059E">
            <w:pPr>
              <w:spacing w:after="120"/>
              <w:jc w:val="both"/>
            </w:pPr>
            <w:r>
              <w:t>Nedílnou součástí systému BEFIT a jakéhokoli daňového systému je jeho administrativní aspekt. Jedním z klíčových cílů rámce BEFIT je snížit náklady na dodržování předpisů a administrativní náklady pro daňové poplatníky a členské státy, takže návrh tohoto stavebního prvku bude vyžadovat pečlivé zvážení.</w:t>
            </w:r>
          </w:p>
          <w:p w:rsidR="0013745A" w:rsidRPr="00DC7595" w:rsidP="004C716C">
            <w:pPr>
              <w:spacing w:after="120"/>
              <w:jc w:val="both"/>
              <w:rPr>
                <w:rFonts w:ascii="Arial" w:hAnsi="Arial" w:cs="Arial"/>
                <w:color w:val="00B050"/>
                <w:sz w:val="20"/>
              </w:rPr>
            </w:pPr>
          </w:p>
        </w:tc>
      </w:tr>
      <w:tr w:rsidTr="009E6E8C">
        <w:tblPrEx>
          <w:tblW w:w="10200" w:type="dxa"/>
          <w:tblLook w:val="01E0"/>
        </w:tblPrEx>
        <w:tc>
          <w:tcPr>
            <w:tcW w:w="10200" w:type="dxa"/>
            <w:tcBorders>
              <w:bottom w:val="single" w:sz="4" w:space="0" w:color="auto"/>
            </w:tcBorders>
            <w:shd w:val="clear" w:color="auto" w:fill="0000FF"/>
          </w:tcPr>
          <w:p w:rsidR="001025E4" w:rsidRPr="00DC7595" w:rsidP="00AD1D4B">
            <w:pPr>
              <w:spacing w:before="60" w:after="60"/>
              <w:jc w:val="both"/>
              <w:rPr>
                <w:rFonts w:ascii="Arial" w:hAnsi="Arial" w:cs="Arial"/>
                <w:b/>
                <w:color w:val="FFFFFF"/>
                <w:sz w:val="22"/>
              </w:rPr>
            </w:pPr>
            <w:r>
              <w:rPr>
                <w:rFonts w:ascii="Arial" w:hAnsi="Arial"/>
                <w:b/>
                <w:color w:val="FFFFFF"/>
                <w:sz w:val="22"/>
              </w:rPr>
              <w:t>C. Pravděpodobné dopady</w:t>
            </w:r>
          </w:p>
        </w:tc>
      </w:tr>
      <w:tr w:rsidTr="009E6E8C">
        <w:tblPrEx>
          <w:tblW w:w="10200" w:type="dxa"/>
          <w:tblLook w:val="01E0"/>
        </w:tblPrEx>
        <w:tc>
          <w:tcPr>
            <w:tcW w:w="10200" w:type="dxa"/>
            <w:tcBorders>
              <w:bottom w:val="single" w:sz="4" w:space="0" w:color="auto"/>
            </w:tcBorders>
            <w:shd w:val="clear" w:color="auto" w:fill="FFFFFF"/>
          </w:tcPr>
          <w:p w:rsidR="00DF6080" w:rsidRPr="00DC7595">
            <w:pPr>
              <w:spacing w:after="120"/>
              <w:rPr>
                <w:b/>
              </w:rPr>
            </w:pPr>
            <w:r>
              <w:rPr>
                <w:b/>
              </w:rPr>
              <w:t xml:space="preserve">Pravděpodobné ekonomické dopady </w:t>
            </w:r>
          </w:p>
          <w:p w:rsidR="00B240F4" w:rsidP="00A241C8">
            <w:pPr>
              <w:spacing w:after="120"/>
              <w:jc w:val="both"/>
            </w:pPr>
            <w:r>
              <w:t xml:space="preserve">Cílem rámce BEFIT bude zvýšit konkurenceschopnost jednotného trhu EU. Toho dosáhne snížením roztříštěnosti právního rámce pro zdanění právnických osob na jednotném trhu. Odstranění překážek tím, že se podnikům poskytne jednotný soubor pravidel pro daň z příjmů právnických osob, který budou muset dodržovat, nabídne nové investiční příležitosti. Jako u každé iniciativy, i v počáteční fázi uplatňování rámce BEFIT budou podnikům při přizpůsobování se novému rámci pravděpodobně vznikat určité administrativní náklady. Tyto náklady však budou kompenzovány úsporami nákladů na dodržování předpisů v následujících letech, zejména proto, že podniky budou muset dodržovat jeden soubor pravidel namísto široké škály různých daňových systémů na jednotném trhu. Kromě toho se očekává, že rámec BEFIT přinese významné úspory nákladů daňovým správám členských států, které budou mít k dispozici zjednodušený soubor pravidel EU pro podniky spadající pod rámec BEFIT. </w:t>
            </w:r>
          </w:p>
          <w:p w:rsidR="00DF6080" w:rsidRPr="00DC7595" w:rsidP="00A241C8">
            <w:pPr>
              <w:spacing w:after="120"/>
              <w:jc w:val="both"/>
              <w:rPr>
                <w:b/>
              </w:rPr>
            </w:pPr>
            <w:r>
              <w:rPr>
                <w:b/>
              </w:rPr>
              <w:t xml:space="preserve">Pravděpodobné sociální dopady </w:t>
            </w:r>
          </w:p>
          <w:p w:rsidR="00946FE4" w:rsidP="00A241C8">
            <w:pPr>
              <w:spacing w:after="120"/>
              <w:jc w:val="both"/>
            </w:pPr>
            <w:r>
              <w:t>Nový rámec by měl pomoci řešit současné rozdíly mezi vnitrostátními systémy daně z příjmů právnických osob. Očekává se tedy, že přispěje ke zvýšení spravedlnosti při zdanění podniků. Rámec BEFIT má být zároveň daňově neutrální pro daňové poplatníky a nepovede k významnému přerozdělení daňových příjmů mezi členskými státy.</w:t>
            </w:r>
          </w:p>
          <w:p w:rsidR="00DF6080" w:rsidRPr="00DC7595" w:rsidP="00DF6080">
            <w:pPr>
              <w:spacing w:after="120"/>
              <w:rPr>
                <w:b/>
              </w:rPr>
            </w:pPr>
            <w:r>
              <w:rPr>
                <w:b/>
              </w:rPr>
              <w:t xml:space="preserve">Pravděpodobné dopady na životní prostředí </w:t>
            </w:r>
          </w:p>
          <w:p w:rsidR="00DF6080" w:rsidP="00A241C8">
            <w:pPr>
              <w:spacing w:after="120"/>
              <w:jc w:val="both"/>
            </w:pPr>
            <w:r>
              <w:t>Dopad na životní prostředí může být neutrální až pozitivní v závislosti na přesném návrhu opatření.</w:t>
            </w:r>
          </w:p>
          <w:p w:rsidR="00DF6080" w:rsidRPr="00DC7595" w:rsidP="00A241C8">
            <w:pPr>
              <w:spacing w:after="120"/>
              <w:jc w:val="both"/>
              <w:rPr>
                <w:b/>
              </w:rPr>
            </w:pPr>
            <w:r>
              <w:rPr>
                <w:b/>
              </w:rPr>
              <w:t xml:space="preserve">Pravděpodobné dopady na zjednodušení a/nebo administrativní zátěž </w:t>
            </w:r>
          </w:p>
          <w:p w:rsidR="00DF6080" w:rsidP="00A241C8">
            <w:pPr>
              <w:spacing w:after="120"/>
              <w:jc w:val="both"/>
            </w:pPr>
            <w:r>
              <w:t>Návrh by měl výrazně snížit náklady daňových poplatníků na dodržování předpisů, protože skupiny spadající pod rámec BEFIT by se musely zabývat pouze jedním souborem pravidel pro daň z příjmů právnických osob (a tedy např. sníženými požadavky na podávání zpráv). Z plánovaných zjednodušených postupů by proto měly mít prospěch i podniky, které v současnosti sídlí v jednom členském státě, ale plánují růst prostřednictvím přeshraniční expanze. Návrh by měl rovněž vést ke zjednodušení a snížení administrativní zátěže pro daňové orgány členských států (např. proto, že musí kontrolovat méně dokumentů).</w:t>
            </w:r>
          </w:p>
          <w:p w:rsidR="00DF6080" w:rsidRPr="00DC7595" w:rsidP="00A241C8">
            <w:pPr>
              <w:spacing w:after="120"/>
              <w:jc w:val="both"/>
              <w:rPr>
                <w:b/>
              </w:rPr>
            </w:pPr>
            <w:r>
              <w:rPr>
                <w:b/>
              </w:rPr>
              <w:t>Pravděpodobné dopady na malé a střední podniky</w:t>
            </w:r>
          </w:p>
          <w:p w:rsidR="00DF6080" w:rsidP="0013745A">
            <w:pPr>
              <w:spacing w:after="120"/>
              <w:jc w:val="both"/>
            </w:pPr>
            <w:bookmarkStart w:id="1" w:name="_Hlk113628301"/>
            <w:r>
              <w:t xml:space="preserve">Malé a střední podniky s přeshraničními aktivitami nebo ty, které plánují rozšíření a brzké zahájení přeshraniční činnosti, by měly prospěch ze snížení zátěže plynoucí z toho, že nemusí dodržovat více systémů daně z příjmů právnických osob. Malé a střední podniky, které podléhají zdanění právnických osob v jednom členském státě, jsou však méně ovlivněny složitostmi vyplývajícími z nutnosti dodržovat více systémů daně z příjmů právnických osob. V důsledku toho by z jednotného souboru </w:t>
            </w:r>
            <w:r>
              <w:t xml:space="preserve">pravidel, jako je rámec BEFIT, pravděpodobně neměly významný prospěch. </w:t>
            </w:r>
          </w:p>
          <w:p w:rsidR="00DF6080" w:rsidRPr="00DC7595" w:rsidP="00A241C8">
            <w:pPr>
              <w:spacing w:after="120"/>
              <w:jc w:val="both"/>
              <w:rPr>
                <w:b/>
              </w:rPr>
            </w:pPr>
            <w:bookmarkEnd w:id="1"/>
            <w:r>
              <w:rPr>
                <w:b/>
              </w:rPr>
              <w:t xml:space="preserve">Pravděpodobné dopady na základní práva a rovnost </w:t>
            </w:r>
          </w:p>
          <w:p w:rsidR="001A0321" w:rsidRPr="00DC7595" w:rsidP="00A241C8">
            <w:pPr>
              <w:spacing w:after="240"/>
              <w:jc w:val="both"/>
              <w:rPr>
                <w:rFonts w:ascii="Arial" w:hAnsi="Arial" w:cs="Arial"/>
                <w:color w:val="00B050"/>
                <w:sz w:val="20"/>
              </w:rPr>
            </w:pPr>
            <w:r>
              <w:t>Neočekává se žádný dopad na základní práva.</w:t>
            </w:r>
          </w:p>
        </w:tc>
      </w:tr>
      <w:tr w:rsidTr="009E6E8C">
        <w:tblPrEx>
          <w:tblW w:w="10200" w:type="dxa"/>
          <w:tblLook w:val="01E0"/>
        </w:tblPrEx>
        <w:tc>
          <w:tcPr>
            <w:tcW w:w="10200" w:type="dxa"/>
            <w:tcBorders>
              <w:bottom w:val="single" w:sz="4" w:space="0" w:color="auto"/>
            </w:tcBorders>
            <w:shd w:val="clear" w:color="auto" w:fill="0000FF"/>
          </w:tcPr>
          <w:p w:rsidR="00E67B71" w:rsidRPr="00DC7595" w:rsidP="002C6F66">
            <w:pPr>
              <w:spacing w:before="120" w:after="120"/>
              <w:jc w:val="both"/>
              <w:rPr>
                <w:rFonts w:ascii="Arial" w:hAnsi="Arial" w:cs="Arial"/>
                <w:b/>
                <w:sz w:val="22"/>
              </w:rPr>
            </w:pPr>
            <w:r>
              <w:rPr>
                <w:rFonts w:ascii="Arial" w:hAnsi="Arial"/>
                <w:b/>
                <w:sz w:val="22"/>
                <w:highlight w:val="blue"/>
              </w:rPr>
              <w:t xml:space="preserve">D. Nástroje </w:t>
            </w:r>
            <w:r>
              <w:rPr>
                <w:rFonts w:ascii="Arial" w:hAnsi="Arial"/>
                <w:b/>
                <w:color w:val="FFFFFF" w:themeColor="background1"/>
                <w:sz w:val="22"/>
                <w:highlight w:val="blue"/>
                <w:shd w:val="clear" w:color="auto" w:fill="0070C0"/>
              </w:rPr>
              <w:t>zlepšování</w:t>
            </w:r>
            <w:r>
              <w:rPr>
                <w:rFonts w:ascii="Arial" w:hAnsi="Arial"/>
                <w:b/>
                <w:color w:val="FFFFFF" w:themeColor="background1"/>
                <w:sz w:val="22"/>
                <w:highlight w:val="blue"/>
              </w:rPr>
              <w:t xml:space="preserve"> právní úpravy </w:t>
            </w:r>
          </w:p>
        </w:tc>
      </w:tr>
      <w:tr w:rsidTr="009E6E8C">
        <w:tblPrEx>
          <w:tblW w:w="10200" w:type="dxa"/>
          <w:tblLook w:val="01E0"/>
        </w:tblPrEx>
        <w:tc>
          <w:tcPr>
            <w:tcW w:w="10200" w:type="dxa"/>
            <w:tcBorders>
              <w:bottom w:val="single" w:sz="4" w:space="0" w:color="auto"/>
            </w:tcBorders>
            <w:shd w:val="clear" w:color="auto" w:fill="E6E6E6"/>
          </w:tcPr>
          <w:p w:rsidR="00E67B71" w:rsidRPr="001A59F9" w:rsidP="00A95AC6">
            <w:pPr>
              <w:spacing w:before="120" w:after="120"/>
              <w:jc w:val="both"/>
              <w:rPr>
                <w:rFonts w:ascii="Arial" w:hAnsi="Arial" w:cs="Arial"/>
              </w:rPr>
            </w:pPr>
            <w:r>
              <w:rPr>
                <w:rFonts w:ascii="Arial" w:hAnsi="Arial"/>
                <w:b/>
              </w:rPr>
              <w:t>Posouzení dopadů</w:t>
            </w:r>
          </w:p>
        </w:tc>
      </w:tr>
      <w:tr w:rsidTr="001A59F9">
        <w:tblPrEx>
          <w:tblW w:w="10200" w:type="dxa"/>
          <w:tblLook w:val="01E0"/>
        </w:tblPrEx>
        <w:tc>
          <w:tcPr>
            <w:tcW w:w="10200" w:type="dxa"/>
            <w:tcBorders>
              <w:bottom w:val="single" w:sz="4" w:space="0" w:color="auto"/>
            </w:tcBorders>
            <w:shd w:val="clear" w:color="auto" w:fill="auto"/>
          </w:tcPr>
          <w:p w:rsidR="00B5733A" w:rsidRPr="00DC7595" w:rsidP="00B5733A">
            <w:pPr>
              <w:spacing w:before="60" w:after="60"/>
              <w:jc w:val="both"/>
            </w:pPr>
            <w:r>
              <w:t xml:space="preserve">Připravuje se posouzení dopadů, které bude podkladem pro přípravu této iniciativy a následná rozhodnutí Komise. </w:t>
            </w:r>
          </w:p>
          <w:p w:rsidR="00EE3F75" w:rsidRPr="00DC7595" w:rsidP="00495B9F">
            <w:pPr>
              <w:spacing w:before="60" w:after="60"/>
              <w:jc w:val="both"/>
              <w:rPr>
                <w:rFonts w:ascii="Arial" w:hAnsi="Arial" w:cs="Arial"/>
                <w:b/>
                <w:color w:val="1036A0"/>
              </w:rPr>
            </w:pPr>
            <w:r>
              <w:t xml:space="preserve">Posouzení dopadů se zaměří na klíčové aspekty iniciativy. Bude měřit podíl daňových příjmů, které by rámec BEFIT představoval, ve srovnání s celkovým výnosem daně z příjmů právnických osob v EU. Odhadne také mikroekonomický dopad plánovaných daňových úprav na účetní závěrky a makroekonomický dopad rozdělení na základě vzorce na daňové příjmy členských států. V neposlední řadě se posouzení dopadů bude zabývat také náklady na dodržování předpisů pro podniky a administrativní zátěží pro orgány veřejné správy. V rámci tohoto projektu zahájí Komise studii se Společným výzkumným střediskem. </w:t>
            </w:r>
          </w:p>
          <w:p w:rsidR="00E67B71" w:rsidRPr="00DC7595" w:rsidP="000924D4">
            <w:pPr>
              <w:rPr>
                <w:rFonts w:ascii="Arial" w:hAnsi="Arial" w:cs="Arial"/>
                <w:color w:val="00B050"/>
                <w:sz w:val="20"/>
              </w:rPr>
            </w:pPr>
          </w:p>
        </w:tc>
      </w:tr>
      <w:tr w:rsidTr="009E6E8C">
        <w:tblPrEx>
          <w:tblW w:w="10200" w:type="dxa"/>
          <w:tblLook w:val="01E0"/>
        </w:tblPrEx>
        <w:tc>
          <w:tcPr>
            <w:tcW w:w="10200" w:type="dxa"/>
            <w:tcBorders>
              <w:bottom w:val="single" w:sz="4" w:space="0" w:color="auto"/>
            </w:tcBorders>
            <w:shd w:val="clear" w:color="auto" w:fill="E6E6E6"/>
          </w:tcPr>
          <w:p w:rsidR="00E67B71" w:rsidRPr="001A59F9" w:rsidP="006543BC">
            <w:pPr>
              <w:spacing w:before="120" w:after="120"/>
              <w:jc w:val="both"/>
              <w:rPr>
                <w:rFonts w:ascii="Arial" w:hAnsi="Arial" w:cs="Arial"/>
              </w:rPr>
            </w:pPr>
            <w:r>
              <w:rPr>
                <w:rFonts w:ascii="Arial" w:hAnsi="Arial"/>
                <w:b/>
              </w:rPr>
              <w:t>Konzultační strategie</w:t>
            </w:r>
          </w:p>
        </w:tc>
      </w:tr>
      <w:tr w:rsidTr="00895543">
        <w:tblPrEx>
          <w:tblW w:w="10200" w:type="dxa"/>
          <w:tblLook w:val="01E0"/>
        </w:tblPrEx>
        <w:tc>
          <w:tcPr>
            <w:tcW w:w="10311" w:type="dxa"/>
            <w:tcBorders>
              <w:bottom w:val="single" w:sz="4" w:space="0" w:color="auto"/>
            </w:tcBorders>
            <w:shd w:val="clear" w:color="auto" w:fill="auto"/>
          </w:tcPr>
          <w:p w:rsidR="00F30F3F" w:rsidRPr="00DC7595" w:rsidP="00495B9F">
            <w:pPr>
              <w:spacing w:before="60" w:after="60"/>
              <w:jc w:val="both"/>
            </w:pPr>
            <w:r>
              <w:t>Současně se zveřejněním tohoto dokumentu byla zahájena veřejná konzultace s cílem shromáždit názory zúčastněných stran na klíčové zásady, které definují rysy společného základu daně z příjmů právnických osob v EU. Zjistí, jak zúčastněné strany vnímají problém a jeho možný vývoj, a shromáždí jejich názory na cíle iniciativy, různé možnosti politiky a možné aspekty návrhu.</w:t>
            </w:r>
          </w:p>
          <w:p w:rsidR="00B5733A" w:rsidRPr="00DC7595" w:rsidP="00F30F3F">
            <w:pPr>
              <w:spacing w:before="60" w:after="60"/>
              <w:jc w:val="both"/>
            </w:pPr>
            <w:r>
              <w:t xml:space="preserve">Veřejná konzultace potrvá dvanáct týdnů a bude přístupná prostřednictvím portálu Komise </w:t>
            </w:r>
            <w:r>
              <w:fldChar w:fldCharType="begin"/>
            </w:r>
            <w:r>
              <w:instrText xml:space="preserve"> HYPERLINK "https://ec.europa.eu/info/law/better-regulation/have-your-say_cs" </w:instrText>
            </w:r>
            <w:r>
              <w:fldChar w:fldCharType="separate"/>
            </w:r>
            <w:r>
              <w:rPr>
                <w:rStyle w:val="Hyperlink"/>
              </w:rPr>
              <w:t>Podělte se o svůj názor</w:t>
            </w:r>
            <w:r>
              <w:fldChar w:fldCharType="end"/>
            </w:r>
            <w:r>
              <w:t xml:space="preserve">. Odpovědi mohou být zaslány v jakémkoli úředním jazyce EU a účastníci mohou nahrát další dokumenty. </w:t>
            </w:r>
          </w:p>
          <w:p w:rsidR="00435DE2" w:rsidRPr="00DC7595" w:rsidP="00435DE2">
            <w:pPr>
              <w:spacing w:before="60"/>
              <w:jc w:val="both"/>
            </w:pPr>
            <w:r>
              <w:t xml:space="preserve">Proběhnou také cílené konzultace a dvoustranná setkání s příslušnými zúčastněnými stranami (plátci daně z příjmů právnických osob, kteří budou pravděpodobně spadat pod rámec BEFIT, akademičtí pracovníci, členské státy). Členské státy budou rovněž konzultovány na zasedáních pracovní skupiny IV (přímé daně). </w:t>
            </w:r>
          </w:p>
          <w:p w:rsidR="006F0AE7" w:rsidRPr="00DC7595" w:rsidP="001A59F9">
            <w:pPr>
              <w:spacing w:before="60" w:after="60"/>
              <w:jc w:val="both"/>
              <w:rPr>
                <w:color w:val="00B050"/>
                <w:sz w:val="20"/>
              </w:rPr>
            </w:pPr>
            <w:r>
              <w:t>Do osmi týdnů od ukončení veřejné konzultace Komise zveřejní na stránce týkající se konzultace věcnou souhrnnou zprávu a vypracuje souhrnnou zprávu se shrnutím všech výsledků konzultace.</w:t>
            </w:r>
          </w:p>
        </w:tc>
      </w:tr>
      <w:tr w:rsidTr="009E6E8C">
        <w:tblPrEx>
          <w:tblW w:w="10200" w:type="dxa"/>
          <w:tblLook w:val="01E0"/>
        </w:tblPrEx>
        <w:tc>
          <w:tcPr>
            <w:tcW w:w="10200" w:type="dxa"/>
            <w:tcBorders>
              <w:bottom w:val="single" w:sz="4" w:space="0" w:color="auto"/>
            </w:tcBorders>
            <w:shd w:val="clear" w:color="auto" w:fill="D9D9D9" w:themeFill="background1" w:themeFillShade="D9"/>
          </w:tcPr>
          <w:p w:rsidR="00492794" w:rsidRPr="001A59F9" w:rsidP="001A59F9">
            <w:pPr>
              <w:spacing w:before="120" w:after="120"/>
              <w:jc w:val="both"/>
              <w:rPr>
                <w:rFonts w:ascii="Arial" w:hAnsi="Arial" w:cs="Arial"/>
                <w:b/>
              </w:rPr>
            </w:pPr>
            <w:r>
              <w:rPr>
                <w:rFonts w:ascii="Arial" w:hAnsi="Arial"/>
                <w:b/>
              </w:rPr>
              <w:t>Proč se konzultace koná?</w:t>
            </w:r>
          </w:p>
        </w:tc>
      </w:tr>
      <w:tr w:rsidTr="001A59F9">
        <w:tblPrEx>
          <w:tblW w:w="10200" w:type="dxa"/>
          <w:tblLook w:val="01E0"/>
        </w:tblPrEx>
        <w:tc>
          <w:tcPr>
            <w:tcW w:w="10200" w:type="dxa"/>
            <w:tcBorders>
              <w:bottom w:val="single" w:sz="4" w:space="0" w:color="auto"/>
            </w:tcBorders>
            <w:shd w:val="clear" w:color="auto" w:fill="auto"/>
          </w:tcPr>
          <w:p w:rsidR="004B2A2B" w:rsidRPr="00DC7595" w:rsidP="00EE3F75">
            <w:pPr>
              <w:spacing w:before="60" w:after="240"/>
              <w:jc w:val="both"/>
              <w:rPr>
                <w:rFonts w:ascii="Arial" w:hAnsi="Arial" w:cs="Arial"/>
                <w:b/>
                <w:sz w:val="20"/>
              </w:rPr>
            </w:pPr>
            <w:r>
              <w:t xml:space="preserve">Cílem veřejné konzultace je shromáždit názory zúčastněných stran na: 1) problém a nutnost jednat; 2) rozsah nového systému; 3) způsob výpočtu společného základu daně; 4) způsob konsolidace základů daně členů skupiny a rozdělení konsolidovaného základu daně mezi způsobilé členské státy; 5) způsob rozdělení zisku v souvislosti s transakcemi mezi členy skupiny a subjekty mimo skupinu (v EU a v zemích mimo EU) a 6) způsob zjednodušení správy systému.  </w:t>
            </w:r>
          </w:p>
        </w:tc>
      </w:tr>
      <w:tr w:rsidTr="009E6E8C">
        <w:tblPrEx>
          <w:tblW w:w="10200" w:type="dxa"/>
          <w:tblLook w:val="01E0"/>
        </w:tblPrEx>
        <w:tc>
          <w:tcPr>
            <w:tcW w:w="10200" w:type="dxa"/>
            <w:tcBorders>
              <w:bottom w:val="single" w:sz="4" w:space="0" w:color="auto"/>
            </w:tcBorders>
            <w:shd w:val="clear" w:color="auto" w:fill="D9D9D9" w:themeFill="background1" w:themeFillShade="D9"/>
          </w:tcPr>
          <w:p w:rsidR="00492794" w:rsidRPr="001A59F9" w:rsidP="001A59F9">
            <w:pPr>
              <w:spacing w:before="120" w:after="120"/>
              <w:jc w:val="both"/>
              <w:rPr>
                <w:rFonts w:ascii="Arial" w:hAnsi="Arial" w:cs="Arial"/>
                <w:b/>
              </w:rPr>
            </w:pPr>
            <w:r>
              <w:rPr>
                <w:rFonts w:ascii="Arial" w:hAnsi="Arial"/>
                <w:b/>
              </w:rPr>
              <w:t>Cílová skupina</w:t>
            </w:r>
          </w:p>
        </w:tc>
      </w:tr>
      <w:tr w:rsidTr="001A59F9">
        <w:tblPrEx>
          <w:tblW w:w="10200" w:type="dxa"/>
          <w:tblLook w:val="01E0"/>
        </w:tblPrEx>
        <w:trPr>
          <w:trHeight w:val="522"/>
        </w:trPr>
        <w:tc>
          <w:tcPr>
            <w:tcW w:w="10200" w:type="dxa"/>
            <w:shd w:val="clear" w:color="auto" w:fill="auto"/>
          </w:tcPr>
          <w:p w:rsidR="00F30F3F" w:rsidRPr="00DC7595" w:rsidP="00492794">
            <w:pPr>
              <w:spacing w:before="60"/>
              <w:jc w:val="both"/>
            </w:pPr>
            <w:r>
              <w:t xml:space="preserve">Hlavními předpokládanými skupinami zúčastněných stran, na které se veřejná konzultace zaměřuje, jsou: </w:t>
            </w:r>
          </w:p>
          <w:p w:rsidR="00F30F3F" w:rsidRPr="00DC7595" w:rsidP="001A59F9">
            <w:pPr>
              <w:pStyle w:val="ListParagraph"/>
              <w:numPr>
                <w:ilvl w:val="0"/>
                <w:numId w:val="51"/>
              </w:numPr>
            </w:pPr>
            <w:r>
              <w:t>obchodní sdružení,</w:t>
            </w:r>
          </w:p>
          <w:p w:rsidR="001D6E34" w:rsidRPr="00DC7595" w:rsidP="001A59F9">
            <w:pPr>
              <w:pStyle w:val="ListParagraph"/>
              <w:numPr>
                <w:ilvl w:val="0"/>
                <w:numId w:val="51"/>
              </w:numPr>
            </w:pPr>
            <w:r>
              <w:t>nadnárodní skupiny podniků,</w:t>
            </w:r>
          </w:p>
          <w:p w:rsidR="00A87806" w:rsidRPr="00DC7595" w:rsidP="001A59F9">
            <w:pPr>
              <w:pStyle w:val="ListParagraph"/>
              <w:numPr>
                <w:ilvl w:val="0"/>
                <w:numId w:val="51"/>
              </w:numPr>
            </w:pPr>
            <w:r>
              <w:t>skupiny malých a středních podniků,</w:t>
            </w:r>
          </w:p>
          <w:p w:rsidR="004C716C" w:rsidRPr="00DC7595" w:rsidP="001A59F9">
            <w:pPr>
              <w:pStyle w:val="ListParagraph"/>
              <w:numPr>
                <w:ilvl w:val="0"/>
                <w:numId w:val="51"/>
              </w:numPr>
            </w:pPr>
            <w:r>
              <w:t>nevládní organizace / organizace občanské společnosti,</w:t>
            </w:r>
          </w:p>
          <w:p w:rsidR="004C716C" w:rsidP="00EB56B0">
            <w:pPr>
              <w:pStyle w:val="ListParagraph"/>
              <w:numPr>
                <w:ilvl w:val="0"/>
                <w:numId w:val="51"/>
              </w:numPr>
            </w:pPr>
            <w:r>
              <w:t>vnitrostátní správy a</w:t>
            </w:r>
          </w:p>
          <w:p w:rsidR="00EB56B0" w:rsidRPr="00DC7595" w:rsidP="001A59F9">
            <w:pPr>
              <w:pStyle w:val="ListParagraph"/>
              <w:numPr>
                <w:ilvl w:val="0"/>
                <w:numId w:val="51"/>
              </w:numPr>
            </w:pPr>
            <w:r>
              <w:t>akademická sféra.</w:t>
            </w:r>
          </w:p>
          <w:p w:rsidR="004B2A2B" w:rsidRPr="00DC7595" w:rsidP="00492794">
            <w:pPr>
              <w:spacing w:before="60"/>
              <w:jc w:val="both"/>
              <w:rPr>
                <w:rFonts w:ascii="Arial" w:hAnsi="Arial" w:cs="Arial"/>
                <w:color w:val="1036A0"/>
                <w:sz w:val="20"/>
              </w:rPr>
            </w:pPr>
          </w:p>
        </w:tc>
      </w:tr>
    </w:tbl>
    <w:p w:rsidR="009E6661" w:rsidRPr="00DC7595" w:rsidP="00191820">
      <w:pPr>
        <w:rPr>
          <w:rFonts w:ascii="Arial" w:hAnsi="Arial" w:cs="Arial"/>
        </w:rPr>
      </w:pPr>
    </w:p>
    <w:sectPr w:rsidSect="001874BC">
      <w:footerReference w:type="even" r:id="rId16"/>
      <w:footerReference w:type="default" r:id="rId17"/>
      <w:headerReference w:type="first" r:id="rId18"/>
      <w:type w:val="continuous"/>
      <w:pgSz w:w="11906" w:h="16838" w:code="9"/>
      <w:pgMar w:top="851" w:right="567"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6989" w:rsidP="00D9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B269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6989" w:rsidP="002B4E61">
    <w:pPr>
      <w:pStyle w:val="Footer"/>
      <w:framePr w:wrap="around" w:vAnchor="text" w:hAnchor="margin" w:xAlign="center" w:y="1"/>
      <w:rPr>
        <w:rStyle w:val="PageNumber"/>
        <w:rFonts w:ascii="Arial" w:hAnsi="Arial"/>
        <w:sz w:val="16"/>
      </w:rPr>
    </w:pPr>
    <w:r>
      <w:tab/>
    </w:r>
    <w:r>
      <w:tab/>
    </w:r>
  </w:p>
  <w:p w:rsidR="00B26989" w:rsidRPr="002B4E61" w:rsidP="002B4E61">
    <w:pPr>
      <w:pStyle w:val="Footer"/>
      <w:framePr w:wrap="around" w:vAnchor="text" w:hAnchor="margin" w:xAlign="center" w:y="1"/>
      <w:rPr>
        <w:rStyle w:val="PageNumber"/>
        <w:rFonts w:ascii="Arial" w:hAnsi="Arial"/>
        <w:sz w:val="16"/>
      </w:rPr>
    </w:pPr>
    <w:r>
      <w:tab/>
    </w:r>
    <w:r>
      <w:tab/>
    </w:r>
    <w:r>
      <w:tab/>
    </w:r>
    <w:r>
      <w:rPr>
        <w:rStyle w:val="PageNumber"/>
        <w:rFonts w:ascii="Arial" w:hAnsi="Arial"/>
        <w:sz w:val="16"/>
      </w:rPr>
      <w:t xml:space="preserve"> </w:t>
    </w: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Pr>
        <w:rStyle w:val="PageNumber"/>
        <w:rFonts w:ascii="Arial" w:hAnsi="Arial"/>
        <w:sz w:val="16"/>
      </w:rPr>
      <w:t>3</w:t>
    </w:r>
    <w:r>
      <w:rPr>
        <w:rStyle w:val="PageNumber"/>
        <w:rFonts w:ascii="Arial" w:hAnsi="Arial"/>
        <w:sz w:val="16"/>
      </w:rPr>
      <w:fldChar w:fldCharType="end"/>
    </w:r>
  </w:p>
  <w:p w:rsidR="00B26989" w:rsidRPr="002B4E61">
    <w:pPr>
      <w:pStyle w:val="Footer"/>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69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6989" w:rsidP="00D9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B2698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6989" w:rsidP="002B4E61">
    <w:pPr>
      <w:pStyle w:val="Footer"/>
      <w:framePr w:wrap="around" w:vAnchor="text" w:hAnchor="margin" w:xAlign="center" w:y="1"/>
      <w:rPr>
        <w:rStyle w:val="PageNumber"/>
        <w:rFonts w:ascii="Arial" w:hAnsi="Arial"/>
        <w:sz w:val="16"/>
      </w:rPr>
    </w:pPr>
    <w:r>
      <w:tab/>
    </w:r>
    <w:r>
      <w:tab/>
    </w:r>
  </w:p>
  <w:p w:rsidR="00B26989" w:rsidRPr="002B4E61" w:rsidP="002B4E61">
    <w:pPr>
      <w:pStyle w:val="Footer"/>
      <w:framePr w:wrap="around" w:vAnchor="text" w:hAnchor="margin" w:xAlign="center" w:y="1"/>
      <w:rPr>
        <w:rStyle w:val="PageNumber"/>
        <w:rFonts w:ascii="Arial" w:hAnsi="Arial"/>
        <w:sz w:val="16"/>
      </w:rPr>
    </w:pPr>
    <w:r>
      <w:tab/>
    </w:r>
    <w:r>
      <w:tab/>
    </w:r>
    <w:r>
      <w:tab/>
    </w:r>
    <w:r>
      <w:rPr>
        <w:rStyle w:val="PageNumber"/>
        <w:rFonts w:ascii="Arial" w:hAnsi="Arial"/>
        <w:sz w:val="16"/>
      </w:rPr>
      <w:t xml:space="preserve"> </w:t>
    </w: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sidR="00924258">
      <w:rPr>
        <w:rStyle w:val="PageNumber"/>
        <w:rFonts w:ascii="Arial" w:hAnsi="Arial"/>
        <w:noProof/>
        <w:sz w:val="16"/>
      </w:rPr>
      <w:t>2</w:t>
    </w:r>
    <w:r>
      <w:rPr>
        <w:rStyle w:val="PageNumber"/>
        <w:rFonts w:ascii="Arial" w:hAnsi="Arial"/>
        <w:sz w:val="16"/>
      </w:rPr>
      <w:fldChar w:fldCharType="end"/>
    </w:r>
  </w:p>
  <w:p w:rsidR="00B26989" w:rsidRPr="002B4E61">
    <w:pPr>
      <w:pStyle w:val="Footer"/>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3003F">
      <w:r>
        <w:separator/>
      </w:r>
    </w:p>
  </w:footnote>
  <w:footnote w:type="continuationSeparator" w:id="1">
    <w:p w:rsidR="0073003F">
      <w:r>
        <w:continuationSeparator/>
      </w:r>
    </w:p>
  </w:footnote>
  <w:footnote w:type="continuationNotice" w:id="2">
    <w:p w:rsidR="0073003F"/>
  </w:footnote>
  <w:footnote w:id="3">
    <w:p w:rsidR="00B26989" w:rsidRPr="00D623A1" w:rsidP="00A4137A">
      <w:pPr>
        <w:pStyle w:val="FootnoteText"/>
        <w:spacing w:after="0"/>
      </w:pPr>
      <w:r>
        <w:rPr>
          <w:rStyle w:val="FootnoteReference"/>
        </w:rPr>
        <w:footnoteRef/>
      </w:r>
      <w:r>
        <w:t xml:space="preserve"> COM(2021) 251 final.</w:t>
      </w:r>
    </w:p>
  </w:footnote>
  <w:footnote w:id="4">
    <w:p w:rsidR="00794A6F" w:rsidRPr="00794A6F" w:rsidP="003B5A6F">
      <w:pPr>
        <w:pStyle w:val="FootnoteText"/>
        <w:spacing w:after="0"/>
      </w:pPr>
      <w:r>
        <w:rPr>
          <w:rStyle w:val="FootnoteReference"/>
        </w:rPr>
        <w:footnoteRef/>
      </w:r>
      <w:r>
        <w:t xml:space="preserve"> </w:t>
      </w:r>
      <w:r>
        <w:fldChar w:fldCharType="begin"/>
      </w:r>
      <w:r>
        <w:instrText xml:space="preserve"> HYPERLINK "https://ec.europa.eu/commission/presscorner/detail/cs/speech_22_5493" </w:instrText>
      </w:r>
      <w:r>
        <w:fldChar w:fldCharType="separate"/>
      </w:r>
      <w:r>
        <w:rPr>
          <w:rStyle w:val="Hyperlink"/>
        </w:rPr>
        <w:t>https://ec.europa.eu/commission/presscorner/detail/cs/speech_22_5493</w:t>
      </w:r>
      <w:r>
        <w:fldChar w:fldCharType="end"/>
      </w:r>
    </w:p>
  </w:footnote>
  <w:footnote w:id="5">
    <w:p w:rsidR="00535AD6" w:rsidRPr="00110341" w:rsidP="00794A6F">
      <w:pPr>
        <w:pStyle w:val="FootnoteText"/>
        <w:spacing w:after="0"/>
      </w:pPr>
      <w:r>
        <w:rPr>
          <w:rStyle w:val="FootnoteReference"/>
        </w:rPr>
        <w:footnoteRef/>
      </w:r>
      <w:r>
        <w:t xml:space="preserve"> Směrnice Rady (EU) 2016/1164 ze dne 12. července 2016, kterou se stanoví pravidla proti praktikám vyhýbání se daňovým povinnostem, které mají přímý vliv na fungování vnitřního trhu.</w:t>
      </w:r>
    </w:p>
  </w:footnote>
  <w:footnote w:id="6">
    <w:p w:rsidR="003A259E" w:rsidRPr="007B03C7" w:rsidP="00A4137A">
      <w:pPr>
        <w:pStyle w:val="FootnoteText"/>
        <w:spacing w:after="0"/>
      </w:pPr>
      <w:r>
        <w:rPr>
          <w:rStyle w:val="FootnoteReference"/>
        </w:rPr>
        <w:footnoteRef/>
      </w:r>
      <w:r>
        <w:t xml:space="preserve"> Naposledy viz usnesení Evropského parlamentu ze dne 10. března 2022 s doporučeními Komisi o spravedlivém a jednoduchém zdanění podporujícím strategii oživení (kroky EP v návaznosti na červencový akční plán Komise a jejích 25 iniciativ v oblasti DPH, zdanění právnických a fyzických osob) (2020/2254(INL)) (</w:t>
      </w:r>
      <w:r>
        <w:fldChar w:fldCharType="begin"/>
      </w:r>
      <w:r>
        <w:instrText xml:space="preserve"> HYPERLINK "https://www.europarl.europa.eu/doceo/document/TA-9-2022-0082_CS.html" \l "title1" </w:instrText>
      </w:r>
      <w:r>
        <w:fldChar w:fldCharType="separate"/>
      </w:r>
      <w:r>
        <w:rPr>
          <w:rStyle w:val="Hyperlink"/>
        </w:rPr>
        <w:t>https://www.europarl.europa.eu/doceo/document/TA-9-2022-0082_CS.html</w:t>
      </w:r>
      <w:r>
        <w:fldChar w:fldCharType="end"/>
      </w:r>
      <w:r>
        <w:t>).</w:t>
      </w:r>
    </w:p>
  </w:footnote>
  <w:footnote w:id="7">
    <w:p w:rsidR="004F7C3D" w:rsidRPr="00C63052" w:rsidP="00A4137A">
      <w:pPr>
        <w:pStyle w:val="CommentText"/>
      </w:pPr>
      <w:r>
        <w:rPr>
          <w:rStyle w:val="FootnoteReference"/>
        </w:rPr>
        <w:footnoteRef/>
      </w:r>
      <w:r>
        <w:t xml:space="preserve"> Viz sdělení COM(2022) 404 final ze dne 17. června 2022 a jeho příloha, v níž je zmíněn rámec BEFIT.</w:t>
      </w:r>
    </w:p>
  </w:footnote>
  <w:footnote w:id="8">
    <w:p w:rsidR="00995819" w:rsidRPr="00110341" w:rsidP="00A4137A">
      <w:pPr>
        <w:pStyle w:val="FootnoteText"/>
        <w:spacing w:after="0"/>
      </w:pPr>
      <w:r>
        <w:rPr>
          <w:rStyle w:val="FootnoteReference"/>
        </w:rPr>
        <w:footnoteRef/>
      </w:r>
      <w:r>
        <w:t xml:space="preserve"> COM(2021) 566 final.</w:t>
      </w:r>
    </w:p>
  </w:footnote>
  <w:footnote w:id="9">
    <w:p w:rsidR="00D623A1" w:rsidRPr="00D623A1" w:rsidP="00A4137A">
      <w:pPr>
        <w:pStyle w:val="FootnoteText"/>
        <w:spacing w:after="0"/>
      </w:pPr>
      <w:r>
        <w:rPr>
          <w:rStyle w:val="FootnoteReference"/>
        </w:rPr>
        <w:footnoteRef/>
      </w:r>
      <w:r>
        <w:t xml:space="preserve"> Mezinárodní měnový fond, 25. května 2021, </w:t>
      </w:r>
      <w:r>
        <w:rPr>
          <w:i/>
        </w:rPr>
        <w:t>Taxing Multinationals in Europe</w:t>
      </w:r>
      <w:r>
        <w:t xml:space="preserve"> (Zdanění nadnárodních společností v Evropě), zpráva (</w:t>
      </w:r>
      <w:r>
        <w:fldChar w:fldCharType="begin"/>
      </w:r>
      <w:r>
        <w:instrText xml:space="preserve"> HYPERLINK "https://www.imf.org/en/Publications/Departmental-Papers-Policy-Papers/Issues/2021/05/25/Taxing-Multinationals-in-Europe-50129" </w:instrText>
      </w:r>
      <w:r>
        <w:fldChar w:fldCharType="separate"/>
      </w:r>
      <w:r>
        <w:rPr>
          <w:rStyle w:val="Hyperlink"/>
        </w:rPr>
        <w:t>https://www.imf.org/en/Publications/Departmental-Papers-Policy-Papers/Issues/2021/05/25/Taxing-Multinationals-in-Europe-50129</w:t>
      </w:r>
      <w:r>
        <w:fldChar w:fldCharType="end"/>
      </w:r>
      <w:r>
        <w:t>).</w:t>
      </w:r>
    </w:p>
  </w:footnote>
  <w:footnote w:id="10">
    <w:p w:rsidR="007B03C7" w:rsidRPr="007B03C7" w:rsidP="00A4137A">
      <w:pPr>
        <w:pStyle w:val="FootnoteText"/>
        <w:spacing w:after="0"/>
      </w:pPr>
      <w:r>
        <w:rPr>
          <w:rStyle w:val="FootnoteReference"/>
        </w:rPr>
        <w:footnoteRef/>
      </w:r>
      <w:r>
        <w:t xml:space="preserve"> Společné výzkumné středisko, Evropská komise, „</w:t>
      </w:r>
      <w:r>
        <w:rPr>
          <w:i/>
          <w:iCs/>
        </w:rPr>
        <w:t>Reducing tax compliance costs through corporate tax base harmonization in the European Union</w:t>
      </w:r>
      <w:r>
        <w:t>“ (Snížení nákladů na dodržování daňových předpisů prostřednictvím harmonizace základu daně z příjmů právnických osob v Evropské unii), autoři Salvador Barrios, Diego d'Andria a Maria Gesualdo,</w:t>
      </w:r>
      <w:r>
        <w:rPr>
          <w:i/>
        </w:rPr>
        <w:t xml:space="preserve"> Journal of International Accounting, Auditing and Taxation</w:t>
      </w:r>
      <w:r>
        <w:t xml:space="preserve"> (časopis pro mezinárodní účetnictví, audit a daně), číslo 41, prosinec 2020, 100355 (</w:t>
      </w:r>
      <w:r>
        <w:fldChar w:fldCharType="begin"/>
      </w:r>
      <w:r>
        <w:instrText xml:space="preserve"> HYPERLINK "https://www.sciencedirect.com/science/article/pii/S1061951820300562" </w:instrText>
      </w:r>
      <w:r>
        <w:fldChar w:fldCharType="separate"/>
      </w:r>
      <w:r>
        <w:rPr>
          <w:rStyle w:val="Hyperlink"/>
        </w:rPr>
        <w:t>https://www.sciencedirect.com/science/article/pii/S1061951820300562</w:t>
      </w:r>
      <w:r>
        <w:fldChar w:fldCharType="end"/>
      </w:r>
      <w:r>
        <w:t>).</w:t>
      </w:r>
    </w:p>
  </w:footnote>
  <w:footnote w:id="11">
    <w:p w:rsidR="00A4137A" w:rsidRPr="00A4137A" w:rsidP="00C069CE">
      <w:pPr>
        <w:pStyle w:val="FootnoteText"/>
        <w:spacing w:after="0"/>
      </w:pPr>
      <w:r>
        <w:rPr>
          <w:rStyle w:val="FootnoteReference"/>
        </w:rPr>
        <w:footnoteRef/>
      </w:r>
      <w:r>
        <w:t xml:space="preserve"> </w:t>
      </w:r>
      <w:r>
        <w:rPr>
          <w:i/>
        </w:rPr>
        <w:t>Vzorová úmluva</w:t>
      </w:r>
      <w:r>
        <w:t xml:space="preserve"> OECD z roku 2017 </w:t>
      </w:r>
      <w:r>
        <w:rPr>
          <w:i/>
          <w:iCs/>
        </w:rPr>
        <w:t>o daních z příjmu a majetku:</w:t>
      </w:r>
      <w:r>
        <w:rPr>
          <w:i/>
        </w:rPr>
        <w:t xml:space="preserve"> zkrácené znění 2017</w:t>
      </w:r>
      <w:r>
        <w:t>, OECD Publishing, Paříž (</w:t>
      </w:r>
      <w:r>
        <w:fldChar w:fldCharType="begin"/>
      </w:r>
      <w:r>
        <w:instrText xml:space="preserve"> HYPERLINK "https://doi.org/10.1787/mtc_cond-2017-en" </w:instrText>
      </w:r>
      <w:r>
        <w:fldChar w:fldCharType="separate"/>
      </w:r>
      <w:r>
        <w:rPr>
          <w:rStyle w:val="Hyperlink"/>
        </w:rPr>
        <w:t>https://doi.org/10.1787/mtc_cond-2017-en</w:t>
      </w:r>
      <w:r>
        <w:fldChar w:fldCharType="end"/>
      </w:r>
      <w:r>
        <w:t>).</w:t>
      </w:r>
    </w:p>
  </w:footnote>
  <w:footnote w:id="12">
    <w:p w:rsidR="0028670E" w:rsidRPr="007B03C7" w:rsidP="00C069CE">
      <w:pPr>
        <w:pStyle w:val="FootnoteText"/>
        <w:spacing w:after="0"/>
      </w:pPr>
      <w:r>
        <w:rPr>
          <w:rStyle w:val="FootnoteReference"/>
        </w:rPr>
        <w:footnoteRef/>
      </w:r>
      <w:r>
        <w:t xml:space="preserve"> Viz COM(2021) 251 final výše. </w:t>
      </w:r>
    </w:p>
  </w:footnote>
  <w:footnote w:id="13">
    <w:p w:rsidR="00500FFA" w:rsidRPr="00120EC7">
      <w:pPr>
        <w:pStyle w:val="FootnoteText"/>
      </w:pPr>
      <w:r>
        <w:rPr>
          <w:rStyle w:val="FootnoteReference"/>
        </w:rPr>
        <w:footnoteRef/>
      </w:r>
      <w:r>
        <w:t xml:space="preserve"> COM(2021) 823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69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69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6989" w:rsidP="00E72EF2">
    <w:pPr>
      <w:pStyle w:val="Header"/>
      <w:jc w:val="center"/>
    </w:pPr>
    <w:r>
      <w:rPr>
        <w:rFonts w:ascii="Arial" w:hAnsi="Arial"/>
        <w:noProof/>
      </w:rPr>
      <w:drawing>
        <wp:inline distT="0" distB="0" distL="0" distR="0">
          <wp:extent cx="1908175" cy="508635"/>
          <wp:effectExtent l="0" t="0" r="0" b="5715"/>
          <wp:docPr id="1" name="Picture 1"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6989" w:rsidP="00E72EF2">
    <w:pPr>
      <w:pStyle w:val="Header"/>
      <w:jc w:val="center"/>
    </w:pPr>
    <w:r>
      <w:rPr>
        <w:rFonts w:ascii="Arial" w:hAnsi="Arial"/>
        <w:noProof/>
      </w:rPr>
      <w:drawing>
        <wp:inline distT="0" distB="0" distL="0" distR="0">
          <wp:extent cx="1908175" cy="508635"/>
          <wp:effectExtent l="0" t="0" r="0" b="5715"/>
          <wp:docPr id="2" name="Picture 2"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B"/>
    <w:multiLevelType w:val="multilevel"/>
    <w:tmpl w:val="0000000B"/>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3405DE"/>
    <w:multiLevelType w:val="hybridMultilevel"/>
    <w:tmpl w:val="A04AE112"/>
    <w:lvl w:ilvl="0">
      <w:start w:val="1"/>
      <w:numFmt w:val="upperLetter"/>
      <w:lvlText w:val="%1)"/>
      <w:lvlJc w:val="left"/>
      <w:pPr>
        <w:ind w:left="644" w:hanging="360"/>
      </w:pPr>
      <w:rPr>
        <w:rFonts w:hint="default"/>
      </w:rPr>
    </w:lvl>
    <w:lvl w:ilvl="1" w:tentative="1">
      <w:start w:val="1"/>
      <w:numFmt w:val="lowerLetter"/>
      <w:lvlText w:val="%2."/>
      <w:lvlJc w:val="left"/>
      <w:pPr>
        <w:ind w:left="1156" w:hanging="360"/>
      </w:pPr>
    </w:lvl>
    <w:lvl w:ilvl="2" w:tentative="1">
      <w:start w:val="1"/>
      <w:numFmt w:val="lowerRoman"/>
      <w:lvlText w:val="%3."/>
      <w:lvlJc w:val="right"/>
      <w:pPr>
        <w:ind w:left="1876" w:hanging="180"/>
      </w:pPr>
    </w:lvl>
    <w:lvl w:ilvl="3" w:tentative="1">
      <w:start w:val="1"/>
      <w:numFmt w:val="decimal"/>
      <w:lvlText w:val="%4."/>
      <w:lvlJc w:val="left"/>
      <w:pPr>
        <w:ind w:left="2596" w:hanging="360"/>
      </w:pPr>
    </w:lvl>
    <w:lvl w:ilvl="4" w:tentative="1">
      <w:start w:val="1"/>
      <w:numFmt w:val="lowerLetter"/>
      <w:lvlText w:val="%5."/>
      <w:lvlJc w:val="left"/>
      <w:pPr>
        <w:ind w:left="3316" w:hanging="360"/>
      </w:pPr>
    </w:lvl>
    <w:lvl w:ilvl="5" w:tentative="1">
      <w:start w:val="1"/>
      <w:numFmt w:val="lowerRoman"/>
      <w:lvlText w:val="%6."/>
      <w:lvlJc w:val="right"/>
      <w:pPr>
        <w:ind w:left="4036" w:hanging="180"/>
      </w:pPr>
    </w:lvl>
    <w:lvl w:ilvl="6" w:tentative="1">
      <w:start w:val="1"/>
      <w:numFmt w:val="decimal"/>
      <w:lvlText w:val="%7."/>
      <w:lvlJc w:val="left"/>
      <w:pPr>
        <w:ind w:left="4756" w:hanging="360"/>
      </w:pPr>
    </w:lvl>
    <w:lvl w:ilvl="7" w:tentative="1">
      <w:start w:val="1"/>
      <w:numFmt w:val="lowerLetter"/>
      <w:lvlText w:val="%8."/>
      <w:lvlJc w:val="left"/>
      <w:pPr>
        <w:ind w:left="5476" w:hanging="360"/>
      </w:pPr>
    </w:lvl>
    <w:lvl w:ilvl="8" w:tentative="1">
      <w:start w:val="1"/>
      <w:numFmt w:val="lowerRoman"/>
      <w:lvlText w:val="%9."/>
      <w:lvlJc w:val="right"/>
      <w:pPr>
        <w:ind w:left="6196" w:hanging="180"/>
      </w:pPr>
    </w:lvl>
  </w:abstractNum>
  <w:abstractNum w:abstractNumId="3">
    <w:nsid w:val="004A4651"/>
    <w:multiLevelType w:val="hybridMultilevel"/>
    <w:tmpl w:val="729AF11C"/>
    <w:lvl w:ilvl="0">
      <w:start w:val="0"/>
      <w:numFmt w:val="bullet"/>
      <w:lvlText w:val=""/>
      <w:lvlJc w:val="left"/>
      <w:pPr>
        <w:ind w:left="644" w:hanging="360"/>
      </w:pPr>
      <w:rPr>
        <w:rFonts w:ascii="Symbol" w:eastAsia="Times New Roman" w:hAnsi="Symbol" w:cs="Times New Roman"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4">
    <w:nsid w:val="050A72A4"/>
    <w:multiLevelType w:val="hybridMultilevel"/>
    <w:tmpl w:val="B44C4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EB731D"/>
    <w:multiLevelType w:val="hybridMultilevel"/>
    <w:tmpl w:val="F45AE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067270"/>
    <w:multiLevelType w:val="hybridMultilevel"/>
    <w:tmpl w:val="FB267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0D5E5F"/>
    <w:multiLevelType w:val="hybridMultilevel"/>
    <w:tmpl w:val="E5B0334C"/>
    <w:lvl w:ilvl="0">
      <w:start w:val="1"/>
      <w:numFmt w:val="bullet"/>
      <w:lvlText w:val=""/>
      <w:lvlJc w:val="left"/>
      <w:pPr>
        <w:ind w:left="644" w:hanging="360"/>
      </w:pPr>
      <w:rPr>
        <w:rFonts w:ascii="Symbol" w:hAnsi="Symbol" w:hint="default"/>
      </w:rPr>
    </w:lvl>
    <w:lvl w:ilvl="1">
      <w:start w:val="0"/>
      <w:numFmt w:val="bullet"/>
      <w:lvlText w:val="-"/>
      <w:lvlJc w:val="left"/>
      <w:pPr>
        <w:ind w:left="1364" w:hanging="360"/>
      </w:pPr>
      <w:rPr>
        <w:rFonts w:ascii="Times New Roman" w:eastAsia="Times New Roman" w:hAnsi="Times New Roman" w:cs="Times New Roman"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8">
    <w:nsid w:val="0E6B55A7"/>
    <w:multiLevelType w:val="hybridMultilevel"/>
    <w:tmpl w:val="75D84FC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96" w:hanging="360"/>
      </w:pPr>
      <w:rPr>
        <w:rFonts w:ascii="Courier New" w:hAnsi="Courier New" w:cs="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cs="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cs="Courier New" w:hint="default"/>
      </w:rPr>
    </w:lvl>
    <w:lvl w:ilvl="8">
      <w:start w:val="1"/>
      <w:numFmt w:val="bullet"/>
      <w:lvlText w:val=""/>
      <w:lvlJc w:val="left"/>
      <w:pPr>
        <w:ind w:left="5836" w:hanging="360"/>
      </w:pPr>
      <w:rPr>
        <w:rFonts w:ascii="Wingdings" w:hAnsi="Wingdings" w:hint="default"/>
      </w:rPr>
    </w:lvl>
  </w:abstractNum>
  <w:abstractNum w:abstractNumId="9">
    <w:nsid w:val="149263D6"/>
    <w:multiLevelType w:val="hybridMultilevel"/>
    <w:tmpl w:val="AA4CC19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81789E"/>
    <w:multiLevelType w:val="hybridMultilevel"/>
    <w:tmpl w:val="1B0E3008"/>
    <w:lvl w:ilvl="0">
      <w:start w:val="1"/>
      <w:numFmt w:val="bullet"/>
      <w:lvlText w:val="o"/>
      <w:lvlJc w:val="left"/>
      <w:pPr>
        <w:ind w:left="644" w:hanging="360"/>
      </w:pPr>
      <w:rPr>
        <w:rFonts w:ascii="Courier New" w:hAnsi="Courier New" w:cs="Courier New"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11">
    <w:nsid w:val="178918FE"/>
    <w:multiLevelType w:val="hybridMultilevel"/>
    <w:tmpl w:val="D5BE832E"/>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2">
    <w:nsid w:val="21155E22"/>
    <w:multiLevelType w:val="multilevel"/>
    <w:tmpl w:val="1BAC09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7B469AF"/>
    <w:multiLevelType w:val="hybridMultilevel"/>
    <w:tmpl w:val="7E389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6102F4"/>
    <w:multiLevelType w:val="hybridMultilevel"/>
    <w:tmpl w:val="0C8CAF2E"/>
    <w:lvl w:ilvl="0">
      <w:start w:val="1"/>
      <w:numFmt w:val="bullet"/>
      <w:lvlText w:val=""/>
      <w:lvlJc w:val="left"/>
      <w:pPr>
        <w:ind w:left="644" w:hanging="360"/>
      </w:pPr>
      <w:rPr>
        <w:rFonts w:ascii="Symbol" w:hAnsi="Symbol"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15">
    <w:nsid w:val="323A0BC6"/>
    <w:multiLevelType w:val="hybridMultilevel"/>
    <w:tmpl w:val="4A20FC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923C55"/>
    <w:multiLevelType w:val="hybridMultilevel"/>
    <w:tmpl w:val="927054F4"/>
    <w:lvl w:ilvl="0">
      <w:start w:val="1"/>
      <w:numFmt w:val="bullet"/>
      <w:lvlText w:val=""/>
      <w:lvlJc w:val="left"/>
      <w:pPr>
        <w:ind w:left="1021" w:hanging="360"/>
      </w:pPr>
      <w:rPr>
        <w:rFonts w:ascii="Symbol" w:hAnsi="Symbol" w:hint="default"/>
      </w:rPr>
    </w:lvl>
    <w:lvl w:ilvl="1" w:tentative="1">
      <w:start w:val="1"/>
      <w:numFmt w:val="bullet"/>
      <w:lvlText w:val="o"/>
      <w:lvlJc w:val="left"/>
      <w:pPr>
        <w:ind w:left="1741" w:hanging="360"/>
      </w:pPr>
      <w:rPr>
        <w:rFonts w:ascii="Courier New" w:hAnsi="Courier New" w:cs="Courier New" w:hint="default"/>
      </w:rPr>
    </w:lvl>
    <w:lvl w:ilvl="2" w:tentative="1">
      <w:start w:val="1"/>
      <w:numFmt w:val="bullet"/>
      <w:lvlText w:val=""/>
      <w:lvlJc w:val="left"/>
      <w:pPr>
        <w:ind w:left="2461" w:hanging="360"/>
      </w:pPr>
      <w:rPr>
        <w:rFonts w:ascii="Wingdings" w:hAnsi="Wingdings" w:hint="default"/>
      </w:rPr>
    </w:lvl>
    <w:lvl w:ilvl="3" w:tentative="1">
      <w:start w:val="1"/>
      <w:numFmt w:val="bullet"/>
      <w:lvlText w:val=""/>
      <w:lvlJc w:val="left"/>
      <w:pPr>
        <w:ind w:left="3181" w:hanging="360"/>
      </w:pPr>
      <w:rPr>
        <w:rFonts w:ascii="Symbol" w:hAnsi="Symbol" w:hint="default"/>
      </w:rPr>
    </w:lvl>
    <w:lvl w:ilvl="4" w:tentative="1">
      <w:start w:val="1"/>
      <w:numFmt w:val="bullet"/>
      <w:lvlText w:val="o"/>
      <w:lvlJc w:val="left"/>
      <w:pPr>
        <w:ind w:left="3901" w:hanging="360"/>
      </w:pPr>
      <w:rPr>
        <w:rFonts w:ascii="Courier New" w:hAnsi="Courier New" w:cs="Courier New" w:hint="default"/>
      </w:rPr>
    </w:lvl>
    <w:lvl w:ilvl="5" w:tentative="1">
      <w:start w:val="1"/>
      <w:numFmt w:val="bullet"/>
      <w:lvlText w:val=""/>
      <w:lvlJc w:val="left"/>
      <w:pPr>
        <w:ind w:left="4621" w:hanging="360"/>
      </w:pPr>
      <w:rPr>
        <w:rFonts w:ascii="Wingdings" w:hAnsi="Wingdings" w:hint="default"/>
      </w:rPr>
    </w:lvl>
    <w:lvl w:ilvl="6" w:tentative="1">
      <w:start w:val="1"/>
      <w:numFmt w:val="bullet"/>
      <w:lvlText w:val=""/>
      <w:lvlJc w:val="left"/>
      <w:pPr>
        <w:ind w:left="5341" w:hanging="360"/>
      </w:pPr>
      <w:rPr>
        <w:rFonts w:ascii="Symbol" w:hAnsi="Symbol" w:hint="default"/>
      </w:rPr>
    </w:lvl>
    <w:lvl w:ilvl="7" w:tentative="1">
      <w:start w:val="1"/>
      <w:numFmt w:val="bullet"/>
      <w:lvlText w:val="o"/>
      <w:lvlJc w:val="left"/>
      <w:pPr>
        <w:ind w:left="6061" w:hanging="360"/>
      </w:pPr>
      <w:rPr>
        <w:rFonts w:ascii="Courier New" w:hAnsi="Courier New" w:cs="Courier New" w:hint="default"/>
      </w:rPr>
    </w:lvl>
    <w:lvl w:ilvl="8" w:tentative="1">
      <w:start w:val="1"/>
      <w:numFmt w:val="bullet"/>
      <w:lvlText w:val=""/>
      <w:lvlJc w:val="left"/>
      <w:pPr>
        <w:ind w:left="6781" w:hanging="360"/>
      </w:pPr>
      <w:rPr>
        <w:rFonts w:ascii="Wingdings" w:hAnsi="Wingdings" w:hint="default"/>
      </w:rPr>
    </w:lvl>
  </w:abstractNum>
  <w:abstractNum w:abstractNumId="17">
    <w:nsid w:val="33865C3F"/>
    <w:multiLevelType w:val="hybridMultilevel"/>
    <w:tmpl w:val="AAC02D30"/>
    <w:lvl w:ilvl="0">
      <w:start w:val="1"/>
      <w:numFmt w:val="lowerRoman"/>
      <w:lvlText w:val="(%1)"/>
      <w:lvlJc w:val="left"/>
      <w:pPr>
        <w:ind w:left="1440" w:hanging="72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3B02DCE"/>
    <w:multiLevelType w:val="hybridMultilevel"/>
    <w:tmpl w:val="CD084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A368F6"/>
    <w:multiLevelType w:val="hybridMultilevel"/>
    <w:tmpl w:val="BEE253B8"/>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20">
    <w:nsid w:val="3A3C3D2A"/>
    <w:multiLevelType w:val="hybridMultilevel"/>
    <w:tmpl w:val="24961726"/>
    <w:lvl w:ilvl="0">
      <w:start w:val="1"/>
      <w:numFmt w:val="bullet"/>
      <w:lvlText w:val=""/>
      <w:lvlJc w:val="left"/>
      <w:pPr>
        <w:ind w:left="644"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3B0F6726"/>
    <w:multiLevelType w:val="hybridMultilevel"/>
    <w:tmpl w:val="2C5079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2E556B"/>
    <w:multiLevelType w:val="hybridMultilevel"/>
    <w:tmpl w:val="5B9E14A0"/>
    <w:lvl w:ilvl="0">
      <w:start w:val="1"/>
      <w:numFmt w:val="decimal"/>
      <w:lvlText w:val="%1."/>
      <w:lvlJc w:val="left"/>
      <w:pPr>
        <w:ind w:left="360" w:hanging="360"/>
      </w:pPr>
      <w:rPr>
        <w:rFonts w:hint="default"/>
      </w:rPr>
    </w:lvl>
    <w:lvl w:ilvl="1" w:tentative="1">
      <w:start w:val="1"/>
      <w:numFmt w:val="lowerLetter"/>
      <w:lvlText w:val="%2."/>
      <w:lvlJc w:val="left"/>
      <w:pPr>
        <w:ind w:left="872" w:hanging="360"/>
      </w:pPr>
    </w:lvl>
    <w:lvl w:ilvl="2" w:tentative="1">
      <w:start w:val="1"/>
      <w:numFmt w:val="lowerRoman"/>
      <w:lvlText w:val="%3."/>
      <w:lvlJc w:val="right"/>
      <w:pPr>
        <w:ind w:left="1592" w:hanging="180"/>
      </w:pPr>
    </w:lvl>
    <w:lvl w:ilvl="3" w:tentative="1">
      <w:start w:val="1"/>
      <w:numFmt w:val="decimal"/>
      <w:lvlText w:val="%4."/>
      <w:lvlJc w:val="left"/>
      <w:pPr>
        <w:ind w:left="2312" w:hanging="360"/>
      </w:pPr>
    </w:lvl>
    <w:lvl w:ilvl="4" w:tentative="1">
      <w:start w:val="1"/>
      <w:numFmt w:val="lowerLetter"/>
      <w:lvlText w:val="%5."/>
      <w:lvlJc w:val="left"/>
      <w:pPr>
        <w:ind w:left="3032" w:hanging="360"/>
      </w:pPr>
    </w:lvl>
    <w:lvl w:ilvl="5" w:tentative="1">
      <w:start w:val="1"/>
      <w:numFmt w:val="lowerRoman"/>
      <w:lvlText w:val="%6."/>
      <w:lvlJc w:val="right"/>
      <w:pPr>
        <w:ind w:left="3752" w:hanging="180"/>
      </w:pPr>
    </w:lvl>
    <w:lvl w:ilvl="6" w:tentative="1">
      <w:start w:val="1"/>
      <w:numFmt w:val="decimal"/>
      <w:lvlText w:val="%7."/>
      <w:lvlJc w:val="left"/>
      <w:pPr>
        <w:ind w:left="4472" w:hanging="360"/>
      </w:pPr>
    </w:lvl>
    <w:lvl w:ilvl="7" w:tentative="1">
      <w:start w:val="1"/>
      <w:numFmt w:val="lowerLetter"/>
      <w:lvlText w:val="%8."/>
      <w:lvlJc w:val="left"/>
      <w:pPr>
        <w:ind w:left="5192" w:hanging="360"/>
      </w:pPr>
    </w:lvl>
    <w:lvl w:ilvl="8" w:tentative="1">
      <w:start w:val="1"/>
      <w:numFmt w:val="lowerRoman"/>
      <w:lvlText w:val="%9."/>
      <w:lvlJc w:val="right"/>
      <w:pPr>
        <w:ind w:left="5912" w:hanging="180"/>
      </w:pPr>
    </w:lvl>
  </w:abstractNum>
  <w:abstractNum w:abstractNumId="23">
    <w:nsid w:val="3EE34207"/>
    <w:multiLevelType w:val="hybridMultilevel"/>
    <w:tmpl w:val="17FC5CB0"/>
    <w:lvl w:ilvl="0">
      <w:start w:val="1"/>
      <w:numFmt w:val="decimal"/>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24">
    <w:nsid w:val="43206B27"/>
    <w:multiLevelType w:val="hybridMultilevel"/>
    <w:tmpl w:val="F4D053B4"/>
    <w:lvl w:ilvl="0">
      <w:start w:val="1"/>
      <w:numFmt w:val="bullet"/>
      <w:lvlText w:val=""/>
      <w:lvlJc w:val="left"/>
      <w:pPr>
        <w:ind w:left="644"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44634D0D"/>
    <w:multiLevelType w:val="hybridMultilevel"/>
    <w:tmpl w:val="476EA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A056111"/>
    <w:multiLevelType w:val="hybridMultilevel"/>
    <w:tmpl w:val="3424A4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4B7457"/>
    <w:multiLevelType w:val="hybridMultilevel"/>
    <w:tmpl w:val="0D7A5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2E3841"/>
    <w:multiLevelType w:val="hybridMultilevel"/>
    <w:tmpl w:val="E1227C5E"/>
    <w:lvl w:ilvl="0">
      <w:start w:val="1"/>
      <w:numFmt w:val="bullet"/>
      <w:lvlText w:val=""/>
      <w:lvlJc w:val="left"/>
      <w:pPr>
        <w:ind w:left="644" w:hanging="360"/>
      </w:pPr>
      <w:rPr>
        <w:rFonts w:ascii="Symbol" w:hAnsi="Symbol"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29">
    <w:nsid w:val="4D341724"/>
    <w:multiLevelType w:val="hybridMultilevel"/>
    <w:tmpl w:val="07CED08E"/>
    <w:lvl w:ilvl="0">
      <w:start w:val="1"/>
      <w:numFmt w:val="bullet"/>
      <w:lvlText w:val="­"/>
      <w:lvlJc w:val="left"/>
      <w:pPr>
        <w:ind w:left="644"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4F0122FE"/>
    <w:multiLevelType w:val="hybridMultilevel"/>
    <w:tmpl w:val="21E480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4F083460"/>
    <w:multiLevelType w:val="hybridMultilevel"/>
    <w:tmpl w:val="23D043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4F792AF0"/>
    <w:multiLevelType w:val="hybridMultilevel"/>
    <w:tmpl w:val="21BED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46B60C0"/>
    <w:multiLevelType w:val="hybridMultilevel"/>
    <w:tmpl w:val="C8FAC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8C95331"/>
    <w:multiLevelType w:val="multilevel"/>
    <w:tmpl w:val="9AB6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BEC362F"/>
    <w:multiLevelType w:val="hybridMultilevel"/>
    <w:tmpl w:val="B6CAE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51052A1"/>
    <w:multiLevelType w:val="hybridMultilevel"/>
    <w:tmpl w:val="A2B8E5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A94239"/>
    <w:multiLevelType w:val="hybridMultilevel"/>
    <w:tmpl w:val="93D4B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6E76607"/>
    <w:multiLevelType w:val="hybridMultilevel"/>
    <w:tmpl w:val="3A3469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95824B5"/>
    <w:multiLevelType w:val="hybridMultilevel"/>
    <w:tmpl w:val="F19203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697F0AD7"/>
    <w:multiLevelType w:val="hybridMultilevel"/>
    <w:tmpl w:val="1E68E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A410F24"/>
    <w:multiLevelType w:val="hybridMultilevel"/>
    <w:tmpl w:val="0666F9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43">
    <w:nsid w:val="6C41534E"/>
    <w:multiLevelType w:val="hybridMultilevel"/>
    <w:tmpl w:val="F82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D2B5511"/>
    <w:multiLevelType w:val="singleLevel"/>
    <w:tmpl w:val="74A09970"/>
    <w:name w:val="List Bullet 1"/>
    <w:lvl w:ilvl="0">
      <w:start w:val="1"/>
      <w:numFmt w:val="bullet"/>
      <w:pStyle w:val="ListBullet"/>
      <w:lvlText w:val=""/>
      <w:lvlJc w:val="left"/>
      <w:pPr>
        <w:tabs>
          <w:tab w:val="num" w:pos="283"/>
        </w:tabs>
        <w:ind w:left="283" w:hanging="283"/>
      </w:pPr>
      <w:rPr>
        <w:rFonts w:ascii="Symbol" w:hAnsi="Symbol" w:hint="default"/>
      </w:rPr>
    </w:lvl>
  </w:abstractNum>
  <w:abstractNum w:abstractNumId="45">
    <w:nsid w:val="6D7B58CE"/>
    <w:multiLevelType w:val="hybridMultilevel"/>
    <w:tmpl w:val="55143764"/>
    <w:lvl w:ilvl="0">
      <w:start w:val="1"/>
      <w:numFmt w:val="bullet"/>
      <w:pStyle w:val="ListDash1"/>
      <w:lvlText w:val="–"/>
      <w:lvlJc w:val="left"/>
      <w:pPr>
        <w:tabs>
          <w:tab w:val="num" w:pos="1287"/>
        </w:tabs>
        <w:ind w:left="1287" w:hanging="283"/>
      </w:pPr>
      <w:rPr>
        <w:rFonts w:ascii="Times New Roman" w:hAnsi="Times New Roman" w:cs="Times New Roman" w:hint="default"/>
      </w:rPr>
    </w:lvl>
    <w:lvl w:ilvl="1">
      <w:start w:val="0"/>
      <w:numFmt w:val="bullet"/>
      <w:lvlText w:val="-"/>
      <w:lvlJc w:val="left"/>
      <w:pPr>
        <w:ind w:left="1593" w:hanging="360"/>
      </w:pPr>
      <w:rPr>
        <w:rFonts w:ascii="Times" w:eastAsia="Times New Roman" w:hAnsi="Times" w:cs="Times New Roman" w:hint="default"/>
      </w:rPr>
    </w:lvl>
    <w:lvl w:ilvl="2" w:tentative="1">
      <w:start w:val="1"/>
      <w:numFmt w:val="bullet"/>
      <w:lvlText w:val=""/>
      <w:lvlJc w:val="left"/>
      <w:pPr>
        <w:tabs>
          <w:tab w:val="num" w:pos="2313"/>
        </w:tabs>
        <w:ind w:left="2313" w:hanging="360"/>
      </w:pPr>
      <w:rPr>
        <w:rFonts w:ascii="Wingdings" w:hAnsi="Wingdings" w:hint="default"/>
      </w:rPr>
    </w:lvl>
    <w:lvl w:ilvl="3" w:tentative="1">
      <w:start w:val="1"/>
      <w:numFmt w:val="bullet"/>
      <w:lvlText w:val=""/>
      <w:lvlJc w:val="left"/>
      <w:pPr>
        <w:tabs>
          <w:tab w:val="num" w:pos="3033"/>
        </w:tabs>
        <w:ind w:left="3033" w:hanging="360"/>
      </w:pPr>
      <w:rPr>
        <w:rFonts w:ascii="Symbol" w:hAnsi="Symbol" w:hint="default"/>
      </w:rPr>
    </w:lvl>
    <w:lvl w:ilvl="4" w:tentative="1">
      <w:start w:val="1"/>
      <w:numFmt w:val="bullet"/>
      <w:lvlText w:val="o"/>
      <w:lvlJc w:val="left"/>
      <w:pPr>
        <w:tabs>
          <w:tab w:val="num" w:pos="3753"/>
        </w:tabs>
        <w:ind w:left="3753" w:hanging="360"/>
      </w:pPr>
      <w:rPr>
        <w:rFonts w:ascii="Courier New" w:hAnsi="Courier New" w:cs="Wingdings" w:hint="default"/>
      </w:rPr>
    </w:lvl>
    <w:lvl w:ilvl="5" w:tentative="1">
      <w:start w:val="1"/>
      <w:numFmt w:val="bullet"/>
      <w:lvlText w:val=""/>
      <w:lvlJc w:val="left"/>
      <w:pPr>
        <w:tabs>
          <w:tab w:val="num" w:pos="4473"/>
        </w:tabs>
        <w:ind w:left="4473" w:hanging="360"/>
      </w:pPr>
      <w:rPr>
        <w:rFonts w:ascii="Wingdings" w:hAnsi="Wingdings" w:hint="default"/>
      </w:rPr>
    </w:lvl>
    <w:lvl w:ilvl="6" w:tentative="1">
      <w:start w:val="1"/>
      <w:numFmt w:val="bullet"/>
      <w:lvlText w:val=""/>
      <w:lvlJc w:val="left"/>
      <w:pPr>
        <w:tabs>
          <w:tab w:val="num" w:pos="5193"/>
        </w:tabs>
        <w:ind w:left="5193" w:hanging="360"/>
      </w:pPr>
      <w:rPr>
        <w:rFonts w:ascii="Symbol" w:hAnsi="Symbol" w:hint="default"/>
      </w:rPr>
    </w:lvl>
    <w:lvl w:ilvl="7" w:tentative="1">
      <w:start w:val="1"/>
      <w:numFmt w:val="bullet"/>
      <w:lvlText w:val="o"/>
      <w:lvlJc w:val="left"/>
      <w:pPr>
        <w:tabs>
          <w:tab w:val="num" w:pos="5913"/>
        </w:tabs>
        <w:ind w:left="5913" w:hanging="360"/>
      </w:pPr>
      <w:rPr>
        <w:rFonts w:ascii="Courier New" w:hAnsi="Courier New" w:cs="Wingdings" w:hint="default"/>
      </w:rPr>
    </w:lvl>
    <w:lvl w:ilvl="8" w:tentative="1">
      <w:start w:val="1"/>
      <w:numFmt w:val="bullet"/>
      <w:lvlText w:val=""/>
      <w:lvlJc w:val="left"/>
      <w:pPr>
        <w:tabs>
          <w:tab w:val="num" w:pos="6633"/>
        </w:tabs>
        <w:ind w:left="6633" w:hanging="360"/>
      </w:pPr>
      <w:rPr>
        <w:rFonts w:ascii="Wingdings" w:hAnsi="Wingdings" w:hint="default"/>
      </w:rPr>
    </w:lvl>
  </w:abstractNum>
  <w:abstractNum w:abstractNumId="46">
    <w:nsid w:val="7530130B"/>
    <w:multiLevelType w:val="hybridMultilevel"/>
    <w:tmpl w:val="D3CA85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786B6F17"/>
    <w:multiLevelType w:val="hybridMultilevel"/>
    <w:tmpl w:val="A7BE9A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8EB1B90"/>
    <w:multiLevelType w:val="hybridMultilevel"/>
    <w:tmpl w:val="52A612FA"/>
    <w:lvl w:ilvl="0">
      <w:start w:val="1"/>
      <w:numFmt w:val="bullet"/>
      <w:lvlText w:val=""/>
      <w:lvlJc w:val="left"/>
      <w:pPr>
        <w:ind w:left="644" w:hanging="360"/>
      </w:pPr>
      <w:rPr>
        <w:rFonts w:ascii="Symbol" w:hAnsi="Symbol"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49">
    <w:nsid w:val="79F032C7"/>
    <w:multiLevelType w:val="hybridMultilevel"/>
    <w:tmpl w:val="AA144D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44"/>
  </w:num>
  <w:num w:numId="2">
    <w:abstractNumId w:val="42"/>
  </w:num>
  <w:num w:numId="3">
    <w:abstractNumId w:val="45"/>
  </w:num>
  <w:num w:numId="4">
    <w:abstractNumId w:val="20"/>
  </w:num>
  <w:num w:numId="5">
    <w:abstractNumId w:val="7"/>
  </w:num>
  <w:num w:numId="6">
    <w:abstractNumId w:val="46"/>
  </w:num>
  <w:num w:numId="7">
    <w:abstractNumId w:val="39"/>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45"/>
  </w:num>
  <w:num w:numId="15">
    <w:abstractNumId w:val="45"/>
  </w:num>
  <w:num w:numId="16">
    <w:abstractNumId w:val="4"/>
  </w:num>
  <w:num w:numId="17">
    <w:abstractNumId w:val="13"/>
  </w:num>
  <w:num w:numId="18">
    <w:abstractNumId w:val="5"/>
  </w:num>
  <w:num w:numId="19">
    <w:abstractNumId w:val="43"/>
  </w:num>
  <w:num w:numId="20">
    <w:abstractNumId w:val="47"/>
  </w:num>
  <w:num w:numId="21">
    <w:abstractNumId w:val="35"/>
  </w:num>
  <w:num w:numId="22">
    <w:abstractNumId w:val="8"/>
  </w:num>
  <w:num w:numId="23">
    <w:abstractNumId w:val="10"/>
  </w:num>
  <w:num w:numId="24">
    <w:abstractNumId w:val="49"/>
  </w:num>
  <w:num w:numId="25">
    <w:abstractNumId w:val="9"/>
  </w:num>
  <w:num w:numId="26">
    <w:abstractNumId w:val="14"/>
  </w:num>
  <w:num w:numId="27">
    <w:abstractNumId w:val="28"/>
  </w:num>
  <w:num w:numId="28">
    <w:abstractNumId w:val="24"/>
  </w:num>
  <w:num w:numId="29">
    <w:abstractNumId w:val="48"/>
  </w:num>
  <w:num w:numId="30">
    <w:abstractNumId w:val="31"/>
  </w:num>
  <w:num w:numId="31">
    <w:abstractNumId w:val="17"/>
  </w:num>
  <w:num w:numId="32">
    <w:abstractNumId w:val="11"/>
  </w:num>
  <w:num w:numId="33">
    <w:abstractNumId w:val="38"/>
  </w:num>
  <w:num w:numId="34">
    <w:abstractNumId w:val="15"/>
  </w:num>
  <w:num w:numId="35">
    <w:abstractNumId w:val="27"/>
  </w:num>
  <w:num w:numId="36">
    <w:abstractNumId w:val="36"/>
  </w:num>
  <w:num w:numId="37">
    <w:abstractNumId w:val="21"/>
  </w:num>
  <w:num w:numId="38">
    <w:abstractNumId w:val="41"/>
  </w:num>
  <w:num w:numId="39">
    <w:abstractNumId w:val="23"/>
  </w:num>
  <w:num w:numId="40">
    <w:abstractNumId w:val="37"/>
  </w:num>
  <w:num w:numId="41">
    <w:abstractNumId w:val="2"/>
  </w:num>
  <w:num w:numId="42">
    <w:abstractNumId w:val="22"/>
  </w:num>
  <w:num w:numId="43">
    <w:abstractNumId w:val="19"/>
  </w:num>
  <w:num w:numId="44">
    <w:abstractNumId w:val="18"/>
  </w:num>
  <w:num w:numId="45">
    <w:abstractNumId w:val="16"/>
  </w:num>
  <w:num w:numId="46">
    <w:abstractNumId w:val="25"/>
  </w:num>
  <w:num w:numId="47">
    <w:abstractNumId w:val="3"/>
  </w:num>
  <w:num w:numId="48">
    <w:abstractNumId w:val="26"/>
  </w:num>
  <w:num w:numId="49">
    <w:abstractNumId w:val="34"/>
  </w:num>
  <w:num w:numId="50">
    <w:abstractNumId w:val="6"/>
  </w:num>
  <w:num w:numId="51">
    <w:abstractNumId w:val="33"/>
  </w:num>
  <w:num w:numId="52">
    <w:abstractNumId w:val="40"/>
  </w:num>
  <w:num w:numId="5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ocumentProtection w:edit="forms" w:enforcement="0"/>
  <w:defaultTabStop w:val="284"/>
  <w:hyphenationZone w:val="425"/>
  <w:doNotShadeFormData/>
  <w:characterSpacingControl w:val="doNotCompress"/>
  <w:footnotePr>
    <w:footnote w:id="0"/>
    <w:footnote w:id="1"/>
    <w:footnote w:id="2"/>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014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6661"/>
    <w:pPr>
      <w:tabs>
        <w:tab w:val="center" w:pos="4153"/>
        <w:tab w:val="right" w:pos="8306"/>
      </w:tabs>
    </w:pPr>
  </w:style>
  <w:style w:type="paragraph" w:styleId="FootnoteText">
    <w:name w:val="footnote text"/>
    <w:basedOn w:val="Normal"/>
    <w:link w:val="FootnoteTextChar"/>
    <w:qFormat/>
    <w:rsid w:val="009E6661"/>
    <w:pPr>
      <w:spacing w:after="240"/>
      <w:ind w:left="357" w:hanging="357"/>
      <w:jc w:val="both"/>
    </w:pPr>
    <w:rPr>
      <w:sz w:val="20"/>
    </w:rPr>
  </w:style>
  <w:style w:type="character" w:styleId="FootnoteReference">
    <w:name w:val="footnote reference"/>
    <w:qFormat/>
    <w:rsid w:val="009E6661"/>
    <w:rPr>
      <w:vertAlign w:val="superscript"/>
    </w:rPr>
  </w:style>
  <w:style w:type="character" w:customStyle="1" w:styleId="FootnoteTextChar">
    <w:name w:val="Footnote Text Char"/>
    <w:link w:val="FootnoteText"/>
    <w:rsid w:val="009E6661"/>
  </w:style>
  <w:style w:type="paragraph" w:styleId="ListBullet">
    <w:name w:val="List Bullet"/>
    <w:basedOn w:val="Normal"/>
    <w:rsid w:val="009E6661"/>
    <w:pPr>
      <w:numPr>
        <w:numId w:val="1"/>
      </w:numPr>
      <w:spacing w:before="120" w:after="120"/>
      <w:jc w:val="both"/>
    </w:pPr>
  </w:style>
  <w:style w:type="paragraph" w:customStyle="1" w:styleId="Text1">
    <w:name w:val="Text 1"/>
    <w:basedOn w:val="Normal"/>
    <w:rsid w:val="009E6661"/>
    <w:pPr>
      <w:spacing w:before="120" w:after="120"/>
      <w:ind w:left="850"/>
      <w:jc w:val="both"/>
    </w:pPr>
  </w:style>
  <w:style w:type="character" w:styleId="Emphasis">
    <w:name w:val="Emphasis"/>
    <w:qFormat/>
    <w:rsid w:val="009E6661"/>
    <w:rPr>
      <w:b/>
      <w:i w:val="0"/>
      <w:iCs w:val="0"/>
    </w:rPr>
  </w:style>
  <w:style w:type="paragraph" w:customStyle="1" w:styleId="ListBullet1">
    <w:name w:val="List Bullet 1"/>
    <w:basedOn w:val="Normal"/>
    <w:rsid w:val="009E6661"/>
    <w:pPr>
      <w:numPr>
        <w:numId w:val="2"/>
      </w:numPr>
      <w:spacing w:before="120" w:after="120"/>
      <w:jc w:val="both"/>
    </w:pPr>
  </w:style>
  <w:style w:type="character" w:customStyle="1" w:styleId="at31">
    <w:name w:val="a__t31"/>
    <w:rsid w:val="009E6661"/>
    <w:rPr>
      <w:b/>
    </w:rPr>
  </w:style>
  <w:style w:type="paragraph" w:styleId="NormalWeb">
    <w:name w:val="Normal (Web)"/>
    <w:basedOn w:val="Normal"/>
    <w:link w:val="NormalWebChar"/>
    <w:rsid w:val="00D03063"/>
    <w:pPr>
      <w:spacing w:before="100" w:beforeAutospacing="1" w:after="100" w:afterAutospacing="1"/>
    </w:pPr>
  </w:style>
  <w:style w:type="character" w:customStyle="1" w:styleId="NormalWebChar">
    <w:name w:val="Normal (Web) Char"/>
    <w:link w:val="NormalWeb"/>
    <w:rsid w:val="00D03063"/>
    <w:rPr>
      <w:sz w:val="24"/>
    </w:rPr>
  </w:style>
  <w:style w:type="paragraph" w:customStyle="1" w:styleId="ListDash1">
    <w:name w:val="List Dash 1"/>
    <w:basedOn w:val="Normal"/>
    <w:qFormat/>
    <w:rsid w:val="001C4CCF"/>
    <w:pPr>
      <w:numPr>
        <w:numId w:val="3"/>
      </w:numPr>
    </w:pPr>
  </w:style>
  <w:style w:type="paragraph" w:styleId="Footer">
    <w:name w:val="footer"/>
    <w:basedOn w:val="Normal"/>
    <w:rsid w:val="00B07956"/>
    <w:pPr>
      <w:tabs>
        <w:tab w:val="center" w:pos="4536"/>
        <w:tab w:val="right" w:pos="9072"/>
      </w:tabs>
    </w:pPr>
  </w:style>
  <w:style w:type="character" w:styleId="PageNumber">
    <w:name w:val="page number"/>
    <w:basedOn w:val="DefaultParagraphFont"/>
    <w:rsid w:val="00B07956"/>
  </w:style>
  <w:style w:type="paragraph" w:styleId="BalloonText">
    <w:name w:val="Balloon Text"/>
    <w:basedOn w:val="Normal"/>
    <w:semiHidden/>
    <w:rsid w:val="00991122"/>
    <w:rPr>
      <w:rFonts w:ascii="Tahoma" w:hAnsi="Tahoma" w:cs="Tahoma"/>
      <w:sz w:val="16"/>
    </w:rPr>
  </w:style>
  <w:style w:type="character" w:styleId="Hyperlink">
    <w:name w:val="Hyperlink"/>
    <w:uiPriority w:val="99"/>
    <w:unhideWhenUsed/>
    <w:rsid w:val="003154F3"/>
    <w:rPr>
      <w:color w:val="0000FF"/>
      <w:u w:val="single"/>
    </w:rPr>
  </w:style>
  <w:style w:type="character" w:styleId="CommentReference">
    <w:name w:val="annotation reference"/>
    <w:rsid w:val="000E132C"/>
    <w:rPr>
      <w:sz w:val="16"/>
    </w:rPr>
  </w:style>
  <w:style w:type="paragraph" w:styleId="CommentText">
    <w:name w:val="annotation text"/>
    <w:basedOn w:val="Normal"/>
    <w:link w:val="CommentTextChar"/>
    <w:uiPriority w:val="99"/>
    <w:rsid w:val="000E132C"/>
    <w:rPr>
      <w:sz w:val="20"/>
    </w:rPr>
  </w:style>
  <w:style w:type="character" w:customStyle="1" w:styleId="CommentTextChar">
    <w:name w:val="Comment Text Char"/>
    <w:basedOn w:val="DefaultParagraphFont"/>
    <w:link w:val="CommentText"/>
    <w:uiPriority w:val="99"/>
    <w:rsid w:val="000E132C"/>
  </w:style>
  <w:style w:type="paragraph" w:styleId="CommentSubject">
    <w:name w:val="annotation subject"/>
    <w:basedOn w:val="CommentText"/>
    <w:next w:val="CommentText"/>
    <w:link w:val="CommentSubjectChar"/>
    <w:rsid w:val="000E132C"/>
    <w:rPr>
      <w:b/>
    </w:rPr>
  </w:style>
  <w:style w:type="character" w:customStyle="1" w:styleId="CommentSubjectChar">
    <w:name w:val="Comment Subject Char"/>
    <w:link w:val="CommentSubject"/>
    <w:rsid w:val="000E132C"/>
    <w:rPr>
      <w:b/>
    </w:rPr>
  </w:style>
  <w:style w:type="paragraph" w:styleId="ListParagraph">
    <w:name w:val="List Paragraph"/>
    <w:basedOn w:val="Normal"/>
    <w:uiPriority w:val="34"/>
    <w:qFormat/>
    <w:rsid w:val="00DB5159"/>
    <w:pPr>
      <w:ind w:left="720"/>
      <w:contextualSpacing/>
    </w:pPr>
  </w:style>
  <w:style w:type="character" w:styleId="FollowedHyperlink">
    <w:name w:val="FollowedHyperlink"/>
    <w:basedOn w:val="DefaultParagraphFont"/>
    <w:rsid w:val="00BF2D27"/>
    <w:rPr>
      <w:color w:val="800080" w:themeColor="followedHyperlink"/>
      <w:u w:val="single"/>
    </w:rPr>
  </w:style>
  <w:style w:type="paragraph" w:styleId="Revision">
    <w:name w:val="Revision"/>
    <w:hidden/>
    <w:uiPriority w:val="99"/>
    <w:semiHidden/>
    <w:rsid w:val="0004348B"/>
    <w:rPr>
      <w:sz w:val="24"/>
    </w:rPr>
  </w:style>
  <w:style w:type="character" w:customStyle="1" w:styleId="UnresolvedMention1">
    <w:name w:val="Unresolved Mention1"/>
    <w:basedOn w:val="DefaultParagraphFont"/>
    <w:uiPriority w:val="99"/>
    <w:semiHidden/>
    <w:unhideWhenUsed/>
    <w:rsid w:val="008B476D"/>
    <w:rPr>
      <w:color w:val="605E5C"/>
      <w:shd w:val="clear" w:color="auto" w:fill="E1DFDD"/>
    </w:rPr>
  </w:style>
  <w:style w:type="character" w:customStyle="1" w:styleId="UnresolvedMention2">
    <w:name w:val="Unresolved Mention2"/>
    <w:basedOn w:val="DefaultParagraphFont"/>
    <w:uiPriority w:val="99"/>
    <w:semiHidden/>
    <w:unhideWhenUsed/>
    <w:rsid w:val="00F30F3F"/>
    <w:rPr>
      <w:color w:val="605E5C"/>
      <w:shd w:val="clear" w:color="auto" w:fill="E1DFDD"/>
    </w:rPr>
  </w:style>
  <w:style w:type="character" w:customStyle="1" w:styleId="UnresolvedMention3">
    <w:name w:val="Unresolved Mention3"/>
    <w:basedOn w:val="DefaultParagraphFont"/>
    <w:uiPriority w:val="99"/>
    <w:semiHidden/>
    <w:unhideWhenUsed/>
    <w:rsid w:val="00BD1666"/>
    <w:rPr>
      <w:color w:val="605E5C"/>
      <w:shd w:val="clear" w:color="auto" w:fill="E1DFDD"/>
    </w:rPr>
  </w:style>
  <w:style w:type="character" w:customStyle="1" w:styleId="wtoffscreen">
    <w:name w:val="wtoffscreen"/>
    <w:basedOn w:val="DefaultParagraphFont"/>
    <w:rsid w:val="0047540C"/>
  </w:style>
  <w:style w:type="character" w:customStyle="1" w:styleId="UnresolvedMention4">
    <w:name w:val="Unresolved Mention4"/>
    <w:basedOn w:val="DefaultParagraphFont"/>
    <w:uiPriority w:val="99"/>
    <w:semiHidden/>
    <w:unhideWhenUsed/>
    <w:rsid w:val="00C56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4.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header4.xml.rels>&#65279;<?xml version="1.0" encoding="utf-8" standalone="yes"?><Relationships xmlns="http://schemas.openxmlformats.org/package/2006/relationships"><Relationship Id="rId1" Type="http://schemas.openxmlformats.org/officeDocument/2006/relationships/image" Target="media/image1.jpe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ocuments%20and%20Settings\brusspa\Desktop\ROADMAP%20template%20new%2010%20January%202012.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871BF8B3134394499FF224858742EADD" ma:contentTypeVersion="3" ma:contentTypeDescription="Create a new document in this library." ma:contentTypeScope="" ma:versionID="16492c7020544427a911f88e10684797">
  <xsd:schema xmlns:xsd="http://www.w3.org/2001/XMLSchema" xmlns:xs="http://www.w3.org/2001/XMLSchema" xmlns:p="http://schemas.microsoft.com/office/2006/metadata/properties" xmlns:ns3="1a265ea9-2b6c-4a3d-bf0e-1480926039e1" xmlns:ns4="8ec7bb06-cb05-40ec-895f-6e423d8d1319" targetNamespace="http://schemas.microsoft.com/office/2006/metadata/properties" ma:root="true" ma:fieldsID="5092524337fc5955c99b9ccc8d000d97" ns3:_="" ns4:_="">
    <xsd:import namespace="1a265ea9-2b6c-4a3d-bf0e-1480926039e1"/>
    <xsd:import namespace="8ec7bb06-cb05-40ec-895f-6e423d8d1319"/>
    <xsd:element name="properties">
      <xsd:complexType>
        <xsd:sequence>
          <xsd:element name="documentManagement">
            <xsd:complexType>
              <xsd:all>
                <xsd:element ref="ns3:EC_Collab_Reference"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65ea9-2b6c-4a3d-bf0e-1480926039e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8ec7bb06-cb05-40ec-895f-6e423d8d13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1a265ea9-2b6c-4a3d-bf0e-1480926039e1">EN</EC_Collab_DocumentLanguage>
    <EC_Collab_Reference xmlns="1a265ea9-2b6c-4a3d-bf0e-1480926039e1" xsi:nil="true"/>
    <EC_Collab_Status xmlns="1a265ea9-2b6c-4a3d-bf0e-1480926039e1">Not Started</EC_Collab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23A8E-9B59-4925-B27C-7322CC473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65ea9-2b6c-4a3d-bf0e-1480926039e1"/>
    <ds:schemaRef ds:uri="8ec7bb06-cb05-40ec-895f-6e423d8d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CBB00-2739-48E0-AC64-0E5046294289}">
  <ds:schemaRefs>
    <ds:schemaRef ds:uri="8ec7bb06-cb05-40ec-895f-6e423d8d1319"/>
    <ds:schemaRef ds:uri="http://schemas.microsoft.com/office/2006/metadata/properties"/>
    <ds:schemaRef ds:uri="http://purl.org/dc/terms/"/>
    <ds:schemaRef ds:uri="http://schemas.microsoft.com/office/2006/documentManagement/types"/>
    <ds:schemaRef ds:uri="1a265ea9-2b6c-4a3d-bf0e-1480926039e1"/>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D05896C-276E-4126-90D9-50ADF2A0FD98}">
  <ds:schemaRefs>
    <ds:schemaRef ds:uri="http://schemas.microsoft.com/sharepoint/v3/contenttype/forms"/>
  </ds:schemaRefs>
</ds:datastoreItem>
</file>

<file path=customXml/itemProps4.xml><?xml version="1.0" encoding="utf-8"?>
<ds:datastoreItem xmlns:ds="http://schemas.openxmlformats.org/officeDocument/2006/customXml" ds:itemID="{F8779686-C762-49D8-8D13-16C8049C0C5A}">
  <ds:schemaRefs>
    <ds:schemaRef ds:uri="http://schemas.microsoft.com/office/2006/metadata/longProperties"/>
  </ds:schemaRefs>
</ds:datastoreItem>
</file>

<file path=customXml/itemProps5.xml><?xml version="1.0" encoding="utf-8"?>
<ds:datastoreItem xmlns:ds="http://schemas.openxmlformats.org/officeDocument/2006/customXml" ds:itemID="{C10659EA-4D33-4452-847B-589855B2C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