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p w:rsidR="00EC02E9" w:rsidRPr="003217DC">
      <w:pPr>
        <w:rPr>
          <w:rFonts w:ascii="Arial" w:hAnsi="Arial" w:cs="Arial"/>
          <w:b/>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7"/>
        <w:gridCol w:w="7507"/>
      </w:tblGrid>
      <w:tr>
        <w:tblPrEx>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10314" w:type="dxa"/>
            <w:gridSpan w:val="2"/>
            <w:tcBorders>
              <w:bottom w:val="single" w:sz="4" w:space="0" w:color="auto"/>
            </w:tcBorders>
            <w:shd w:val="clear" w:color="000000" w:fill="0000FF"/>
            <w:tcMar>
              <w:left w:w="108" w:type="dxa"/>
              <w:right w:w="108" w:type="dxa"/>
            </w:tcMar>
          </w:tcPr>
          <w:p w:rsidR="00EC02E9" w:rsidRPr="003217DC">
            <w:pPr>
              <w:spacing w:before="60" w:after="60"/>
              <w:jc w:val="center"/>
              <w:rPr>
                <w:rFonts w:ascii="Arial" w:hAnsi="Arial" w:cs="Arial"/>
                <w:b/>
                <w:sz w:val="22"/>
                <w:szCs w:val="22"/>
              </w:rPr>
            </w:pPr>
            <w:r w:rsidRPr="003217DC">
              <w:rPr>
                <w:rFonts w:ascii="Arial" w:hAnsi="Arial"/>
                <w:b/>
                <w:sz w:val="22"/>
                <w:szCs w:val="22"/>
              </w:rPr>
              <w:t>VÝZVA K PŘEDLOŽENÍ FAKTICKÝCH PODKLADŮ</w:t>
            </w:r>
          </w:p>
          <w:p w:rsidR="00EC02E9" w:rsidRPr="003217DC">
            <w:pPr>
              <w:spacing w:before="60" w:after="60"/>
              <w:jc w:val="center"/>
              <w:rPr>
                <w:rFonts w:ascii="Arial" w:hAnsi="Arial" w:cs="Arial"/>
                <w:b/>
                <w:sz w:val="22"/>
                <w:szCs w:val="22"/>
              </w:rPr>
            </w:pPr>
            <w:r w:rsidRPr="003217DC">
              <w:rPr>
                <w:rFonts w:ascii="Arial" w:hAnsi="Arial"/>
                <w:b/>
                <w:sz w:val="22"/>
                <w:szCs w:val="22"/>
              </w:rPr>
              <w:t>PRO POSOUZENÍ DOPADŮ</w:t>
            </w:r>
          </w:p>
          <w:p w:rsidR="00EC02E9" w:rsidRPr="003217DC">
            <w:pPr>
              <w:spacing w:before="60" w:after="60"/>
              <w:jc w:val="center"/>
              <w:rPr>
                <w:rFonts w:ascii="Arial" w:hAnsi="Arial" w:cs="Arial"/>
                <w:b/>
                <w:sz w:val="22"/>
                <w:szCs w:val="22"/>
              </w:rPr>
            </w:pPr>
          </w:p>
        </w:tc>
      </w:tr>
      <w:tr>
        <w:tblPrEx>
          <w:tblW w:w="10314" w:type="dxa"/>
          <w:tblLayout w:type="fixed"/>
          <w:tblCellMar>
            <w:left w:w="0" w:type="dxa"/>
            <w:right w:w="0" w:type="dxa"/>
          </w:tblCellMar>
          <w:tblLook w:val="01E0"/>
        </w:tblPrEx>
        <w:tc>
          <w:tcPr>
            <w:tcW w:w="10314" w:type="dxa"/>
            <w:gridSpan w:val="2"/>
            <w:tcBorders>
              <w:bottom w:val="single" w:sz="4" w:space="0" w:color="auto"/>
            </w:tcBorders>
            <w:shd w:val="clear" w:color="000000" w:fill="E6E6E6"/>
            <w:tcMar>
              <w:left w:w="108" w:type="dxa"/>
              <w:right w:w="108" w:type="dxa"/>
            </w:tcMar>
          </w:tcPr>
          <w:p w:rsidR="00EC02E9" w:rsidRPr="003217DC">
            <w:pPr>
              <w:spacing w:before="60" w:after="60"/>
              <w:jc w:val="both"/>
              <w:rPr>
                <w:rFonts w:ascii="Arial" w:hAnsi="Arial" w:cs="Arial"/>
                <w:color w:val="000080"/>
                <w:sz w:val="18"/>
                <w:szCs w:val="18"/>
              </w:rPr>
            </w:pPr>
            <w:r w:rsidRPr="003217DC">
              <w:rPr>
                <w:rFonts w:ascii="Arial" w:hAnsi="Arial"/>
                <w:color w:val="000080"/>
                <w:sz w:val="18"/>
                <w:szCs w:val="18"/>
              </w:rPr>
              <w:t>Tímto dokumentem mají být veřejnost a zúčastněné strany informovány o budoucí legislativní činnosti Komise. Mohou se tak vyjádřit k tomu, jak na problém nahlíží Komise. Současně mohou poskytnout připomínky k možným řešením a veškeré relevantní informace, kterými případně disponují, mimo jiné ohledně možných dopadů zvažovaných opatření.</w:t>
            </w:r>
          </w:p>
          <w:p w:rsidR="00EC02E9" w:rsidRPr="003217DC">
            <w:pPr>
              <w:spacing w:before="60" w:after="60"/>
              <w:jc w:val="both"/>
              <w:rPr>
                <w:rFonts w:ascii="Arial" w:hAnsi="Arial" w:cs="Arial"/>
                <w:color w:val="000080"/>
                <w:sz w:val="18"/>
                <w:szCs w:val="18"/>
              </w:rPr>
            </w:pPr>
          </w:p>
        </w:tc>
      </w:tr>
      <w:tr>
        <w:tblPrEx>
          <w:tblW w:w="10314" w:type="dxa"/>
          <w:tblLayout w:type="fixed"/>
          <w:tblCellMar>
            <w:left w:w="0" w:type="dxa"/>
            <w:right w:w="0" w:type="dxa"/>
          </w:tblCellMar>
          <w:tblLook w:val="01E0"/>
        </w:tblPrEx>
        <w:tc>
          <w:tcPr>
            <w:tcW w:w="2807" w:type="dxa"/>
            <w:tcBorders>
              <w:bottom w:val="single" w:sz="4" w:space="0" w:color="auto"/>
            </w:tcBorders>
            <w:shd w:val="clear" w:color="000000" w:fill="E6E6E6"/>
            <w:tcMar>
              <w:left w:w="108" w:type="dxa"/>
              <w:right w:w="108" w:type="dxa"/>
            </w:tcMar>
          </w:tcPr>
          <w:p w:rsidR="00EC02E9" w:rsidRPr="003217DC">
            <w:pPr>
              <w:spacing w:before="60" w:after="60"/>
              <w:jc w:val="both"/>
              <w:rPr>
                <w:rFonts w:ascii="Arial" w:hAnsi="Arial" w:cs="Arial"/>
                <w:b/>
                <w:smallCaps/>
                <w:sz w:val="20"/>
                <w:szCs w:val="20"/>
              </w:rPr>
            </w:pPr>
            <w:r w:rsidRPr="003217DC">
              <w:rPr>
                <w:rFonts w:ascii="Arial" w:hAnsi="Arial"/>
                <w:b/>
                <w:smallCaps/>
                <w:sz w:val="20"/>
                <w:szCs w:val="20"/>
              </w:rPr>
              <w:t>Název iniciativy</w:t>
            </w:r>
          </w:p>
        </w:tc>
        <w:tc>
          <w:tcPr>
            <w:tcW w:w="7507" w:type="dxa"/>
            <w:shd w:val="clear" w:color="000000" w:fill="auto"/>
            <w:tcMar>
              <w:left w:w="108" w:type="dxa"/>
              <w:right w:w="108" w:type="dxa"/>
            </w:tcMar>
          </w:tcPr>
          <w:p w:rsidR="00EC02E9" w:rsidRPr="003217DC">
            <w:pPr>
              <w:spacing w:before="60" w:after="60"/>
              <w:jc w:val="both"/>
              <w:rPr>
                <w:rFonts w:ascii="Arial" w:hAnsi="Arial" w:cs="Arial"/>
                <w:color w:val="000080"/>
                <w:sz w:val="20"/>
                <w:szCs w:val="20"/>
              </w:rPr>
            </w:pPr>
            <w:r w:rsidRPr="003217DC">
              <w:rPr>
                <w:rFonts w:ascii="Arial" w:hAnsi="Arial"/>
                <w:color w:val="000080"/>
                <w:sz w:val="20"/>
                <w:szCs w:val="20"/>
              </w:rPr>
              <w:t>Akt o kybernetické odolnosti</w:t>
            </w:r>
          </w:p>
        </w:tc>
      </w:tr>
      <w:tr>
        <w:tblPrEx>
          <w:tblW w:w="10314" w:type="dxa"/>
          <w:tblLayout w:type="fixed"/>
          <w:tblCellMar>
            <w:left w:w="0" w:type="dxa"/>
            <w:right w:w="0" w:type="dxa"/>
          </w:tblCellMar>
          <w:tblLook w:val="01E0"/>
        </w:tblPrEx>
        <w:tc>
          <w:tcPr>
            <w:tcW w:w="2807" w:type="dxa"/>
            <w:tcBorders>
              <w:bottom w:val="single" w:sz="4" w:space="0" w:color="auto"/>
              <w:right w:val="single" w:sz="4" w:space="0" w:color="auto"/>
            </w:tcBorders>
            <w:shd w:val="clear" w:color="000000" w:fill="E6E6E6"/>
            <w:tcMar>
              <w:left w:w="108" w:type="dxa"/>
              <w:right w:w="108" w:type="dxa"/>
            </w:tcMar>
          </w:tcPr>
          <w:p w:rsidR="00EC02E9" w:rsidRPr="003217DC">
            <w:pPr>
              <w:spacing w:before="60" w:after="60"/>
              <w:jc w:val="both"/>
              <w:rPr>
                <w:rFonts w:ascii="Arial" w:hAnsi="Arial" w:cs="Arial"/>
                <w:b/>
                <w:smallCaps/>
                <w:sz w:val="20"/>
                <w:szCs w:val="20"/>
              </w:rPr>
            </w:pPr>
            <w:r w:rsidRPr="003217DC">
              <w:rPr>
                <w:rFonts w:ascii="Arial" w:hAnsi="Arial"/>
                <w:b/>
                <w:smallCaps/>
                <w:sz w:val="20"/>
                <w:szCs w:val="20"/>
              </w:rPr>
              <w:t xml:space="preserve">Příslušné GŘ (odpovědné oddělení) </w:t>
            </w:r>
          </w:p>
        </w:tc>
        <w:tc>
          <w:tcPr>
            <w:tcW w:w="7507"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tcPr>
          <w:p w:rsidR="00EC02E9" w:rsidRPr="003217DC" w:rsidP="00B4603B">
            <w:pPr>
              <w:spacing w:before="60" w:after="60"/>
              <w:jc w:val="both"/>
              <w:rPr>
                <w:rFonts w:ascii="Arial" w:hAnsi="Arial" w:cs="Arial"/>
                <w:color w:val="000080"/>
                <w:sz w:val="22"/>
                <w:szCs w:val="22"/>
              </w:rPr>
            </w:pPr>
            <w:r w:rsidRPr="003217DC">
              <w:rPr>
                <w:rFonts w:ascii="Arial" w:hAnsi="Arial"/>
                <w:color w:val="000080"/>
                <w:sz w:val="20"/>
                <w:szCs w:val="20"/>
              </w:rPr>
              <w:t>Generální ředitelství pro komunikační sítě, obsah a technologie / oddělení H2 pro politiku kybernetické bezpečnosti a digitálního soukromí</w:t>
            </w:r>
          </w:p>
        </w:tc>
      </w:tr>
      <w:tr>
        <w:tblPrEx>
          <w:tblW w:w="10314" w:type="dxa"/>
          <w:tblLayout w:type="fixed"/>
          <w:tblCellMar>
            <w:left w:w="0" w:type="dxa"/>
            <w:right w:w="0" w:type="dxa"/>
          </w:tblCellMar>
          <w:tblLook w:val="01E0"/>
        </w:tblPrEx>
        <w:tc>
          <w:tcPr>
            <w:tcW w:w="2807" w:type="dxa"/>
            <w:tcBorders>
              <w:bottom w:val="single" w:sz="4" w:space="0" w:color="auto"/>
              <w:right w:val="single" w:sz="4" w:space="0" w:color="auto"/>
            </w:tcBorders>
            <w:shd w:val="clear" w:color="000000" w:fill="E6E6E6"/>
            <w:tcMar>
              <w:left w:w="108" w:type="dxa"/>
              <w:right w:w="108" w:type="dxa"/>
            </w:tcMar>
          </w:tcPr>
          <w:p w:rsidR="00EC02E9" w:rsidRPr="003217DC">
            <w:pPr>
              <w:spacing w:before="60" w:after="60"/>
              <w:jc w:val="both"/>
              <w:rPr>
                <w:rFonts w:ascii="Arial" w:hAnsi="Arial" w:cs="Arial"/>
                <w:b/>
                <w:smallCaps/>
                <w:sz w:val="20"/>
                <w:szCs w:val="20"/>
              </w:rPr>
            </w:pPr>
            <w:r w:rsidRPr="003217DC">
              <w:rPr>
                <w:rFonts w:ascii="Arial" w:hAnsi="Arial"/>
                <w:b/>
                <w:smallCaps/>
                <w:sz w:val="20"/>
                <w:szCs w:val="20"/>
              </w:rPr>
              <w:t>Pravděpodobný druh iniciativy</w:t>
            </w:r>
          </w:p>
        </w:tc>
        <w:tc>
          <w:tcPr>
            <w:tcW w:w="7507"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tcPr>
          <w:p w:rsidR="00EC02E9" w:rsidRPr="003217DC">
            <w:pPr>
              <w:spacing w:before="60" w:after="60"/>
              <w:jc w:val="both"/>
              <w:rPr>
                <w:rFonts w:ascii="Arial" w:hAnsi="Arial" w:cs="Arial"/>
                <w:color w:val="000080"/>
                <w:sz w:val="20"/>
                <w:szCs w:val="20"/>
              </w:rPr>
            </w:pPr>
            <w:r w:rsidRPr="003217DC">
              <w:rPr>
                <w:rFonts w:ascii="Arial" w:hAnsi="Arial"/>
                <w:color w:val="000080"/>
                <w:sz w:val="20"/>
                <w:szCs w:val="20"/>
              </w:rPr>
              <w:t>Nařízení o horizontálních požadavcích na kybernetickou bezpečnost digitálních produktů a doplňkových služeb</w:t>
            </w:r>
          </w:p>
        </w:tc>
      </w:tr>
      <w:tr>
        <w:tblPrEx>
          <w:tblW w:w="10314" w:type="dxa"/>
          <w:tblLayout w:type="fixed"/>
          <w:tblCellMar>
            <w:left w:w="0" w:type="dxa"/>
            <w:right w:w="0" w:type="dxa"/>
          </w:tblCellMar>
          <w:tblLook w:val="01E0"/>
        </w:tblPrEx>
        <w:tc>
          <w:tcPr>
            <w:tcW w:w="2807" w:type="dxa"/>
            <w:tcBorders>
              <w:bottom w:val="single" w:sz="4" w:space="0" w:color="auto"/>
              <w:right w:val="single" w:sz="4" w:space="0" w:color="auto"/>
            </w:tcBorders>
            <w:shd w:val="clear" w:color="000000" w:fill="E6E6E6"/>
            <w:tcMar>
              <w:left w:w="108" w:type="dxa"/>
              <w:right w:w="108" w:type="dxa"/>
            </w:tcMar>
          </w:tcPr>
          <w:p w:rsidR="00EC02E9" w:rsidRPr="003217DC">
            <w:pPr>
              <w:spacing w:before="60" w:after="60"/>
              <w:jc w:val="both"/>
              <w:rPr>
                <w:rFonts w:ascii="Arial" w:hAnsi="Arial" w:cs="Arial"/>
                <w:b/>
                <w:smallCaps/>
                <w:sz w:val="20"/>
                <w:szCs w:val="20"/>
              </w:rPr>
            </w:pPr>
            <w:r w:rsidRPr="003217DC">
              <w:rPr>
                <w:rFonts w:ascii="Arial" w:hAnsi="Arial"/>
                <w:b/>
                <w:smallCaps/>
                <w:sz w:val="20"/>
                <w:szCs w:val="20"/>
              </w:rPr>
              <w:t>Předběžný harmonogram</w:t>
            </w:r>
          </w:p>
        </w:tc>
        <w:tc>
          <w:tcPr>
            <w:tcW w:w="7507"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tcPr>
          <w:p w:rsidR="00EC02E9" w:rsidRPr="003217DC">
            <w:pPr>
              <w:spacing w:before="60" w:after="60"/>
              <w:jc w:val="both"/>
              <w:rPr>
                <w:rFonts w:ascii="Arial" w:hAnsi="Arial" w:cs="Arial"/>
                <w:color w:val="000080"/>
                <w:sz w:val="20"/>
                <w:szCs w:val="20"/>
              </w:rPr>
            </w:pPr>
            <w:r w:rsidRPr="003217DC">
              <w:rPr>
                <w:rFonts w:ascii="Arial" w:hAnsi="Arial"/>
                <w:color w:val="000080"/>
                <w:sz w:val="20"/>
                <w:szCs w:val="20"/>
              </w:rPr>
              <w:t>3. čtvrtletí 2022</w:t>
            </w:r>
          </w:p>
        </w:tc>
      </w:tr>
      <w:tr>
        <w:tblPrEx>
          <w:tblW w:w="10314" w:type="dxa"/>
          <w:tblLayout w:type="fixed"/>
          <w:tblCellMar>
            <w:left w:w="0" w:type="dxa"/>
            <w:right w:w="0" w:type="dxa"/>
          </w:tblCellMar>
          <w:tblLook w:val="01E0"/>
        </w:tblPrEx>
        <w:tc>
          <w:tcPr>
            <w:tcW w:w="2807" w:type="dxa"/>
            <w:tcBorders>
              <w:bottom w:val="single" w:sz="4" w:space="0" w:color="auto"/>
              <w:right w:val="single" w:sz="4" w:space="0" w:color="auto"/>
            </w:tcBorders>
            <w:shd w:val="clear" w:color="000000" w:fill="E6E6E6"/>
            <w:tcMar>
              <w:left w:w="108" w:type="dxa"/>
              <w:right w:w="108" w:type="dxa"/>
            </w:tcMar>
          </w:tcPr>
          <w:p w:rsidR="00EC02E9" w:rsidRPr="003217DC">
            <w:pPr>
              <w:spacing w:before="60" w:after="60"/>
              <w:jc w:val="both"/>
              <w:rPr>
                <w:rFonts w:ascii="Arial" w:hAnsi="Arial" w:cs="Arial"/>
                <w:b/>
                <w:smallCaps/>
                <w:sz w:val="20"/>
                <w:szCs w:val="20"/>
              </w:rPr>
            </w:pPr>
            <w:r w:rsidRPr="003217DC">
              <w:rPr>
                <w:rFonts w:ascii="Arial" w:hAnsi="Arial"/>
                <w:b/>
                <w:smallCaps/>
                <w:sz w:val="20"/>
                <w:szCs w:val="20"/>
              </w:rPr>
              <w:t>Další informace</w:t>
            </w:r>
          </w:p>
        </w:tc>
        <w:tc>
          <w:tcPr>
            <w:tcW w:w="7507" w:type="dxa"/>
            <w:tcBorders>
              <w:top w:val="single" w:sz="4" w:space="0" w:color="auto"/>
              <w:left w:val="single" w:sz="4" w:space="0" w:color="auto"/>
              <w:bottom w:val="single" w:sz="4" w:space="0" w:color="auto"/>
              <w:right w:val="single" w:sz="4" w:space="0" w:color="auto"/>
            </w:tcBorders>
            <w:shd w:val="clear" w:color="000000" w:fill="auto"/>
            <w:tcMar>
              <w:left w:w="108" w:type="dxa"/>
              <w:right w:w="108" w:type="dxa"/>
            </w:tcMar>
          </w:tcPr>
          <w:p w:rsidR="00EC02E9" w:rsidRPr="003217DC">
            <w:pPr>
              <w:spacing w:before="60" w:after="60"/>
              <w:jc w:val="both"/>
              <w:rPr>
                <w:rFonts w:ascii="Arial" w:hAnsi="Arial" w:cs="Arial"/>
                <w:color w:val="000080"/>
                <w:sz w:val="20"/>
                <w:szCs w:val="20"/>
              </w:rPr>
            </w:pPr>
            <w:r w:rsidRPr="003217DC">
              <w:rPr>
                <w:rFonts w:ascii="Arial" w:hAnsi="Arial"/>
                <w:color w:val="000080"/>
                <w:sz w:val="20"/>
                <w:szCs w:val="20"/>
              </w:rPr>
              <w:t>–</w:t>
            </w:r>
          </w:p>
        </w:tc>
      </w:tr>
      <w:tr>
        <w:tblPrEx>
          <w:tblW w:w="10314" w:type="dxa"/>
          <w:tblLayout w:type="fixed"/>
          <w:tblCellMar>
            <w:left w:w="0" w:type="dxa"/>
            <w:right w:w="0" w:type="dxa"/>
          </w:tblCellMar>
          <w:tblLook w:val="01E0"/>
        </w:tblPrEx>
        <w:tc>
          <w:tcPr>
            <w:tcW w:w="10314" w:type="dxa"/>
            <w:gridSpan w:val="2"/>
            <w:tcBorders>
              <w:bottom w:val="single" w:sz="4" w:space="0" w:color="auto"/>
              <w:right w:val="single" w:sz="4" w:space="0" w:color="auto"/>
            </w:tcBorders>
            <w:shd w:val="clear" w:color="000000" w:fill="E6E6E6"/>
            <w:tcMar>
              <w:left w:w="108" w:type="dxa"/>
              <w:right w:w="108" w:type="dxa"/>
            </w:tcMar>
          </w:tcPr>
          <w:p w:rsidR="00EC02E9" w:rsidRPr="003217DC">
            <w:pPr>
              <w:spacing w:before="60" w:after="60"/>
              <w:jc w:val="both"/>
              <w:rPr>
                <w:rFonts w:ascii="Arial" w:hAnsi="Arial" w:cs="Arial"/>
                <w:b/>
                <w:color w:val="FF0000"/>
                <w:sz w:val="18"/>
                <w:szCs w:val="18"/>
              </w:rPr>
            </w:pPr>
            <w:r w:rsidRPr="003217DC">
              <w:rPr>
                <w:rFonts w:ascii="Arial" w:hAnsi="Arial"/>
                <w:i/>
                <w:color w:val="FF0000"/>
                <w:sz w:val="18"/>
                <w:szCs w:val="18"/>
              </w:rPr>
              <w:t>Tento dokument slouží pouze k informačním účelům. Nepředjímá konečné rozhodnutí Komise o tom, zda tato iniciativa bude pokračovat, ani o jejím konečném obsahu. Všechny prvky iniciativy popsané v tomto dokumentu, včetně harmonogramu, se mohou změnit.</w:t>
            </w:r>
          </w:p>
        </w:tc>
      </w:tr>
    </w:tbl>
    <w:p w:rsidR="00EC02E9" w:rsidRPr="003217DC">
      <w:pPr>
        <w:sectPr>
          <w:footerReference w:type="even" r:id="rId11"/>
          <w:footerReference w:type="default" r:id="rId12"/>
          <w:headerReference w:type="first" r:id="rId13"/>
          <w:pgSz w:w="11906" w:h="16838" w:code="9"/>
          <w:pgMar w:top="851" w:right="567" w:bottom="851" w:left="1134" w:header="709" w:footer="709" w:gutter="0"/>
          <w:cols w:space="720"/>
          <w:titlePg/>
          <w:docGrid w:linePitch="360"/>
        </w:sectPr>
      </w:pPr>
    </w:p>
    <w:p w:rsidR="00EC02E9" w:rsidRPr="003217DC"/>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14"/>
      </w:tblGrid>
      <w:tr w:rsidTr="0027611F">
        <w:tblPrEx>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c>
          <w:tcPr>
            <w:tcW w:w="10314" w:type="dxa"/>
            <w:tcBorders>
              <w:bottom w:val="single" w:sz="4" w:space="0" w:color="auto"/>
            </w:tcBorders>
            <w:shd w:val="clear" w:color="000000" w:fill="0000FF"/>
            <w:tcMar>
              <w:left w:w="108" w:type="dxa"/>
              <w:right w:w="108" w:type="dxa"/>
            </w:tcMar>
          </w:tcPr>
          <w:p w:rsidR="00EC02E9" w:rsidRPr="003217DC">
            <w:pPr>
              <w:spacing w:before="60" w:after="60"/>
              <w:jc w:val="center"/>
              <w:rPr>
                <w:rFonts w:ascii="Arial" w:hAnsi="Arial" w:cs="Arial"/>
                <w:b/>
                <w:sz w:val="22"/>
                <w:szCs w:val="22"/>
              </w:rPr>
            </w:pPr>
            <w:r w:rsidRPr="003217DC">
              <w:rPr>
                <w:rFonts w:ascii="Arial" w:hAnsi="Arial"/>
                <w:b/>
                <w:sz w:val="22"/>
                <w:szCs w:val="22"/>
              </w:rPr>
              <w:t xml:space="preserve">A. Politické souvislosti, vymezení problému a kontrola subsidiarity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E6E6E6"/>
            <w:tcMar>
              <w:left w:w="108" w:type="dxa"/>
              <w:right w:w="108" w:type="dxa"/>
            </w:tcMar>
          </w:tcPr>
          <w:p w:rsidR="00EC02E9" w:rsidRPr="003217DC" w:rsidP="00E84AD3">
            <w:pPr>
              <w:spacing w:before="60" w:after="60"/>
              <w:jc w:val="both"/>
              <w:rPr>
                <w:rFonts w:ascii="Arial" w:hAnsi="Arial" w:cs="Arial"/>
                <w:b/>
                <w:sz w:val="20"/>
                <w:szCs w:val="20"/>
              </w:rPr>
            </w:pPr>
            <w:r w:rsidRPr="003217DC">
              <w:rPr>
                <w:rFonts w:ascii="Arial" w:hAnsi="Arial"/>
                <w:b/>
                <w:sz w:val="20"/>
                <w:szCs w:val="20"/>
              </w:rPr>
              <w:t xml:space="preserve">Politické souvislosti  </w:t>
            </w:r>
            <w:bookmarkStart w:id="0" w:name="_GoBack"/>
            <w:bookmarkEnd w:id="0"/>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auto"/>
            <w:tcMar>
              <w:left w:w="108" w:type="dxa"/>
              <w:right w:w="108" w:type="dxa"/>
            </w:tcMar>
          </w:tcPr>
          <w:p w:rsidR="00873FEE" w:rsidRPr="003217DC" w:rsidP="000D0FEE">
            <w:pPr>
              <w:tabs>
                <w:tab w:val="left" w:pos="851"/>
              </w:tabs>
              <w:spacing w:before="60" w:after="60"/>
              <w:jc w:val="both"/>
              <w:rPr>
                <w:rFonts w:ascii="Arial" w:hAnsi="Arial" w:cs="Arial"/>
                <w:color w:val="1036A0"/>
                <w:sz w:val="20"/>
                <w:szCs w:val="20"/>
              </w:rPr>
            </w:pPr>
            <w:r w:rsidRPr="003217DC">
              <w:rPr>
                <w:rFonts w:ascii="Arial" w:hAnsi="Arial"/>
                <w:color w:val="1036A0"/>
                <w:sz w:val="20"/>
                <w:szCs w:val="20"/>
              </w:rPr>
              <w:t xml:space="preserve">Předsedkyně von der Leyenová ve svém projevu o stavu Unie 2021 zdůraznila, že EU by měla usilovat o to, aby se stala lídrem v oblasti kybernetické bezpečnosti, a v této souvislosti oznámila nový evropský akt o kybernetické odolnosti. Tento akt by především doplnil stávající základní rámec kybernetické bezpečnosti, který tvoří </w:t>
            </w:r>
            <w:r>
              <w:fldChar w:fldCharType="begin"/>
            </w:r>
            <w:r>
              <w:instrText xml:space="preserve"> HYPERLINK "https://eur-lex.europa.eu/legal-content/cs/TXT/?uri=celex:32016L1148" </w:instrText>
            </w:r>
            <w:r>
              <w:fldChar w:fldCharType="separate"/>
            </w:r>
            <w:r w:rsidRPr="003217DC">
              <w:rPr>
                <w:rStyle w:val="Hyperlink"/>
                <w:rFonts w:ascii="Arial" w:hAnsi="Arial"/>
                <w:sz w:val="20"/>
                <w:szCs w:val="20"/>
              </w:rPr>
              <w:t>směrnice o bezpečnosti sítí a informačních systémů</w:t>
            </w:r>
            <w:r>
              <w:fldChar w:fldCharType="end"/>
            </w:r>
            <w:r>
              <w:rPr>
                <w:rStyle w:val="FootnoteReference"/>
                <w:rFonts w:ascii="Arial" w:hAnsi="Arial" w:cs="Arial"/>
                <w:color w:val="1036A0"/>
                <w:sz w:val="20"/>
                <w:szCs w:val="20"/>
              </w:rPr>
              <w:footnoteReference w:id="3"/>
            </w:r>
            <w:r w:rsidRPr="003217DC">
              <w:rPr>
                <w:rFonts w:ascii="Arial" w:hAnsi="Arial"/>
                <w:color w:val="1036A0"/>
                <w:sz w:val="20"/>
                <w:szCs w:val="20"/>
              </w:rPr>
              <w:t xml:space="preserve"> a </w:t>
            </w:r>
            <w:r>
              <w:fldChar w:fldCharType="begin"/>
            </w:r>
            <w:r>
              <w:instrText xml:space="preserve"> HYPERLINK "https://eur-lex.europa.eu/legal-content/cs/ALL/?uri=CELEX:32019R0881" </w:instrText>
            </w:r>
            <w:r>
              <w:fldChar w:fldCharType="separate"/>
            </w:r>
            <w:r w:rsidRPr="003217DC">
              <w:rPr>
                <w:rStyle w:val="Hyperlink"/>
                <w:rFonts w:ascii="Arial" w:hAnsi="Arial"/>
                <w:sz w:val="20"/>
                <w:szCs w:val="20"/>
              </w:rPr>
              <w:t>akt o kybernetické bezpečnosti</w:t>
            </w:r>
            <w:r>
              <w:fldChar w:fldCharType="end"/>
            </w:r>
            <w:r w:rsidRPr="003217DC">
              <w:t>.</w:t>
            </w:r>
            <w:r w:rsidRPr="003217DC">
              <w:rPr>
                <w:rFonts w:ascii="Arial" w:hAnsi="Arial"/>
                <w:color w:val="1036A0"/>
                <w:sz w:val="20"/>
                <w:szCs w:val="20"/>
              </w:rPr>
              <w:t xml:space="preserve"> V souvislosti s rostoucím počtem závažných kybernetických útoků s celosvětovou stopou byly roční náklady na kybernetickou kriminalitu pro světovou ekonomiku v roce 2020 odhadnuty na 5,5 bilionu EUR, což je dvojnásobek oproti roku 2015</w:t>
            </w:r>
            <w:r>
              <w:rPr>
                <w:rStyle w:val="FootnoteReference"/>
                <w:rFonts w:ascii="Arial" w:hAnsi="Arial" w:cs="Arial"/>
                <w:color w:val="1036A0"/>
                <w:sz w:val="20"/>
                <w:szCs w:val="20"/>
              </w:rPr>
              <w:footnoteReference w:id="4"/>
            </w:r>
            <w:r w:rsidRPr="003217DC">
              <w:rPr>
                <w:rFonts w:ascii="Arial" w:hAnsi="Arial"/>
                <w:color w:val="1036A0"/>
                <w:sz w:val="20"/>
                <w:szCs w:val="20"/>
              </w:rPr>
              <w:t xml:space="preserve">. </w:t>
            </w:r>
          </w:p>
          <w:p w:rsidR="00E74275" w:rsidRPr="003217DC" w:rsidP="00C741EE">
            <w:pPr>
              <w:tabs>
                <w:tab w:val="left" w:pos="851"/>
              </w:tabs>
              <w:spacing w:before="60" w:after="60"/>
              <w:jc w:val="both"/>
              <w:rPr>
                <w:rFonts w:ascii="Arial" w:hAnsi="Arial" w:cs="Arial"/>
                <w:color w:val="1036A0"/>
                <w:sz w:val="20"/>
                <w:szCs w:val="20"/>
              </w:rPr>
            </w:pPr>
            <w:r w:rsidRPr="003217DC">
              <w:rPr>
                <w:rFonts w:ascii="Arial" w:hAnsi="Arial"/>
                <w:color w:val="1036A0"/>
                <w:sz w:val="20"/>
                <w:szCs w:val="20"/>
              </w:rPr>
              <w:t xml:space="preserve">Strategie kybernetické bezpečnosti EU pro digitální dekádu v roce 2020 oznámila zavedení „nových horizontálních pravidel“ pro produkty připojené k internetu a související služby uváděné na vnitřní trh. Akt o kybernetické odolnosti by doplnil </w:t>
            </w:r>
            <w:r>
              <w:fldChar w:fldCharType="begin"/>
            </w:r>
            <w:r>
              <w:instrText xml:space="preserve"> HYPERLINK "https://ec.europa.eu/growth/news/commission-strengthens-cybersecurity-wireless-devices-and-products-2021-10-29_en" </w:instrText>
            </w:r>
            <w:r>
              <w:fldChar w:fldCharType="separate"/>
            </w:r>
            <w:r w:rsidRPr="003217DC">
              <w:rPr>
                <w:rStyle w:val="Hyperlink"/>
                <w:rFonts w:ascii="Arial" w:hAnsi="Arial"/>
                <w:color w:val="1036A0"/>
                <w:sz w:val="20"/>
                <w:szCs w:val="20"/>
              </w:rPr>
              <w:t>nařízení v přenesené pravomoci ze dne 29. října 2021</w:t>
            </w:r>
            <w:r w:rsidRPr="003217DC">
              <w:rPr>
                <w:rStyle w:val="Hyperlink"/>
                <w:rFonts w:ascii="Arial" w:hAnsi="Arial"/>
                <w:color w:val="1036A0"/>
                <w:sz w:val="20"/>
                <w:szCs w:val="20"/>
                <w:u w:val="none"/>
              </w:rPr>
              <w:t xml:space="preserve"> přijaté na základě směrnice o rádiových zařízeních</w:t>
            </w:r>
            <w:r>
              <w:fldChar w:fldCharType="end"/>
            </w:r>
            <w:r w:rsidRPr="003217DC">
              <w:rPr>
                <w:rFonts w:ascii="Arial" w:hAnsi="Arial"/>
                <w:color w:val="1036A0"/>
                <w:sz w:val="20"/>
                <w:szCs w:val="20"/>
              </w:rPr>
              <w:t xml:space="preserve"> tím, že by stanovil zjednodušené požadavky na kybernetickou bezpečnost vztahující se na širokou škálu digitálních produktů</w:t>
            </w:r>
            <w:r>
              <w:rPr>
                <w:rStyle w:val="FootnoteReference"/>
                <w:rFonts w:ascii="Arial" w:hAnsi="Arial" w:cs="Arial"/>
                <w:color w:val="1036A0"/>
                <w:sz w:val="20"/>
                <w:szCs w:val="20"/>
              </w:rPr>
              <w:footnoteReference w:id="5"/>
            </w:r>
            <w:r w:rsidRPr="003217DC">
              <w:rPr>
                <w:rFonts w:ascii="Arial" w:hAnsi="Arial"/>
                <w:color w:val="1036A0"/>
                <w:sz w:val="20"/>
                <w:szCs w:val="20"/>
              </w:rPr>
              <w:t xml:space="preserve"> a jejich doplňkových služeb</w:t>
            </w:r>
            <w:r>
              <w:rPr>
                <w:rStyle w:val="FootnoteReference"/>
                <w:rFonts w:ascii="Arial" w:hAnsi="Arial" w:cs="Arial"/>
                <w:color w:val="1036A0"/>
                <w:sz w:val="20"/>
                <w:szCs w:val="20"/>
              </w:rPr>
              <w:footnoteReference w:id="6"/>
            </w:r>
            <w:r w:rsidRPr="003217DC">
              <w:rPr>
                <w:rFonts w:ascii="Arial" w:hAnsi="Arial"/>
                <w:color w:val="1036A0"/>
                <w:sz w:val="20"/>
                <w:szCs w:val="20"/>
              </w:rPr>
              <w:t>. Požadavky by se týkaly hmotných digitálních produktů (bezdrátových i kabelových)</w:t>
            </w:r>
            <w:r>
              <w:rPr>
                <w:rStyle w:val="FootnoteReference"/>
                <w:rFonts w:ascii="Arial" w:hAnsi="Arial" w:cs="Arial"/>
                <w:color w:val="1036A0"/>
                <w:sz w:val="20"/>
                <w:szCs w:val="20"/>
              </w:rPr>
              <w:footnoteReference w:id="7"/>
            </w:r>
            <w:r w:rsidRPr="003217DC">
              <w:rPr>
                <w:rFonts w:ascii="Arial" w:hAnsi="Arial"/>
                <w:color w:val="1036A0"/>
                <w:sz w:val="20"/>
                <w:szCs w:val="20"/>
              </w:rPr>
              <w:t xml:space="preserve"> a nevestavěného softwaru</w:t>
            </w:r>
            <w:r>
              <w:rPr>
                <w:rStyle w:val="FootnoteReference"/>
                <w:rFonts w:ascii="Arial" w:hAnsi="Arial" w:cs="Arial"/>
                <w:color w:val="1036A0"/>
                <w:sz w:val="20"/>
                <w:szCs w:val="20"/>
              </w:rPr>
              <w:footnoteReference w:id="8"/>
            </w:r>
            <w:r w:rsidRPr="003217DC">
              <w:rPr>
                <w:rFonts w:ascii="Arial" w:hAnsi="Arial"/>
                <w:color w:val="1036A0"/>
                <w:sz w:val="20"/>
                <w:szCs w:val="20"/>
              </w:rPr>
              <w:t xml:space="preserve"> v průběhu celého jejich životního cyklu.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E6E6E6"/>
            <w:tcMar>
              <w:left w:w="108" w:type="dxa"/>
              <w:right w:w="108" w:type="dxa"/>
            </w:tcMar>
          </w:tcPr>
          <w:p w:rsidR="00EC02E9" w:rsidRPr="003217DC" w:rsidP="00E84AD3">
            <w:pPr>
              <w:spacing w:before="60" w:after="60"/>
              <w:jc w:val="both"/>
              <w:rPr>
                <w:rFonts w:ascii="Arial" w:hAnsi="Arial" w:cs="Arial"/>
                <w:b/>
                <w:sz w:val="20"/>
                <w:szCs w:val="20"/>
              </w:rPr>
            </w:pPr>
            <w:r w:rsidRPr="003217DC">
              <w:rPr>
                <w:rFonts w:ascii="Arial" w:hAnsi="Arial"/>
                <w:b/>
                <w:sz w:val="20"/>
                <w:szCs w:val="20"/>
              </w:rPr>
              <w:t xml:space="preserve">Problém, který má iniciativa řešit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auto"/>
            <w:tcMar>
              <w:left w:w="108" w:type="dxa"/>
              <w:right w:w="108" w:type="dxa"/>
            </w:tcMar>
          </w:tcPr>
          <w:p w:rsidR="00EC02E9" w:rsidRPr="003217DC">
            <w:pPr>
              <w:spacing w:before="60" w:after="60"/>
              <w:jc w:val="both"/>
              <w:rPr>
                <w:rFonts w:ascii="Arial" w:hAnsi="Arial" w:cs="Arial"/>
                <w:color w:val="1036A0"/>
                <w:sz w:val="20"/>
                <w:szCs w:val="20"/>
              </w:rPr>
            </w:pPr>
            <w:r w:rsidRPr="003217DC">
              <w:rPr>
                <w:rFonts w:ascii="Arial" w:hAnsi="Arial"/>
                <w:color w:val="1036A0"/>
                <w:sz w:val="20"/>
                <w:szCs w:val="20"/>
              </w:rPr>
              <w:t xml:space="preserve">V propojeném prostředí může kybernetický bezpečnostní incident u jednoho produktu ovlivnit celou organizaci nebo celý dodavatelský řetězec. To může vést k vážnému narušení hospodářských a sociálních činností nebo </w:t>
            </w:r>
            <w:r w:rsidRPr="003217DC">
              <w:rPr>
                <w:rFonts w:ascii="Arial" w:hAnsi="Arial"/>
                <w:color w:val="1036A0"/>
                <w:sz w:val="20"/>
                <w:szCs w:val="20"/>
              </w:rPr>
              <w:t>dokonce ohrozit životy. Jedním z hlavních důvodů úspěšnosti útoků je nedostatečné zabezpečení digitálních produktů a doplňkových služeb.</w:t>
            </w:r>
          </w:p>
          <w:p w:rsidR="00054725" w:rsidRPr="003217DC" w:rsidP="00054725">
            <w:pPr>
              <w:spacing w:before="60" w:after="60"/>
              <w:jc w:val="both"/>
              <w:rPr>
                <w:rFonts w:ascii="Arial" w:hAnsi="Arial" w:cs="Arial"/>
                <w:color w:val="1036A0"/>
                <w:sz w:val="20"/>
                <w:szCs w:val="20"/>
              </w:rPr>
            </w:pPr>
            <w:r w:rsidRPr="003217DC">
              <w:rPr>
                <w:rFonts w:ascii="Arial" w:hAnsi="Arial"/>
                <w:color w:val="1036A0"/>
                <w:sz w:val="20"/>
                <w:szCs w:val="20"/>
              </w:rPr>
              <w:t>Při uvádění digitálních produktů nebo služeb na trh prodejci (např. výrobci hardwaru, vývojáři softwaru, distributoři a dovozci) často nezavádějí odpovídající záruky v oblasti kybernetické bezpečnosti. Důvody mohou být následující: i) snaha těžit z toho, že produkt nebo službu uvedou na trh jako první, a to v důsledku síťových efektů</w:t>
            </w:r>
            <w:r>
              <w:rPr>
                <w:rStyle w:val="FootnoteReference"/>
                <w:rFonts w:ascii="Arial" w:hAnsi="Arial" w:cs="Arial"/>
                <w:color w:val="1036A0"/>
                <w:sz w:val="20"/>
                <w:szCs w:val="20"/>
              </w:rPr>
              <w:footnoteReference w:id="9"/>
            </w:r>
            <w:r w:rsidRPr="003217DC">
              <w:rPr>
                <w:rFonts w:ascii="Arial" w:hAnsi="Arial"/>
                <w:color w:val="1036A0"/>
                <w:sz w:val="20"/>
                <w:szCs w:val="20"/>
              </w:rPr>
              <w:t>, které jsou na trzích informačních a komunikačních technologií přítomny; ii) nedostatek kvalifikovaných odborníků v oblasti bezpečnosti a iii) dodatečné náklady v kombinaci s nedostatkem ekonomických pobídek. Stejně tak je reakce prodejců na zranitelná místa v průběhu životního cyklu jejich produktů příliš často nedostatečná.</w:t>
            </w:r>
            <w:r w:rsidRPr="003217DC">
              <w:t xml:space="preserve"> </w:t>
            </w:r>
            <w:r w:rsidRPr="003217DC">
              <w:rPr>
                <w:rFonts w:ascii="Arial" w:hAnsi="Arial"/>
                <w:color w:val="1036A0"/>
                <w:sz w:val="20"/>
                <w:szCs w:val="20"/>
              </w:rPr>
              <w:t xml:space="preserve">Prodejci navíc (kvůli nedostatku ekonomických pobídek) systematicky neposkytují informace o bezpečnosti produktu, což spotřebitelům ztěžuje přístup k informacím a posouzení bezpečnosti produktů a služeb, které používají. </w:t>
            </w:r>
          </w:p>
          <w:p w:rsidR="00054725" w:rsidRPr="003217DC" w:rsidP="00054725">
            <w:pPr>
              <w:spacing w:before="60" w:after="60"/>
              <w:jc w:val="both"/>
              <w:rPr>
                <w:rFonts w:ascii="Arial" w:hAnsi="Arial" w:cs="Arial"/>
                <w:color w:val="1036A0"/>
                <w:sz w:val="20"/>
                <w:szCs w:val="20"/>
              </w:rPr>
            </w:pPr>
            <w:r w:rsidRPr="003217DC">
              <w:rPr>
                <w:rFonts w:ascii="Arial" w:hAnsi="Arial"/>
                <w:color w:val="1036A0"/>
                <w:sz w:val="20"/>
                <w:szCs w:val="20"/>
              </w:rPr>
              <w:t>Současný právní rámec EU platný pro digitální produkty zahrnuje několik právních předpisů, včetně právních předpisů EU o konkrétních produktech upravujících i bezpečnostní aspekty a obecných právních předpisů o odpovědnosti za výrobek. Pokrývá však jen některé aspekty spojené s kybernetickou bezpečností hmotných digitálních produktů, případně vestavěného softwaru</w:t>
            </w:r>
            <w:r>
              <w:rPr>
                <w:rStyle w:val="FootnoteReference"/>
                <w:rFonts w:ascii="Arial" w:hAnsi="Arial" w:cs="Arial"/>
                <w:color w:val="1036A0"/>
                <w:sz w:val="20"/>
                <w:szCs w:val="20"/>
              </w:rPr>
              <w:footnoteReference w:id="10"/>
            </w:r>
            <w:r w:rsidRPr="003217DC">
              <w:rPr>
                <w:rFonts w:ascii="Arial" w:hAnsi="Arial"/>
                <w:color w:val="1036A0"/>
                <w:sz w:val="20"/>
                <w:szCs w:val="20"/>
              </w:rPr>
              <w:t xml:space="preserve">. Regulační rámec EU pro produkty (např. směrnice o obecné bezpečnosti výrobků a směrnice o strojních zařízeních, které jsou v současné době přezkoumávány) nestanovuje zvláštní požadavky na kybernetickou bezpečnost, např. požadavky, které by pokrývaly celý životní cyklus produktu. V případě digitálních produktů a doplňkových služeb  mají požadavky na „celý životní cyklus“ zásadní význam, protože software je třeba pravidelně aktualizovat. </w:t>
            </w:r>
          </w:p>
          <w:p w:rsidR="00EC02E9" w:rsidRPr="003217DC" w:rsidP="00252C18">
            <w:pPr>
              <w:spacing w:before="60" w:after="60"/>
              <w:jc w:val="both"/>
              <w:rPr>
                <w:rFonts w:ascii="Arial" w:hAnsi="Arial" w:cs="Arial"/>
                <w:color w:val="1036A0"/>
                <w:sz w:val="20"/>
                <w:szCs w:val="20"/>
              </w:rPr>
            </w:pPr>
            <w:r w:rsidRPr="003217DC">
              <w:rPr>
                <w:rFonts w:ascii="Arial" w:hAnsi="Arial"/>
                <w:color w:val="1036A0"/>
                <w:sz w:val="20"/>
                <w:szCs w:val="20"/>
              </w:rPr>
              <w:t>Stávající rámec navíc nepokrývá všechny typy digitálních produktů. Především nepokrývá řadu široce používaného hardwaru (např. hardware, který nespadá do působnosti směrnice o rádiových zařízeních nebo nařízení o zdravotnických prostředcích). Kromě toho se současný rámec nezabývá softwarovými produkty, které nejsou vestavěné, ačkoli zranitelná místa</w:t>
            </w:r>
            <w:r>
              <w:rPr>
                <w:rStyle w:val="FootnoteReference"/>
                <w:rFonts w:ascii="Arial" w:hAnsi="Arial" w:cs="Arial"/>
                <w:color w:val="1036A0"/>
                <w:sz w:val="20"/>
                <w:szCs w:val="20"/>
              </w:rPr>
              <w:footnoteReference w:id="11"/>
            </w:r>
            <w:r w:rsidRPr="003217DC">
              <w:rPr>
                <w:rFonts w:ascii="Arial" w:hAnsi="Arial"/>
                <w:color w:val="1036A0"/>
                <w:sz w:val="20"/>
                <w:szCs w:val="20"/>
              </w:rPr>
              <w:t xml:space="preserve"> softwarových produktů stále častěji slouží jako kanál pro kybernetické bezpečnostní útoky, což má značné společenské a ekonomické náklady</w:t>
            </w:r>
            <w:r>
              <w:rPr>
                <w:rStyle w:val="FootnoteReference"/>
                <w:rFonts w:ascii="Arial" w:hAnsi="Arial" w:cs="Arial"/>
                <w:color w:val="1036A0"/>
                <w:sz w:val="20"/>
                <w:szCs w:val="20"/>
              </w:rPr>
              <w:footnoteReference w:id="12"/>
            </w:r>
            <w:r w:rsidRPr="003217DC">
              <w:rPr>
                <w:rFonts w:ascii="Arial" w:hAnsi="Arial"/>
                <w:color w:val="1036A0"/>
                <w:sz w:val="20"/>
                <w:szCs w:val="20"/>
              </w:rPr>
              <w:t xml:space="preserve">.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E6E6E6"/>
            <w:tcMar>
              <w:left w:w="108" w:type="dxa"/>
              <w:right w:w="108" w:type="dxa"/>
            </w:tcMar>
          </w:tcPr>
          <w:p w:rsidR="00EC02E9" w:rsidRPr="003217DC" w:rsidP="00E84AD3">
            <w:pPr>
              <w:spacing w:before="60" w:after="60"/>
              <w:jc w:val="both"/>
              <w:rPr>
                <w:rFonts w:ascii="Arial" w:hAnsi="Arial" w:cs="Arial"/>
                <w:b/>
                <w:sz w:val="20"/>
                <w:szCs w:val="20"/>
              </w:rPr>
            </w:pPr>
            <w:r w:rsidRPr="003217DC">
              <w:rPr>
                <w:rFonts w:ascii="Arial" w:hAnsi="Arial"/>
                <w:b/>
                <w:sz w:val="20"/>
                <w:szCs w:val="20"/>
              </w:rPr>
              <w:t xml:space="preserve">Základ pro opatření na úrovni EU (právní základ a kontrola subsidiarity) </w:t>
            </w:r>
          </w:p>
        </w:tc>
      </w:tr>
      <w:tr w:rsidTr="0027611F">
        <w:tblPrEx>
          <w:tblW w:w="10314" w:type="dxa"/>
          <w:tblLayout w:type="fixed"/>
          <w:tblCellMar>
            <w:left w:w="0" w:type="dxa"/>
            <w:right w:w="0" w:type="dxa"/>
          </w:tblCellMar>
          <w:tblLook w:val="01E0"/>
        </w:tblPrEx>
        <w:tc>
          <w:tcPr>
            <w:tcW w:w="10314" w:type="dxa"/>
            <w:shd w:val="clear" w:color="000000" w:fill="auto"/>
            <w:tcMar>
              <w:left w:w="108" w:type="dxa"/>
              <w:right w:w="108" w:type="dxa"/>
            </w:tcMar>
          </w:tcPr>
          <w:p w:rsidR="00EC02E9" w:rsidRPr="003217DC">
            <w:pPr>
              <w:spacing w:before="120" w:after="120"/>
              <w:jc w:val="both"/>
              <w:rPr>
                <w:rFonts w:ascii="Arial" w:hAnsi="Arial" w:cs="Arial"/>
                <w:color w:val="00B050"/>
                <w:sz w:val="20"/>
                <w:szCs w:val="20"/>
              </w:rPr>
            </w:pPr>
          </w:p>
        </w:tc>
      </w:tr>
      <w:tr w:rsidTr="0027611F">
        <w:tblPrEx>
          <w:tblW w:w="10314" w:type="dxa"/>
          <w:tblLayout w:type="fixed"/>
          <w:tblCellMar>
            <w:left w:w="0" w:type="dxa"/>
            <w:right w:w="0" w:type="dxa"/>
          </w:tblCellMar>
          <w:tblLook w:val="01E0"/>
        </w:tblPrEx>
        <w:tc>
          <w:tcPr>
            <w:tcW w:w="10314" w:type="dxa"/>
            <w:shd w:val="clear" w:color="000000" w:fill="D8D8D8" w:themeFill="background1" w:themeFillShade="D8"/>
            <w:tcMar>
              <w:left w:w="108" w:type="dxa"/>
              <w:right w:w="108" w:type="dxa"/>
            </w:tcMar>
          </w:tcPr>
          <w:p w:rsidR="00EC02E9" w:rsidRPr="003217DC">
            <w:pPr>
              <w:spacing w:before="120" w:after="120"/>
              <w:jc w:val="both"/>
              <w:rPr>
                <w:rFonts w:ascii="Arial" w:hAnsi="Arial" w:cs="Arial"/>
                <w:b/>
                <w:color w:val="000000" w:themeColor="text1"/>
              </w:rPr>
            </w:pPr>
            <w:r w:rsidRPr="003217DC">
              <w:rPr>
                <w:rFonts w:ascii="Arial" w:hAnsi="Arial"/>
                <w:b/>
                <w:color w:val="000000" w:themeColor="text1"/>
              </w:rPr>
              <w:t>Právní základ</w:t>
            </w:r>
          </w:p>
        </w:tc>
      </w:tr>
      <w:tr w:rsidTr="0027611F">
        <w:tblPrEx>
          <w:tblW w:w="10314" w:type="dxa"/>
          <w:tblLayout w:type="fixed"/>
          <w:tblCellMar>
            <w:left w:w="0" w:type="dxa"/>
            <w:right w:w="0" w:type="dxa"/>
          </w:tblCellMar>
          <w:tblLook w:val="01E0"/>
        </w:tblPrEx>
        <w:tc>
          <w:tcPr>
            <w:tcW w:w="10314" w:type="dxa"/>
            <w:shd w:val="clear" w:color="000000" w:fill="auto"/>
            <w:tcMar>
              <w:left w:w="108" w:type="dxa"/>
              <w:right w:w="108" w:type="dxa"/>
            </w:tcMar>
          </w:tcPr>
          <w:p w:rsidR="00EC02E9" w:rsidRPr="003217DC">
            <w:pPr>
              <w:spacing w:before="120" w:after="120"/>
              <w:jc w:val="both"/>
              <w:rPr>
                <w:rFonts w:ascii="Arial" w:hAnsi="Arial" w:cs="Arial"/>
                <w:color w:val="1036A0"/>
                <w:sz w:val="20"/>
                <w:szCs w:val="20"/>
              </w:rPr>
            </w:pPr>
            <w:r w:rsidRPr="003217DC">
              <w:rPr>
                <w:rFonts w:ascii="Arial" w:hAnsi="Arial"/>
                <w:color w:val="1036A0"/>
                <w:sz w:val="20"/>
                <w:szCs w:val="20"/>
              </w:rPr>
              <w:t>Tento zásah bude založen na článku 114 Smlouvy o fungování Evropské unie (SFEU), jehož cílem je vytvoření a fungování vnitřního trhu posílením opatření ke sbližování vnitrostátních předpisů.</w:t>
            </w:r>
          </w:p>
          <w:p w:rsidR="00D90156" w:rsidRPr="003217DC" w:rsidP="00796F53">
            <w:pPr>
              <w:spacing w:before="120" w:after="120"/>
              <w:jc w:val="both"/>
              <w:rPr>
                <w:rFonts w:ascii="Arial" w:hAnsi="Arial" w:cs="Arial"/>
                <w:color w:val="1036A0"/>
              </w:rPr>
            </w:pPr>
            <w:r w:rsidRPr="003217DC">
              <w:rPr>
                <w:rFonts w:ascii="Arial" w:hAnsi="Arial"/>
                <w:color w:val="1036A0"/>
                <w:sz w:val="20"/>
                <w:szCs w:val="20"/>
              </w:rPr>
              <w:t>Cílem tohoto zásahu by bylo zlepšit fungování vnitřního trhu: i) zefektivněním a doplněním stávajících pravidel a ii) předcházením další roztříštěnosti požadavků na kybernetickou bezpečnost digitálních produktů a doplňkových služeb na vnitřním trhu, a to jak na vnitrostátní úrovni, tak na úrovni EU. Vzhledem ke globální a přeshraniční povaze trhu s IKT a internetu je cílem zásahu rovněž snížit negativní přeshraniční dopady a následné náklady pro společnost, a tím zmírnit rizika spojená s nezabezpečenými produkty (např. incident v oblasti kybernetické bezpečnosti v jednom členském státě může zablokovat hospodářské nebo společenské činnosti v jiném členském státě; digitální produkty, jako jsou softwarové knihovny, jsou často opakovaně používány v několika různých digitálních produktech napříč odvětvími a hranicemi).</w:t>
            </w:r>
          </w:p>
        </w:tc>
      </w:tr>
      <w:tr w:rsidTr="0027611F">
        <w:tblPrEx>
          <w:tblW w:w="10314" w:type="dxa"/>
          <w:tblLayout w:type="fixed"/>
          <w:tblCellMar>
            <w:left w:w="0" w:type="dxa"/>
            <w:right w:w="0" w:type="dxa"/>
          </w:tblCellMar>
          <w:tblLook w:val="01E0"/>
        </w:tblPrEx>
        <w:tc>
          <w:tcPr>
            <w:tcW w:w="10314" w:type="dxa"/>
            <w:shd w:val="clear" w:color="000000" w:fill="D8D8D8" w:themeFill="background1" w:themeFillShade="D8"/>
            <w:tcMar>
              <w:left w:w="108" w:type="dxa"/>
              <w:right w:w="108" w:type="dxa"/>
            </w:tcMar>
          </w:tcPr>
          <w:p w:rsidR="00EC02E9" w:rsidRPr="003217DC">
            <w:pPr>
              <w:spacing w:before="120" w:after="120"/>
              <w:jc w:val="both"/>
              <w:rPr>
                <w:rFonts w:ascii="Arial" w:hAnsi="Arial" w:cs="Arial"/>
                <w:b/>
                <w:color w:val="000000" w:themeColor="text1"/>
              </w:rPr>
            </w:pPr>
            <w:r w:rsidRPr="003217DC">
              <w:rPr>
                <w:rFonts w:ascii="Arial" w:hAnsi="Arial"/>
                <w:b/>
                <w:color w:val="000000" w:themeColor="text1"/>
              </w:rPr>
              <w:t>Praktická potřeba opatření na úrovni EU</w:t>
            </w:r>
          </w:p>
        </w:tc>
      </w:tr>
      <w:tr w:rsidTr="0027611F">
        <w:tblPrEx>
          <w:tblW w:w="10314" w:type="dxa"/>
          <w:tblLayout w:type="fixed"/>
          <w:tblCellMar>
            <w:left w:w="0" w:type="dxa"/>
            <w:right w:w="0" w:type="dxa"/>
          </w:tblCellMar>
          <w:tblLook w:val="01E0"/>
        </w:tblPrEx>
        <w:tc>
          <w:tcPr>
            <w:tcW w:w="10314" w:type="dxa"/>
            <w:shd w:val="clear" w:color="000000" w:fill="auto"/>
            <w:tcMar>
              <w:left w:w="108" w:type="dxa"/>
              <w:right w:w="108" w:type="dxa"/>
            </w:tcMar>
          </w:tcPr>
          <w:p w:rsidR="00EC02E9" w:rsidRPr="003217DC">
            <w:pPr>
              <w:spacing w:before="60" w:after="60"/>
              <w:jc w:val="both"/>
              <w:rPr>
                <w:rFonts w:ascii="Arial" w:hAnsi="Arial" w:cs="Arial"/>
                <w:color w:val="1036A0"/>
                <w:sz w:val="20"/>
                <w:szCs w:val="20"/>
              </w:rPr>
            </w:pPr>
            <w:r w:rsidRPr="003217DC">
              <w:rPr>
                <w:rFonts w:ascii="Arial" w:hAnsi="Arial"/>
                <w:color w:val="1036A0"/>
                <w:sz w:val="20"/>
                <w:szCs w:val="20"/>
              </w:rPr>
              <w:t xml:space="preserve">V tomto případě je zásah EU v oblasti kybernetické bezpečnosti odůvodněný vzhledem k přeshraniční povaze rizik a negativnímu dopadu, který by roztříštěný přístup nebo přístup řízený výhradně členskými státy měl na vnitřní trh. Společný postup na úrovni EU by proto vedl k účinnější ochraně před riziky v oblasti kybernetické bezpečnosti, a přidal by tak hodnotu stávajícím nebo budoucím vnitrostátním politikám. Vedl by rovněž k vytvoření rovných podmínek pro prodejce digitálních produktů a doplňkových služeb. </w:t>
            </w:r>
          </w:p>
          <w:p w:rsidR="00EC02E9" w:rsidRPr="003217DC" w:rsidP="00F552B6">
            <w:pPr>
              <w:spacing w:before="60" w:after="60"/>
              <w:jc w:val="both"/>
              <w:rPr>
                <w:rFonts w:ascii="Arial" w:hAnsi="Arial" w:cs="Arial"/>
                <w:color w:val="1036A0"/>
                <w:sz w:val="20"/>
                <w:szCs w:val="20"/>
              </w:rPr>
            </w:pPr>
            <w:r w:rsidRPr="003217DC">
              <w:rPr>
                <w:rFonts w:ascii="Arial" w:hAnsi="Arial"/>
                <w:color w:val="1036A0"/>
                <w:sz w:val="20"/>
                <w:szCs w:val="20"/>
              </w:rPr>
              <w:t>Regulační opatření tohoto druhu na úrovni EU by zejména vytvořila vysokou úroveň důvěry mezi uživateli, což by zvýšilo atraktivitu digitálních produktů a doplňkových služeb EU. Prospělo by rovněž jednotnému (digitálnímu) trhu a vnitřnímu trhu obecně tím, že by prodejcům digitálních produktů a doplňkových služeb poskytlo právní jistotu.</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0000FF"/>
            <w:tcMar>
              <w:left w:w="108" w:type="dxa"/>
              <w:right w:w="108" w:type="dxa"/>
            </w:tcMar>
          </w:tcPr>
          <w:p w:rsidR="00EC02E9" w:rsidRPr="003217DC" w:rsidP="00E84AD3">
            <w:pPr>
              <w:spacing w:before="120" w:after="60"/>
              <w:jc w:val="both"/>
              <w:rPr>
                <w:rFonts w:ascii="Arial" w:hAnsi="Arial" w:cs="Arial"/>
                <w:b/>
                <w:sz w:val="22"/>
                <w:szCs w:val="22"/>
              </w:rPr>
            </w:pPr>
            <w:r w:rsidRPr="003217DC">
              <w:rPr>
                <w:rFonts w:ascii="Arial" w:hAnsi="Arial"/>
                <w:b/>
                <w:sz w:val="22"/>
                <w:szCs w:val="22"/>
              </w:rPr>
              <w:t xml:space="preserve">B. Cíle a zvažovaná opatření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auto"/>
            <w:tcMar>
              <w:left w:w="108" w:type="dxa"/>
              <w:right w:w="108" w:type="dxa"/>
            </w:tcMar>
          </w:tcPr>
          <w:p w:rsidR="00EC02E9" w:rsidRPr="003217DC">
            <w:pPr>
              <w:spacing w:before="120" w:after="120"/>
              <w:jc w:val="both"/>
              <w:rPr>
                <w:rFonts w:ascii="Arial" w:hAnsi="Arial" w:cs="Arial"/>
                <w:color w:val="1036A0"/>
                <w:sz w:val="20"/>
                <w:szCs w:val="20"/>
              </w:rPr>
            </w:pPr>
            <w:r w:rsidRPr="003217DC">
              <w:rPr>
                <w:rFonts w:ascii="Arial" w:hAnsi="Arial"/>
                <w:color w:val="1036A0"/>
                <w:sz w:val="20"/>
                <w:szCs w:val="20"/>
              </w:rPr>
              <w:t>Cíle iniciativy se dělí do tří hlavních kategorií.</w:t>
            </w:r>
          </w:p>
          <w:p w:rsidR="00EC02E9" w:rsidRPr="003217DC" w:rsidP="00654F37">
            <w:pPr>
              <w:pStyle w:val="ListParagraph"/>
              <w:numPr>
                <w:ilvl w:val="0"/>
                <w:numId w:val="38"/>
              </w:numPr>
              <w:spacing w:before="120" w:after="120"/>
              <w:jc w:val="both"/>
              <w:rPr>
                <w:rFonts w:ascii="Arial" w:hAnsi="Arial" w:cs="Arial"/>
                <w:color w:val="1036A0"/>
                <w:sz w:val="20"/>
                <w:szCs w:val="20"/>
              </w:rPr>
            </w:pPr>
            <w:r w:rsidRPr="003217DC">
              <w:rPr>
                <w:rFonts w:ascii="Arial" w:hAnsi="Arial"/>
                <w:color w:val="1036A0"/>
                <w:sz w:val="20"/>
                <w:szCs w:val="20"/>
              </w:rPr>
              <w:t>Zaprvé zvýšit a zajistit trvale vysokou úroveň kybernetické bezpečnosti digitálních produktů a doplňkových služeb. Konkrétněji řečeno, široká škála těchto produktů a souvisejících služeb by byla zabezpečena úměrně rizikům po celou dobu jejich životního cyklu.</w:t>
            </w:r>
          </w:p>
          <w:p w:rsidR="00790D34" w:rsidRPr="003217DC" w:rsidP="00654F37">
            <w:pPr>
              <w:pStyle w:val="ListParagraph"/>
              <w:numPr>
                <w:ilvl w:val="0"/>
                <w:numId w:val="38"/>
              </w:numPr>
              <w:spacing w:before="120" w:after="120"/>
              <w:jc w:val="both"/>
              <w:rPr>
                <w:rFonts w:ascii="Arial" w:hAnsi="Arial" w:cs="Arial"/>
                <w:color w:val="1036A0"/>
                <w:sz w:val="20"/>
                <w:szCs w:val="20"/>
              </w:rPr>
            </w:pPr>
            <w:r w:rsidRPr="003217DC">
              <w:rPr>
                <w:rFonts w:ascii="Arial" w:hAnsi="Arial"/>
                <w:color w:val="1036A0"/>
                <w:sz w:val="20"/>
                <w:szCs w:val="20"/>
              </w:rPr>
              <w:t>Zadruhé umožnit uživatelům, aby přizpůsobili bezpečnostní vlastnosti těchto produktů svým potřebám, a to i zvýšením transparentnosti prvků kybernetické bezpečnosti. To by uživatele ochránilo před nezabezpečenými digitálními produkty a doplňkovými službami a prodejce motivovalo k nabízení bezpečnějších produktů, čímž by se zvýšila důvěra v jednotný digitální trh.</w:t>
            </w:r>
          </w:p>
          <w:p w:rsidR="00EC02E9" w:rsidRPr="003217DC" w:rsidP="00654F37">
            <w:pPr>
              <w:pStyle w:val="ListParagraph"/>
              <w:numPr>
                <w:ilvl w:val="0"/>
                <w:numId w:val="38"/>
              </w:numPr>
              <w:spacing w:before="120" w:after="120"/>
              <w:jc w:val="both"/>
              <w:rPr>
                <w:rFonts w:ascii="Arial" w:hAnsi="Arial" w:cs="Arial"/>
                <w:color w:val="1036A0"/>
                <w:sz w:val="20"/>
                <w:szCs w:val="20"/>
              </w:rPr>
            </w:pPr>
            <w:r w:rsidRPr="003217DC">
              <w:rPr>
                <w:rFonts w:ascii="Arial" w:hAnsi="Arial"/>
                <w:color w:val="1036A0"/>
                <w:sz w:val="20"/>
                <w:szCs w:val="20"/>
              </w:rPr>
              <w:t>Zatřetí zlepšit fungování vnitřního trhu vyrovnáním podmínek pro prodejce digitálních produktů a doplňkových služeb.</w:t>
            </w:r>
          </w:p>
          <w:p w:rsidR="00307F66" w:rsidRPr="003217DC" w:rsidP="005A6EA0">
            <w:pPr>
              <w:spacing w:before="120" w:after="120"/>
              <w:jc w:val="both"/>
              <w:rPr>
                <w:rFonts w:ascii="Arial" w:hAnsi="Arial" w:cs="Arial"/>
                <w:color w:val="1036A0"/>
                <w:sz w:val="20"/>
                <w:szCs w:val="20"/>
              </w:rPr>
            </w:pPr>
            <w:r w:rsidRPr="003217DC">
              <w:rPr>
                <w:rFonts w:ascii="Arial" w:hAnsi="Arial"/>
                <w:color w:val="1036A0"/>
                <w:sz w:val="20"/>
                <w:szCs w:val="20"/>
              </w:rPr>
              <w:t xml:space="preserve">Vedle základních požadavků na kybernetickou bezpečnost by iniciativa uložila povinnosti hospodářským subjektům a zavedla ustanovení o posuzování shody, oznamování subjektů posuzování shody a o dozoru nad trhem. </w:t>
            </w:r>
          </w:p>
          <w:p w:rsidR="00DF7E24" w:rsidRPr="003217DC" w:rsidP="005A6EA0">
            <w:pPr>
              <w:spacing w:before="120" w:after="120"/>
              <w:jc w:val="both"/>
              <w:rPr>
                <w:rFonts w:ascii="Arial" w:hAnsi="Arial" w:cs="Arial"/>
                <w:color w:val="1036A0"/>
                <w:sz w:val="20"/>
                <w:szCs w:val="20"/>
              </w:rPr>
            </w:pPr>
            <w:r w:rsidRPr="003217DC">
              <w:rPr>
                <w:rFonts w:ascii="Arial" w:hAnsi="Arial"/>
                <w:color w:val="1036A0"/>
                <w:sz w:val="20"/>
                <w:szCs w:val="20"/>
              </w:rPr>
              <w:t xml:space="preserve">V praxi by se základní požadavky na kybernetickou bezpečnost – ať už by byly upraveny souhrnně v jednom rozsáhlém (horizontálním) právním předpisu, nebo </w:t>
            </w:r>
            <w:r w:rsidRPr="003217DC">
              <w:rPr>
                <w:rFonts w:ascii="Arial" w:hAnsi="Arial"/>
                <w:i/>
                <w:color w:val="1036A0"/>
                <w:sz w:val="20"/>
                <w:szCs w:val="20"/>
              </w:rPr>
              <w:t>ad hoc</w:t>
            </w:r>
            <w:r w:rsidRPr="003217DC">
              <w:rPr>
                <w:rFonts w:ascii="Arial" w:hAnsi="Arial"/>
                <w:color w:val="1036A0"/>
                <w:sz w:val="20"/>
                <w:szCs w:val="20"/>
              </w:rPr>
              <w:t xml:space="preserve"> – promítly do harmonizovaných norem specifických pro různé kategorie produktů. V celosvětovém měřítku by vypracování takových norem týkajících se kybernetické bezpečnosti mohlo přispět k posílení vedoucího postavení EU v oblasti tvorby norem tím, že by se vytvořily normy pro digitální produkty a doplňkové služby, které by mohly sloužit jako celosvětová kritéria</w:t>
            </w:r>
            <w:r>
              <w:rPr>
                <w:rStyle w:val="FootnoteReference"/>
                <w:rFonts w:ascii="Arial" w:hAnsi="Arial" w:cs="Arial"/>
                <w:color w:val="1036A0"/>
                <w:sz w:val="20"/>
                <w:szCs w:val="20"/>
              </w:rPr>
              <w:footnoteReference w:id="13"/>
            </w:r>
            <w:r w:rsidRPr="003217DC">
              <w:rPr>
                <w:rFonts w:ascii="Arial" w:hAnsi="Arial"/>
                <w:color w:val="1036A0"/>
                <w:sz w:val="20"/>
                <w:szCs w:val="20"/>
              </w:rPr>
              <w:t xml:space="preserve">. </w:t>
            </w:r>
          </w:p>
          <w:p w:rsidR="00EC02E9" w:rsidRPr="003217DC">
            <w:pPr>
              <w:spacing w:before="120" w:after="120"/>
              <w:jc w:val="both"/>
              <w:rPr>
                <w:rFonts w:ascii="Arial" w:hAnsi="Arial" w:cs="Arial"/>
                <w:color w:val="1036A0"/>
                <w:sz w:val="20"/>
                <w:szCs w:val="20"/>
              </w:rPr>
            </w:pPr>
            <w:r w:rsidRPr="003217DC">
              <w:rPr>
                <w:rFonts w:ascii="Arial" w:hAnsi="Arial"/>
                <w:color w:val="1036A0"/>
                <w:sz w:val="20"/>
                <w:szCs w:val="20"/>
              </w:rPr>
              <w:t>V této fázi Komise zvažuje následující možnosti politiky:</w:t>
            </w:r>
          </w:p>
          <w:p w:rsidR="0090049E" w:rsidRPr="003217DC">
            <w:pPr>
              <w:pStyle w:val="ListParagraph"/>
              <w:numPr>
                <w:ilvl w:val="0"/>
                <w:numId w:val="32"/>
              </w:numPr>
              <w:spacing w:before="120" w:after="60"/>
              <w:jc w:val="both"/>
              <w:rPr>
                <w:rFonts w:ascii="Arial" w:hAnsi="Arial" w:cs="Arial"/>
                <w:color w:val="1036A0"/>
                <w:sz w:val="20"/>
                <w:szCs w:val="20"/>
              </w:rPr>
            </w:pPr>
            <w:r w:rsidRPr="003217DC">
              <w:rPr>
                <w:rFonts w:ascii="Arial" w:hAnsi="Arial"/>
                <w:color w:val="1036A0"/>
                <w:sz w:val="20"/>
                <w:szCs w:val="20"/>
              </w:rPr>
              <w:t xml:space="preserve">Zachování současného stavu – to by zahrnovalo stávající právní předpisy (např. nařízení v přenesené pravomoci podle směrnice o rádiových zařízeních, právní předpisy o zdravotnických prostředcích, motorových vozidlech, strojních zařízeních nebo bezpečnosti výrobků atd.), které se částečně zabývají kybernetickou bezpečností hmotných produktů. </w:t>
            </w:r>
          </w:p>
          <w:p w:rsidR="00EC02E9" w:rsidRPr="003217DC">
            <w:pPr>
              <w:pStyle w:val="ListParagraph"/>
              <w:numPr>
                <w:ilvl w:val="0"/>
                <w:numId w:val="32"/>
              </w:numPr>
              <w:spacing w:before="120" w:after="60"/>
              <w:jc w:val="both"/>
              <w:rPr>
                <w:rFonts w:ascii="Arial" w:hAnsi="Arial" w:cs="Arial"/>
                <w:color w:val="1036A0"/>
                <w:sz w:val="20"/>
                <w:szCs w:val="20"/>
              </w:rPr>
            </w:pPr>
            <w:r w:rsidRPr="003217DC">
              <w:rPr>
                <w:rFonts w:ascii="Arial" w:hAnsi="Arial"/>
                <w:color w:val="1036A0"/>
                <w:sz w:val="20"/>
                <w:szCs w:val="20"/>
              </w:rPr>
              <w:t>Zavedení dobrovolných opatření – dobrovolné systémy certifikace podle aktu o kybernetické bezpečnosti by mohly být dále rozvíjeny a uplatňovány. Zvážit by se mohla rovněž opatření mající povahu právně nevynutitelných předpisů, jako jsou pokyny nebo doporučení, zejména pokud jde o kybernetickou bezpečnost nevestavěného softwaru.</w:t>
            </w:r>
          </w:p>
          <w:p w:rsidR="00EC02E9" w:rsidRPr="003217DC">
            <w:pPr>
              <w:pStyle w:val="ListParagraph"/>
              <w:numPr>
                <w:ilvl w:val="0"/>
                <w:numId w:val="32"/>
              </w:numPr>
              <w:spacing w:before="120" w:after="60"/>
              <w:jc w:val="both"/>
              <w:rPr>
                <w:rFonts w:ascii="Arial" w:hAnsi="Arial" w:cs="Arial"/>
                <w:color w:val="1036A0"/>
                <w:sz w:val="20"/>
                <w:szCs w:val="20"/>
              </w:rPr>
            </w:pPr>
            <w:r w:rsidRPr="003217DC">
              <w:rPr>
                <w:rFonts w:ascii="Arial" w:hAnsi="Arial"/>
                <w:color w:val="1036A0"/>
                <w:sz w:val="20"/>
                <w:szCs w:val="20"/>
              </w:rPr>
              <w:t xml:space="preserve">Regulační zásahy </w:t>
            </w:r>
            <w:r w:rsidRPr="003217DC">
              <w:rPr>
                <w:rFonts w:ascii="Arial" w:hAnsi="Arial"/>
                <w:i/>
                <w:color w:val="1036A0"/>
                <w:sz w:val="20"/>
                <w:szCs w:val="20"/>
              </w:rPr>
              <w:t>ad hoc</w:t>
            </w:r>
            <w:r w:rsidRPr="003217DC">
              <w:rPr>
                <w:rFonts w:ascii="Arial" w:hAnsi="Arial"/>
                <w:color w:val="1036A0"/>
                <w:sz w:val="20"/>
                <w:szCs w:val="20"/>
              </w:rPr>
              <w:t xml:space="preserve"> pro kybernetickou bezpečnost digitálních produktů a doplňkových služeb – zásah by se omezil na doplnění a/nebo změnu požadavků na kybernetickou bezpečnost v již existujících právních předpisech a na regulaci nových rizik, jakmile se objeví, potenciálně včetně rizik nevestavěného softwaru.</w:t>
            </w:r>
          </w:p>
          <w:p w:rsidR="00A92989" w:rsidRPr="003217DC" w:rsidP="00A92989">
            <w:pPr>
              <w:pStyle w:val="ListParagraph"/>
              <w:numPr>
                <w:ilvl w:val="0"/>
                <w:numId w:val="32"/>
              </w:numPr>
              <w:spacing w:before="120" w:after="60"/>
              <w:jc w:val="both"/>
              <w:rPr>
                <w:rFonts w:ascii="Arial" w:hAnsi="Arial" w:cs="Arial"/>
                <w:color w:val="1036A0"/>
                <w:sz w:val="20"/>
                <w:szCs w:val="20"/>
              </w:rPr>
            </w:pPr>
            <w:r w:rsidRPr="003217DC">
              <w:rPr>
                <w:rFonts w:ascii="Arial" w:hAnsi="Arial"/>
                <w:color w:val="1036A0"/>
                <w:sz w:val="20"/>
                <w:szCs w:val="20"/>
              </w:rPr>
              <w:t xml:space="preserve">Smíšený přístup zahrnující závazná a nevynutitelná pravidla. To by znamenalo: </w:t>
            </w:r>
          </w:p>
          <w:p w:rsidR="00093400" w:rsidRPr="003217DC" w:rsidP="00BD0D07">
            <w:pPr>
              <w:pStyle w:val="ListParagraph"/>
              <w:numPr>
                <w:ilvl w:val="0"/>
                <w:numId w:val="39"/>
              </w:numPr>
              <w:spacing w:before="120" w:after="60"/>
              <w:ind w:left="644"/>
              <w:jc w:val="both"/>
              <w:rPr>
                <w:rFonts w:ascii="Arial" w:hAnsi="Arial" w:cs="Arial"/>
                <w:color w:val="1036A0"/>
                <w:sz w:val="20"/>
                <w:szCs w:val="20"/>
              </w:rPr>
            </w:pPr>
            <w:r w:rsidRPr="003217DC">
              <w:rPr>
                <w:rFonts w:ascii="Arial" w:hAnsi="Arial"/>
                <w:color w:val="1036A0"/>
                <w:sz w:val="20"/>
                <w:szCs w:val="20"/>
              </w:rPr>
              <w:t xml:space="preserve">horizontální regulační zásah zavádějící požadavky na kybernetickou bezpečnost pro širokou škálu hmotných digitálních produktů a doplňkových služeb. </w:t>
            </w:r>
          </w:p>
          <w:p w:rsidR="005A6EA0" w:rsidRPr="003217DC" w:rsidP="00EF5224">
            <w:pPr>
              <w:pStyle w:val="ListParagraph"/>
              <w:spacing w:before="120" w:after="60"/>
              <w:ind w:left="644"/>
              <w:jc w:val="both"/>
              <w:rPr>
                <w:rFonts w:ascii="Arial" w:hAnsi="Arial" w:cs="Arial"/>
                <w:color w:val="1036A0"/>
                <w:sz w:val="20"/>
                <w:szCs w:val="20"/>
              </w:rPr>
            </w:pPr>
            <w:r w:rsidRPr="003217DC">
              <w:rPr>
                <w:rFonts w:ascii="Arial" w:hAnsi="Arial"/>
                <w:color w:val="1036A0"/>
                <w:sz w:val="20"/>
                <w:szCs w:val="20"/>
              </w:rPr>
              <w:t xml:space="preserve">S ohledem na postup posuzování shody lze zvážit různé dílčí možnosti: </w:t>
            </w:r>
          </w:p>
          <w:p w:rsidR="005A6EA0" w:rsidRPr="003217DC" w:rsidP="00EF5224">
            <w:pPr>
              <w:pStyle w:val="ListParagraph"/>
              <w:numPr>
                <w:ilvl w:val="0"/>
                <w:numId w:val="37"/>
              </w:numPr>
              <w:spacing w:before="120" w:after="60"/>
              <w:ind w:left="1004"/>
              <w:jc w:val="both"/>
              <w:rPr>
                <w:rFonts w:ascii="Arial" w:hAnsi="Arial" w:cs="Arial"/>
                <w:color w:val="1036A0"/>
                <w:sz w:val="20"/>
                <w:szCs w:val="20"/>
              </w:rPr>
            </w:pPr>
            <w:r w:rsidRPr="003217DC">
              <w:rPr>
                <w:rFonts w:ascii="Arial" w:hAnsi="Arial"/>
                <w:color w:val="1036A0"/>
                <w:sz w:val="20"/>
                <w:szCs w:val="20"/>
              </w:rPr>
              <w:t xml:space="preserve">standardní vlastní posouzení shody, kdy se prodejci mohou rozhodnout pro posouzení shody třetí stranou, pokud to považují za vhodné, nebo </w:t>
            </w:r>
          </w:p>
          <w:p w:rsidR="00093400" w:rsidRPr="003217DC" w:rsidP="00EF5224">
            <w:pPr>
              <w:pStyle w:val="ListParagraph"/>
              <w:numPr>
                <w:ilvl w:val="0"/>
                <w:numId w:val="37"/>
              </w:numPr>
              <w:spacing w:before="120" w:after="60"/>
              <w:ind w:left="1004"/>
              <w:jc w:val="both"/>
              <w:rPr>
                <w:rFonts w:ascii="Arial" w:hAnsi="Arial" w:cs="Arial"/>
                <w:color w:val="1036A0"/>
                <w:sz w:val="20"/>
                <w:szCs w:val="20"/>
              </w:rPr>
            </w:pPr>
            <w:r w:rsidRPr="003217DC">
              <w:rPr>
                <w:rFonts w:ascii="Arial" w:hAnsi="Arial"/>
                <w:color w:val="1036A0"/>
                <w:sz w:val="20"/>
                <w:szCs w:val="20"/>
              </w:rPr>
              <w:t xml:space="preserve">pro určité kategorie produktů je předepsáno posouzení shody třetí stranou na základě přístupu založeného na riziku, který zohledňuje takové faktory, jako je zamýšlené použití, funkčnost nebo povaha potenciální škody.  </w:t>
            </w:r>
          </w:p>
          <w:p w:rsidR="00E84AD3" w:rsidRPr="003217DC" w:rsidP="00BD0D07">
            <w:pPr>
              <w:pStyle w:val="ListParagraph"/>
              <w:numPr>
                <w:ilvl w:val="0"/>
                <w:numId w:val="39"/>
              </w:numPr>
              <w:spacing w:before="120" w:after="60"/>
              <w:ind w:left="644"/>
              <w:jc w:val="both"/>
              <w:rPr>
                <w:rFonts w:ascii="Arial" w:hAnsi="Arial" w:cs="Arial"/>
                <w:color w:val="1036A0"/>
                <w:sz w:val="20"/>
                <w:szCs w:val="20"/>
              </w:rPr>
            </w:pPr>
            <w:r w:rsidRPr="003217DC">
              <w:rPr>
                <w:rFonts w:ascii="Arial" w:hAnsi="Arial"/>
                <w:color w:val="1036A0"/>
                <w:sz w:val="20"/>
                <w:szCs w:val="20"/>
              </w:rPr>
              <w:t>Pokud jde o kybernetickou bezpečnost nevestavěného softwaru, byl by navíc zvažován postupný přístup, přičemž prvním krokem by byla opatření mající povahu právně nevynutitelných předpisů, jako jsou pokyny nebo doporučení, po nichž by případně následoval regulační zásah v závislosti na výsledcích provádění těchto opatření.</w:t>
            </w:r>
          </w:p>
          <w:p w:rsidR="00EC02E9" w:rsidRPr="003217DC" w:rsidP="00866689">
            <w:pPr>
              <w:pStyle w:val="ListParagraph"/>
              <w:numPr>
                <w:ilvl w:val="0"/>
                <w:numId w:val="32"/>
              </w:numPr>
              <w:spacing w:before="120" w:after="60"/>
              <w:jc w:val="both"/>
              <w:rPr>
                <w:color w:val="00B050"/>
              </w:rPr>
            </w:pPr>
            <w:r w:rsidRPr="003217DC">
              <w:rPr>
                <w:rFonts w:ascii="Arial" w:hAnsi="Arial"/>
                <w:color w:val="1036A0"/>
                <w:sz w:val="20"/>
                <w:szCs w:val="20"/>
              </w:rPr>
              <w:t xml:space="preserve">Horizontální regulační zásah zavádějící požadavky na kybernetickou bezpečnost pro širokou škálu hmotných a nehmotných digitálních produktů a doplňkových souvisejících služeb, včetně nevestavěného softwaru. Mohly by být zváženy alternativní dílčí možnosti týkající se kategorií softwaru, na který se má vztahovat, buď pouze kritický software, nebo veškerý software, a postupu posuzování shody, jako je tomu v možnosti 4 i).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0000FF"/>
            <w:tcMar>
              <w:left w:w="108" w:type="dxa"/>
              <w:right w:w="108" w:type="dxa"/>
            </w:tcMar>
          </w:tcPr>
          <w:p w:rsidR="00EC02E9" w:rsidRPr="003217DC" w:rsidP="00E84AD3">
            <w:pPr>
              <w:spacing w:before="60" w:after="60"/>
              <w:jc w:val="both"/>
              <w:rPr>
                <w:rFonts w:ascii="Arial" w:hAnsi="Arial" w:cs="Arial"/>
                <w:b/>
                <w:color w:val="FFFFFF"/>
                <w:sz w:val="22"/>
                <w:szCs w:val="22"/>
              </w:rPr>
            </w:pPr>
            <w:r w:rsidRPr="003217DC">
              <w:rPr>
                <w:rFonts w:ascii="Arial" w:hAnsi="Arial"/>
                <w:b/>
                <w:color w:val="FFFFFF"/>
                <w:sz w:val="22"/>
                <w:szCs w:val="22"/>
              </w:rPr>
              <w:t xml:space="preserve">C. Pravděpodobné dopady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FFFFFF"/>
            <w:tcMar>
              <w:left w:w="108" w:type="dxa"/>
              <w:right w:w="108" w:type="dxa"/>
            </w:tcMar>
          </w:tcPr>
          <w:p w:rsidR="00EC02E9" w:rsidRPr="003217DC" w:rsidP="00BD0D07">
            <w:pPr>
              <w:spacing w:after="120"/>
              <w:jc w:val="both"/>
              <w:rPr>
                <w:rFonts w:ascii="Arial" w:hAnsi="Arial" w:cs="Arial"/>
                <w:color w:val="1036A0"/>
                <w:sz w:val="20"/>
                <w:szCs w:val="20"/>
              </w:rPr>
            </w:pPr>
            <w:r w:rsidRPr="003217DC">
              <w:rPr>
                <w:rFonts w:ascii="Arial" w:hAnsi="Arial"/>
                <w:color w:val="1036A0"/>
                <w:sz w:val="20"/>
                <w:szCs w:val="20"/>
              </w:rPr>
              <w:t xml:space="preserve">Očekává se, že iniciativa bude mít pozitivní </w:t>
            </w:r>
            <w:r w:rsidRPr="003217DC">
              <w:rPr>
                <w:rFonts w:ascii="Arial" w:hAnsi="Arial"/>
                <w:b/>
                <w:color w:val="1036A0"/>
                <w:sz w:val="20"/>
                <w:szCs w:val="20"/>
              </w:rPr>
              <w:t>hospodářské dopady</w:t>
            </w:r>
            <w:r w:rsidRPr="003217DC">
              <w:rPr>
                <w:rFonts w:ascii="Arial" w:hAnsi="Arial"/>
                <w:color w:val="1036A0"/>
                <w:sz w:val="20"/>
                <w:szCs w:val="20"/>
              </w:rPr>
              <w:t xml:space="preserve">. Zavedení horizontálních požadavků na kybernetickou bezpečnost digitálních produktů a doplňkových služeb by zlepšilo kybernetickou bezpečnost pro spotřebitele a uživatele v celém dodavatelském řetězci EU a zvýšilo výběr kvalitnějšího a bezpečnějšího zboží a služeb. Tím by se zvýšila důvěra veřejnosti v digitální ekonomiku, což by přispělo k hospodářskému růstu a investicím. </w:t>
            </w:r>
          </w:p>
          <w:p w:rsidR="00EC02E9" w:rsidRPr="003217DC" w:rsidP="00BD0D07">
            <w:pPr>
              <w:spacing w:after="120"/>
              <w:jc w:val="both"/>
              <w:rPr>
                <w:rFonts w:ascii="Arial" w:hAnsi="Arial" w:cs="Arial"/>
                <w:color w:val="1036A0"/>
                <w:sz w:val="20"/>
                <w:szCs w:val="20"/>
              </w:rPr>
            </w:pPr>
            <w:r w:rsidRPr="003217DC">
              <w:rPr>
                <w:rFonts w:ascii="Arial" w:hAnsi="Arial"/>
                <w:color w:val="1036A0"/>
                <w:sz w:val="20"/>
                <w:szCs w:val="20"/>
              </w:rPr>
              <w:t xml:space="preserve">Zvýšení kybernetické bezpečnosti produktů a služeb by navíc pomohlo zmírnit ztráty příjmů způsobené kybernetickými útoky a snížit velké výdaje spojené se zmírňováním hrozeb </w:t>
            </w:r>
            <w:r w:rsidRPr="003217DC">
              <w:rPr>
                <w:rFonts w:ascii="Arial" w:hAnsi="Arial"/>
                <w:i/>
                <w:color w:val="1036A0"/>
                <w:sz w:val="20"/>
                <w:szCs w:val="20"/>
              </w:rPr>
              <w:t>ad hoc</w:t>
            </w:r>
            <w:r w:rsidRPr="003217DC">
              <w:rPr>
                <w:rFonts w:ascii="Arial" w:hAnsi="Arial"/>
                <w:color w:val="1036A0"/>
                <w:sz w:val="20"/>
                <w:szCs w:val="20"/>
              </w:rPr>
              <w:t xml:space="preserve">. Počáteční </w:t>
            </w:r>
            <w:r>
              <w:fldChar w:fldCharType="begin"/>
            </w:r>
            <w:r>
              <w:instrText xml:space="preserve"> HYPERLINK "https://digital-strategy.ec.europa.eu/en/library/study-need-cybersecurity-requirements-ict-products" </w:instrText>
            </w:r>
            <w:r>
              <w:fldChar w:fldCharType="separate"/>
            </w:r>
            <w:r w:rsidRPr="003217DC">
              <w:rPr>
                <w:rStyle w:val="Hyperlink"/>
                <w:rFonts w:ascii="Arial" w:hAnsi="Arial"/>
                <w:sz w:val="20"/>
                <w:szCs w:val="20"/>
              </w:rPr>
              <w:t>průzkumná studie</w:t>
            </w:r>
            <w:r>
              <w:fldChar w:fldCharType="end"/>
            </w:r>
            <w:r w:rsidRPr="003217DC">
              <w:rPr>
                <w:rFonts w:ascii="Arial" w:hAnsi="Arial"/>
                <w:color w:val="1036A0"/>
                <w:sz w:val="20"/>
                <w:szCs w:val="20"/>
              </w:rPr>
              <w:t xml:space="preserve">, kterou Komise zadala v roce 2021 s cílem posoudit potřebu horizontálních požadavků na kybernetickou </w:t>
            </w:r>
            <w:r w:rsidRPr="003217DC">
              <w:rPr>
                <w:rFonts w:ascii="Arial" w:hAnsi="Arial"/>
                <w:color w:val="1036A0"/>
                <w:sz w:val="20"/>
                <w:szCs w:val="20"/>
              </w:rPr>
              <w:t>bezpečnost digitálních produktů, ukázala, že přínosy regulačního zásahu by převážily jeho potenciální náklady.</w:t>
            </w:r>
          </w:p>
          <w:p w:rsidR="00EC02E9" w:rsidRPr="003217DC" w:rsidP="00BD0D07">
            <w:pPr>
              <w:spacing w:after="120"/>
              <w:jc w:val="both"/>
              <w:rPr>
                <w:rFonts w:ascii="Arial" w:hAnsi="Arial" w:cs="Arial"/>
                <w:color w:val="1036A0"/>
                <w:sz w:val="20"/>
                <w:szCs w:val="20"/>
              </w:rPr>
            </w:pPr>
            <w:r w:rsidRPr="003217DC">
              <w:rPr>
                <w:rFonts w:ascii="Arial" w:hAnsi="Arial"/>
                <w:color w:val="1036A0"/>
                <w:sz w:val="20"/>
                <w:szCs w:val="20"/>
              </w:rPr>
              <w:t xml:space="preserve">Zavedení jednoho souboru požadavků pro stejný typ produktu na úrovni EU namísto různých potenciálně odlišných vnitrostátních předpisů by snížilo regulační náklady (administrativní zátěž a náklady na dodržování předpisů) a vyrovnalo podmínky pro prodejce. To by podpořilo hospodářskou soutěž a inovace a stimulovalo přechod na digitální technologie. </w:t>
            </w:r>
          </w:p>
          <w:p w:rsidR="00EC02E9" w:rsidRPr="003217DC" w:rsidP="00BD0D07">
            <w:pPr>
              <w:spacing w:after="120"/>
              <w:jc w:val="both"/>
              <w:rPr>
                <w:rFonts w:ascii="Arial" w:hAnsi="Arial" w:cs="Arial"/>
                <w:color w:val="1036A0"/>
                <w:sz w:val="20"/>
                <w:szCs w:val="20"/>
              </w:rPr>
            </w:pPr>
            <w:r w:rsidRPr="003217DC">
              <w:rPr>
                <w:rFonts w:ascii="Arial" w:hAnsi="Arial"/>
                <w:color w:val="1036A0"/>
                <w:sz w:val="20"/>
                <w:szCs w:val="20"/>
              </w:rPr>
              <w:t xml:space="preserve">Evropský zásah by se pravděpodobně vztahoval na širokou škálu produktů uváděných na vnitřní trh bez ohledu na jejich původ. Prodejci produktů připojených k internetu ze třetích zemí mají významný podíl na produktech uváděných na trh v EU, proto by tento přístup umožnil EU prosazovat svou vizi vysokých standardů kybernetické bezpečnosti, a to i na mezinárodní úrovni, a posílit globální konkurenceschopnost EU. </w:t>
            </w:r>
          </w:p>
          <w:p w:rsidR="00EC02E9" w:rsidRPr="003217DC" w:rsidP="00BD0D07">
            <w:pPr>
              <w:spacing w:after="120"/>
              <w:jc w:val="both"/>
              <w:rPr>
                <w:rFonts w:ascii="Arial" w:hAnsi="Arial" w:cs="Arial"/>
                <w:color w:val="1036A0"/>
                <w:sz w:val="20"/>
                <w:szCs w:val="20"/>
              </w:rPr>
            </w:pPr>
            <w:r w:rsidRPr="003217DC">
              <w:rPr>
                <w:rFonts w:ascii="Arial" w:hAnsi="Arial"/>
                <w:color w:val="1036A0"/>
                <w:sz w:val="20"/>
                <w:szCs w:val="20"/>
              </w:rPr>
              <w:t xml:space="preserve">Iniciativa by měla také pozitivní </w:t>
            </w:r>
            <w:r w:rsidRPr="003217DC">
              <w:rPr>
                <w:rFonts w:ascii="Arial" w:hAnsi="Arial"/>
                <w:b/>
                <w:color w:val="1036A0"/>
                <w:sz w:val="20"/>
                <w:szCs w:val="20"/>
              </w:rPr>
              <w:t>sociální dopady</w:t>
            </w:r>
            <w:r w:rsidRPr="003217DC">
              <w:rPr>
                <w:rFonts w:ascii="Arial" w:hAnsi="Arial"/>
                <w:color w:val="1036A0"/>
                <w:sz w:val="20"/>
                <w:szCs w:val="20"/>
              </w:rPr>
              <w:t xml:space="preserve">, například snížení úrovně kybernetické kriminality. Zlepšila by ochranu </w:t>
            </w:r>
            <w:r w:rsidRPr="003217DC">
              <w:rPr>
                <w:rFonts w:ascii="Arial" w:hAnsi="Arial"/>
                <w:b/>
                <w:color w:val="1036A0"/>
                <w:sz w:val="20"/>
                <w:szCs w:val="20"/>
              </w:rPr>
              <w:t>základních práv</w:t>
            </w:r>
            <w:r w:rsidRPr="003217DC">
              <w:rPr>
                <w:rFonts w:ascii="Arial" w:hAnsi="Arial"/>
                <w:color w:val="1036A0"/>
                <w:sz w:val="20"/>
                <w:szCs w:val="20"/>
              </w:rPr>
              <w:t xml:space="preserve"> (zejména osobních údajů) tím, že by pomohla snížit počet a závažnost incidentů, včetně porušení zabezpečení ochrany údajů. </w:t>
            </w:r>
          </w:p>
          <w:p w:rsidR="00EC02E9" w:rsidRPr="003217DC" w:rsidP="00BF493B">
            <w:pPr>
              <w:spacing w:after="120"/>
              <w:jc w:val="both"/>
              <w:rPr>
                <w:rFonts w:ascii="Arial" w:hAnsi="Arial" w:cs="Arial"/>
                <w:color w:val="00B050"/>
                <w:sz w:val="20"/>
                <w:szCs w:val="20"/>
              </w:rPr>
            </w:pPr>
            <w:r w:rsidRPr="003217DC">
              <w:rPr>
                <w:rFonts w:ascii="Arial" w:hAnsi="Arial"/>
                <w:color w:val="1036A0"/>
                <w:sz w:val="20"/>
                <w:szCs w:val="20"/>
              </w:rPr>
              <w:t xml:space="preserve">Konečně by posílení kybernetické bezpečnosti digitálních produktů a doplňkových služeb mohlo mít pozitivní </w:t>
            </w:r>
            <w:r w:rsidRPr="003217DC">
              <w:rPr>
                <w:rFonts w:ascii="Arial" w:hAnsi="Arial"/>
                <w:b/>
                <w:color w:val="1036A0"/>
                <w:sz w:val="20"/>
                <w:szCs w:val="20"/>
              </w:rPr>
              <w:t>environmentální dopady</w:t>
            </w:r>
            <w:r w:rsidRPr="003217DC">
              <w:rPr>
                <w:rFonts w:ascii="Arial" w:hAnsi="Arial"/>
                <w:color w:val="1036A0"/>
                <w:sz w:val="20"/>
                <w:szCs w:val="20"/>
              </w:rPr>
              <w:t xml:space="preserve"> tím, že by přispělo k širšímu využívání digitální infrastruktury a služeb nejnovější generace, které jsou udržitelnější. Iniciativa by rovněž mohla vést k nahrazení starších infrastruktur, které jsou nejen méně bezpečné, ale také méně energeticky účinné a šetrné k životnímu prostředí.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0000FF"/>
            <w:tcMar>
              <w:left w:w="108" w:type="dxa"/>
              <w:right w:w="108" w:type="dxa"/>
            </w:tcMar>
          </w:tcPr>
          <w:p w:rsidR="00EC02E9" w:rsidRPr="003217DC">
            <w:pPr>
              <w:spacing w:before="120" w:after="120"/>
              <w:jc w:val="both"/>
              <w:rPr>
                <w:rFonts w:ascii="Arial" w:hAnsi="Arial" w:cs="Arial"/>
                <w:b/>
                <w:sz w:val="22"/>
                <w:szCs w:val="22"/>
              </w:rPr>
            </w:pPr>
            <w:r w:rsidRPr="003217DC">
              <w:rPr>
                <w:rFonts w:ascii="Arial" w:hAnsi="Arial"/>
                <w:b/>
                <w:sz w:val="22"/>
                <w:szCs w:val="22"/>
              </w:rPr>
              <w:t>D. Nástroje zlepšování právní úpravy</w:t>
            </w:r>
            <w:r w:rsidRPr="003217DC">
              <w:rPr>
                <w:rFonts w:ascii="Arial" w:hAnsi="Arial"/>
                <w:b/>
                <w:color w:val="FFFFFF" w:themeColor="background1"/>
                <w:sz w:val="22"/>
                <w:szCs w:val="22"/>
              </w:rPr>
              <w:t xml:space="preserve">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E6E6E6"/>
            <w:tcMar>
              <w:left w:w="108" w:type="dxa"/>
              <w:right w:w="108" w:type="dxa"/>
            </w:tcMar>
          </w:tcPr>
          <w:p w:rsidR="00EC02E9" w:rsidRPr="003217DC" w:rsidP="00E84AD3">
            <w:pPr>
              <w:spacing w:before="120" w:after="120"/>
              <w:jc w:val="both"/>
              <w:rPr>
                <w:rFonts w:ascii="Arial" w:hAnsi="Arial" w:cs="Arial"/>
                <w:sz w:val="20"/>
                <w:szCs w:val="20"/>
              </w:rPr>
            </w:pPr>
            <w:r w:rsidRPr="003217DC">
              <w:rPr>
                <w:rFonts w:ascii="Arial" w:hAnsi="Arial"/>
                <w:b/>
                <w:sz w:val="20"/>
                <w:szCs w:val="20"/>
              </w:rPr>
              <w:t xml:space="preserve">Posouzení dopadů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auto"/>
            <w:tcMar>
              <w:left w:w="108" w:type="dxa"/>
              <w:right w:w="108" w:type="dxa"/>
            </w:tcMar>
          </w:tcPr>
          <w:p w:rsidR="00EC02E9" w:rsidRPr="003217DC" w:rsidP="00CC1CAD">
            <w:pPr>
              <w:spacing w:before="60" w:after="60"/>
              <w:jc w:val="both"/>
              <w:rPr>
                <w:rFonts w:ascii="Arial" w:hAnsi="Arial" w:cs="Arial"/>
                <w:color w:val="00B050"/>
                <w:sz w:val="20"/>
                <w:szCs w:val="20"/>
              </w:rPr>
            </w:pPr>
            <w:r w:rsidRPr="003217DC">
              <w:rPr>
                <w:rFonts w:ascii="Arial" w:hAnsi="Arial"/>
                <w:color w:val="1036A0"/>
                <w:sz w:val="20"/>
                <w:szCs w:val="20"/>
              </w:rPr>
              <w:t xml:space="preserve">Posouzení dopadů podpořené shromážděním důkazů a konzultacemi se zúčastněnými stranami pomůže připravit politickou iniciativu. Bude připraveno v souladu s pokyny pro zlepšování právní úpravy. Posouzení dopadů bude rovněž těžit z konzultačních činností, které již proběhly v roce 2021 v rámci </w:t>
            </w:r>
            <w:r>
              <w:fldChar w:fldCharType="begin"/>
            </w:r>
            <w:r>
              <w:instrText xml:space="preserve"> HYPERLINK "https://digital-strategy.ec.europa.eu/en/library/study-need-cybersecurity-requirements-ict-products" </w:instrText>
            </w:r>
            <w:r>
              <w:fldChar w:fldCharType="separate"/>
            </w:r>
            <w:r w:rsidRPr="003217DC">
              <w:rPr>
                <w:rStyle w:val="Hyperlink"/>
                <w:rFonts w:ascii="Arial" w:hAnsi="Arial"/>
                <w:sz w:val="20"/>
                <w:szCs w:val="20"/>
              </w:rPr>
              <w:t>průzkumné studie</w:t>
            </w:r>
            <w:r>
              <w:fldChar w:fldCharType="end"/>
            </w:r>
            <w:r w:rsidRPr="003217DC">
              <w:rPr>
                <w:rFonts w:ascii="Arial" w:hAnsi="Arial"/>
                <w:color w:val="1036A0"/>
                <w:sz w:val="20"/>
                <w:szCs w:val="20"/>
              </w:rPr>
              <w:t xml:space="preserve"> zadané Komisí za účelem posouzení potřeby horizontálních požadavků na kybernetickou bezpečnost digitálních produktů. Posouzení dopadů také využije zjištění nové studie, kterou Komise zadala za účelem shromáždění důkazů a provedení analýz v první polovině roku 2022.</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E6E6E6"/>
            <w:tcMar>
              <w:left w:w="108" w:type="dxa"/>
              <w:right w:w="108" w:type="dxa"/>
            </w:tcMar>
          </w:tcPr>
          <w:p w:rsidR="00EC02E9" w:rsidRPr="003217DC" w:rsidP="00E84AD3">
            <w:pPr>
              <w:spacing w:before="120" w:after="120"/>
              <w:jc w:val="both"/>
              <w:rPr>
                <w:rFonts w:ascii="Arial" w:hAnsi="Arial" w:cs="Arial"/>
                <w:sz w:val="20"/>
                <w:szCs w:val="20"/>
              </w:rPr>
            </w:pPr>
            <w:r w:rsidRPr="003217DC">
              <w:rPr>
                <w:rFonts w:ascii="Arial" w:hAnsi="Arial"/>
                <w:b/>
                <w:sz w:val="20"/>
                <w:szCs w:val="20"/>
              </w:rPr>
              <w:t xml:space="preserve">Konzultační strategie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auto"/>
            <w:tcMar>
              <w:left w:w="108" w:type="dxa"/>
              <w:right w:w="108" w:type="dxa"/>
            </w:tcMar>
          </w:tcPr>
          <w:p w:rsidR="00EC02E9" w:rsidRPr="003217DC">
            <w:pPr>
              <w:spacing w:before="60" w:after="60"/>
              <w:jc w:val="both"/>
              <w:rPr>
                <w:color w:val="1036A0"/>
              </w:rPr>
            </w:pPr>
            <w:r w:rsidRPr="003217DC">
              <w:rPr>
                <w:rFonts w:ascii="Arial" w:hAnsi="Arial"/>
                <w:color w:val="1036A0"/>
                <w:sz w:val="20"/>
                <w:szCs w:val="20"/>
              </w:rPr>
              <w:t>Souběžně se zveřejněním této výzvy k předložení faktických podkladů Komise zahajuje veřejnou konzultaci s cílem získat názory různých zúčastněných stran.</w:t>
            </w:r>
            <w:r w:rsidRPr="003217DC">
              <w:rPr>
                <w:rStyle w:val="Hyperlink"/>
                <w:rFonts w:ascii="Arial" w:hAnsi="Arial"/>
                <w:sz w:val="20"/>
                <w:szCs w:val="20"/>
                <w:u w:val="none"/>
              </w:rPr>
              <w:t xml:space="preserve"> </w:t>
            </w:r>
            <w:r w:rsidRPr="003217DC">
              <w:rPr>
                <w:rFonts w:ascii="Arial" w:hAnsi="Arial"/>
                <w:color w:val="1036A0"/>
                <w:sz w:val="20"/>
                <w:szCs w:val="20"/>
              </w:rPr>
              <w:t>Dotazník bude dostupný ve všech jazycích EU a odpovědi mohou být poskytnuty také ve všech úředních jazycích EU.</w:t>
            </w:r>
          </w:p>
          <w:p w:rsidR="00EC02E9" w:rsidRPr="003217DC">
            <w:pPr>
              <w:spacing w:before="60" w:after="60"/>
              <w:jc w:val="both"/>
              <w:rPr>
                <w:rFonts w:ascii="Arial" w:hAnsi="Arial" w:cs="Arial"/>
                <w:color w:val="1036A0"/>
                <w:sz w:val="20"/>
                <w:szCs w:val="20"/>
              </w:rPr>
            </w:pPr>
            <w:r w:rsidRPr="003217DC">
              <w:rPr>
                <w:rFonts w:ascii="Arial" w:hAnsi="Arial"/>
                <w:color w:val="1036A0"/>
                <w:sz w:val="20"/>
                <w:szCs w:val="20"/>
              </w:rPr>
              <w:t xml:space="preserve">Po ukončení veřejné konzultace bude na portálu Komise </w:t>
            </w:r>
            <w:r>
              <w:fldChar w:fldCharType="begin"/>
            </w:r>
            <w:r>
              <w:instrText xml:space="preserve"> HYPERLINK "https://ec.europa.eu/info/law/better-regulation/have-your-say_cs" </w:instrText>
            </w:r>
            <w:r>
              <w:fldChar w:fldCharType="separate"/>
            </w:r>
            <w:r w:rsidRPr="003217DC">
              <w:rPr>
                <w:rStyle w:val="Hyperlink"/>
                <w:rFonts w:ascii="Arial" w:hAnsi="Arial"/>
                <w:sz w:val="20"/>
                <w:szCs w:val="20"/>
              </w:rPr>
              <w:t>Podělte se o svůj názor</w:t>
            </w:r>
            <w:r>
              <w:fldChar w:fldCharType="end"/>
            </w:r>
            <w:r w:rsidRPr="003217DC">
              <w:rPr>
                <w:rFonts w:ascii="Arial" w:hAnsi="Arial"/>
                <w:color w:val="1036A0"/>
                <w:sz w:val="20"/>
                <w:szCs w:val="20"/>
              </w:rPr>
              <w:t xml:space="preserve"> zveřejněno věcné shrnutí a analýza.</w:t>
            </w:r>
          </w:p>
          <w:p w:rsidR="00EC02E9" w:rsidRPr="003217DC">
            <w:pPr>
              <w:spacing w:before="60" w:after="60"/>
              <w:jc w:val="both"/>
              <w:rPr>
                <w:rFonts w:ascii="Arial" w:hAnsi="Arial" w:cs="Arial"/>
                <w:color w:val="1036A0"/>
                <w:sz w:val="20"/>
                <w:szCs w:val="20"/>
              </w:rPr>
            </w:pPr>
            <w:r w:rsidRPr="003217DC">
              <w:rPr>
                <w:rFonts w:ascii="Arial" w:hAnsi="Arial"/>
                <w:color w:val="1036A0"/>
                <w:sz w:val="20"/>
                <w:szCs w:val="20"/>
              </w:rPr>
              <w:t>K účasti na veřejné konzultaci budou vyzvány všechny zúčastněné strany uvedené v cílové skupině.</w:t>
            </w:r>
          </w:p>
          <w:p w:rsidR="00EC02E9" w:rsidRPr="003217DC" w:rsidP="00B50B11">
            <w:pPr>
              <w:spacing w:before="60" w:after="60"/>
              <w:jc w:val="both"/>
              <w:rPr>
                <w:rFonts w:ascii="Arial" w:hAnsi="Arial" w:cs="Arial"/>
                <w:color w:val="00B050"/>
                <w:sz w:val="20"/>
                <w:szCs w:val="20"/>
              </w:rPr>
            </w:pPr>
            <w:r w:rsidRPr="003217DC">
              <w:rPr>
                <w:rFonts w:ascii="Arial" w:hAnsi="Arial"/>
                <w:color w:val="1036A0"/>
                <w:sz w:val="20"/>
                <w:szCs w:val="20"/>
              </w:rPr>
              <w:t xml:space="preserve">V souvislosti s výše uvedenou studií na podporu posouzení dopadů budou konzultanti shromažďovat důkazy prostřednictvím rozhovorů s odborníky z různých oblastí. Uskuteční se rovněž workshop s odborníky a cílená konzultace online.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D8D8D8" w:themeFill="background1" w:themeFillShade="D8"/>
            <w:tcMar>
              <w:left w:w="108" w:type="dxa"/>
              <w:right w:w="108" w:type="dxa"/>
            </w:tcMar>
          </w:tcPr>
          <w:p w:rsidR="00EC02E9" w:rsidRPr="003217DC">
            <w:pPr>
              <w:spacing w:before="60"/>
              <w:jc w:val="both"/>
              <w:rPr>
                <w:rFonts w:ascii="Arial" w:hAnsi="Arial" w:cs="Arial"/>
                <w:b/>
                <w:sz w:val="20"/>
                <w:szCs w:val="20"/>
              </w:rPr>
            </w:pPr>
            <w:r w:rsidRPr="003217DC">
              <w:rPr>
                <w:rFonts w:ascii="Arial" w:hAnsi="Arial"/>
                <w:b/>
                <w:sz w:val="20"/>
                <w:szCs w:val="20"/>
              </w:rPr>
              <w:t>Proč se konzultace koná?</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auto"/>
            <w:tcMar>
              <w:left w:w="108" w:type="dxa"/>
              <w:right w:w="108" w:type="dxa"/>
            </w:tcMar>
          </w:tcPr>
          <w:p w:rsidR="005052E2" w:rsidRPr="003217DC" w:rsidP="005052E2">
            <w:pPr>
              <w:spacing w:before="60" w:after="60"/>
              <w:jc w:val="both"/>
              <w:rPr>
                <w:rFonts w:ascii="Arial" w:hAnsi="Arial" w:cs="Arial"/>
                <w:color w:val="1036A0"/>
                <w:sz w:val="20"/>
                <w:szCs w:val="20"/>
              </w:rPr>
            </w:pPr>
            <w:r w:rsidRPr="003217DC">
              <w:rPr>
                <w:rFonts w:ascii="Arial" w:hAnsi="Arial"/>
                <w:color w:val="1036A0"/>
                <w:sz w:val="20"/>
                <w:szCs w:val="20"/>
              </w:rPr>
              <w:t xml:space="preserve">Prostřednictvím této konzultace by Komise ráda získala: </w:t>
            </w:r>
          </w:p>
          <w:p w:rsidR="005052E2" w:rsidRPr="003217DC" w:rsidP="00F400E9">
            <w:pPr>
              <w:pStyle w:val="ListParagraph"/>
              <w:numPr>
                <w:ilvl w:val="0"/>
                <w:numId w:val="45"/>
              </w:numPr>
              <w:spacing w:before="60" w:after="60"/>
              <w:jc w:val="both"/>
              <w:rPr>
                <w:rFonts w:ascii="Arial" w:hAnsi="Arial" w:cs="Arial"/>
                <w:color w:val="1036A0"/>
                <w:sz w:val="20"/>
                <w:szCs w:val="20"/>
              </w:rPr>
            </w:pPr>
            <w:r w:rsidRPr="003217DC">
              <w:rPr>
                <w:rFonts w:ascii="Arial" w:hAnsi="Arial"/>
                <w:color w:val="1036A0"/>
                <w:sz w:val="20"/>
                <w:szCs w:val="20"/>
              </w:rPr>
              <w:t xml:space="preserve">názory zúčastněných stran na současné a vznikající problémy související s kybernetickou bezpečností digitálních produktů a souvisejících služeb, včetně nevestavěného softwaru, </w:t>
            </w:r>
          </w:p>
          <w:p w:rsidR="005052E2" w:rsidRPr="003217DC" w:rsidP="00F400E9">
            <w:pPr>
              <w:pStyle w:val="ListParagraph"/>
              <w:numPr>
                <w:ilvl w:val="0"/>
                <w:numId w:val="45"/>
              </w:numPr>
              <w:spacing w:before="60" w:after="60"/>
              <w:jc w:val="both"/>
              <w:rPr>
                <w:rFonts w:ascii="Arial" w:hAnsi="Arial" w:cs="Arial"/>
                <w:color w:val="1036A0"/>
                <w:sz w:val="20"/>
                <w:szCs w:val="20"/>
              </w:rPr>
            </w:pPr>
            <w:r w:rsidRPr="003217DC">
              <w:rPr>
                <w:rFonts w:ascii="Arial" w:hAnsi="Arial"/>
                <w:color w:val="1036A0"/>
                <w:sz w:val="20"/>
                <w:szCs w:val="20"/>
              </w:rPr>
              <w:t xml:space="preserve">názory zúčastněných stran na možné politické přístupy k řešení těchto problémů, dostupné možnosti a jejich potenciální dopady a </w:t>
            </w:r>
          </w:p>
          <w:p w:rsidR="00EC02E9" w:rsidRPr="003217DC" w:rsidP="00F400E9">
            <w:pPr>
              <w:pStyle w:val="ListParagraph"/>
              <w:numPr>
                <w:ilvl w:val="0"/>
                <w:numId w:val="45"/>
              </w:numPr>
              <w:spacing w:before="60" w:after="60"/>
              <w:jc w:val="both"/>
              <w:rPr>
                <w:rFonts w:ascii="Arial" w:hAnsi="Arial" w:cs="Arial"/>
                <w:b/>
                <w:sz w:val="20"/>
                <w:szCs w:val="20"/>
              </w:rPr>
            </w:pPr>
            <w:r w:rsidRPr="003217DC">
              <w:rPr>
                <w:rFonts w:ascii="Arial" w:hAnsi="Arial"/>
                <w:color w:val="1036A0"/>
                <w:sz w:val="20"/>
                <w:szCs w:val="20"/>
              </w:rPr>
              <w:t xml:space="preserve">důkazy a údaje, na nichž jsou zjištěné problémy založeny. </w:t>
            </w:r>
          </w:p>
        </w:tc>
      </w:tr>
      <w:tr w:rsidTr="0027611F">
        <w:tblPrEx>
          <w:tblW w:w="10314" w:type="dxa"/>
          <w:tblLayout w:type="fixed"/>
          <w:tblCellMar>
            <w:left w:w="0" w:type="dxa"/>
            <w:right w:w="0" w:type="dxa"/>
          </w:tblCellMar>
          <w:tblLook w:val="01E0"/>
        </w:tblPrEx>
        <w:tc>
          <w:tcPr>
            <w:tcW w:w="10314" w:type="dxa"/>
            <w:tcBorders>
              <w:bottom w:val="single" w:sz="4" w:space="0" w:color="auto"/>
            </w:tcBorders>
            <w:shd w:val="clear" w:color="000000" w:fill="D8D8D8" w:themeFill="background1" w:themeFillShade="D8"/>
            <w:tcMar>
              <w:left w:w="108" w:type="dxa"/>
              <w:right w:w="108" w:type="dxa"/>
            </w:tcMar>
          </w:tcPr>
          <w:p w:rsidR="00EC02E9" w:rsidRPr="003217DC">
            <w:pPr>
              <w:spacing w:before="60"/>
              <w:jc w:val="both"/>
              <w:rPr>
                <w:rFonts w:ascii="Arial" w:hAnsi="Arial" w:cs="Arial"/>
                <w:b/>
                <w:sz w:val="20"/>
                <w:szCs w:val="20"/>
              </w:rPr>
            </w:pPr>
            <w:r w:rsidRPr="003217DC">
              <w:rPr>
                <w:rFonts w:ascii="Arial" w:hAnsi="Arial"/>
                <w:b/>
                <w:sz w:val="20"/>
                <w:szCs w:val="20"/>
              </w:rPr>
              <w:t>Cílová skupina</w:t>
            </w:r>
          </w:p>
        </w:tc>
      </w:tr>
      <w:tr w:rsidTr="0027611F">
        <w:tblPrEx>
          <w:tblW w:w="10314" w:type="dxa"/>
          <w:tblLayout w:type="fixed"/>
          <w:tblCellMar>
            <w:left w:w="0" w:type="dxa"/>
            <w:right w:w="0" w:type="dxa"/>
          </w:tblCellMar>
          <w:tblLook w:val="01E0"/>
        </w:tblPrEx>
        <w:trPr>
          <w:trHeight w:val="522"/>
        </w:trPr>
        <w:tc>
          <w:tcPr>
            <w:tcW w:w="10314" w:type="dxa"/>
            <w:shd w:val="clear" w:color="000000" w:fill="auto"/>
            <w:tcMar>
              <w:left w:w="108" w:type="dxa"/>
              <w:right w:w="108" w:type="dxa"/>
            </w:tcMar>
          </w:tcPr>
          <w:p w:rsidR="005052E2" w:rsidRPr="003217DC" w:rsidP="005052E2">
            <w:pPr>
              <w:spacing w:before="60" w:after="60"/>
              <w:jc w:val="both"/>
              <w:rPr>
                <w:rFonts w:ascii="Arial" w:hAnsi="Arial" w:cs="Arial"/>
                <w:color w:val="1036A0"/>
                <w:sz w:val="20"/>
                <w:szCs w:val="20"/>
              </w:rPr>
            </w:pPr>
            <w:r w:rsidRPr="003217DC">
              <w:rPr>
                <w:rFonts w:ascii="Arial" w:hAnsi="Arial"/>
                <w:color w:val="1036A0"/>
                <w:sz w:val="20"/>
                <w:szCs w:val="20"/>
              </w:rPr>
              <w:t xml:space="preserve">Cílem konzultace je získat názory různých zúčastněných stran. Mezi ně patří: </w:t>
            </w:r>
          </w:p>
          <w:p w:rsidR="005052E2" w:rsidRPr="003217DC" w:rsidP="0001030E">
            <w:pPr>
              <w:pStyle w:val="ListParagraph"/>
              <w:numPr>
                <w:ilvl w:val="0"/>
                <w:numId w:val="42"/>
              </w:numPr>
              <w:spacing w:before="60" w:after="60"/>
              <w:jc w:val="both"/>
              <w:rPr>
                <w:rFonts w:ascii="Arial" w:hAnsi="Arial" w:cs="Arial"/>
                <w:color w:val="1036A0"/>
                <w:sz w:val="20"/>
                <w:szCs w:val="20"/>
              </w:rPr>
            </w:pPr>
            <w:r w:rsidRPr="003217DC">
              <w:rPr>
                <w:rFonts w:ascii="Arial" w:hAnsi="Arial"/>
                <w:color w:val="1036A0"/>
                <w:sz w:val="20"/>
                <w:szCs w:val="20"/>
              </w:rPr>
              <w:t xml:space="preserve">zástupci odvětví IKT (např. výrobci hardwaru, vývojáři softwaru, distributoři, dovozci) a profesionální uživatelé, </w:t>
            </w:r>
          </w:p>
          <w:p w:rsidR="005052E2" w:rsidRPr="003217DC" w:rsidP="00F400E9">
            <w:pPr>
              <w:pStyle w:val="ListParagraph"/>
              <w:numPr>
                <w:ilvl w:val="0"/>
                <w:numId w:val="42"/>
              </w:numPr>
              <w:spacing w:before="60" w:after="60"/>
              <w:jc w:val="both"/>
              <w:rPr>
                <w:rFonts w:ascii="Arial" w:hAnsi="Arial" w:cs="Arial"/>
                <w:color w:val="1036A0"/>
                <w:sz w:val="20"/>
                <w:szCs w:val="20"/>
              </w:rPr>
            </w:pPr>
            <w:r w:rsidRPr="003217DC">
              <w:rPr>
                <w:rFonts w:ascii="Arial" w:hAnsi="Arial"/>
                <w:color w:val="1036A0"/>
                <w:sz w:val="20"/>
                <w:szCs w:val="20"/>
              </w:rPr>
              <w:t xml:space="preserve">příslušné vnitrostátní orgány, včetně orgánů relevantních pro kybernetickou bezpečnost, </w:t>
            </w:r>
          </w:p>
          <w:p w:rsidR="005052E2" w:rsidRPr="003217DC" w:rsidP="00F400E9">
            <w:pPr>
              <w:pStyle w:val="ListParagraph"/>
              <w:numPr>
                <w:ilvl w:val="0"/>
                <w:numId w:val="42"/>
              </w:numPr>
              <w:spacing w:before="60" w:after="60"/>
              <w:jc w:val="both"/>
              <w:rPr>
                <w:rFonts w:ascii="Arial" w:hAnsi="Arial" w:cs="Arial"/>
                <w:color w:val="1036A0"/>
                <w:sz w:val="20"/>
                <w:szCs w:val="20"/>
              </w:rPr>
            </w:pPr>
            <w:r w:rsidRPr="003217DC">
              <w:rPr>
                <w:rFonts w:ascii="Arial" w:hAnsi="Arial"/>
                <w:color w:val="1036A0"/>
                <w:sz w:val="20"/>
                <w:szCs w:val="20"/>
              </w:rPr>
              <w:t xml:space="preserve">spotřebitelé a sdružení spotřebitelů, </w:t>
            </w:r>
          </w:p>
          <w:p w:rsidR="005052E2" w:rsidRPr="003217DC" w:rsidP="00F400E9">
            <w:pPr>
              <w:pStyle w:val="ListParagraph"/>
              <w:numPr>
                <w:ilvl w:val="0"/>
                <w:numId w:val="42"/>
              </w:numPr>
              <w:spacing w:before="60" w:after="60"/>
              <w:jc w:val="both"/>
              <w:rPr>
                <w:rFonts w:ascii="Arial" w:hAnsi="Arial" w:cs="Arial"/>
                <w:color w:val="1036A0"/>
                <w:sz w:val="20"/>
                <w:szCs w:val="20"/>
              </w:rPr>
            </w:pPr>
            <w:r w:rsidRPr="003217DC">
              <w:rPr>
                <w:rFonts w:ascii="Arial" w:hAnsi="Arial"/>
                <w:color w:val="1036A0"/>
                <w:sz w:val="20"/>
                <w:szCs w:val="20"/>
              </w:rPr>
              <w:t xml:space="preserve">subjekty posuzování shody, </w:t>
            </w:r>
          </w:p>
          <w:p w:rsidR="00EC02E9" w:rsidRPr="003217DC" w:rsidP="00F400E9">
            <w:pPr>
              <w:pStyle w:val="ListParagraph"/>
              <w:numPr>
                <w:ilvl w:val="0"/>
                <w:numId w:val="42"/>
              </w:numPr>
              <w:spacing w:before="60" w:after="60"/>
              <w:jc w:val="both"/>
              <w:rPr>
                <w:rFonts w:ascii="Arial" w:hAnsi="Arial" w:cs="Arial"/>
                <w:color w:val="1036A0"/>
                <w:sz w:val="20"/>
                <w:szCs w:val="20"/>
              </w:rPr>
            </w:pPr>
            <w:r w:rsidRPr="003217DC">
              <w:rPr>
                <w:rFonts w:ascii="Arial" w:hAnsi="Arial"/>
                <w:color w:val="1036A0"/>
                <w:sz w:val="20"/>
                <w:szCs w:val="20"/>
              </w:rPr>
              <w:t>odborná i široká veřejnost.</w:t>
            </w:r>
          </w:p>
        </w:tc>
      </w:tr>
    </w:tbl>
    <w:p w:rsidR="00EC02E9" w:rsidRPr="003217DC">
      <w:pPr>
        <w:rPr>
          <w:rFonts w:ascii="Arial" w:hAnsi="Arial" w:cs="Arial"/>
        </w:rPr>
      </w:pPr>
    </w:p>
    <w:sectPr>
      <w:footerReference w:type="even" r:id="rId14"/>
      <w:footerReference w:type="default" r:id="rId15"/>
      <w:headerReference w:type="first" r:id="rId16"/>
      <w:type w:val="continuous"/>
      <w:pgSz w:w="11906" w:h="16838" w:code="9"/>
      <w:pgMar w:top="851" w:right="567" w:bottom="851" w:left="1134" w:header="709"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5B9">
    <w:pPr>
      <w:pStyle w:val="Footer"/>
      <w:framePr w:wrap="none" w:vAnchor="text" w:hAnchor="margin" w:x="5037" w:y="1"/>
      <w:rPr>
        <w:rStyle w:val="PageNumber"/>
      </w:rPr>
    </w:pPr>
    <w:r>
      <w:rPr>
        <w:rStyle w:val="PageNumber"/>
      </w:rPr>
      <w:fldChar w:fldCharType="begin"/>
    </w:r>
    <w:r>
      <w:rPr>
        <w:rFonts w:hint="eastAsia"/>
      </w:rPr>
      <w:instrText>PAGE  \* MERGEFORMAT</w:instrText>
    </w:r>
    <w:r>
      <w:fldChar w:fldCharType="separate"/>
    </w:r>
    <w:r>
      <w:rPr>
        <w:rStyle w:val="PageNumber"/>
      </w:rPr>
      <w:t>1</w:t>
    </w:r>
    <w:r>
      <w:rPr>
        <w:rStyle w:val="PageNumber"/>
      </w:rPr>
      <w:fldChar w:fldCharType="end"/>
    </w:r>
  </w:p>
  <w:p w:rsidR="000C05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5B9">
    <w:pPr>
      <w:pStyle w:val="Footer"/>
      <w:framePr w:wrap="none" w:vAnchor="text" w:hAnchor="margin" w:y="1"/>
      <w:rPr>
        <w:rStyle w:val="PageNumber"/>
        <w:rFonts w:ascii="Arial" w:hAnsi="Arial"/>
        <w:sz w:val="16"/>
        <w:szCs w:val="16"/>
      </w:rPr>
    </w:pPr>
    <w:r>
      <w:tab/>
    </w:r>
    <w:r>
      <w:tab/>
    </w:r>
  </w:p>
  <w:p w:rsidR="000C05B9">
    <w:pPr>
      <w:pStyle w:val="Footer"/>
      <w:framePr w:wrap="none" w:vAnchor="text" w:hAnchor="margin" w:y="1"/>
      <w:rPr>
        <w:rStyle w:val="PageNumber"/>
        <w:rFonts w:ascii="Arial" w:hAnsi="Arial"/>
        <w:sz w:val="16"/>
        <w:szCs w:val="16"/>
      </w:rPr>
    </w:pPr>
    <w:r>
      <w:tab/>
    </w:r>
    <w:r>
      <w:tab/>
    </w:r>
    <w:r>
      <w:tab/>
    </w:r>
    <w:r>
      <w:rPr>
        <w:rStyle w:val="PageNumber"/>
        <w:rFonts w:ascii="Arial" w:hAnsi="Arial"/>
        <w:sz w:val="16"/>
        <w:szCs w:val="16"/>
      </w:rPr>
      <w:t xml:space="preserve"> </w:t>
    </w:r>
    <w:r>
      <w:rPr>
        <w:rStyle w:val="PageNumber"/>
        <w:rFonts w:ascii="Arial" w:hAnsi="Arial"/>
        <w:sz w:val="16"/>
        <w:szCs w:val="16"/>
      </w:rPr>
      <w:fldChar w:fldCharType="begin"/>
    </w:r>
    <w:r>
      <w:rPr>
        <w:rFonts w:hint="eastAsia"/>
      </w:rPr>
      <w:instrText>PAGE  \* MERGEFORMAT</w:instrText>
    </w:r>
    <w:r>
      <w:fldChar w:fldCharType="separate"/>
    </w:r>
    <w:r>
      <w:rPr>
        <w:rStyle w:val="PageNumber"/>
        <w:rFonts w:ascii="Arial" w:hAnsi="Arial"/>
        <w:sz w:val="16"/>
        <w:szCs w:val="16"/>
      </w:rPr>
      <w:t>1</w:t>
    </w:r>
    <w:r>
      <w:rPr>
        <w:rStyle w:val="PageNumber"/>
        <w:rFonts w:ascii="Arial" w:hAnsi="Arial"/>
        <w:sz w:val="16"/>
        <w:szCs w:val="16"/>
      </w:rPr>
      <w:fldChar w:fldCharType="end"/>
    </w:r>
  </w:p>
  <w:p w:rsidR="000C05B9">
    <w:pPr>
      <w:pStyle w:val="Footer"/>
      <w:rPr>
        <w:rFonts w:ascii="Arial" w:hAnsi="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5B9">
    <w:pPr>
      <w:pStyle w:val="Footer"/>
      <w:framePr w:wrap="none" w:vAnchor="text" w:hAnchor="margin" w:x="5037" w:y="1"/>
      <w:rPr>
        <w:rStyle w:val="PageNumber"/>
      </w:rPr>
    </w:pPr>
    <w:r>
      <w:rPr>
        <w:rStyle w:val="PageNumber"/>
      </w:rPr>
      <w:fldChar w:fldCharType="begin"/>
    </w:r>
    <w:r>
      <w:rPr>
        <w:rFonts w:hint="eastAsia"/>
      </w:rPr>
      <w:instrText>PAGE  \* MERGEFORMAT</w:instrText>
    </w:r>
    <w:r>
      <w:fldChar w:fldCharType="separate"/>
    </w:r>
    <w:r>
      <w:rPr>
        <w:rStyle w:val="PageNumber"/>
      </w:rPr>
      <w:t>1</w:t>
    </w:r>
    <w:r>
      <w:rPr>
        <w:rStyle w:val="PageNumber"/>
      </w:rPr>
      <w:fldChar w:fldCharType="end"/>
    </w:r>
  </w:p>
  <w:p w:rsidR="000C05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5B9">
    <w:pPr>
      <w:pStyle w:val="Footer"/>
      <w:framePr w:wrap="none" w:vAnchor="text" w:hAnchor="margin" w:y="1"/>
      <w:rPr>
        <w:rStyle w:val="PageNumber"/>
        <w:rFonts w:ascii="Arial" w:hAnsi="Arial"/>
        <w:sz w:val="16"/>
        <w:szCs w:val="16"/>
      </w:rPr>
    </w:pPr>
    <w:r>
      <w:tab/>
    </w:r>
    <w:r>
      <w:tab/>
    </w:r>
  </w:p>
  <w:p w:rsidR="000C05B9">
    <w:pPr>
      <w:pStyle w:val="Footer"/>
      <w:framePr w:wrap="none" w:vAnchor="text" w:hAnchor="margin" w:y="1"/>
      <w:rPr>
        <w:rStyle w:val="PageNumber"/>
        <w:rFonts w:ascii="Arial" w:hAnsi="Arial"/>
        <w:sz w:val="16"/>
        <w:szCs w:val="16"/>
      </w:rPr>
    </w:pPr>
    <w:r>
      <w:tab/>
    </w:r>
    <w:r>
      <w:tab/>
    </w:r>
    <w:r>
      <w:tab/>
    </w:r>
    <w:r>
      <w:rPr>
        <w:rStyle w:val="PageNumber"/>
        <w:rFonts w:ascii="Arial" w:hAnsi="Arial"/>
        <w:sz w:val="16"/>
        <w:szCs w:val="16"/>
      </w:rPr>
      <w:t xml:space="preserve"> </w:t>
    </w:r>
    <w:r>
      <w:rPr>
        <w:rStyle w:val="PageNumber"/>
        <w:rFonts w:ascii="Arial" w:hAnsi="Arial"/>
        <w:sz w:val="16"/>
        <w:szCs w:val="16"/>
      </w:rPr>
      <w:fldChar w:fldCharType="begin"/>
    </w:r>
    <w:r>
      <w:rPr>
        <w:rFonts w:hint="eastAsia"/>
      </w:rPr>
      <w:instrText>PAGE  \* MERGEFORMAT</w:instrText>
    </w:r>
    <w:r>
      <w:fldChar w:fldCharType="separate"/>
    </w:r>
    <w:r w:rsidRPr="003217DC" w:rsidR="003217DC">
      <w:rPr>
        <w:rStyle w:val="PageNumber"/>
        <w:rFonts w:ascii="Arial" w:hAnsi="Arial"/>
        <w:noProof/>
        <w:sz w:val="16"/>
        <w:szCs w:val="16"/>
      </w:rPr>
      <w:t>3</w:t>
    </w:r>
    <w:r>
      <w:rPr>
        <w:rStyle w:val="PageNumber"/>
        <w:rFonts w:ascii="Arial" w:hAnsi="Arial"/>
        <w:sz w:val="16"/>
        <w:szCs w:val="16"/>
      </w:rPr>
      <w:fldChar w:fldCharType="end"/>
    </w:r>
  </w:p>
  <w:p w:rsidR="000C05B9">
    <w:pPr>
      <w:pStyle w:val="Footer"/>
      <w:rPr>
        <w:rFonts w:ascii="Arial" w:hAnsi="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C05B9">
      <w:r>
        <w:separator/>
      </w:r>
    </w:p>
  </w:footnote>
  <w:footnote w:type="continuationSeparator" w:id="1">
    <w:p w:rsidR="000C05B9">
      <w:r>
        <w:continuationSeparator/>
      </w:r>
    </w:p>
  </w:footnote>
  <w:footnote w:type="continuationNotice" w:id="2">
    <w:p w:rsidR="000C05B9"/>
  </w:footnote>
  <w:footnote w:id="3">
    <w:p w:rsidR="000C05B9" w:rsidRPr="00472C4E" w:rsidP="00BD0D07">
      <w:pPr>
        <w:pStyle w:val="FootnoteText"/>
        <w:spacing w:after="0"/>
        <w:rPr>
          <w:rFonts w:ascii="Arial" w:hAnsi="Arial" w:cs="Arial"/>
          <w:color w:val="1036A0"/>
          <w:sz w:val="18"/>
          <w:szCs w:val="18"/>
        </w:rPr>
      </w:pPr>
      <w:r>
        <w:rPr>
          <w:rStyle w:val="FootnoteReference"/>
          <w:rFonts w:ascii="Arial" w:hAnsi="Arial" w:cs="Arial"/>
          <w:color w:val="1036A0"/>
          <w:sz w:val="18"/>
          <w:szCs w:val="18"/>
        </w:rPr>
        <w:footnoteRef/>
      </w:r>
      <w:r>
        <w:rPr>
          <w:rFonts w:ascii="Arial" w:hAnsi="Arial"/>
          <w:color w:val="1036A0"/>
          <w:sz w:val="18"/>
          <w:szCs w:val="18"/>
        </w:rPr>
        <w:t xml:space="preserve"> </w:t>
      </w:r>
      <w:r>
        <w:tab/>
      </w:r>
      <w:r>
        <w:rPr>
          <w:rFonts w:ascii="Arial" w:hAnsi="Arial"/>
          <w:color w:val="1036A0"/>
          <w:sz w:val="18"/>
          <w:szCs w:val="18"/>
        </w:rPr>
        <w:t xml:space="preserve">Směrnice o bezpečnosti sítí a informačních systémů je v současné době přezkoumávána (probíhají třístranná jednání). Viz návrh Komise: </w:t>
      </w:r>
      <w:r>
        <w:fldChar w:fldCharType="begin"/>
      </w:r>
      <w:r>
        <w:instrText xml:space="preserve"> HYPERLINK "https://eur-lex.europa.eu/legal-content/cs/TXT/?uri=COM:2020:823:FIN" </w:instrText>
      </w:r>
      <w:r>
        <w:fldChar w:fldCharType="separate"/>
      </w:r>
      <w:r>
        <w:rPr>
          <w:rStyle w:val="Hyperlink"/>
          <w:rFonts w:ascii="Arial" w:hAnsi="Arial"/>
          <w:color w:val="1036A0"/>
          <w:sz w:val="18"/>
          <w:szCs w:val="18"/>
        </w:rPr>
        <w:t>https://eur-lex.europa.eu/legal-content/cs/TXT/?uri=COM%3A2020%3A823%3AFIN</w:t>
      </w:r>
      <w:r>
        <w:fldChar w:fldCharType="end"/>
      </w:r>
      <w:r>
        <w:rPr>
          <w:rFonts w:ascii="Arial" w:hAnsi="Arial"/>
          <w:color w:val="1036A0"/>
          <w:sz w:val="18"/>
          <w:szCs w:val="18"/>
        </w:rPr>
        <w:t xml:space="preserve">. </w:t>
      </w:r>
    </w:p>
  </w:footnote>
  <w:footnote w:id="4">
    <w:p w:rsidR="000C05B9" w:rsidRPr="00472C4E" w:rsidP="00BD0D07">
      <w:pPr>
        <w:pStyle w:val="FootnoteText"/>
        <w:spacing w:after="0"/>
      </w:pPr>
      <w:r>
        <w:rPr>
          <w:rStyle w:val="FootnoteReference"/>
        </w:rPr>
        <w:footnoteRef/>
      </w:r>
      <w:r>
        <w:t xml:space="preserve"> </w:t>
      </w:r>
      <w:r>
        <w:tab/>
      </w:r>
      <w:r>
        <w:rPr>
          <w:rFonts w:ascii="Arial" w:hAnsi="Arial"/>
          <w:color w:val="1036A0"/>
          <w:sz w:val="18"/>
          <w:szCs w:val="18"/>
        </w:rPr>
        <w:t>JRC, „</w:t>
      </w:r>
      <w:r>
        <w:rPr>
          <w:rFonts w:ascii="Arial" w:hAnsi="Arial"/>
          <w:i/>
          <w:color w:val="1036A0"/>
          <w:sz w:val="18"/>
          <w:szCs w:val="18"/>
        </w:rPr>
        <w:t>Kybernetická bezpečnost – naše digitální opora</w:t>
      </w:r>
      <w:r>
        <w:rPr>
          <w:rFonts w:ascii="Arial" w:hAnsi="Arial"/>
          <w:color w:val="1036A0"/>
          <w:sz w:val="18"/>
          <w:szCs w:val="18"/>
        </w:rPr>
        <w:t xml:space="preserve">“, 2020: </w:t>
      </w:r>
      <w:r>
        <w:fldChar w:fldCharType="begin"/>
      </w:r>
      <w:r>
        <w:instrText xml:space="preserve"> HYPERLINK "https://publications.jrc.ec.europa.eu/repository/handle/JRC121051" </w:instrText>
      </w:r>
      <w:r>
        <w:fldChar w:fldCharType="separate"/>
      </w:r>
      <w:r>
        <w:rPr>
          <w:rStyle w:val="Hyperlink"/>
          <w:rFonts w:ascii="Arial" w:hAnsi="Arial"/>
          <w:sz w:val="18"/>
          <w:szCs w:val="18"/>
        </w:rPr>
        <w:t>https://publications.jrc.ec.europa.eu/repository/handle/JRC121051</w:t>
      </w:r>
      <w:r>
        <w:fldChar w:fldCharType="end"/>
      </w:r>
      <w:r>
        <w:t>.</w:t>
      </w:r>
      <w:r>
        <w:rPr>
          <w:rFonts w:ascii="Arial" w:hAnsi="Arial"/>
          <w:color w:val="1036A0"/>
          <w:sz w:val="18"/>
          <w:szCs w:val="18"/>
        </w:rPr>
        <w:t xml:space="preserve"> </w:t>
      </w:r>
    </w:p>
  </w:footnote>
  <w:footnote w:id="5">
    <w:p w:rsidR="000C05B9" w:rsidRPr="00472C4E" w:rsidP="00A3164C">
      <w:pPr>
        <w:pStyle w:val="FootnoteText"/>
      </w:pPr>
      <w:r>
        <w:rPr>
          <w:rStyle w:val="FootnoteReference"/>
        </w:rPr>
        <w:footnoteRef/>
      </w:r>
      <w:r>
        <w:t xml:space="preserve"> </w:t>
      </w:r>
      <w:r>
        <w:tab/>
      </w:r>
      <w:r>
        <w:rPr>
          <w:rFonts w:ascii="Arial" w:hAnsi="Arial"/>
          <w:color w:val="1036A0"/>
          <w:sz w:val="18"/>
          <w:szCs w:val="18"/>
        </w:rPr>
        <w:t>Pro účely této výzvy k předložení faktických podkladů zahrnuje pojem „digitální produkt“ jak hardwarové, tak softwarové produkty, včetně softwaru, který může být zpřístupněn bez hardwaru (nevestavěný software). „Hardwarový produkt“ je definován jako zařízení nebo skupina vzájemně propojených nebo souvisejících zařízení, z nichž jedno nebo více provádí na základě programu automatické zpracování digitálních dat. „Softwarový produkt“ je definován jako nehmotný statek, který zpracovává digitální data uchovávaná, získaná nebo předávaná hardwarovým zařízením.</w:t>
      </w:r>
    </w:p>
  </w:footnote>
  <w:footnote w:id="6">
    <w:p w:rsidR="000C05B9" w:rsidRPr="00472C4E" w:rsidP="00BD0D07">
      <w:pPr>
        <w:pStyle w:val="FootnoteText"/>
        <w:spacing w:after="0"/>
      </w:pPr>
      <w:r>
        <w:rPr>
          <w:rStyle w:val="FootnoteReference"/>
          <w:rFonts w:ascii="Arial" w:hAnsi="Arial" w:cs="Arial"/>
          <w:color w:val="1036A0"/>
          <w:sz w:val="18"/>
          <w:szCs w:val="18"/>
        </w:rPr>
        <w:footnoteRef/>
      </w:r>
      <w:r>
        <w:rPr>
          <w:rFonts w:ascii="Arial" w:hAnsi="Arial"/>
          <w:color w:val="1036A0"/>
          <w:sz w:val="18"/>
          <w:szCs w:val="18"/>
        </w:rPr>
        <w:t xml:space="preserve"> </w:t>
      </w:r>
      <w:r>
        <w:tab/>
      </w:r>
      <w:r>
        <w:rPr>
          <w:rFonts w:ascii="Arial" w:hAnsi="Arial"/>
          <w:color w:val="1036A0"/>
          <w:sz w:val="18"/>
          <w:szCs w:val="18"/>
        </w:rPr>
        <w:t>„Doplňkovou službou“ se rozumí (digitální) služba, jejíž absence by znemožnila hmotnému produktu plnit jeho funkce.</w:t>
      </w:r>
      <w:r>
        <w:rPr>
          <w:color w:val="1036A0"/>
        </w:rPr>
        <w:t xml:space="preserve"> </w:t>
      </w:r>
    </w:p>
  </w:footnote>
  <w:footnote w:id="7">
    <w:p w:rsidR="000C05B9" w:rsidRPr="00472C4E" w:rsidP="0074108B">
      <w:pPr>
        <w:pStyle w:val="FootnoteText"/>
      </w:pPr>
      <w:r>
        <w:rPr>
          <w:rStyle w:val="FootnoteReference"/>
        </w:rPr>
        <w:footnoteRef/>
      </w:r>
      <w:r>
        <w:t xml:space="preserve"> </w:t>
      </w:r>
      <w:r>
        <w:rPr>
          <w:rFonts w:ascii="Arial" w:hAnsi="Arial"/>
          <w:color w:val="1036A0"/>
          <w:sz w:val="18"/>
          <w:szCs w:val="18"/>
        </w:rPr>
        <w:tab/>
        <w:t>Příkladem hmotných digitálních produktů jsou koncová zařízení, jako jsou čidla a kamery, čipové karty, mobilní zařízení nebo síťová zařízení, jako jsou směrovače a přepínače.</w:t>
      </w:r>
    </w:p>
  </w:footnote>
  <w:footnote w:id="8">
    <w:p w:rsidR="000C05B9" w:rsidRPr="00472C4E" w:rsidP="00BD0D07">
      <w:pPr>
        <w:pStyle w:val="FootnoteText"/>
        <w:spacing w:after="0"/>
        <w:rPr>
          <w:rFonts w:ascii="Arial" w:hAnsi="Arial" w:cs="Arial"/>
          <w:color w:val="1036A0"/>
          <w:sz w:val="18"/>
          <w:szCs w:val="18"/>
        </w:rPr>
      </w:pPr>
      <w:r>
        <w:rPr>
          <w:rStyle w:val="FootnoteReference"/>
          <w:rFonts w:ascii="Arial" w:hAnsi="Arial" w:cs="Arial"/>
          <w:color w:val="1036A0"/>
          <w:sz w:val="18"/>
          <w:szCs w:val="18"/>
        </w:rPr>
        <w:footnoteRef/>
      </w:r>
      <w:r>
        <w:rPr>
          <w:rFonts w:ascii="Arial" w:hAnsi="Arial"/>
          <w:color w:val="1036A0"/>
          <w:sz w:val="18"/>
          <w:szCs w:val="18"/>
        </w:rPr>
        <w:t xml:space="preserve"> </w:t>
      </w:r>
      <w:r>
        <w:tab/>
      </w:r>
      <w:r>
        <w:rPr>
          <w:rFonts w:ascii="Arial" w:hAnsi="Arial"/>
          <w:color w:val="1036A0"/>
          <w:sz w:val="18"/>
          <w:szCs w:val="18"/>
        </w:rPr>
        <w:t>Software, který je dodáván s aplikacemi, jež se liší od základních funkcí digitálního produktu.</w:t>
      </w:r>
    </w:p>
  </w:footnote>
  <w:footnote w:id="9">
    <w:p w:rsidR="000C05B9" w:rsidRPr="00472C4E" w:rsidP="00C8581D">
      <w:pPr>
        <w:pStyle w:val="FootnoteText"/>
        <w:spacing w:after="0"/>
      </w:pPr>
      <w:r>
        <w:rPr>
          <w:rStyle w:val="FootnoteReference"/>
        </w:rPr>
        <w:footnoteRef/>
      </w:r>
      <w:r>
        <w:t xml:space="preserve"> </w:t>
      </w:r>
      <w:r>
        <w:tab/>
      </w:r>
      <w:r>
        <w:rPr>
          <w:rFonts w:ascii="Arial" w:hAnsi="Arial"/>
          <w:color w:val="1036A0"/>
          <w:sz w:val="18"/>
          <w:szCs w:val="18"/>
        </w:rPr>
        <w:t>K „síťovému efektu“ dochází tehdy, když se hodnota nebo užitek, který uživatel získává ze zboží nebo služby, zvyšuje, když se zvyšuje počet uživatelů kompatibilních produktů nebo služeb.</w:t>
      </w:r>
    </w:p>
  </w:footnote>
  <w:footnote w:id="10">
    <w:p w:rsidR="000C05B9" w:rsidRPr="00472C4E" w:rsidP="00BD0D07">
      <w:pPr>
        <w:pStyle w:val="FootnoteText"/>
        <w:spacing w:after="0"/>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r>
        <w:tab/>
      </w:r>
      <w:r>
        <w:rPr>
          <w:rFonts w:ascii="Arial" w:hAnsi="Arial"/>
          <w:color w:val="1036A0"/>
          <w:sz w:val="18"/>
          <w:szCs w:val="18"/>
        </w:rPr>
        <w:t>Software, který přímo podporuje funkci zařízení, na kterém je software stažen</w:t>
      </w:r>
      <w:r>
        <w:rPr>
          <w:rFonts w:ascii="Arial" w:hAnsi="Arial"/>
          <w:sz w:val="18"/>
          <w:szCs w:val="18"/>
        </w:rPr>
        <w:t xml:space="preserve">. </w:t>
      </w:r>
    </w:p>
  </w:footnote>
  <w:footnote w:id="11">
    <w:p w:rsidR="000C05B9" w:rsidRPr="00472C4E" w:rsidP="00BD0D07">
      <w:pPr>
        <w:pStyle w:val="FootnoteText"/>
        <w:spacing w:after="0"/>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r>
        <w:tab/>
      </w:r>
      <w:r>
        <w:rPr>
          <w:rFonts w:ascii="Arial" w:hAnsi="Arial"/>
          <w:color w:val="1036A0"/>
          <w:sz w:val="18"/>
          <w:szCs w:val="18"/>
        </w:rPr>
        <w:t>„Zranitelné místo“ je slabé místo ve výpočetní logice, které se nachází v softwarových a hardwarových součástech a které má při zneužití negativní dopad na dostupnost služeb, důvěrnost informací, bezpečnost atd.</w:t>
      </w:r>
    </w:p>
  </w:footnote>
  <w:footnote w:id="12">
    <w:p w:rsidR="000C05B9" w:rsidRPr="00BD0D07" w:rsidP="00BD0D07">
      <w:pPr>
        <w:pStyle w:val="FootnoteText"/>
        <w:spacing w:after="0"/>
      </w:pPr>
      <w:r>
        <w:rPr>
          <w:rStyle w:val="FootnoteReference"/>
          <w:rFonts w:ascii="Arial" w:hAnsi="Arial" w:cs="Arial"/>
          <w:sz w:val="18"/>
          <w:szCs w:val="18"/>
        </w:rPr>
        <w:footnoteRef/>
      </w:r>
      <w:r>
        <w:rPr>
          <w:rFonts w:ascii="Arial" w:hAnsi="Arial"/>
          <w:sz w:val="18"/>
          <w:szCs w:val="18"/>
        </w:rPr>
        <w:t xml:space="preserve"> </w:t>
      </w:r>
      <w:r>
        <w:tab/>
      </w:r>
      <w:r>
        <w:rPr>
          <w:rFonts w:ascii="Arial" w:hAnsi="Arial"/>
          <w:color w:val="1036A0"/>
          <w:sz w:val="18"/>
          <w:szCs w:val="18"/>
        </w:rPr>
        <w:t>Mezi významné příklady patří Kaseya (2021), WannaCry (2017) a Pegasus (od roku 2016).</w:t>
      </w:r>
    </w:p>
  </w:footnote>
  <w:footnote w:id="13">
    <w:p w:rsidR="000C05B9" w:rsidRPr="00BD0D07">
      <w:pPr>
        <w:pStyle w:val="FootnoteText"/>
        <w:rPr>
          <w:i/>
        </w:rPr>
      </w:pPr>
      <w:r>
        <w:rPr>
          <w:rStyle w:val="FootnoteReference"/>
        </w:rPr>
        <w:footnoteRef/>
      </w:r>
      <w:r>
        <w:t xml:space="preserve"> </w:t>
      </w:r>
      <w:r>
        <w:tab/>
      </w:r>
      <w:r>
        <w:rPr>
          <w:rFonts w:ascii="Arial" w:hAnsi="Arial"/>
          <w:color w:val="1036A0"/>
          <w:sz w:val="18"/>
          <w:szCs w:val="18"/>
        </w:rPr>
        <w:t xml:space="preserve">Viz </w:t>
      </w:r>
      <w:r>
        <w:rPr>
          <w:rFonts w:ascii="Arial" w:hAnsi="Arial"/>
          <w:i/>
          <w:color w:val="1036A0"/>
          <w:sz w:val="18"/>
          <w:szCs w:val="18"/>
        </w:rPr>
        <w:t>Strategie EU pro normalizaci</w:t>
      </w:r>
      <w:r>
        <w:rPr>
          <w:rFonts w:ascii="Arial" w:hAnsi="Arial"/>
          <w:color w:val="1036A0"/>
          <w:sz w:val="18"/>
          <w:szCs w:val="18"/>
        </w:rPr>
        <w:t>, 2 února 2022</w:t>
      </w:r>
      <w:r>
        <w:t>:</w:t>
      </w:r>
      <w:r>
        <w:rPr>
          <w:rFonts w:ascii="Arial" w:hAnsi="Arial"/>
          <w:color w:val="1036A0"/>
          <w:sz w:val="18"/>
          <w:szCs w:val="18"/>
        </w:rPr>
        <w:t xml:space="preserve"> </w:t>
      </w:r>
      <w:r>
        <w:fldChar w:fldCharType="begin"/>
      </w:r>
      <w:r>
        <w:instrText xml:space="preserve"> HYPERLINK "https://ec.europa.eu/docsroom/documents/48598" </w:instrText>
      </w:r>
      <w:r>
        <w:fldChar w:fldCharType="separate"/>
      </w:r>
      <w:r>
        <w:rPr>
          <w:rStyle w:val="Hyperlink"/>
          <w:rFonts w:ascii="Arial" w:hAnsi="Arial"/>
          <w:sz w:val="18"/>
          <w:szCs w:val="18"/>
        </w:rPr>
        <w:t>https://ec.europa.eu/docsroom/documents/48598</w:t>
      </w:r>
      <w:r>
        <w:fldChar w:fldCharType="end"/>
      </w:r>
      <w:r>
        <w:t>.</w:t>
      </w:r>
      <w:r>
        <w:rPr>
          <w:rFonts w:ascii="Arial" w:hAnsi="Arial"/>
          <w:color w:val="1036A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5B9">
    <w:pPr>
      <w:pStyle w:val="Header"/>
      <w:jc w:val="center"/>
    </w:pPr>
    <w:r>
      <w:rPr>
        <w:noProof/>
        <w:sz w:val="20"/>
        <w:lang w:val="en-US" w:eastAsia="en-US"/>
      </w:rPr>
      <w:drawing>
        <wp:inline distT="0" distB="0" distL="0" distR="0">
          <wp:extent cx="1908174" cy="508635"/>
          <wp:effectExtent l="0" t="0" r="0" b="5715"/>
          <wp:docPr id="3" name="Picture 1"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78A3A73E-0907-42AD-81EE-61E141AB8D9B/tmp/Polaris/engine/image2.jpe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08810" cy="50927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05B9">
    <w:pPr>
      <w:pStyle w:val="Header"/>
      <w:jc w:val="center"/>
    </w:pPr>
    <w:r>
      <w:rPr>
        <w:noProof/>
        <w:sz w:val="20"/>
        <w:lang w:val="en-US" w:eastAsia="en-US"/>
      </w:rPr>
      <w:drawing>
        <wp:inline distT="0" distB="0" distL="0" distR="0">
          <wp:extent cx="1908174" cy="508635"/>
          <wp:effectExtent l="0" t="0" r="0" b="5715"/>
          <wp:docPr id="15" name="Picture 2"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ivate/var/mobile/Containers/Data/Application/78A3A73E-0907-42AD-81EE-61E141AB8D9B/tmp/Polaris/engine/image2.jpe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08810" cy="5092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90FA4"/>
    <w:multiLevelType w:val="hybridMultilevel"/>
    <w:tmpl w:val="860608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441D95"/>
    <w:multiLevelType w:val="hybridMultilevel"/>
    <w:tmpl w:val="12F22AD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C96C9A"/>
    <w:multiLevelType w:val="hybridMultilevel"/>
    <w:tmpl w:val="2BFAA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D9677A"/>
    <w:multiLevelType w:val="hybridMultilevel"/>
    <w:tmpl w:val="76B695EC"/>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C455DA"/>
    <w:multiLevelType w:val="hybridMultilevel"/>
    <w:tmpl w:val="AE98873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000000"/>
    <w:multiLevelType w:val="hybridMultilevel"/>
    <w:tmpl w:val="2209A899"/>
    <w:lvl w:ilvl="0">
      <w:start w:val="1"/>
      <w:numFmt w:val="bullet"/>
      <w:lvlText w:val="Ø"/>
      <w:lvlJc w:val="left"/>
      <w:pPr>
        <w:tabs>
          <w:tab w:val="left" w:pos="720"/>
        </w:tabs>
        <w:ind w:left="720" w:hanging="360"/>
      </w:pPr>
      <w:rPr>
        <w:rFonts w:ascii="Wingdings" w:hAnsi="Wingdings"/>
      </w:rPr>
    </w:lvl>
    <w:lvl w:ilvl="1">
      <w:start w:val="1"/>
      <w:numFmt w:val="bullet"/>
      <w:lvlText w:val="Ø"/>
      <w:lvlJc w:val="left"/>
      <w:pPr>
        <w:tabs>
          <w:tab w:val="left" w:pos="720"/>
        </w:tabs>
        <w:ind w:left="720" w:hanging="360"/>
      </w:pPr>
      <w:rPr>
        <w:rFonts w:ascii="Wingdings" w:hAnsi="Wingdings"/>
      </w:rPr>
    </w:lvl>
    <w:lvl w:ilvl="2">
      <w:start w:val="1"/>
      <w:numFmt w:val="bullet"/>
      <w:lvlText w:val="Ø"/>
      <w:lvlJc w:val="left"/>
      <w:pPr>
        <w:tabs>
          <w:tab w:val="left" w:pos="720"/>
        </w:tabs>
        <w:ind w:left="720" w:hanging="360"/>
      </w:pPr>
      <w:rPr>
        <w:rFonts w:ascii="Wingdings" w:hAnsi="Wingdings"/>
      </w:rPr>
    </w:lvl>
    <w:lvl w:ilvl="3">
      <w:start w:val="1"/>
      <w:numFmt w:val="bullet"/>
      <w:lvlText w:val="Ø"/>
      <w:lvlJc w:val="left"/>
      <w:pPr>
        <w:tabs>
          <w:tab w:val="left" w:pos="720"/>
        </w:tabs>
        <w:ind w:left="720" w:hanging="360"/>
      </w:pPr>
      <w:rPr>
        <w:rFonts w:ascii="Wingdings" w:hAnsi="Wingdings"/>
      </w:rPr>
    </w:lvl>
    <w:lvl w:ilvl="4">
      <w:start w:val="1"/>
      <w:numFmt w:val="bullet"/>
      <w:lvlText w:val="Ø"/>
      <w:lvlJc w:val="left"/>
      <w:pPr>
        <w:tabs>
          <w:tab w:val="left" w:pos="720"/>
        </w:tabs>
        <w:ind w:left="720" w:hanging="360"/>
      </w:pPr>
      <w:rPr>
        <w:rFonts w:ascii="Wingdings" w:hAnsi="Wingdings"/>
      </w:rPr>
    </w:lvl>
    <w:lvl w:ilvl="5">
      <w:start w:val="1"/>
      <w:numFmt w:val="bullet"/>
      <w:lvlText w:val="Ø"/>
      <w:lvlJc w:val="left"/>
      <w:pPr>
        <w:tabs>
          <w:tab w:val="left" w:pos="720"/>
        </w:tabs>
        <w:ind w:left="720" w:hanging="360"/>
      </w:pPr>
      <w:rPr>
        <w:rFonts w:ascii="Wingdings" w:hAnsi="Wingdings"/>
      </w:rPr>
    </w:lvl>
    <w:lvl w:ilvl="6">
      <w:start w:val="1"/>
      <w:numFmt w:val="bullet"/>
      <w:lvlText w:val="Ø"/>
      <w:lvlJc w:val="left"/>
      <w:pPr>
        <w:tabs>
          <w:tab w:val="left" w:pos="720"/>
        </w:tabs>
        <w:ind w:left="720" w:hanging="360"/>
      </w:pPr>
      <w:rPr>
        <w:rFonts w:ascii="Wingdings" w:hAnsi="Wingdings"/>
      </w:rPr>
    </w:lvl>
    <w:lvl w:ilvl="7">
      <w:start w:val="1"/>
      <w:numFmt w:val="bullet"/>
      <w:lvlText w:val="Ø"/>
      <w:lvlJc w:val="left"/>
      <w:pPr>
        <w:tabs>
          <w:tab w:val="left" w:pos="720"/>
        </w:tabs>
        <w:ind w:left="720" w:hanging="360"/>
      </w:pPr>
      <w:rPr>
        <w:rFonts w:ascii="Wingdings" w:hAnsi="Wingdings"/>
      </w:rPr>
    </w:lvl>
    <w:lvl w:ilvl="8">
      <w:start w:val="1"/>
      <w:numFmt w:val="bullet"/>
      <w:lvlText w:val="Ø"/>
      <w:lvlJc w:val="left"/>
      <w:pPr>
        <w:tabs>
          <w:tab w:val="left" w:pos="720"/>
        </w:tabs>
        <w:ind w:left="720" w:hanging="360"/>
      </w:pPr>
      <w:rPr>
        <w:rFonts w:ascii="Wingdings" w:hAnsi="Wingdings"/>
      </w:rPr>
    </w:lvl>
  </w:abstractNum>
  <w:abstractNum w:abstractNumId="6">
    <w:nsid w:val="2F000001"/>
    <w:multiLevelType w:val="multilevel"/>
    <w:tmpl w:val="4E1BF73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nsid w:val="2F000002"/>
    <w:multiLevelType w:val="hybridMultilevel"/>
    <w:tmpl w:val="3401C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000003"/>
    <w:multiLevelType w:val="hybridMultilevel"/>
    <w:tmpl w:val="477D26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000004"/>
    <w:multiLevelType w:val="hybridMultilevel"/>
    <w:tmpl w:val="4F690786"/>
    <w:lvl w:ilvl="0">
      <w:start w:val="1"/>
      <w:numFmt w:val="bullet"/>
      <w:lvlText w:val="·"/>
      <w:lvlJc w:val="left"/>
      <w:pPr>
        <w:ind w:left="644" w:hanging="360"/>
      </w:pPr>
      <w:rPr>
        <w:rFonts w:ascii="Symbol" w:hAnsi="Symbol" w:hint="default"/>
      </w:rPr>
    </w:lvl>
    <w:lvl w:ilvl="1">
      <w:start w:val="0"/>
      <w:numFmt w:val="bullet"/>
      <w:lvlText w:val="-"/>
      <w:lvlJc w:val="left"/>
      <w:pPr>
        <w:ind w:left="1364" w:hanging="360"/>
      </w:pPr>
      <w:rPr>
        <w:rFonts w:ascii="Times New Roman" w:eastAsia="Times New Roman" w:hAnsi="Times New Roman" w:cs="Times New Roman"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nsid w:val="2F000005"/>
    <w:multiLevelType w:val="hybridMultilevel"/>
    <w:tmpl w:val="5E6D281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796" w:hanging="360"/>
      </w:pPr>
      <w:rPr>
        <w:rFonts w:ascii="Courier New" w:hAnsi="Courier New" w:cs="Courier New" w:hint="default"/>
      </w:rPr>
    </w:lvl>
    <w:lvl w:ilvl="2">
      <w:start w:val="1"/>
      <w:numFmt w:val="bullet"/>
      <w:lvlText w:val="§"/>
      <w:lvlJc w:val="left"/>
      <w:pPr>
        <w:ind w:left="1516" w:hanging="360"/>
      </w:pPr>
      <w:rPr>
        <w:rFonts w:ascii="Wingdings" w:hAnsi="Wingdings" w:hint="default"/>
      </w:rPr>
    </w:lvl>
    <w:lvl w:ilvl="3">
      <w:start w:val="1"/>
      <w:numFmt w:val="bullet"/>
      <w:lvlText w:val="·"/>
      <w:lvlJc w:val="left"/>
      <w:pPr>
        <w:ind w:left="2236" w:hanging="360"/>
      </w:pPr>
      <w:rPr>
        <w:rFonts w:ascii="Symbol" w:hAnsi="Symbol" w:hint="default"/>
      </w:rPr>
    </w:lvl>
    <w:lvl w:ilvl="4">
      <w:start w:val="1"/>
      <w:numFmt w:val="bullet"/>
      <w:lvlText w:val="o"/>
      <w:lvlJc w:val="left"/>
      <w:pPr>
        <w:ind w:left="2956" w:hanging="360"/>
      </w:pPr>
      <w:rPr>
        <w:rFonts w:ascii="Courier New" w:hAnsi="Courier New" w:cs="Courier New" w:hint="default"/>
      </w:rPr>
    </w:lvl>
    <w:lvl w:ilvl="5">
      <w:start w:val="1"/>
      <w:numFmt w:val="bullet"/>
      <w:lvlText w:val="§"/>
      <w:lvlJc w:val="left"/>
      <w:pPr>
        <w:ind w:left="3676" w:hanging="360"/>
      </w:pPr>
      <w:rPr>
        <w:rFonts w:ascii="Wingdings" w:hAnsi="Wingdings" w:hint="default"/>
      </w:rPr>
    </w:lvl>
    <w:lvl w:ilvl="6">
      <w:start w:val="1"/>
      <w:numFmt w:val="bullet"/>
      <w:lvlText w:val="·"/>
      <w:lvlJc w:val="left"/>
      <w:pPr>
        <w:ind w:left="4396" w:hanging="360"/>
      </w:pPr>
      <w:rPr>
        <w:rFonts w:ascii="Symbol" w:hAnsi="Symbol" w:hint="default"/>
      </w:rPr>
    </w:lvl>
    <w:lvl w:ilvl="7">
      <w:start w:val="1"/>
      <w:numFmt w:val="bullet"/>
      <w:lvlText w:val="o"/>
      <w:lvlJc w:val="left"/>
      <w:pPr>
        <w:ind w:left="5116" w:hanging="360"/>
      </w:pPr>
      <w:rPr>
        <w:rFonts w:ascii="Courier New" w:hAnsi="Courier New" w:cs="Courier New" w:hint="default"/>
      </w:rPr>
    </w:lvl>
    <w:lvl w:ilvl="8">
      <w:start w:val="1"/>
      <w:numFmt w:val="bullet"/>
      <w:lvlText w:val="§"/>
      <w:lvlJc w:val="left"/>
      <w:pPr>
        <w:ind w:left="5836" w:hanging="360"/>
      </w:pPr>
      <w:rPr>
        <w:rFonts w:ascii="Wingdings" w:hAnsi="Wingdings" w:hint="default"/>
      </w:rPr>
    </w:lvl>
  </w:abstractNum>
  <w:abstractNum w:abstractNumId="11">
    <w:nsid w:val="2F000006"/>
    <w:multiLevelType w:val="hybridMultilevel"/>
    <w:tmpl w:val="3661B572"/>
    <w:lvl w:ilvl="0">
      <w:start w:va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F000007"/>
    <w:multiLevelType w:val="hybridMultilevel"/>
    <w:tmpl w:val="2ECF7C2F"/>
    <w:lvl w:ilvl="0">
      <w:start w:val="1"/>
      <w:numFmt w:val="bullet"/>
      <w:pStyle w:val="Briefinglist1"/>
      <w:lvlText w:val="·"/>
      <w:lvlJc w:val="left"/>
      <w:pPr>
        <w:tabs>
          <w:tab w:val="left" w:pos="284"/>
        </w:tabs>
        <w:ind w:left="284" w:hanging="284"/>
      </w:pPr>
      <w:rPr>
        <w:rFonts w:ascii="Symbol" w:hAnsi="Symbol" w:hint="default"/>
        <w:b w:val="0"/>
        <w:i w:val="0"/>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F000008"/>
    <w:multiLevelType w:val="hybridMultilevel"/>
    <w:tmpl w:val="5DE21A98"/>
    <w:lvl w:ilvl="0">
      <w:start w:val="1"/>
      <w:numFmt w:val="bullet"/>
      <w:lvlText w:val="o"/>
      <w:lvlJc w:val="left"/>
      <w:pPr>
        <w:ind w:left="644" w:hanging="360"/>
      </w:pPr>
      <w:rPr>
        <w:rFonts w:ascii="Courier New" w:hAnsi="Courier New" w:cs="Courier New"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nsid w:val="2F000009"/>
    <w:multiLevelType w:val="multilevel"/>
    <w:tmpl w:val="4D401168"/>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nsid w:val="2F00000A"/>
    <w:multiLevelType w:val="hybridMultilevel"/>
    <w:tmpl w:val="4F36F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F00000B"/>
    <w:multiLevelType w:val="multilevel"/>
    <w:tmpl w:val="48B27AF6"/>
    <w:lvl w:ilvl="0">
      <w:start w:val="1"/>
      <w:numFmt w:val="decimal"/>
      <w:lvlText w:val="(%1)"/>
      <w:lvlJc w:val="left"/>
      <w:pPr>
        <w:tabs>
          <w:tab w:val="left" w:pos="850"/>
        </w:tabs>
        <w:ind w:left="0" w:hanging="964"/>
      </w:pPr>
      <w:rPr>
        <w:rFonts w:ascii="Times New Roman" w:hAnsi="Times New Roman" w:cs="Times New Roman" w:hint="default"/>
        <w:b w:val="0"/>
        <w:sz w:val="24"/>
        <w:szCs w:val="24"/>
      </w:rPr>
    </w:lvl>
    <w:lvl w:ilvl="1">
      <w:start w:val="1"/>
      <w:numFmt w:val="decimal"/>
      <w:lvlText w:val="%2)"/>
      <w:lvlJc w:val="left"/>
      <w:pPr>
        <w:tabs>
          <w:tab w:val="left" w:pos="850"/>
        </w:tabs>
        <w:ind w:left="850" w:hanging="850"/>
      </w:pPr>
      <w:rPr>
        <w:rFonts w:hint="default"/>
      </w:rPr>
    </w:lvl>
    <w:lvl w:ilvl="2">
      <w:start w:val="1"/>
      <w:numFmt w:val="decimal"/>
      <w:lvlText w:val="(%3)"/>
      <w:lvlJc w:val="left"/>
      <w:pPr>
        <w:tabs>
          <w:tab w:val="left" w:pos="1417"/>
        </w:tabs>
        <w:ind w:left="1417" w:hanging="567"/>
      </w:pPr>
      <w:rPr>
        <w:rFonts w:cs="Times New Roman" w:hint="default"/>
      </w:rPr>
    </w:lvl>
    <w:lvl w:ilvl="3">
      <w:start w:val="1"/>
      <w:numFmt w:val="lowerLetter"/>
      <w:lvlText w:val="(%4)"/>
      <w:lvlJc w:val="left"/>
      <w:pPr>
        <w:tabs>
          <w:tab w:val="left" w:pos="1417"/>
        </w:tabs>
        <w:ind w:left="1417" w:hanging="567"/>
      </w:pPr>
      <w:rPr>
        <w:rFonts w:cs="Times New Roman" w:hint="default"/>
      </w:rPr>
    </w:lvl>
    <w:lvl w:ilvl="4">
      <w:start w:val="1"/>
      <w:numFmt w:val="decimal"/>
      <w:lvlText w:val="(%5)"/>
      <w:lvlJc w:val="left"/>
      <w:pPr>
        <w:tabs>
          <w:tab w:val="left" w:pos="1984"/>
        </w:tabs>
        <w:ind w:left="1984" w:hanging="567"/>
      </w:pPr>
      <w:rPr>
        <w:rFonts w:cs="Times New Roman" w:hint="default"/>
      </w:rPr>
    </w:lvl>
    <w:lvl w:ilvl="5">
      <w:start w:val="1"/>
      <w:numFmt w:val="lowerLetter"/>
      <w:lvlText w:val="(%6)"/>
      <w:lvlJc w:val="left"/>
      <w:pPr>
        <w:tabs>
          <w:tab w:val="left" w:pos="1984"/>
        </w:tabs>
        <w:ind w:left="1984" w:hanging="567"/>
      </w:pPr>
      <w:rPr>
        <w:rFonts w:cs="Times New Roman" w:hint="default"/>
      </w:rPr>
    </w:lvl>
    <w:lvl w:ilvl="6">
      <w:start w:val="1"/>
      <w:numFmt w:val="decimal"/>
      <w:lvlText w:val="(%7)"/>
      <w:lvlJc w:val="left"/>
      <w:pPr>
        <w:tabs>
          <w:tab w:val="left" w:pos="2551"/>
        </w:tabs>
        <w:ind w:left="2551" w:hanging="567"/>
      </w:pPr>
      <w:rPr>
        <w:rFonts w:cs="Times New Roman" w:hint="default"/>
      </w:rPr>
    </w:lvl>
    <w:lvl w:ilvl="7">
      <w:start w:val="1"/>
      <w:numFmt w:val="lowerLetter"/>
      <w:lvlText w:val="(%8)"/>
      <w:lvlJc w:val="left"/>
      <w:pPr>
        <w:tabs>
          <w:tab w:val="left" w:pos="2551"/>
        </w:tabs>
        <w:ind w:left="2551" w:hanging="567"/>
      </w:pPr>
      <w:rPr>
        <w:rFonts w:cs="Times New Roman" w:hint="default"/>
      </w:rPr>
    </w:lvl>
    <w:lvl w:ilvl="8">
      <w:start w:val="1"/>
      <w:numFmt w:val="lowerLetter"/>
      <w:lvlText w:val="(%9)"/>
      <w:lvlJc w:val="left"/>
      <w:pPr>
        <w:tabs>
          <w:tab w:val="left" w:pos="3118"/>
        </w:tabs>
        <w:ind w:left="3118" w:hanging="567"/>
      </w:pPr>
      <w:rPr>
        <w:rFonts w:cs="Times New Roman" w:hint="default"/>
      </w:rPr>
    </w:lvl>
  </w:abstractNum>
  <w:abstractNum w:abstractNumId="17">
    <w:nsid w:val="2F00000C"/>
    <w:multiLevelType w:val="hybridMultilevel"/>
    <w:tmpl w:val="23A6E2B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nsid w:val="2F00000D"/>
    <w:multiLevelType w:val="hybridMultilevel"/>
    <w:tmpl w:val="476CB406"/>
    <w:lvl w:ilvl="0">
      <w:start w:val="1"/>
      <w:numFmt w:val="bullet"/>
      <w:lvlText w:val="·"/>
      <w:lvlJc w:val="left"/>
      <w:pPr>
        <w:ind w:left="644"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F00000E"/>
    <w:multiLevelType w:val="hybridMultilevel"/>
    <w:tmpl w:val="579F0AA5"/>
    <w:lvl w:ilvl="0">
      <w:start w:val="1"/>
      <w:numFmt w:val="bullet"/>
      <w:lvlText w:val="·"/>
      <w:lvlJc w:val="left"/>
      <w:pPr>
        <w:ind w:left="644"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2F00000F"/>
    <w:multiLevelType w:val="hybridMultilevel"/>
    <w:tmpl w:val="3074148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nsid w:val="2F000010"/>
    <w:multiLevelType w:val="hybridMultilevel"/>
    <w:tmpl w:val="3AEE2A1A"/>
    <w:lvl w:ilvl="0">
      <w:start w:val="1"/>
      <w:numFmt w:val="bullet"/>
      <w:lvlText w:val="­"/>
      <w:lvlJc w:val="left"/>
      <w:pPr>
        <w:ind w:left="644" w:hanging="360"/>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2F000011"/>
    <w:multiLevelType w:val="hybridMultilevel"/>
    <w:tmpl w:val="500E40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2F000012"/>
    <w:multiLevelType w:val="hybridMultilevel"/>
    <w:tmpl w:val="3D932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F000013"/>
    <w:multiLevelType w:val="hybridMultilevel"/>
    <w:tmpl w:val="2E37B242"/>
    <w:lvl w:ilvl="0">
      <w:start w:val="1"/>
      <w:numFmt w:val="lowerRoman"/>
      <w:lvlText w:val="%1."/>
      <w:lvlJc w:val="righ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nsid w:val="2F000014"/>
    <w:multiLevelType w:val="hybridMultilevel"/>
    <w:tmpl w:val="30981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F000015"/>
    <w:multiLevelType w:val="hybridMultilevel"/>
    <w:tmpl w:val="35FE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F000016"/>
    <w:multiLevelType w:val="hybridMultilevel"/>
    <w:tmpl w:val="29A80DD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2F000017"/>
    <w:multiLevelType w:val="hybridMultilevel"/>
    <w:tmpl w:val="3E2319CE"/>
    <w:lvl w:ilvl="0">
      <w:start w:val="1"/>
      <w:numFmt w:val="bullet"/>
      <w:pStyle w:val="ListBullet1"/>
      <w:lvlText w:val="·"/>
      <w:lvlJc w:val="left"/>
      <w:pPr>
        <w:tabs>
          <w:tab w:val="left" w:pos="1134"/>
        </w:tabs>
        <w:ind w:left="1134" w:hanging="283"/>
      </w:pPr>
      <w:rPr>
        <w:rFonts w:ascii="Symbol" w:hAnsi="Symbol" w:hint="default"/>
      </w:rPr>
    </w:lvl>
    <w:lvl w:ilvl="1">
      <w:start w:val="1"/>
      <w:numFmt w:val="bullet"/>
      <w:lvlRestart w:val="0"/>
      <w:lvlText w:val="·"/>
      <w:lvlJc w:val="left"/>
      <w:pPr>
        <w:tabs>
          <w:tab w:val="left" w:pos="1134"/>
        </w:tabs>
        <w:ind w:left="1134" w:hanging="283"/>
      </w:pPr>
      <w:rPr>
        <w:rFonts w:ascii="Symbol" w:hAnsi="Symbol" w:hint="default"/>
      </w:rPr>
    </w:lvl>
    <w:lvl w:ilvl="2">
      <w:start w:val="1"/>
      <w:numFmt w:val="bullet"/>
      <w:lvlRestart w:val="0"/>
      <w:lvlText w:val="·"/>
      <w:lvlJc w:val="left"/>
      <w:pPr>
        <w:tabs>
          <w:tab w:val="left" w:pos="1134"/>
        </w:tabs>
        <w:ind w:left="1134" w:hanging="283"/>
      </w:pPr>
      <w:rPr>
        <w:rFonts w:ascii="Symbol" w:hAnsi="Symbol" w:hint="default"/>
      </w:rPr>
    </w:lvl>
    <w:lvl w:ilvl="3">
      <w:start w:val="1"/>
      <w:numFmt w:val="bullet"/>
      <w:lvlRestart w:val="0"/>
      <w:lvlText w:val="·"/>
      <w:lvlJc w:val="left"/>
      <w:pPr>
        <w:tabs>
          <w:tab w:val="left" w:pos="1134"/>
        </w:tabs>
        <w:ind w:left="1134" w:hanging="283"/>
      </w:pPr>
      <w:rPr>
        <w:rFonts w:ascii="Symbol" w:hAnsi="Symbol" w:hint="default"/>
      </w:rPr>
    </w:lvl>
    <w:lvl w:ilvl="4">
      <w:start w:val="1"/>
      <w:numFmt w:val="bullet"/>
      <w:lvlRestart w:val="0"/>
      <w:lvlText w:val="·"/>
      <w:lvlJc w:val="left"/>
      <w:pPr>
        <w:tabs>
          <w:tab w:val="left" w:pos="1134"/>
        </w:tabs>
        <w:ind w:left="1134" w:hanging="283"/>
      </w:pPr>
      <w:rPr>
        <w:rFonts w:ascii="Symbol" w:hAnsi="Symbol" w:hint="default"/>
      </w:rPr>
    </w:lvl>
    <w:lvl w:ilvl="5">
      <w:start w:val="1"/>
      <w:numFmt w:val="bullet"/>
      <w:lvlRestart w:val="0"/>
      <w:lvlText w:val="·"/>
      <w:lvlJc w:val="left"/>
      <w:pPr>
        <w:tabs>
          <w:tab w:val="left" w:pos="1134"/>
        </w:tabs>
        <w:ind w:left="1134" w:hanging="283"/>
      </w:pPr>
      <w:rPr>
        <w:rFonts w:ascii="Symbol" w:hAnsi="Symbol" w:hint="default"/>
      </w:rPr>
    </w:lvl>
    <w:lvl w:ilvl="6">
      <w:start w:val="1"/>
      <w:numFmt w:val="bullet"/>
      <w:lvlRestart w:val="0"/>
      <w:lvlText w:val="·"/>
      <w:lvlJc w:val="left"/>
      <w:pPr>
        <w:tabs>
          <w:tab w:val="left" w:pos="1134"/>
        </w:tabs>
        <w:ind w:left="1134" w:hanging="283"/>
      </w:pPr>
      <w:rPr>
        <w:rFonts w:ascii="Symbol" w:hAnsi="Symbol" w:hint="default"/>
      </w:rPr>
    </w:lvl>
    <w:lvl w:ilvl="7">
      <w:start w:val="1"/>
      <w:numFmt w:val="bullet"/>
      <w:lvlRestart w:val="0"/>
      <w:lvlText w:val="·"/>
      <w:lvlJc w:val="left"/>
      <w:pPr>
        <w:tabs>
          <w:tab w:val="left" w:pos="1134"/>
        </w:tabs>
        <w:ind w:left="1134" w:hanging="283"/>
      </w:pPr>
      <w:rPr>
        <w:rFonts w:ascii="Symbol" w:hAnsi="Symbol" w:hint="default"/>
      </w:rPr>
    </w:lvl>
    <w:lvl w:ilvl="8">
      <w:start w:val="1"/>
      <w:numFmt w:val="bullet"/>
      <w:lvlRestart w:val="0"/>
      <w:lvlText w:val="·"/>
      <w:lvlJc w:val="left"/>
      <w:pPr>
        <w:tabs>
          <w:tab w:val="left" w:pos="1134"/>
        </w:tabs>
        <w:ind w:left="1134" w:hanging="283"/>
      </w:pPr>
      <w:rPr>
        <w:rFonts w:ascii="Symbol" w:hAnsi="Symbol" w:hint="default"/>
      </w:rPr>
    </w:lvl>
  </w:abstractNum>
  <w:abstractNum w:abstractNumId="29">
    <w:nsid w:val="2F000018"/>
    <w:multiLevelType w:val="hybridMultilevel"/>
    <w:tmpl w:val="58733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F000019"/>
    <w:multiLevelType w:val="hybridMultilevel"/>
    <w:tmpl w:val="5930772D"/>
    <w:lvl w:ilvl="0">
      <w:start w:val="1"/>
      <w:numFmt w:val="bullet"/>
      <w:pStyle w:val="ListBullet"/>
      <w:lvlText w:val="·"/>
      <w:lvlJc w:val="left"/>
      <w:pPr>
        <w:tabs>
          <w:tab w:val="left" w:pos="283"/>
        </w:tabs>
        <w:ind w:left="283" w:hanging="283"/>
      </w:pPr>
      <w:rPr>
        <w:rFonts w:ascii="Symbol" w:hAnsi="Symbol" w:hint="default"/>
      </w:rPr>
    </w:lvl>
    <w:lvl w:ilvl="1">
      <w:start w:val="1"/>
      <w:numFmt w:val="bullet"/>
      <w:lvlRestart w:val="0"/>
      <w:lvlText w:val="·"/>
      <w:lvlJc w:val="left"/>
      <w:pPr>
        <w:tabs>
          <w:tab w:val="left" w:pos="283"/>
        </w:tabs>
        <w:ind w:left="283" w:hanging="283"/>
      </w:pPr>
      <w:rPr>
        <w:rFonts w:ascii="Symbol" w:hAnsi="Symbol" w:hint="default"/>
      </w:rPr>
    </w:lvl>
    <w:lvl w:ilvl="2">
      <w:start w:val="1"/>
      <w:numFmt w:val="bullet"/>
      <w:lvlRestart w:val="0"/>
      <w:lvlText w:val="·"/>
      <w:lvlJc w:val="left"/>
      <w:pPr>
        <w:tabs>
          <w:tab w:val="left" w:pos="283"/>
        </w:tabs>
        <w:ind w:left="283" w:hanging="283"/>
      </w:pPr>
      <w:rPr>
        <w:rFonts w:ascii="Symbol" w:hAnsi="Symbol" w:hint="default"/>
      </w:rPr>
    </w:lvl>
    <w:lvl w:ilvl="3">
      <w:start w:val="1"/>
      <w:numFmt w:val="bullet"/>
      <w:lvlRestart w:val="0"/>
      <w:lvlText w:val="·"/>
      <w:lvlJc w:val="left"/>
      <w:pPr>
        <w:tabs>
          <w:tab w:val="left" w:pos="283"/>
        </w:tabs>
        <w:ind w:left="283" w:hanging="283"/>
      </w:pPr>
      <w:rPr>
        <w:rFonts w:ascii="Symbol" w:hAnsi="Symbol" w:hint="default"/>
      </w:rPr>
    </w:lvl>
    <w:lvl w:ilvl="4">
      <w:start w:val="1"/>
      <w:numFmt w:val="bullet"/>
      <w:lvlRestart w:val="0"/>
      <w:lvlText w:val="·"/>
      <w:lvlJc w:val="left"/>
      <w:pPr>
        <w:tabs>
          <w:tab w:val="left" w:pos="283"/>
        </w:tabs>
        <w:ind w:left="283" w:hanging="283"/>
      </w:pPr>
      <w:rPr>
        <w:rFonts w:ascii="Symbol" w:hAnsi="Symbol" w:hint="default"/>
      </w:rPr>
    </w:lvl>
    <w:lvl w:ilvl="5">
      <w:start w:val="1"/>
      <w:numFmt w:val="bullet"/>
      <w:lvlRestart w:val="0"/>
      <w:lvlText w:val="·"/>
      <w:lvlJc w:val="left"/>
      <w:pPr>
        <w:tabs>
          <w:tab w:val="left" w:pos="283"/>
        </w:tabs>
        <w:ind w:left="283" w:hanging="283"/>
      </w:pPr>
      <w:rPr>
        <w:rFonts w:ascii="Symbol" w:hAnsi="Symbol" w:hint="default"/>
      </w:rPr>
    </w:lvl>
    <w:lvl w:ilvl="6">
      <w:start w:val="1"/>
      <w:numFmt w:val="bullet"/>
      <w:lvlRestart w:val="0"/>
      <w:lvlText w:val="·"/>
      <w:lvlJc w:val="left"/>
      <w:pPr>
        <w:tabs>
          <w:tab w:val="left" w:pos="283"/>
        </w:tabs>
        <w:ind w:left="283" w:hanging="283"/>
      </w:pPr>
      <w:rPr>
        <w:rFonts w:ascii="Symbol" w:hAnsi="Symbol" w:hint="default"/>
      </w:rPr>
    </w:lvl>
    <w:lvl w:ilvl="7">
      <w:start w:val="1"/>
      <w:numFmt w:val="bullet"/>
      <w:lvlRestart w:val="0"/>
      <w:lvlText w:val="·"/>
      <w:lvlJc w:val="left"/>
      <w:pPr>
        <w:tabs>
          <w:tab w:val="left" w:pos="283"/>
        </w:tabs>
        <w:ind w:left="283" w:hanging="283"/>
      </w:pPr>
      <w:rPr>
        <w:rFonts w:ascii="Symbol" w:hAnsi="Symbol" w:hint="default"/>
      </w:rPr>
    </w:lvl>
    <w:lvl w:ilvl="8">
      <w:start w:val="1"/>
      <w:numFmt w:val="bullet"/>
      <w:lvlRestart w:val="0"/>
      <w:lvlText w:val="·"/>
      <w:lvlJc w:val="left"/>
      <w:pPr>
        <w:tabs>
          <w:tab w:val="left" w:pos="283"/>
        </w:tabs>
        <w:ind w:left="283" w:hanging="283"/>
      </w:pPr>
      <w:rPr>
        <w:rFonts w:ascii="Symbol" w:hAnsi="Symbol" w:hint="default"/>
      </w:rPr>
    </w:lvl>
  </w:abstractNum>
  <w:abstractNum w:abstractNumId="31">
    <w:nsid w:val="2F00001A"/>
    <w:multiLevelType w:val="hybridMultilevel"/>
    <w:tmpl w:val="22E04933"/>
    <w:lvl w:ilvl="0">
      <w:start w:val="1"/>
      <w:numFmt w:val="bullet"/>
      <w:pStyle w:val="ListDash1"/>
      <w:lvlText w:val="–"/>
      <w:lvlJc w:val="left"/>
      <w:pPr>
        <w:tabs>
          <w:tab w:val="left" w:pos="1287"/>
        </w:tabs>
        <w:ind w:left="1287" w:hanging="283"/>
      </w:pPr>
      <w:rPr>
        <w:rFonts w:ascii="Times New Roman" w:hAnsi="Times New Roman" w:cs="Times New Roman" w:hint="default"/>
      </w:rPr>
    </w:lvl>
    <w:lvl w:ilvl="1">
      <w:start w:val="0"/>
      <w:numFmt w:val="bullet"/>
      <w:lvlText w:val="-"/>
      <w:lvlJc w:val="left"/>
      <w:pPr>
        <w:ind w:left="1593" w:hanging="360"/>
      </w:pPr>
      <w:rPr>
        <w:rFonts w:ascii="Times" w:eastAsia="Times New Roman" w:hAnsi="Times" w:cs="Times New Roman" w:hint="default"/>
      </w:rPr>
    </w:lvl>
    <w:lvl w:ilvl="2">
      <w:start w:val="1"/>
      <w:numFmt w:val="bullet"/>
      <w:lvlText w:val="§"/>
      <w:lvlJc w:val="left"/>
      <w:pPr>
        <w:tabs>
          <w:tab w:val="left" w:pos="2313"/>
        </w:tabs>
        <w:ind w:left="2313" w:hanging="360"/>
      </w:pPr>
      <w:rPr>
        <w:rFonts w:ascii="Wingdings" w:hAnsi="Wingdings" w:hint="default"/>
      </w:rPr>
    </w:lvl>
    <w:lvl w:ilvl="3">
      <w:start w:val="1"/>
      <w:numFmt w:val="bullet"/>
      <w:lvlText w:val="·"/>
      <w:lvlJc w:val="left"/>
      <w:pPr>
        <w:tabs>
          <w:tab w:val="left" w:pos="3033"/>
        </w:tabs>
        <w:ind w:left="3033" w:hanging="360"/>
      </w:pPr>
      <w:rPr>
        <w:rFonts w:ascii="Symbol" w:hAnsi="Symbol" w:hint="default"/>
      </w:rPr>
    </w:lvl>
    <w:lvl w:ilvl="4">
      <w:start w:val="1"/>
      <w:numFmt w:val="bullet"/>
      <w:lvlText w:val="o"/>
      <w:lvlJc w:val="left"/>
      <w:pPr>
        <w:tabs>
          <w:tab w:val="left" w:pos="3753"/>
        </w:tabs>
        <w:ind w:left="3753" w:hanging="360"/>
      </w:pPr>
      <w:rPr>
        <w:rFonts w:ascii="Courier New" w:hAnsi="Courier New" w:cs="Wingdings" w:hint="default"/>
      </w:rPr>
    </w:lvl>
    <w:lvl w:ilvl="5">
      <w:start w:val="1"/>
      <w:numFmt w:val="bullet"/>
      <w:lvlText w:val="§"/>
      <w:lvlJc w:val="left"/>
      <w:pPr>
        <w:tabs>
          <w:tab w:val="left" w:pos="4473"/>
        </w:tabs>
        <w:ind w:left="4473" w:hanging="360"/>
      </w:pPr>
      <w:rPr>
        <w:rFonts w:ascii="Wingdings" w:hAnsi="Wingdings" w:hint="default"/>
      </w:rPr>
    </w:lvl>
    <w:lvl w:ilvl="6">
      <w:start w:val="1"/>
      <w:numFmt w:val="bullet"/>
      <w:lvlText w:val="·"/>
      <w:lvlJc w:val="left"/>
      <w:pPr>
        <w:tabs>
          <w:tab w:val="left" w:pos="5193"/>
        </w:tabs>
        <w:ind w:left="5193" w:hanging="360"/>
      </w:pPr>
      <w:rPr>
        <w:rFonts w:ascii="Symbol" w:hAnsi="Symbol" w:hint="default"/>
      </w:rPr>
    </w:lvl>
    <w:lvl w:ilvl="7">
      <w:start w:val="1"/>
      <w:numFmt w:val="bullet"/>
      <w:lvlText w:val="o"/>
      <w:lvlJc w:val="left"/>
      <w:pPr>
        <w:tabs>
          <w:tab w:val="left" w:pos="5913"/>
        </w:tabs>
        <w:ind w:left="5913" w:hanging="360"/>
      </w:pPr>
      <w:rPr>
        <w:rFonts w:ascii="Courier New" w:hAnsi="Courier New" w:cs="Wingdings" w:hint="default"/>
      </w:rPr>
    </w:lvl>
    <w:lvl w:ilvl="8">
      <w:start w:val="1"/>
      <w:numFmt w:val="bullet"/>
      <w:lvlText w:val="§"/>
      <w:lvlJc w:val="left"/>
      <w:pPr>
        <w:tabs>
          <w:tab w:val="left" w:pos="6633"/>
        </w:tabs>
        <w:ind w:left="6633" w:hanging="360"/>
      </w:pPr>
      <w:rPr>
        <w:rFonts w:ascii="Wingdings" w:hAnsi="Wingdings" w:hint="default"/>
      </w:rPr>
    </w:lvl>
  </w:abstractNum>
  <w:abstractNum w:abstractNumId="32">
    <w:nsid w:val="2F00001B"/>
    <w:multiLevelType w:val="hybridMultilevel"/>
    <w:tmpl w:val="97F417C8"/>
    <w:lvl w:ilvl="0">
      <w:start w:val="1"/>
      <w:numFmt w:val="decimal"/>
      <w:lvlText w:val="%1."/>
      <w:lvlJc w:val="left"/>
      <w:pPr>
        <w:ind w:left="360" w:hanging="360"/>
      </w:pPr>
      <w:rPr>
        <w:rFonts w:ascii="Arial" w:hAnsi="Arial" w:cs="Arial" w:hint="default"/>
        <w:color w:val="1036A0"/>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nsid w:val="2F00001C"/>
    <w:multiLevelType w:val="hybridMultilevel"/>
    <w:tmpl w:val="3F4A1A65"/>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2F00001D"/>
    <w:multiLevelType w:val="hybridMultilevel"/>
    <w:tmpl w:val="400AED7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nsid w:val="2F00001E"/>
    <w:multiLevelType w:val="hybridMultilevel"/>
    <w:tmpl w:val="336B092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2F00001F"/>
    <w:multiLevelType w:val="hybridMultilevel"/>
    <w:tmpl w:val="5E2524F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7">
    <w:nsid w:val="2F000020"/>
    <w:multiLevelType w:val="hybridMultilevel"/>
    <w:tmpl w:val="3E9D50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49F344F8"/>
    <w:multiLevelType w:val="hybridMultilevel"/>
    <w:tmpl w:val="38F6A57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21E2067"/>
    <w:multiLevelType w:val="hybridMultilevel"/>
    <w:tmpl w:val="B8C29D96"/>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F0470C1"/>
    <w:multiLevelType w:val="hybridMultilevel"/>
    <w:tmpl w:val="EADCBFCA"/>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75704AD"/>
    <w:multiLevelType w:val="hybridMultilevel"/>
    <w:tmpl w:val="3B14C836"/>
    <w:lvl w:ilvl="0">
      <w:start w:val="1"/>
      <w:numFmt w:val="lowerRoman"/>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0"/>
  </w:num>
  <w:num w:numId="2">
    <w:abstractNumId w:val="28"/>
  </w:num>
  <w:num w:numId="3">
    <w:abstractNumId w:val="31"/>
  </w:num>
  <w:num w:numId="4">
    <w:abstractNumId w:val="18"/>
  </w:num>
  <w:num w:numId="5">
    <w:abstractNumId w:val="9"/>
  </w:num>
  <w:num w:numId="6">
    <w:abstractNumId w:val="34"/>
  </w:num>
  <w:num w:numId="7">
    <w:abstractNumId w:val="27"/>
  </w:num>
  <w:num w:numId="8">
    <w:abstractNumId w:val="14"/>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3"/>
  </w:num>
  <w:num w:numId="14">
    <w:abstractNumId w:val="31"/>
  </w:num>
  <w:num w:numId="15">
    <w:abstractNumId w:val="31"/>
  </w:num>
  <w:num w:numId="16">
    <w:abstractNumId w:val="7"/>
  </w:num>
  <w:num w:numId="17">
    <w:abstractNumId w:val="15"/>
  </w:num>
  <w:num w:numId="18">
    <w:abstractNumId w:val="8"/>
  </w:num>
  <w:num w:numId="19">
    <w:abstractNumId w:val="29"/>
  </w:num>
  <w:num w:numId="20">
    <w:abstractNumId w:val="35"/>
  </w:num>
  <w:num w:numId="21">
    <w:abstractNumId w:val="26"/>
  </w:num>
  <w:num w:numId="22">
    <w:abstractNumId w:val="10"/>
  </w:num>
  <w:num w:numId="23">
    <w:abstractNumId w:val="13"/>
  </w:num>
  <w:num w:numId="24">
    <w:abstractNumId w:val="37"/>
  </w:num>
  <w:num w:numId="25">
    <w:abstractNumId w:val="11"/>
  </w:num>
  <w:num w:numId="26">
    <w:abstractNumId w:val="17"/>
  </w:num>
  <w:num w:numId="27">
    <w:abstractNumId w:val="20"/>
  </w:num>
  <w:num w:numId="28">
    <w:abstractNumId w:val="19"/>
  </w:num>
  <w:num w:numId="29">
    <w:abstractNumId w:val="36"/>
  </w:num>
  <w:num w:numId="30">
    <w:abstractNumId w:val="22"/>
  </w:num>
  <w:num w:numId="31">
    <w:abstractNumId w:val="25"/>
  </w:num>
  <w:num w:numId="32">
    <w:abstractNumId w:val="32"/>
  </w:num>
  <w:num w:numId="33">
    <w:abstractNumId w:val="16"/>
  </w:num>
  <w:num w:numId="34">
    <w:abstractNumId w:val="24"/>
  </w:num>
  <w:num w:numId="35">
    <w:abstractNumId w:val="33"/>
  </w:num>
  <w:num w:numId="36">
    <w:abstractNumId w:val="12"/>
  </w:num>
  <w:num w:numId="37">
    <w:abstractNumId w:val="39"/>
  </w:num>
  <w:num w:numId="38">
    <w:abstractNumId w:val="2"/>
  </w:num>
  <w:num w:numId="39">
    <w:abstractNumId w:val="41"/>
  </w:num>
  <w:num w:numId="40">
    <w:abstractNumId w:val="3"/>
  </w:num>
  <w:num w:numId="41">
    <w:abstractNumId w:val="40"/>
  </w:num>
  <w:num w:numId="42">
    <w:abstractNumId w:val="0"/>
  </w:num>
  <w:num w:numId="43">
    <w:abstractNumId w:val="38"/>
  </w:num>
  <w:num w:numId="44">
    <w:abstractNumId w:val="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cumentProtection w:edit="forms" w:enforcement="0"/>
  <w:defaultTabStop w:val="284"/>
  <w:hyphenationZone w:val="425"/>
  <w:displayHorizontalDrawingGridEvery w:val="0"/>
  <w:displayVerticalDrawingGridEvery w:val="2"/>
  <w:noPunctuationKerning/>
  <w:characterSpacingControl w:val="doNotCompress"/>
  <w:footnotePr>
    <w:footnote w:id="0"/>
    <w:footnote w:id="1"/>
    <w:footnote w:id="2"/>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m:mathPr>
    <m:mathFont m:val="Cambria Math"/>
    <m:smallFrac/>
    <m:lMargin m:val="1440"/>
    <m:rMargin m:val="1440"/>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7"/>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18"/>
    <w:qFormat/>
    <w:rPr>
      <w:b/>
      <w:i w:val="0"/>
    </w:rPr>
  </w:style>
  <w:style w:type="paragraph" w:styleId="ListParagraph">
    <w:name w:val="List Paragraph"/>
    <w:basedOn w:val="Normal"/>
    <w:uiPriority w:val="26"/>
    <w:qFormat/>
    <w:pPr>
      <w:ind w:left="720"/>
      <w:contextualSpacing/>
    </w:p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noteText">
    <w:name w:val="footnote text"/>
    <w:basedOn w:val="Normal"/>
    <w:link w:val="FootnoteTextChar"/>
    <w:qFormat/>
    <w:pPr>
      <w:spacing w:after="240"/>
      <w:ind w:left="357" w:hanging="357"/>
      <w:jc w:val="both"/>
    </w:pPr>
    <w:rPr>
      <w:sz w:val="20"/>
      <w:szCs w:val="20"/>
    </w:rPr>
  </w:style>
  <w:style w:type="character" w:styleId="FootnoteReference">
    <w:name w:val="footnote reference"/>
    <w:qFormat/>
    <w:rPr>
      <w:vertAlign w:val="superscript"/>
    </w:rPr>
  </w:style>
  <w:style w:type="character" w:customStyle="1" w:styleId="FootnoteTextChar">
    <w:name w:val="Footnote Text Char"/>
    <w:link w:val="FootnoteText"/>
    <w:rPr>
      <w:lang w:val="cs-CZ" w:eastAsia="en-GB" w:bidi="ar-SA"/>
    </w:rPr>
  </w:style>
  <w:style w:type="paragraph" w:styleId="ListBullet">
    <w:name w:val="List Bullet"/>
    <w:basedOn w:val="Normal"/>
    <w:pPr>
      <w:numPr>
        <w:numId w:val="1"/>
      </w:numPr>
      <w:spacing w:before="120" w:after="120"/>
      <w:jc w:val="both"/>
    </w:pPr>
    <w:rPr>
      <w:lang w:eastAsia="de-DE"/>
    </w:rPr>
  </w:style>
  <w:style w:type="paragraph" w:customStyle="1" w:styleId="Text1">
    <w:name w:val="Text 1"/>
    <w:basedOn w:val="Normal"/>
    <w:pPr>
      <w:spacing w:before="120" w:after="120"/>
      <w:ind w:left="850"/>
      <w:jc w:val="both"/>
    </w:pPr>
    <w:rPr>
      <w:lang w:eastAsia="en-US"/>
    </w:rPr>
  </w:style>
  <w:style w:type="paragraph" w:customStyle="1" w:styleId="ListBullet1">
    <w:name w:val="List Bullet 1"/>
    <w:basedOn w:val="Normal"/>
    <w:pPr>
      <w:numPr>
        <w:numId w:val="2"/>
      </w:numPr>
      <w:spacing w:before="120" w:after="120"/>
      <w:jc w:val="both"/>
    </w:pPr>
    <w:rPr>
      <w:lang w:eastAsia="de-DE"/>
    </w:rPr>
  </w:style>
  <w:style w:type="character" w:customStyle="1" w:styleId="at31">
    <w:name w:val="a__t31"/>
    <w:rPr>
      <w:b/>
    </w:rPr>
  </w:style>
  <w:style w:type="paragraph" w:styleId="NormalWeb">
    <w:name w:val="Normal (Web)"/>
    <w:basedOn w:val="Normal"/>
    <w:link w:val="NormalWebChar"/>
    <w:uiPriority w:val="99"/>
    <w:pPr>
      <w:spacing w:before="100" w:beforeAutospacing="1" w:after="100" w:afterAutospacing="1"/>
    </w:pPr>
  </w:style>
  <w:style w:type="character" w:customStyle="1" w:styleId="NormalWebChar">
    <w:name w:val="Normal (Web) Char"/>
    <w:link w:val="NormalWeb"/>
    <w:rPr>
      <w:sz w:val="24"/>
      <w:szCs w:val="24"/>
      <w:lang w:val="cs-CZ" w:eastAsia="en-GB" w:bidi="ar-SA"/>
    </w:rPr>
  </w:style>
  <w:style w:type="paragraph" w:customStyle="1" w:styleId="ListDash1">
    <w:name w:val="List Dash 1"/>
    <w:basedOn w:val="Normal"/>
    <w:qFormat/>
    <w:pPr>
      <w:numPr>
        <w:numId w:val="3"/>
      </w:numPr>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unhideWhenUsed/>
    <w:rPr>
      <w:color w:val="0000FF"/>
      <w:u w:val="single"/>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rPr>
      <w:b/>
    </w:rPr>
  </w:style>
  <w:style w:type="character" w:styleId="FollowedHyperlink">
    <w:name w:val="FollowedHyperlink"/>
    <w:basedOn w:val="DefaultParagraphFont"/>
    <w:rPr>
      <w:color w:val="800080" w:themeColor="followedHyperlink"/>
      <w:u w:val="single"/>
    </w:rPr>
  </w:style>
  <w:style w:type="paragraph" w:styleId="Revision">
    <w:name w:val="Revision"/>
    <w:semiHidden/>
    <w:rPr>
      <w:sz w:val="24"/>
      <w:szCs w:val="24"/>
    </w:rPr>
  </w:style>
  <w:style w:type="paragraph" w:customStyle="1" w:styleId="Text2">
    <w:name w:val="Text 2"/>
    <w:basedOn w:val="Normal"/>
    <w:pPr>
      <w:tabs>
        <w:tab w:val="left" w:pos="2160"/>
      </w:tabs>
      <w:spacing w:after="240"/>
      <w:ind w:left="1077"/>
      <w:jc w:val="both"/>
    </w:pPr>
    <w:rPr>
      <w:lang w:eastAsia="en-US"/>
    </w:rPr>
  </w:style>
  <w:style w:type="paragraph" w:customStyle="1" w:styleId="Point0number">
    <w:name w:val="Point 0 (number)"/>
    <w:basedOn w:val="Normal"/>
    <w:pPr>
      <w:tabs>
        <w:tab w:val="left" w:pos="850"/>
      </w:tabs>
      <w:spacing w:before="120" w:after="120"/>
      <w:ind w:left="850" w:hanging="850"/>
      <w:jc w:val="both"/>
    </w:pPr>
    <w:rPr>
      <w:lang w:eastAsia="en-US"/>
    </w:rPr>
  </w:style>
  <w:style w:type="character" w:customStyle="1" w:styleId="Briefinglist1Char">
    <w:name w:val="Briefing list 1 Char"/>
    <w:basedOn w:val="DefaultParagraphFont"/>
    <w:link w:val="Briefinglist1"/>
    <w:qFormat/>
    <w:rPr>
      <w:rFonts w:ascii="Arial" w:hAnsi="Arial" w:cs="Arial"/>
    </w:rPr>
  </w:style>
  <w:style w:type="paragraph" w:customStyle="1" w:styleId="Briefinglist1">
    <w:name w:val="Briefing list 1"/>
    <w:basedOn w:val="Normal"/>
    <w:link w:val="Briefinglist1Char"/>
    <w:qFormat/>
    <w:pPr>
      <w:numPr>
        <w:numId w:val="36"/>
      </w:numPr>
      <w:spacing w:after="120"/>
      <w:jc w:val="both"/>
    </w:pPr>
    <w:rPr>
      <w:rFonts w:ascii="Arial" w:hAnsi="Arial" w:cs="Arial"/>
      <w:sz w:val="20"/>
      <w:szCs w:val="20"/>
    </w:rPr>
  </w:style>
  <w:style w:type="paragraph" w:customStyle="1" w:styleId="Default">
    <w:name w:val="Default"/>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a1e8a5da-a1c6-4ab6-9d74-9729d89e2e57">EN</EC_Collab_DocumentLanguage>
    <EC_Collab_Reference xmlns="a1e8a5da-a1c6-4ab6-9d74-9729d89e2e57" xsi:nil="true"/>
    <_dlc_DocId xmlns="866aabb8-7ec2-447a-a7ff-f911015037e7">UVNUSV5RWJH5-1065046114-2573</_dlc_DocId>
    <_dlc_DocIdUrl xmlns="866aabb8-7ec2-447a-a7ff-f911015037e7">
      <Url>https://myintracomm-collab.ec.europa.eu/dg/CONNECT/directorateH/UnitH2/_layouts/15/DocIdRedir.aspx?ID=UVNUSV5RWJH5-1065046114-2573</Url>
      <Description>UVNUSV5RWJH5-1065046114-2573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A12162D02DF3441BA3BAFD48BC1BB6D" ma:contentTypeVersion="9" ma:contentTypeDescription="Create a new document." ma:contentTypeScope="" ma:versionID="1341c65d146c49932dc76c5fc4bd5d65">
  <xsd:schema xmlns:xsd="http://www.w3.org/2001/XMLSchema" xmlns:xs="http://www.w3.org/2001/XMLSchema" xmlns:p="http://schemas.microsoft.com/office/2006/metadata/properties" xmlns:ns3="a1e8a5da-a1c6-4ab6-9d74-9729d89e2e57" xmlns:ns4="866aabb8-7ec2-447a-a7ff-f911015037e7" targetNamespace="http://schemas.microsoft.com/office/2006/metadata/properties" ma:root="true" ma:fieldsID="06fd7431d71d25e05aef229dfd779be4" ns3:_="" ns4:_="">
    <xsd:import namespace="a1e8a5da-a1c6-4ab6-9d74-9729d89e2e57"/>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a5da-a1c6-4ab6-9d74-9729d89e2e5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021E1-C06A-47BB-AAE8-B1AD13C59580}">
  <ds:schemaRefs>
    <ds:schemaRef ds:uri="http://schemas.microsoft.com/office/2006/metadata/longProperties"/>
  </ds:schemaRefs>
</ds:datastoreItem>
</file>

<file path=customXml/itemProps2.xml><?xml version="1.0" encoding="utf-8"?>
<ds:datastoreItem xmlns:ds="http://schemas.openxmlformats.org/officeDocument/2006/customXml" ds:itemID="{ADCB0363-1372-4666-80B7-AB8EF7B7A53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e8a5da-a1c6-4ab6-9d74-9729d89e2e57"/>
    <ds:schemaRef ds:uri="http://purl.org/dc/elements/1.1/"/>
    <ds:schemaRef ds:uri="866aabb8-7ec2-447a-a7ff-f911015037e7"/>
    <ds:schemaRef ds:uri="http://www.w3.org/XML/1998/namespace"/>
    <ds:schemaRef ds:uri="http://purl.org/dc/dcmitype/"/>
  </ds:schemaRefs>
</ds:datastoreItem>
</file>

<file path=customXml/itemProps3.xml><?xml version="1.0" encoding="utf-8"?>
<ds:datastoreItem xmlns:ds="http://schemas.openxmlformats.org/officeDocument/2006/customXml" ds:itemID="{5FC797AC-130A-4C99-A058-4F63A5508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a5da-a1c6-4ab6-9d74-9729d89e2e57"/>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06D7CA-ECB9-4437-AF74-F49029730075}">
  <ds:schemaRefs>
    <ds:schemaRef ds:uri="http://schemas.microsoft.com/sharepoint/events"/>
  </ds:schemaRefs>
</ds:datastoreItem>
</file>

<file path=customXml/itemProps5.xml><?xml version="1.0" encoding="utf-8"?>
<ds:datastoreItem xmlns:ds="http://schemas.openxmlformats.org/officeDocument/2006/customXml" ds:itemID="{092EDF19-B820-4DD0-9E7A-F5F673B7F6F1}">
  <ds:schemaRefs>
    <ds:schemaRef ds:uri="http://schemas.microsoft.com/sharepoint/v3/contenttype/forms"/>
  </ds:schemaRefs>
</ds:datastoreItem>
</file>

<file path=customXml/itemProps6.xml><?xml version="1.0" encoding="utf-8"?>
<ds:datastoreItem xmlns:ds="http://schemas.openxmlformats.org/officeDocument/2006/customXml" ds:itemID="{588D84B3-8B05-4B78-A418-69F28B17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