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header2.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4028BC" w:rsidRPr="005B5114" w:rsidRDefault="00D224F3" w:rsidP="00D224F3">
      <w:pPr>
        <w:pStyle w:val="Pagedecouverture"/>
        <w:rPr>
          <w:noProof/>
        </w:rP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31" type="#_x0000_t75" alt="170FA90D-6D3F-4192-8561-A5038F2E60F0" style="width:455.25pt;height:342.75pt">
            <v:imagedata r:id="rId11" o:title=""/>
          </v:shape>
        </w:pict>
      </w:r>
    </w:p>
    <w:p w:rsidR="004028BC" w:rsidRPr="005B5114" w:rsidRDefault="004028BC" w:rsidP="004028BC">
      <w:pPr>
        <w:rPr>
          <w:noProof/>
        </w:rPr>
        <w:sectPr w:rsidR="004028BC" w:rsidRPr="005B5114" w:rsidSect="00D224F3">
          <w:footerReference w:type="even" r:id="rId12"/>
          <w:footerReference w:type="default" r:id="rId13"/>
          <w:pgSz w:w="11907" w:h="16839"/>
          <w:pgMar w:top="1134" w:right="1417" w:bottom="1134" w:left="1417" w:header="709" w:footer="709" w:gutter="0"/>
          <w:pgNumType w:start="0"/>
          <w:cols w:space="720"/>
          <w:docGrid w:linePitch="360"/>
        </w:sectPr>
      </w:pPr>
    </w:p>
    <w:p w:rsidR="004028BC" w:rsidRPr="005B5114" w:rsidRDefault="004028BC" w:rsidP="00BB6B30">
      <w:pPr>
        <w:pStyle w:val="Exposdesmotifstitre"/>
        <w:rPr>
          <w:noProof/>
        </w:rPr>
      </w:pPr>
      <w:bookmarkStart w:id="0" w:name="_GoBack"/>
      <w:bookmarkEnd w:id="0"/>
      <w:r w:rsidRPr="005B5114">
        <w:rPr>
          <w:noProof/>
        </w:rPr>
        <w:lastRenderedPageBreak/>
        <w:t>DŮVODOVÁ ZPRÁVA</w:t>
      </w:r>
    </w:p>
    <w:p w:rsidR="004028BC" w:rsidRPr="005B5114" w:rsidRDefault="004028BC" w:rsidP="00BB6B30">
      <w:pPr>
        <w:pStyle w:val="ManualHeading1"/>
        <w:rPr>
          <w:noProof/>
        </w:rPr>
      </w:pPr>
      <w:r w:rsidRPr="005B5114">
        <w:rPr>
          <w:noProof/>
        </w:rPr>
        <w:t>1.</w:t>
      </w:r>
      <w:r w:rsidRPr="005B5114">
        <w:rPr>
          <w:noProof/>
        </w:rPr>
        <w:tab/>
        <w:t>SOUVISLOSTI NÁVRHU</w:t>
      </w:r>
    </w:p>
    <w:p w:rsidR="004028BC" w:rsidRPr="005B5114" w:rsidRDefault="004028BC" w:rsidP="00044058">
      <w:pPr>
        <w:pStyle w:val="ManualHeading2"/>
        <w:rPr>
          <w:rFonts w:eastAsia="Arial Unicode MS"/>
          <w:noProof/>
        </w:rPr>
      </w:pPr>
      <w:r w:rsidRPr="005B5114">
        <w:rPr>
          <w:noProof/>
          <w:color w:val="000000"/>
          <w:u w:color="000000"/>
          <w:bdr w:val="nil"/>
        </w:rPr>
        <w:t>•</w:t>
      </w:r>
      <w:r w:rsidRPr="005B5114">
        <w:rPr>
          <w:noProof/>
        </w:rPr>
        <w:tab/>
        <w:t>Odůvodnění a cíle návrhu</w:t>
      </w:r>
    </w:p>
    <w:p w:rsidR="004028BC" w:rsidRPr="005B5114" w:rsidRDefault="004028BC" w:rsidP="004028BC">
      <w:pPr>
        <w:spacing w:before="100" w:beforeAutospacing="1" w:after="100" w:afterAutospacing="1"/>
        <w:rPr>
          <w:rFonts w:eastAsia="Times New Roman"/>
          <w:noProof/>
          <w:szCs w:val="24"/>
        </w:rPr>
      </w:pPr>
      <w:r w:rsidRPr="005B5114">
        <w:rPr>
          <w:noProof/>
        </w:rPr>
        <w:t>Zdanění energetických produktů a elektřiny je v Unii upraveno směrnicí Rady 2003/96/ES ze dne 27. října 2003, kterou se mění struktura rámcových předpisů Společenství o zdanění energetických produktů a elektřiny</w:t>
      </w:r>
      <w:r w:rsidRPr="005B5114">
        <w:rPr>
          <w:rStyle w:val="FootnoteReference"/>
          <w:rFonts w:eastAsia="Times New Roman"/>
          <w:noProof/>
          <w:szCs w:val="24"/>
          <w:lang w:eastAsia="en-IE"/>
        </w:rPr>
        <w:footnoteReference w:id="1"/>
      </w:r>
      <w:r w:rsidRPr="005B5114">
        <w:rPr>
          <w:noProof/>
        </w:rPr>
        <w:t xml:space="preserve"> (dále jen „směrnice o zdanění energie“ nebo „směrnice“). </w:t>
      </w:r>
    </w:p>
    <w:p w:rsidR="004028BC" w:rsidRPr="005B5114" w:rsidRDefault="004028BC" w:rsidP="004028BC">
      <w:pPr>
        <w:spacing w:before="100" w:beforeAutospacing="1" w:after="100" w:afterAutospacing="1"/>
        <w:rPr>
          <w:rFonts w:eastAsia="Times New Roman"/>
          <w:noProof/>
          <w:szCs w:val="24"/>
        </w:rPr>
      </w:pPr>
      <w:r w:rsidRPr="005B5114">
        <w:rPr>
          <w:noProof/>
        </w:rPr>
        <w:t xml:space="preserve">Podle čl. 19 odst. 1 směrnice může Rada kromě ustanovení uvedených zejména v článcích 5, 15 a 17 jednomyslně na návrh Komise povolit kterémukoli členskému státu, aby zavedl další osvobození od daně nebo snížení daně z důvodu některé zvláštní politiky. </w:t>
      </w:r>
    </w:p>
    <w:p w:rsidR="004028BC" w:rsidRPr="005B5114" w:rsidRDefault="004028BC" w:rsidP="004028BC">
      <w:pPr>
        <w:spacing w:before="100" w:beforeAutospacing="1" w:after="100" w:afterAutospacing="1"/>
        <w:rPr>
          <w:rFonts w:eastAsia="Times New Roman"/>
          <w:noProof/>
          <w:szCs w:val="24"/>
        </w:rPr>
      </w:pPr>
      <w:r w:rsidRPr="005B5114">
        <w:rPr>
          <w:noProof/>
        </w:rPr>
        <w:t>Cílem tohoto návrhu je povolit Belgii po dobu šesti let uplatňovat sníženou sazbu daně na elektřinu dodávanou přímo plavidlům v kotvištích přístavů, s výjimkou soukromých rekreačních plavidel</w:t>
      </w:r>
      <w:r w:rsidRPr="005B5114">
        <w:rPr>
          <w:rStyle w:val="FootnoteReference"/>
          <w:rFonts w:eastAsia="Times New Roman"/>
          <w:noProof/>
          <w:szCs w:val="24"/>
          <w:lang w:eastAsia="en-IE"/>
        </w:rPr>
        <w:footnoteReference w:id="2"/>
      </w:r>
      <w:r w:rsidRPr="005B5114">
        <w:rPr>
          <w:noProof/>
        </w:rPr>
        <w:t xml:space="preserve"> („elektřina z pevniny“). Dopisem ze dne 8. ledna 2026 informovaly belgické orgány Komisi o své žádosti o toto povolení.</w:t>
      </w:r>
    </w:p>
    <w:p w:rsidR="004028BC" w:rsidRPr="005B5114" w:rsidRDefault="006949E6" w:rsidP="004028BC">
      <w:pPr>
        <w:spacing w:before="100" w:beforeAutospacing="1" w:after="100" w:afterAutospacing="1"/>
        <w:rPr>
          <w:rFonts w:eastAsia="Times New Roman"/>
          <w:noProof/>
          <w:szCs w:val="24"/>
        </w:rPr>
      </w:pPr>
      <w:r w:rsidRPr="005B5114">
        <w:rPr>
          <w:noProof/>
        </w:rPr>
        <w:t xml:space="preserve">Belgie žádá o povolení uplatňovat sníženou sazbu daně ve výši 0,50 EUR/MWh, která se rovná minimální sazbě daně z elektřiny pro obchodní účely stanovené ve směrnici, na dodávky elektřiny z pevniny plavidlům provozovaným výhradně pro obchodní účely v mořských a vnitrozemských vodách Unie (včetně rybolovu). </w:t>
      </w:r>
    </w:p>
    <w:p w:rsidR="004028BC" w:rsidRPr="005B5114" w:rsidRDefault="004028BC" w:rsidP="004028BC">
      <w:pPr>
        <w:spacing w:before="100" w:beforeAutospacing="1" w:after="100" w:afterAutospacing="1"/>
        <w:rPr>
          <w:rFonts w:eastAsia="Times New Roman"/>
          <w:noProof/>
          <w:szCs w:val="24"/>
        </w:rPr>
      </w:pPr>
      <w:r w:rsidRPr="005B5114">
        <w:rPr>
          <w:noProof/>
        </w:rPr>
        <w:t xml:space="preserve">Požadovaná doba platnosti je šest let od prvního dne měsíce následujícího po měsíci, v němž bude v </w:t>
      </w:r>
      <w:r w:rsidRPr="005B5114">
        <w:rPr>
          <w:i/>
          <w:iCs/>
          <w:noProof/>
        </w:rPr>
        <w:t>Úředním věstníku Evropské unie</w:t>
      </w:r>
      <w:r w:rsidRPr="005B5114">
        <w:rPr>
          <w:noProof/>
        </w:rPr>
        <w:t xml:space="preserve"> zveřejněno prováděcí rozhodnutí Rady, kterým se Belgii povoluje zavést sníženou sazbu za elektřinu z pevniny. Tato doba nepřekračuje maximální dobu povolenou článkem 19 směrnice o zdanění energie. </w:t>
      </w:r>
    </w:p>
    <w:p w:rsidR="004028BC" w:rsidRPr="005B5114" w:rsidRDefault="004028BC" w:rsidP="004028BC">
      <w:pPr>
        <w:spacing w:before="100" w:beforeAutospacing="1" w:after="100" w:afterAutospacing="1"/>
        <w:rPr>
          <w:rFonts w:eastAsia="Times New Roman"/>
          <w:noProof/>
          <w:szCs w:val="24"/>
        </w:rPr>
      </w:pPr>
      <w:r w:rsidRPr="005B5114">
        <w:rPr>
          <w:noProof/>
        </w:rPr>
        <w:t>Cílem tohoto snížení je podpořit využívání elektřiny z pevniny jako udržitelné alternativy k výrobě elektřiny na palubě, která využívá generátory poháněné fosilními palivy. Podpora využívání elektřiny z pevniny je zásadním krokem k ekologizaci lodní dopravy a belgických přístavů. Kromě toho bude mít větší využívání elektřiny z pevniny v budoucnu pozitivní dopad na kvalitu ovzduší v belgických přístavních oblastech, jak vyžaduje směrnice o kvalitě vnějšího ovzduší</w:t>
      </w:r>
      <w:r w:rsidRPr="005B5114">
        <w:rPr>
          <w:rStyle w:val="FootnoteReference"/>
          <w:rFonts w:eastAsia="Times New Roman"/>
          <w:noProof/>
          <w:szCs w:val="24"/>
          <w:lang w:eastAsia="en-IE"/>
        </w:rPr>
        <w:footnoteReference w:id="3"/>
      </w:r>
      <w:r w:rsidRPr="005B5114">
        <w:rPr>
          <w:noProof/>
        </w:rPr>
        <w:t>. Belgie rovněž očekává, že toto opatření povede ke snížení emisí CO</w:t>
      </w:r>
      <w:r w:rsidRPr="005B5114">
        <w:rPr>
          <w:noProof/>
          <w:vertAlign w:val="subscript"/>
        </w:rPr>
        <w:t>2</w:t>
      </w:r>
      <w:r w:rsidRPr="005B5114">
        <w:rPr>
          <w:noProof/>
        </w:rPr>
        <w:t>, hlukového znečištění a emisí oxidů dusíku v souladu se směrnicí o stanovištích</w:t>
      </w:r>
      <w:r w:rsidRPr="005B5114">
        <w:rPr>
          <w:rStyle w:val="FootnoteReference"/>
          <w:rFonts w:eastAsia="Times New Roman"/>
          <w:noProof/>
          <w:szCs w:val="24"/>
          <w:lang w:eastAsia="en-IE"/>
        </w:rPr>
        <w:footnoteReference w:id="4"/>
      </w:r>
      <w:r w:rsidRPr="005B5114">
        <w:rPr>
          <w:noProof/>
        </w:rPr>
        <w:t xml:space="preserve"> a rámcovou směrnicí o vodě</w:t>
      </w:r>
      <w:r w:rsidRPr="005B5114">
        <w:rPr>
          <w:rStyle w:val="FootnoteReference"/>
          <w:rFonts w:eastAsia="Times New Roman"/>
          <w:noProof/>
          <w:szCs w:val="24"/>
          <w:lang w:eastAsia="en-IE"/>
        </w:rPr>
        <w:footnoteReference w:id="5"/>
      </w:r>
      <w:r w:rsidRPr="005B5114">
        <w:rPr>
          <w:noProof/>
        </w:rPr>
        <w:t xml:space="preserve">. </w:t>
      </w:r>
    </w:p>
    <w:p w:rsidR="006949E6" w:rsidRPr="005B5114" w:rsidRDefault="004028BC" w:rsidP="006949E6">
      <w:pPr>
        <w:rPr>
          <w:noProof/>
        </w:rPr>
      </w:pPr>
      <w:r w:rsidRPr="005B5114">
        <w:rPr>
          <w:noProof/>
        </w:rPr>
        <w:t xml:space="preserve">Požadovaným opatřením Belgie usiluje o vytvoření řádných rovných podmínek pro přechod od ropného paliva (palubních generátorů) k elektřině z pevniny, jakož i o vytvoření udržitelných pobídek. Opatření bude mít zásadní význam pro to, aby Belgie mohla splnit cíle </w:t>
      </w:r>
      <w:r w:rsidRPr="005B5114">
        <w:rPr>
          <w:noProof/>
        </w:rPr>
        <w:lastRenderedPageBreak/>
        <w:t>EU týkající se dostupnosti a využívání elektřiny z pevniny, jak je stanoveno v nařízení o námořních palivech FuelEU</w:t>
      </w:r>
      <w:r w:rsidRPr="005B5114">
        <w:rPr>
          <w:rStyle w:val="FootnoteReference"/>
          <w:noProof/>
        </w:rPr>
        <w:footnoteReference w:id="6"/>
      </w:r>
      <w:r w:rsidRPr="005B5114">
        <w:rPr>
          <w:noProof/>
        </w:rPr>
        <w:t xml:space="preserve"> a nařízení o infrastruktuře pro alternativní paliva</w:t>
      </w:r>
      <w:r w:rsidRPr="005B5114">
        <w:rPr>
          <w:rStyle w:val="FootnoteReference"/>
          <w:noProof/>
        </w:rPr>
        <w:footnoteReference w:id="7"/>
      </w:r>
      <w:r w:rsidRPr="005B5114">
        <w:rPr>
          <w:noProof/>
        </w:rPr>
        <w:t>.</w:t>
      </w:r>
    </w:p>
    <w:p w:rsidR="006949E6" w:rsidRPr="005B5114" w:rsidRDefault="006949E6" w:rsidP="006949E6">
      <w:pPr>
        <w:spacing w:before="100" w:beforeAutospacing="1" w:after="100" w:afterAutospacing="1"/>
        <w:rPr>
          <w:rFonts w:eastAsia="Times New Roman"/>
          <w:noProof/>
          <w:szCs w:val="24"/>
        </w:rPr>
      </w:pPr>
      <w:r w:rsidRPr="005B5114">
        <w:rPr>
          <w:noProof/>
        </w:rPr>
        <w:t xml:space="preserve">Záměrem Belgie je, aby tento režim podpořil spravedlivou hospodářskou soutěž, i příležitosti v oblasti životního prostředí a energetiky, aniž by bylo narušeno řádné fungování vnitřního trhu. Belgie hodlá poskytnout pobídku k využívání elektřiny z pevniny, jež se považuje za méně znečišťující alternativu k výrobě elektřiny na palubě plavidel v kotvištích přístavů. Jak je uvedeno v žádosti, belgická základní sazba daně z elektřiny se vypočítá pomocí následujících spotřebitelských pásem. </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660"/>
        <w:gridCol w:w="1843"/>
      </w:tblGrid>
      <w:tr w:rsidR="006949E6" w:rsidRPr="005B5114" w:rsidTr="006949E6">
        <w:tc>
          <w:tcPr>
            <w:tcW w:w="2660" w:type="dxa"/>
            <w:shd w:val="clear" w:color="auto" w:fill="auto"/>
          </w:tcPr>
          <w:p w:rsidR="006949E6" w:rsidRPr="005B5114" w:rsidRDefault="006949E6" w:rsidP="00D54816">
            <w:pPr>
              <w:spacing w:after="0"/>
              <w:rPr>
                <w:noProof/>
              </w:rPr>
            </w:pPr>
            <w:r w:rsidRPr="005B5114">
              <w:rPr>
                <w:noProof/>
              </w:rPr>
              <w:t>Spotřebitelské pásmo</w:t>
            </w:r>
          </w:p>
        </w:tc>
        <w:tc>
          <w:tcPr>
            <w:tcW w:w="1843" w:type="dxa"/>
            <w:shd w:val="clear" w:color="auto" w:fill="auto"/>
          </w:tcPr>
          <w:p w:rsidR="006949E6" w:rsidRPr="005B5114" w:rsidRDefault="006949E6" w:rsidP="00D54816">
            <w:pPr>
              <w:spacing w:after="0"/>
              <w:rPr>
                <w:noProof/>
              </w:rPr>
            </w:pPr>
            <w:r w:rsidRPr="005B5114">
              <w:rPr>
                <w:noProof/>
              </w:rPr>
              <w:t>Spotřební daň (EUR/MWh)</w:t>
            </w:r>
          </w:p>
        </w:tc>
      </w:tr>
      <w:tr w:rsidR="006949E6" w:rsidRPr="005B5114" w:rsidTr="006949E6">
        <w:tc>
          <w:tcPr>
            <w:tcW w:w="2660" w:type="dxa"/>
            <w:shd w:val="clear" w:color="auto" w:fill="auto"/>
          </w:tcPr>
          <w:p w:rsidR="006949E6" w:rsidRPr="005B5114" w:rsidRDefault="006949E6" w:rsidP="00D54816">
            <w:pPr>
              <w:spacing w:after="0"/>
              <w:rPr>
                <w:noProof/>
              </w:rPr>
            </w:pPr>
            <w:r w:rsidRPr="005B5114">
              <w:rPr>
                <w:noProof/>
              </w:rPr>
              <w:t>0 až 20 MWh</w:t>
            </w:r>
          </w:p>
        </w:tc>
        <w:tc>
          <w:tcPr>
            <w:tcW w:w="1843" w:type="dxa"/>
            <w:shd w:val="clear" w:color="auto" w:fill="auto"/>
          </w:tcPr>
          <w:p w:rsidR="006949E6" w:rsidRPr="005B5114" w:rsidRDefault="006949E6" w:rsidP="00D54816">
            <w:pPr>
              <w:spacing w:after="0"/>
              <w:jc w:val="right"/>
              <w:rPr>
                <w:noProof/>
              </w:rPr>
            </w:pPr>
            <w:r w:rsidRPr="005B5114">
              <w:rPr>
                <w:noProof/>
              </w:rPr>
              <w:t>14,21</w:t>
            </w:r>
          </w:p>
        </w:tc>
      </w:tr>
      <w:tr w:rsidR="006949E6" w:rsidRPr="005B5114" w:rsidTr="006949E6">
        <w:tc>
          <w:tcPr>
            <w:tcW w:w="2660" w:type="dxa"/>
            <w:shd w:val="clear" w:color="auto" w:fill="auto"/>
          </w:tcPr>
          <w:p w:rsidR="006949E6" w:rsidRPr="005B5114" w:rsidRDefault="006949E6" w:rsidP="00D54816">
            <w:pPr>
              <w:spacing w:after="0"/>
              <w:rPr>
                <w:noProof/>
              </w:rPr>
            </w:pPr>
            <w:r w:rsidRPr="005B5114">
              <w:rPr>
                <w:noProof/>
              </w:rPr>
              <w:t>20 až 50 MWh</w:t>
            </w:r>
          </w:p>
        </w:tc>
        <w:tc>
          <w:tcPr>
            <w:tcW w:w="1843" w:type="dxa"/>
            <w:shd w:val="clear" w:color="auto" w:fill="auto"/>
          </w:tcPr>
          <w:p w:rsidR="006949E6" w:rsidRPr="005B5114" w:rsidRDefault="006949E6" w:rsidP="00D54816">
            <w:pPr>
              <w:spacing w:after="0"/>
              <w:jc w:val="right"/>
              <w:rPr>
                <w:noProof/>
              </w:rPr>
            </w:pPr>
            <w:r w:rsidRPr="005B5114">
              <w:rPr>
                <w:noProof/>
              </w:rPr>
              <w:t>12,09</w:t>
            </w:r>
          </w:p>
        </w:tc>
      </w:tr>
      <w:tr w:rsidR="006949E6" w:rsidRPr="005B5114" w:rsidTr="006949E6">
        <w:tc>
          <w:tcPr>
            <w:tcW w:w="2660" w:type="dxa"/>
            <w:shd w:val="clear" w:color="auto" w:fill="auto"/>
          </w:tcPr>
          <w:p w:rsidR="006949E6" w:rsidRPr="005B5114" w:rsidRDefault="006949E6" w:rsidP="00D54816">
            <w:pPr>
              <w:spacing w:after="0"/>
              <w:rPr>
                <w:noProof/>
              </w:rPr>
            </w:pPr>
            <w:r w:rsidRPr="005B5114">
              <w:rPr>
                <w:noProof/>
              </w:rPr>
              <w:t>50 až 1 000 MWh</w:t>
            </w:r>
          </w:p>
        </w:tc>
        <w:tc>
          <w:tcPr>
            <w:tcW w:w="1843" w:type="dxa"/>
            <w:shd w:val="clear" w:color="auto" w:fill="auto"/>
          </w:tcPr>
          <w:p w:rsidR="006949E6" w:rsidRPr="005B5114" w:rsidRDefault="006949E6" w:rsidP="00D54816">
            <w:pPr>
              <w:spacing w:after="0"/>
              <w:jc w:val="right"/>
              <w:rPr>
                <w:noProof/>
              </w:rPr>
            </w:pPr>
            <w:r w:rsidRPr="005B5114">
              <w:rPr>
                <w:noProof/>
              </w:rPr>
              <w:t>11,39</w:t>
            </w:r>
          </w:p>
        </w:tc>
      </w:tr>
      <w:tr w:rsidR="006949E6" w:rsidRPr="005B5114" w:rsidTr="006949E6">
        <w:tc>
          <w:tcPr>
            <w:tcW w:w="2660" w:type="dxa"/>
            <w:shd w:val="clear" w:color="auto" w:fill="auto"/>
          </w:tcPr>
          <w:p w:rsidR="006949E6" w:rsidRPr="005B5114" w:rsidRDefault="006949E6" w:rsidP="00D54816">
            <w:pPr>
              <w:spacing w:after="0"/>
              <w:rPr>
                <w:noProof/>
              </w:rPr>
            </w:pPr>
            <w:r w:rsidRPr="005B5114">
              <w:rPr>
                <w:noProof/>
              </w:rPr>
              <w:t>1 000 až 25 000 MWh</w:t>
            </w:r>
          </w:p>
        </w:tc>
        <w:tc>
          <w:tcPr>
            <w:tcW w:w="1843" w:type="dxa"/>
            <w:shd w:val="clear" w:color="auto" w:fill="auto"/>
          </w:tcPr>
          <w:p w:rsidR="006949E6" w:rsidRPr="005B5114" w:rsidRDefault="006949E6" w:rsidP="00D54816">
            <w:pPr>
              <w:spacing w:after="0"/>
              <w:jc w:val="right"/>
              <w:rPr>
                <w:noProof/>
              </w:rPr>
            </w:pPr>
            <w:r w:rsidRPr="005B5114">
              <w:rPr>
                <w:noProof/>
              </w:rPr>
              <w:t>10,69</w:t>
            </w:r>
          </w:p>
        </w:tc>
      </w:tr>
      <w:tr w:rsidR="006949E6" w:rsidRPr="005B5114" w:rsidTr="006949E6">
        <w:tc>
          <w:tcPr>
            <w:tcW w:w="2660" w:type="dxa"/>
            <w:shd w:val="clear" w:color="auto" w:fill="auto"/>
          </w:tcPr>
          <w:p w:rsidR="006949E6" w:rsidRPr="005B5114" w:rsidRDefault="006949E6" w:rsidP="00D54816">
            <w:pPr>
              <w:spacing w:after="0"/>
              <w:rPr>
                <w:noProof/>
              </w:rPr>
            </w:pPr>
            <w:r w:rsidRPr="005B5114">
              <w:rPr>
                <w:noProof/>
              </w:rPr>
              <w:t>25 000 až 100 000 MWh</w:t>
            </w:r>
          </w:p>
        </w:tc>
        <w:tc>
          <w:tcPr>
            <w:tcW w:w="1843" w:type="dxa"/>
            <w:shd w:val="clear" w:color="auto" w:fill="auto"/>
          </w:tcPr>
          <w:p w:rsidR="006949E6" w:rsidRPr="005B5114" w:rsidRDefault="006949E6" w:rsidP="00D54816">
            <w:pPr>
              <w:spacing w:after="0"/>
              <w:jc w:val="right"/>
              <w:rPr>
                <w:noProof/>
              </w:rPr>
            </w:pPr>
            <w:r w:rsidRPr="005B5114">
              <w:rPr>
                <w:noProof/>
              </w:rPr>
              <w:t>2,73</w:t>
            </w:r>
          </w:p>
        </w:tc>
      </w:tr>
      <w:tr w:rsidR="006949E6" w:rsidRPr="005B5114" w:rsidTr="006949E6">
        <w:tc>
          <w:tcPr>
            <w:tcW w:w="2660" w:type="dxa"/>
            <w:shd w:val="clear" w:color="auto" w:fill="auto"/>
          </w:tcPr>
          <w:p w:rsidR="006949E6" w:rsidRPr="005B5114" w:rsidRDefault="006949E6" w:rsidP="00D54816">
            <w:pPr>
              <w:spacing w:after="0"/>
              <w:rPr>
                <w:noProof/>
              </w:rPr>
            </w:pPr>
            <w:r w:rsidRPr="005B5114">
              <w:rPr>
                <w:noProof/>
              </w:rPr>
              <w:t>100 000 MWh a více</w:t>
            </w:r>
          </w:p>
        </w:tc>
        <w:tc>
          <w:tcPr>
            <w:tcW w:w="1843" w:type="dxa"/>
            <w:shd w:val="clear" w:color="auto" w:fill="auto"/>
          </w:tcPr>
          <w:p w:rsidR="006949E6" w:rsidRPr="005B5114" w:rsidRDefault="006949E6" w:rsidP="00D54816">
            <w:pPr>
              <w:spacing w:after="0"/>
              <w:jc w:val="right"/>
              <w:rPr>
                <w:noProof/>
              </w:rPr>
            </w:pPr>
            <w:r w:rsidRPr="005B5114">
              <w:rPr>
                <w:noProof/>
              </w:rPr>
              <w:t>0,50</w:t>
            </w:r>
          </w:p>
        </w:tc>
      </w:tr>
    </w:tbl>
    <w:p w:rsidR="004028BC" w:rsidRPr="005B5114" w:rsidRDefault="004028BC" w:rsidP="00CC5372">
      <w:pPr>
        <w:rPr>
          <w:rFonts w:eastAsia="Times New Roman"/>
          <w:noProof/>
          <w:szCs w:val="24"/>
        </w:rPr>
      </w:pPr>
      <w:r w:rsidRPr="005B5114">
        <w:rPr>
          <w:noProof/>
        </w:rPr>
        <w:t>Daňové zvýhodnění závisí na výši rozdílu mezi stávajícími sazbami spotřební daně platnými pro elektřinu pro obchodní účely a sníženou sazbou platnou pro elektřinu z pevniny ve výši 0,5 EUR/MWh. To znamená, že příjemcům je účtováno 0,50 EUR/MWh, což je minimální daňová sazba EU pro elektřinu podle směrnice o zdanění energie (pro obchodní použití, jak je uvedeno v čl. 10 odst. 1, a pro obchodní účely, jak je uvedeno v tabulce C přílohy I směrnice). Belgie výhradně umožňuje, aby bylo daňové zvýhodnění poskytováno ve formě snížené spotřební daně použitelné na elektřinu pro zařízení na dodávání elektřiny z pevniny. Provozovatelé zařízení na dodávání elektřiny z pevniny, kteří by si přáli, aby se na elektřinu pro jejich zařízení na dodávání elektřiny z pevniny uplatňovala snížená sazba, musí svému dodavateli elektřiny předložit prohlášení, v němž uvedou, která z jejich připojení k síti jsou určena výhradně k dodávkám elektřiny zařízením pro dodávky elektřiny z pevniny, která dodávají elektřinu jiným plavidlům než soukromým rekreačním plavidlům. Dodavatel elektřiny pak bude uplatňovat sníženou sazbu energetické daně pouze na elektřinu dodávanou do těchto přípojek.</w:t>
      </w:r>
    </w:p>
    <w:p w:rsidR="006949E6" w:rsidRPr="005B5114" w:rsidRDefault="004028BC" w:rsidP="006949E6">
      <w:pPr>
        <w:rPr>
          <w:noProof/>
        </w:rPr>
      </w:pPr>
      <w:r w:rsidRPr="005B5114">
        <w:rPr>
          <w:noProof/>
        </w:rPr>
        <w:t>Belgické orgány uvedly, že opatření se tedy bude vztahovat na provozovatele zařízení pro dodávky elektřiny z pevniny v belgických přístavech. Očekává se, že tito provozovatelé přenesou finanční výhodu na uživatele elektřiny z pevniny, tj. vlastníky plavidel vnitrozemské plavby a námořních plavidel.</w:t>
      </w:r>
    </w:p>
    <w:p w:rsidR="006949E6" w:rsidRPr="005B5114" w:rsidRDefault="006949E6" w:rsidP="006949E6">
      <w:pPr>
        <w:rPr>
          <w:noProof/>
        </w:rPr>
      </w:pPr>
      <w:r w:rsidRPr="005B5114">
        <w:rPr>
          <w:noProof/>
        </w:rPr>
        <w:t>V současné době nejsou pro námořní dopravu k dispozici žádná zařízení pro dodávky elektřiny z pevniny. Očekává se, že do roku 2030 bude k dispozici 40 takových zařízení a do roku 2035 přibližně 70. Kromě toho se očekává, že plavidla využijí dostupná zařízení 4 600krát do roku 2030 a přibližně 7 400krát do roku 2035. Pro vnitrozemskou plavbu je v současné době k dispozici přibližně 200 zařízení zásobujících přibližně 400 plavidel.</w:t>
      </w:r>
    </w:p>
    <w:p w:rsidR="006949E6" w:rsidRPr="005B5114" w:rsidRDefault="004028BC" w:rsidP="006949E6">
      <w:pPr>
        <w:spacing w:before="100" w:beforeAutospacing="1" w:after="100" w:afterAutospacing="1"/>
        <w:rPr>
          <w:noProof/>
        </w:rPr>
      </w:pPr>
      <w:r w:rsidRPr="005B5114">
        <w:rPr>
          <w:noProof/>
        </w:rPr>
        <w:lastRenderedPageBreak/>
        <w:t>Jako odhad daňových výdajů z opatření vypočítaly belgické orgány odhadovaný rozpočtový dopad od roku 2027 do roku 2032:</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589"/>
        <w:gridCol w:w="2291"/>
      </w:tblGrid>
      <w:tr w:rsidR="006949E6" w:rsidRPr="005B5114" w:rsidTr="00D54816">
        <w:tc>
          <w:tcPr>
            <w:tcW w:w="1589" w:type="dxa"/>
            <w:shd w:val="clear" w:color="auto" w:fill="auto"/>
          </w:tcPr>
          <w:p w:rsidR="006949E6" w:rsidRPr="005B5114" w:rsidRDefault="006949E6" w:rsidP="00D54816">
            <w:pPr>
              <w:rPr>
                <w:noProof/>
              </w:rPr>
            </w:pPr>
            <w:r w:rsidRPr="005B5114">
              <w:rPr>
                <w:noProof/>
              </w:rPr>
              <w:t>2027</w:t>
            </w:r>
          </w:p>
        </w:tc>
        <w:tc>
          <w:tcPr>
            <w:tcW w:w="2291" w:type="dxa"/>
            <w:shd w:val="clear" w:color="auto" w:fill="auto"/>
          </w:tcPr>
          <w:p w:rsidR="006949E6" w:rsidRPr="005B5114" w:rsidRDefault="006949E6" w:rsidP="00D54816">
            <w:pPr>
              <w:rPr>
                <w:noProof/>
              </w:rPr>
            </w:pPr>
            <w:r w:rsidRPr="005B5114">
              <w:rPr>
                <w:noProof/>
              </w:rPr>
              <w:t>0,14 milionu EUR</w:t>
            </w:r>
          </w:p>
        </w:tc>
      </w:tr>
      <w:tr w:rsidR="006949E6" w:rsidRPr="005B5114" w:rsidTr="00D54816">
        <w:tc>
          <w:tcPr>
            <w:tcW w:w="1589" w:type="dxa"/>
            <w:shd w:val="clear" w:color="auto" w:fill="auto"/>
          </w:tcPr>
          <w:p w:rsidR="006949E6" w:rsidRPr="005B5114" w:rsidRDefault="006949E6" w:rsidP="00D54816">
            <w:pPr>
              <w:rPr>
                <w:noProof/>
              </w:rPr>
            </w:pPr>
            <w:r w:rsidRPr="005B5114">
              <w:rPr>
                <w:noProof/>
              </w:rPr>
              <w:t>2028</w:t>
            </w:r>
          </w:p>
        </w:tc>
        <w:tc>
          <w:tcPr>
            <w:tcW w:w="2291" w:type="dxa"/>
            <w:shd w:val="clear" w:color="auto" w:fill="auto"/>
          </w:tcPr>
          <w:p w:rsidR="006949E6" w:rsidRPr="005B5114" w:rsidRDefault="006949E6" w:rsidP="00D54816">
            <w:pPr>
              <w:rPr>
                <w:noProof/>
              </w:rPr>
            </w:pPr>
            <w:r w:rsidRPr="005B5114">
              <w:rPr>
                <w:noProof/>
              </w:rPr>
              <w:t>0,41 milionu EUR</w:t>
            </w:r>
          </w:p>
        </w:tc>
      </w:tr>
      <w:tr w:rsidR="006949E6" w:rsidRPr="005B5114" w:rsidTr="00D54816">
        <w:tc>
          <w:tcPr>
            <w:tcW w:w="1589" w:type="dxa"/>
            <w:shd w:val="clear" w:color="auto" w:fill="auto"/>
          </w:tcPr>
          <w:p w:rsidR="006949E6" w:rsidRPr="005B5114" w:rsidRDefault="006949E6" w:rsidP="00D54816">
            <w:pPr>
              <w:rPr>
                <w:noProof/>
              </w:rPr>
            </w:pPr>
            <w:r w:rsidRPr="005B5114">
              <w:rPr>
                <w:noProof/>
              </w:rPr>
              <w:t>2029</w:t>
            </w:r>
          </w:p>
        </w:tc>
        <w:tc>
          <w:tcPr>
            <w:tcW w:w="2291" w:type="dxa"/>
            <w:shd w:val="clear" w:color="auto" w:fill="auto"/>
          </w:tcPr>
          <w:p w:rsidR="006949E6" w:rsidRPr="005B5114" w:rsidRDefault="006949E6" w:rsidP="00D54816">
            <w:pPr>
              <w:rPr>
                <w:noProof/>
              </w:rPr>
            </w:pPr>
            <w:r w:rsidRPr="005B5114">
              <w:rPr>
                <w:noProof/>
              </w:rPr>
              <w:t>0,62 milionu EUR</w:t>
            </w:r>
          </w:p>
        </w:tc>
      </w:tr>
      <w:tr w:rsidR="006949E6" w:rsidRPr="005B5114" w:rsidTr="00D54816">
        <w:tc>
          <w:tcPr>
            <w:tcW w:w="1589" w:type="dxa"/>
            <w:shd w:val="clear" w:color="auto" w:fill="auto"/>
          </w:tcPr>
          <w:p w:rsidR="006949E6" w:rsidRPr="005B5114" w:rsidRDefault="006949E6" w:rsidP="00D54816">
            <w:pPr>
              <w:rPr>
                <w:noProof/>
              </w:rPr>
            </w:pPr>
            <w:r w:rsidRPr="005B5114">
              <w:rPr>
                <w:noProof/>
              </w:rPr>
              <w:t>2030</w:t>
            </w:r>
          </w:p>
        </w:tc>
        <w:tc>
          <w:tcPr>
            <w:tcW w:w="2291" w:type="dxa"/>
            <w:shd w:val="clear" w:color="auto" w:fill="auto"/>
          </w:tcPr>
          <w:p w:rsidR="006949E6" w:rsidRPr="005B5114" w:rsidRDefault="006949E6" w:rsidP="00D54816">
            <w:pPr>
              <w:rPr>
                <w:noProof/>
              </w:rPr>
            </w:pPr>
            <w:r w:rsidRPr="005B5114">
              <w:rPr>
                <w:noProof/>
              </w:rPr>
              <w:t>1,00 milionu EUR</w:t>
            </w:r>
          </w:p>
        </w:tc>
      </w:tr>
      <w:tr w:rsidR="006949E6" w:rsidRPr="005B5114" w:rsidTr="00D54816">
        <w:tc>
          <w:tcPr>
            <w:tcW w:w="1589" w:type="dxa"/>
            <w:shd w:val="clear" w:color="auto" w:fill="auto"/>
          </w:tcPr>
          <w:p w:rsidR="006949E6" w:rsidRPr="005B5114" w:rsidRDefault="006949E6" w:rsidP="00D54816">
            <w:pPr>
              <w:rPr>
                <w:noProof/>
              </w:rPr>
            </w:pPr>
            <w:r w:rsidRPr="005B5114">
              <w:rPr>
                <w:noProof/>
              </w:rPr>
              <w:t>2031</w:t>
            </w:r>
          </w:p>
        </w:tc>
        <w:tc>
          <w:tcPr>
            <w:tcW w:w="2291" w:type="dxa"/>
            <w:shd w:val="clear" w:color="auto" w:fill="auto"/>
          </w:tcPr>
          <w:p w:rsidR="006949E6" w:rsidRPr="005B5114" w:rsidRDefault="006949E6" w:rsidP="00D54816">
            <w:pPr>
              <w:rPr>
                <w:noProof/>
              </w:rPr>
            </w:pPr>
            <w:r w:rsidRPr="005B5114">
              <w:rPr>
                <w:noProof/>
              </w:rPr>
              <w:t>1,09 milionu EUR</w:t>
            </w:r>
          </w:p>
        </w:tc>
      </w:tr>
      <w:tr w:rsidR="006949E6" w:rsidRPr="005B5114" w:rsidTr="00D54816">
        <w:tc>
          <w:tcPr>
            <w:tcW w:w="1589" w:type="dxa"/>
            <w:shd w:val="clear" w:color="auto" w:fill="auto"/>
          </w:tcPr>
          <w:p w:rsidR="006949E6" w:rsidRPr="005B5114" w:rsidRDefault="006949E6" w:rsidP="00D54816">
            <w:pPr>
              <w:rPr>
                <w:noProof/>
              </w:rPr>
            </w:pPr>
            <w:r w:rsidRPr="005B5114">
              <w:rPr>
                <w:noProof/>
              </w:rPr>
              <w:t>2032</w:t>
            </w:r>
          </w:p>
        </w:tc>
        <w:tc>
          <w:tcPr>
            <w:tcW w:w="2291" w:type="dxa"/>
            <w:shd w:val="clear" w:color="auto" w:fill="auto"/>
          </w:tcPr>
          <w:p w:rsidR="006949E6" w:rsidRPr="005B5114" w:rsidRDefault="006949E6" w:rsidP="00D54816">
            <w:pPr>
              <w:rPr>
                <w:noProof/>
              </w:rPr>
            </w:pPr>
            <w:r w:rsidRPr="005B5114">
              <w:rPr>
                <w:noProof/>
              </w:rPr>
              <w:t>1,12 milionu EUR</w:t>
            </w:r>
          </w:p>
        </w:tc>
      </w:tr>
    </w:tbl>
    <w:p w:rsidR="006949E6" w:rsidRPr="005B5114" w:rsidRDefault="004028BC" w:rsidP="006949E6">
      <w:pPr>
        <w:rPr>
          <w:noProof/>
        </w:rPr>
      </w:pPr>
      <w:r w:rsidRPr="005B5114">
        <w:rPr>
          <w:noProof/>
        </w:rPr>
        <w:t>Snížením daně chce Belgie podporovat využívání elektřiny z pevniny jako udržitelné alternativy k výrobě elektřiny na palubě, která využívá generátory poháněné fosilními palivy. Podpora této formy alternativní energie je v souladu s úsilím o prosazování a další podporu udržitelné transformace, jak je rovněž stanoveno v Dohodě o čistém průmyslu.</w:t>
      </w:r>
    </w:p>
    <w:p w:rsidR="004028BC" w:rsidRPr="005B5114" w:rsidRDefault="004028BC" w:rsidP="00044058">
      <w:pPr>
        <w:pStyle w:val="ManualHeading2"/>
        <w:rPr>
          <w:rFonts w:eastAsia="Arial Unicode MS"/>
          <w:noProof/>
          <w:color w:val="000000"/>
          <w:u w:color="000000"/>
          <w:bdr w:val="nil"/>
        </w:rPr>
      </w:pPr>
      <w:r w:rsidRPr="005B5114">
        <w:rPr>
          <w:noProof/>
          <w:color w:val="000000"/>
          <w:u w:color="000000"/>
          <w:bdr w:val="nil"/>
        </w:rPr>
        <w:t>•</w:t>
      </w:r>
      <w:r w:rsidRPr="005B5114">
        <w:rPr>
          <w:noProof/>
        </w:rPr>
        <w:tab/>
        <w:t>Soulad se stávajícími ustanoveními v dané oblasti politiky</w:t>
      </w:r>
    </w:p>
    <w:p w:rsidR="004028BC" w:rsidRPr="005B5114" w:rsidRDefault="004028BC" w:rsidP="004028BC">
      <w:pPr>
        <w:spacing w:before="100" w:beforeAutospacing="1" w:after="100" w:afterAutospacing="1"/>
        <w:rPr>
          <w:rFonts w:eastAsia="Times New Roman"/>
          <w:noProof/>
          <w:szCs w:val="24"/>
        </w:rPr>
      </w:pPr>
      <w:r w:rsidRPr="005B5114">
        <w:rPr>
          <w:noProof/>
        </w:rPr>
        <w:t xml:space="preserve">Zdanění elektřiny se řídí směrnicí o zdanění energie, zejména článkem 10. V čl. 14 odst. 1 písm. c) je stanoveno povinné osvobození od daně u elektřiny vyráběné na palubě plavidel. Články 5, 15 a 17 stanoví možnost členských států uplatňovat rozlišené sazby daně, včetně osvobození od daně a jejího snížení, na určitá použití elektřiny. Tato ustanovení však explicitně nestanoví snížení daně u elektřiny z pevniny. </w:t>
      </w:r>
    </w:p>
    <w:p w:rsidR="004028BC" w:rsidRPr="005B5114" w:rsidRDefault="004028BC" w:rsidP="004028BC">
      <w:pPr>
        <w:spacing w:before="100" w:beforeAutospacing="1" w:after="100" w:afterAutospacing="1"/>
        <w:rPr>
          <w:rFonts w:eastAsia="Times New Roman"/>
          <w:i/>
          <w:iCs/>
          <w:noProof/>
          <w:szCs w:val="24"/>
        </w:rPr>
      </w:pPr>
      <w:r w:rsidRPr="005B5114">
        <w:rPr>
          <w:i/>
          <w:noProof/>
        </w:rPr>
        <w:t xml:space="preserve">Ustanovení podle směrnice o zdanění energie </w:t>
      </w:r>
    </w:p>
    <w:p w:rsidR="004028BC" w:rsidRPr="005B5114" w:rsidRDefault="004028BC" w:rsidP="004028BC">
      <w:pPr>
        <w:spacing w:before="100" w:beforeAutospacing="1" w:after="100" w:afterAutospacing="1"/>
        <w:rPr>
          <w:rFonts w:eastAsia="Times New Roman"/>
          <w:noProof/>
          <w:szCs w:val="24"/>
        </w:rPr>
      </w:pPr>
      <w:r w:rsidRPr="005B5114">
        <w:rPr>
          <w:noProof/>
        </w:rPr>
        <w:t xml:space="preserve">V čl. 19 odst. 1 prvním pododstavci směrnice se uvádí: </w:t>
      </w:r>
    </w:p>
    <w:p w:rsidR="004028BC" w:rsidRPr="005B5114" w:rsidRDefault="004028BC" w:rsidP="004028BC">
      <w:pPr>
        <w:pStyle w:val="Text1"/>
        <w:rPr>
          <w:i/>
          <w:iCs/>
          <w:noProof/>
        </w:rPr>
      </w:pPr>
      <w:r w:rsidRPr="005B5114">
        <w:rPr>
          <w:i/>
          <w:noProof/>
        </w:rPr>
        <w:t xml:space="preserve">Kromě ustanovení předchozích článků, zejména článků 5, 15 a 17, může Rada jednomyslně na návrh Komise povolit kterémukoli členskému státu, aby zavedl další osvobození od daně nebo snížení z důvodů některé zvláštní politiky. </w:t>
      </w:r>
    </w:p>
    <w:p w:rsidR="004028BC" w:rsidRPr="005B5114" w:rsidRDefault="004028BC" w:rsidP="004028BC">
      <w:pPr>
        <w:spacing w:before="100" w:beforeAutospacing="1" w:after="100" w:afterAutospacing="1"/>
        <w:rPr>
          <w:rFonts w:eastAsia="Times New Roman"/>
          <w:noProof/>
          <w:szCs w:val="24"/>
        </w:rPr>
      </w:pPr>
      <w:r w:rsidRPr="005B5114">
        <w:rPr>
          <w:noProof/>
        </w:rPr>
        <w:t xml:space="preserve">Prostřednictvím dotyčného snížení daně hodlají belgické orgány podpořit ekologičtější způsob uspokojování energetických potřeb lodí v kotvištích přístavů, což by mělo snížit hluk a zlepšit kvalitu místního ovzduší. </w:t>
      </w:r>
    </w:p>
    <w:p w:rsidR="004028BC" w:rsidRPr="005B5114" w:rsidRDefault="004028BC" w:rsidP="004028BC">
      <w:pPr>
        <w:spacing w:before="100" w:beforeAutospacing="1" w:after="100" w:afterAutospacing="1"/>
        <w:rPr>
          <w:rFonts w:eastAsia="Times New Roman"/>
          <w:noProof/>
          <w:szCs w:val="24"/>
        </w:rPr>
      </w:pPr>
      <w:r w:rsidRPr="005B5114">
        <w:rPr>
          <w:noProof/>
        </w:rPr>
        <w:t>Komise již využívání elektřiny z pevniny jakožto alternativy k výrobě elektřiny na palubě plavidel v kotvištích doporučila, a příslušné výhody pro životní prostředí tak uznala</w:t>
      </w:r>
      <w:r w:rsidRPr="005B5114">
        <w:rPr>
          <w:rStyle w:val="FootnoteReference"/>
          <w:rFonts w:eastAsia="Times New Roman"/>
          <w:noProof/>
          <w:szCs w:val="24"/>
          <w:lang w:eastAsia="en-IE"/>
        </w:rPr>
        <w:footnoteReference w:id="8"/>
      </w:r>
      <w:r w:rsidRPr="005B5114">
        <w:rPr>
          <w:noProof/>
        </w:rPr>
        <w:t xml:space="preserve">. </w:t>
      </w:r>
    </w:p>
    <w:p w:rsidR="004028BC" w:rsidRPr="005B5114" w:rsidRDefault="004028BC" w:rsidP="004028BC">
      <w:pPr>
        <w:spacing w:before="100" w:beforeAutospacing="1" w:after="100" w:afterAutospacing="1"/>
        <w:rPr>
          <w:rFonts w:eastAsia="Times New Roman"/>
          <w:noProof/>
          <w:szCs w:val="24"/>
        </w:rPr>
      </w:pPr>
      <w:r w:rsidRPr="005B5114">
        <w:rPr>
          <w:noProof/>
        </w:rPr>
        <w:t>Příjemcům je účtována minimální daňová sazba EU za elektřinu podle směrnice o energetické dani ve výši 0,50 EUR/MWh namísto vyšší základní sazby belgické spotřební daně z elektřiny, což může přispět k uvedenému cíli politiky.</w:t>
      </w:r>
    </w:p>
    <w:p w:rsidR="004028BC" w:rsidRPr="005B5114" w:rsidRDefault="004028BC" w:rsidP="004028BC">
      <w:pPr>
        <w:spacing w:before="100" w:beforeAutospacing="1" w:after="100" w:afterAutospacing="1"/>
        <w:rPr>
          <w:rFonts w:eastAsia="Times New Roman"/>
          <w:noProof/>
          <w:szCs w:val="24"/>
        </w:rPr>
      </w:pPr>
      <w:r w:rsidRPr="005B5114">
        <w:rPr>
          <w:noProof/>
        </w:rPr>
        <w:lastRenderedPageBreak/>
        <w:t xml:space="preserve">Možnost zavedení příznivého daňového zacházení s elektřinou z pevniny lze podle článku 19 směrnice zvažovat, neboť jeho účelem je umožnit členským státům, aby zavedly další osvobození od daně nebo snížení daní z důvodů některé zvláštní politiky. </w:t>
      </w:r>
    </w:p>
    <w:p w:rsidR="004028BC" w:rsidRPr="005B5114" w:rsidRDefault="006949E6" w:rsidP="004028BC">
      <w:pPr>
        <w:spacing w:before="100" w:beforeAutospacing="1" w:after="100" w:afterAutospacing="1"/>
        <w:rPr>
          <w:rFonts w:eastAsia="Times New Roman"/>
          <w:noProof/>
          <w:szCs w:val="24"/>
        </w:rPr>
      </w:pPr>
      <w:r w:rsidRPr="005B5114">
        <w:rPr>
          <w:noProof/>
        </w:rPr>
        <w:t xml:space="preserve">Belgie požádala, aby se opatření uplatňovalo po dobu, která odpovídá maximálnímu období povolenému podle čl. 19 odst. 2, tj. šest let. Opatření musí v zásadě zůstat v platnosti po dostatečně dlouhou dobu, aby mělo pozitivní dopad na investiční rozhodnutí provozovatelů přístavů týkající se investic do zařízení pro elektřinu z pevniny a provozovatelů lodí týkající se investic do zařízení na lodích. </w:t>
      </w:r>
    </w:p>
    <w:p w:rsidR="004028BC" w:rsidRPr="005B5114" w:rsidRDefault="004028BC" w:rsidP="004028BC">
      <w:pPr>
        <w:spacing w:before="100" w:beforeAutospacing="1" w:after="100" w:afterAutospacing="1"/>
        <w:rPr>
          <w:rFonts w:eastAsia="Times New Roman"/>
          <w:noProof/>
          <w:szCs w:val="24"/>
        </w:rPr>
      </w:pPr>
      <w:r w:rsidRPr="005B5114">
        <w:rPr>
          <w:noProof/>
        </w:rPr>
        <w:t>Odchylka by však neměla ohrozit budoucí vývoj stávajícího právního rámce a měla by zohlednit probíhající revizi směrnice o zdanění energie a možné přijetí právního aktu Radou na základě návrhu Komise na přepracování směrnice o zdanění energie</w:t>
      </w:r>
      <w:r w:rsidRPr="005B5114">
        <w:rPr>
          <w:rStyle w:val="FootnoteReference"/>
          <w:rFonts w:eastAsia="Times New Roman"/>
          <w:noProof/>
          <w:szCs w:val="24"/>
          <w:lang w:eastAsia="en-IE"/>
        </w:rPr>
        <w:footnoteReference w:id="9"/>
      </w:r>
      <w:r w:rsidRPr="005B5114">
        <w:rPr>
          <w:noProof/>
        </w:rPr>
        <w:t xml:space="preserve">. </w:t>
      </w:r>
    </w:p>
    <w:p w:rsidR="004028BC" w:rsidRPr="005B5114" w:rsidRDefault="004028BC" w:rsidP="004028BC">
      <w:pPr>
        <w:spacing w:before="100" w:beforeAutospacing="1" w:after="100" w:afterAutospacing="1"/>
        <w:rPr>
          <w:rFonts w:eastAsia="Times New Roman"/>
          <w:noProof/>
          <w:szCs w:val="24"/>
        </w:rPr>
      </w:pPr>
      <w:r w:rsidRPr="005B5114">
        <w:rPr>
          <w:noProof/>
        </w:rPr>
        <w:t xml:space="preserve">Komise v rámci navrhovaného přepracovaného znění směrnice o zdanění energetických produktů a elektřiny mimo jiné poskytla všem členským státům možnost uplatňovat úplné nebo částečné osvobození od daně nebo její snížení na elektřinu dodávanou přímo plavidlům v kotvištích přístavů, aby tak podpořila její rozvoj a míru využití. </w:t>
      </w:r>
    </w:p>
    <w:p w:rsidR="004028BC" w:rsidRPr="005B5114" w:rsidRDefault="004028BC" w:rsidP="004028BC">
      <w:pPr>
        <w:spacing w:before="100" w:beforeAutospacing="1" w:after="100" w:afterAutospacing="1"/>
        <w:rPr>
          <w:rFonts w:eastAsia="Times New Roman"/>
          <w:noProof/>
          <w:szCs w:val="24"/>
        </w:rPr>
      </w:pPr>
      <w:r w:rsidRPr="005B5114">
        <w:rPr>
          <w:noProof/>
        </w:rPr>
        <w:t>Za těchto okolností se proto zdá vhodné udělit povolení na požadované období.</w:t>
      </w:r>
    </w:p>
    <w:p w:rsidR="004028BC" w:rsidRPr="005B5114" w:rsidRDefault="004028BC" w:rsidP="004028BC">
      <w:pPr>
        <w:spacing w:before="100" w:beforeAutospacing="1" w:after="100" w:afterAutospacing="1"/>
        <w:rPr>
          <w:rFonts w:eastAsia="Times New Roman"/>
          <w:i/>
          <w:iCs/>
          <w:noProof/>
          <w:szCs w:val="24"/>
        </w:rPr>
      </w:pPr>
      <w:r w:rsidRPr="005B5114">
        <w:rPr>
          <w:i/>
          <w:noProof/>
        </w:rPr>
        <w:t xml:space="preserve">Pravidla státní podpory </w:t>
      </w:r>
    </w:p>
    <w:p w:rsidR="004028BC" w:rsidRPr="005B5114" w:rsidRDefault="004028BC" w:rsidP="004028BC">
      <w:pPr>
        <w:spacing w:before="100" w:beforeAutospacing="1" w:after="100" w:afterAutospacing="1"/>
        <w:rPr>
          <w:rFonts w:eastAsia="Times New Roman"/>
          <w:noProof/>
          <w:szCs w:val="24"/>
        </w:rPr>
      </w:pPr>
      <w:r w:rsidRPr="005B5114">
        <w:rPr>
          <w:noProof/>
        </w:rPr>
        <w:t xml:space="preserve">Snížená sazba daně ve výši 0,50 EUR/MWh, kterou hodlají zavést belgické orgány, je rovna minimální unijní úrovni zdanění pro obchodní účely podle článku 10 směrnice 2003/96/ES. </w:t>
      </w:r>
    </w:p>
    <w:p w:rsidR="004028BC" w:rsidRPr="005B5114" w:rsidRDefault="004028BC" w:rsidP="004028BC">
      <w:pPr>
        <w:spacing w:before="100" w:beforeAutospacing="1" w:after="100" w:afterAutospacing="1"/>
        <w:rPr>
          <w:rFonts w:eastAsia="Times New Roman"/>
          <w:noProof/>
          <w:szCs w:val="24"/>
        </w:rPr>
      </w:pPr>
      <w:r w:rsidRPr="005B5114">
        <w:rPr>
          <w:noProof/>
        </w:rPr>
        <w:t xml:space="preserve">V článku 44 </w:t>
      </w:r>
      <w:bookmarkStart w:id="1" w:name="_Hlk224165935"/>
      <w:r w:rsidRPr="005B5114">
        <w:rPr>
          <w:noProof/>
        </w:rPr>
        <w:t>nařízení Komise č. 651/2014/EU</w:t>
      </w:r>
      <w:bookmarkEnd w:id="1"/>
      <w:r w:rsidRPr="005B5114">
        <w:rPr>
          <w:noProof/>
        </w:rPr>
        <w:t xml:space="preserve"> jsou stanoveny podmínky, za nichž může být podpora v podobě úlev na ekologických daních podle směrnice 2003/96/ES vyňata z oznamovací povinnosti v rámci pravidel pro státní podporu. </w:t>
      </w:r>
    </w:p>
    <w:p w:rsidR="004028BC" w:rsidRPr="005B5114" w:rsidRDefault="004028BC" w:rsidP="004028BC">
      <w:pPr>
        <w:spacing w:before="100" w:beforeAutospacing="1" w:after="100" w:afterAutospacing="1"/>
        <w:rPr>
          <w:noProof/>
        </w:rPr>
      </w:pPr>
      <w:r w:rsidRPr="005B5114">
        <w:rPr>
          <w:noProof/>
        </w:rPr>
        <w:t>Návrhem prováděcího rozhodnutí Rady není dotčena povinnost členského státu zajistit dodržování pravidel státní podpory, zejména nařízení Komise (EU) č. 651/2014 v případě kategorií podpory, na kterou se vztahuje bloková výjimka, v oblasti působnosti uvedeného nařízení. Návrhem prováděcího rozhodnutí Rady rovněž není dotčena povinnost členského státu oznámit Komisi podporu před jejím vstupem v platnost, pokud by nová podpora nebyla vyňata z oznamovací povinnosti podle čl. 108 odst. 3 Smlouvy.</w:t>
      </w:r>
    </w:p>
    <w:p w:rsidR="004028BC" w:rsidRPr="005B5114" w:rsidRDefault="004028BC" w:rsidP="00A4693B">
      <w:pPr>
        <w:pStyle w:val="ManualHeading2"/>
        <w:rPr>
          <w:rFonts w:eastAsia="Arial Unicode MS"/>
          <w:noProof/>
        </w:rPr>
      </w:pPr>
      <w:r w:rsidRPr="005B5114">
        <w:rPr>
          <w:noProof/>
          <w:color w:val="000000"/>
          <w:u w:color="000000"/>
          <w:bdr w:val="nil"/>
        </w:rPr>
        <w:t>•</w:t>
      </w:r>
      <w:r w:rsidRPr="005B5114">
        <w:rPr>
          <w:noProof/>
        </w:rPr>
        <w:tab/>
        <w:t>Soulad s ostatními politikami Unie</w:t>
      </w:r>
    </w:p>
    <w:p w:rsidR="004028BC" w:rsidRPr="005B5114" w:rsidRDefault="004028BC" w:rsidP="004028BC">
      <w:pPr>
        <w:pStyle w:val="Normal1"/>
        <w:rPr>
          <w:i/>
          <w:iCs/>
          <w:noProof/>
        </w:rPr>
      </w:pPr>
      <w:r w:rsidRPr="005B5114">
        <w:rPr>
          <w:b/>
          <w:i/>
          <w:noProof/>
        </w:rPr>
        <w:t>Politika v oblasti životního prostředí a změny klimatu</w:t>
      </w:r>
      <w:r w:rsidRPr="005B5114">
        <w:rPr>
          <w:i/>
          <w:noProof/>
        </w:rPr>
        <w:t xml:space="preserve"> </w:t>
      </w:r>
    </w:p>
    <w:p w:rsidR="004028BC" w:rsidRPr="005B5114" w:rsidRDefault="004028BC" w:rsidP="004028BC">
      <w:pPr>
        <w:spacing w:before="100" w:beforeAutospacing="1" w:after="100" w:afterAutospacing="1"/>
        <w:rPr>
          <w:rFonts w:eastAsia="Times New Roman"/>
          <w:noProof/>
          <w:szCs w:val="24"/>
        </w:rPr>
      </w:pPr>
      <w:r w:rsidRPr="005B5114">
        <w:rPr>
          <w:noProof/>
        </w:rPr>
        <w:t>Požadované opatření se týká především politiky EU v oblasti životního prostředí a politiky v oblasti změny klimatu. Jelikož pomůže omezit spalování ropných paliv na palubách plavidel v přístavech, přispěje k plnění cíle spočívajícího ve zlepšení kvality místního ovzduší a snížení hladiny hluku. Směrnice o kvalitě vnějšího ovzduší</w:t>
      </w:r>
      <w:r w:rsidRPr="005B5114">
        <w:rPr>
          <w:rStyle w:val="FootnoteReference"/>
          <w:rFonts w:eastAsia="Arial Unicode MS"/>
          <w:noProof/>
        </w:rPr>
        <w:footnoteReference w:id="10"/>
      </w:r>
      <w:r w:rsidRPr="005B5114">
        <w:rPr>
          <w:noProof/>
        </w:rPr>
        <w:t xml:space="preserve"> členským státům ukládá povinnost zajistit, aby hodnoty některých látek znečišťujících ovzduší nepřekračovaly limitní hodnoty a </w:t>
      </w:r>
      <w:r w:rsidRPr="005B5114">
        <w:rPr>
          <w:noProof/>
        </w:rPr>
        <w:lastRenderedPageBreak/>
        <w:t>aby byly dosaženy cílové hodnoty a zajištěn soulad s ostatními standardy kvality stanovenými v uvedené směrnici. Po členských státech se vyžaduje, aby tam, kde je to příslušné, nalezly řešení problémů, jako jsou emise z lodí v kotvištích přístavů, a lze předpokládat, že v přístavech s těmito problémy bude využívání elektřiny z pevniny i nadále podporováno jako součást celkové strategie pro kvalitu ovzduší. Používání elektřiny z pevniny se rovněž podporuje podle směrnice (EU) 2016/802</w:t>
      </w:r>
      <w:r w:rsidRPr="005B5114">
        <w:rPr>
          <w:rStyle w:val="FootnoteReference"/>
          <w:rFonts w:eastAsia="Times New Roman"/>
          <w:noProof/>
          <w:szCs w:val="24"/>
          <w:lang w:eastAsia="en-IE"/>
        </w:rPr>
        <w:footnoteReference w:id="11"/>
      </w:r>
      <w:r w:rsidRPr="005B5114">
        <w:rPr>
          <w:noProof/>
        </w:rPr>
        <w:t xml:space="preserve">, která upravuje obsah síry v lodních palivech. </w:t>
      </w:r>
    </w:p>
    <w:p w:rsidR="004028BC" w:rsidRPr="005B5114" w:rsidRDefault="004028BC" w:rsidP="004028BC">
      <w:pPr>
        <w:spacing w:before="100" w:beforeAutospacing="1" w:after="100" w:afterAutospacing="1"/>
        <w:rPr>
          <w:rFonts w:eastAsia="Times New Roman"/>
          <w:noProof/>
          <w:color w:val="000000"/>
          <w:szCs w:val="24"/>
        </w:rPr>
      </w:pPr>
      <w:r w:rsidRPr="005B5114">
        <w:rPr>
          <w:noProof/>
          <w:color w:val="000000"/>
        </w:rPr>
        <w:t>Uplatňováním požadovaného opatření hodlá Belgie nadále motivovat k využívání elektřiny z pevniny jako alternativy výroby elektřiny na palubě plavidel v kotvištích přístavů, jež je šetrnější k životnímu prostředí.</w:t>
      </w:r>
    </w:p>
    <w:p w:rsidR="004028BC" w:rsidRPr="005B5114" w:rsidRDefault="004028BC" w:rsidP="004028BC">
      <w:pPr>
        <w:spacing w:before="100" w:beforeAutospacing="1" w:after="100" w:afterAutospacing="1"/>
        <w:rPr>
          <w:rFonts w:eastAsia="Times New Roman"/>
          <w:noProof/>
          <w:color w:val="000000"/>
          <w:szCs w:val="24"/>
        </w:rPr>
      </w:pPr>
      <w:r w:rsidRPr="005B5114">
        <w:rPr>
          <w:noProof/>
          <w:color w:val="000000"/>
        </w:rPr>
        <w:t>Jak zdůrazňují belgické orgány, využívání elektřiny z pevniny namísto palubních generátorů může mít příznivé účinky na životní prostředí.</w:t>
      </w:r>
      <w:r w:rsidRPr="005B5114">
        <w:rPr>
          <w:noProof/>
        </w:rPr>
        <w:t xml:space="preserve"> </w:t>
      </w:r>
      <w:r w:rsidRPr="005B5114">
        <w:rPr>
          <w:noProof/>
          <w:color w:val="000000"/>
        </w:rPr>
        <w:t>Podpora využívání elektřiny z pevniny je zásadním krokem k ekologizaci lodní dopravy a belgických přístavů. Kromě toho bude mít větší využívání elektřiny z pevniny v budoucnu pozitivní dopad na kvalitu ovzduší v belgických přístavních oblastech, neboť se sníží množství látek znečišťujících ovzduší, částic a sazí. Belgie rovněž očekává, že toto opatření sníží hlukové znečištění a emise oxidů dusíku. Opatření také pravděpodobně povede ke snížení emisí CO</w:t>
      </w:r>
      <w:r w:rsidRPr="005B5114">
        <w:rPr>
          <w:noProof/>
          <w:color w:val="000000"/>
          <w:vertAlign w:val="subscript"/>
        </w:rPr>
        <w:t>2</w:t>
      </w:r>
      <w:r w:rsidRPr="005B5114">
        <w:rPr>
          <w:noProof/>
          <w:color w:val="000000"/>
        </w:rPr>
        <w:t>. Je tomu tak proto, že skladba zdrojů elektrické energie z elektrizační soustavy na pevnině v Belgii je kvůli vyšší účinnosti energetického systému a díky rozdílu v použitých vstupních palivech méně uhlíkově náročná než elektřina vyráběná na palubě spalováním ropných paliv.</w:t>
      </w:r>
    </w:p>
    <w:p w:rsidR="0038338C" w:rsidRPr="005B5114" w:rsidRDefault="0038338C" w:rsidP="0038338C">
      <w:pPr>
        <w:rPr>
          <w:noProof/>
        </w:rPr>
      </w:pPr>
      <w:r w:rsidRPr="005B5114">
        <w:rPr>
          <w:noProof/>
        </w:rPr>
        <w:t>Toto opatření je slučitelné s doporučením Komise o podpoře využívání pobřežní elektřiny loděmi v kotvištích přístavů Společenství</w:t>
      </w:r>
      <w:r w:rsidRPr="005B5114">
        <w:rPr>
          <w:rStyle w:val="FootnoteReference"/>
          <w:noProof/>
        </w:rPr>
        <w:footnoteReference w:id="12"/>
      </w:r>
      <w:r w:rsidRPr="005B5114">
        <w:rPr>
          <w:noProof/>
        </w:rPr>
        <w:t>, které upřesňuje, že snížení zdanění elektřiny dodávané lodím v kotvištích zvyšuje atraktivitu pobřežní elektřiny.</w:t>
      </w:r>
    </w:p>
    <w:p w:rsidR="004028BC" w:rsidRPr="005B5114" w:rsidRDefault="004028BC" w:rsidP="004028BC">
      <w:pPr>
        <w:spacing w:before="100" w:beforeAutospacing="1" w:after="100" w:afterAutospacing="1"/>
        <w:jc w:val="left"/>
        <w:rPr>
          <w:rFonts w:eastAsia="Times New Roman"/>
          <w:b/>
          <w:bCs/>
          <w:i/>
          <w:iCs/>
          <w:noProof/>
          <w:szCs w:val="24"/>
        </w:rPr>
      </w:pPr>
      <w:r w:rsidRPr="005B5114">
        <w:rPr>
          <w:b/>
          <w:i/>
          <w:noProof/>
        </w:rPr>
        <w:t xml:space="preserve">Energetická politika </w:t>
      </w:r>
    </w:p>
    <w:p w:rsidR="004028BC" w:rsidRPr="005B5114" w:rsidRDefault="004028BC" w:rsidP="004028BC">
      <w:pPr>
        <w:spacing w:before="100" w:beforeAutospacing="1" w:after="100" w:afterAutospacing="1"/>
        <w:rPr>
          <w:rFonts w:eastAsia="Times New Roman"/>
          <w:noProof/>
          <w:szCs w:val="24"/>
        </w:rPr>
      </w:pPr>
      <w:r w:rsidRPr="005B5114">
        <w:rPr>
          <w:noProof/>
        </w:rPr>
        <w:t>Opatření je v souladu s nařízením o infrastruktuře pro alternativní paliva</w:t>
      </w:r>
      <w:r w:rsidRPr="005B5114">
        <w:rPr>
          <w:rStyle w:val="FootnoteReference"/>
          <w:rFonts w:eastAsia="Times New Roman"/>
          <w:noProof/>
          <w:szCs w:val="24"/>
          <w:lang w:eastAsia="en-IE"/>
        </w:rPr>
        <w:footnoteReference w:id="13"/>
      </w:r>
      <w:r w:rsidRPr="005B5114">
        <w:rPr>
          <w:noProof/>
        </w:rPr>
        <w:t>, které se týká problematiky instalace zařízení pro dodávky elektřiny z pevniny v přístavech, kde je po takových zařízeních poptávka a náklady nejsou s ohledem na přínos, včetně přínosu pro životní prostředí, nepřiměřené. Podobné opatření bylo rovněž posouzeno jako opatření přispívající k dosažení cílů politik a právních předpisů Unie zaměřených na snížení environmentální stopy u námořní dopravy, a k rozvoji určitých hospodářských činností podle čl. 107 odst. 3 písm. c) SFEU</w:t>
      </w:r>
      <w:r w:rsidRPr="005B5114">
        <w:rPr>
          <w:rStyle w:val="FootnoteReference"/>
          <w:rFonts w:eastAsia="Times New Roman"/>
          <w:noProof/>
          <w:szCs w:val="24"/>
          <w:lang w:eastAsia="en-IE"/>
        </w:rPr>
        <w:footnoteReference w:id="14"/>
      </w:r>
      <w:r w:rsidRPr="005B5114">
        <w:rPr>
          <w:noProof/>
        </w:rPr>
        <w:t xml:space="preserve">. </w:t>
      </w:r>
    </w:p>
    <w:p w:rsidR="004028BC" w:rsidRPr="005B5114" w:rsidRDefault="004028BC" w:rsidP="004028BC">
      <w:pPr>
        <w:spacing w:before="100" w:beforeAutospacing="1" w:after="100" w:afterAutospacing="1"/>
        <w:rPr>
          <w:rFonts w:eastAsia="Times New Roman"/>
          <w:noProof/>
          <w:szCs w:val="24"/>
        </w:rPr>
      </w:pPr>
      <w:r w:rsidRPr="005B5114">
        <w:rPr>
          <w:noProof/>
        </w:rPr>
        <w:t>Zde je třeba připomenout, že významným důvodem nepříznivého soutěžního postavení elektřiny z pevniny je skutečnost, že elektřina vyráběná na palubě plavidel v době, kdy se nacházejí v námořních přístavech, je v současnosti od daně zcela osvobozena: od daně je osvobozeno nejen ropné palivo spalované pro výrobu elektřiny, což odpovídá běžné situaci podle čl. 14 odst. 1 písm. a) směrnice o zdanění energie, ale i samotná elektřina vyráběná na palubě plavidel</w:t>
      </w:r>
      <w:r w:rsidRPr="005B5114">
        <w:rPr>
          <w:rStyle w:val="FootnoteReference"/>
          <w:noProof/>
        </w:rPr>
        <w:footnoteReference w:id="15"/>
      </w:r>
      <w:r w:rsidRPr="005B5114">
        <w:rPr>
          <w:noProof/>
        </w:rPr>
        <w:t xml:space="preserve">. Ačkoliv posledně uvedenou výjimku lze stěží pokládat za opatření, které je </w:t>
      </w:r>
      <w:r w:rsidRPr="005B5114">
        <w:rPr>
          <w:noProof/>
        </w:rPr>
        <w:lastRenderedPageBreak/>
        <w:t xml:space="preserve">v souladu s environmentálními cíli Unie, je výsledkem praktických aspektů. Zdanění elektřiny vyráběné na palubě by totiž vyžadovalo prohlášení majitele lodi nebo jejího provozovatele o množství vyrobené a spotřebované elektřiny. V prohlášení by musel být navíc uveden podíl elektřiny spotřebované v teritoriálních vodách konkrétního členského státu, v němž má být daň uhrazena. To by majitelům lodi přinášelo nadměrnou administrativní zátěž, protože by museli taková prohlášení vydávat pro každý členský stát, jehož teritoriálními vodami propluli. Totéž platí pro vnitrozemskou plavbu a volitelný daňový režim stanovený v čl. 15 odst. 1 písm. f) směrnice. Vzhledem k daňovému osvobození výroby elektřiny z fosilních paliv na palubách lodí není penalizace méně znečišťující alternativy, jíž je elektřina z pevniny, odůvodnitelná a je vhodné, aby se Belgii se umožnilo uplatňovat sníženou sazbu daně. </w:t>
      </w:r>
    </w:p>
    <w:p w:rsidR="004028BC" w:rsidRPr="005B5114" w:rsidRDefault="004028BC" w:rsidP="004028BC">
      <w:pPr>
        <w:spacing w:before="100" w:beforeAutospacing="1" w:after="100" w:afterAutospacing="1"/>
        <w:rPr>
          <w:rFonts w:eastAsia="Times New Roman"/>
          <w:b/>
          <w:bCs/>
          <w:i/>
          <w:iCs/>
          <w:noProof/>
          <w:szCs w:val="24"/>
        </w:rPr>
      </w:pPr>
      <w:r w:rsidRPr="005B5114">
        <w:rPr>
          <w:b/>
          <w:i/>
          <w:noProof/>
        </w:rPr>
        <w:t xml:space="preserve">Dopravní politika </w:t>
      </w:r>
    </w:p>
    <w:p w:rsidR="004028BC" w:rsidRPr="005B5114" w:rsidRDefault="004028BC" w:rsidP="004028BC">
      <w:pPr>
        <w:spacing w:before="100" w:beforeAutospacing="1" w:after="100" w:afterAutospacing="1"/>
        <w:rPr>
          <w:rFonts w:eastAsia="Times New Roman"/>
          <w:noProof/>
          <w:szCs w:val="24"/>
        </w:rPr>
      </w:pPr>
      <w:r w:rsidRPr="005B5114">
        <w:rPr>
          <w:noProof/>
        </w:rPr>
        <w:t>Opatření je v souladu s cíli nařízení o iniciativě Fuel EU Maritime</w:t>
      </w:r>
      <w:r w:rsidRPr="005B5114">
        <w:rPr>
          <w:rStyle w:val="FootnoteReference"/>
          <w:rFonts w:eastAsia="Times New Roman"/>
          <w:noProof/>
          <w:szCs w:val="24"/>
          <w:lang w:eastAsia="en-IE"/>
        </w:rPr>
        <w:footnoteReference w:id="16"/>
      </w:r>
      <w:r w:rsidRPr="005B5114">
        <w:rPr>
          <w:noProof/>
        </w:rPr>
        <w:t>. Toto nařízení stanoví požadavek, aby plavidla klasifikovaná jako výletní lodě, trajekty a kontejnerové lodě o hrubé prostornosti větší než 5 000 tun používala od roku 2030 systémy dodávek elektřiny z pevniny, s výjimkou případů, kdy mají k dispozici technologii s nulovými emisemi. I širší uplatňování snížené sazby, zejména na plavidla vnitrozemské plavby a plavidla s nižší hrubou prostorností, by dostačovalo k odůvodnění opatření. Jak zdůraznily belgické orgány, povolení bude mít zásadní význam pro to, aby Belgie mohla splnit výše uvedené cíle EU týkající se dostupnosti a využívání elektřiny z pevniny.</w:t>
      </w:r>
    </w:p>
    <w:p w:rsidR="004028BC" w:rsidRPr="005B5114" w:rsidRDefault="004028BC" w:rsidP="004028BC">
      <w:pPr>
        <w:spacing w:before="100" w:beforeAutospacing="1" w:after="100" w:afterAutospacing="1"/>
        <w:rPr>
          <w:rFonts w:eastAsia="Times New Roman"/>
          <w:b/>
          <w:bCs/>
          <w:i/>
          <w:iCs/>
          <w:noProof/>
          <w:szCs w:val="24"/>
        </w:rPr>
      </w:pPr>
      <w:r w:rsidRPr="005B5114">
        <w:rPr>
          <w:b/>
          <w:i/>
          <w:noProof/>
        </w:rPr>
        <w:t xml:space="preserve">Vnitřní trh a spravedlivá hospodářská soutěž </w:t>
      </w:r>
    </w:p>
    <w:p w:rsidR="004028BC" w:rsidRPr="005B5114" w:rsidRDefault="004028BC" w:rsidP="004028BC">
      <w:pPr>
        <w:spacing w:before="100" w:beforeAutospacing="1" w:after="100" w:afterAutospacing="1"/>
        <w:rPr>
          <w:rFonts w:eastAsia="Times New Roman"/>
          <w:noProof/>
          <w:szCs w:val="24"/>
        </w:rPr>
      </w:pPr>
      <w:r w:rsidRPr="005B5114">
        <w:rPr>
          <w:noProof/>
        </w:rPr>
        <w:t xml:space="preserve">Z hlediska vnitřního trhu a spravedlivé hospodářské soutěže dané opatření pouze snižuje narušení, které v současnosti existuje mezi oběma konkurenčními zdroji elektřiny pro lodě v kotvištích, tj. mezi výrobou elektřiny na palubě a elektřinou z pevniny, jehož příčinou je osvobození lodních ropných paliv od daně. </w:t>
      </w:r>
    </w:p>
    <w:p w:rsidR="004028BC" w:rsidRPr="005B5114" w:rsidRDefault="004028BC" w:rsidP="004028BC">
      <w:pPr>
        <w:spacing w:before="100" w:beforeAutospacing="1" w:after="100" w:afterAutospacing="1"/>
        <w:rPr>
          <w:rFonts w:eastAsia="Times New Roman"/>
          <w:noProof/>
          <w:szCs w:val="24"/>
        </w:rPr>
      </w:pPr>
      <w:r w:rsidRPr="005B5114">
        <w:rPr>
          <w:noProof/>
        </w:rPr>
        <w:t xml:space="preserve">Belgické orgány podotýkají, že v této fázi nelze vyloučit možnost, že navrhované snížení daně zvýhodní dodavatele elektřiny a nepřímo vlastníky plavidel používaných pro obchodní lodní dopravu. Avšak přístup k elektřině z pevniny bude k dispozici pro dotčená plavidla bez ohledu na jejich vlajku, takže opatření nepovede k daňovému zvýhodnění vnitrostátních hospodářských subjektů oproti jejich konkurentům z jiných členských států EU. </w:t>
      </w:r>
    </w:p>
    <w:p w:rsidR="004028BC" w:rsidRPr="005B5114" w:rsidRDefault="004028BC" w:rsidP="004028BC">
      <w:pPr>
        <w:spacing w:before="100" w:beforeAutospacing="1" w:after="100" w:afterAutospacing="1"/>
        <w:rPr>
          <w:rFonts w:eastAsia="Times New Roman"/>
          <w:noProof/>
          <w:szCs w:val="24"/>
        </w:rPr>
      </w:pPr>
      <w:r w:rsidRPr="005B5114">
        <w:rPr>
          <w:noProof/>
        </w:rPr>
        <w:t>Co se týče hospodářské soutěže mezi přístavy, lze očekávat, že případný dopad na obchod mezi členskými státy, jenž by mohl vzniknout, pokud by plavidla kvůli možnosti čerpat elektřinu z pevniny se sníženou sazbou daně změnila své trasy, bude zanedbatelný. V situaci, kdy (jak bylo uvedeno výše) se navzdory snížení daně používání elektřiny z pevniny přinejmenším v krátkodobém horizontu pravděpodobně nestane méně nákladným než výroba elektřiny na palubě, je nepravděpodobné i to, že by uvedené snížení daně u elektřiny z pevniny významně narušilo hospodářskou soutěž mezi přístavy tím, že plavidla přiměje ke změně trasy podle dostupnosti této možnosti.</w:t>
      </w:r>
    </w:p>
    <w:p w:rsidR="004028BC" w:rsidRPr="005B5114" w:rsidRDefault="004028BC" w:rsidP="004028BC">
      <w:pPr>
        <w:spacing w:before="100" w:beforeAutospacing="1" w:after="100" w:afterAutospacing="1"/>
        <w:rPr>
          <w:rFonts w:eastAsia="Times New Roman"/>
          <w:noProof/>
          <w:szCs w:val="24"/>
        </w:rPr>
      </w:pPr>
      <w:r w:rsidRPr="005B5114">
        <w:rPr>
          <w:noProof/>
        </w:rPr>
        <w:t xml:space="preserve">Belgické orgány tvrdí, že při výběru přístavů hrají roli další faktory (jako je </w:t>
      </w:r>
      <w:r w:rsidRPr="005B5114">
        <w:rPr>
          <w:noProof/>
          <w:color w:val="000000"/>
        </w:rPr>
        <w:t>typ lodi a nákladu, dostupná spojení s vnitrozemím</w:t>
      </w:r>
      <w:r w:rsidRPr="005B5114">
        <w:rPr>
          <w:noProof/>
        </w:rPr>
        <w:t xml:space="preserve"> nebo jiné hospodářské faktory), takže pouhá dostupnost elektřiny z pevniny se nezdá být rozhodující. </w:t>
      </w:r>
    </w:p>
    <w:p w:rsidR="004028BC" w:rsidRPr="005B5114" w:rsidRDefault="004028BC" w:rsidP="004028BC">
      <w:pPr>
        <w:spacing w:before="100" w:beforeAutospacing="1" w:after="100" w:afterAutospacing="1"/>
        <w:rPr>
          <w:rFonts w:eastAsia="Times New Roman"/>
          <w:noProof/>
          <w:szCs w:val="24"/>
        </w:rPr>
      </w:pPr>
      <w:r w:rsidRPr="005B5114">
        <w:rPr>
          <w:noProof/>
        </w:rPr>
        <w:lastRenderedPageBreak/>
        <w:t xml:space="preserve">Vzhledem k časovému rámci, po který se navrhuje udělit povolení uplatňovat sníženou sazbu daně, je nepravděpodobné, že se analýza provedená v předchozích odstavcích změní před datem skončení platnosti opatření, nedojde-li k významným změnám stávajícího rámce a situace. </w:t>
      </w:r>
    </w:p>
    <w:p w:rsidR="004028BC" w:rsidRPr="005B5114" w:rsidRDefault="004028BC" w:rsidP="0029266A">
      <w:pPr>
        <w:pBdr>
          <w:top w:val="nil"/>
          <w:left w:val="nil"/>
          <w:bottom w:val="nil"/>
          <w:right w:val="nil"/>
          <w:between w:val="nil"/>
          <w:bar w:val="nil"/>
        </w:pBdr>
        <w:spacing w:before="0" w:after="240"/>
        <w:rPr>
          <w:rFonts w:eastAsia="Arial Unicode MS"/>
          <w:noProof/>
        </w:rPr>
      </w:pPr>
    </w:p>
    <w:p w:rsidR="004028BC" w:rsidRPr="005B5114" w:rsidRDefault="004028BC" w:rsidP="00550536">
      <w:pPr>
        <w:pStyle w:val="ManualHeading1"/>
        <w:rPr>
          <w:noProof/>
        </w:rPr>
      </w:pPr>
      <w:r w:rsidRPr="005B5114">
        <w:rPr>
          <w:noProof/>
        </w:rPr>
        <w:t>2.</w:t>
      </w:r>
      <w:r w:rsidRPr="005B5114">
        <w:rPr>
          <w:noProof/>
        </w:rPr>
        <w:tab/>
        <w:t>PRÁVNÍ ZÁKLAD, SUBSIDIARITA A PROPORCIONALITA</w:t>
      </w:r>
    </w:p>
    <w:p w:rsidR="004028BC" w:rsidRPr="005B5114" w:rsidRDefault="004028BC" w:rsidP="00A4693B">
      <w:pPr>
        <w:pStyle w:val="ManualHeading2"/>
        <w:rPr>
          <w:rFonts w:eastAsia="Arial Unicode MS"/>
          <w:noProof/>
          <w:u w:color="000000"/>
          <w:bdr w:val="nil"/>
        </w:rPr>
      </w:pPr>
      <w:r w:rsidRPr="005B5114">
        <w:rPr>
          <w:noProof/>
          <w:u w:color="000000"/>
          <w:bdr w:val="nil"/>
        </w:rPr>
        <w:t>•</w:t>
      </w:r>
      <w:r w:rsidRPr="005B5114">
        <w:rPr>
          <w:noProof/>
        </w:rPr>
        <w:tab/>
      </w:r>
      <w:r w:rsidRPr="005B5114">
        <w:rPr>
          <w:noProof/>
          <w:u w:color="000000"/>
          <w:bdr w:val="nil"/>
        </w:rPr>
        <w:t>Právní základ</w:t>
      </w:r>
    </w:p>
    <w:p w:rsidR="004028BC" w:rsidRPr="005B5114" w:rsidRDefault="004028BC" w:rsidP="00550536">
      <w:pPr>
        <w:pBdr>
          <w:top w:val="nil"/>
          <w:left w:val="nil"/>
          <w:bottom w:val="nil"/>
          <w:right w:val="nil"/>
          <w:between w:val="nil"/>
          <w:bar w:val="nil"/>
        </w:pBdr>
        <w:spacing w:before="0" w:after="240"/>
        <w:rPr>
          <w:rFonts w:eastAsia="Arial Unicode MS"/>
          <w:bCs/>
          <w:noProof/>
        </w:rPr>
      </w:pPr>
      <w:r w:rsidRPr="005B5114">
        <w:rPr>
          <w:noProof/>
        </w:rPr>
        <w:t>Článek 19 směrnice Rady 2003/96/ES.</w:t>
      </w:r>
    </w:p>
    <w:p w:rsidR="004028BC" w:rsidRPr="005B5114" w:rsidRDefault="004028BC" w:rsidP="00A4693B">
      <w:pPr>
        <w:pStyle w:val="ManualHeading2"/>
        <w:rPr>
          <w:rFonts w:eastAsia="Arial Unicode MS"/>
          <w:noProof/>
          <w:u w:color="000000"/>
          <w:bdr w:val="nil"/>
        </w:rPr>
      </w:pPr>
      <w:r w:rsidRPr="005B5114">
        <w:rPr>
          <w:noProof/>
          <w:u w:color="000000"/>
          <w:bdr w:val="nil"/>
        </w:rPr>
        <w:t>•</w:t>
      </w:r>
      <w:r w:rsidRPr="005B5114">
        <w:rPr>
          <w:noProof/>
        </w:rPr>
        <w:tab/>
      </w:r>
      <w:r w:rsidRPr="005B5114">
        <w:rPr>
          <w:noProof/>
          <w:u w:color="000000"/>
          <w:bdr w:val="nil"/>
        </w:rPr>
        <w:t xml:space="preserve">Subsidiarita (v případě nevýlučné pravomoci) </w:t>
      </w:r>
    </w:p>
    <w:p w:rsidR="004028BC" w:rsidRPr="005B5114" w:rsidRDefault="004028BC" w:rsidP="004028BC">
      <w:pPr>
        <w:pStyle w:val="Normal1"/>
        <w:jc w:val="both"/>
        <w:rPr>
          <w:noProof/>
        </w:rPr>
      </w:pPr>
      <w:r w:rsidRPr="005B5114">
        <w:rPr>
          <w:noProof/>
        </w:rPr>
        <w:t xml:space="preserve">Oblast nepřímých daní, na niž se vztahuje článek 113 Smlouvy o fungování EU, nespadá sama o sobě do výlučné pravomoci Evropské unie ve smyslu článku 3 uvedené smlouvy. </w:t>
      </w:r>
    </w:p>
    <w:p w:rsidR="004028BC" w:rsidRPr="005B5114" w:rsidRDefault="004028BC" w:rsidP="004028BC">
      <w:pPr>
        <w:pStyle w:val="Normal1"/>
        <w:jc w:val="both"/>
        <w:rPr>
          <w:noProof/>
        </w:rPr>
      </w:pPr>
      <w:r w:rsidRPr="005B5114">
        <w:rPr>
          <w:noProof/>
        </w:rPr>
        <w:t xml:space="preserve">Podle článku 19 směrnice 2003/96/ES však zavedení dalšího osvobození od daně nebo snížení daně ve smyslu uvedeného ustanovení může členskému státu v rámci sekundárního práva povolit pouze Rada. Členské státy tedy nemohou Radu nahradit. V důsledku toho se zásada subsidiarity na toto prováděcí rozhodnutí nevztahuje. V každém případě vzhledem k tomu, že tento akt nepředstavuje návrh legislativního aktu, neměl by být podle Protokolu č. 2 připojeného ke Smlouvám předán vnitrostátním parlamentům pro přezkum dodržování zásady subsidiarity. </w:t>
      </w:r>
    </w:p>
    <w:p w:rsidR="004028BC" w:rsidRPr="005B5114" w:rsidRDefault="004028BC" w:rsidP="00A4693B">
      <w:pPr>
        <w:pStyle w:val="ManualHeading2"/>
        <w:rPr>
          <w:rFonts w:eastAsia="Arial Unicode MS"/>
          <w:noProof/>
          <w:u w:color="000000"/>
          <w:bdr w:val="nil"/>
        </w:rPr>
      </w:pPr>
      <w:r w:rsidRPr="005B5114">
        <w:rPr>
          <w:noProof/>
          <w:u w:color="000000"/>
          <w:bdr w:val="nil"/>
        </w:rPr>
        <w:t>•</w:t>
      </w:r>
      <w:r w:rsidRPr="005B5114">
        <w:rPr>
          <w:noProof/>
        </w:rPr>
        <w:tab/>
      </w:r>
      <w:r w:rsidRPr="005B5114">
        <w:rPr>
          <w:noProof/>
          <w:u w:color="000000"/>
          <w:bdr w:val="nil"/>
        </w:rPr>
        <w:t>Proporcionalita</w:t>
      </w:r>
    </w:p>
    <w:p w:rsidR="004028BC" w:rsidRPr="005B5114" w:rsidRDefault="004028BC" w:rsidP="004028BC">
      <w:pPr>
        <w:pBdr>
          <w:top w:val="nil"/>
          <w:left w:val="nil"/>
          <w:bottom w:val="nil"/>
          <w:right w:val="nil"/>
          <w:between w:val="nil"/>
          <w:bar w:val="nil"/>
        </w:pBdr>
        <w:spacing w:before="0" w:after="240"/>
        <w:rPr>
          <w:rFonts w:eastAsia="Arial Unicode MS"/>
          <w:noProof/>
        </w:rPr>
      </w:pPr>
      <w:r w:rsidRPr="005B5114">
        <w:rPr>
          <w:noProof/>
        </w:rPr>
        <w:t>Návrh je v souladu se zásadou proporcionality. Snížení daně nepřekračuje rámec toho, co je nezbytné k dosažení uvedeného cíle.</w:t>
      </w:r>
    </w:p>
    <w:p w:rsidR="004028BC" w:rsidRPr="005B5114" w:rsidRDefault="004028BC" w:rsidP="00A4693B">
      <w:pPr>
        <w:pStyle w:val="ManualHeading2"/>
        <w:rPr>
          <w:rFonts w:eastAsia="Arial Unicode MS"/>
          <w:noProof/>
          <w:u w:color="000000"/>
          <w:bdr w:val="nil"/>
        </w:rPr>
      </w:pPr>
      <w:r w:rsidRPr="005B5114">
        <w:rPr>
          <w:noProof/>
          <w:u w:color="000000"/>
          <w:bdr w:val="nil"/>
        </w:rPr>
        <w:t>•</w:t>
      </w:r>
      <w:r w:rsidRPr="005B5114">
        <w:rPr>
          <w:noProof/>
        </w:rPr>
        <w:tab/>
      </w:r>
      <w:r w:rsidRPr="005B5114">
        <w:rPr>
          <w:noProof/>
          <w:u w:color="000000"/>
          <w:bdr w:val="nil"/>
        </w:rPr>
        <w:t>Volba nástroje</w:t>
      </w:r>
    </w:p>
    <w:p w:rsidR="004028BC" w:rsidRPr="005B5114" w:rsidRDefault="004028BC" w:rsidP="004028BC">
      <w:pPr>
        <w:pBdr>
          <w:top w:val="nil"/>
          <w:left w:val="nil"/>
          <w:bottom w:val="nil"/>
          <w:right w:val="nil"/>
          <w:between w:val="nil"/>
          <w:bar w:val="nil"/>
        </w:pBdr>
        <w:spacing w:before="0" w:after="240"/>
        <w:rPr>
          <w:noProof/>
        </w:rPr>
      </w:pPr>
      <w:r w:rsidRPr="005B5114">
        <w:rPr>
          <w:noProof/>
        </w:rPr>
        <w:t>Navrhovaným nástrojem je prováděcí rozhodnutí Rady. Článek 19 směrnice 2003/96/ES stanoví pouze tento druh opatření.</w:t>
      </w:r>
    </w:p>
    <w:p w:rsidR="004028BC" w:rsidRPr="005B5114" w:rsidRDefault="004028BC" w:rsidP="004028BC">
      <w:pPr>
        <w:pBdr>
          <w:top w:val="nil"/>
          <w:left w:val="nil"/>
          <w:bottom w:val="nil"/>
          <w:right w:val="nil"/>
          <w:between w:val="nil"/>
          <w:bar w:val="nil"/>
        </w:pBdr>
        <w:spacing w:before="0" w:after="240"/>
        <w:rPr>
          <w:noProof/>
        </w:rPr>
      </w:pPr>
    </w:p>
    <w:p w:rsidR="004028BC" w:rsidRPr="005B5114" w:rsidRDefault="004028BC" w:rsidP="00550536">
      <w:pPr>
        <w:pStyle w:val="ManualHeading1"/>
        <w:rPr>
          <w:noProof/>
        </w:rPr>
      </w:pPr>
      <w:r w:rsidRPr="005B5114">
        <w:rPr>
          <w:noProof/>
        </w:rPr>
        <w:t>3.</w:t>
      </w:r>
      <w:r w:rsidRPr="005B5114">
        <w:rPr>
          <w:noProof/>
        </w:rPr>
        <w:tab/>
        <w:t xml:space="preserve">VÝSLEDKY HODNOCENÍ </w:t>
      </w:r>
      <w:r w:rsidRPr="005B5114">
        <w:rPr>
          <w:i/>
          <w:iCs/>
          <w:noProof/>
        </w:rPr>
        <w:t>EX POST</w:t>
      </w:r>
      <w:r w:rsidRPr="005B5114">
        <w:rPr>
          <w:noProof/>
        </w:rPr>
        <w:t>, KONZULTACÍ SE ZÚČASTNĚNÝMI STRANAMI A POSOUZENÍ DOPADŮ</w:t>
      </w:r>
    </w:p>
    <w:p w:rsidR="004028BC" w:rsidRPr="005B5114" w:rsidRDefault="004028BC" w:rsidP="00A4693B">
      <w:pPr>
        <w:pStyle w:val="ManualHeading2"/>
        <w:rPr>
          <w:rFonts w:eastAsia="Arial Unicode MS"/>
          <w:noProof/>
          <w:u w:color="000000"/>
          <w:bdr w:val="nil"/>
        </w:rPr>
      </w:pPr>
      <w:r w:rsidRPr="005B5114">
        <w:rPr>
          <w:noProof/>
          <w:u w:color="000000"/>
          <w:bdr w:val="nil"/>
        </w:rPr>
        <w:t>•</w:t>
      </w:r>
      <w:r w:rsidRPr="005B5114">
        <w:rPr>
          <w:noProof/>
        </w:rPr>
        <w:tab/>
      </w:r>
      <w:r w:rsidRPr="005B5114">
        <w:rPr>
          <w:noProof/>
          <w:u w:color="000000"/>
          <w:bdr w:val="nil"/>
        </w:rPr>
        <w:t xml:space="preserve">Hodnocení </w:t>
      </w:r>
      <w:r w:rsidRPr="005B5114">
        <w:rPr>
          <w:i/>
          <w:iCs/>
          <w:noProof/>
          <w:u w:color="000000"/>
          <w:bdr w:val="nil"/>
        </w:rPr>
        <w:t>ex post</w:t>
      </w:r>
      <w:r w:rsidRPr="005B5114">
        <w:rPr>
          <w:noProof/>
          <w:u w:color="000000"/>
          <w:bdr w:val="nil"/>
        </w:rPr>
        <w:t xml:space="preserve"> / kontroly účelnosti platných právních předpisů</w:t>
      </w:r>
    </w:p>
    <w:p w:rsidR="004028BC" w:rsidRPr="005B5114" w:rsidRDefault="004028BC" w:rsidP="004028BC">
      <w:pPr>
        <w:pBdr>
          <w:top w:val="nil"/>
          <w:left w:val="nil"/>
          <w:bottom w:val="nil"/>
          <w:right w:val="nil"/>
          <w:between w:val="nil"/>
          <w:bar w:val="nil"/>
        </w:pBdr>
        <w:spacing w:before="0" w:after="240"/>
        <w:rPr>
          <w:noProof/>
        </w:rPr>
      </w:pPr>
      <w:r w:rsidRPr="005B5114">
        <w:rPr>
          <w:noProof/>
        </w:rPr>
        <w:t>Opatření nevyžaduje hodnocení platných právních předpisů.</w:t>
      </w:r>
    </w:p>
    <w:p w:rsidR="004028BC" w:rsidRPr="005B5114" w:rsidRDefault="004028BC" w:rsidP="00A4693B">
      <w:pPr>
        <w:pStyle w:val="ManualHeading2"/>
        <w:rPr>
          <w:rFonts w:eastAsia="Arial Unicode MS"/>
          <w:noProof/>
          <w:u w:color="000000"/>
          <w:bdr w:val="nil"/>
        </w:rPr>
      </w:pPr>
      <w:r w:rsidRPr="005B5114">
        <w:rPr>
          <w:noProof/>
          <w:u w:color="000000"/>
          <w:bdr w:val="nil"/>
        </w:rPr>
        <w:t>•</w:t>
      </w:r>
      <w:r w:rsidRPr="005B5114">
        <w:rPr>
          <w:noProof/>
        </w:rPr>
        <w:tab/>
      </w:r>
      <w:r w:rsidRPr="005B5114">
        <w:rPr>
          <w:noProof/>
          <w:u w:color="000000"/>
          <w:bdr w:val="nil"/>
        </w:rPr>
        <w:t>Konzultace se zúčastněnými stranami</w:t>
      </w:r>
    </w:p>
    <w:p w:rsidR="004028BC" w:rsidRPr="005B5114" w:rsidRDefault="004028BC" w:rsidP="004028BC">
      <w:pPr>
        <w:pBdr>
          <w:top w:val="nil"/>
          <w:left w:val="nil"/>
          <w:bottom w:val="nil"/>
          <w:right w:val="nil"/>
          <w:between w:val="nil"/>
          <w:bar w:val="nil"/>
        </w:pBdr>
        <w:spacing w:before="0" w:after="240"/>
        <w:rPr>
          <w:rFonts w:eastAsia="Arial Unicode MS"/>
          <w:noProof/>
        </w:rPr>
      </w:pPr>
      <w:r w:rsidRPr="005B5114">
        <w:rPr>
          <w:noProof/>
        </w:rPr>
        <w:t>Tento návrh vychází z žádosti podané Belgií a týká se pouze tohoto členského státu. Neproběhly proto žádné konzultace se zúčastněnými stranami.</w:t>
      </w:r>
    </w:p>
    <w:p w:rsidR="004028BC" w:rsidRPr="005B5114" w:rsidRDefault="004028BC" w:rsidP="00A4693B">
      <w:pPr>
        <w:pStyle w:val="ManualHeading2"/>
        <w:rPr>
          <w:rFonts w:eastAsia="Arial Unicode MS"/>
          <w:noProof/>
          <w:u w:color="000000"/>
          <w:bdr w:val="nil"/>
        </w:rPr>
      </w:pPr>
      <w:r w:rsidRPr="005B5114">
        <w:rPr>
          <w:noProof/>
          <w:u w:color="000000"/>
          <w:bdr w:val="nil"/>
        </w:rPr>
        <w:t>•</w:t>
      </w:r>
      <w:r w:rsidRPr="005B5114">
        <w:rPr>
          <w:noProof/>
        </w:rPr>
        <w:tab/>
      </w:r>
      <w:r w:rsidRPr="005B5114">
        <w:rPr>
          <w:noProof/>
          <w:u w:color="000000"/>
          <w:bdr w:val="nil"/>
        </w:rPr>
        <w:t>Sběr a využití výsledků odborných konzultací</w:t>
      </w:r>
    </w:p>
    <w:p w:rsidR="004028BC" w:rsidRPr="005B5114" w:rsidRDefault="004028BC" w:rsidP="004028BC">
      <w:pPr>
        <w:pBdr>
          <w:top w:val="nil"/>
          <w:left w:val="nil"/>
          <w:bottom w:val="nil"/>
          <w:right w:val="nil"/>
          <w:between w:val="nil"/>
          <w:bar w:val="nil"/>
        </w:pBdr>
        <w:spacing w:before="0" w:after="240"/>
        <w:rPr>
          <w:rFonts w:eastAsia="Arial Unicode MS"/>
          <w:noProof/>
        </w:rPr>
      </w:pPr>
      <w:r w:rsidRPr="005B5114">
        <w:rPr>
          <w:noProof/>
        </w:rPr>
        <w:t>Nebylo třeba využít externích odborných konzultací.</w:t>
      </w:r>
    </w:p>
    <w:p w:rsidR="004028BC" w:rsidRPr="005B5114" w:rsidRDefault="004028BC" w:rsidP="00A4693B">
      <w:pPr>
        <w:pStyle w:val="ManualHeading2"/>
        <w:rPr>
          <w:rFonts w:eastAsia="Arial Unicode MS"/>
          <w:noProof/>
          <w:u w:color="000000"/>
          <w:bdr w:val="nil"/>
        </w:rPr>
      </w:pPr>
      <w:r w:rsidRPr="005B5114">
        <w:rPr>
          <w:noProof/>
          <w:u w:color="000000"/>
          <w:bdr w:val="nil"/>
        </w:rPr>
        <w:lastRenderedPageBreak/>
        <w:t>•</w:t>
      </w:r>
      <w:r w:rsidRPr="005B5114">
        <w:rPr>
          <w:noProof/>
        </w:rPr>
        <w:tab/>
      </w:r>
      <w:r w:rsidRPr="005B5114">
        <w:rPr>
          <w:noProof/>
          <w:u w:color="000000"/>
          <w:bdr w:val="nil"/>
        </w:rPr>
        <w:t>Posouzení dopadů</w:t>
      </w:r>
    </w:p>
    <w:p w:rsidR="004028BC" w:rsidRPr="005B5114" w:rsidRDefault="004028BC" w:rsidP="004028BC">
      <w:pPr>
        <w:pStyle w:val="Normal1"/>
        <w:jc w:val="both"/>
        <w:rPr>
          <w:noProof/>
        </w:rPr>
      </w:pPr>
      <w:r w:rsidRPr="005B5114">
        <w:rPr>
          <w:noProof/>
        </w:rPr>
        <w:t xml:space="preserve">Tento návrh se týká povolení pro konkrétní členský stát na základě jeho žádosti a nevyžaduje posouzení dopadů. </w:t>
      </w:r>
    </w:p>
    <w:p w:rsidR="00D24578" w:rsidRPr="005B5114" w:rsidRDefault="004028BC" w:rsidP="00D24578">
      <w:pPr>
        <w:rPr>
          <w:noProof/>
        </w:rPr>
      </w:pPr>
      <w:r w:rsidRPr="005B5114">
        <w:rPr>
          <w:noProof/>
        </w:rPr>
        <w:t>Jak je nicméně uvedeno výše, Belgie poskytla informace, podle nichž bude mít opatření omezený dopad na daňové příjmy a sazba daně na elektřinu z pevniny bude i tak vyšší než minimální úroveň zdanění stanovená ve směrnici o zdanění energie. Belgie očekává, že opatření bude mít pozitivní dopad na dosažení jejích cílů v oblasti životního prostředí. Kromě toho bude mít větší využívání elektřiny z pevniny v budoucnu pozitivní dopad na kvalitu ovzduší v belgických přístavních oblastech, jak vyžaduje směrnice o kvalitě vnějšího ovzduší</w:t>
      </w:r>
      <w:r w:rsidRPr="005B5114">
        <w:rPr>
          <w:rStyle w:val="FootnoteReference"/>
          <w:rFonts w:eastAsia="Times New Roman"/>
          <w:noProof/>
          <w:szCs w:val="24"/>
          <w:lang w:eastAsia="en-IE"/>
        </w:rPr>
        <w:footnoteReference w:id="17"/>
      </w:r>
      <w:r w:rsidRPr="005B5114">
        <w:rPr>
          <w:noProof/>
        </w:rPr>
        <w:t>. Belgie rovněž očekává, že toto opatření povede ke snížení emisí CO</w:t>
      </w:r>
      <w:r w:rsidRPr="005B5114">
        <w:rPr>
          <w:noProof/>
          <w:vertAlign w:val="subscript"/>
        </w:rPr>
        <w:t>2</w:t>
      </w:r>
      <w:r w:rsidRPr="005B5114">
        <w:rPr>
          <w:noProof/>
        </w:rPr>
        <w:t>, hlukového znečištění a emisí oxidů dusíku v souladu se směrnicí o stanovištích</w:t>
      </w:r>
      <w:r w:rsidRPr="005B5114">
        <w:rPr>
          <w:rStyle w:val="FootnoteReference"/>
          <w:rFonts w:eastAsia="Times New Roman"/>
          <w:noProof/>
          <w:szCs w:val="24"/>
          <w:lang w:eastAsia="en-IE"/>
        </w:rPr>
        <w:footnoteReference w:id="18"/>
      </w:r>
      <w:r w:rsidRPr="005B5114">
        <w:rPr>
          <w:noProof/>
        </w:rPr>
        <w:t xml:space="preserve"> a rámcovou směrnicí o vodě</w:t>
      </w:r>
      <w:r w:rsidRPr="005B5114">
        <w:rPr>
          <w:rStyle w:val="FootnoteReference"/>
          <w:rFonts w:eastAsia="Times New Roman"/>
          <w:noProof/>
          <w:szCs w:val="24"/>
          <w:lang w:eastAsia="en-IE"/>
        </w:rPr>
        <w:footnoteReference w:id="19"/>
      </w:r>
      <w:r w:rsidRPr="005B5114">
        <w:rPr>
          <w:noProof/>
        </w:rPr>
        <w:t>.</w:t>
      </w:r>
    </w:p>
    <w:p w:rsidR="00D24578" w:rsidRPr="005B5114" w:rsidRDefault="004028BC" w:rsidP="004028BC">
      <w:pPr>
        <w:pStyle w:val="Normal1"/>
        <w:jc w:val="both"/>
        <w:rPr>
          <w:noProof/>
        </w:rPr>
      </w:pPr>
      <w:r w:rsidRPr="005B5114">
        <w:rPr>
          <w:noProof/>
        </w:rPr>
        <w:t>Jako odhad daňových výdajů z opatření se podle belgických orgánů v průběhu uplatňování opatření očekávají konkrétně tyto výdaje:</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589"/>
        <w:gridCol w:w="2291"/>
      </w:tblGrid>
      <w:tr w:rsidR="00D24578" w:rsidRPr="005B5114" w:rsidTr="00D54816">
        <w:tc>
          <w:tcPr>
            <w:tcW w:w="1589" w:type="dxa"/>
            <w:shd w:val="clear" w:color="auto" w:fill="auto"/>
          </w:tcPr>
          <w:p w:rsidR="00D24578" w:rsidRPr="005B5114" w:rsidRDefault="00D24578" w:rsidP="00D54816">
            <w:pPr>
              <w:rPr>
                <w:noProof/>
              </w:rPr>
            </w:pPr>
            <w:r w:rsidRPr="005B5114">
              <w:rPr>
                <w:noProof/>
              </w:rPr>
              <w:t>2027</w:t>
            </w:r>
          </w:p>
        </w:tc>
        <w:tc>
          <w:tcPr>
            <w:tcW w:w="2291" w:type="dxa"/>
            <w:shd w:val="clear" w:color="auto" w:fill="auto"/>
          </w:tcPr>
          <w:p w:rsidR="00D24578" w:rsidRPr="005B5114" w:rsidRDefault="00D24578" w:rsidP="00D54816">
            <w:pPr>
              <w:rPr>
                <w:noProof/>
              </w:rPr>
            </w:pPr>
            <w:r w:rsidRPr="005B5114">
              <w:rPr>
                <w:noProof/>
              </w:rPr>
              <w:t>0,14 milionu EUR</w:t>
            </w:r>
          </w:p>
        </w:tc>
      </w:tr>
      <w:tr w:rsidR="00D24578" w:rsidRPr="005B5114" w:rsidTr="00D54816">
        <w:tc>
          <w:tcPr>
            <w:tcW w:w="1589" w:type="dxa"/>
            <w:shd w:val="clear" w:color="auto" w:fill="auto"/>
          </w:tcPr>
          <w:p w:rsidR="00D24578" w:rsidRPr="005B5114" w:rsidRDefault="00D24578" w:rsidP="00D54816">
            <w:pPr>
              <w:rPr>
                <w:noProof/>
              </w:rPr>
            </w:pPr>
            <w:r w:rsidRPr="005B5114">
              <w:rPr>
                <w:noProof/>
              </w:rPr>
              <w:t>2028</w:t>
            </w:r>
          </w:p>
        </w:tc>
        <w:tc>
          <w:tcPr>
            <w:tcW w:w="2291" w:type="dxa"/>
            <w:shd w:val="clear" w:color="auto" w:fill="auto"/>
          </w:tcPr>
          <w:p w:rsidR="00D24578" w:rsidRPr="005B5114" w:rsidRDefault="00D24578" w:rsidP="00D54816">
            <w:pPr>
              <w:rPr>
                <w:noProof/>
              </w:rPr>
            </w:pPr>
            <w:r w:rsidRPr="005B5114">
              <w:rPr>
                <w:noProof/>
              </w:rPr>
              <w:t>0,41 milionu EUR</w:t>
            </w:r>
          </w:p>
        </w:tc>
      </w:tr>
      <w:tr w:rsidR="00D24578" w:rsidRPr="005B5114" w:rsidTr="00D54816">
        <w:tc>
          <w:tcPr>
            <w:tcW w:w="1589" w:type="dxa"/>
            <w:shd w:val="clear" w:color="auto" w:fill="auto"/>
          </w:tcPr>
          <w:p w:rsidR="00D24578" w:rsidRPr="005B5114" w:rsidRDefault="00D24578" w:rsidP="00D54816">
            <w:pPr>
              <w:rPr>
                <w:noProof/>
              </w:rPr>
            </w:pPr>
            <w:r w:rsidRPr="005B5114">
              <w:rPr>
                <w:noProof/>
              </w:rPr>
              <w:t>2029</w:t>
            </w:r>
          </w:p>
        </w:tc>
        <w:tc>
          <w:tcPr>
            <w:tcW w:w="2291" w:type="dxa"/>
            <w:shd w:val="clear" w:color="auto" w:fill="auto"/>
          </w:tcPr>
          <w:p w:rsidR="00D24578" w:rsidRPr="005B5114" w:rsidRDefault="00D24578" w:rsidP="00D54816">
            <w:pPr>
              <w:rPr>
                <w:noProof/>
              </w:rPr>
            </w:pPr>
            <w:r w:rsidRPr="005B5114">
              <w:rPr>
                <w:noProof/>
              </w:rPr>
              <w:t>0,62 milionu EUR</w:t>
            </w:r>
          </w:p>
        </w:tc>
      </w:tr>
      <w:tr w:rsidR="00D24578" w:rsidRPr="005B5114" w:rsidTr="00D54816">
        <w:tc>
          <w:tcPr>
            <w:tcW w:w="1589" w:type="dxa"/>
            <w:shd w:val="clear" w:color="auto" w:fill="auto"/>
          </w:tcPr>
          <w:p w:rsidR="00D24578" w:rsidRPr="005B5114" w:rsidRDefault="00D24578" w:rsidP="00D54816">
            <w:pPr>
              <w:rPr>
                <w:noProof/>
              </w:rPr>
            </w:pPr>
            <w:r w:rsidRPr="005B5114">
              <w:rPr>
                <w:noProof/>
              </w:rPr>
              <w:t>2030</w:t>
            </w:r>
          </w:p>
        </w:tc>
        <w:tc>
          <w:tcPr>
            <w:tcW w:w="2291" w:type="dxa"/>
            <w:shd w:val="clear" w:color="auto" w:fill="auto"/>
          </w:tcPr>
          <w:p w:rsidR="00D24578" w:rsidRPr="005B5114" w:rsidRDefault="00D24578" w:rsidP="00D54816">
            <w:pPr>
              <w:rPr>
                <w:noProof/>
              </w:rPr>
            </w:pPr>
            <w:r w:rsidRPr="005B5114">
              <w:rPr>
                <w:noProof/>
              </w:rPr>
              <w:t>1,00 milionu EUR</w:t>
            </w:r>
          </w:p>
        </w:tc>
      </w:tr>
      <w:tr w:rsidR="00D24578" w:rsidRPr="005B5114" w:rsidTr="00D54816">
        <w:tc>
          <w:tcPr>
            <w:tcW w:w="1589" w:type="dxa"/>
            <w:shd w:val="clear" w:color="auto" w:fill="auto"/>
          </w:tcPr>
          <w:p w:rsidR="00D24578" w:rsidRPr="005B5114" w:rsidRDefault="00D24578" w:rsidP="00D54816">
            <w:pPr>
              <w:rPr>
                <w:noProof/>
              </w:rPr>
            </w:pPr>
            <w:r w:rsidRPr="005B5114">
              <w:rPr>
                <w:noProof/>
              </w:rPr>
              <w:t>2031</w:t>
            </w:r>
          </w:p>
        </w:tc>
        <w:tc>
          <w:tcPr>
            <w:tcW w:w="2291" w:type="dxa"/>
            <w:shd w:val="clear" w:color="auto" w:fill="auto"/>
          </w:tcPr>
          <w:p w:rsidR="00D24578" w:rsidRPr="005B5114" w:rsidRDefault="00D24578" w:rsidP="00D54816">
            <w:pPr>
              <w:rPr>
                <w:noProof/>
              </w:rPr>
            </w:pPr>
            <w:r w:rsidRPr="005B5114">
              <w:rPr>
                <w:noProof/>
              </w:rPr>
              <w:t>1,09 milionu EUR</w:t>
            </w:r>
          </w:p>
        </w:tc>
      </w:tr>
      <w:tr w:rsidR="00D24578" w:rsidRPr="005B5114" w:rsidTr="00D54816">
        <w:tc>
          <w:tcPr>
            <w:tcW w:w="1589" w:type="dxa"/>
            <w:shd w:val="clear" w:color="auto" w:fill="auto"/>
          </w:tcPr>
          <w:p w:rsidR="00D24578" w:rsidRPr="005B5114" w:rsidRDefault="00D24578" w:rsidP="00D54816">
            <w:pPr>
              <w:rPr>
                <w:noProof/>
              </w:rPr>
            </w:pPr>
            <w:r w:rsidRPr="005B5114">
              <w:rPr>
                <w:noProof/>
              </w:rPr>
              <w:t>2032</w:t>
            </w:r>
          </w:p>
        </w:tc>
        <w:tc>
          <w:tcPr>
            <w:tcW w:w="2291" w:type="dxa"/>
            <w:shd w:val="clear" w:color="auto" w:fill="auto"/>
          </w:tcPr>
          <w:p w:rsidR="00D24578" w:rsidRPr="005B5114" w:rsidRDefault="00D24578" w:rsidP="00D54816">
            <w:pPr>
              <w:rPr>
                <w:noProof/>
              </w:rPr>
            </w:pPr>
            <w:r w:rsidRPr="005B5114">
              <w:rPr>
                <w:noProof/>
              </w:rPr>
              <w:t>1,12 milionu EUR</w:t>
            </w:r>
          </w:p>
        </w:tc>
      </w:tr>
    </w:tbl>
    <w:p w:rsidR="004028BC" w:rsidRPr="005B5114" w:rsidRDefault="004028BC" w:rsidP="004028BC">
      <w:pPr>
        <w:pStyle w:val="Normal1"/>
        <w:jc w:val="both"/>
        <w:rPr>
          <w:noProof/>
        </w:rPr>
      </w:pPr>
    </w:p>
    <w:p w:rsidR="004028BC" w:rsidRPr="005B5114" w:rsidRDefault="004028BC" w:rsidP="00A4693B">
      <w:pPr>
        <w:pStyle w:val="ManualHeading2"/>
        <w:rPr>
          <w:rFonts w:eastAsia="Arial Unicode MS"/>
          <w:noProof/>
          <w:u w:color="000000"/>
          <w:bdr w:val="nil"/>
        </w:rPr>
      </w:pPr>
      <w:r w:rsidRPr="005B5114">
        <w:rPr>
          <w:noProof/>
          <w:u w:color="000000"/>
          <w:bdr w:val="nil"/>
        </w:rPr>
        <w:t>•</w:t>
      </w:r>
      <w:r w:rsidRPr="005B5114">
        <w:rPr>
          <w:noProof/>
        </w:rPr>
        <w:tab/>
      </w:r>
      <w:r w:rsidRPr="005B5114">
        <w:rPr>
          <w:noProof/>
          <w:u w:color="000000"/>
          <w:bdr w:val="nil"/>
        </w:rPr>
        <w:t>Účelnost právních předpisů a zjednodušení</w:t>
      </w:r>
    </w:p>
    <w:p w:rsidR="004028BC" w:rsidRPr="005B5114" w:rsidRDefault="004028BC" w:rsidP="004028BC">
      <w:pPr>
        <w:pBdr>
          <w:top w:val="nil"/>
          <w:left w:val="nil"/>
          <w:bottom w:val="nil"/>
          <w:right w:val="nil"/>
          <w:between w:val="nil"/>
          <w:bar w:val="nil"/>
        </w:pBdr>
        <w:spacing w:before="0" w:after="240"/>
        <w:rPr>
          <w:rFonts w:eastAsia="Arial Unicode MS"/>
          <w:noProof/>
        </w:rPr>
      </w:pPr>
      <w:r w:rsidRPr="005B5114">
        <w:rPr>
          <w:noProof/>
        </w:rPr>
        <w:t>Opatření nestanoví zjednodušení. Vychází ze žádosti, kterou podala Belgie, a týká se pouze tohoto členského státu.</w:t>
      </w:r>
    </w:p>
    <w:p w:rsidR="004028BC" w:rsidRPr="005B5114" w:rsidRDefault="004028BC" w:rsidP="00A4693B">
      <w:pPr>
        <w:pStyle w:val="ManualHeading2"/>
        <w:rPr>
          <w:rFonts w:eastAsia="Arial Unicode MS"/>
          <w:noProof/>
          <w:u w:color="000000"/>
          <w:bdr w:val="nil"/>
        </w:rPr>
      </w:pPr>
      <w:r w:rsidRPr="005B5114">
        <w:rPr>
          <w:noProof/>
          <w:u w:color="000000"/>
          <w:bdr w:val="nil"/>
        </w:rPr>
        <w:t>•</w:t>
      </w:r>
      <w:r w:rsidRPr="005B5114">
        <w:rPr>
          <w:noProof/>
        </w:rPr>
        <w:tab/>
      </w:r>
      <w:r w:rsidRPr="005B5114">
        <w:rPr>
          <w:noProof/>
          <w:u w:color="000000"/>
          <w:bdr w:val="nil"/>
        </w:rPr>
        <w:t>Základní práva</w:t>
      </w:r>
    </w:p>
    <w:p w:rsidR="004028BC" w:rsidRPr="005B5114" w:rsidRDefault="004028BC" w:rsidP="004028BC">
      <w:pPr>
        <w:pBdr>
          <w:top w:val="nil"/>
          <w:left w:val="nil"/>
          <w:bottom w:val="nil"/>
          <w:right w:val="nil"/>
          <w:between w:val="nil"/>
          <w:bar w:val="nil"/>
        </w:pBdr>
        <w:spacing w:before="0" w:after="240"/>
        <w:rPr>
          <w:rFonts w:eastAsia="Arial Unicode MS"/>
          <w:noProof/>
        </w:rPr>
      </w:pPr>
      <w:r w:rsidRPr="005B5114">
        <w:rPr>
          <w:noProof/>
        </w:rPr>
        <w:t>Opatření nemá žádný dopad na základní práva.</w:t>
      </w:r>
    </w:p>
    <w:p w:rsidR="004028BC" w:rsidRPr="005B5114" w:rsidRDefault="004028BC" w:rsidP="00550536">
      <w:pPr>
        <w:pStyle w:val="ManualHeading1"/>
        <w:rPr>
          <w:noProof/>
        </w:rPr>
      </w:pPr>
      <w:r w:rsidRPr="005B5114">
        <w:rPr>
          <w:noProof/>
        </w:rPr>
        <w:t>4.</w:t>
      </w:r>
      <w:r w:rsidRPr="005B5114">
        <w:rPr>
          <w:noProof/>
        </w:rPr>
        <w:tab/>
        <w:t>ROZPOČTOVÉ DŮSLEDKY</w:t>
      </w:r>
    </w:p>
    <w:p w:rsidR="004028BC" w:rsidRPr="005B5114" w:rsidRDefault="004028BC" w:rsidP="004028BC">
      <w:pPr>
        <w:pBdr>
          <w:top w:val="nil"/>
          <w:left w:val="nil"/>
          <w:bottom w:val="nil"/>
          <w:right w:val="nil"/>
          <w:between w:val="nil"/>
          <w:bar w:val="nil"/>
        </w:pBdr>
        <w:spacing w:before="0" w:after="240"/>
        <w:rPr>
          <w:rFonts w:eastAsia="Arial Unicode MS"/>
          <w:noProof/>
        </w:rPr>
      </w:pPr>
      <w:r w:rsidRPr="005B5114">
        <w:rPr>
          <w:noProof/>
        </w:rPr>
        <w:t>Tímto opatřením nevzniká Unii žádná finanční ani administrativní zátěž. Návrh proto nemá žádné důsledky pro rozpočet Unie.</w:t>
      </w:r>
    </w:p>
    <w:p w:rsidR="004028BC" w:rsidRPr="005B5114" w:rsidRDefault="004028BC" w:rsidP="00550536">
      <w:pPr>
        <w:pStyle w:val="ManualHeading1"/>
        <w:rPr>
          <w:noProof/>
        </w:rPr>
      </w:pPr>
      <w:r w:rsidRPr="005B5114">
        <w:rPr>
          <w:noProof/>
        </w:rPr>
        <w:lastRenderedPageBreak/>
        <w:t>5.</w:t>
      </w:r>
      <w:r w:rsidRPr="005B5114">
        <w:rPr>
          <w:noProof/>
        </w:rPr>
        <w:tab/>
        <w:t>OSTATNÍ PRVKY</w:t>
      </w:r>
    </w:p>
    <w:p w:rsidR="004028BC" w:rsidRPr="005B5114" w:rsidRDefault="004028BC" w:rsidP="00A4693B">
      <w:pPr>
        <w:pStyle w:val="ManualHeading2"/>
        <w:rPr>
          <w:rFonts w:eastAsia="Arial Unicode MS"/>
          <w:noProof/>
          <w:u w:color="000000"/>
          <w:bdr w:val="nil"/>
        </w:rPr>
      </w:pPr>
      <w:r w:rsidRPr="005B5114">
        <w:rPr>
          <w:noProof/>
          <w:u w:color="000000"/>
          <w:bdr w:val="nil"/>
        </w:rPr>
        <w:t>•</w:t>
      </w:r>
      <w:r w:rsidRPr="005B5114">
        <w:rPr>
          <w:noProof/>
        </w:rPr>
        <w:tab/>
      </w:r>
      <w:r w:rsidRPr="005B5114">
        <w:rPr>
          <w:noProof/>
          <w:u w:color="000000"/>
          <w:bdr w:val="nil"/>
        </w:rPr>
        <w:t>Plány provádění a způsoby monitorování, hodnocení a podávání zpráv</w:t>
      </w:r>
    </w:p>
    <w:p w:rsidR="004028BC" w:rsidRPr="005B5114" w:rsidRDefault="004028BC" w:rsidP="004028BC">
      <w:pPr>
        <w:pBdr>
          <w:top w:val="nil"/>
          <w:left w:val="nil"/>
          <w:bottom w:val="nil"/>
          <w:right w:val="nil"/>
          <w:between w:val="nil"/>
          <w:bar w:val="nil"/>
        </w:pBdr>
        <w:spacing w:before="0" w:after="240"/>
        <w:rPr>
          <w:rFonts w:eastAsia="Arial Unicode MS"/>
          <w:noProof/>
        </w:rPr>
      </w:pPr>
      <w:r w:rsidRPr="005B5114">
        <w:rPr>
          <w:noProof/>
        </w:rPr>
        <w:t>Prováděcí plán není zapotřebí. Tento návrh se týká povolení ke snížení daně pro jeden členský stát na základě jeho žádosti. Je navržen na omezenou dobu šesti let. Použije se daňová sazba, která se bude rovnat minimální úrovni zdanění stanovené směrnicí o zdanění energie. Opatření může být vyhodnoceno v případě žádosti o prodloužení po uplynutí platnosti.</w:t>
      </w:r>
    </w:p>
    <w:p w:rsidR="004028BC" w:rsidRPr="005B5114" w:rsidRDefault="004028BC" w:rsidP="00A4693B">
      <w:pPr>
        <w:pStyle w:val="ManualHeading2"/>
        <w:rPr>
          <w:rFonts w:eastAsia="Arial Unicode MS"/>
          <w:noProof/>
          <w:u w:color="000000"/>
          <w:bdr w:val="nil"/>
        </w:rPr>
      </w:pPr>
      <w:r w:rsidRPr="005B5114">
        <w:rPr>
          <w:noProof/>
          <w:u w:color="000000"/>
          <w:bdr w:val="nil"/>
        </w:rPr>
        <w:t>•</w:t>
      </w:r>
      <w:r w:rsidRPr="005B5114">
        <w:rPr>
          <w:noProof/>
        </w:rPr>
        <w:tab/>
      </w:r>
      <w:r w:rsidRPr="005B5114">
        <w:rPr>
          <w:noProof/>
          <w:u w:color="000000"/>
          <w:bdr w:val="nil"/>
        </w:rPr>
        <w:t>Informativní dokumenty (u směrnic)</w:t>
      </w:r>
    </w:p>
    <w:p w:rsidR="004028BC" w:rsidRPr="005B5114" w:rsidRDefault="004028BC" w:rsidP="004028BC">
      <w:pPr>
        <w:pBdr>
          <w:top w:val="nil"/>
          <w:left w:val="nil"/>
          <w:bottom w:val="nil"/>
          <w:right w:val="nil"/>
          <w:between w:val="nil"/>
          <w:bar w:val="nil"/>
        </w:pBdr>
        <w:spacing w:before="0" w:after="240"/>
        <w:rPr>
          <w:rFonts w:eastAsia="Arial Unicode MS"/>
          <w:noProof/>
        </w:rPr>
      </w:pPr>
      <w:r w:rsidRPr="005B5114">
        <w:rPr>
          <w:noProof/>
        </w:rPr>
        <w:t>Tento návrh nevyžaduje informativní dokumenty o provádění.</w:t>
      </w:r>
    </w:p>
    <w:p w:rsidR="004028BC" w:rsidRPr="005B5114" w:rsidRDefault="004028BC" w:rsidP="00A4693B">
      <w:pPr>
        <w:pStyle w:val="ManualHeading2"/>
        <w:rPr>
          <w:rFonts w:eastAsia="Arial Unicode MS"/>
          <w:noProof/>
          <w:u w:color="000000"/>
          <w:bdr w:val="nil"/>
        </w:rPr>
      </w:pPr>
      <w:r w:rsidRPr="005B5114">
        <w:rPr>
          <w:noProof/>
          <w:u w:color="000000"/>
          <w:bdr w:val="nil"/>
        </w:rPr>
        <w:t>•</w:t>
      </w:r>
      <w:r w:rsidRPr="005B5114">
        <w:rPr>
          <w:noProof/>
        </w:rPr>
        <w:tab/>
      </w:r>
      <w:r w:rsidRPr="005B5114">
        <w:rPr>
          <w:noProof/>
          <w:u w:color="000000"/>
          <w:bdr w:val="nil"/>
        </w:rPr>
        <w:t>Podrobné vysvětlení konkrétních ustanovení návrhu</w:t>
      </w:r>
    </w:p>
    <w:p w:rsidR="004028BC" w:rsidRPr="005B5114" w:rsidRDefault="004028BC" w:rsidP="004028BC">
      <w:pPr>
        <w:pBdr>
          <w:top w:val="nil"/>
          <w:left w:val="nil"/>
          <w:bottom w:val="nil"/>
          <w:right w:val="nil"/>
          <w:between w:val="nil"/>
          <w:bar w:val="nil"/>
        </w:pBdr>
        <w:spacing w:before="0" w:after="240"/>
        <w:rPr>
          <w:noProof/>
        </w:rPr>
      </w:pPr>
      <w:r w:rsidRPr="005B5114">
        <w:rPr>
          <w:noProof/>
        </w:rPr>
        <w:t xml:space="preserve">Článek 1 stanoví, že Belgii bude povoleno uplatňovat sníženou sazbu daně na elektřinu dodávanou přímo plavidlům v kotvištích belgických přístavů („elektřina z pevniny“), s výjimkou soukromých rekreačních plavidel. Daňová sazba nesmí být nižší než 0,50 EUR za MWh, což je minimální úroveň zdanění elektřiny pro obchodní účely stanovená směrnicí. Elektřinu za sníženou sazbu nebude možné dodávat soukromým rekreačním plavidlům ve smyslu čl. 14 odst. 1 písm. c) druhého pododstavce směrnice o zdanění energie. </w:t>
      </w:r>
    </w:p>
    <w:p w:rsidR="004028BC" w:rsidRPr="005B5114" w:rsidRDefault="004028BC" w:rsidP="004028BC">
      <w:pPr>
        <w:pStyle w:val="Normal1"/>
        <w:jc w:val="both"/>
        <w:rPr>
          <w:noProof/>
        </w:rPr>
      </w:pPr>
      <w:r w:rsidRPr="005B5114">
        <w:rPr>
          <w:noProof/>
        </w:rPr>
        <w:t xml:space="preserve">Článek 2 stanoví, že požadované povolení se uděluje s účinkem od prvního dne měsíce následujícího po měsíci, v němž bylo v </w:t>
      </w:r>
      <w:r w:rsidRPr="005B5114">
        <w:rPr>
          <w:i/>
          <w:iCs/>
          <w:noProof/>
        </w:rPr>
        <w:t>Úředním věstníku Evropské unie</w:t>
      </w:r>
      <w:r w:rsidRPr="005B5114">
        <w:rPr>
          <w:noProof/>
        </w:rPr>
        <w:t xml:space="preserve"> na žádost Belgie zveřejněno prováděcí rozhodnutí Rady, kterým se Belgii povoluje zavést sníženou sazbu pro elektřinu z pevniny, a to v maximální lhůtě šesti let povolené směrnicí. </w:t>
      </w:r>
    </w:p>
    <w:p w:rsidR="004028BC" w:rsidRPr="005B5114" w:rsidRDefault="004028BC" w:rsidP="00D8676A">
      <w:pPr>
        <w:rPr>
          <w:noProof/>
        </w:rPr>
        <w:sectPr w:rsidR="004028BC" w:rsidRPr="005B5114" w:rsidSect="00D224F3">
          <w:headerReference w:type="even" r:id="rId14"/>
          <w:footerReference w:type="even" r:id="rId15"/>
          <w:footerReference w:type="default" r:id="rId16"/>
          <w:headerReference w:type="first" r:id="rId17"/>
          <w:footerReference w:type="first" r:id="rId18"/>
          <w:pgSz w:w="11907" w:h="16839"/>
          <w:pgMar w:top="1134" w:right="1417" w:bottom="1134" w:left="1417" w:header="709" w:footer="709" w:gutter="0"/>
          <w:cols w:space="708"/>
          <w:docGrid w:linePitch="360"/>
        </w:sectPr>
      </w:pPr>
    </w:p>
    <w:p w:rsidR="00CF06F3" w:rsidRDefault="00520005">
      <w:pPr>
        <w:pStyle w:val="Rfrenceinterinstitutionnelle"/>
        <w:rPr>
          <w:noProof/>
        </w:rPr>
      </w:pPr>
      <w:r>
        <w:rPr>
          <w:noProof/>
        </w:rPr>
        <w:lastRenderedPageBreak/>
        <w:t>2026/0142 (NLE)</w:t>
      </w:r>
    </w:p>
    <w:p w:rsidR="004028BC" w:rsidRPr="005B5114" w:rsidRDefault="005B5114" w:rsidP="005B5114">
      <w:pPr>
        <w:pStyle w:val="Statut"/>
        <w:rPr>
          <w:noProof/>
        </w:rPr>
      </w:pPr>
      <w:r w:rsidRPr="005B5114">
        <w:rPr>
          <w:noProof/>
        </w:rPr>
        <w:t>Návrh</w:t>
      </w:r>
    </w:p>
    <w:p w:rsidR="004028BC" w:rsidRPr="005B5114" w:rsidRDefault="005B5114" w:rsidP="005B5114">
      <w:pPr>
        <w:pStyle w:val="Typedudocument"/>
        <w:rPr>
          <w:noProof/>
        </w:rPr>
      </w:pPr>
      <w:r w:rsidRPr="005B5114">
        <w:rPr>
          <w:noProof/>
        </w:rPr>
        <w:t>PROVÁDĚCÍ ROZHODNUTÍ RADY,</w:t>
      </w:r>
    </w:p>
    <w:p w:rsidR="004028BC" w:rsidRPr="005B5114" w:rsidRDefault="005B5114" w:rsidP="005B5114">
      <w:pPr>
        <w:pStyle w:val="Titreobjet"/>
        <w:rPr>
          <w:noProof/>
        </w:rPr>
      </w:pPr>
      <w:r w:rsidRPr="005B5114">
        <w:rPr>
          <w:noProof/>
        </w:rPr>
        <w:t>kterým se Belgii v souladu s článkem 19 směrnice 2003/96/ES povoluje uplatňovat sníženou sazbu daně na elektřinu dodávanou přímo plavidlům v kotvištích přístavů</w:t>
      </w:r>
    </w:p>
    <w:p w:rsidR="004028BC" w:rsidRPr="005B5114" w:rsidRDefault="004028BC" w:rsidP="00CE1658">
      <w:pPr>
        <w:pStyle w:val="Institutionquiagit"/>
        <w:rPr>
          <w:noProof/>
        </w:rPr>
      </w:pPr>
      <w:r w:rsidRPr="005B5114">
        <w:rPr>
          <w:noProof/>
        </w:rPr>
        <w:t>RADA EVROPSKÉ UNIE,</w:t>
      </w:r>
    </w:p>
    <w:p w:rsidR="004028BC" w:rsidRPr="005B5114" w:rsidRDefault="004028BC" w:rsidP="00CE1658">
      <w:pPr>
        <w:rPr>
          <w:noProof/>
        </w:rPr>
      </w:pPr>
      <w:r w:rsidRPr="005B5114">
        <w:rPr>
          <w:noProof/>
        </w:rPr>
        <w:t xml:space="preserve">s ohledem na Smlouvu o fungování Evropské unie, </w:t>
      </w:r>
    </w:p>
    <w:p w:rsidR="004028BC" w:rsidRPr="005B5114" w:rsidRDefault="004028BC" w:rsidP="00CE1658">
      <w:pPr>
        <w:rPr>
          <w:noProof/>
        </w:rPr>
      </w:pPr>
      <w:r w:rsidRPr="005B5114">
        <w:rPr>
          <w:noProof/>
        </w:rPr>
        <w:t>s ohledem na</w:t>
      </w:r>
      <w:bookmarkStart w:id="2" w:name="_Hlk225251407"/>
      <w:r w:rsidRPr="005B5114">
        <w:rPr>
          <w:noProof/>
        </w:rPr>
        <w:t xml:space="preserve"> směrnici Rady 2003/96/ES ze dne 27. října 2003, kterou se mění struktura rámcových předpisů Společenství o zdanění energetických produktů a elektřiny</w:t>
      </w:r>
      <w:bookmarkEnd w:id="2"/>
      <w:r w:rsidRPr="005B5114">
        <w:rPr>
          <w:rStyle w:val="FootnoteReference"/>
          <w:noProof/>
        </w:rPr>
        <w:footnoteReference w:id="20"/>
      </w:r>
      <w:r w:rsidRPr="005B5114">
        <w:rPr>
          <w:noProof/>
        </w:rPr>
        <w:t>, a zejména na čl. 19 odst. 1 první pododstavec uvedené směrnice,</w:t>
      </w:r>
    </w:p>
    <w:p w:rsidR="004028BC" w:rsidRPr="005B5114" w:rsidRDefault="004028BC" w:rsidP="00CE1658">
      <w:pPr>
        <w:rPr>
          <w:noProof/>
        </w:rPr>
      </w:pPr>
      <w:r w:rsidRPr="005B5114">
        <w:rPr>
          <w:noProof/>
        </w:rPr>
        <w:t>s ohledem na návrh Evropské komise,</w:t>
      </w:r>
    </w:p>
    <w:p w:rsidR="004028BC" w:rsidRPr="005B5114" w:rsidRDefault="004028BC" w:rsidP="00D24578">
      <w:pPr>
        <w:rPr>
          <w:noProof/>
        </w:rPr>
      </w:pPr>
      <w:r w:rsidRPr="005B5114">
        <w:rPr>
          <w:noProof/>
        </w:rPr>
        <w:t>vzhledem k těmto důvodům:</w:t>
      </w:r>
    </w:p>
    <w:p w:rsidR="004028BC" w:rsidRPr="005B5114" w:rsidRDefault="004028BC" w:rsidP="00141A65">
      <w:pPr>
        <w:pStyle w:val="ManualConsidrant"/>
        <w:rPr>
          <w:noProof/>
        </w:rPr>
      </w:pPr>
      <w:r>
        <w:rPr>
          <w:noProof/>
        </w:rPr>
        <w:t>(1)</w:t>
      </w:r>
      <w:r>
        <w:rPr>
          <w:noProof/>
        </w:rPr>
        <w:tab/>
      </w:r>
      <w:r w:rsidRPr="005B5114">
        <w:rPr>
          <w:noProof/>
        </w:rPr>
        <w:t>Dopisem ze dne 8. ledna 2026 požádala Belgie podle článku 19 směrnice 2003/96/ES o povolení uplatňovat sníženou sazbu daně na elektřinu dodávanou přímo plavidlům v kotvištích přístavů („elektřina z pevniny“).</w:t>
      </w:r>
    </w:p>
    <w:p w:rsidR="004028BC" w:rsidRPr="005B5114" w:rsidRDefault="00216D96" w:rsidP="004028BC">
      <w:pPr>
        <w:pStyle w:val="ManualConsidrant"/>
        <w:rPr>
          <w:noProof/>
        </w:rPr>
      </w:pPr>
      <w:r>
        <w:rPr>
          <w:noProof/>
        </w:rPr>
        <w:t>(2)</w:t>
      </w:r>
      <w:r>
        <w:rPr>
          <w:noProof/>
        </w:rPr>
        <w:tab/>
      </w:r>
      <w:r w:rsidRPr="005B5114">
        <w:rPr>
          <w:noProof/>
        </w:rPr>
        <w:t>Cílem snížené sazby daně, kterou Belgie hodlá uplatňovat, je pokračovat v podpoře využívání elektřiny z pevniny. Využívání této elektřiny se považuje za environmentálně méně škodlivý způsob zajišťování energetických potřeb plavidel v kotvištích přístavů než spalování ropných paliv těmito plavidly.</w:t>
      </w:r>
    </w:p>
    <w:p w:rsidR="004028BC" w:rsidRPr="005B5114" w:rsidRDefault="004028BC" w:rsidP="004028BC">
      <w:pPr>
        <w:pStyle w:val="ManualConsidrant"/>
        <w:rPr>
          <w:noProof/>
        </w:rPr>
      </w:pPr>
      <w:r>
        <w:rPr>
          <w:noProof/>
        </w:rPr>
        <w:t>(3)</w:t>
      </w:r>
      <w:r>
        <w:rPr>
          <w:noProof/>
        </w:rPr>
        <w:tab/>
      </w:r>
      <w:r w:rsidRPr="005B5114">
        <w:rPr>
          <w:noProof/>
        </w:rPr>
        <w:t>Jelikož používání elektřiny z pevniny zamezuje emisím látek znečišťujících ovzduší, které vznikají při spalování ropných paliv na palubách plavidel v kotvištích přístavů, zlepšuje se tím kvalita místního ovzduší v přístavních oblastech. Vzhledem k uhlíkové náročnosti výroby elektřiny v Belgii se dále očekává, že využíváním elektřiny z pevniny namísto elektřiny vyráběné spalováním ropných paliv na palubě se sníží emise CO</w:t>
      </w:r>
      <w:r w:rsidRPr="005B5114">
        <w:rPr>
          <w:rStyle w:val="oj-sub"/>
          <w:noProof/>
          <w:vertAlign w:val="subscript"/>
        </w:rPr>
        <w:t>2</w:t>
      </w:r>
      <w:r w:rsidRPr="005B5114">
        <w:rPr>
          <w:noProof/>
        </w:rPr>
        <w:t>, emise ostatních látek znečišťující ovzduší a hluk. Z tohoto důvodu se předpokládá, že uplatňováním snížené sazby daně na elektřinu z pevniny se přispěje k cílům politik Unie v oblasti ochrany životního prostředí, zdraví a klimatu.</w:t>
      </w:r>
    </w:p>
    <w:p w:rsidR="004028BC" w:rsidRPr="005B5114" w:rsidRDefault="004028BC" w:rsidP="004028BC">
      <w:pPr>
        <w:pStyle w:val="ManualConsidrant"/>
        <w:rPr>
          <w:noProof/>
        </w:rPr>
      </w:pPr>
      <w:r>
        <w:rPr>
          <w:noProof/>
        </w:rPr>
        <w:t>(4)</w:t>
      </w:r>
      <w:r>
        <w:rPr>
          <w:noProof/>
        </w:rPr>
        <w:tab/>
      </w:r>
      <w:r w:rsidRPr="005B5114">
        <w:rPr>
          <w:noProof/>
        </w:rPr>
        <w:t xml:space="preserve">Povolení, aby Belgie na elektřinu z pevniny uplatňovala sníženou sazbu daně, nepřekračuje rámec toho, co je nezbytné k dosažení rozsáhlejšího využívání tohoto typu elektřiny, jelikož výroba elektřiny na palubě bude ve většině případů i nadále konkurenceschopnější alternativou. Z téhož důvodu a vzhledem ke stávající poměrně nízké míře proniknutí příslušné technologie na trh nepovede uplatňování uvedené snížené sazby daně během doby její platnosti pravděpodobně k významnému narušení hospodářské soutěže, a nebude mít tudíž nepříznivý dopad na řádné fungování vnitřního trhu. </w:t>
      </w:r>
    </w:p>
    <w:p w:rsidR="004028BC" w:rsidRPr="005B5114" w:rsidRDefault="004028BC" w:rsidP="004028BC">
      <w:pPr>
        <w:pStyle w:val="ManualConsidrant"/>
        <w:rPr>
          <w:noProof/>
        </w:rPr>
      </w:pPr>
      <w:r>
        <w:rPr>
          <w:noProof/>
        </w:rPr>
        <w:t>(5)</w:t>
      </w:r>
      <w:r>
        <w:rPr>
          <w:noProof/>
        </w:rPr>
        <w:tab/>
      </w:r>
      <w:r w:rsidRPr="005B5114">
        <w:rPr>
          <w:noProof/>
        </w:rPr>
        <w:t xml:space="preserve">Podle čl. 19 odst. 2 směrnice 2003/96/ES má být každé povolení udělené na základě čl. 19 odst. 1 uvedené směrnice striktně časově omezené. Pro zajištění dostatečně dlouhé platnosti povolení tak, aby nebyly příslušné hospodářské subjekty odrazovány od uskutečnění potřebných investic, je vhodné udělit povolení na požadovanou dobu </w:t>
      </w:r>
      <w:r w:rsidRPr="005B5114">
        <w:rPr>
          <w:noProof/>
        </w:rPr>
        <w:lastRenderedPageBreak/>
        <w:t>šesti let. Povolení by však mělo přestat platit, jakmile se použijí jakákoli obecná ustanovení o daňových výhodách pro elektřinu z pevniny, které by Rada přijala podle článku 113, nebo jiná příslušná ustanovení Smlouvy o fungování Evropské unie, pokud by se tato ustanovení stala použitelnými během doby povolení.</w:t>
      </w:r>
    </w:p>
    <w:p w:rsidR="004028BC" w:rsidRPr="005B5114" w:rsidRDefault="004028BC" w:rsidP="00075A7D">
      <w:pPr>
        <w:pStyle w:val="ManualConsidrant"/>
        <w:rPr>
          <w:noProof/>
        </w:rPr>
      </w:pPr>
      <w:r>
        <w:rPr>
          <w:noProof/>
        </w:rPr>
        <w:t>(6)</w:t>
      </w:r>
      <w:r>
        <w:rPr>
          <w:noProof/>
        </w:rPr>
        <w:tab/>
      </w:r>
      <w:r w:rsidRPr="005B5114">
        <w:rPr>
          <w:noProof/>
        </w:rPr>
        <w:t>Tímto rozhodnutím není dotčeno uplatňování pravidel Unie v oblasti státní podpory,</w:t>
      </w:r>
    </w:p>
    <w:p w:rsidR="004028BC" w:rsidRPr="005B5114" w:rsidRDefault="004028BC" w:rsidP="00CE1658">
      <w:pPr>
        <w:pStyle w:val="Formuledadoption"/>
        <w:rPr>
          <w:noProof/>
        </w:rPr>
      </w:pPr>
      <w:r w:rsidRPr="005B5114">
        <w:rPr>
          <w:noProof/>
        </w:rPr>
        <w:t xml:space="preserve">PŘIJALA TOTO ROZHODNUTÍ: </w:t>
      </w:r>
    </w:p>
    <w:p w:rsidR="004028BC" w:rsidRPr="005B5114" w:rsidRDefault="004028BC" w:rsidP="00CE1658">
      <w:pPr>
        <w:pStyle w:val="Titrearticle"/>
        <w:rPr>
          <w:noProof/>
        </w:rPr>
      </w:pPr>
      <w:r w:rsidRPr="005B5114">
        <w:rPr>
          <w:noProof/>
        </w:rPr>
        <w:t>Článek 1</w:t>
      </w:r>
    </w:p>
    <w:p w:rsidR="004028BC" w:rsidRPr="005B5114" w:rsidRDefault="00075A7D" w:rsidP="004028BC">
      <w:pPr>
        <w:rPr>
          <w:noProof/>
        </w:rPr>
      </w:pPr>
      <w:r w:rsidRPr="005B5114">
        <w:rPr>
          <w:noProof/>
        </w:rPr>
        <w:t>Belgii se povoluje uplatňovat sníženou sazbu daně na elektřinu dodávanou přímo plavidlům zakotveným v přístavech kromě soukromých rekreačních plavidel (dále jen „elektřina z pevniny“) za předpokladu, že jsou zachovány minimální úrovně zdanění uvedené v článku 10 směrnice 2003/96/ES.</w:t>
      </w:r>
    </w:p>
    <w:p w:rsidR="004028BC" w:rsidRPr="005B5114" w:rsidRDefault="004028BC" w:rsidP="004028BC">
      <w:pPr>
        <w:pStyle w:val="Titrearticle"/>
        <w:rPr>
          <w:noProof/>
        </w:rPr>
      </w:pPr>
      <w:r w:rsidRPr="005B5114">
        <w:rPr>
          <w:noProof/>
        </w:rPr>
        <w:t>Článek 2</w:t>
      </w:r>
    </w:p>
    <w:p w:rsidR="004028BC" w:rsidRPr="005B5114" w:rsidRDefault="004028BC" w:rsidP="004028BC">
      <w:pPr>
        <w:rPr>
          <w:noProof/>
        </w:rPr>
      </w:pPr>
      <w:r w:rsidRPr="005B5114">
        <w:rPr>
          <w:noProof/>
        </w:rPr>
        <w:t xml:space="preserve">Toto rozhodnutí se použije po dobu šesti let od prvního dne měsíce následujícího po jeho zveřejnění v </w:t>
      </w:r>
      <w:r w:rsidRPr="005B5114">
        <w:rPr>
          <w:i/>
          <w:iCs/>
          <w:noProof/>
        </w:rPr>
        <w:t>Úředním věstníku Evropské unie</w:t>
      </w:r>
      <w:r w:rsidRPr="005B5114">
        <w:rPr>
          <w:noProof/>
        </w:rPr>
        <w:t>.</w:t>
      </w:r>
    </w:p>
    <w:p w:rsidR="004028BC" w:rsidRPr="005B5114" w:rsidRDefault="004028BC" w:rsidP="004028BC">
      <w:pPr>
        <w:rPr>
          <w:noProof/>
        </w:rPr>
      </w:pPr>
    </w:p>
    <w:p w:rsidR="004028BC" w:rsidRPr="005B5114" w:rsidRDefault="004028BC" w:rsidP="004028BC">
      <w:pPr>
        <w:rPr>
          <w:noProof/>
        </w:rPr>
      </w:pPr>
      <w:r w:rsidRPr="005B5114">
        <w:rPr>
          <w:noProof/>
        </w:rPr>
        <w:t>Pokud by však Rada na základě článku 113 nebo jiného příslušného ustanovení Smlouvy o fungování Evropské unie přijala jakákoli obecná ustanovení o daňových výhodách pro elektřinu z pevniny, která se stanou použitelnými během doby uvedené v prvním pododstavci tohoto článku, pozbývá toto rozhodnutí použitelnosti, jakmile se tato obecná ustanovení stanou použitelnými.</w:t>
      </w:r>
    </w:p>
    <w:p w:rsidR="004028BC" w:rsidRPr="005B5114" w:rsidRDefault="004028BC" w:rsidP="00933EF6">
      <w:pPr>
        <w:pStyle w:val="Titrearticle"/>
        <w:rPr>
          <w:noProof/>
        </w:rPr>
      </w:pPr>
      <w:r w:rsidRPr="005B5114">
        <w:rPr>
          <w:noProof/>
        </w:rPr>
        <w:t>Článek 3</w:t>
      </w:r>
    </w:p>
    <w:p w:rsidR="004028BC" w:rsidRPr="005B5114" w:rsidRDefault="004028BC" w:rsidP="00CE1658">
      <w:pPr>
        <w:keepNext/>
        <w:keepLines/>
        <w:rPr>
          <w:noProof/>
        </w:rPr>
      </w:pPr>
      <w:r w:rsidRPr="005B5114">
        <w:rPr>
          <w:noProof/>
          <w:color w:val="000000"/>
        </w:rPr>
        <w:t>Toto rozhodnutí je určeno Belgickému království.</w:t>
      </w:r>
    </w:p>
    <w:p w:rsidR="004028BC" w:rsidRPr="005B5114" w:rsidRDefault="005B5114" w:rsidP="00933EF6">
      <w:pPr>
        <w:pStyle w:val="Fait"/>
        <w:rPr>
          <w:noProof/>
        </w:rPr>
      </w:pPr>
      <w:r>
        <w:rPr>
          <w:noProof/>
        </w:rPr>
        <w:t>V Bruselu dne</w:t>
      </w:r>
    </w:p>
    <w:p w:rsidR="004028BC" w:rsidRPr="005B5114" w:rsidRDefault="004028BC" w:rsidP="00933EF6">
      <w:pPr>
        <w:pStyle w:val="Institutionquisigne"/>
        <w:rPr>
          <w:noProof/>
        </w:rPr>
      </w:pPr>
      <w:r w:rsidRPr="005B5114">
        <w:rPr>
          <w:noProof/>
        </w:rPr>
        <w:tab/>
        <w:t>Za Radu</w:t>
      </w:r>
    </w:p>
    <w:p w:rsidR="004028BC" w:rsidRPr="005B5114" w:rsidRDefault="004028BC" w:rsidP="004028BC">
      <w:pPr>
        <w:pStyle w:val="Personnequisigne"/>
        <w:rPr>
          <w:noProof/>
        </w:rPr>
      </w:pPr>
      <w:r w:rsidRPr="005B5114">
        <w:rPr>
          <w:noProof/>
        </w:rPr>
        <w:tab/>
        <w:t>předseda/předsedkyně</w:t>
      </w:r>
    </w:p>
    <w:sectPr w:rsidR="004028BC" w:rsidRPr="005B5114" w:rsidSect="00D224F3">
      <w:footnotePr>
        <w:numRestart w:val="eachSect"/>
      </w:footnotePr>
      <w:pgSz w:w="11907" w:h="16839"/>
      <w:pgMar w:top="1134" w:right="1417" w:bottom="1134" w:left="1417"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F16B5F" w:rsidRDefault="00F16B5F" w:rsidP="004028BC">
      <w:pPr>
        <w:spacing w:before="0" w:after="0"/>
      </w:pPr>
      <w:r>
        <w:separator/>
      </w:r>
    </w:p>
  </w:endnote>
  <w:endnote w:type="continuationSeparator" w:id="0">
    <w:p w:rsidR="00F16B5F" w:rsidRDefault="00F16B5F" w:rsidP="004028BC">
      <w:pPr>
        <w:spacing w:before="0"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Unicode MS">
    <w:panose1 w:val="020B0604020202020204"/>
    <w:charset w:val="00"/>
    <w:family w:val="roman"/>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224F3" w:rsidRPr="00D224F3" w:rsidRDefault="00D224F3" w:rsidP="00D224F3">
    <w:pPr>
      <w:pStyle w:val="Footer"/>
      <w:rPr>
        <w:rFonts w:ascii="Arial" w:hAnsi="Arial" w:cs="Arial"/>
        <w:b/>
        <w:sz w:val="48"/>
      </w:rPr>
    </w:pPr>
    <w:r w:rsidRPr="00D224F3">
      <w:rPr>
        <w:rFonts w:ascii="Arial" w:hAnsi="Arial" w:cs="Arial"/>
        <w:b/>
        <w:sz w:val="48"/>
      </w:rPr>
      <w:t>CS</w:t>
    </w:r>
    <w:r w:rsidRPr="00D224F3">
      <w:rPr>
        <w:rFonts w:ascii="Arial" w:hAnsi="Arial" w:cs="Arial"/>
        <w:b/>
        <w:sz w:val="48"/>
      </w:rPr>
      <w:tab/>
    </w:r>
    <w:r w:rsidRPr="00D224F3">
      <w:rPr>
        <w:rFonts w:ascii="Arial" w:hAnsi="Arial" w:cs="Arial"/>
        <w:b/>
        <w:sz w:val="48"/>
      </w:rPr>
      <w:tab/>
    </w:r>
    <w:r w:rsidRPr="00D224F3">
      <w:tab/>
    </w:r>
    <w:r w:rsidRPr="00D224F3">
      <w:rPr>
        <w:rFonts w:ascii="Arial" w:hAnsi="Arial" w:cs="Arial"/>
        <w:b/>
        <w:sz w:val="48"/>
      </w:rPr>
      <w:t>CS</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224F3" w:rsidRPr="00D224F3" w:rsidRDefault="00D224F3" w:rsidP="00D224F3">
    <w:pPr>
      <w:pStyle w:val="Footer"/>
      <w:rPr>
        <w:rFonts w:ascii="Arial" w:hAnsi="Arial" w:cs="Arial"/>
        <w:b/>
        <w:sz w:val="48"/>
      </w:rPr>
    </w:pPr>
    <w:r w:rsidRPr="00D224F3">
      <w:rPr>
        <w:rFonts w:ascii="Arial" w:hAnsi="Arial" w:cs="Arial"/>
        <w:b/>
        <w:sz w:val="48"/>
      </w:rPr>
      <w:t>CS</w:t>
    </w:r>
    <w:r w:rsidRPr="00D224F3">
      <w:rPr>
        <w:rFonts w:ascii="Arial" w:hAnsi="Arial" w:cs="Arial"/>
        <w:b/>
        <w:sz w:val="48"/>
      </w:rPr>
      <w:tab/>
    </w:r>
    <w:r w:rsidRPr="00D224F3">
      <w:rPr>
        <w:rFonts w:ascii="Arial" w:hAnsi="Arial" w:cs="Arial"/>
        <w:b/>
        <w:sz w:val="48"/>
      </w:rPr>
      <w:tab/>
    </w:r>
    <w:r w:rsidRPr="00D224F3">
      <w:tab/>
    </w:r>
    <w:r w:rsidRPr="00D224F3">
      <w:rPr>
        <w:rFonts w:ascii="Arial" w:hAnsi="Arial" w:cs="Arial"/>
        <w:b/>
        <w:sz w:val="48"/>
      </w:rPr>
      <w:t>CS</w:t>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224F3" w:rsidRDefault="00D224F3">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224F3" w:rsidRPr="00D224F3" w:rsidRDefault="00D224F3" w:rsidP="00D224F3">
    <w:pPr>
      <w:pStyle w:val="Footer"/>
      <w:rPr>
        <w:rFonts w:ascii="Arial" w:hAnsi="Arial" w:cs="Arial"/>
        <w:b/>
        <w:sz w:val="48"/>
      </w:rPr>
    </w:pPr>
    <w:r w:rsidRPr="00D224F3">
      <w:rPr>
        <w:rFonts w:ascii="Arial" w:hAnsi="Arial" w:cs="Arial"/>
        <w:b/>
        <w:sz w:val="48"/>
      </w:rPr>
      <w:t>CS</w:t>
    </w:r>
    <w:r w:rsidRPr="00D224F3">
      <w:rPr>
        <w:rFonts w:ascii="Arial" w:hAnsi="Arial" w:cs="Arial"/>
        <w:b/>
        <w:sz w:val="48"/>
      </w:rPr>
      <w:tab/>
    </w:r>
    <w:r>
      <w:fldChar w:fldCharType="begin"/>
    </w:r>
    <w:r>
      <w:instrText xml:space="preserve"> PAGE  \* MERGEFORMAT </w:instrText>
    </w:r>
    <w:r>
      <w:fldChar w:fldCharType="separate"/>
    </w:r>
    <w:r w:rsidR="00933EF6">
      <w:rPr>
        <w:noProof/>
      </w:rPr>
      <w:t>11</w:t>
    </w:r>
    <w:r>
      <w:fldChar w:fldCharType="end"/>
    </w:r>
    <w:r>
      <w:tab/>
    </w:r>
    <w:r w:rsidRPr="00D224F3">
      <w:tab/>
    </w:r>
    <w:r w:rsidRPr="00D224F3">
      <w:rPr>
        <w:rFonts w:ascii="Arial" w:hAnsi="Arial" w:cs="Arial"/>
        <w:b/>
        <w:sz w:val="48"/>
      </w:rPr>
      <w:t>CS</w:t>
    </w:r>
  </w:p>
</w:ftr>
</file>

<file path=word/footer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224F3" w:rsidRDefault="00D224F3" w:rsidP="00D224F3">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F16B5F" w:rsidRDefault="00F16B5F" w:rsidP="004028BC">
      <w:pPr>
        <w:spacing w:before="0" w:after="0"/>
      </w:pPr>
      <w:r>
        <w:separator/>
      </w:r>
    </w:p>
  </w:footnote>
  <w:footnote w:type="continuationSeparator" w:id="0">
    <w:p w:rsidR="00F16B5F" w:rsidRDefault="00F16B5F" w:rsidP="004028BC">
      <w:pPr>
        <w:spacing w:before="0" w:after="0"/>
      </w:pPr>
      <w:r>
        <w:continuationSeparator/>
      </w:r>
    </w:p>
  </w:footnote>
  <w:footnote w:id="1">
    <w:p w:rsidR="004028BC" w:rsidRPr="00013232" w:rsidRDefault="004028BC" w:rsidP="004028BC">
      <w:pPr>
        <w:pStyle w:val="FootnoteText"/>
      </w:pPr>
      <w:r>
        <w:rPr>
          <w:rStyle w:val="FootnoteReference"/>
        </w:rPr>
        <w:footnoteRef/>
      </w:r>
      <w:r>
        <w:tab/>
        <w:t>Úř. věst. L 283, 31.10.2003, s. 51.</w:t>
      </w:r>
    </w:p>
  </w:footnote>
  <w:footnote w:id="2">
    <w:p w:rsidR="006949E6" w:rsidRPr="00013232" w:rsidRDefault="006949E6" w:rsidP="006949E6">
      <w:pPr>
        <w:pStyle w:val="FootnoteText"/>
      </w:pPr>
      <w:r>
        <w:rPr>
          <w:rStyle w:val="FootnoteReference"/>
        </w:rPr>
        <w:footnoteRef/>
      </w:r>
      <w:r>
        <w:tab/>
        <w:t>Pojem „soukromé rekreační plavidlo“ je definován v čl. 14 odst. 1 písm. c) druhém pododstavci směrnice 2003/96/ES.</w:t>
      </w:r>
    </w:p>
  </w:footnote>
  <w:footnote w:id="3">
    <w:p w:rsidR="008F1730" w:rsidRPr="008F1730" w:rsidRDefault="008F1730">
      <w:pPr>
        <w:pStyle w:val="FootnoteText"/>
      </w:pPr>
      <w:r>
        <w:rPr>
          <w:rStyle w:val="FootnoteReference"/>
        </w:rPr>
        <w:footnoteRef/>
      </w:r>
      <w:r>
        <w:tab/>
        <w:t>Směrnice Evropského parlamentu a Rady 2008/50/ES ze dne 21. května 2008 o kvalitě vnějšího ovzduší a čistším ovzduší pro Evropu.</w:t>
      </w:r>
    </w:p>
  </w:footnote>
  <w:footnote w:id="4">
    <w:p w:rsidR="00114E97" w:rsidRPr="00114E97" w:rsidRDefault="00114E97">
      <w:pPr>
        <w:pStyle w:val="FootnoteText"/>
      </w:pPr>
      <w:r>
        <w:rPr>
          <w:rStyle w:val="FootnoteReference"/>
        </w:rPr>
        <w:footnoteRef/>
      </w:r>
      <w:r>
        <w:tab/>
        <w:t>Směrnice Rady 92/43/EHS ze dne 21. května 1992 o ochraně přírodních stanovišť, volně žijících živočichů a planě rostoucích rostlin.</w:t>
      </w:r>
    </w:p>
  </w:footnote>
  <w:footnote w:id="5">
    <w:p w:rsidR="00CC5372" w:rsidRPr="00CC5372" w:rsidRDefault="00CC5372">
      <w:pPr>
        <w:pStyle w:val="FootnoteText"/>
      </w:pPr>
      <w:r>
        <w:rPr>
          <w:rStyle w:val="FootnoteReference"/>
        </w:rPr>
        <w:footnoteRef/>
      </w:r>
      <w:r>
        <w:tab/>
        <w:t>Směrnice Evropského parlamentu a Rady 2000/60/ES ze dne 23. října 2000, kterou se stanoví rámec pro činnost Společenství v oblasti vodní politiky.</w:t>
      </w:r>
    </w:p>
  </w:footnote>
  <w:footnote w:id="6">
    <w:p w:rsidR="00CC5372" w:rsidRPr="00CC5372" w:rsidRDefault="00CC5372">
      <w:pPr>
        <w:pStyle w:val="FootnoteText"/>
      </w:pPr>
      <w:r>
        <w:rPr>
          <w:rStyle w:val="FootnoteReference"/>
        </w:rPr>
        <w:footnoteRef/>
      </w:r>
      <w:r>
        <w:tab/>
        <w:t>Nařízení Evropského parlamentu a Rady (EU) 2023/1805 ze dne 13. září 2023 o využívání obnovitelných a nízkouhlíkových paliv v námořní dopravě a o změně směrnice 2009/16/ES.</w:t>
      </w:r>
    </w:p>
  </w:footnote>
  <w:footnote w:id="7">
    <w:p w:rsidR="00CC5372" w:rsidRPr="00CC5372" w:rsidRDefault="00CC5372">
      <w:pPr>
        <w:pStyle w:val="FootnoteText"/>
      </w:pPr>
      <w:r>
        <w:rPr>
          <w:rStyle w:val="FootnoteReference"/>
        </w:rPr>
        <w:footnoteRef/>
      </w:r>
      <w:r>
        <w:tab/>
        <w:t>Nařízení Evropského parlamentu a Rady (EU) 2023/1804 ze dne 13. září 2023 o zavádění infrastruktury pro alternativní paliva a o zrušení směrnice 2014/94/EU.</w:t>
      </w:r>
    </w:p>
  </w:footnote>
  <w:footnote w:id="8">
    <w:p w:rsidR="004028BC" w:rsidRPr="00D561B5" w:rsidRDefault="004028BC" w:rsidP="004028BC">
      <w:pPr>
        <w:pStyle w:val="FootnoteText"/>
      </w:pPr>
      <w:r>
        <w:rPr>
          <w:rStyle w:val="FootnoteReference"/>
        </w:rPr>
        <w:footnoteRef/>
      </w:r>
      <w:r>
        <w:tab/>
        <w:t>Doporučení Komise 2006/339/ES ze dne 8. května 2006 o podpoře využívání pobřežní elektrické energie loděmi v kotvištích přístavů Společenství (Úř. věst. L 125, 12.5.2006).</w:t>
      </w:r>
    </w:p>
  </w:footnote>
  <w:footnote w:id="9">
    <w:p w:rsidR="004028BC" w:rsidRPr="00BA1275" w:rsidRDefault="004028BC" w:rsidP="004028BC">
      <w:pPr>
        <w:pStyle w:val="FootnoteText"/>
      </w:pPr>
      <w:r>
        <w:rPr>
          <w:rStyle w:val="FootnoteReference"/>
        </w:rPr>
        <w:footnoteRef/>
      </w:r>
      <w:r>
        <w:tab/>
        <w:t xml:space="preserve">COM/2021/563 final. Návrh směrnice Rady, kterou se mění struktura rámcových předpisů Unie o zdanění energetických produktů a elektřiny (přepracované znění). </w:t>
      </w:r>
    </w:p>
  </w:footnote>
  <w:footnote w:id="10">
    <w:p w:rsidR="004028BC" w:rsidRPr="008F2E3C" w:rsidRDefault="004028BC" w:rsidP="004028BC">
      <w:pPr>
        <w:pStyle w:val="FootnoteText"/>
      </w:pPr>
      <w:r>
        <w:rPr>
          <w:rStyle w:val="FootnoteReference"/>
        </w:rPr>
        <w:footnoteRef/>
      </w:r>
      <w:r>
        <w:tab/>
        <w:t>Směrnice 2008/50/ES Evropského parlamentu a Rady ze dne 21. května 2008 o kvalitě vnějšího ovzduší a čistším ovzduší pro Evropu (Úř. věst. L 152, 11.6.2008, s. 1).</w:t>
      </w:r>
    </w:p>
  </w:footnote>
  <w:footnote w:id="11">
    <w:p w:rsidR="004028BC" w:rsidRPr="008F2E3C" w:rsidRDefault="004028BC" w:rsidP="004028BC">
      <w:pPr>
        <w:pStyle w:val="FootnoteText"/>
      </w:pPr>
      <w:r>
        <w:rPr>
          <w:rStyle w:val="FootnoteReference"/>
        </w:rPr>
        <w:footnoteRef/>
      </w:r>
      <w:r>
        <w:tab/>
        <w:t>Směrnice Evropského parlamentu a Rady (EU) 2016/802 ze dne 11. května 2016 o snižování obsahu síry v některých kapalných palivech (Úř. věst. L 132, 21.5.2016, s. 58).</w:t>
      </w:r>
    </w:p>
  </w:footnote>
  <w:footnote w:id="12">
    <w:p w:rsidR="008F1730" w:rsidRPr="008F1730" w:rsidRDefault="008F1730">
      <w:pPr>
        <w:pStyle w:val="FootnoteText"/>
      </w:pPr>
      <w:r>
        <w:rPr>
          <w:rStyle w:val="FootnoteReference"/>
        </w:rPr>
        <w:footnoteRef/>
      </w:r>
      <w:r>
        <w:tab/>
        <w:t>Doporučení Komise ze dne 8. května 2006 o podpoře využívání pobřežní elektrické energie loděmi v kotvištích přístavů Společenství.</w:t>
      </w:r>
    </w:p>
  </w:footnote>
  <w:footnote w:id="13">
    <w:p w:rsidR="00D64422" w:rsidRPr="00D64422" w:rsidRDefault="00D64422">
      <w:pPr>
        <w:pStyle w:val="FootnoteText"/>
      </w:pPr>
      <w:r>
        <w:rPr>
          <w:rStyle w:val="FootnoteReference"/>
        </w:rPr>
        <w:footnoteRef/>
      </w:r>
      <w:r>
        <w:tab/>
        <w:t>Nařízení Evropského parlamentu a Rady (EU) 2023/1804 ze dne 13. září 2023 o zavádění infrastruktury pro alternativní paliva a o zrušení směrnice 2014/94/EU.</w:t>
      </w:r>
    </w:p>
  </w:footnote>
  <w:footnote w:id="14">
    <w:p w:rsidR="004028BC" w:rsidRPr="008F2E3C" w:rsidRDefault="004028BC" w:rsidP="004028BC">
      <w:pPr>
        <w:pStyle w:val="FootnoteText"/>
      </w:pPr>
      <w:r>
        <w:rPr>
          <w:rStyle w:val="FootnoteReference"/>
        </w:rPr>
        <w:footnoteRef/>
      </w:r>
      <w:r>
        <w:tab/>
        <w:t>Rozhodnutí Komise C(2024) 3934 final ze dne 17. června 2024 o státní podpoře SA.105117 (Úř. věst. C/2024/5376, 3.9.2024).</w:t>
      </w:r>
    </w:p>
  </w:footnote>
  <w:footnote w:id="15">
    <w:p w:rsidR="004028BC" w:rsidRPr="00DF633F" w:rsidRDefault="004028BC" w:rsidP="004028BC">
      <w:pPr>
        <w:pStyle w:val="FootnoteText"/>
      </w:pPr>
      <w:r>
        <w:rPr>
          <w:rStyle w:val="FootnoteReference"/>
        </w:rPr>
        <w:footnoteRef/>
      </w:r>
      <w:r>
        <w:tab/>
        <w:t>Ustanovení čl. 14 odst. 1 písm. c) směrnice 2003/96/ES.</w:t>
      </w:r>
    </w:p>
  </w:footnote>
  <w:footnote w:id="16">
    <w:p w:rsidR="000E7953" w:rsidRPr="000E7953" w:rsidRDefault="000E7953">
      <w:pPr>
        <w:pStyle w:val="FootnoteText"/>
      </w:pPr>
      <w:r>
        <w:rPr>
          <w:rStyle w:val="FootnoteReference"/>
        </w:rPr>
        <w:footnoteRef/>
      </w:r>
      <w:r>
        <w:tab/>
        <w:t>Nařízení Evropského parlamentu a Rady (EU) 2023/1805 ze dne 13. září 2023 o využívání obnovitelných a nízkouhlíkových paliv v námořní dopravě a o změně směrnice 2009/16/ES.</w:t>
      </w:r>
    </w:p>
  </w:footnote>
  <w:footnote w:id="17">
    <w:p w:rsidR="00E3354B" w:rsidRPr="008F1730" w:rsidRDefault="00E3354B" w:rsidP="00E3354B">
      <w:pPr>
        <w:pStyle w:val="FootnoteText"/>
      </w:pPr>
      <w:r>
        <w:rPr>
          <w:rStyle w:val="FootnoteReference"/>
        </w:rPr>
        <w:footnoteRef/>
      </w:r>
      <w:r>
        <w:tab/>
        <w:t>Směrnice Evropského parlamentu a Rady 2008/50/ES ze dne 21. května 2008 o kvalitě vnějšího ovzduší a čistším ovzduší pro Evropu.</w:t>
      </w:r>
    </w:p>
  </w:footnote>
  <w:footnote w:id="18">
    <w:p w:rsidR="00E3354B" w:rsidRPr="00114E97" w:rsidRDefault="00E3354B" w:rsidP="00E3354B">
      <w:pPr>
        <w:pStyle w:val="FootnoteText"/>
      </w:pPr>
      <w:r>
        <w:rPr>
          <w:rStyle w:val="FootnoteReference"/>
        </w:rPr>
        <w:footnoteRef/>
      </w:r>
      <w:r>
        <w:tab/>
        <w:t>Směrnice Rady 92/43/EHS ze dne 21. května 1992 o ochraně přírodních stanovišť, volně žijících živočichů a planě rostoucích rostlin.</w:t>
      </w:r>
    </w:p>
  </w:footnote>
  <w:footnote w:id="19">
    <w:p w:rsidR="00E3354B" w:rsidRPr="00CC5372" w:rsidRDefault="00E3354B" w:rsidP="00E3354B">
      <w:pPr>
        <w:pStyle w:val="FootnoteText"/>
      </w:pPr>
      <w:r>
        <w:rPr>
          <w:rStyle w:val="FootnoteReference"/>
        </w:rPr>
        <w:footnoteRef/>
      </w:r>
      <w:r>
        <w:tab/>
        <w:t>Směrnice Evropského parlamentu a Rady 2000/60/ES ze dne 23. října 2000, kterou se stanoví rámec pro činnost Společenství v oblasti vodní politiky.</w:t>
      </w:r>
    </w:p>
  </w:footnote>
  <w:footnote w:id="20">
    <w:p w:rsidR="004028BC" w:rsidRDefault="004028BC" w:rsidP="004028BC">
      <w:pPr>
        <w:pStyle w:val="FootnoteText"/>
      </w:pPr>
      <w:r>
        <w:rPr>
          <w:rStyle w:val="FootnoteReference"/>
        </w:rPr>
        <w:footnoteRef/>
      </w:r>
      <w:r>
        <w:tab/>
        <w:t>Úř. věst. L 283, 31.10.2003, s. 51.</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224F3" w:rsidRDefault="00D224F3">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224F3" w:rsidRDefault="00D224F3">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81"/>
    <w:multiLevelType w:val="singleLevel"/>
    <w:tmpl w:val="7D32548A"/>
    <w:lvl w:ilvl="0">
      <w:start w:val="1"/>
      <w:numFmt w:val="bullet"/>
      <w:pStyle w:val="ListBullet4"/>
      <w:lvlText w:val=""/>
      <w:lvlJc w:val="left"/>
      <w:pPr>
        <w:tabs>
          <w:tab w:val="num" w:pos="1209"/>
        </w:tabs>
        <w:ind w:left="1209" w:hanging="360"/>
      </w:pPr>
      <w:rPr>
        <w:rFonts w:ascii="Symbol" w:hAnsi="Symbol" w:hint="default"/>
      </w:rPr>
    </w:lvl>
  </w:abstractNum>
  <w:abstractNum w:abstractNumId="1" w15:restartNumberingAfterBreak="0">
    <w:nsid w:val="FFFFFF82"/>
    <w:multiLevelType w:val="singleLevel"/>
    <w:tmpl w:val="8C14427C"/>
    <w:lvl w:ilvl="0">
      <w:start w:val="1"/>
      <w:numFmt w:val="bullet"/>
      <w:pStyle w:val="ListBullet3"/>
      <w:lvlText w:val=""/>
      <w:lvlJc w:val="left"/>
      <w:pPr>
        <w:tabs>
          <w:tab w:val="num" w:pos="926"/>
        </w:tabs>
        <w:ind w:left="926" w:hanging="360"/>
      </w:pPr>
      <w:rPr>
        <w:rFonts w:ascii="Symbol" w:hAnsi="Symbol" w:hint="default"/>
      </w:rPr>
    </w:lvl>
  </w:abstractNum>
  <w:abstractNum w:abstractNumId="2" w15:restartNumberingAfterBreak="0">
    <w:nsid w:val="FFFFFF83"/>
    <w:multiLevelType w:val="singleLevel"/>
    <w:tmpl w:val="96DE4374"/>
    <w:lvl w:ilvl="0">
      <w:start w:val="1"/>
      <w:numFmt w:val="bullet"/>
      <w:pStyle w:val="ListBullet2"/>
      <w:lvlText w:val=""/>
      <w:lvlJc w:val="left"/>
      <w:pPr>
        <w:tabs>
          <w:tab w:val="num" w:pos="643"/>
        </w:tabs>
        <w:ind w:left="643" w:hanging="360"/>
      </w:pPr>
      <w:rPr>
        <w:rFonts w:ascii="Symbol" w:hAnsi="Symbol" w:hint="default"/>
      </w:rPr>
    </w:lvl>
  </w:abstractNum>
  <w:abstractNum w:abstractNumId="3" w15:restartNumberingAfterBreak="0">
    <w:nsid w:val="FFFFFF89"/>
    <w:multiLevelType w:val="singleLevel"/>
    <w:tmpl w:val="538C9B00"/>
    <w:lvl w:ilvl="0">
      <w:start w:val="1"/>
      <w:numFmt w:val="bullet"/>
      <w:pStyle w:val="ListBullet"/>
      <w:lvlText w:val=""/>
      <w:lvlJc w:val="left"/>
      <w:pPr>
        <w:tabs>
          <w:tab w:val="num" w:pos="360"/>
        </w:tabs>
        <w:ind w:left="360" w:hanging="360"/>
      </w:pPr>
      <w:rPr>
        <w:rFonts w:ascii="Symbol" w:hAnsi="Symbol" w:hint="default"/>
      </w:rPr>
    </w:lvl>
  </w:abstractNum>
  <w:abstractNum w:abstractNumId="4" w15:restartNumberingAfterBreak="0">
    <w:nsid w:val="1B3C78B8"/>
    <w:multiLevelType w:val="multilevel"/>
    <w:tmpl w:val="2ED4F4D0"/>
    <w:name w:val="Point"/>
    <w:lvl w:ilvl="0">
      <w:start w:val="1"/>
      <w:numFmt w:val="decimal"/>
      <w:lvlRestart w:val="0"/>
      <w:pStyle w:val="Point0number"/>
      <w:lvlText w:val="(%1)"/>
      <w:lvlJc w:val="left"/>
      <w:pPr>
        <w:tabs>
          <w:tab w:val="num" w:pos="850"/>
        </w:tabs>
        <w:ind w:left="850" w:hanging="850"/>
      </w:pPr>
    </w:lvl>
    <w:lvl w:ilvl="1">
      <w:start w:val="1"/>
      <w:numFmt w:val="lowerLetter"/>
      <w:pStyle w:val="Point0letter"/>
      <w:lvlText w:val="(%2)"/>
      <w:lvlJc w:val="left"/>
      <w:pPr>
        <w:tabs>
          <w:tab w:val="num" w:pos="850"/>
        </w:tabs>
        <w:ind w:left="850" w:hanging="850"/>
      </w:pPr>
    </w:lvl>
    <w:lvl w:ilvl="2">
      <w:start w:val="1"/>
      <w:numFmt w:val="decimal"/>
      <w:pStyle w:val="Point1number"/>
      <w:lvlText w:val="(%3)"/>
      <w:lvlJc w:val="left"/>
      <w:pPr>
        <w:tabs>
          <w:tab w:val="num" w:pos="1417"/>
        </w:tabs>
        <w:ind w:left="1417" w:hanging="567"/>
      </w:pPr>
    </w:lvl>
    <w:lvl w:ilvl="3">
      <w:start w:val="1"/>
      <w:numFmt w:val="lowerLetter"/>
      <w:pStyle w:val="Point1letter"/>
      <w:lvlText w:val="(%4)"/>
      <w:lvlJc w:val="left"/>
      <w:pPr>
        <w:tabs>
          <w:tab w:val="num" w:pos="1417"/>
        </w:tabs>
        <w:ind w:left="1417" w:hanging="567"/>
      </w:pPr>
    </w:lvl>
    <w:lvl w:ilvl="4">
      <w:start w:val="1"/>
      <w:numFmt w:val="decimal"/>
      <w:pStyle w:val="Point2number"/>
      <w:lvlText w:val="(%5)"/>
      <w:lvlJc w:val="left"/>
      <w:pPr>
        <w:tabs>
          <w:tab w:val="num" w:pos="1984"/>
        </w:tabs>
        <w:ind w:left="1984" w:hanging="567"/>
      </w:pPr>
    </w:lvl>
    <w:lvl w:ilvl="5">
      <w:start w:val="1"/>
      <w:numFmt w:val="lowerLetter"/>
      <w:pStyle w:val="Point2letter"/>
      <w:lvlText w:val="(%6)"/>
      <w:lvlJc w:val="left"/>
      <w:pPr>
        <w:tabs>
          <w:tab w:val="num" w:pos="1984"/>
        </w:tabs>
        <w:ind w:left="1984" w:hanging="567"/>
      </w:pPr>
    </w:lvl>
    <w:lvl w:ilvl="6">
      <w:start w:val="1"/>
      <w:numFmt w:val="decimal"/>
      <w:pStyle w:val="Point3number"/>
      <w:lvlText w:val="(%7)"/>
      <w:lvlJc w:val="left"/>
      <w:pPr>
        <w:tabs>
          <w:tab w:val="num" w:pos="2551"/>
        </w:tabs>
        <w:ind w:left="2551" w:hanging="567"/>
      </w:pPr>
    </w:lvl>
    <w:lvl w:ilvl="7">
      <w:start w:val="1"/>
      <w:numFmt w:val="lowerLetter"/>
      <w:pStyle w:val="Point3letter"/>
      <w:lvlText w:val="(%8)"/>
      <w:lvlJc w:val="left"/>
      <w:pPr>
        <w:tabs>
          <w:tab w:val="num" w:pos="2551"/>
        </w:tabs>
        <w:ind w:left="2551" w:hanging="567"/>
      </w:pPr>
    </w:lvl>
    <w:lvl w:ilvl="8">
      <w:start w:val="1"/>
      <w:numFmt w:val="lowerLetter"/>
      <w:pStyle w:val="Point4letter"/>
      <w:lvlText w:val="(%9)"/>
      <w:lvlJc w:val="left"/>
      <w:pPr>
        <w:tabs>
          <w:tab w:val="num" w:pos="3118"/>
        </w:tabs>
        <w:ind w:left="3118" w:hanging="567"/>
      </w:pPr>
    </w:lvl>
  </w:abstractNum>
  <w:abstractNum w:abstractNumId="5" w15:restartNumberingAfterBreak="0">
    <w:nsid w:val="22E44180"/>
    <w:multiLevelType w:val="multilevel"/>
    <w:tmpl w:val="DFC88CEC"/>
    <w:name w:val="NumPar"/>
    <w:lvl w:ilvl="0">
      <w:start w:val="1"/>
      <w:numFmt w:val="decimal"/>
      <w:lvlRestart w:val="0"/>
      <w:pStyle w:val="NumPar1"/>
      <w:lvlText w:val="%1."/>
      <w:lvlJc w:val="left"/>
      <w:pPr>
        <w:tabs>
          <w:tab w:val="num" w:pos="850"/>
        </w:tabs>
        <w:ind w:left="850" w:hanging="850"/>
      </w:pPr>
    </w:lvl>
    <w:lvl w:ilvl="1">
      <w:start w:val="1"/>
      <w:numFmt w:val="decimal"/>
      <w:pStyle w:val="NumPar2"/>
      <w:lvlText w:val="%1.%2."/>
      <w:lvlJc w:val="left"/>
      <w:pPr>
        <w:tabs>
          <w:tab w:val="num" w:pos="850"/>
        </w:tabs>
        <w:ind w:left="850" w:hanging="850"/>
      </w:pPr>
    </w:lvl>
    <w:lvl w:ilvl="2">
      <w:start w:val="1"/>
      <w:numFmt w:val="decimal"/>
      <w:pStyle w:val="NumPar3"/>
      <w:lvlText w:val="%1.%2.%3."/>
      <w:lvlJc w:val="left"/>
      <w:pPr>
        <w:tabs>
          <w:tab w:val="num" w:pos="850"/>
        </w:tabs>
        <w:ind w:left="850" w:hanging="850"/>
      </w:pPr>
    </w:lvl>
    <w:lvl w:ilvl="3">
      <w:start w:val="1"/>
      <w:numFmt w:val="decimal"/>
      <w:pStyle w:val="NumPar4"/>
      <w:lvlText w:val="%1.%2.%3.%4."/>
      <w:lvlJc w:val="left"/>
      <w:pPr>
        <w:tabs>
          <w:tab w:val="num" w:pos="850"/>
        </w:tabs>
        <w:ind w:left="850" w:hanging="850"/>
      </w:pPr>
    </w:lvl>
    <w:lvl w:ilvl="4">
      <w:start w:val="1"/>
      <w:numFmt w:val="decimal"/>
      <w:pStyle w:val="NumPar5"/>
      <w:lvlText w:val="%1.%2.%3.%4.%5."/>
      <w:lvlJc w:val="left"/>
      <w:pPr>
        <w:tabs>
          <w:tab w:val="num" w:pos="1417"/>
        </w:tabs>
        <w:ind w:left="1417" w:hanging="1417"/>
      </w:pPr>
    </w:lvl>
    <w:lvl w:ilvl="5">
      <w:start w:val="1"/>
      <w:numFmt w:val="decimal"/>
      <w:pStyle w:val="NumPar6"/>
      <w:lvlText w:val="%1.%2.%3.%4.%5.%6."/>
      <w:lvlJc w:val="left"/>
      <w:pPr>
        <w:tabs>
          <w:tab w:val="num" w:pos="1417"/>
        </w:tabs>
        <w:ind w:left="1417" w:hanging="1417"/>
      </w:pPr>
    </w:lvl>
    <w:lvl w:ilvl="6">
      <w:start w:val="1"/>
      <w:numFmt w:val="decimal"/>
      <w:pStyle w:val="NumPar7"/>
      <w:lvlText w:val="%1.%2.%3.%4.%5.%6.%7."/>
      <w:lvlJc w:val="left"/>
      <w:pPr>
        <w:tabs>
          <w:tab w:val="num" w:pos="1417"/>
        </w:tabs>
        <w:ind w:left="1417" w:hanging="1417"/>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6" w15:restartNumberingAfterBreak="0">
    <w:nsid w:val="2CB72C6E"/>
    <w:multiLevelType w:val="singleLevel"/>
    <w:tmpl w:val="10ACD464"/>
    <w:name w:val="Bullet 3"/>
    <w:lvl w:ilvl="0">
      <w:start w:val="1"/>
      <w:numFmt w:val="bullet"/>
      <w:lvlRestart w:val="0"/>
      <w:pStyle w:val="Bullet3"/>
      <w:lvlText w:val=""/>
      <w:lvlJc w:val="left"/>
      <w:pPr>
        <w:tabs>
          <w:tab w:val="num" w:pos="2551"/>
        </w:tabs>
        <w:ind w:left="2551" w:hanging="567"/>
      </w:pPr>
      <w:rPr>
        <w:rFonts w:ascii="Symbol" w:hAnsi="Symbol" w:hint="default"/>
      </w:rPr>
    </w:lvl>
  </w:abstractNum>
  <w:abstractNum w:abstractNumId="7" w15:restartNumberingAfterBreak="0">
    <w:nsid w:val="2CE9221F"/>
    <w:multiLevelType w:val="singleLevel"/>
    <w:tmpl w:val="9B4AFB48"/>
    <w:name w:val="Tiret 3"/>
    <w:lvl w:ilvl="0">
      <w:start w:val="1"/>
      <w:numFmt w:val="bullet"/>
      <w:lvlRestart w:val="0"/>
      <w:pStyle w:val="Tiret3"/>
      <w:lvlText w:val="–"/>
      <w:lvlJc w:val="left"/>
      <w:pPr>
        <w:tabs>
          <w:tab w:val="num" w:pos="2551"/>
        </w:tabs>
        <w:ind w:left="2551" w:hanging="567"/>
      </w:pPr>
    </w:lvl>
  </w:abstractNum>
  <w:abstractNum w:abstractNumId="8" w15:restartNumberingAfterBreak="0">
    <w:nsid w:val="42713452"/>
    <w:multiLevelType w:val="singleLevel"/>
    <w:tmpl w:val="3B8CC7EA"/>
    <w:name w:val="Tiret 1"/>
    <w:lvl w:ilvl="0">
      <w:start w:val="1"/>
      <w:numFmt w:val="bullet"/>
      <w:lvlRestart w:val="0"/>
      <w:pStyle w:val="Tiret1"/>
      <w:lvlText w:val="–"/>
      <w:lvlJc w:val="left"/>
      <w:pPr>
        <w:tabs>
          <w:tab w:val="num" w:pos="1417"/>
        </w:tabs>
        <w:ind w:left="1417" w:hanging="567"/>
      </w:pPr>
    </w:lvl>
  </w:abstractNum>
  <w:abstractNum w:abstractNumId="9" w15:restartNumberingAfterBreak="0">
    <w:nsid w:val="42FC0772"/>
    <w:multiLevelType w:val="singleLevel"/>
    <w:tmpl w:val="4128FCF8"/>
    <w:name w:val="Tiret 4"/>
    <w:lvl w:ilvl="0">
      <w:start w:val="1"/>
      <w:numFmt w:val="bullet"/>
      <w:lvlRestart w:val="0"/>
      <w:pStyle w:val="Tiret4"/>
      <w:lvlText w:val="–"/>
      <w:lvlJc w:val="left"/>
      <w:pPr>
        <w:tabs>
          <w:tab w:val="num" w:pos="3118"/>
        </w:tabs>
        <w:ind w:left="3118" w:hanging="567"/>
      </w:pPr>
    </w:lvl>
  </w:abstractNum>
  <w:abstractNum w:abstractNumId="10" w15:restartNumberingAfterBreak="0">
    <w:nsid w:val="42FC077D"/>
    <w:multiLevelType w:val="singleLevel"/>
    <w:tmpl w:val="4128FD03"/>
    <w:name w:val="Tiret 5"/>
    <w:lvl w:ilvl="0">
      <w:start w:val="1"/>
      <w:numFmt w:val="bullet"/>
      <w:lvlRestart w:val="0"/>
      <w:pStyle w:val="Tiret5"/>
      <w:lvlText w:val="–"/>
      <w:lvlJc w:val="left"/>
      <w:pPr>
        <w:tabs>
          <w:tab w:val="num" w:pos="3685"/>
        </w:tabs>
        <w:ind w:left="3685" w:hanging="567"/>
      </w:pPr>
    </w:lvl>
  </w:abstractNum>
  <w:abstractNum w:abstractNumId="11" w15:restartNumberingAfterBreak="0">
    <w:nsid w:val="4552127F"/>
    <w:multiLevelType w:val="singleLevel"/>
    <w:tmpl w:val="057A5296"/>
    <w:name w:val="Bullet 0"/>
    <w:lvl w:ilvl="0">
      <w:start w:val="1"/>
      <w:numFmt w:val="bullet"/>
      <w:lvlRestart w:val="0"/>
      <w:pStyle w:val="Bullet0"/>
      <w:lvlText w:val=""/>
      <w:lvlJc w:val="left"/>
      <w:pPr>
        <w:tabs>
          <w:tab w:val="num" w:pos="850"/>
        </w:tabs>
        <w:ind w:left="850" w:hanging="850"/>
      </w:pPr>
      <w:rPr>
        <w:rFonts w:ascii="Symbol" w:hAnsi="Symbol" w:hint="default"/>
      </w:rPr>
    </w:lvl>
  </w:abstractNum>
  <w:abstractNum w:abstractNumId="12" w15:restartNumberingAfterBreak="0">
    <w:nsid w:val="556E1D63"/>
    <w:multiLevelType w:val="singleLevel"/>
    <w:tmpl w:val="493AAFF0"/>
    <w:name w:val="Bullet 4"/>
    <w:lvl w:ilvl="0">
      <w:start w:val="1"/>
      <w:numFmt w:val="bullet"/>
      <w:lvlRestart w:val="0"/>
      <w:pStyle w:val="Bullet4"/>
      <w:lvlText w:val=""/>
      <w:lvlJc w:val="left"/>
      <w:pPr>
        <w:tabs>
          <w:tab w:val="num" w:pos="3118"/>
        </w:tabs>
        <w:ind w:left="3118" w:hanging="567"/>
      </w:pPr>
      <w:rPr>
        <w:rFonts w:ascii="Symbol" w:hAnsi="Symbol" w:hint="default"/>
      </w:rPr>
    </w:lvl>
  </w:abstractNum>
  <w:abstractNum w:abstractNumId="13" w15:restartNumberingAfterBreak="0">
    <w:nsid w:val="5B395AAA"/>
    <w:multiLevelType w:val="singleLevel"/>
    <w:tmpl w:val="96D02E8A"/>
    <w:name w:val="Bullet 1"/>
    <w:lvl w:ilvl="0">
      <w:start w:val="1"/>
      <w:numFmt w:val="bullet"/>
      <w:lvlRestart w:val="0"/>
      <w:pStyle w:val="Bullet1"/>
      <w:lvlText w:val=""/>
      <w:lvlJc w:val="left"/>
      <w:pPr>
        <w:tabs>
          <w:tab w:val="num" w:pos="1417"/>
        </w:tabs>
        <w:ind w:left="1417" w:hanging="567"/>
      </w:pPr>
      <w:rPr>
        <w:rFonts w:ascii="Symbol" w:hAnsi="Symbol" w:hint="default"/>
      </w:rPr>
    </w:lvl>
  </w:abstractNum>
  <w:abstractNum w:abstractNumId="14" w15:restartNumberingAfterBreak="0">
    <w:nsid w:val="5C056EE5"/>
    <w:multiLevelType w:val="singleLevel"/>
    <w:tmpl w:val="3378D27C"/>
    <w:name w:val="Bullet 2"/>
    <w:lvl w:ilvl="0">
      <w:start w:val="1"/>
      <w:numFmt w:val="bullet"/>
      <w:lvlRestart w:val="0"/>
      <w:pStyle w:val="Bullet2"/>
      <w:lvlText w:val=""/>
      <w:lvlJc w:val="left"/>
      <w:pPr>
        <w:tabs>
          <w:tab w:val="num" w:pos="1984"/>
        </w:tabs>
        <w:ind w:left="1984" w:hanging="567"/>
      </w:pPr>
      <w:rPr>
        <w:rFonts w:ascii="Symbol" w:hAnsi="Symbol" w:hint="default"/>
      </w:rPr>
    </w:lvl>
  </w:abstractNum>
  <w:abstractNum w:abstractNumId="15" w15:restartNumberingAfterBreak="0">
    <w:nsid w:val="5CA31A15"/>
    <w:multiLevelType w:val="singleLevel"/>
    <w:tmpl w:val="CB981644"/>
    <w:name w:val="Tiret 0"/>
    <w:lvl w:ilvl="0">
      <w:start w:val="1"/>
      <w:numFmt w:val="bullet"/>
      <w:lvlRestart w:val="0"/>
      <w:pStyle w:val="Tiret0"/>
      <w:lvlText w:val="–"/>
      <w:lvlJc w:val="left"/>
      <w:pPr>
        <w:tabs>
          <w:tab w:val="num" w:pos="850"/>
        </w:tabs>
        <w:ind w:left="850" w:hanging="850"/>
      </w:pPr>
    </w:lvl>
  </w:abstractNum>
  <w:abstractNum w:abstractNumId="16" w15:restartNumberingAfterBreak="0">
    <w:nsid w:val="64A12FA4"/>
    <w:multiLevelType w:val="multilevel"/>
    <w:tmpl w:val="428ECF3E"/>
    <w:name w:val="Heading"/>
    <w:lvl w:ilvl="0">
      <w:start w:val="1"/>
      <w:numFmt w:val="decimal"/>
      <w:lvlRestart w:val="0"/>
      <w:pStyle w:val="Heading1"/>
      <w:lvlText w:val="%1."/>
      <w:lvlJc w:val="left"/>
      <w:pPr>
        <w:tabs>
          <w:tab w:val="num" w:pos="850"/>
        </w:tabs>
        <w:ind w:left="850" w:hanging="850"/>
      </w:pPr>
    </w:lvl>
    <w:lvl w:ilvl="1">
      <w:start w:val="1"/>
      <w:numFmt w:val="decimal"/>
      <w:pStyle w:val="Heading2"/>
      <w:lvlText w:val="%1.%2."/>
      <w:lvlJc w:val="left"/>
      <w:pPr>
        <w:tabs>
          <w:tab w:val="num" w:pos="850"/>
        </w:tabs>
        <w:ind w:left="850" w:hanging="850"/>
      </w:pPr>
    </w:lvl>
    <w:lvl w:ilvl="2">
      <w:start w:val="1"/>
      <w:numFmt w:val="decimal"/>
      <w:pStyle w:val="Heading3"/>
      <w:lvlText w:val="%1.%2.%3."/>
      <w:lvlJc w:val="left"/>
      <w:pPr>
        <w:tabs>
          <w:tab w:val="num" w:pos="850"/>
        </w:tabs>
        <w:ind w:left="850" w:hanging="850"/>
      </w:pPr>
    </w:lvl>
    <w:lvl w:ilvl="3">
      <w:start w:val="1"/>
      <w:numFmt w:val="decimal"/>
      <w:pStyle w:val="Heading4"/>
      <w:lvlText w:val="%1.%2.%3.%4."/>
      <w:lvlJc w:val="left"/>
      <w:pPr>
        <w:tabs>
          <w:tab w:val="num" w:pos="850"/>
        </w:tabs>
        <w:ind w:left="850" w:hanging="850"/>
      </w:pPr>
    </w:lvl>
    <w:lvl w:ilvl="4">
      <w:start w:val="1"/>
      <w:numFmt w:val="decimal"/>
      <w:pStyle w:val="Heading5"/>
      <w:lvlText w:val="%1.%2.%3.%4.%5."/>
      <w:lvlJc w:val="left"/>
      <w:pPr>
        <w:tabs>
          <w:tab w:val="num" w:pos="1417"/>
        </w:tabs>
        <w:ind w:left="1417" w:hanging="1417"/>
      </w:pPr>
    </w:lvl>
    <w:lvl w:ilvl="5">
      <w:start w:val="1"/>
      <w:numFmt w:val="decimal"/>
      <w:pStyle w:val="Heading6"/>
      <w:lvlText w:val="%1.%2.%3.%4.%5.%6."/>
      <w:lvlJc w:val="left"/>
      <w:pPr>
        <w:tabs>
          <w:tab w:val="num" w:pos="1417"/>
        </w:tabs>
        <w:ind w:left="1417" w:hanging="1417"/>
      </w:pPr>
    </w:lvl>
    <w:lvl w:ilvl="6">
      <w:start w:val="1"/>
      <w:numFmt w:val="decimal"/>
      <w:pStyle w:val="Heading7"/>
      <w:lvlText w:val="%1.%2.%3.%4.%5.%6.%7."/>
      <w:lvlJc w:val="left"/>
      <w:pPr>
        <w:tabs>
          <w:tab w:val="num" w:pos="1417"/>
        </w:tabs>
        <w:ind w:left="1417" w:hanging="1417"/>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7" w15:restartNumberingAfterBreak="0">
    <w:nsid w:val="67B856F6"/>
    <w:multiLevelType w:val="singleLevel"/>
    <w:tmpl w:val="0AB28E9C"/>
    <w:name w:val="Tiret 2"/>
    <w:lvl w:ilvl="0">
      <w:start w:val="1"/>
      <w:numFmt w:val="bullet"/>
      <w:lvlRestart w:val="0"/>
      <w:pStyle w:val="Tiret2"/>
      <w:lvlText w:val="–"/>
      <w:lvlJc w:val="left"/>
      <w:pPr>
        <w:tabs>
          <w:tab w:val="num" w:pos="1984"/>
        </w:tabs>
        <w:ind w:left="1984" w:hanging="567"/>
      </w:pPr>
    </w:lvl>
  </w:abstractNum>
  <w:abstractNum w:abstractNumId="18" w15:restartNumberingAfterBreak="0">
    <w:nsid w:val="7CBE4812"/>
    <w:multiLevelType w:val="singleLevel"/>
    <w:tmpl w:val="23C821E4"/>
    <w:name w:val="Considérant"/>
    <w:lvl w:ilvl="0">
      <w:start w:val="1"/>
      <w:numFmt w:val="decimal"/>
      <w:lvlRestart w:val="0"/>
      <w:pStyle w:val="Considrant"/>
      <w:lvlText w:val="(%1)"/>
      <w:lvlJc w:val="left"/>
      <w:pPr>
        <w:tabs>
          <w:tab w:val="num" w:pos="709"/>
        </w:tabs>
        <w:ind w:left="709" w:hanging="709"/>
      </w:pPr>
    </w:lvl>
  </w:abstractNum>
  <w:num w:numId="1">
    <w:abstractNumId w:val="3"/>
  </w:num>
  <w:num w:numId="2">
    <w:abstractNumId w:val="2"/>
  </w:num>
  <w:num w:numId="3">
    <w:abstractNumId w:val="1"/>
  </w:num>
  <w:num w:numId="4">
    <w:abstractNumId w:val="0"/>
  </w:num>
  <w:num w:numId="5">
    <w:abstractNumId w:val="18"/>
    <w:lvlOverride w:ilvl="0">
      <w:startOverride w:val="1"/>
    </w:lvlOverride>
  </w:num>
  <w:num w:numId="6">
    <w:abstractNumId w:val="15"/>
  </w:num>
  <w:num w:numId="7">
    <w:abstractNumId w:val="8"/>
  </w:num>
  <w:num w:numId="8">
    <w:abstractNumId w:val="17"/>
  </w:num>
  <w:num w:numId="9">
    <w:abstractNumId w:val="7"/>
  </w:num>
  <w:num w:numId="10">
    <w:abstractNumId w:val="9"/>
  </w:num>
  <w:num w:numId="11">
    <w:abstractNumId w:val="10"/>
  </w:num>
  <w:num w:numId="12">
    <w:abstractNumId w:val="5"/>
  </w:num>
  <w:num w:numId="13">
    <w:abstractNumId w:val="16"/>
  </w:num>
  <w:num w:numId="14">
    <w:abstractNumId w:val="4"/>
  </w:num>
  <w:num w:numId="15">
    <w:abstractNumId w:val="11"/>
  </w:num>
  <w:num w:numId="16">
    <w:abstractNumId w:val="13"/>
  </w:num>
  <w:num w:numId="17">
    <w:abstractNumId w:val="14"/>
  </w:num>
  <w:num w:numId="18">
    <w:abstractNumId w:val="6"/>
  </w:num>
  <w:num w:numId="19">
    <w:abstractNumId w:val="12"/>
  </w:num>
  <w:num w:numId="20">
    <w:abstractNumId w:val="18"/>
  </w:num>
  <w:numIdMacAtCleanup w:val="2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view w:val="normal"/>
  <w:zoom w:percent="100"/>
  <w:hideSpellingErrors/>
  <w:hideGrammaticalErrors/>
  <w:attachedTemplate r:id="rId1"/>
  <w:revisionView w:markup="0"/>
  <w:defaultTabStop w:val="720"/>
  <w:hyphenationZone w:val="425"/>
  <w:characterSpacingControl w:val="doNotCompress"/>
  <w:hdrShapeDefaults>
    <o:shapedefaults v:ext="edit" spidmax="205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R_RefLast" w:val="0"/>
    <w:docVar w:name="DQCDateTime" w:val="2026-06-04 20:43:10"/>
    <w:docVar w:name="DQCResult_Distribution" w:val="0;0"/>
    <w:docVar w:name="DQCResult_DocumentContent" w:val="0;0"/>
    <w:docVar w:name="DQCResult_DocumentSize" w:val="0;0"/>
    <w:docVar w:name="DQCResult_InvalidFootnotes" w:val="0;0"/>
    <w:docVar w:name="DQCResult_ModifiedMarkers" w:val="0;0"/>
    <w:docVar w:name="DQCResult_ModifiedNumbering" w:val="0;0"/>
    <w:docVar w:name="DQCResult_Objects" w:val="0;0"/>
    <w:docVar w:name="DQCResult_StructureCheck" w:val="0;0"/>
    <w:docVar w:name="DQCStatus" w:val="Green"/>
    <w:docVar w:name="DQCVersion" w:val="3"/>
    <w:docVar w:name="DQCWithWarnings" w:val="0"/>
    <w:docVar w:name="LW_CORRIGENDUM" w:val="&lt;UNUSED&gt;"/>
    <w:docVar w:name="LW_COVERPAGE_EXISTS" w:val="True"/>
    <w:docVar w:name="LW_COVERPAGE_GUID" w:val="170FA90D-6D3F-4192-8561-A5038F2E60F0"/>
    <w:docVar w:name="LW_COVERPAGE_TYPE" w:val="1"/>
    <w:docVar w:name="LW_CreatedUtc" w:val="2026-03-24T12:28:58.3289710Z"/>
    <w:docVar w:name="LW_CROSSREFERENCE" w:val="&lt;UNUSED&gt;"/>
    <w:docVar w:name="LW_DocType" w:val="COM"/>
    <w:docVar w:name="LW_EMISSION" w:val="11.6.2026"/>
    <w:docVar w:name="LW_EMISSION_ISODATE" w:val="2026-06-11"/>
    <w:docVar w:name="LW_EMISSION_LOCATION" w:val="BRX"/>
    <w:docVar w:name="LW_EMISSION_PREFIX" w:val="V Bruselu dne "/>
    <w:docVar w:name="LW_EMISSION_SUFFIX" w:val=" "/>
    <w:docVar w:name="LW_ID_DOCMODEL" w:val="SJ-020"/>
    <w:docVar w:name="LW_ID_DOCSIGNATURE" w:val="SJ-020"/>
    <w:docVar w:name="LW_ID_DOCSTRUCTURE" w:val="COM/PL/ORG"/>
    <w:docVar w:name="LW_ID_DOCTYPE" w:val="SJ-020"/>
    <w:docVar w:name="LW_ID_STATUT" w:val="SJ-020"/>
    <w:docVar w:name="LW_INSERT_EXP.MOTIFS.NEW" w:val="1"/>
    <w:docVar w:name="LW_INTERETEEE.CP" w:val="&lt;UNUSED&gt;"/>
    <w:docVar w:name="LW_LANGUE" w:val="CS"/>
    <w:docVar w:name="LW_LEVEL_OF_SENSITIVITY" w:val="Standard treatment"/>
    <w:docVar w:name="LW_NOM.INST" w:val="EVROPSKÁ KOMISE"/>
    <w:docVar w:name="LW_NOM.INST_JOINTDOC" w:val="&lt;EMPTY&gt;"/>
    <w:docVar w:name="LW_PART_NBR" w:val="1"/>
    <w:docVar w:name="LW_PART_NBR_TOTAL" w:val="1"/>
    <w:docVar w:name="LW_REF.II.NEW.CP" w:val="NLE"/>
    <w:docVar w:name="LW_REF.II.NEW.CP_NUMBER" w:val="0142"/>
    <w:docVar w:name="LW_REF.II.NEW.CP_YEAR" w:val="2026"/>
    <w:docVar w:name="LW_REF.INST.NEW" w:val="COM"/>
    <w:docVar w:name="LW_REF.INST.NEW_ADOPTED" w:val="final"/>
    <w:docVar w:name="LW_REF.INST.NEW_TEXT" w:val="(2026) 275"/>
    <w:docVar w:name="LW_REF.INTERNE" w:val="&lt;UNUSED&gt;"/>
    <w:docVar w:name="LW_SENSITIVITY" w:val="&lt;?xml version=&quot;1.0&quot; encoding=&quot;utf-8&quot;?&gt;_x000d__x000a_&lt;SensitivityLevel xmlns:xsd=&quot;http://www.w3.org/2001/XMLSchema&quot; xmlns:xsi=&quot;http://www.w3.org/2001/XMLSchema-instance&quot; id=&quot;standard&quot;&gt;_x000d__x000a_  &lt;nicename EN=&quot;Standard treatment&quot; FR=&quot;Traitement standard&quot; /&gt;_x000d__x000a_  &lt;documentProperty&gt;Standard treatment&lt;/documentProperty&gt;_x000d__x000a_  &lt;markingConfig isAvailable=&quot;false&quot; isMandatory=&quot;false&quot; sensitiveMarkingMandatory=&quot;false&quot; specialMarkingMandatory=&quot;true&quot; isOptionDisplayInHeaderAvailable=&quot;true&quot; sensitiveMarkingListSee=&quot;SensitiveMarkings&quot; specialMarkingListSee=&quot;SpecialMarkings&quot; sensitiveFootnoteTextSee=&quot;sensitiveFootnote&quot; specialFootnoteTextSee=&quot;specialFootnote&quot; /&gt;_x000d__x000a_  &lt;chosenMainMarking xsi:nil=&quot;true&quot; /&gt;_x000d__x000a_  &lt;dateMarking xsi:nil=&quot;true&quot; /&gt;_x000d__x000a_  &lt;releasableToConfig isAvailable=&quot;false&quot; institutionListSee=&quot;DefaultInstitutions&quot; /&gt;_x000d__x000a_  &lt;chosenReleasableTo xsi:nil=&quot;true&quot; /&gt;_x000d__x000a_  &lt;detached xsi:nil=&quot;true&quot; /&gt;_x000d__x000a_  &lt;declassify xsi:nil=&quot;true&quot; /&gt;_x000d__x000a_  &lt;headerTexts xsi:nil=&quot;true&quot; /&gt;_x000d__x000a_  &lt;footerTexts xsi:nil=&quot;true&quot; /&gt;_x000d__x000a_  &lt;isRestricted&gt;false&lt;/isRestricted&gt;_x000d__x000a_&lt;/SensitivityLevel&gt;"/>
    <w:docVar w:name="LW_STATUT.CP" w:val="Návrh"/>
    <w:docVar w:name="LW_SUPERTITRE" w:val="&lt;UNUSED&gt;"/>
    <w:docVar w:name="LW_TITRE.OBJ.CP" w:val="kterým se Belgii v souladu s \u269?lánkem 19 sm\u283?rnice 2003/96/ES povoluje uplat\u328?ovat sní\u382?enou sazbu dan\u283? na elekt\u345?inu dodávanou p\u345?ímo plavidl\u367?m v kotvi\u353?tích p\u345?ístav\u367?"/>
    <w:docVar w:name="LW_TYPE.DOC.CP" w:val="PROVÁD\u282?CÍ ROZHODNUTÍ RADY,"/>
    <w:docVar w:name="LwApiVersions" w:val="LW4CoDe 1.24.5.0; LW 9.2, Build 20251112"/>
  </w:docVars>
  <w:rsids>
    <w:rsidRoot w:val="004028BC"/>
    <w:rsid w:val="00014B27"/>
    <w:rsid w:val="00034FBB"/>
    <w:rsid w:val="00037B5F"/>
    <w:rsid w:val="000473B0"/>
    <w:rsid w:val="00054DEB"/>
    <w:rsid w:val="000573CA"/>
    <w:rsid w:val="00075A7D"/>
    <w:rsid w:val="000765B1"/>
    <w:rsid w:val="00092981"/>
    <w:rsid w:val="00094A13"/>
    <w:rsid w:val="000970A5"/>
    <w:rsid w:val="000E7953"/>
    <w:rsid w:val="001065F5"/>
    <w:rsid w:val="00107C82"/>
    <w:rsid w:val="00112834"/>
    <w:rsid w:val="00114E97"/>
    <w:rsid w:val="001238EF"/>
    <w:rsid w:val="00127792"/>
    <w:rsid w:val="001344AA"/>
    <w:rsid w:val="00141A65"/>
    <w:rsid w:val="00144EC1"/>
    <w:rsid w:val="001522D4"/>
    <w:rsid w:val="0017340B"/>
    <w:rsid w:val="00197613"/>
    <w:rsid w:val="001B2978"/>
    <w:rsid w:val="001C4867"/>
    <w:rsid w:val="001D618B"/>
    <w:rsid w:val="001E0867"/>
    <w:rsid w:val="001E5758"/>
    <w:rsid w:val="001E6863"/>
    <w:rsid w:val="00216D96"/>
    <w:rsid w:val="00233DC7"/>
    <w:rsid w:val="00241088"/>
    <w:rsid w:val="00244E25"/>
    <w:rsid w:val="00247779"/>
    <w:rsid w:val="00285BEE"/>
    <w:rsid w:val="00287310"/>
    <w:rsid w:val="0029533F"/>
    <w:rsid w:val="002A1E28"/>
    <w:rsid w:val="002A3F7C"/>
    <w:rsid w:val="002B30AF"/>
    <w:rsid w:val="002B429A"/>
    <w:rsid w:val="002D235D"/>
    <w:rsid w:val="003051C3"/>
    <w:rsid w:val="003225D8"/>
    <w:rsid w:val="0033344A"/>
    <w:rsid w:val="003403C6"/>
    <w:rsid w:val="0037796E"/>
    <w:rsid w:val="0038338C"/>
    <w:rsid w:val="003B43E1"/>
    <w:rsid w:val="003C3EF5"/>
    <w:rsid w:val="003D24C1"/>
    <w:rsid w:val="003F19AD"/>
    <w:rsid w:val="003F558D"/>
    <w:rsid w:val="004028BC"/>
    <w:rsid w:val="00403207"/>
    <w:rsid w:val="0041160C"/>
    <w:rsid w:val="0042648E"/>
    <w:rsid w:val="00434B4F"/>
    <w:rsid w:val="004936D2"/>
    <w:rsid w:val="0049667D"/>
    <w:rsid w:val="004A2EAE"/>
    <w:rsid w:val="004B0C14"/>
    <w:rsid w:val="004B45D4"/>
    <w:rsid w:val="004F486E"/>
    <w:rsid w:val="00516AA2"/>
    <w:rsid w:val="00525A94"/>
    <w:rsid w:val="00531696"/>
    <w:rsid w:val="005B1EB6"/>
    <w:rsid w:val="005B2087"/>
    <w:rsid w:val="005B5114"/>
    <w:rsid w:val="005B572B"/>
    <w:rsid w:val="005B7BA1"/>
    <w:rsid w:val="005D1F90"/>
    <w:rsid w:val="005D3513"/>
    <w:rsid w:val="005F01CF"/>
    <w:rsid w:val="005F7522"/>
    <w:rsid w:val="00603DD3"/>
    <w:rsid w:val="00613A28"/>
    <w:rsid w:val="00637BC1"/>
    <w:rsid w:val="00661438"/>
    <w:rsid w:val="0067227B"/>
    <w:rsid w:val="006949E6"/>
    <w:rsid w:val="006A4B45"/>
    <w:rsid w:val="006B4A31"/>
    <w:rsid w:val="006D2A02"/>
    <w:rsid w:val="006E311C"/>
    <w:rsid w:val="006E3BF6"/>
    <w:rsid w:val="007045B0"/>
    <w:rsid w:val="007122C5"/>
    <w:rsid w:val="00741513"/>
    <w:rsid w:val="00753E4F"/>
    <w:rsid w:val="00755B14"/>
    <w:rsid w:val="00773331"/>
    <w:rsid w:val="00782B23"/>
    <w:rsid w:val="007932EF"/>
    <w:rsid w:val="00794805"/>
    <w:rsid w:val="007E05B0"/>
    <w:rsid w:val="007E1A09"/>
    <w:rsid w:val="007F03C3"/>
    <w:rsid w:val="008028B9"/>
    <w:rsid w:val="00820822"/>
    <w:rsid w:val="0082101B"/>
    <w:rsid w:val="008307AC"/>
    <w:rsid w:val="00861C74"/>
    <w:rsid w:val="00874D22"/>
    <w:rsid w:val="008819D8"/>
    <w:rsid w:val="008853CD"/>
    <w:rsid w:val="008A2914"/>
    <w:rsid w:val="008C1D4C"/>
    <w:rsid w:val="008C3B39"/>
    <w:rsid w:val="008C66D1"/>
    <w:rsid w:val="008C6F60"/>
    <w:rsid w:val="008E4D8E"/>
    <w:rsid w:val="008F1730"/>
    <w:rsid w:val="008F1A6D"/>
    <w:rsid w:val="009071E3"/>
    <w:rsid w:val="0091123E"/>
    <w:rsid w:val="009207B5"/>
    <w:rsid w:val="00925A3C"/>
    <w:rsid w:val="009326FA"/>
    <w:rsid w:val="00933EF6"/>
    <w:rsid w:val="00947BCB"/>
    <w:rsid w:val="0098612E"/>
    <w:rsid w:val="00994181"/>
    <w:rsid w:val="00A06BEA"/>
    <w:rsid w:val="00A2511D"/>
    <w:rsid w:val="00A6072E"/>
    <w:rsid w:val="00A83C78"/>
    <w:rsid w:val="00A945D9"/>
    <w:rsid w:val="00A94F4F"/>
    <w:rsid w:val="00AA4DF7"/>
    <w:rsid w:val="00AF67A8"/>
    <w:rsid w:val="00B2173E"/>
    <w:rsid w:val="00B24987"/>
    <w:rsid w:val="00B32FF4"/>
    <w:rsid w:val="00B40D70"/>
    <w:rsid w:val="00B46EF0"/>
    <w:rsid w:val="00B60E10"/>
    <w:rsid w:val="00B67B45"/>
    <w:rsid w:val="00B73EC8"/>
    <w:rsid w:val="00B76FEB"/>
    <w:rsid w:val="00B85936"/>
    <w:rsid w:val="00B96245"/>
    <w:rsid w:val="00BA33C1"/>
    <w:rsid w:val="00BA4944"/>
    <w:rsid w:val="00BC0C45"/>
    <w:rsid w:val="00BC72EF"/>
    <w:rsid w:val="00C077D2"/>
    <w:rsid w:val="00C12301"/>
    <w:rsid w:val="00C31D66"/>
    <w:rsid w:val="00C36029"/>
    <w:rsid w:val="00C46E2A"/>
    <w:rsid w:val="00C52BC1"/>
    <w:rsid w:val="00C5592C"/>
    <w:rsid w:val="00C96AF6"/>
    <w:rsid w:val="00CA30D9"/>
    <w:rsid w:val="00CB6104"/>
    <w:rsid w:val="00CC5372"/>
    <w:rsid w:val="00CE3B7A"/>
    <w:rsid w:val="00CF06F3"/>
    <w:rsid w:val="00CF2493"/>
    <w:rsid w:val="00CF261A"/>
    <w:rsid w:val="00D15035"/>
    <w:rsid w:val="00D20381"/>
    <w:rsid w:val="00D224F3"/>
    <w:rsid w:val="00D24578"/>
    <w:rsid w:val="00D349CD"/>
    <w:rsid w:val="00D40FA1"/>
    <w:rsid w:val="00D45A98"/>
    <w:rsid w:val="00D55B00"/>
    <w:rsid w:val="00D6078C"/>
    <w:rsid w:val="00D64422"/>
    <w:rsid w:val="00D75F17"/>
    <w:rsid w:val="00DA3A03"/>
    <w:rsid w:val="00DA7FC3"/>
    <w:rsid w:val="00E16BEF"/>
    <w:rsid w:val="00E3354B"/>
    <w:rsid w:val="00E40599"/>
    <w:rsid w:val="00E57C2C"/>
    <w:rsid w:val="00E664ED"/>
    <w:rsid w:val="00E674D7"/>
    <w:rsid w:val="00E72F00"/>
    <w:rsid w:val="00EB5D75"/>
    <w:rsid w:val="00ED7136"/>
    <w:rsid w:val="00EE1491"/>
    <w:rsid w:val="00EF3095"/>
    <w:rsid w:val="00F16B5F"/>
    <w:rsid w:val="00F278FE"/>
    <w:rsid w:val="00F40676"/>
    <w:rsid w:val="00F45B8E"/>
    <w:rsid w:val="00F63DB1"/>
    <w:rsid w:val="00F81469"/>
    <w:rsid w:val="00F91F14"/>
    <w:rsid w:val="00FB758D"/>
    <w:rsid w:val="00FC38F8"/>
    <w:rsid w:val="00FF30D3"/>
    <w:rsid w:val="00FF599C"/>
  </w:rsids>
  <m:mathPr>
    <m:mathFont m:val="Cambria Math"/>
    <m:brkBin m:val="before"/>
    <m:brkBinSub m:val="--"/>
    <m:smallFrac m:val="0"/>
    <m:dispDef/>
    <m:lMargin m:val="0"/>
    <m:rMargin m:val="0"/>
    <m:defJc m:val="centerGroup"/>
    <m:wrapIndent m:val="1440"/>
    <m:intLim m:val="subSup"/>
    <m:naryLim m:val="undOvr"/>
  </m:mathPr>
  <w:attachedSchema w:val="urn:schemas-microsoft-com:office:smarttags"/>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1"/>
    <o:shapelayout v:ext="edit">
      <o:idmap v:ext="edit" data="2"/>
    </o:shapelayout>
  </w:shapeDefaults>
  <w:decimalSymbol w:val=","/>
  <w:listSeparator w:val=";"/>
  <w15:docId w15:val="{1106903B-E3BA-4DB0-9454-C3918BFC1A7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0"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spacing w:before="120" w:after="120" w:line="240" w:lineRule="auto"/>
      <w:jc w:val="both"/>
    </w:pPr>
    <w:rPr>
      <w:rFonts w:ascii="Times New Roman" w:hAnsi="Times New Roman" w:cs="Times New Roman"/>
      <w:sz w:val="24"/>
      <w:lang w:val="cs-CZ"/>
    </w:rPr>
  </w:style>
  <w:style w:type="paragraph" w:styleId="Heading1">
    <w:name w:val="heading 1"/>
    <w:basedOn w:val="Normal"/>
    <w:next w:val="Text1"/>
    <w:link w:val="Heading1Char"/>
    <w:uiPriority w:val="9"/>
    <w:qFormat/>
    <w:pPr>
      <w:keepNext/>
      <w:numPr>
        <w:numId w:val="13"/>
      </w:numPr>
      <w:spacing w:before="360"/>
      <w:outlineLvl w:val="0"/>
    </w:pPr>
    <w:rPr>
      <w:rFonts w:eastAsiaTheme="majorEastAsia"/>
      <w:b/>
      <w:bCs/>
      <w:smallCaps/>
      <w:szCs w:val="28"/>
    </w:rPr>
  </w:style>
  <w:style w:type="paragraph" w:styleId="Heading2">
    <w:name w:val="heading 2"/>
    <w:basedOn w:val="Normal"/>
    <w:next w:val="Text1"/>
    <w:link w:val="Heading2Char"/>
    <w:uiPriority w:val="9"/>
    <w:semiHidden/>
    <w:unhideWhenUsed/>
    <w:qFormat/>
    <w:pPr>
      <w:keepNext/>
      <w:numPr>
        <w:ilvl w:val="1"/>
        <w:numId w:val="13"/>
      </w:numPr>
      <w:outlineLvl w:val="1"/>
    </w:pPr>
    <w:rPr>
      <w:rFonts w:eastAsiaTheme="majorEastAsia"/>
      <w:b/>
      <w:bCs/>
      <w:szCs w:val="26"/>
    </w:rPr>
  </w:style>
  <w:style w:type="paragraph" w:styleId="Heading3">
    <w:name w:val="heading 3"/>
    <w:basedOn w:val="Normal"/>
    <w:next w:val="Text1"/>
    <w:link w:val="Heading3Char"/>
    <w:uiPriority w:val="9"/>
    <w:semiHidden/>
    <w:unhideWhenUsed/>
    <w:qFormat/>
    <w:pPr>
      <w:keepNext/>
      <w:numPr>
        <w:ilvl w:val="2"/>
        <w:numId w:val="13"/>
      </w:numPr>
      <w:outlineLvl w:val="2"/>
    </w:pPr>
    <w:rPr>
      <w:rFonts w:eastAsiaTheme="majorEastAsia"/>
      <w:bCs/>
      <w:i/>
    </w:rPr>
  </w:style>
  <w:style w:type="paragraph" w:styleId="Heading4">
    <w:name w:val="heading 4"/>
    <w:basedOn w:val="Normal"/>
    <w:next w:val="Text1"/>
    <w:link w:val="Heading4Char"/>
    <w:uiPriority w:val="9"/>
    <w:semiHidden/>
    <w:unhideWhenUsed/>
    <w:qFormat/>
    <w:pPr>
      <w:keepNext/>
      <w:numPr>
        <w:ilvl w:val="3"/>
        <w:numId w:val="13"/>
      </w:numPr>
      <w:outlineLvl w:val="3"/>
    </w:pPr>
    <w:rPr>
      <w:rFonts w:eastAsiaTheme="majorEastAsia"/>
      <w:bCs/>
      <w:iCs/>
    </w:rPr>
  </w:style>
  <w:style w:type="paragraph" w:styleId="Heading5">
    <w:name w:val="heading 5"/>
    <w:basedOn w:val="Normal"/>
    <w:next w:val="Text2"/>
    <w:link w:val="Heading5Char"/>
    <w:uiPriority w:val="9"/>
    <w:semiHidden/>
    <w:unhideWhenUsed/>
    <w:qFormat/>
    <w:pPr>
      <w:keepNext/>
      <w:numPr>
        <w:ilvl w:val="4"/>
        <w:numId w:val="13"/>
      </w:numPr>
      <w:outlineLvl w:val="4"/>
    </w:pPr>
    <w:rPr>
      <w:rFonts w:eastAsiaTheme="majorEastAsia"/>
    </w:rPr>
  </w:style>
  <w:style w:type="paragraph" w:styleId="Heading6">
    <w:name w:val="heading 6"/>
    <w:basedOn w:val="Normal"/>
    <w:next w:val="Text2"/>
    <w:link w:val="Heading6Char"/>
    <w:uiPriority w:val="9"/>
    <w:semiHidden/>
    <w:unhideWhenUsed/>
    <w:qFormat/>
    <w:pPr>
      <w:keepNext/>
      <w:numPr>
        <w:ilvl w:val="5"/>
        <w:numId w:val="13"/>
      </w:numPr>
      <w:outlineLvl w:val="5"/>
    </w:pPr>
    <w:rPr>
      <w:rFonts w:eastAsiaTheme="majorEastAsia"/>
      <w:iCs/>
    </w:rPr>
  </w:style>
  <w:style w:type="paragraph" w:styleId="Heading7">
    <w:name w:val="heading 7"/>
    <w:basedOn w:val="Normal"/>
    <w:next w:val="Text2"/>
    <w:link w:val="Heading7Char"/>
    <w:uiPriority w:val="9"/>
    <w:semiHidden/>
    <w:unhideWhenUsed/>
    <w:qFormat/>
    <w:pPr>
      <w:keepNext/>
      <w:numPr>
        <w:ilvl w:val="6"/>
        <w:numId w:val="13"/>
      </w:numPr>
      <w:outlineLvl w:val="6"/>
    </w:pPr>
    <w:rPr>
      <w:rFonts w:eastAsiaTheme="majorEastAsia"/>
      <w:iCs/>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Bullet">
    <w:name w:val="List Bullet"/>
    <w:basedOn w:val="Normal"/>
    <w:rsid w:val="004028BC"/>
    <w:pPr>
      <w:numPr>
        <w:numId w:val="1"/>
      </w:numPr>
      <w:tabs>
        <w:tab w:val="clear" w:pos="360"/>
      </w:tabs>
      <w:ind w:left="0" w:firstLine="0"/>
    </w:pPr>
    <w:rPr>
      <w:rFonts w:eastAsia="Times New Roman"/>
      <w:lang w:eastAsia="en-GB"/>
    </w:rPr>
  </w:style>
  <w:style w:type="character" w:customStyle="1" w:styleId="oj-sub">
    <w:name w:val="oj-sub"/>
    <w:basedOn w:val="DefaultParagraphFont"/>
    <w:rsid w:val="004028BC"/>
  </w:style>
  <w:style w:type="paragraph" w:customStyle="1" w:styleId="Normal1">
    <w:name w:val="Normal1"/>
    <w:basedOn w:val="Normal"/>
    <w:rsid w:val="004028BC"/>
    <w:pPr>
      <w:spacing w:before="100" w:beforeAutospacing="1" w:after="100" w:afterAutospacing="1"/>
      <w:jc w:val="left"/>
    </w:pPr>
    <w:rPr>
      <w:rFonts w:eastAsia="Times New Roman"/>
      <w:szCs w:val="24"/>
      <w:lang w:eastAsia="en-IE"/>
    </w:rPr>
  </w:style>
  <w:style w:type="character" w:customStyle="1" w:styleId="tab">
    <w:name w:val="tab"/>
    <w:basedOn w:val="DefaultParagraphFont"/>
    <w:rsid w:val="004028BC"/>
  </w:style>
  <w:style w:type="character" w:styleId="Hyperlink">
    <w:name w:val="Hyperlink"/>
    <w:basedOn w:val="DefaultParagraphFont"/>
    <w:uiPriority w:val="99"/>
    <w:unhideWhenUsed/>
    <w:rsid w:val="00B24987"/>
    <w:rPr>
      <w:color w:val="0000FF" w:themeColor="hyperlink"/>
      <w:u w:val="single"/>
    </w:rPr>
  </w:style>
  <w:style w:type="character" w:styleId="CommentReference">
    <w:name w:val="annotation reference"/>
    <w:basedOn w:val="DefaultParagraphFont"/>
    <w:uiPriority w:val="99"/>
    <w:semiHidden/>
    <w:unhideWhenUsed/>
    <w:rsid w:val="00B24987"/>
    <w:rPr>
      <w:sz w:val="16"/>
      <w:szCs w:val="16"/>
    </w:rPr>
  </w:style>
  <w:style w:type="paragraph" w:styleId="CommentText">
    <w:name w:val="annotation text"/>
    <w:basedOn w:val="Normal"/>
    <w:link w:val="CommentTextChar"/>
    <w:uiPriority w:val="99"/>
    <w:unhideWhenUsed/>
    <w:rPr>
      <w:sz w:val="20"/>
      <w:szCs w:val="20"/>
    </w:rPr>
  </w:style>
  <w:style w:type="character" w:customStyle="1" w:styleId="CommentTextChar">
    <w:name w:val="Comment Text Char"/>
    <w:basedOn w:val="DefaultParagraphFont"/>
    <w:link w:val="CommentText"/>
    <w:uiPriority w:val="99"/>
    <w:rPr>
      <w:rFonts w:ascii="Times New Roman" w:hAnsi="Times New Roman" w:cs="Times New Roman"/>
      <w:sz w:val="20"/>
      <w:szCs w:val="20"/>
      <w:lang w:val="cs-CZ"/>
    </w:rPr>
  </w:style>
  <w:style w:type="paragraph" w:styleId="ListBullet2">
    <w:name w:val="List Bullet 2"/>
    <w:basedOn w:val="Normal"/>
    <w:uiPriority w:val="99"/>
    <w:semiHidden/>
    <w:unhideWhenUsed/>
    <w:rsid w:val="00525A94"/>
    <w:pPr>
      <w:numPr>
        <w:numId w:val="2"/>
      </w:numPr>
      <w:contextualSpacing/>
    </w:pPr>
  </w:style>
  <w:style w:type="paragraph" w:styleId="ListBullet3">
    <w:name w:val="List Bullet 3"/>
    <w:basedOn w:val="Normal"/>
    <w:uiPriority w:val="99"/>
    <w:semiHidden/>
    <w:unhideWhenUsed/>
    <w:rsid w:val="00525A94"/>
    <w:pPr>
      <w:numPr>
        <w:numId w:val="3"/>
      </w:numPr>
      <w:contextualSpacing/>
    </w:pPr>
  </w:style>
  <w:style w:type="paragraph" w:styleId="ListBullet4">
    <w:name w:val="List Bullet 4"/>
    <w:basedOn w:val="Normal"/>
    <w:uiPriority w:val="99"/>
    <w:semiHidden/>
    <w:unhideWhenUsed/>
    <w:rsid w:val="00525A94"/>
    <w:pPr>
      <w:numPr>
        <w:numId w:val="4"/>
      </w:numPr>
      <w:contextualSpacing/>
    </w:pPr>
  </w:style>
  <w:style w:type="paragraph" w:styleId="Revision">
    <w:name w:val="Revision"/>
    <w:hidden/>
    <w:uiPriority w:val="99"/>
    <w:semiHidden/>
    <w:rsid w:val="006B4A31"/>
    <w:pPr>
      <w:spacing w:after="0" w:line="240" w:lineRule="auto"/>
    </w:pPr>
    <w:rPr>
      <w:rFonts w:ascii="Times New Roman" w:hAnsi="Times New Roman" w:cs="Times New Roman"/>
      <w:sz w:val="24"/>
    </w:rPr>
  </w:style>
  <w:style w:type="paragraph" w:styleId="CommentSubject">
    <w:name w:val="annotation subject"/>
    <w:basedOn w:val="CommentText"/>
    <w:next w:val="CommentText"/>
    <w:link w:val="CommentSubjectChar"/>
    <w:uiPriority w:val="99"/>
    <w:semiHidden/>
    <w:unhideWhenUsed/>
    <w:rsid w:val="006B4A31"/>
    <w:rPr>
      <w:b/>
      <w:bCs/>
    </w:rPr>
  </w:style>
  <w:style w:type="character" w:customStyle="1" w:styleId="CommentSubjectChar">
    <w:name w:val="Comment Subject Char"/>
    <w:basedOn w:val="CommentTextChar"/>
    <w:link w:val="CommentSubject"/>
    <w:uiPriority w:val="99"/>
    <w:semiHidden/>
    <w:rsid w:val="006B4A31"/>
    <w:rPr>
      <w:rFonts w:ascii="Times New Roman" w:hAnsi="Times New Roman" w:cs="Times New Roman"/>
      <w:b/>
      <w:bCs/>
      <w:sz w:val="20"/>
      <w:szCs w:val="20"/>
      <w:lang w:val="cs-CZ"/>
    </w:rPr>
  </w:style>
  <w:style w:type="character" w:customStyle="1" w:styleId="UnresolvedMention">
    <w:name w:val="Unresolved Mention"/>
    <w:basedOn w:val="DefaultParagraphFont"/>
    <w:uiPriority w:val="99"/>
    <w:semiHidden/>
    <w:unhideWhenUsed/>
    <w:rsid w:val="00820822"/>
    <w:rPr>
      <w:color w:val="605E5C"/>
      <w:shd w:val="clear" w:color="auto" w:fill="E1DFDD"/>
    </w:rPr>
  </w:style>
  <w:style w:type="character" w:customStyle="1" w:styleId="HeaderChar">
    <w:name w:val="Header Char"/>
    <w:basedOn w:val="DefaultParagraphFont"/>
    <w:link w:val="Header"/>
    <w:uiPriority w:val="99"/>
    <w:rsid w:val="00D224F3"/>
    <w:rPr>
      <w:rFonts w:ascii="Times New Roman" w:hAnsi="Times New Roman" w:cs="Times New Roman"/>
      <w:sz w:val="24"/>
      <w:lang w:val="cs-CZ"/>
    </w:rPr>
  </w:style>
  <w:style w:type="character" w:customStyle="1" w:styleId="FooterChar">
    <w:name w:val="Footer Char"/>
    <w:basedOn w:val="DefaultParagraphFont"/>
    <w:link w:val="Footer"/>
    <w:uiPriority w:val="99"/>
    <w:rsid w:val="00D224F3"/>
    <w:rPr>
      <w:rFonts w:ascii="Times New Roman" w:hAnsi="Times New Roman" w:cs="Times New Roman"/>
      <w:sz w:val="24"/>
      <w:lang w:val="cs-CZ"/>
    </w:rPr>
  </w:style>
  <w:style w:type="paragraph" w:styleId="FootnoteText">
    <w:name w:val="footnote text"/>
    <w:basedOn w:val="Normal"/>
    <w:link w:val="FootnoteTextChar"/>
    <w:uiPriority w:val="99"/>
    <w:semiHidden/>
    <w:unhideWhenUsed/>
    <w:pPr>
      <w:spacing w:before="0" w:after="0"/>
      <w:ind w:left="720" w:hanging="720"/>
    </w:pPr>
    <w:rPr>
      <w:sz w:val="20"/>
      <w:szCs w:val="20"/>
    </w:rPr>
  </w:style>
  <w:style w:type="character" w:customStyle="1" w:styleId="FootnoteTextChar">
    <w:name w:val="Footnote Text Char"/>
    <w:basedOn w:val="DefaultParagraphFont"/>
    <w:link w:val="FootnoteText"/>
    <w:uiPriority w:val="99"/>
    <w:semiHidden/>
    <w:rPr>
      <w:rFonts w:ascii="Times New Roman" w:hAnsi="Times New Roman" w:cs="Times New Roman"/>
      <w:sz w:val="20"/>
      <w:szCs w:val="20"/>
      <w:shd w:val="clear" w:color="auto" w:fill="auto"/>
      <w:lang w:val="en-GB"/>
    </w:rPr>
  </w:style>
  <w:style w:type="character" w:customStyle="1" w:styleId="Heading1Char">
    <w:name w:val="Heading 1 Char"/>
    <w:basedOn w:val="DefaultParagraphFont"/>
    <w:link w:val="Heading1"/>
    <w:uiPriority w:val="9"/>
    <w:rPr>
      <w:rFonts w:ascii="Times New Roman" w:eastAsiaTheme="majorEastAsia" w:hAnsi="Times New Roman" w:cs="Times New Roman"/>
      <w:b/>
      <w:bCs/>
      <w:smallCaps/>
      <w:sz w:val="24"/>
      <w:szCs w:val="28"/>
      <w:lang w:val="cs-CZ"/>
    </w:rPr>
  </w:style>
  <w:style w:type="character" w:customStyle="1" w:styleId="Heading2Char">
    <w:name w:val="Heading 2 Char"/>
    <w:basedOn w:val="DefaultParagraphFont"/>
    <w:link w:val="Heading2"/>
    <w:uiPriority w:val="9"/>
    <w:semiHidden/>
    <w:rPr>
      <w:rFonts w:ascii="Times New Roman" w:eastAsiaTheme="majorEastAsia" w:hAnsi="Times New Roman" w:cs="Times New Roman"/>
      <w:b/>
      <w:bCs/>
      <w:sz w:val="24"/>
      <w:szCs w:val="26"/>
      <w:lang w:val="cs-CZ"/>
    </w:rPr>
  </w:style>
  <w:style w:type="character" w:customStyle="1" w:styleId="Heading3Char">
    <w:name w:val="Heading 3 Char"/>
    <w:basedOn w:val="DefaultParagraphFont"/>
    <w:link w:val="Heading3"/>
    <w:uiPriority w:val="9"/>
    <w:semiHidden/>
    <w:rPr>
      <w:rFonts w:ascii="Times New Roman" w:eastAsiaTheme="majorEastAsia" w:hAnsi="Times New Roman" w:cs="Times New Roman"/>
      <w:bCs/>
      <w:i/>
      <w:sz w:val="24"/>
      <w:lang w:val="cs-CZ"/>
    </w:rPr>
  </w:style>
  <w:style w:type="character" w:customStyle="1" w:styleId="Heading4Char">
    <w:name w:val="Heading 4 Char"/>
    <w:basedOn w:val="DefaultParagraphFont"/>
    <w:link w:val="Heading4"/>
    <w:uiPriority w:val="9"/>
    <w:semiHidden/>
    <w:rPr>
      <w:rFonts w:ascii="Times New Roman" w:eastAsiaTheme="majorEastAsia" w:hAnsi="Times New Roman" w:cs="Times New Roman"/>
      <w:bCs/>
      <w:iCs/>
      <w:sz w:val="24"/>
      <w:lang w:val="cs-CZ"/>
    </w:rPr>
  </w:style>
  <w:style w:type="character" w:customStyle="1" w:styleId="Heading5Char">
    <w:name w:val="Heading 5 Char"/>
    <w:basedOn w:val="DefaultParagraphFont"/>
    <w:link w:val="Heading5"/>
    <w:uiPriority w:val="9"/>
    <w:semiHidden/>
    <w:rPr>
      <w:rFonts w:ascii="Times New Roman" w:eastAsiaTheme="majorEastAsia" w:hAnsi="Times New Roman" w:cs="Times New Roman"/>
      <w:sz w:val="24"/>
      <w:lang w:val="cs-CZ"/>
    </w:rPr>
  </w:style>
  <w:style w:type="character" w:customStyle="1" w:styleId="Heading6Char">
    <w:name w:val="Heading 6 Char"/>
    <w:basedOn w:val="DefaultParagraphFont"/>
    <w:link w:val="Heading6"/>
    <w:uiPriority w:val="9"/>
    <w:semiHidden/>
    <w:rPr>
      <w:rFonts w:ascii="Times New Roman" w:eastAsiaTheme="majorEastAsia" w:hAnsi="Times New Roman" w:cs="Times New Roman"/>
      <w:iCs/>
      <w:sz w:val="24"/>
      <w:lang w:val="cs-CZ"/>
    </w:rPr>
  </w:style>
  <w:style w:type="character" w:customStyle="1" w:styleId="Heading7Char">
    <w:name w:val="Heading 7 Char"/>
    <w:basedOn w:val="DefaultParagraphFont"/>
    <w:link w:val="Heading7"/>
    <w:uiPriority w:val="9"/>
    <w:semiHidden/>
    <w:rPr>
      <w:rFonts w:ascii="Times New Roman" w:eastAsiaTheme="majorEastAsia" w:hAnsi="Times New Roman" w:cs="Times New Roman"/>
      <w:iCs/>
      <w:sz w:val="24"/>
      <w:lang w:val="cs-CZ"/>
    </w:rPr>
  </w:style>
  <w:style w:type="paragraph" w:styleId="TOCHeading">
    <w:name w:val="TOC Heading"/>
    <w:basedOn w:val="Normal"/>
    <w:next w:val="Normal"/>
    <w:uiPriority w:val="39"/>
    <w:semiHidden/>
    <w:unhideWhenUsed/>
    <w:qFormat/>
    <w:pPr>
      <w:spacing w:after="240"/>
      <w:jc w:val="center"/>
    </w:pPr>
    <w:rPr>
      <w:b/>
      <w:sz w:val="28"/>
    </w:rPr>
  </w:style>
  <w:style w:type="paragraph" w:styleId="TOC1">
    <w:name w:val="toc 1"/>
    <w:basedOn w:val="Normal"/>
    <w:next w:val="Normal"/>
    <w:uiPriority w:val="39"/>
    <w:semiHidden/>
    <w:unhideWhenUsed/>
    <w:pPr>
      <w:tabs>
        <w:tab w:val="right" w:leader="dot" w:pos="9071"/>
      </w:tabs>
      <w:spacing w:before="60"/>
      <w:ind w:left="850" w:hanging="850"/>
      <w:jc w:val="left"/>
    </w:pPr>
  </w:style>
  <w:style w:type="paragraph" w:styleId="TOC2">
    <w:name w:val="toc 2"/>
    <w:basedOn w:val="Normal"/>
    <w:next w:val="Normal"/>
    <w:uiPriority w:val="39"/>
    <w:semiHidden/>
    <w:unhideWhenUsed/>
    <w:pPr>
      <w:tabs>
        <w:tab w:val="right" w:leader="dot" w:pos="9071"/>
      </w:tabs>
      <w:spacing w:before="60"/>
      <w:ind w:left="850" w:hanging="850"/>
      <w:jc w:val="left"/>
    </w:pPr>
  </w:style>
  <w:style w:type="paragraph" w:styleId="TOC3">
    <w:name w:val="toc 3"/>
    <w:basedOn w:val="Normal"/>
    <w:next w:val="Normal"/>
    <w:uiPriority w:val="39"/>
    <w:semiHidden/>
    <w:unhideWhenUsed/>
    <w:pPr>
      <w:tabs>
        <w:tab w:val="right" w:leader="dot" w:pos="9071"/>
      </w:tabs>
      <w:spacing w:before="60"/>
      <w:ind w:left="850" w:hanging="850"/>
      <w:jc w:val="left"/>
    </w:pPr>
  </w:style>
  <w:style w:type="paragraph" w:styleId="TOC4">
    <w:name w:val="toc 4"/>
    <w:basedOn w:val="Normal"/>
    <w:next w:val="Normal"/>
    <w:uiPriority w:val="39"/>
    <w:semiHidden/>
    <w:unhideWhenUsed/>
    <w:pPr>
      <w:tabs>
        <w:tab w:val="right" w:leader="dot" w:pos="9071"/>
      </w:tabs>
      <w:spacing w:before="60"/>
      <w:ind w:left="850" w:hanging="850"/>
      <w:jc w:val="left"/>
    </w:pPr>
  </w:style>
  <w:style w:type="paragraph" w:styleId="TOC5">
    <w:name w:val="toc 5"/>
    <w:basedOn w:val="Normal"/>
    <w:next w:val="Normal"/>
    <w:uiPriority w:val="39"/>
    <w:semiHidden/>
    <w:unhideWhenUsed/>
    <w:pPr>
      <w:tabs>
        <w:tab w:val="right" w:leader="dot" w:pos="9071"/>
      </w:tabs>
      <w:spacing w:before="300"/>
      <w:jc w:val="left"/>
    </w:pPr>
  </w:style>
  <w:style w:type="paragraph" w:styleId="TOC6">
    <w:name w:val="toc 6"/>
    <w:basedOn w:val="Normal"/>
    <w:next w:val="Normal"/>
    <w:uiPriority w:val="39"/>
    <w:semiHidden/>
    <w:unhideWhenUsed/>
    <w:pPr>
      <w:tabs>
        <w:tab w:val="right" w:leader="dot" w:pos="9071"/>
      </w:tabs>
      <w:spacing w:before="240"/>
      <w:jc w:val="left"/>
    </w:pPr>
  </w:style>
  <w:style w:type="paragraph" w:styleId="TOC7">
    <w:name w:val="toc 7"/>
    <w:basedOn w:val="Normal"/>
    <w:next w:val="Normal"/>
    <w:uiPriority w:val="39"/>
    <w:semiHidden/>
    <w:unhideWhenUsed/>
    <w:pPr>
      <w:tabs>
        <w:tab w:val="right" w:leader="dot" w:pos="9071"/>
      </w:tabs>
      <w:spacing w:before="180"/>
      <w:jc w:val="left"/>
    </w:pPr>
  </w:style>
  <w:style w:type="paragraph" w:styleId="TOC8">
    <w:name w:val="toc 8"/>
    <w:basedOn w:val="Normal"/>
    <w:next w:val="Normal"/>
    <w:uiPriority w:val="39"/>
    <w:semiHidden/>
    <w:unhideWhenUsed/>
    <w:pPr>
      <w:tabs>
        <w:tab w:val="right" w:leader="dot" w:pos="9071"/>
      </w:tabs>
      <w:jc w:val="left"/>
    </w:pPr>
  </w:style>
  <w:style w:type="paragraph" w:styleId="TOC9">
    <w:name w:val="toc 9"/>
    <w:basedOn w:val="Normal"/>
    <w:next w:val="Normal"/>
    <w:uiPriority w:val="39"/>
    <w:semiHidden/>
    <w:unhideWhenUsed/>
    <w:pPr>
      <w:tabs>
        <w:tab w:val="right" w:leader="dot" w:pos="9071"/>
      </w:tabs>
      <w:ind w:left="1417" w:hanging="1417"/>
      <w:jc w:val="left"/>
    </w:pPr>
  </w:style>
  <w:style w:type="character" w:styleId="FootnoteReference">
    <w:name w:val="footnote reference"/>
    <w:basedOn w:val="DefaultParagraphFont"/>
    <w:uiPriority w:val="99"/>
    <w:semiHidden/>
    <w:unhideWhenUsed/>
    <w:rPr>
      <w:shd w:val="clear" w:color="auto" w:fill="auto"/>
      <w:vertAlign w:val="superscript"/>
    </w:rPr>
  </w:style>
  <w:style w:type="paragraph" w:customStyle="1" w:styleId="HeaderSensitivity">
    <w:name w:val="Header Sensitivity"/>
    <w:basedOn w:val="Normal"/>
    <w:rsid w:val="00D224F3"/>
    <w:pPr>
      <w:pBdr>
        <w:top w:val="single" w:sz="4" w:space="1" w:color="auto"/>
        <w:left w:val="single" w:sz="4" w:space="4" w:color="auto"/>
        <w:bottom w:val="single" w:sz="4" w:space="1" w:color="auto"/>
        <w:right w:val="single" w:sz="4" w:space="4" w:color="auto"/>
      </w:pBdr>
      <w:spacing w:before="0"/>
      <w:ind w:left="113" w:right="113"/>
      <w:jc w:val="center"/>
    </w:pPr>
    <w:rPr>
      <w:b/>
      <w:sz w:val="32"/>
    </w:rPr>
  </w:style>
  <w:style w:type="paragraph" w:customStyle="1" w:styleId="HeaderSensitivityRight">
    <w:name w:val="Header Sensitivity Right"/>
    <w:basedOn w:val="Normal"/>
    <w:rsid w:val="00D224F3"/>
    <w:pPr>
      <w:spacing w:before="0"/>
      <w:jc w:val="right"/>
    </w:pPr>
    <w:rPr>
      <w:sz w:val="28"/>
    </w:rPr>
  </w:style>
  <w:style w:type="paragraph" w:customStyle="1" w:styleId="FooterSensitivity">
    <w:name w:val="Footer Sensitivity"/>
    <w:basedOn w:val="Normal"/>
    <w:rsid w:val="00D224F3"/>
    <w:pPr>
      <w:pBdr>
        <w:top w:val="single" w:sz="4" w:space="1" w:color="auto"/>
        <w:left w:val="single" w:sz="4" w:space="4" w:color="auto"/>
        <w:bottom w:val="single" w:sz="4" w:space="1" w:color="auto"/>
        <w:right w:val="single" w:sz="4" w:space="4" w:color="auto"/>
      </w:pBdr>
      <w:spacing w:before="360" w:after="0"/>
      <w:ind w:left="113" w:right="113"/>
      <w:jc w:val="center"/>
    </w:pPr>
    <w:rPr>
      <w:b/>
      <w:sz w:val="32"/>
    </w:rPr>
  </w:style>
  <w:style w:type="paragraph" w:customStyle="1" w:styleId="Text1">
    <w:name w:val="Text 1"/>
    <w:basedOn w:val="Normal"/>
    <w:pPr>
      <w:ind w:left="850"/>
    </w:pPr>
  </w:style>
  <w:style w:type="paragraph" w:customStyle="1" w:styleId="Text2">
    <w:name w:val="Text 2"/>
    <w:basedOn w:val="Normal"/>
    <w:pPr>
      <w:ind w:left="1417"/>
    </w:pPr>
  </w:style>
  <w:style w:type="paragraph" w:customStyle="1" w:styleId="Text3">
    <w:name w:val="Text 3"/>
    <w:basedOn w:val="Normal"/>
    <w:pPr>
      <w:ind w:left="1984"/>
    </w:pPr>
  </w:style>
  <w:style w:type="paragraph" w:customStyle="1" w:styleId="Text4">
    <w:name w:val="Text 4"/>
    <w:basedOn w:val="Normal"/>
    <w:pPr>
      <w:ind w:left="2551"/>
    </w:pPr>
  </w:style>
  <w:style w:type="paragraph" w:customStyle="1" w:styleId="Text5">
    <w:name w:val="Text 5"/>
    <w:basedOn w:val="Normal"/>
    <w:pPr>
      <w:ind w:left="3118"/>
    </w:pPr>
  </w:style>
  <w:style w:type="paragraph" w:customStyle="1" w:styleId="Text6">
    <w:name w:val="Text 6"/>
    <w:basedOn w:val="Normal"/>
    <w:pPr>
      <w:ind w:left="3685"/>
    </w:pPr>
  </w:style>
  <w:style w:type="paragraph" w:customStyle="1" w:styleId="NormalCentered">
    <w:name w:val="Normal Centered"/>
    <w:basedOn w:val="Normal"/>
    <w:pPr>
      <w:jc w:val="center"/>
    </w:pPr>
  </w:style>
  <w:style w:type="paragraph" w:customStyle="1" w:styleId="NormalLeft">
    <w:name w:val="Normal Left"/>
    <w:basedOn w:val="Normal"/>
    <w:pPr>
      <w:jc w:val="left"/>
    </w:pPr>
  </w:style>
  <w:style w:type="paragraph" w:customStyle="1" w:styleId="NormalRight">
    <w:name w:val="Normal Right"/>
    <w:basedOn w:val="Normal"/>
    <w:pPr>
      <w:jc w:val="right"/>
    </w:pPr>
  </w:style>
  <w:style w:type="paragraph" w:customStyle="1" w:styleId="QuotedText">
    <w:name w:val="Quoted Text"/>
    <w:basedOn w:val="Normal"/>
    <w:pPr>
      <w:ind w:left="1417"/>
    </w:pPr>
  </w:style>
  <w:style w:type="paragraph" w:customStyle="1" w:styleId="Point0">
    <w:name w:val="Point 0"/>
    <w:basedOn w:val="Normal"/>
    <w:pPr>
      <w:ind w:left="850" w:hanging="850"/>
    </w:pPr>
  </w:style>
  <w:style w:type="paragraph" w:customStyle="1" w:styleId="Point1">
    <w:name w:val="Point 1"/>
    <w:basedOn w:val="Normal"/>
    <w:pPr>
      <w:ind w:left="1417" w:hanging="567"/>
    </w:pPr>
  </w:style>
  <w:style w:type="paragraph" w:customStyle="1" w:styleId="Point2">
    <w:name w:val="Point 2"/>
    <w:basedOn w:val="Normal"/>
    <w:pPr>
      <w:ind w:left="1984" w:hanging="567"/>
    </w:pPr>
  </w:style>
  <w:style w:type="paragraph" w:customStyle="1" w:styleId="Point3">
    <w:name w:val="Point 3"/>
    <w:basedOn w:val="Normal"/>
    <w:pPr>
      <w:ind w:left="2551" w:hanging="567"/>
    </w:pPr>
  </w:style>
  <w:style w:type="paragraph" w:customStyle="1" w:styleId="Point4">
    <w:name w:val="Point 4"/>
    <w:basedOn w:val="Normal"/>
    <w:pPr>
      <w:ind w:left="3118" w:hanging="567"/>
    </w:pPr>
  </w:style>
  <w:style w:type="paragraph" w:customStyle="1" w:styleId="Point5">
    <w:name w:val="Point 5"/>
    <w:basedOn w:val="Normal"/>
    <w:pPr>
      <w:ind w:left="3685" w:hanging="567"/>
    </w:pPr>
  </w:style>
  <w:style w:type="paragraph" w:customStyle="1" w:styleId="Tiret0">
    <w:name w:val="Tiret 0"/>
    <w:basedOn w:val="Point0"/>
    <w:pPr>
      <w:numPr>
        <w:numId w:val="6"/>
      </w:numPr>
    </w:pPr>
  </w:style>
  <w:style w:type="paragraph" w:customStyle="1" w:styleId="Tiret1">
    <w:name w:val="Tiret 1"/>
    <w:basedOn w:val="Point1"/>
    <w:pPr>
      <w:numPr>
        <w:numId w:val="7"/>
      </w:numPr>
    </w:pPr>
  </w:style>
  <w:style w:type="paragraph" w:customStyle="1" w:styleId="Tiret2">
    <w:name w:val="Tiret 2"/>
    <w:basedOn w:val="Point2"/>
    <w:pPr>
      <w:numPr>
        <w:numId w:val="8"/>
      </w:numPr>
    </w:pPr>
  </w:style>
  <w:style w:type="paragraph" w:customStyle="1" w:styleId="Tiret3">
    <w:name w:val="Tiret 3"/>
    <w:basedOn w:val="Point3"/>
    <w:pPr>
      <w:numPr>
        <w:numId w:val="9"/>
      </w:numPr>
    </w:pPr>
  </w:style>
  <w:style w:type="paragraph" w:customStyle="1" w:styleId="Tiret4">
    <w:name w:val="Tiret 4"/>
    <w:basedOn w:val="Point4"/>
    <w:pPr>
      <w:numPr>
        <w:numId w:val="10"/>
      </w:numPr>
    </w:pPr>
  </w:style>
  <w:style w:type="paragraph" w:customStyle="1" w:styleId="Tiret5">
    <w:name w:val="Tiret 5"/>
    <w:basedOn w:val="Point5"/>
    <w:pPr>
      <w:numPr>
        <w:numId w:val="11"/>
      </w:numPr>
    </w:pPr>
  </w:style>
  <w:style w:type="paragraph" w:customStyle="1" w:styleId="PointDouble0">
    <w:name w:val="PointDouble 0"/>
    <w:basedOn w:val="Normal"/>
    <w:pPr>
      <w:tabs>
        <w:tab w:val="left" w:pos="850"/>
      </w:tabs>
      <w:ind w:left="1417" w:hanging="1417"/>
    </w:pPr>
  </w:style>
  <w:style w:type="paragraph" w:customStyle="1" w:styleId="PointDouble1">
    <w:name w:val="PointDouble 1"/>
    <w:basedOn w:val="Normal"/>
    <w:pPr>
      <w:tabs>
        <w:tab w:val="left" w:pos="1417"/>
      </w:tabs>
      <w:ind w:left="1984" w:hanging="1134"/>
    </w:pPr>
  </w:style>
  <w:style w:type="paragraph" w:customStyle="1" w:styleId="PointDouble2">
    <w:name w:val="PointDouble 2"/>
    <w:basedOn w:val="Normal"/>
    <w:pPr>
      <w:tabs>
        <w:tab w:val="left" w:pos="1984"/>
      </w:tabs>
      <w:ind w:left="2551" w:hanging="1134"/>
    </w:pPr>
  </w:style>
  <w:style w:type="paragraph" w:customStyle="1" w:styleId="PointDouble3">
    <w:name w:val="PointDouble 3"/>
    <w:basedOn w:val="Normal"/>
    <w:pPr>
      <w:tabs>
        <w:tab w:val="left" w:pos="2551"/>
      </w:tabs>
      <w:ind w:left="3118" w:hanging="1134"/>
    </w:pPr>
  </w:style>
  <w:style w:type="paragraph" w:customStyle="1" w:styleId="PointDouble4">
    <w:name w:val="PointDouble 4"/>
    <w:basedOn w:val="Normal"/>
    <w:pPr>
      <w:tabs>
        <w:tab w:val="left" w:pos="3118"/>
      </w:tabs>
      <w:ind w:left="3685" w:hanging="1134"/>
    </w:pPr>
  </w:style>
  <w:style w:type="paragraph" w:customStyle="1" w:styleId="PointTriple0">
    <w:name w:val="PointTriple 0"/>
    <w:basedOn w:val="Normal"/>
    <w:pPr>
      <w:tabs>
        <w:tab w:val="left" w:pos="850"/>
        <w:tab w:val="left" w:pos="1417"/>
      </w:tabs>
      <w:ind w:left="1984" w:hanging="1984"/>
    </w:pPr>
  </w:style>
  <w:style w:type="paragraph" w:customStyle="1" w:styleId="PointTriple1">
    <w:name w:val="PointTriple 1"/>
    <w:basedOn w:val="Normal"/>
    <w:pPr>
      <w:tabs>
        <w:tab w:val="left" w:pos="1417"/>
        <w:tab w:val="left" w:pos="1984"/>
      </w:tabs>
      <w:ind w:left="2551" w:hanging="1701"/>
    </w:pPr>
  </w:style>
  <w:style w:type="paragraph" w:customStyle="1" w:styleId="PointTriple2">
    <w:name w:val="PointTriple 2"/>
    <w:basedOn w:val="Normal"/>
    <w:pPr>
      <w:tabs>
        <w:tab w:val="left" w:pos="1984"/>
        <w:tab w:val="left" w:pos="2551"/>
      </w:tabs>
      <w:ind w:left="3118" w:hanging="1701"/>
    </w:pPr>
  </w:style>
  <w:style w:type="paragraph" w:customStyle="1" w:styleId="PointTriple3">
    <w:name w:val="PointTriple 3"/>
    <w:basedOn w:val="Normal"/>
    <w:pPr>
      <w:tabs>
        <w:tab w:val="left" w:pos="2551"/>
        <w:tab w:val="left" w:pos="3118"/>
      </w:tabs>
      <w:ind w:left="3685" w:hanging="1701"/>
    </w:pPr>
  </w:style>
  <w:style w:type="paragraph" w:customStyle="1" w:styleId="PointTriple4">
    <w:name w:val="PointTriple 4"/>
    <w:basedOn w:val="Normal"/>
    <w:pPr>
      <w:tabs>
        <w:tab w:val="left" w:pos="3118"/>
        <w:tab w:val="left" w:pos="3685"/>
      </w:tabs>
      <w:ind w:left="4252" w:hanging="1701"/>
    </w:pPr>
  </w:style>
  <w:style w:type="paragraph" w:customStyle="1" w:styleId="NumPar1">
    <w:name w:val="NumPar 1"/>
    <w:basedOn w:val="Normal"/>
    <w:next w:val="Text1"/>
    <w:pPr>
      <w:numPr>
        <w:numId w:val="12"/>
      </w:numPr>
    </w:pPr>
  </w:style>
  <w:style w:type="paragraph" w:customStyle="1" w:styleId="NumPar2">
    <w:name w:val="NumPar 2"/>
    <w:basedOn w:val="Normal"/>
    <w:next w:val="Text1"/>
    <w:pPr>
      <w:numPr>
        <w:ilvl w:val="1"/>
        <w:numId w:val="12"/>
      </w:numPr>
    </w:pPr>
  </w:style>
  <w:style w:type="paragraph" w:customStyle="1" w:styleId="NumPar3">
    <w:name w:val="NumPar 3"/>
    <w:basedOn w:val="Normal"/>
    <w:next w:val="Text1"/>
    <w:pPr>
      <w:numPr>
        <w:ilvl w:val="2"/>
        <w:numId w:val="12"/>
      </w:numPr>
    </w:pPr>
  </w:style>
  <w:style w:type="paragraph" w:customStyle="1" w:styleId="NumPar4">
    <w:name w:val="NumPar 4"/>
    <w:basedOn w:val="Normal"/>
    <w:next w:val="Text1"/>
    <w:pPr>
      <w:numPr>
        <w:ilvl w:val="3"/>
        <w:numId w:val="12"/>
      </w:numPr>
    </w:pPr>
  </w:style>
  <w:style w:type="paragraph" w:customStyle="1" w:styleId="NumPar5">
    <w:name w:val="NumPar 5"/>
    <w:basedOn w:val="Normal"/>
    <w:next w:val="Text2"/>
    <w:pPr>
      <w:numPr>
        <w:ilvl w:val="4"/>
        <w:numId w:val="12"/>
      </w:numPr>
    </w:pPr>
  </w:style>
  <w:style w:type="paragraph" w:customStyle="1" w:styleId="NumPar6">
    <w:name w:val="NumPar 6"/>
    <w:basedOn w:val="Normal"/>
    <w:next w:val="Text2"/>
    <w:pPr>
      <w:numPr>
        <w:ilvl w:val="5"/>
        <w:numId w:val="12"/>
      </w:numPr>
    </w:pPr>
  </w:style>
  <w:style w:type="paragraph" w:customStyle="1" w:styleId="NumPar7">
    <w:name w:val="NumPar 7"/>
    <w:basedOn w:val="Normal"/>
    <w:next w:val="Text2"/>
    <w:pPr>
      <w:numPr>
        <w:ilvl w:val="6"/>
        <w:numId w:val="12"/>
      </w:numPr>
    </w:pPr>
  </w:style>
  <w:style w:type="paragraph" w:customStyle="1" w:styleId="ManualNumPar1">
    <w:name w:val="Manual NumPar 1"/>
    <w:basedOn w:val="Normal"/>
    <w:next w:val="Text1"/>
    <w:pPr>
      <w:ind w:left="850" w:hanging="850"/>
    </w:pPr>
  </w:style>
  <w:style w:type="paragraph" w:customStyle="1" w:styleId="ManualNumPar2">
    <w:name w:val="Manual NumPar 2"/>
    <w:basedOn w:val="Normal"/>
    <w:next w:val="Text1"/>
    <w:pPr>
      <w:ind w:left="850" w:hanging="850"/>
    </w:pPr>
  </w:style>
  <w:style w:type="paragraph" w:customStyle="1" w:styleId="ManualNumPar3">
    <w:name w:val="Manual NumPar 3"/>
    <w:basedOn w:val="Normal"/>
    <w:next w:val="Text1"/>
    <w:pPr>
      <w:ind w:left="850" w:hanging="850"/>
    </w:pPr>
  </w:style>
  <w:style w:type="paragraph" w:customStyle="1" w:styleId="ManualNumPar4">
    <w:name w:val="Manual NumPar 4"/>
    <w:basedOn w:val="Normal"/>
    <w:next w:val="Text1"/>
    <w:pPr>
      <w:ind w:left="850" w:hanging="850"/>
    </w:pPr>
  </w:style>
  <w:style w:type="paragraph" w:customStyle="1" w:styleId="ManualNumPar5">
    <w:name w:val="Manual NumPar 5"/>
    <w:basedOn w:val="Normal"/>
    <w:next w:val="Text2"/>
    <w:pPr>
      <w:ind w:left="1417" w:hanging="1417"/>
    </w:pPr>
  </w:style>
  <w:style w:type="paragraph" w:customStyle="1" w:styleId="ManualNumPar6">
    <w:name w:val="Manual NumPar 6"/>
    <w:basedOn w:val="Normal"/>
    <w:next w:val="Text2"/>
    <w:pPr>
      <w:ind w:left="1417" w:hanging="1417"/>
    </w:pPr>
  </w:style>
  <w:style w:type="paragraph" w:customStyle="1" w:styleId="ManualNumPar7">
    <w:name w:val="Manual NumPar 7"/>
    <w:basedOn w:val="Normal"/>
    <w:next w:val="Text2"/>
    <w:pPr>
      <w:ind w:left="1417" w:hanging="1417"/>
    </w:pPr>
  </w:style>
  <w:style w:type="paragraph" w:customStyle="1" w:styleId="QuotedNumPar">
    <w:name w:val="Quoted NumPar"/>
    <w:basedOn w:val="Normal"/>
    <w:pPr>
      <w:ind w:left="1417" w:hanging="567"/>
    </w:pPr>
  </w:style>
  <w:style w:type="paragraph" w:customStyle="1" w:styleId="ManualHeading1">
    <w:name w:val="Manual Heading 1"/>
    <w:basedOn w:val="Normal"/>
    <w:next w:val="Text1"/>
    <w:pPr>
      <w:keepNext/>
      <w:tabs>
        <w:tab w:val="left" w:pos="850"/>
      </w:tabs>
      <w:spacing w:before="360"/>
      <w:ind w:left="850" w:hanging="850"/>
      <w:outlineLvl w:val="0"/>
    </w:pPr>
    <w:rPr>
      <w:b/>
      <w:smallCaps/>
    </w:rPr>
  </w:style>
  <w:style w:type="paragraph" w:customStyle="1" w:styleId="ManualHeading2">
    <w:name w:val="Manual Heading 2"/>
    <w:basedOn w:val="Normal"/>
    <w:next w:val="Text1"/>
    <w:pPr>
      <w:keepNext/>
      <w:tabs>
        <w:tab w:val="left" w:pos="850"/>
      </w:tabs>
      <w:ind w:left="850" w:hanging="850"/>
      <w:outlineLvl w:val="1"/>
    </w:pPr>
    <w:rPr>
      <w:b/>
    </w:rPr>
  </w:style>
  <w:style w:type="paragraph" w:customStyle="1" w:styleId="ManualHeading3">
    <w:name w:val="Manual Heading 3"/>
    <w:basedOn w:val="Normal"/>
    <w:next w:val="Text1"/>
    <w:pPr>
      <w:keepNext/>
      <w:tabs>
        <w:tab w:val="left" w:pos="850"/>
      </w:tabs>
      <w:ind w:left="850" w:hanging="850"/>
      <w:outlineLvl w:val="2"/>
    </w:pPr>
    <w:rPr>
      <w:i/>
    </w:rPr>
  </w:style>
  <w:style w:type="paragraph" w:customStyle="1" w:styleId="ManualHeading4">
    <w:name w:val="Manual Heading 4"/>
    <w:basedOn w:val="Normal"/>
    <w:next w:val="Text1"/>
    <w:pPr>
      <w:keepNext/>
      <w:tabs>
        <w:tab w:val="left" w:pos="850"/>
      </w:tabs>
      <w:ind w:left="850" w:hanging="850"/>
      <w:outlineLvl w:val="3"/>
    </w:pPr>
  </w:style>
  <w:style w:type="paragraph" w:customStyle="1" w:styleId="ManualHeading5">
    <w:name w:val="Manual Heading 5"/>
    <w:basedOn w:val="Normal"/>
    <w:next w:val="Text2"/>
    <w:pPr>
      <w:keepNext/>
      <w:tabs>
        <w:tab w:val="left" w:pos="1417"/>
      </w:tabs>
      <w:ind w:left="1417" w:hanging="1417"/>
      <w:outlineLvl w:val="4"/>
    </w:pPr>
  </w:style>
  <w:style w:type="paragraph" w:customStyle="1" w:styleId="ManualHeading6">
    <w:name w:val="Manual Heading 6"/>
    <w:basedOn w:val="Normal"/>
    <w:next w:val="Text2"/>
    <w:pPr>
      <w:keepNext/>
      <w:tabs>
        <w:tab w:val="left" w:pos="1417"/>
      </w:tabs>
      <w:ind w:left="1417" w:hanging="1417"/>
      <w:outlineLvl w:val="5"/>
    </w:pPr>
  </w:style>
  <w:style w:type="paragraph" w:customStyle="1" w:styleId="ManualHeading7">
    <w:name w:val="Manual Heading 7"/>
    <w:basedOn w:val="Normal"/>
    <w:next w:val="Text2"/>
    <w:pPr>
      <w:keepNext/>
      <w:tabs>
        <w:tab w:val="left" w:pos="1417"/>
      </w:tabs>
      <w:ind w:left="1417" w:hanging="1417"/>
      <w:outlineLvl w:val="6"/>
    </w:pPr>
  </w:style>
  <w:style w:type="paragraph" w:customStyle="1" w:styleId="ChapterTitle">
    <w:name w:val="ChapterTitle"/>
    <w:basedOn w:val="Normal"/>
    <w:next w:val="Normal"/>
    <w:pPr>
      <w:keepNext/>
      <w:spacing w:after="360"/>
      <w:jc w:val="center"/>
    </w:pPr>
    <w:rPr>
      <w:b/>
      <w:sz w:val="32"/>
    </w:rPr>
  </w:style>
  <w:style w:type="paragraph" w:customStyle="1" w:styleId="PartTitle">
    <w:name w:val="PartTitle"/>
    <w:basedOn w:val="Normal"/>
    <w:next w:val="ChapterTitle"/>
    <w:pPr>
      <w:keepNext/>
      <w:pageBreakBefore/>
      <w:spacing w:after="360"/>
      <w:jc w:val="center"/>
    </w:pPr>
    <w:rPr>
      <w:b/>
      <w:sz w:val="36"/>
    </w:rPr>
  </w:style>
  <w:style w:type="paragraph" w:customStyle="1" w:styleId="SectionTitle">
    <w:name w:val="SectionTitle"/>
    <w:basedOn w:val="Normal"/>
    <w:next w:val="Heading1"/>
    <w:pPr>
      <w:keepNext/>
      <w:spacing w:after="360"/>
      <w:jc w:val="center"/>
    </w:pPr>
    <w:rPr>
      <w:b/>
      <w:smallCaps/>
      <w:sz w:val="28"/>
    </w:rPr>
  </w:style>
  <w:style w:type="paragraph" w:customStyle="1" w:styleId="TableTitle">
    <w:name w:val="Table Title"/>
    <w:basedOn w:val="Normal"/>
    <w:next w:val="Normal"/>
    <w:pPr>
      <w:jc w:val="center"/>
    </w:pPr>
    <w:rPr>
      <w:b/>
    </w:rPr>
  </w:style>
  <w:style w:type="character" w:customStyle="1" w:styleId="Marker">
    <w:name w:val="Marker"/>
    <w:basedOn w:val="DefaultParagraphFont"/>
    <w:rPr>
      <w:color w:val="0000FF"/>
      <w:shd w:val="clear" w:color="auto" w:fill="auto"/>
    </w:rPr>
  </w:style>
  <w:style w:type="character" w:customStyle="1" w:styleId="Marker1">
    <w:name w:val="Marker1"/>
    <w:basedOn w:val="DefaultParagraphFont"/>
    <w:rPr>
      <w:color w:val="008000"/>
      <w:shd w:val="clear" w:color="auto" w:fill="auto"/>
    </w:rPr>
  </w:style>
  <w:style w:type="character" w:customStyle="1" w:styleId="Marker2">
    <w:name w:val="Marker2"/>
    <w:basedOn w:val="DefaultParagraphFont"/>
    <w:rPr>
      <w:color w:val="FF0000"/>
      <w:shd w:val="clear" w:color="auto" w:fill="auto"/>
    </w:rPr>
  </w:style>
  <w:style w:type="paragraph" w:customStyle="1" w:styleId="Point0number">
    <w:name w:val="Point 0 (number)"/>
    <w:basedOn w:val="Normal"/>
    <w:pPr>
      <w:numPr>
        <w:numId w:val="14"/>
      </w:numPr>
    </w:pPr>
  </w:style>
  <w:style w:type="paragraph" w:customStyle="1" w:styleId="Point1number">
    <w:name w:val="Point 1 (number)"/>
    <w:basedOn w:val="Normal"/>
    <w:pPr>
      <w:numPr>
        <w:ilvl w:val="2"/>
        <w:numId w:val="14"/>
      </w:numPr>
    </w:pPr>
  </w:style>
  <w:style w:type="paragraph" w:customStyle="1" w:styleId="Point2number">
    <w:name w:val="Point 2 (number)"/>
    <w:basedOn w:val="Normal"/>
    <w:pPr>
      <w:numPr>
        <w:ilvl w:val="4"/>
        <w:numId w:val="14"/>
      </w:numPr>
    </w:pPr>
  </w:style>
  <w:style w:type="paragraph" w:customStyle="1" w:styleId="Point3number">
    <w:name w:val="Point 3 (number)"/>
    <w:basedOn w:val="Normal"/>
    <w:pPr>
      <w:numPr>
        <w:ilvl w:val="6"/>
        <w:numId w:val="14"/>
      </w:numPr>
    </w:pPr>
  </w:style>
  <w:style w:type="paragraph" w:customStyle="1" w:styleId="Point0letter">
    <w:name w:val="Point 0 (letter)"/>
    <w:basedOn w:val="Normal"/>
    <w:pPr>
      <w:numPr>
        <w:ilvl w:val="1"/>
        <w:numId w:val="14"/>
      </w:numPr>
    </w:pPr>
  </w:style>
  <w:style w:type="paragraph" w:customStyle="1" w:styleId="Point1letter">
    <w:name w:val="Point 1 (letter)"/>
    <w:basedOn w:val="Normal"/>
    <w:pPr>
      <w:numPr>
        <w:ilvl w:val="3"/>
        <w:numId w:val="14"/>
      </w:numPr>
    </w:pPr>
  </w:style>
  <w:style w:type="paragraph" w:customStyle="1" w:styleId="Point2letter">
    <w:name w:val="Point 2 (letter)"/>
    <w:basedOn w:val="Normal"/>
    <w:pPr>
      <w:numPr>
        <w:ilvl w:val="5"/>
        <w:numId w:val="14"/>
      </w:numPr>
    </w:pPr>
  </w:style>
  <w:style w:type="paragraph" w:customStyle="1" w:styleId="Point3letter">
    <w:name w:val="Point 3 (letter)"/>
    <w:basedOn w:val="Normal"/>
    <w:pPr>
      <w:numPr>
        <w:ilvl w:val="7"/>
        <w:numId w:val="14"/>
      </w:numPr>
    </w:pPr>
  </w:style>
  <w:style w:type="paragraph" w:customStyle="1" w:styleId="Point4letter">
    <w:name w:val="Point 4 (letter)"/>
    <w:basedOn w:val="Normal"/>
    <w:pPr>
      <w:numPr>
        <w:ilvl w:val="8"/>
        <w:numId w:val="14"/>
      </w:numPr>
    </w:pPr>
  </w:style>
  <w:style w:type="paragraph" w:customStyle="1" w:styleId="Bullet0">
    <w:name w:val="Bullet 0"/>
    <w:basedOn w:val="Normal"/>
    <w:pPr>
      <w:numPr>
        <w:numId w:val="15"/>
      </w:numPr>
    </w:pPr>
  </w:style>
  <w:style w:type="paragraph" w:customStyle="1" w:styleId="Bullet1">
    <w:name w:val="Bullet 1"/>
    <w:basedOn w:val="Normal"/>
    <w:pPr>
      <w:numPr>
        <w:numId w:val="16"/>
      </w:numPr>
    </w:pPr>
  </w:style>
  <w:style w:type="paragraph" w:customStyle="1" w:styleId="Bullet2">
    <w:name w:val="Bullet 2"/>
    <w:basedOn w:val="Normal"/>
    <w:pPr>
      <w:numPr>
        <w:numId w:val="17"/>
      </w:numPr>
    </w:pPr>
  </w:style>
  <w:style w:type="paragraph" w:customStyle="1" w:styleId="Bullet3">
    <w:name w:val="Bullet 3"/>
    <w:basedOn w:val="Normal"/>
    <w:pPr>
      <w:numPr>
        <w:numId w:val="18"/>
      </w:numPr>
    </w:pPr>
  </w:style>
  <w:style w:type="paragraph" w:customStyle="1" w:styleId="Bullet4">
    <w:name w:val="Bullet 4"/>
    <w:basedOn w:val="Normal"/>
    <w:pPr>
      <w:numPr>
        <w:numId w:val="19"/>
      </w:numPr>
    </w:pPr>
  </w:style>
  <w:style w:type="paragraph" w:customStyle="1" w:styleId="Langue">
    <w:name w:val="Langue"/>
    <w:basedOn w:val="Normal"/>
    <w:next w:val="Rfrenceinterne"/>
    <w:pPr>
      <w:framePr w:wrap="around" w:vAnchor="page" w:hAnchor="text" w:xAlign="center" w:y="14741"/>
      <w:spacing w:before="0" w:after="600"/>
      <w:jc w:val="center"/>
    </w:pPr>
    <w:rPr>
      <w:b/>
      <w:caps/>
    </w:rPr>
  </w:style>
  <w:style w:type="paragraph" w:customStyle="1" w:styleId="Nomdelinstitution">
    <w:name w:val="Nom de l'institution"/>
    <w:basedOn w:val="Normal"/>
    <w:next w:val="Emission"/>
    <w:pPr>
      <w:spacing w:before="0" w:after="0"/>
      <w:jc w:val="left"/>
    </w:pPr>
    <w:rPr>
      <w:rFonts w:ascii="Arial" w:hAnsi="Arial" w:cs="Arial"/>
    </w:rPr>
  </w:style>
  <w:style w:type="paragraph" w:customStyle="1" w:styleId="Emission">
    <w:name w:val="Emission"/>
    <w:basedOn w:val="Normal"/>
    <w:next w:val="Rfrenceinstitutionnelle"/>
    <w:pPr>
      <w:spacing w:before="0" w:after="0"/>
      <w:ind w:left="5103"/>
      <w:jc w:val="left"/>
    </w:pPr>
  </w:style>
  <w:style w:type="paragraph" w:customStyle="1" w:styleId="Rfrenceinstitutionnelle">
    <w:name w:val="Référence institutionnelle"/>
    <w:basedOn w:val="Normal"/>
    <w:next w:val="Confidentialit"/>
    <w:pPr>
      <w:spacing w:before="0" w:after="240"/>
      <w:ind w:left="5103"/>
      <w:jc w:val="left"/>
    </w:pPr>
  </w:style>
  <w:style w:type="paragraph" w:customStyle="1" w:styleId="Pagedecouverture">
    <w:name w:val="Page de couverture"/>
    <w:basedOn w:val="Normal"/>
    <w:next w:val="Normal"/>
    <w:pPr>
      <w:spacing w:before="0" w:after="0"/>
    </w:pPr>
  </w:style>
  <w:style w:type="paragraph" w:customStyle="1" w:styleId="Declassification">
    <w:name w:val="Declassification"/>
    <w:basedOn w:val="Normal"/>
    <w:next w:val="Normal"/>
    <w:pPr>
      <w:spacing w:before="0" w:after="0"/>
    </w:pPr>
  </w:style>
  <w:style w:type="paragraph" w:customStyle="1" w:styleId="Disclaimer">
    <w:name w:val="Disclaimer"/>
    <w:basedOn w:val="Normal"/>
    <w:pPr>
      <w:framePr w:w="8220" w:wrap="notBeside" w:hAnchor="margin" w:xAlign="center" w:y="10401"/>
      <w:pBdr>
        <w:top w:val="single" w:sz="6" w:space="4" w:color="auto"/>
        <w:left w:val="single" w:sz="6" w:space="7" w:color="auto"/>
        <w:bottom w:val="single" w:sz="6" w:space="4" w:color="auto"/>
        <w:right w:val="single" w:sz="6" w:space="7" w:color="auto"/>
      </w:pBdr>
      <w:shd w:val="clear" w:color="FFFFFF" w:fill="auto"/>
    </w:pPr>
  </w:style>
  <w:style w:type="paragraph" w:customStyle="1" w:styleId="SecurityMarking">
    <w:name w:val="SecurityMarking"/>
    <w:basedOn w:val="Normal"/>
    <w:pPr>
      <w:spacing w:before="0" w:after="0" w:line="276" w:lineRule="auto"/>
      <w:ind w:left="5103"/>
      <w:jc w:val="left"/>
    </w:pPr>
    <w:rPr>
      <w:sz w:val="28"/>
    </w:rPr>
  </w:style>
  <w:style w:type="paragraph" w:customStyle="1" w:styleId="DateMarking">
    <w:name w:val="DateMarking"/>
    <w:basedOn w:val="Normal"/>
    <w:pPr>
      <w:spacing w:before="0" w:after="0" w:line="276" w:lineRule="auto"/>
      <w:ind w:left="5103"/>
      <w:jc w:val="left"/>
    </w:pPr>
    <w:rPr>
      <w:i/>
      <w:sz w:val="28"/>
    </w:rPr>
  </w:style>
  <w:style w:type="paragraph" w:customStyle="1" w:styleId="ReleasableTo">
    <w:name w:val="ReleasableTo"/>
    <w:basedOn w:val="Normal"/>
    <w:pPr>
      <w:spacing w:before="0" w:after="0" w:line="276" w:lineRule="auto"/>
      <w:ind w:left="5103"/>
      <w:jc w:val="left"/>
    </w:pPr>
    <w:rPr>
      <w:i/>
      <w:sz w:val="28"/>
    </w:rPr>
  </w:style>
  <w:style w:type="paragraph" w:customStyle="1" w:styleId="Annexetitreexpos">
    <w:name w:val="Annexe titre (exposé)"/>
    <w:basedOn w:val="Normal"/>
    <w:next w:val="Normal"/>
    <w:pPr>
      <w:jc w:val="center"/>
    </w:pPr>
    <w:rPr>
      <w:b/>
      <w:u w:val="single"/>
    </w:rPr>
  </w:style>
  <w:style w:type="paragraph" w:customStyle="1" w:styleId="Annexetitre">
    <w:name w:val="Annexe titre"/>
    <w:basedOn w:val="Normal"/>
    <w:next w:val="Normal"/>
    <w:pPr>
      <w:jc w:val="center"/>
    </w:pPr>
    <w:rPr>
      <w:b/>
      <w:u w:val="single"/>
    </w:rPr>
  </w:style>
  <w:style w:type="paragraph" w:customStyle="1" w:styleId="Annexetitrefichefinancire">
    <w:name w:val="Annexe titre (fiche financière)"/>
    <w:basedOn w:val="Normal"/>
    <w:next w:val="Normal"/>
    <w:pPr>
      <w:jc w:val="center"/>
    </w:pPr>
    <w:rPr>
      <w:b/>
      <w:u w:val="single"/>
    </w:rPr>
  </w:style>
  <w:style w:type="paragraph" w:customStyle="1" w:styleId="Applicationdirecte">
    <w:name w:val="Application directe"/>
    <w:basedOn w:val="Normal"/>
    <w:next w:val="Fait"/>
    <w:pPr>
      <w:spacing w:before="480"/>
    </w:pPr>
  </w:style>
  <w:style w:type="paragraph" w:customStyle="1" w:styleId="Avertissementtitre">
    <w:name w:val="Avertissement titre"/>
    <w:basedOn w:val="Normal"/>
    <w:next w:val="Normal"/>
    <w:pPr>
      <w:keepNext/>
      <w:spacing w:before="480"/>
    </w:pPr>
    <w:rPr>
      <w:u w:val="single"/>
    </w:rPr>
  </w:style>
  <w:style w:type="paragraph" w:customStyle="1" w:styleId="Confidence">
    <w:name w:val="Confidence"/>
    <w:basedOn w:val="Normal"/>
    <w:next w:val="Normal"/>
    <w:pPr>
      <w:spacing w:before="360"/>
      <w:jc w:val="center"/>
    </w:pPr>
  </w:style>
  <w:style w:type="paragraph" w:customStyle="1" w:styleId="Confidentialit">
    <w:name w:val="Confidentialité"/>
    <w:basedOn w:val="Normal"/>
    <w:next w:val="TypedudocumentPagedecouverture"/>
    <w:pPr>
      <w:spacing w:before="240" w:after="240"/>
      <w:ind w:left="5103"/>
      <w:jc w:val="left"/>
    </w:pPr>
    <w:rPr>
      <w:i/>
      <w:sz w:val="32"/>
    </w:rPr>
  </w:style>
  <w:style w:type="paragraph" w:customStyle="1" w:styleId="Considrant">
    <w:name w:val="Considérant"/>
    <w:basedOn w:val="Normal"/>
    <w:pPr>
      <w:numPr>
        <w:numId w:val="20"/>
      </w:numPr>
    </w:pPr>
  </w:style>
  <w:style w:type="paragraph" w:customStyle="1" w:styleId="Corrigendum">
    <w:name w:val="Corrigendum"/>
    <w:basedOn w:val="Normal"/>
    <w:next w:val="Normal"/>
    <w:pPr>
      <w:spacing w:before="0" w:after="240"/>
      <w:jc w:val="left"/>
    </w:pPr>
  </w:style>
  <w:style w:type="paragraph" w:customStyle="1" w:styleId="Datedadoption">
    <w:name w:val="Date d'adoption"/>
    <w:basedOn w:val="Normal"/>
    <w:next w:val="Titreobjet"/>
    <w:pPr>
      <w:spacing w:before="360" w:after="0"/>
      <w:jc w:val="center"/>
    </w:pPr>
    <w:rPr>
      <w:b/>
    </w:rPr>
  </w:style>
  <w:style w:type="paragraph" w:customStyle="1" w:styleId="Exposdesmotifstitre">
    <w:name w:val="Exposé des motifs titre"/>
    <w:basedOn w:val="Normal"/>
    <w:next w:val="Normal"/>
    <w:pPr>
      <w:jc w:val="center"/>
    </w:pPr>
    <w:rPr>
      <w:b/>
      <w:u w:val="single"/>
    </w:rPr>
  </w:style>
  <w:style w:type="paragraph" w:customStyle="1" w:styleId="Fait">
    <w:name w:val="Fait à"/>
    <w:basedOn w:val="Normal"/>
    <w:next w:val="Institutionquisigne"/>
    <w:pPr>
      <w:keepNext/>
      <w:spacing w:after="0"/>
    </w:pPr>
  </w:style>
  <w:style w:type="paragraph" w:customStyle="1" w:styleId="Formuledadoption">
    <w:name w:val="Formule d'adoption"/>
    <w:basedOn w:val="Normal"/>
    <w:next w:val="Titrearticle"/>
    <w:pPr>
      <w:keepNext/>
    </w:pPr>
  </w:style>
  <w:style w:type="paragraph" w:customStyle="1" w:styleId="Institutionquiagit">
    <w:name w:val="Institution qui agit"/>
    <w:basedOn w:val="Normal"/>
    <w:next w:val="Normal"/>
    <w:pPr>
      <w:keepNext/>
      <w:spacing w:before="600"/>
    </w:pPr>
  </w:style>
  <w:style w:type="paragraph" w:customStyle="1" w:styleId="Institutionquisigne">
    <w:name w:val="Institution qui signe"/>
    <w:basedOn w:val="Normal"/>
    <w:next w:val="Personnequisigne"/>
    <w:pPr>
      <w:keepNext/>
      <w:tabs>
        <w:tab w:val="left" w:pos="4252"/>
      </w:tabs>
      <w:spacing w:before="720" w:after="0"/>
    </w:pPr>
    <w:rPr>
      <w:i/>
    </w:rPr>
  </w:style>
  <w:style w:type="paragraph" w:customStyle="1" w:styleId="ManualConsidrant">
    <w:name w:val="Manual Considérant"/>
    <w:basedOn w:val="Normal"/>
    <w:pPr>
      <w:ind w:left="709" w:hanging="709"/>
    </w:pPr>
  </w:style>
  <w:style w:type="paragraph" w:customStyle="1" w:styleId="Personnequisigne">
    <w:name w:val="Personne qui signe"/>
    <w:basedOn w:val="Normal"/>
    <w:next w:val="Institutionquisigne"/>
    <w:pPr>
      <w:tabs>
        <w:tab w:val="left" w:pos="4252"/>
      </w:tabs>
      <w:spacing w:before="0" w:after="0"/>
      <w:jc w:val="left"/>
    </w:pPr>
    <w:rPr>
      <w:i/>
    </w:rPr>
  </w:style>
  <w:style w:type="paragraph" w:customStyle="1" w:styleId="Rfrenceinterinstitutionnelle">
    <w:name w:val="Référence interinstitutionnelle"/>
    <w:basedOn w:val="Normal"/>
    <w:next w:val="Statut"/>
    <w:pPr>
      <w:spacing w:before="0" w:after="0"/>
      <w:ind w:left="5103"/>
      <w:jc w:val="left"/>
    </w:pPr>
  </w:style>
  <w:style w:type="paragraph" w:customStyle="1" w:styleId="Rfrenceinterne">
    <w:name w:val="Référence interne"/>
    <w:basedOn w:val="Normal"/>
    <w:next w:val="Rfrenceinterinstitutionnelle"/>
    <w:pPr>
      <w:spacing w:before="0" w:after="0"/>
      <w:ind w:left="5103"/>
      <w:jc w:val="left"/>
    </w:pPr>
  </w:style>
  <w:style w:type="paragraph" w:customStyle="1" w:styleId="Statut">
    <w:name w:val="Statut"/>
    <w:basedOn w:val="Normal"/>
    <w:next w:val="Typedudocument"/>
    <w:pPr>
      <w:spacing w:before="360" w:after="0"/>
      <w:jc w:val="center"/>
    </w:pPr>
  </w:style>
  <w:style w:type="paragraph" w:customStyle="1" w:styleId="Titrearticle">
    <w:name w:val="Titre article"/>
    <w:basedOn w:val="Normal"/>
    <w:next w:val="Normal"/>
    <w:pPr>
      <w:keepNext/>
      <w:spacing w:before="360"/>
      <w:jc w:val="center"/>
    </w:pPr>
    <w:rPr>
      <w:i/>
    </w:rPr>
  </w:style>
  <w:style w:type="paragraph" w:customStyle="1" w:styleId="Titreobjet">
    <w:name w:val="Titre objet"/>
    <w:basedOn w:val="Normal"/>
    <w:next w:val="IntrtEEE"/>
    <w:pPr>
      <w:spacing w:before="360" w:after="360"/>
      <w:jc w:val="center"/>
    </w:pPr>
    <w:rPr>
      <w:b/>
    </w:rPr>
  </w:style>
  <w:style w:type="paragraph" w:customStyle="1" w:styleId="Typedudocument">
    <w:name w:val="Type du document"/>
    <w:basedOn w:val="Normal"/>
    <w:next w:val="Titreobjet"/>
    <w:pPr>
      <w:spacing w:before="360" w:after="0"/>
      <w:jc w:val="center"/>
    </w:pPr>
    <w:rPr>
      <w:b/>
    </w:rPr>
  </w:style>
  <w:style w:type="character" w:customStyle="1" w:styleId="Added">
    <w:name w:val="Added"/>
    <w:basedOn w:val="DefaultParagraphFont"/>
    <w:rPr>
      <w:b/>
      <w:u w:val="single"/>
      <w:shd w:val="clear" w:color="auto" w:fill="auto"/>
    </w:rPr>
  </w:style>
  <w:style w:type="character" w:customStyle="1" w:styleId="Deleted">
    <w:name w:val="Deleted"/>
    <w:basedOn w:val="DefaultParagraphFont"/>
    <w:rPr>
      <w:strike/>
      <w:dstrike w:val="0"/>
      <w:shd w:val="clear" w:color="auto" w:fill="auto"/>
    </w:rPr>
  </w:style>
  <w:style w:type="paragraph" w:customStyle="1" w:styleId="Address">
    <w:name w:val="Address"/>
    <w:basedOn w:val="Normal"/>
    <w:next w:val="Normal"/>
    <w:pPr>
      <w:keepLines/>
      <w:spacing w:line="360" w:lineRule="auto"/>
      <w:ind w:left="3402"/>
      <w:jc w:val="left"/>
    </w:pPr>
  </w:style>
  <w:style w:type="paragraph" w:customStyle="1" w:styleId="Objetexterne">
    <w:name w:val="Objet externe"/>
    <w:basedOn w:val="Normal"/>
    <w:next w:val="Normal"/>
    <w:rPr>
      <w:i/>
      <w:caps/>
    </w:rPr>
  </w:style>
  <w:style w:type="paragraph" w:customStyle="1" w:styleId="Supertitre">
    <w:name w:val="Supertitre"/>
    <w:basedOn w:val="Normal"/>
    <w:next w:val="Normal"/>
    <w:pPr>
      <w:spacing w:before="0" w:after="600"/>
      <w:jc w:val="center"/>
    </w:pPr>
    <w:rPr>
      <w:b/>
    </w:rPr>
  </w:style>
  <w:style w:type="paragraph" w:customStyle="1" w:styleId="Languesfaisantfoi">
    <w:name w:val="Langues faisant foi"/>
    <w:basedOn w:val="Normal"/>
    <w:next w:val="Normal"/>
    <w:rsid w:val="00E664ED"/>
    <w:pPr>
      <w:spacing w:before="360" w:after="240"/>
      <w:jc w:val="center"/>
    </w:pPr>
  </w:style>
  <w:style w:type="paragraph" w:customStyle="1" w:styleId="Rfrencecroise">
    <w:name w:val="Référence croisée"/>
    <w:basedOn w:val="Normal"/>
    <w:pPr>
      <w:spacing w:before="0" w:after="0"/>
      <w:jc w:val="center"/>
    </w:pPr>
  </w:style>
  <w:style w:type="paragraph" w:customStyle="1" w:styleId="Fichefinanciretitre">
    <w:name w:val="Fiche financière titre"/>
    <w:basedOn w:val="Normal"/>
    <w:next w:val="Normal"/>
    <w:pPr>
      <w:jc w:val="center"/>
    </w:pPr>
    <w:rPr>
      <w:b/>
      <w:u w:val="single"/>
    </w:rPr>
  </w:style>
  <w:style w:type="paragraph" w:customStyle="1" w:styleId="DatedadoptionPagedecouverture">
    <w:name w:val="Date d'adoption (Page de couverture)"/>
    <w:basedOn w:val="Datedadoption"/>
    <w:next w:val="TitreobjetPagedecouverture"/>
  </w:style>
  <w:style w:type="paragraph" w:customStyle="1" w:styleId="RfrenceinterinstitutionnellePagedecouverture">
    <w:name w:val="Référence interinstitutionnelle (Page de couverture)"/>
    <w:basedOn w:val="Rfrenceinterinstitutionnelle"/>
    <w:next w:val="Confidentialit"/>
  </w:style>
  <w:style w:type="paragraph" w:customStyle="1" w:styleId="StatutPagedecouverture">
    <w:name w:val="Statut (Page de couverture)"/>
    <w:basedOn w:val="Statut"/>
    <w:next w:val="TypedudocumentPagedecouverture"/>
  </w:style>
  <w:style w:type="paragraph" w:customStyle="1" w:styleId="TitreobjetPagedecouverture">
    <w:name w:val="Titre objet (Page de couverture)"/>
    <w:basedOn w:val="Titreobjet"/>
    <w:next w:val="IntrtEEEPagedecouverture"/>
  </w:style>
  <w:style w:type="paragraph" w:customStyle="1" w:styleId="TypedudocumentPagedecouverture">
    <w:name w:val="Type du document (Page de couverture)"/>
    <w:basedOn w:val="Typedudocument"/>
    <w:next w:val="TitreobjetPagedecouverture"/>
  </w:style>
  <w:style w:type="paragraph" w:customStyle="1" w:styleId="Volume">
    <w:name w:val="Volume"/>
    <w:basedOn w:val="Normal"/>
    <w:next w:val="Confidentialit"/>
    <w:pPr>
      <w:spacing w:before="0" w:after="240"/>
      <w:ind w:left="5103"/>
      <w:jc w:val="left"/>
    </w:pPr>
  </w:style>
  <w:style w:type="paragraph" w:customStyle="1" w:styleId="IntrtEEE">
    <w:name w:val="Intérêt EEE"/>
    <w:basedOn w:val="Languesfaisantfoi"/>
    <w:next w:val="Normal"/>
    <w:rsid w:val="00E664ED"/>
    <w:pPr>
      <w:spacing w:after="0"/>
    </w:pPr>
  </w:style>
  <w:style w:type="paragraph" w:customStyle="1" w:styleId="Accompagnant">
    <w:name w:val="Accompagnant"/>
    <w:basedOn w:val="Normal"/>
    <w:next w:val="Typeacteprincipal"/>
    <w:pPr>
      <w:spacing w:before="0" w:after="240"/>
      <w:jc w:val="center"/>
    </w:pPr>
    <w:rPr>
      <w:b/>
      <w:i/>
    </w:rPr>
  </w:style>
  <w:style w:type="paragraph" w:customStyle="1" w:styleId="Typeacteprincipal">
    <w:name w:val="Type acte principal"/>
    <w:basedOn w:val="Normal"/>
    <w:next w:val="Objetacteprincipal"/>
    <w:pPr>
      <w:spacing w:before="0" w:after="240"/>
      <w:jc w:val="center"/>
    </w:pPr>
    <w:rPr>
      <w:b/>
    </w:rPr>
  </w:style>
  <w:style w:type="paragraph" w:customStyle="1" w:styleId="Objetacteprincipal">
    <w:name w:val="Objet acte principal"/>
    <w:basedOn w:val="Normal"/>
    <w:next w:val="Titrearticle"/>
    <w:pPr>
      <w:spacing w:before="0" w:after="360"/>
      <w:jc w:val="center"/>
    </w:pPr>
    <w:rPr>
      <w:b/>
    </w:rPr>
  </w:style>
  <w:style w:type="paragraph" w:customStyle="1" w:styleId="IntrtEEEPagedecouverture">
    <w:name w:val="Intérêt EEE (Page de couverture)"/>
    <w:basedOn w:val="IntrtEEE"/>
    <w:next w:val="Normal"/>
    <w:rsid w:val="00E664ED"/>
  </w:style>
  <w:style w:type="paragraph" w:customStyle="1" w:styleId="AccompagnantPagedecouverture">
    <w:name w:val="Accompagnant (Page de couverture)"/>
    <w:basedOn w:val="Accompagnant"/>
    <w:next w:val="TypeacteprincipalPagedecouverture"/>
  </w:style>
  <w:style w:type="paragraph" w:customStyle="1" w:styleId="TypeacteprincipalPagedecouverture">
    <w:name w:val="Type acte principal (Page de couverture)"/>
    <w:basedOn w:val="Typeacteprincipal"/>
    <w:next w:val="ObjetacteprincipalPagedecouverture"/>
  </w:style>
  <w:style w:type="paragraph" w:customStyle="1" w:styleId="ObjetacteprincipalPagedecouverture">
    <w:name w:val="Objet acte principal (Page de couverture)"/>
    <w:basedOn w:val="Objetacteprincipal"/>
    <w:next w:val="Rfrencecroise"/>
  </w:style>
  <w:style w:type="paragraph" w:customStyle="1" w:styleId="LanguesfaisantfoiPagedecouverture">
    <w:name w:val="Langues faisant foi (Page de couverture)"/>
    <w:basedOn w:val="Normal"/>
    <w:next w:val="Rfrencecroise"/>
    <w:rsid w:val="00E664ED"/>
    <w:pPr>
      <w:spacing w:before="360" w:after="240"/>
      <w:jc w:val="center"/>
    </w:pPr>
  </w:style>
  <w:style w:type="paragraph" w:styleId="Header">
    <w:name w:val="header"/>
    <w:basedOn w:val="Normal"/>
    <w:link w:val="HeaderChar"/>
    <w:uiPriority w:val="99"/>
    <w:unhideWhenUsed/>
    <w:rsid w:val="00D224F3"/>
    <w:pPr>
      <w:tabs>
        <w:tab w:val="center" w:pos="4535"/>
        <w:tab w:val="right" w:pos="9071"/>
      </w:tabs>
      <w:spacing w:before="0"/>
    </w:pPr>
  </w:style>
  <w:style w:type="paragraph" w:customStyle="1" w:styleId="HeaderLandscape">
    <w:name w:val="HeaderLandscape"/>
    <w:basedOn w:val="Normal"/>
    <w:rsid w:val="00D224F3"/>
    <w:pPr>
      <w:tabs>
        <w:tab w:val="center" w:pos="7285"/>
        <w:tab w:val="right" w:pos="14003"/>
      </w:tabs>
      <w:spacing w:before="0"/>
    </w:pPr>
  </w:style>
  <w:style w:type="paragraph" w:styleId="Footer">
    <w:name w:val="footer"/>
    <w:basedOn w:val="Normal"/>
    <w:link w:val="FooterChar"/>
    <w:uiPriority w:val="99"/>
    <w:unhideWhenUsed/>
    <w:rsid w:val="00D224F3"/>
    <w:pPr>
      <w:tabs>
        <w:tab w:val="center" w:pos="4535"/>
        <w:tab w:val="right" w:pos="9071"/>
        <w:tab w:val="right" w:pos="9921"/>
      </w:tabs>
      <w:spacing w:before="360" w:after="0"/>
      <w:ind w:left="-850" w:right="-850"/>
      <w:jc w:val="left"/>
    </w:pPr>
  </w:style>
  <w:style w:type="paragraph" w:customStyle="1" w:styleId="FooterLandscape">
    <w:name w:val="FooterLandscape"/>
    <w:basedOn w:val="Normal"/>
    <w:rsid w:val="00D224F3"/>
    <w:pPr>
      <w:tabs>
        <w:tab w:val="center" w:pos="7285"/>
        <w:tab w:val="center" w:pos="10913"/>
        <w:tab w:val="right" w:pos="15137"/>
      </w:tabs>
      <w:spacing w:before="360" w:after="0"/>
      <w:ind w:left="-567" w:right="-567"/>
      <w:jc w:val="left"/>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326249280">
      <w:bodyDiv w:val="1"/>
      <w:marLeft w:val="0"/>
      <w:marRight w:val="0"/>
      <w:marTop w:val="0"/>
      <w:marBottom w:val="0"/>
      <w:divBdr>
        <w:top w:val="none" w:sz="0" w:space="0" w:color="auto"/>
        <w:left w:val="none" w:sz="0" w:space="0" w:color="auto"/>
        <w:bottom w:val="none" w:sz="0" w:space="0" w:color="auto"/>
        <w:right w:val="none" w:sz="0" w:space="0" w:color="auto"/>
      </w:divBdr>
    </w:div>
    <w:div w:id="79529866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2.xml"/><Relationship Id="rId18" Type="http://schemas.openxmlformats.org/officeDocument/2006/relationships/footer" Target="footer5.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17" Type="http://schemas.openxmlformats.org/officeDocument/2006/relationships/header" Target="header2.xml"/><Relationship Id="rId2" Type="http://schemas.openxmlformats.org/officeDocument/2006/relationships/customXml" Target="../customXml/item2.xml"/><Relationship Id="rId16" Type="http://schemas.openxmlformats.org/officeDocument/2006/relationships/footer" Target="footer4.xm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emf"/><Relationship Id="rId5" Type="http://schemas.openxmlformats.org/officeDocument/2006/relationships/numbering" Target="numbering.xml"/><Relationship Id="rId15" Type="http://schemas.openxmlformats.org/officeDocument/2006/relationships/footer" Target="footer3.xml"/><Relationship Id="rId10" Type="http://schemas.openxmlformats.org/officeDocument/2006/relationships/endnotes" Target="endnotes.xml"/><Relationship Id="rId19" Type="http://schemas.openxmlformats.org/officeDocument/2006/relationships/fontTable" Target="fontTable.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Public\Documents\Templates\COM.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EC_Collab_Reference xmlns="144c03d0-0f03-451f-9d46-5279004462a4" xsi:nil="true"/>
    <EC_Collab_Status xmlns="144c03d0-0f03-451f-9d46-5279004462a4">Not Started</EC_Collab_Status>
    <_Status xmlns="http://schemas.microsoft.com/sharepoint/v3/fields">Not Started</_Status>
    <EC_Collab_DocumentLanguage xmlns="144c03d0-0f03-451f-9d46-5279004462a4">EN</EC_Collab_DocumentLanguage>
    <lcf76f155ced4ddcb4097134ff3c332f xmlns="f7bb8512-91eb-4bfd-be42-d6f021407e9a">
      <Terms xmlns="http://schemas.microsoft.com/office/infopath/2007/PartnerControls">
        <TermInfo xmlns="http://schemas.microsoft.com/office/infopath/2007/PartnerControls">
          <TermName xmlns="http://schemas.microsoft.com/office/infopath/2007/PartnerControls"/>
          <TermId xmlns="http://schemas.microsoft.com/office/infopath/2007/PartnerControls"/>
        </TermInfo>
      </Terms>
    </lcf76f155ced4ddcb4097134ff3c332f>
    <TaxCatchAll xmlns="144c03d0-0f03-451f-9d46-5279004462a4" xsi:nil="true"/>
  </documentManagement>
</p:properties>
</file>

<file path=customXml/item2.xml><?xml version="1.0" encoding="utf-8"?>
<ct:contentTypeSchema xmlns:ct="http://schemas.microsoft.com/office/2006/metadata/contentType" xmlns:ma="http://schemas.microsoft.com/office/2006/metadata/properties/metaAttributes" ct:_="" ma:_="" ma:contentTypeName="EC Document" ma:contentTypeID="0x010100BAD999D84E12C74482EA5120F5227F6F00217DECAAC21D6B43958DFE68658C192E" ma:contentTypeVersion="27" ma:contentTypeDescription="Create a new document in this library." ma:contentTypeScope="" ma:versionID="21d0a0e06688d09e97f4165f03ece64c">
  <xsd:schema xmlns:xsd="http://www.w3.org/2001/XMLSchema" xmlns:xs="http://www.w3.org/2001/XMLSchema" xmlns:p="http://schemas.microsoft.com/office/2006/metadata/properties" xmlns:ns2="http://schemas.microsoft.com/sharepoint/v3/fields" xmlns:ns3="144c03d0-0f03-451f-9d46-5279004462a4" xmlns:ns4="f7bb8512-91eb-4bfd-be42-d6f021407e9a" targetNamespace="http://schemas.microsoft.com/office/2006/metadata/properties" ma:root="true" ma:fieldsID="8f85106d4a88386bc052a7e1d0ca7ee0" ns2:_="" ns3:_="" ns4:_="">
    <xsd:import namespace="http://schemas.microsoft.com/sharepoint/v3/fields"/>
    <xsd:import namespace="144c03d0-0f03-451f-9d46-5279004462a4"/>
    <xsd:import namespace="f7bb8512-91eb-4bfd-be42-d6f021407e9a"/>
    <xsd:element name="properties">
      <xsd:complexType>
        <xsd:sequence>
          <xsd:element name="documentManagement">
            <xsd:complexType>
              <xsd:all>
                <xsd:element ref="ns3:EC_Collab_Reference" minOccurs="0"/>
                <xsd:element ref="ns2:_Status" minOccurs="0"/>
                <xsd:element ref="ns3:EC_Collab_DocumentLanguage"/>
                <xsd:element ref="ns3:SharedWithUsers" minOccurs="0"/>
                <xsd:element ref="ns3:SharedWithDetails" minOccurs="0"/>
                <xsd:element ref="ns3:EC_Collab_Status" minOccurs="0"/>
                <xsd:element ref="ns4:MediaServiceSearchProperties" minOccurs="0"/>
                <xsd:element ref="ns4:lcf76f155ced4ddcb4097134ff3c332f" minOccurs="0"/>
                <xsd:element ref="ns3:TaxCatchAll" minOccurs="0"/>
                <xsd:element ref="ns4:MediaServiceDateTaken" minOccurs="0"/>
                <xsd:element ref="ns4:MediaServiceOCR" minOccurs="0"/>
                <xsd:element ref="ns4:MediaServiceGenerationTime" minOccurs="0"/>
                <xsd:element ref="ns4:MediaServiceEventHash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fields" elementFormDefault="qualified">
    <xsd:import namespace="http://schemas.microsoft.com/office/2006/documentManagement/types"/>
    <xsd:import namespace="http://schemas.microsoft.com/office/infopath/2007/PartnerControls"/>
    <xsd:element name="_Status" ma:index="13" nillable="true" ma:displayName="Status" ma:default="Not Started" ma:hidden="true" ma:internalName="_Status" ma:readOnly="false">
      <xsd:simpleType>
        <xsd:union memberTypes="dms:Text">
          <xsd:simpleType>
            <xsd:restriction base="dms:Choice">
              <xsd:enumeration value="Not Started"/>
              <xsd:enumeration value="Draft"/>
              <xsd:enumeration value="Reviewed"/>
              <xsd:enumeration value="Scheduled"/>
              <xsd:enumeration value="Published"/>
              <xsd:enumeration value="Final"/>
              <xsd:enumeration value="Expired"/>
            </xsd:restriction>
          </xsd:simpleType>
        </xsd:union>
      </xsd:simpleType>
    </xsd:element>
  </xsd:schema>
  <xsd:schema xmlns:xsd="http://www.w3.org/2001/XMLSchema" xmlns:xs="http://www.w3.org/2001/XMLSchema" xmlns:dms="http://schemas.microsoft.com/office/2006/documentManagement/types" xmlns:pc="http://schemas.microsoft.com/office/infopath/2007/PartnerControls" targetNamespace="144c03d0-0f03-451f-9d46-5279004462a4" elementFormDefault="qualified">
    <xsd:import namespace="http://schemas.microsoft.com/office/2006/documentManagement/types"/>
    <xsd:import namespace="http://schemas.microsoft.com/office/infopath/2007/PartnerControls"/>
    <xsd:element name="EC_Collab_Reference" ma:index="12" nillable="true" ma:displayName="Reference" ma:internalName="EC_Collab_Reference" ma:readOnly="false">
      <xsd:simpleType>
        <xsd:restriction base="dms:Text"/>
      </xsd:simpleType>
    </xsd:element>
    <xsd:element name="EC_Collab_DocumentLanguage" ma:index="14" ma:displayName="Language" ma:default="EN" ma:format="Dropdown" ma:internalName="EC_Collab_DocumentLanguage" ma:readOnly="false">
      <xsd:simpleType>
        <xsd:restriction base="dms:Choice">
          <xsd:enumeration value="BG"/>
          <xsd:enumeration value="ES"/>
          <xsd:enumeration value="CS"/>
          <xsd:enumeration value="DA"/>
          <xsd:enumeration value="DE"/>
          <xsd:enumeration value="ET"/>
          <xsd:enumeration value="EL"/>
          <xsd:enumeration value="EN"/>
          <xsd:enumeration value="FR"/>
          <xsd:enumeration value="GA"/>
          <xsd:enumeration value="IT"/>
          <xsd:enumeration value="LT"/>
          <xsd:enumeration value="LV"/>
          <xsd:enumeration value="HU"/>
          <xsd:enumeration value="MT"/>
          <xsd:enumeration value="NL"/>
          <xsd:enumeration value="PL"/>
          <xsd:enumeration value="PT"/>
          <xsd:enumeration value="RO"/>
          <xsd:enumeration value="SK"/>
          <xsd:enumeration value="SL"/>
          <xsd:enumeration value="FI"/>
          <xsd:enumeration value="SV"/>
          <xsd:enumeration value="HR"/>
          <xsd:enumeration value="MK"/>
          <xsd:enumeration value="TR"/>
          <xsd:enumeration value="EU"/>
          <xsd:enumeration value="CA"/>
          <xsd:enumeration value="GL"/>
          <xsd:enumeration value="AB"/>
          <xsd:enumeration value="AA"/>
          <xsd:enumeration value="AF"/>
          <xsd:enumeration value="AK"/>
          <xsd:enumeration value="SQ"/>
          <xsd:enumeration value="AM"/>
          <xsd:enumeration value="AR"/>
          <xsd:enumeration value="AN"/>
          <xsd:enumeration value="HY"/>
          <xsd:enumeration value="AS"/>
          <xsd:enumeration value="AV"/>
          <xsd:enumeration value="AE"/>
          <xsd:enumeration value="AY"/>
          <xsd:enumeration value="AZ"/>
          <xsd:enumeration value="BM"/>
          <xsd:enumeration value="BA"/>
          <xsd:enumeration value="BE"/>
          <xsd:enumeration value="BN"/>
          <xsd:enumeration value="BH"/>
          <xsd:enumeration value="BI"/>
          <xsd:enumeration value="NB"/>
          <xsd:enumeration value="BS"/>
          <xsd:enumeration value="BR"/>
          <xsd:enumeration value="MY"/>
          <xsd:enumeration value="KM"/>
          <xsd:enumeration value="CH"/>
          <xsd:enumeration value="CE"/>
          <xsd:enumeration value="NY"/>
          <xsd:enumeration value="ZH"/>
          <xsd:enumeration value="CU"/>
          <xsd:enumeration value="CV"/>
          <xsd:enumeration value="KW"/>
          <xsd:enumeration value="CO"/>
          <xsd:enumeration value="CR"/>
          <xsd:enumeration value="DV"/>
          <xsd:enumeration value="DZ"/>
          <xsd:enumeration value="EO"/>
          <xsd:enumeration value="EE"/>
          <xsd:enumeration value="FO"/>
          <xsd:enumeration value="FJ"/>
          <xsd:enumeration value="FF"/>
          <xsd:enumeration value="GD"/>
          <xsd:enumeration value="LG"/>
          <xsd:enumeration value="KA"/>
          <xsd:enumeration value="GN"/>
          <xsd:enumeration value="GU"/>
          <xsd:enumeration value="HT"/>
          <xsd:enumeration value="HA"/>
          <xsd:enumeration value="HE"/>
          <xsd:enumeration value="HZ"/>
          <xsd:enumeration value="HI"/>
          <xsd:enumeration value="HO"/>
          <xsd:enumeration value="IS"/>
          <xsd:enumeration value="IO"/>
          <xsd:enumeration value="IG"/>
          <xsd:enumeration value="ID"/>
          <xsd:enumeration value="IA"/>
          <xsd:enumeration value="IE"/>
          <xsd:enumeration value="IU"/>
          <xsd:enumeration value="IK"/>
          <xsd:enumeration value="JA"/>
          <xsd:enumeration value="JV"/>
          <xsd:enumeration value="KL"/>
          <xsd:enumeration value="KN"/>
          <xsd:enumeration value="KR"/>
          <xsd:enumeration value="KS"/>
          <xsd:enumeration value="KK"/>
          <xsd:enumeration value="KI"/>
          <xsd:enumeration value="RW"/>
          <xsd:enumeration value="KY"/>
          <xsd:enumeration value="KV"/>
          <xsd:enumeration value="KG"/>
          <xsd:enumeration value="KO"/>
          <xsd:enumeration value="KJ"/>
          <xsd:enumeration value="KU"/>
          <xsd:enumeration value="LO"/>
          <xsd:enumeration value="LA"/>
          <xsd:enumeration value="LI"/>
          <xsd:enumeration value="LN"/>
          <xsd:enumeration value="LU"/>
          <xsd:enumeration value="LB"/>
          <xsd:enumeration value="MG"/>
          <xsd:enumeration value="MS"/>
          <xsd:enumeration value="ML"/>
          <xsd:enumeration value="GV"/>
          <xsd:enumeration value="MI"/>
          <xsd:enumeration value="MR"/>
          <xsd:enumeration value="MH"/>
          <xsd:enumeration value="MN"/>
          <xsd:enumeration value="NA"/>
          <xsd:enumeration value="NV"/>
          <xsd:enumeration value="ND"/>
          <xsd:enumeration value="NR"/>
          <xsd:enumeration value="NG"/>
          <xsd:enumeration value="NE"/>
          <xsd:enumeration value="SE"/>
          <xsd:enumeration value="NO"/>
          <xsd:enumeration value="NN"/>
          <xsd:enumeration value="OC"/>
          <xsd:enumeration value="OJ"/>
          <xsd:enumeration value="OR"/>
          <xsd:enumeration value="OM"/>
          <xsd:enumeration value="OS"/>
          <xsd:enumeration value="PI"/>
          <xsd:enumeration value="PA"/>
          <xsd:enumeration value="FA"/>
          <xsd:enumeration value="PS"/>
          <xsd:enumeration value="QU"/>
          <xsd:enumeration value="RM"/>
          <xsd:enumeration value="RN"/>
          <xsd:enumeration value="RU"/>
          <xsd:enumeration value="SM"/>
          <xsd:enumeration value="SG"/>
          <xsd:enumeration value="SA"/>
          <xsd:enumeration value="SC"/>
          <xsd:enumeration value="SR"/>
          <xsd:enumeration value="SN"/>
          <xsd:enumeration value="II"/>
          <xsd:enumeration value="SD"/>
          <xsd:enumeration value="SI"/>
          <xsd:enumeration value="SO"/>
          <xsd:enumeration value="ST"/>
          <xsd:enumeration value="SU"/>
          <xsd:enumeration value="SW"/>
          <xsd:enumeration value="SS"/>
          <xsd:enumeration value="TL"/>
          <xsd:enumeration value="TY"/>
          <xsd:enumeration value="TG"/>
          <xsd:enumeration value="TA"/>
          <xsd:enumeration value="TT"/>
          <xsd:enumeration value="TE"/>
          <xsd:enumeration value="TH"/>
          <xsd:enumeration value="BO"/>
          <xsd:enumeration value="TI"/>
          <xsd:enumeration value="TO"/>
          <xsd:enumeration value="TS"/>
          <xsd:enumeration value="TN"/>
          <xsd:enumeration value="TK"/>
          <xsd:enumeration value="TW"/>
          <xsd:enumeration value="UG"/>
          <xsd:enumeration value="UK"/>
          <xsd:enumeration value="UR"/>
          <xsd:enumeration value="UZ"/>
          <xsd:enumeration value="VE"/>
          <xsd:enumeration value="VI"/>
          <xsd:enumeration value="VO"/>
          <xsd:enumeration value="WA"/>
          <xsd:enumeration value="CY"/>
          <xsd:enumeration value="FY"/>
          <xsd:enumeration value="WO"/>
          <xsd:enumeration value="XH"/>
          <xsd:enumeration value="YI"/>
          <xsd:enumeration value="YO"/>
          <xsd:enumeration value="ZA"/>
          <xsd:enumeration value="ZU"/>
        </xsd:restriction>
      </xsd:simpleType>
    </xsd:element>
    <xsd:element name="SharedWithUsers" ma:index="15"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6" nillable="true" ma:displayName="Shared With Details" ma:internalName="SharedWithDetails" ma:readOnly="true">
      <xsd:simpleType>
        <xsd:restriction base="dms:Note">
          <xsd:maxLength value="255"/>
        </xsd:restriction>
      </xsd:simpleType>
    </xsd:element>
    <xsd:element name="EC_Collab_Status" ma:index="17" nillable="true" ma:displayName="EC Status" ma:default="Not Started" ma:format="Dropdown" ma:internalName="EC_Collab_Status" ma:readOnly="false">
      <xsd:simpleType>
        <xsd:restriction base="dms:Choice">
          <xsd:enumeration value="Not Started"/>
          <xsd:enumeration value="Draft"/>
          <xsd:enumeration value="Reviewed"/>
          <xsd:enumeration value="Scheduled"/>
          <xsd:enumeration value="Published"/>
          <xsd:enumeration value="Final"/>
          <xsd:enumeration value="Expired"/>
        </xsd:restriction>
      </xsd:simpleType>
    </xsd:element>
    <xsd:element name="TaxCatchAll" ma:index="21" nillable="true" ma:displayName="Taxonomy Catch All Column" ma:hidden="true" ma:list="{51513471-611d-4aba-ae12-e8d0e877eea6}" ma:internalName="TaxCatchAll" ma:showField="CatchAllData" ma:web="144c03d0-0f03-451f-9d46-5279004462a4">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f7bb8512-91eb-4bfd-be42-d6f021407e9a" elementFormDefault="qualified">
    <xsd:import namespace="http://schemas.microsoft.com/office/2006/documentManagement/types"/>
    <xsd:import namespace="http://schemas.microsoft.com/office/infopath/2007/PartnerControls"/>
    <xsd:element name="MediaServiceSearchProperties" ma:index="18" nillable="true" ma:displayName="MediaServiceSearchProperties" ma:hidden="true" ma:internalName="MediaServiceSearchProperties" ma:readOnly="true">
      <xsd:simpleType>
        <xsd:restriction base="dms:Note"/>
      </xsd:simpleType>
    </xsd:element>
    <xsd:element name="lcf76f155ced4ddcb4097134ff3c332f" ma:index="20" nillable="true" ma:taxonomy="true" ma:internalName="lcf76f155ced4ddcb4097134ff3c332f" ma:taxonomyFieldName="MediaServiceImageTags" ma:displayName="Image Tags" ma:readOnly="false" ma:fieldId="{5cf76f15-5ced-4ddc-b409-7134ff3c332f}" ma:taxonomyMulti="true" ma:sspId="22b2fad6-9d2c-441c-a321-3f5f1e9bd928" ma:termSetId="09814cd3-568e-fe90-9814-8d621ff8fb84" ma:anchorId="fba54fb3-c3e1-fe81-a776-ca4b69148c4d" ma:open="true" ma:isKeyword="false">
      <xsd:complexType>
        <xsd:sequence>
          <xsd:element ref="pc:Terms" minOccurs="0" maxOccurs="1"/>
        </xsd:sequence>
      </xsd:complexType>
    </xsd:element>
    <xsd:element name="MediaServiceDateTaken" ma:index="22" nillable="true" ma:displayName="MediaServiceDateTaken" ma:hidden="true" ma:indexed="true" ma:internalName="MediaServiceDateTaken" ma:readOnly="true">
      <xsd:simpleType>
        <xsd:restriction base="dms:Text"/>
      </xsd:simpleType>
    </xsd:element>
    <xsd:element name="MediaServiceOCR" ma:index="23" nillable="true" ma:displayName="Extracted Text" ma:internalName="MediaServiceOCR" ma:readOnly="true">
      <xsd:simpleType>
        <xsd:restriction base="dms:Note">
          <xsd:maxLength value="255"/>
        </xsd:restriction>
      </xsd:simpleType>
    </xsd:element>
    <xsd:element name="MediaServiceGenerationTime" ma:index="24" nillable="true" ma:displayName="MediaServiceGenerationTime" ma:hidden="true" ma:internalName="MediaServiceGenerationTime" ma:readOnly="true">
      <xsd:simpleType>
        <xsd:restriction base="dms:Text"/>
      </xsd:simpleType>
    </xsd:element>
    <xsd:element name="MediaServiceEventHashCode" ma:index="25" nillable="true" ma:displayName="MediaServiceEventHashCode" ma:hidden="true" ma:internalName="MediaServiceEventHashCode"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ma:index="9" ma:displayName="Author"/>
        <xsd:element ref="dcterms:created" minOccurs="0" maxOccurs="1"/>
        <xsd:element ref="dc:identifier" minOccurs="0" maxOccurs="1"/>
        <xsd:element name="contentType" minOccurs="0" maxOccurs="1" type="xsd:string" ma:index="0" ma:displayName="Content Type"/>
        <xsd:element ref="dc:title" minOccurs="0" maxOccurs="1" ma:index="7" ma:displayName="Title"/>
        <xsd:element ref="dc:subject" minOccurs="0" maxOccurs="1" ma:index="8" ma:displayName="Subject"/>
        <xsd:element ref="dc:description" minOccurs="0" maxOccurs="1" ma:index="11" ma:displayName="Comments"/>
        <xsd:element name="keywords" minOccurs="0" maxOccurs="1" type="xsd:string" ma:index="10" ma:displayName="Keywords"/>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ma:displayName="Status"/>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F334B60-3A74-4A7B-A04E-993EF54C7C24}">
  <ds:schemaRefs>
    <ds:schemaRef ds:uri="http://schemas.microsoft.com/office/2006/metadata/properties"/>
    <ds:schemaRef ds:uri="http://schemas.microsoft.com/office/infopath/2007/PartnerControls"/>
    <ds:schemaRef ds:uri="144c03d0-0f03-451f-9d46-5279004462a4"/>
    <ds:schemaRef ds:uri="http://schemas.microsoft.com/sharepoint/v3/fields"/>
    <ds:schemaRef ds:uri="f7bb8512-91eb-4bfd-be42-d6f021407e9a"/>
  </ds:schemaRefs>
</ds:datastoreItem>
</file>

<file path=customXml/itemProps2.xml><?xml version="1.0" encoding="utf-8"?>
<ds:datastoreItem xmlns:ds="http://schemas.openxmlformats.org/officeDocument/2006/customXml" ds:itemID="{44B016CB-EEA0-4CEC-92B7-2DBA80EDE1F1}">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fields"/>
    <ds:schemaRef ds:uri="144c03d0-0f03-451f-9d46-5279004462a4"/>
    <ds:schemaRef ds:uri="f7bb8512-91eb-4bfd-be42-d6f021407e9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516FA630-2628-44B1-A0D0-1BC38A7674DB}">
  <ds:schemaRefs>
    <ds:schemaRef ds:uri="http://schemas.microsoft.com/sharepoint/v3/contenttype/forms"/>
  </ds:schemaRefs>
</ds:datastoreItem>
</file>

<file path=customXml/itemProps4.xml><?xml version="1.0" encoding="utf-8"?>
<ds:datastoreItem xmlns:ds="http://schemas.openxmlformats.org/officeDocument/2006/customXml" ds:itemID="{98D0FD90-31C4-40CB-8590-E1963FD6F61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COM.dotm</Template>
  <TotalTime>2</TotalTime>
  <Pages>11</Pages>
  <Words>3747</Words>
  <Characters>21358</Characters>
  <Application>Microsoft Office Word</Application>
  <DocSecurity>0</DocSecurity>
  <Lines>177</Lines>
  <Paragraphs>50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25055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26</cp:revision>
  <dcterms:created xsi:type="dcterms:W3CDTF">2026-05-19T16:28:00Z</dcterms:created>
  <dcterms:modified xsi:type="dcterms:W3CDTF">2026-06-04T18:43:00Z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ategory">
    <vt:lpwstr>COM/PL/ORG</vt:lpwstr>
  </property>
  <property fmtid="{D5CDD505-2E9C-101B-9397-08002B2CF9AE}" pid="3" name="Version">
    <vt:lpwstr>8.0.25.0</vt:lpwstr>
  </property>
  <property fmtid="{D5CDD505-2E9C-101B-9397-08002B2CF9AE}" pid="4" name="Last edited using">
    <vt:lpwstr>LW 9.2, Build 20250828</vt:lpwstr>
  </property>
  <property fmtid="{D5CDD505-2E9C-101B-9397-08002B2CF9AE}" pid="5" name="Created using">
    <vt:lpwstr>LW 9.2, Build 20250828</vt:lpwstr>
  </property>
  <property fmtid="{D5CDD505-2E9C-101B-9397-08002B2CF9AE}" pid="6" name="Part">
    <vt:lpwstr>1</vt:lpwstr>
  </property>
  <property fmtid="{D5CDD505-2E9C-101B-9397-08002B2CF9AE}" pid="7" name="Total parts">
    <vt:lpwstr>1</vt:lpwstr>
  </property>
  <property fmtid="{D5CDD505-2E9C-101B-9397-08002B2CF9AE}" pid="8" name="Level of sensitivity">
    <vt:lpwstr>Standard treatment</vt:lpwstr>
  </property>
  <property fmtid="{D5CDD505-2E9C-101B-9397-08002B2CF9AE}" pid="9" name="LWTemplateID">
    <vt:lpwstr>SJ-020</vt:lpwstr>
  </property>
  <property fmtid="{D5CDD505-2E9C-101B-9397-08002B2CF9AE}" pid="10" name="MSIP_Label_6bd9ddd1-4d20-43f6-abfa-fc3c07406f94_Enabled">
    <vt:lpwstr>true</vt:lpwstr>
  </property>
  <property fmtid="{D5CDD505-2E9C-101B-9397-08002B2CF9AE}" pid="11" name="MSIP_Label_6bd9ddd1-4d20-43f6-abfa-fc3c07406f94_SetDate">
    <vt:lpwstr>2026-03-24T12:47:24Z</vt:lpwstr>
  </property>
  <property fmtid="{D5CDD505-2E9C-101B-9397-08002B2CF9AE}" pid="12" name="MSIP_Label_6bd9ddd1-4d20-43f6-abfa-fc3c07406f94_Method">
    <vt:lpwstr>Standard</vt:lpwstr>
  </property>
  <property fmtid="{D5CDD505-2E9C-101B-9397-08002B2CF9AE}" pid="13" name="MSIP_Label_6bd9ddd1-4d20-43f6-abfa-fc3c07406f94_Name">
    <vt:lpwstr>Commission Use</vt:lpwstr>
  </property>
  <property fmtid="{D5CDD505-2E9C-101B-9397-08002B2CF9AE}" pid="14" name="MSIP_Label_6bd9ddd1-4d20-43f6-abfa-fc3c07406f94_SiteId">
    <vt:lpwstr>b24c8b06-522c-46fe-9080-70926f8dddb1</vt:lpwstr>
  </property>
  <property fmtid="{D5CDD505-2E9C-101B-9397-08002B2CF9AE}" pid="15" name="MSIP_Label_6bd9ddd1-4d20-43f6-abfa-fc3c07406f94_ActionId">
    <vt:lpwstr>992db4a0-df37-4b1a-be91-8f5eedd7e4ae</vt:lpwstr>
  </property>
  <property fmtid="{D5CDD505-2E9C-101B-9397-08002B2CF9AE}" pid="16" name="MSIP_Label_6bd9ddd1-4d20-43f6-abfa-fc3c07406f94_ContentBits">
    <vt:lpwstr>0</vt:lpwstr>
  </property>
  <property fmtid="{D5CDD505-2E9C-101B-9397-08002B2CF9AE}" pid="17" name="MSIP_Label_6bd9ddd1-4d20-43f6-abfa-fc3c07406f94_Tag">
    <vt:lpwstr>10, 3, 0, 1</vt:lpwstr>
  </property>
  <property fmtid="{D5CDD505-2E9C-101B-9397-08002B2CF9AE}" pid="18" name="ContentTypeId">
    <vt:lpwstr>0x010100BAD999D84E12C74482EA5120F5227F6F00217DECAAC21D6B43958DFE68658C192E</vt:lpwstr>
  </property>
  <property fmtid="{D5CDD505-2E9C-101B-9397-08002B2CF9AE}" pid="19" name="MediaServiceImageTags">
    <vt:lpwstr/>
  </property>
  <property fmtid="{D5CDD505-2E9C-101B-9397-08002B2CF9AE}" pid="20" name="DQCStatus">
    <vt:lpwstr>Green (DQC version 03)</vt:lpwstr>
  </property>
  <property name="OP_sanitized" fmtid="{D5CDD505-2E9C-101B-9397-08002B2CF9AE}" pid="21">
    <vt:lpwstr>True</vt:lpwstr>
  </property>
</Properties>
</file>