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0595" w:rsidRPr="00B537F7" w:rsidRDefault="004256E8" w:rsidP="004256E8">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6C841167-6DB0-43BA-A4A1-21CACDD1E8E0" style="width:455.25pt;height:330pt">
            <v:imagedata r:id="rId11" o:title=""/>
          </v:shape>
        </w:pict>
      </w:r>
    </w:p>
    <w:p w:rsidR="00920595" w:rsidRPr="00B537F7" w:rsidRDefault="00920595" w:rsidP="00723A68">
      <w:pPr>
        <w:pStyle w:val="Pagedecouverture"/>
        <w:rPr>
          <w:noProof/>
        </w:rPr>
        <w:sectPr w:rsidR="00920595" w:rsidRPr="00B537F7" w:rsidSect="004256E8">
          <w:footerReference w:type="even" r:id="rId12"/>
          <w:footerReference w:type="default" r:id="rId13"/>
          <w:pgSz w:w="11907" w:h="16839"/>
          <w:pgMar w:top="1134" w:right="1417" w:bottom="1134" w:left="1417" w:header="709" w:footer="709" w:gutter="0"/>
          <w:pgNumType w:start="0"/>
          <w:cols w:space="720"/>
          <w:docGrid w:linePitch="360"/>
        </w:sectPr>
      </w:pPr>
    </w:p>
    <w:p w:rsidR="00E93B07" w:rsidRDefault="00613FE6">
      <w:pPr>
        <w:pStyle w:val="Rfrenceinterinstitutionnelle"/>
        <w:rPr>
          <w:noProof/>
        </w:rPr>
      </w:pPr>
      <w:bookmarkStart w:id="0" w:name="_GoBack"/>
      <w:bookmarkEnd w:id="0"/>
      <w:r>
        <w:rPr>
          <w:noProof/>
        </w:rPr>
        <w:lastRenderedPageBreak/>
        <w:t>2026/0022 (NLE)</w:t>
      </w:r>
    </w:p>
    <w:p w:rsidR="00920595" w:rsidRPr="00B537F7" w:rsidRDefault="00B537F7" w:rsidP="00B537F7">
      <w:pPr>
        <w:pStyle w:val="Statut"/>
        <w:rPr>
          <w:noProof/>
        </w:rPr>
      </w:pPr>
      <w:r w:rsidRPr="00B537F7">
        <w:rPr>
          <w:noProof/>
        </w:rPr>
        <w:t>Návrh</w:t>
      </w:r>
    </w:p>
    <w:p w:rsidR="00920595" w:rsidRPr="00B537F7" w:rsidRDefault="00B537F7" w:rsidP="00B537F7">
      <w:pPr>
        <w:pStyle w:val="Typedudocument"/>
        <w:rPr>
          <w:noProof/>
        </w:rPr>
      </w:pPr>
      <w:r w:rsidRPr="00B537F7">
        <w:rPr>
          <w:noProof/>
        </w:rPr>
        <w:t>PROVÁDĚCÍ ROZHODNUTÍ RADY</w:t>
      </w:r>
    </w:p>
    <w:p w:rsidR="00920595" w:rsidRPr="00B537F7" w:rsidRDefault="00B537F7" w:rsidP="00B537F7">
      <w:pPr>
        <w:pStyle w:val="Titreobjet"/>
        <w:rPr>
          <w:noProof/>
        </w:rPr>
      </w:pPr>
      <w:r w:rsidRPr="00B537F7">
        <w:rPr>
          <w:noProof/>
        </w:rPr>
        <w:t>o poskytnutí finanční pomoci podle nařízení (EU) 2025/1106 Chorvatsku</w:t>
      </w:r>
    </w:p>
    <w:p w:rsidR="00FE6B92" w:rsidRPr="00B537F7" w:rsidRDefault="00FE6B92" w:rsidP="00FE6B92">
      <w:pPr>
        <w:rPr>
          <w:noProof/>
        </w:rPr>
      </w:pPr>
      <w:r w:rsidRPr="00B537F7">
        <w:rPr>
          <w:noProof/>
        </w:rPr>
        <w:t>RADA EVROPSKÉ UNIE,</w:t>
      </w:r>
    </w:p>
    <w:p w:rsidR="00920595" w:rsidRPr="00B537F7" w:rsidRDefault="00920595" w:rsidP="00D31C35">
      <w:pPr>
        <w:rPr>
          <w:rFonts w:eastAsia="Times New Roman"/>
          <w:noProof/>
        </w:rPr>
      </w:pPr>
      <w:r w:rsidRPr="00B537F7">
        <w:rPr>
          <w:noProof/>
        </w:rPr>
        <w:t>s ohledem na Smlouvu o fungování Evropské unie,</w:t>
      </w:r>
    </w:p>
    <w:p w:rsidR="00920595" w:rsidRPr="00B537F7" w:rsidRDefault="00B877D0" w:rsidP="00D31C35">
      <w:pPr>
        <w:rPr>
          <w:rFonts w:eastAsia="Times New Roman"/>
          <w:noProof/>
        </w:rPr>
      </w:pPr>
      <w:bookmarkStart w:id="1" w:name="_Hlk218870434"/>
      <w:r w:rsidRPr="00B537F7">
        <w:rPr>
          <w:noProof/>
        </w:rPr>
        <w:t>s ohledem na nařízení Rady (EU) 2025/1106 ze dne 27. května 2025, kterým se zřizuje nástroj Bezpečnostní akce pro Evropu (SAFE) prostřednictvím posílení evropského obranného průmyslu</w:t>
      </w:r>
      <w:r w:rsidRPr="00B537F7">
        <w:rPr>
          <w:rStyle w:val="FootnoteReference"/>
          <w:noProof/>
        </w:rPr>
        <w:footnoteReference w:id="1"/>
      </w:r>
      <w:r w:rsidRPr="00B537F7">
        <w:rPr>
          <w:noProof/>
        </w:rPr>
        <w:t>, a zejména na čl. 8 odst. 6 uvedeného nařízení</w:t>
      </w:r>
      <w:bookmarkEnd w:id="1"/>
      <w:r w:rsidRPr="00B537F7">
        <w:rPr>
          <w:noProof/>
        </w:rPr>
        <w:t>,</w:t>
      </w:r>
    </w:p>
    <w:p w:rsidR="00920595" w:rsidRPr="00B537F7" w:rsidRDefault="00920595" w:rsidP="00D31C35">
      <w:pPr>
        <w:rPr>
          <w:rFonts w:eastAsia="Times New Roman"/>
          <w:noProof/>
        </w:rPr>
      </w:pPr>
      <w:r w:rsidRPr="00B537F7">
        <w:rPr>
          <w:noProof/>
        </w:rPr>
        <w:t>s ohledem na návrh Evropské komise,</w:t>
      </w:r>
    </w:p>
    <w:p w:rsidR="00920595" w:rsidRPr="00B537F7" w:rsidRDefault="00920595" w:rsidP="00D31C35">
      <w:pPr>
        <w:rPr>
          <w:rFonts w:eastAsia="Times New Roman"/>
          <w:noProof/>
        </w:rPr>
      </w:pPr>
      <w:bookmarkStart w:id="2" w:name="_Hlk216364633"/>
      <w:r w:rsidRPr="00B537F7">
        <w:rPr>
          <w:noProof/>
        </w:rPr>
        <w:t>vzhledem k těmto důvodům:</w:t>
      </w:r>
    </w:p>
    <w:p w:rsidR="00B877D0" w:rsidRPr="00B537F7" w:rsidRDefault="008C0B47" w:rsidP="008C0B47">
      <w:pPr>
        <w:pStyle w:val="Point0"/>
        <w:rPr>
          <w:noProof/>
        </w:rPr>
      </w:pPr>
      <w:r>
        <w:rPr>
          <w:noProof/>
        </w:rPr>
        <w:t>1)</w:t>
      </w:r>
      <w:r>
        <w:rPr>
          <w:noProof/>
        </w:rPr>
        <w:tab/>
      </w:r>
      <w:r w:rsidR="00B877D0" w:rsidRPr="00B537F7">
        <w:rPr>
          <w:noProof/>
        </w:rPr>
        <w:t xml:space="preserve">Komise zveřejnila výzvu k vyjádření zájmu o obdržení finanční pomoci v rámci </w:t>
      </w:r>
      <w:bookmarkStart w:id="3" w:name="_Hlk218868365"/>
      <w:r w:rsidR="00B877D0" w:rsidRPr="00B537F7">
        <w:rPr>
          <w:noProof/>
        </w:rPr>
        <w:t>nástroje Bezpečnostní akce pro Evropu prostřednictvím posílení evropského obranného průmyslu (dále jen</w:t>
      </w:r>
      <w:bookmarkEnd w:id="3"/>
      <w:r w:rsidR="00B877D0" w:rsidRPr="00B537F7">
        <w:rPr>
          <w:noProof/>
        </w:rPr>
        <w:t xml:space="preserve"> „nástroj SAFE“) a požádala členské státy, aby uvedly orientační maximální a minimální částku úvěru. Do 29. srpna 2025 vyjádřilo zájem o získání finanční pomoci podle nařízení (EU) 2025/1106 devatenáct členských států.</w:t>
      </w:r>
    </w:p>
    <w:p w:rsidR="00B877D0" w:rsidRPr="00B537F7" w:rsidRDefault="008C0B47" w:rsidP="008C0B47">
      <w:pPr>
        <w:pStyle w:val="Point0"/>
        <w:rPr>
          <w:noProof/>
        </w:rPr>
      </w:pPr>
      <w:bookmarkStart w:id="4" w:name="_Hlk218868880"/>
      <w:r>
        <w:rPr>
          <w:noProof/>
        </w:rPr>
        <w:t>2)</w:t>
      </w:r>
      <w:r>
        <w:rPr>
          <w:noProof/>
        </w:rPr>
        <w:tab/>
      </w:r>
      <w:r w:rsidR="00B877D0" w:rsidRPr="00B537F7">
        <w:rPr>
          <w:noProof/>
        </w:rPr>
        <w:t>Dne 9. září 2025 oznámila Komise žádajícím členským státům předběžné</w:t>
      </w:r>
      <w:bookmarkEnd w:id="4"/>
      <w:r w:rsidR="00B877D0" w:rsidRPr="00B537F7">
        <w:rPr>
          <w:noProof/>
        </w:rPr>
        <w:t xml:space="preserve"> přidělení částek úvěru pro jednotlivé členské státy.</w:t>
      </w:r>
    </w:p>
    <w:p w:rsidR="00920595" w:rsidRPr="00B537F7" w:rsidRDefault="008C0B47" w:rsidP="008C0B47">
      <w:pPr>
        <w:pStyle w:val="Point0"/>
        <w:rPr>
          <w:noProof/>
        </w:rPr>
      </w:pPr>
      <w:bookmarkStart w:id="5" w:name="_Hlk218870488"/>
      <w:r>
        <w:rPr>
          <w:noProof/>
        </w:rPr>
        <w:t>3)</w:t>
      </w:r>
      <w:r>
        <w:rPr>
          <w:noProof/>
        </w:rPr>
        <w:tab/>
      </w:r>
      <w:r w:rsidR="00B877D0" w:rsidRPr="00B537F7">
        <w:rPr>
          <w:noProof/>
        </w:rPr>
        <w:t xml:space="preserve">Dne 28. listopadu 2025 předložilo Chorvatsko v souladu s čl. 7 odst. 1 </w:t>
      </w:r>
      <w:r w:rsidR="00B877D0" w:rsidRPr="00B537F7">
        <w:rPr>
          <w:noProof/>
          <w:color w:val="333333"/>
        </w:rPr>
        <w:t>nařízení (EU) 2025/1106</w:t>
      </w:r>
      <w:r w:rsidR="00B877D0" w:rsidRPr="00B537F7">
        <w:rPr>
          <w:noProof/>
        </w:rPr>
        <w:t xml:space="preserve"> žádost o finanční pomoc (dále jen „žádost“)</w:t>
      </w:r>
      <w:bookmarkEnd w:id="5"/>
      <w:r w:rsidR="00B877D0" w:rsidRPr="00B537F7">
        <w:rPr>
          <w:noProof/>
        </w:rPr>
        <w:t xml:space="preserve"> doprovázenou investičním plánem evropského obranného průmyslu (dále jen „plán“).</w:t>
      </w:r>
    </w:p>
    <w:p w:rsidR="007B5A04" w:rsidRPr="00B537F7" w:rsidRDefault="008C0B47" w:rsidP="008C0B47">
      <w:pPr>
        <w:pStyle w:val="Point0"/>
        <w:rPr>
          <w:noProof/>
        </w:rPr>
      </w:pPr>
      <w:bookmarkStart w:id="6" w:name="_Hlk218870606"/>
      <w:r>
        <w:rPr>
          <w:noProof/>
        </w:rPr>
        <w:t>4)</w:t>
      </w:r>
      <w:r>
        <w:rPr>
          <w:noProof/>
        </w:rPr>
        <w:tab/>
      </w:r>
      <w:r w:rsidR="00B877D0" w:rsidRPr="00B537F7">
        <w:rPr>
          <w:noProof/>
        </w:rPr>
        <w:t>Komise žádost posoudila na základě podmínek stanovených v nařízení (EU) 2025/1106.</w:t>
      </w:r>
      <w:bookmarkEnd w:id="6"/>
    </w:p>
    <w:p w:rsidR="00AE4AB6" w:rsidRPr="00B537F7" w:rsidRDefault="008C0B47" w:rsidP="008C0B47">
      <w:pPr>
        <w:pStyle w:val="Point0"/>
        <w:rPr>
          <w:noProof/>
        </w:rPr>
      </w:pPr>
      <w:r>
        <w:rPr>
          <w:noProof/>
        </w:rPr>
        <w:t>5)</w:t>
      </w:r>
      <w:r>
        <w:rPr>
          <w:noProof/>
        </w:rPr>
        <w:tab/>
      </w:r>
      <w:r w:rsidR="00AE4AB6" w:rsidRPr="00B537F7">
        <w:rPr>
          <w:noProof/>
        </w:rPr>
        <w:t>V souladu s článkem 7 nařízení (EU) 2025/1106 byl plán řádně odůvodněn a podložen a zahrnoval popis obranných produktů a jiných produktů pro obranné účely.</w:t>
      </w:r>
    </w:p>
    <w:bookmarkEnd w:id="2"/>
    <w:p w:rsidR="00B877D0" w:rsidRPr="00B537F7" w:rsidRDefault="008C0B47" w:rsidP="008C0B47">
      <w:pPr>
        <w:pStyle w:val="Point0"/>
        <w:rPr>
          <w:noProof/>
        </w:rPr>
      </w:pPr>
      <w:r>
        <w:rPr>
          <w:noProof/>
        </w:rPr>
        <w:t>6)</w:t>
      </w:r>
      <w:r>
        <w:rPr>
          <w:noProof/>
        </w:rPr>
        <w:tab/>
      </w:r>
      <w:r w:rsidR="00B877D0" w:rsidRPr="00B537F7">
        <w:rPr>
          <w:noProof/>
        </w:rPr>
        <w:t xml:space="preserve">Komise shledala, že žádost splňuje podmínky využití nástroje SAFE stanovené v článku 4 nařízení (EU) 2025/1106. Zajišťuje zejména, aby činnosti, výdaje a opatření týkající se obranných produktů nebo jiných produktů pro obranné účely byly prováděny prostřednictvím kolaborativního zadávání veřejných zakázek nebo samostatného zadávání veřejných zakázek. Jejich cílem je rovněž rychlejší přizpůsobení obranného průmyslu strukturálním změnám a/nebo zlepšení včasné dostupnosti obranných produktů a/nebo zajištění interoperability a zaměnitelnosti v celé Unii. </w:t>
      </w:r>
    </w:p>
    <w:p w:rsidR="00B877D0" w:rsidRPr="00B537F7" w:rsidRDefault="008C0B47" w:rsidP="008C0B47">
      <w:pPr>
        <w:pStyle w:val="Point0"/>
        <w:rPr>
          <w:noProof/>
        </w:rPr>
      </w:pPr>
      <w:r>
        <w:rPr>
          <w:noProof/>
        </w:rPr>
        <w:t>7)</w:t>
      </w:r>
      <w:r>
        <w:rPr>
          <w:noProof/>
        </w:rPr>
        <w:tab/>
      </w:r>
      <w:r w:rsidR="00B877D0" w:rsidRPr="00B537F7">
        <w:rPr>
          <w:noProof/>
        </w:rPr>
        <w:t>Komise rovněž shledala, že žádost obsahuje popis plánovaných opatření zaměřených na zajištění souladu s článkem 16 nařízení (EU) 2025/1106 a pravidly pro zadávání veřejných zakázek podle zmíněného nařízení, včetně popisu toho, jak má být tento soulad zajištěn.</w:t>
      </w:r>
    </w:p>
    <w:p w:rsidR="00AE4AB6" w:rsidRPr="00B537F7" w:rsidRDefault="008C0B47" w:rsidP="008C0B47">
      <w:pPr>
        <w:pStyle w:val="Point0"/>
        <w:rPr>
          <w:noProof/>
        </w:rPr>
      </w:pPr>
      <w:r>
        <w:rPr>
          <w:noProof/>
        </w:rPr>
        <w:t>8)</w:t>
      </w:r>
      <w:r>
        <w:rPr>
          <w:noProof/>
        </w:rPr>
        <w:tab/>
      </w:r>
      <w:r w:rsidR="00AE4AB6" w:rsidRPr="00B537F7">
        <w:rPr>
          <w:noProof/>
        </w:rPr>
        <w:t>V důsledku toho může Komise v souladu s čl. 8 odst. 3 nařízení (EU) 2025/1106 potvrdit, že žádost splňuje podmínky stanovené uvedeným nařízením.</w:t>
      </w:r>
    </w:p>
    <w:p w:rsidR="00AE4AB6" w:rsidRPr="00B537F7" w:rsidRDefault="008C0B47" w:rsidP="008C0B47">
      <w:pPr>
        <w:pStyle w:val="Point0"/>
        <w:rPr>
          <w:noProof/>
        </w:rPr>
      </w:pPr>
      <w:r>
        <w:rPr>
          <w:noProof/>
        </w:rPr>
        <w:t>9)</w:t>
      </w:r>
      <w:r>
        <w:rPr>
          <w:noProof/>
        </w:rPr>
        <w:tab/>
      </w:r>
      <w:r w:rsidR="00AE4AB6" w:rsidRPr="00B537F7">
        <w:rPr>
          <w:noProof/>
        </w:rPr>
        <w:t>V souladu s čl. 8 odst. 5 nařízení (EU) 2025/1106 vzala Komise v úvahu stávající a očekávané finanční potřeby Chorvatska, jakož i žádosti o finanční pomoc podle uvedeného nařízení, které již podaly nebo plánují podat další členské státy, přičemž uplatnila zásady rovného zacházení, solidarity, proporcionality a transparentnosti.</w:t>
      </w:r>
    </w:p>
    <w:p w:rsidR="008B2C8A" w:rsidRPr="00B537F7" w:rsidRDefault="008C0B47" w:rsidP="008C0B47">
      <w:pPr>
        <w:pStyle w:val="Point0"/>
        <w:rPr>
          <w:noProof/>
          <w:szCs w:val="24"/>
        </w:rPr>
      </w:pPr>
      <w:r>
        <w:rPr>
          <w:noProof/>
        </w:rPr>
        <w:t>10)</w:t>
      </w:r>
      <w:r>
        <w:rPr>
          <w:noProof/>
        </w:rPr>
        <w:tab/>
      </w:r>
      <w:r w:rsidR="00B877D0" w:rsidRPr="00B537F7">
        <w:rPr>
          <w:noProof/>
        </w:rPr>
        <w:t>Tímto rozhodnutím by neměly být dotčeny povinnosti a výsledky jakýchkoli postupů podle nařízení Evropského parlamentu a Rady (EU) 2024/1263</w:t>
      </w:r>
      <w:r w:rsidR="00B877D0" w:rsidRPr="00B537F7">
        <w:rPr>
          <w:rStyle w:val="FootnoteReference"/>
          <w:noProof/>
        </w:rPr>
        <w:footnoteReference w:id="2"/>
      </w:r>
      <w:r w:rsidR="00B877D0" w:rsidRPr="00B537F7">
        <w:rPr>
          <w:noProof/>
        </w:rPr>
        <w:t xml:space="preserve"> a nařízení Rady (ES) č. 1467/97</w:t>
      </w:r>
      <w:r w:rsidR="00B877D0" w:rsidRPr="00B537F7">
        <w:rPr>
          <w:rStyle w:val="FootnoteReference"/>
          <w:noProof/>
        </w:rPr>
        <w:footnoteReference w:id="3"/>
      </w:r>
      <w:r w:rsidR="00B877D0" w:rsidRPr="00B537F7">
        <w:rPr>
          <w:noProof/>
        </w:rPr>
        <w:t>.</w:t>
      </w:r>
    </w:p>
    <w:p w:rsidR="00B877D0" w:rsidRPr="00B537F7" w:rsidRDefault="008C0B47" w:rsidP="008C0B47">
      <w:pPr>
        <w:pStyle w:val="Point0"/>
        <w:rPr>
          <w:noProof/>
        </w:rPr>
      </w:pPr>
      <w:r>
        <w:rPr>
          <w:noProof/>
        </w:rPr>
        <w:t>11)</w:t>
      </w:r>
      <w:r>
        <w:rPr>
          <w:noProof/>
        </w:rPr>
        <w:tab/>
      </w:r>
      <w:r w:rsidR="008B2C8A" w:rsidRPr="00B537F7">
        <w:rPr>
          <w:noProof/>
        </w:rPr>
        <w:t>Tímto rozhodnutím nejsou dotčena příslušná pravidla přijatá podle článku 322 Smlouvy o fungování Evropské unie, zejména finanční nařízení a nařízení Evropského parlamentu a Rady (EU, Euratom) 2020/2092</w:t>
      </w:r>
      <w:r w:rsidR="008B2C8A" w:rsidRPr="00B537F7">
        <w:rPr>
          <w:rStyle w:val="FootnoteReference"/>
          <w:noProof/>
        </w:rPr>
        <w:footnoteReference w:id="4"/>
      </w:r>
      <w:r w:rsidR="008B2C8A" w:rsidRPr="00B537F7">
        <w:rPr>
          <w:noProof/>
        </w:rPr>
        <w:t>. V souladu s čl. 10 odst. 2 nařízení o nástroji SAFE by smlouva o úvěru měla stanovit veškerá vhodná opatření nezbytná pro ochranu finančních zájmů Unie,</w:t>
      </w:r>
    </w:p>
    <w:p w:rsidR="00920595" w:rsidRPr="00B537F7" w:rsidRDefault="00920595" w:rsidP="00B20124">
      <w:pPr>
        <w:pStyle w:val="HeaderLandscape"/>
        <w:rPr>
          <w:noProof/>
        </w:rPr>
      </w:pPr>
      <w:r w:rsidRPr="00B537F7">
        <w:rPr>
          <w:noProof/>
        </w:rPr>
        <w:t xml:space="preserve">PŘIJALA TOTO ROZHODNUTÍ: </w:t>
      </w:r>
    </w:p>
    <w:p w:rsidR="00B877D0" w:rsidRPr="00B537F7" w:rsidRDefault="00B877D0" w:rsidP="00B877D0">
      <w:pPr>
        <w:pStyle w:val="Titrearticle"/>
        <w:rPr>
          <w:noProof/>
        </w:rPr>
      </w:pPr>
      <w:bookmarkStart w:id="7" w:name="_Hlk218870749"/>
      <w:r w:rsidRPr="00B537F7">
        <w:rPr>
          <w:noProof/>
        </w:rPr>
        <w:t>Článek 1</w:t>
      </w:r>
    </w:p>
    <w:bookmarkEnd w:id="7"/>
    <w:p w:rsidR="00920595" w:rsidRPr="00B537F7" w:rsidRDefault="00B877D0" w:rsidP="00D31C35">
      <w:pPr>
        <w:rPr>
          <w:rFonts w:eastAsia="Times New Roman"/>
          <w:noProof/>
        </w:rPr>
      </w:pPr>
      <w:r w:rsidRPr="00B537F7">
        <w:rPr>
          <w:noProof/>
        </w:rPr>
        <w:t>Žádost o finanční pomoc v rámci nástroje Bezpečnostní akce pro Evropu (SAFE) prostřednictvím posílení evropského obranného průmyslu, kterou Chorvatsko předložilo dne 28. listopadu 2025, splňuje podmínky stanovené nařízením (EU) 2025/1106, zejména podmínky stanovené v článku 4, čl. 7 odst. 2 a článku 16.</w:t>
      </w:r>
    </w:p>
    <w:p w:rsidR="00920595" w:rsidRPr="00B537F7" w:rsidRDefault="00920595" w:rsidP="00D31C35">
      <w:pPr>
        <w:pStyle w:val="Titrearticle"/>
        <w:rPr>
          <w:noProof/>
        </w:rPr>
      </w:pPr>
      <w:r w:rsidRPr="00B537F7">
        <w:rPr>
          <w:noProof/>
        </w:rPr>
        <w:t>Článek 2</w:t>
      </w:r>
    </w:p>
    <w:p w:rsidR="00920595" w:rsidRPr="00B537F7" w:rsidRDefault="00920595" w:rsidP="00D31C35">
      <w:pPr>
        <w:rPr>
          <w:noProof/>
        </w:rPr>
      </w:pPr>
      <w:r w:rsidRPr="00B537F7">
        <w:rPr>
          <w:noProof/>
        </w:rPr>
        <w:t>1. Unie poskytne Chorvatsku úvěr v maximální výši 1 700 000 000,00 EUR.</w:t>
      </w:r>
    </w:p>
    <w:p w:rsidR="00920595" w:rsidRPr="00B537F7" w:rsidRDefault="00E53456" w:rsidP="00E53456">
      <w:pPr>
        <w:rPr>
          <w:noProof/>
          <w:highlight w:val="yellow"/>
        </w:rPr>
      </w:pPr>
      <w:r w:rsidRPr="00B537F7">
        <w:rPr>
          <w:noProof/>
        </w:rPr>
        <w:t>2. Unie poskytne Chorvatsku úvěrovou podporu. Částku ve výši 255 000 000,00 EUR poskytne jako předběžné financování.</w:t>
      </w:r>
    </w:p>
    <w:p w:rsidR="00920595" w:rsidRPr="00B537F7" w:rsidRDefault="00920595" w:rsidP="00A2200B">
      <w:pPr>
        <w:pStyle w:val="Titrearticle"/>
        <w:rPr>
          <w:noProof/>
        </w:rPr>
      </w:pPr>
      <w:r w:rsidRPr="00B537F7">
        <w:rPr>
          <w:noProof/>
        </w:rPr>
        <w:t>Článek 3</w:t>
      </w:r>
    </w:p>
    <w:p w:rsidR="00920595" w:rsidRPr="00B537F7" w:rsidRDefault="00920595" w:rsidP="00D31C35">
      <w:pPr>
        <w:rPr>
          <w:noProof/>
        </w:rPr>
      </w:pPr>
      <w:r w:rsidRPr="00B537F7">
        <w:rPr>
          <w:noProof/>
        </w:rPr>
        <w:t>Toto rozhodnutí je určeno Chorvatské republice.</w:t>
      </w:r>
    </w:p>
    <w:p w:rsidR="00920595" w:rsidRPr="00B537F7" w:rsidRDefault="00B537F7" w:rsidP="00A2200B">
      <w:pPr>
        <w:pStyle w:val="Fait"/>
        <w:rPr>
          <w:noProof/>
        </w:rPr>
      </w:pPr>
      <w:r>
        <w:rPr>
          <w:noProof/>
        </w:rPr>
        <w:t>V Bruselu dne</w:t>
      </w:r>
    </w:p>
    <w:p w:rsidR="00920595" w:rsidRPr="00B537F7" w:rsidRDefault="00920595" w:rsidP="00A2200B">
      <w:pPr>
        <w:pStyle w:val="Institutionquisigne"/>
        <w:rPr>
          <w:noProof/>
        </w:rPr>
      </w:pPr>
      <w:r w:rsidRPr="00B537F7">
        <w:rPr>
          <w:noProof/>
        </w:rPr>
        <w:tab/>
        <w:t>Za Radu</w:t>
      </w:r>
    </w:p>
    <w:p w:rsidR="00920595" w:rsidRPr="00B537F7" w:rsidRDefault="00920595" w:rsidP="00D31C35">
      <w:pPr>
        <w:pStyle w:val="Personnequisigne"/>
        <w:rPr>
          <w:noProof/>
        </w:rPr>
      </w:pPr>
      <w:r w:rsidRPr="00B537F7">
        <w:rPr>
          <w:noProof/>
        </w:rPr>
        <w:tab/>
        <w:t>předseda/předsedkyně</w:t>
      </w:r>
    </w:p>
    <w:sectPr w:rsidR="00920595" w:rsidRPr="00B537F7" w:rsidSect="004256E8">
      <w:headerReference w:type="even" r:id="rId14"/>
      <w:footerReference w:type="even" r:id="rId15"/>
      <w:footerReference w:type="default" r:id="rId16"/>
      <w:headerReference w:type="first" r:id="rId17"/>
      <w:footerReference w:type="first" r:id="rId18"/>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62B1" w:rsidRPr="005A2D96" w:rsidRDefault="00D762B1" w:rsidP="00D31C35">
      <w:pPr>
        <w:spacing w:before="0" w:after="0"/>
      </w:pPr>
      <w:r>
        <w:separator/>
      </w:r>
    </w:p>
  </w:endnote>
  <w:endnote w:type="continuationSeparator" w:id="0">
    <w:p w:rsidR="00D762B1" w:rsidRPr="005A2D96" w:rsidRDefault="00D762B1" w:rsidP="00D31C3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6E8" w:rsidRPr="004256E8" w:rsidRDefault="004256E8" w:rsidP="004256E8">
    <w:pPr>
      <w:pStyle w:val="Footer"/>
      <w:rPr>
        <w:rFonts w:ascii="Arial" w:hAnsi="Arial" w:cs="Arial"/>
        <w:b/>
        <w:sz w:val="48"/>
      </w:rPr>
    </w:pPr>
    <w:r w:rsidRPr="004256E8">
      <w:rPr>
        <w:rFonts w:ascii="Arial" w:hAnsi="Arial" w:cs="Arial"/>
        <w:b/>
        <w:sz w:val="48"/>
      </w:rPr>
      <w:t>CS</w:t>
    </w:r>
    <w:r w:rsidRPr="004256E8">
      <w:rPr>
        <w:rFonts w:ascii="Arial" w:hAnsi="Arial" w:cs="Arial"/>
        <w:b/>
        <w:sz w:val="48"/>
      </w:rPr>
      <w:tab/>
    </w:r>
    <w:r w:rsidRPr="004256E8">
      <w:rPr>
        <w:rFonts w:ascii="Arial" w:hAnsi="Arial" w:cs="Arial"/>
        <w:b/>
        <w:sz w:val="48"/>
      </w:rPr>
      <w:tab/>
    </w:r>
    <w:r w:rsidRPr="004256E8">
      <w:tab/>
    </w:r>
    <w:r w:rsidRPr="004256E8">
      <w:rPr>
        <w:rFonts w:ascii="Arial" w:hAnsi="Arial" w:cs="Arial"/>
        <w:b/>
        <w:sz w:val="48"/>
      </w:rPr>
      <w:t>CS</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6E8" w:rsidRPr="004256E8" w:rsidRDefault="004256E8" w:rsidP="004256E8">
    <w:pPr>
      <w:pStyle w:val="Footer"/>
      <w:rPr>
        <w:rFonts w:ascii="Arial" w:hAnsi="Arial" w:cs="Arial"/>
        <w:b/>
        <w:sz w:val="48"/>
      </w:rPr>
    </w:pPr>
    <w:r w:rsidRPr="004256E8">
      <w:rPr>
        <w:rFonts w:ascii="Arial" w:hAnsi="Arial" w:cs="Arial"/>
        <w:b/>
        <w:sz w:val="48"/>
      </w:rPr>
      <w:t>CS</w:t>
    </w:r>
    <w:r w:rsidRPr="004256E8">
      <w:rPr>
        <w:rFonts w:ascii="Arial" w:hAnsi="Arial" w:cs="Arial"/>
        <w:b/>
        <w:sz w:val="48"/>
      </w:rPr>
      <w:tab/>
    </w:r>
    <w:r w:rsidRPr="004256E8">
      <w:rPr>
        <w:rFonts w:ascii="Arial" w:hAnsi="Arial" w:cs="Arial"/>
        <w:b/>
        <w:sz w:val="48"/>
      </w:rPr>
      <w:tab/>
    </w:r>
    <w:r w:rsidRPr="004256E8">
      <w:tab/>
    </w:r>
    <w:r w:rsidRPr="004256E8">
      <w:rPr>
        <w:rFonts w:ascii="Arial" w:hAnsi="Arial" w:cs="Arial"/>
        <w:b/>
        <w:sz w:val="48"/>
      </w:rPr>
      <w:t>CS</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6E8" w:rsidRDefault="004256E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6E8" w:rsidRPr="004256E8" w:rsidRDefault="004256E8" w:rsidP="004256E8">
    <w:pPr>
      <w:pStyle w:val="Footer"/>
      <w:rPr>
        <w:rFonts w:ascii="Arial" w:hAnsi="Arial" w:cs="Arial"/>
        <w:b/>
        <w:sz w:val="48"/>
      </w:rPr>
    </w:pPr>
    <w:r w:rsidRPr="004256E8">
      <w:rPr>
        <w:rFonts w:ascii="Arial" w:hAnsi="Arial" w:cs="Arial"/>
        <w:b/>
        <w:sz w:val="48"/>
      </w:rPr>
      <w:t>CS</w:t>
    </w:r>
    <w:r w:rsidRPr="004256E8">
      <w:rPr>
        <w:rFonts w:ascii="Arial" w:hAnsi="Arial" w:cs="Arial"/>
        <w:b/>
        <w:sz w:val="48"/>
      </w:rPr>
      <w:tab/>
    </w:r>
    <w:r>
      <w:fldChar w:fldCharType="begin"/>
    </w:r>
    <w:r>
      <w:instrText xml:space="preserve"> PAGE  \* MERGEFORMAT </w:instrText>
    </w:r>
    <w:r>
      <w:fldChar w:fldCharType="separate"/>
    </w:r>
    <w:r w:rsidR="00A2200B">
      <w:rPr>
        <w:noProof/>
      </w:rPr>
      <w:t>2</w:t>
    </w:r>
    <w:r>
      <w:fldChar w:fldCharType="end"/>
    </w:r>
    <w:r>
      <w:tab/>
    </w:r>
    <w:r w:rsidRPr="004256E8">
      <w:tab/>
    </w:r>
    <w:r w:rsidRPr="004256E8">
      <w:rPr>
        <w:rFonts w:ascii="Arial" w:hAnsi="Arial" w:cs="Arial"/>
        <w:b/>
        <w:sz w:val="48"/>
      </w:rPr>
      <w:t>CS</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6E8" w:rsidRDefault="004256E8" w:rsidP="004256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62B1" w:rsidRPr="005A2D96" w:rsidRDefault="00D762B1" w:rsidP="00D31C35">
      <w:pPr>
        <w:spacing w:before="0" w:after="0"/>
      </w:pPr>
      <w:r>
        <w:separator/>
      </w:r>
    </w:p>
  </w:footnote>
  <w:footnote w:type="continuationSeparator" w:id="0">
    <w:p w:rsidR="00D762B1" w:rsidRPr="005A2D96" w:rsidRDefault="00D762B1" w:rsidP="00D31C35">
      <w:pPr>
        <w:spacing w:before="0" w:after="0"/>
      </w:pPr>
      <w:r>
        <w:continuationSeparator/>
      </w:r>
    </w:p>
  </w:footnote>
  <w:footnote w:id="1">
    <w:p w:rsidR="00B877D0" w:rsidRPr="005A2D96" w:rsidRDefault="00B877D0" w:rsidP="00B877D0">
      <w:pPr>
        <w:pStyle w:val="FootnoteText"/>
      </w:pPr>
      <w:r>
        <w:rPr>
          <w:rStyle w:val="FootnoteReference"/>
        </w:rPr>
        <w:footnoteRef/>
      </w:r>
      <w:r>
        <w:tab/>
        <w:t>Nařízení Rady (EU) 2025/1106 ze dne 27. května 2025, kterým se zřizuje nástroj Bezpečnostní akce pro Evropu (SAFE) prostřednictvím posílení evropského obranného průmyslu (Úř. věst. L, 2025/1106, 28.5.2025, ELI: </w:t>
      </w:r>
      <w:hyperlink r:id="rId1" w:tgtFrame="_blank" w:tooltip="Umožňuje přístup k tomuto dokumentu prostřednictvím jeho identifikátoru URI v systému ELI." w:history="1">
        <w:r>
          <w:rPr>
            <w:rStyle w:val="Hyperlink"/>
          </w:rPr>
          <w:t>http://data.europa.eu/eli/reg/2025/1106/oj</w:t>
        </w:r>
      </w:hyperlink>
      <w:r>
        <w:t>).</w:t>
      </w:r>
    </w:p>
  </w:footnote>
  <w:footnote w:id="2">
    <w:p w:rsidR="00B877D0" w:rsidRPr="005A2D96" w:rsidRDefault="00B877D0" w:rsidP="00B877D0">
      <w:pPr>
        <w:pStyle w:val="FootnoteText"/>
      </w:pPr>
      <w:r>
        <w:rPr>
          <w:rStyle w:val="FootnoteReference"/>
        </w:rPr>
        <w:footnoteRef/>
      </w:r>
      <w:r>
        <w:tab/>
        <w:t>Nařízení Evropského parlamentu a Rady (EU) 2024/1263 ze dne 29. dubna 2024 o účinné koordinaci hospodářských politik a mnohostranném rozpočtovém dohledu a o zrušení nařízení Rady (ES) č. 1466/97 (Úř. věst. L, 2024/1263, 30.4.2024, ELI: </w:t>
      </w:r>
      <w:hyperlink r:id="rId2" w:tgtFrame="_blank" w:tooltip="Umožňuje přístup k tomuto dokumentu prostřednictvím jeho identifikátoru URI v systému ELI." w:history="1">
        <w:r>
          <w:rPr>
            <w:rStyle w:val="Hyperlink"/>
          </w:rPr>
          <w:t>http://data.europa.eu/eli/reg/2024/1263/oj</w:t>
        </w:r>
      </w:hyperlink>
      <w:r>
        <w:t>).</w:t>
      </w:r>
    </w:p>
  </w:footnote>
  <w:footnote w:id="3">
    <w:p w:rsidR="00B877D0" w:rsidRPr="005A2D96" w:rsidRDefault="00B877D0" w:rsidP="00B877D0">
      <w:pPr>
        <w:pStyle w:val="FootnoteText"/>
      </w:pPr>
      <w:r>
        <w:rPr>
          <w:rStyle w:val="FootnoteReference"/>
        </w:rPr>
        <w:footnoteRef/>
      </w:r>
      <w:r>
        <w:tab/>
        <w:t>Nařízení Rady (ES) č. 1467/97 ze dne 7. července 1997 o urychlení a vyjasnění postupu při nadměrném schodku (Úř. věst. L 209, 2.8.1997, s. 6, ELI: http://data.europa.eu/eli/reg/1997/1467/oj).</w:t>
      </w:r>
    </w:p>
  </w:footnote>
  <w:footnote w:id="4">
    <w:p w:rsidR="008B2C8A" w:rsidRPr="008B2C8A" w:rsidRDefault="008B2C8A">
      <w:pPr>
        <w:pStyle w:val="FootnoteText"/>
      </w:pPr>
      <w:r>
        <w:rPr>
          <w:rStyle w:val="FootnoteReference"/>
        </w:rPr>
        <w:footnoteRef/>
      </w:r>
      <w:r>
        <w:tab/>
        <w:t>Nařízení Evropského parlamentu a Rady (EU, Euratom) 2024/2509 ze dne 23. září 2024, kterým se stanoví finanční pravidla pro souhrnný rozpočet Unie (Úř. věst. L, 2024/2509, 26.9.2024), a nařízení Evropského parlamentu a Rady (EU, Euratom) 2020/2092 ze dne 16. prosince 2020 o obecném režimu podmíněnosti na ochranu rozpočtu Unie (Úř. věst. L 433 I, 22.12.2020, s.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6E8" w:rsidRDefault="004256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6E8" w:rsidRDefault="004256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FFFFFF7D"/>
    <w:multiLevelType w:val="singleLevel"/>
    <w:tmpl w:val="ED740FEA"/>
    <w:lvl w:ilvl="0">
      <w:start w:val="1"/>
      <w:numFmt w:val="decimal"/>
      <w:pStyle w:val="ListNumber4"/>
      <w:lvlText w:val="%1."/>
      <w:lvlJc w:val="left"/>
      <w:pPr>
        <w:tabs>
          <w:tab w:val="num" w:pos="1209"/>
        </w:tabs>
        <w:ind w:left="1209" w:hanging="360"/>
      </w:pPr>
    </w:lvl>
  </w:abstractNum>
  <w:abstractNum w:abstractNumId="1" w15:restartNumberingAfterBreak="1">
    <w:nsid w:val="FFFFFF7E"/>
    <w:multiLevelType w:val="singleLevel"/>
    <w:tmpl w:val="99B8AECE"/>
    <w:lvl w:ilvl="0">
      <w:start w:val="1"/>
      <w:numFmt w:val="decimal"/>
      <w:pStyle w:val="ListNumber3"/>
      <w:lvlText w:val="%1."/>
      <w:lvlJc w:val="left"/>
      <w:pPr>
        <w:tabs>
          <w:tab w:val="num" w:pos="926"/>
        </w:tabs>
        <w:ind w:left="926" w:hanging="360"/>
      </w:pPr>
    </w:lvl>
  </w:abstractNum>
  <w:abstractNum w:abstractNumId="2" w15:restartNumberingAfterBreak="1">
    <w:nsid w:val="FFFFFF7F"/>
    <w:multiLevelType w:val="singleLevel"/>
    <w:tmpl w:val="EDC68A36"/>
    <w:lvl w:ilvl="0">
      <w:start w:val="1"/>
      <w:numFmt w:val="decimal"/>
      <w:pStyle w:val="ListNumber2"/>
      <w:lvlText w:val="%1."/>
      <w:lvlJc w:val="left"/>
      <w:pPr>
        <w:tabs>
          <w:tab w:val="num" w:pos="643"/>
        </w:tabs>
        <w:ind w:left="643" w:hanging="360"/>
      </w:pPr>
    </w:lvl>
  </w:abstractNum>
  <w:abstractNum w:abstractNumId="3" w15:restartNumberingAfterBreak="1">
    <w:nsid w:val="FFFFFF81"/>
    <w:multiLevelType w:val="singleLevel"/>
    <w:tmpl w:val="2B7A447E"/>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1">
    <w:nsid w:val="FFFFFF82"/>
    <w:multiLevelType w:val="singleLevel"/>
    <w:tmpl w:val="F57415A4"/>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1">
    <w:nsid w:val="FFFFFF83"/>
    <w:multiLevelType w:val="singleLevel"/>
    <w:tmpl w:val="06C292D6"/>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1">
    <w:nsid w:val="FFFFFF88"/>
    <w:multiLevelType w:val="singleLevel"/>
    <w:tmpl w:val="2ED60E72"/>
    <w:lvl w:ilvl="0">
      <w:start w:val="1"/>
      <w:numFmt w:val="decimal"/>
      <w:pStyle w:val="ListNumber"/>
      <w:lvlText w:val="%1."/>
      <w:lvlJc w:val="left"/>
      <w:pPr>
        <w:tabs>
          <w:tab w:val="num" w:pos="360"/>
        </w:tabs>
        <w:ind w:left="360" w:hanging="360"/>
      </w:pPr>
    </w:lvl>
  </w:abstractNum>
  <w:abstractNum w:abstractNumId="7" w15:restartNumberingAfterBreak="1">
    <w:nsid w:val="FFFFFF89"/>
    <w:multiLevelType w:val="singleLevel"/>
    <w:tmpl w:val="538C9B00"/>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5"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6"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7"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8"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9"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0"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2"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7"/>
  </w:num>
  <w:num w:numId="2">
    <w:abstractNumId w:val="5"/>
  </w:num>
  <w:num w:numId="3">
    <w:abstractNumId w:val="4"/>
  </w:num>
  <w:num w:numId="4">
    <w:abstractNumId w:val="3"/>
  </w:num>
  <w:num w:numId="5">
    <w:abstractNumId w:val="6"/>
  </w:num>
  <w:num w:numId="6">
    <w:abstractNumId w:val="2"/>
  </w:num>
  <w:num w:numId="7">
    <w:abstractNumId w:val="1"/>
  </w:num>
  <w:num w:numId="8">
    <w:abstractNumId w:val="0"/>
  </w:num>
  <w:num w:numId="9">
    <w:abstractNumId w:val="19"/>
  </w:num>
  <w:num w:numId="10">
    <w:abstractNumId w:val="12"/>
  </w:num>
  <w:num w:numId="11">
    <w:abstractNumId w:val="21"/>
  </w:num>
  <w:num w:numId="12">
    <w:abstractNumId w:val="11"/>
  </w:num>
  <w:num w:numId="13">
    <w:abstractNumId w:val="13"/>
  </w:num>
  <w:num w:numId="14">
    <w:abstractNumId w:val="14"/>
  </w:num>
  <w:num w:numId="15">
    <w:abstractNumId w:val="9"/>
  </w:num>
  <w:num w:numId="16">
    <w:abstractNumId w:val="20"/>
  </w:num>
  <w:num w:numId="17">
    <w:abstractNumId w:val="8"/>
  </w:num>
  <w:num w:numId="18">
    <w:abstractNumId w:val="15"/>
  </w:num>
  <w:num w:numId="19">
    <w:abstractNumId w:val="17"/>
  </w:num>
  <w:num w:numId="20">
    <w:abstractNumId w:val="18"/>
  </w:num>
  <w:num w:numId="21">
    <w:abstractNumId w:val="10"/>
  </w:num>
  <w:num w:numId="22">
    <w:abstractNumId w:val="16"/>
  </w:num>
  <w:num w:numId="23">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attachedTemplate r:id="rId1"/>
  <w:revisionView w:markup="0"/>
  <w:defaultTabStop w:val="720"/>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Last" w:val="0"/>
    <w:docVar w:name="DQCDateTime" w:val="2026-01-22 17:56:26"/>
    <w:docVar w:name="DQCResult_Distribution" w:val="0;0"/>
    <w:docVar w:name="DQCResult_DocumentContent" w:val="0;0"/>
    <w:docVar w:name="DQCResult_DocumentSize" w:val="0;0"/>
    <w:docVar w:name="DQCResult_InvalidFootnotes" w:val="0;0"/>
    <w:docVar w:name="DQCResult_ModifiedMarkers" w:val="0;0"/>
    <w:docVar w:name="DQCResult_ModifiedNumbering" w:val="0;0"/>
    <w:docVar w:name="DQCResult_Objects" w:val="0;0"/>
    <w:docVar w:name="DQCResult_StructureCheck" w:val="0;0"/>
    <w:docVar w:name="DQCStatus" w:val="Green"/>
    <w:docVar w:name="DQCVersion" w:val="3"/>
    <w:docVar w:name="DQCWithWarnings" w:val="0"/>
    <w:docVar w:name="LW_CORRIGENDUM" w:val="&lt;UNUSED&gt;"/>
    <w:docVar w:name="LW_COVERPAGE_EXISTS" w:val="True"/>
    <w:docVar w:name="LW_COVERPAGE_GUID" w:val="6C841167-6DB0-43BA-A4A1-21CACDD1E8E0"/>
    <w:docVar w:name="LW_COVERPAGE_TYPE" w:val="1"/>
    <w:docVar w:name="LW_CreatedUtc" w:val="2025-11-28T15:49:49.0267806Z"/>
    <w:docVar w:name="LW_CROSSREFERENCE" w:val="&lt;UNUSED&gt;"/>
    <w:docVar w:name="LW_DocType" w:val="COM"/>
    <w:docVar w:name="LW_EMISSION" w:val="15.1.2026"/>
    <w:docVar w:name="LW_EMISSION_ISODATE" w:val="2026-01-15"/>
    <w:docVar w:name="LW_EMISSION_LOCATION" w:val="BRX"/>
    <w:docVar w:name="LW_EMISSION_PREFIX" w:val="V Bruselu dne "/>
    <w:docVar w:name="LW_EMISSION_SUFFIX" w:val=" "/>
    <w:docVar w:name="LW_ID_DOCMODEL" w:val="SJ-020"/>
    <w:docVar w:name="LW_ID_DOCSIGNATURE" w:val="SJ-020"/>
    <w:docVar w:name="LW_ID_DOCSTRUCTURE" w:val="COM/PL/ORG"/>
    <w:docVar w:name="LW_ID_DOCTYPE" w:val="SJ-020"/>
    <w:docVar w:name="LW_ID_STATUT" w:val="SJ-020"/>
    <w:docVar w:name="LW_INSERT_EXP.MOTIFS.NEW" w:val="1"/>
    <w:docVar w:name="LW_INTERETEEE.CP" w:val="&lt;UNUSED&gt;"/>
    <w:docVar w:name="LW_LANGUE" w:val="CS"/>
    <w:docVar w:name="LW_LEVEL_OF_SENSITIVITY" w:val="Standard treatment"/>
    <w:docVar w:name="LW_NOM.INST" w:val="EVROPSKÁ KOMISE"/>
    <w:docVar w:name="LW_NOM.INST_JOINTDOC" w:val="&lt;EMPTY&gt;"/>
    <w:docVar w:name="LW_PART_NBR" w:val="1"/>
    <w:docVar w:name="LW_PART_NBR_TOTAL" w:val="1"/>
    <w:docVar w:name="LW_REF.II.NEW.CP" w:val="NLE"/>
    <w:docVar w:name="LW_REF.II.NEW.CP_NUMBER" w:val="0022"/>
    <w:docVar w:name="LW_REF.II.NEW.CP_YEAR" w:val="2026"/>
    <w:docVar w:name="LW_REF.INST.NEW" w:val="COM"/>
    <w:docVar w:name="LW_REF.INST.NEW_ADOPTED" w:val="final"/>
    <w:docVar w:name="LW_REF.INST.NEW_TEXT" w:val="(2026) 30"/>
    <w:docVar w:name="LW_REF.INTERNE" w:val="&lt;UNUSED&gt;"/>
    <w:docVar w:name="LW_SENSITIVITY" w:val="&lt;?xml version=&quot;1.0&quot; encoding=&quot;utf-8&quot;?&gt;_x000d__x000a_&lt;SensitivityLevel xmlns:xsd=&quot;http://www.w3.org/2001/XMLSchema&quot; xmlns:xsi=&quot;http://www.w3.org/2001/XMLSchema-instance&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Návrh"/>
    <w:docVar w:name="LW_SUPERTITRE" w:val="&lt;UNUSED&gt;"/>
    <w:docVar w:name="LW_TITRE.OBJ.CP" w:val="o poskytnutí finan\u269?ní pomoci podle na\u345?ízení (EU) 2025/1106 Chorvatsku"/>
    <w:docVar w:name="LW_TYPE.DOC.CP" w:val="PROVÁD\u282?CÍ ROZHODNUTÍ RADY"/>
    <w:docVar w:name="LwApiVersions" w:val="LW4CoDe 1.24.5.0; LW 9.2, Build 20251112"/>
  </w:docVars>
  <w:rsids>
    <w:rsidRoot w:val="00D31C35"/>
    <w:rsid w:val="00000596"/>
    <w:rsid w:val="00013DCF"/>
    <w:rsid w:val="00041798"/>
    <w:rsid w:val="00044636"/>
    <w:rsid w:val="0004481F"/>
    <w:rsid w:val="00052D64"/>
    <w:rsid w:val="000546BC"/>
    <w:rsid w:val="00056091"/>
    <w:rsid w:val="00061D8A"/>
    <w:rsid w:val="00062F72"/>
    <w:rsid w:val="00063BD8"/>
    <w:rsid w:val="00065D76"/>
    <w:rsid w:val="00067138"/>
    <w:rsid w:val="000734E5"/>
    <w:rsid w:val="0008275D"/>
    <w:rsid w:val="00084F77"/>
    <w:rsid w:val="00085500"/>
    <w:rsid w:val="000A094F"/>
    <w:rsid w:val="000B3287"/>
    <w:rsid w:val="000C3D45"/>
    <w:rsid w:val="000C6756"/>
    <w:rsid w:val="000D7D98"/>
    <w:rsid w:val="00101BF0"/>
    <w:rsid w:val="00102573"/>
    <w:rsid w:val="001065F5"/>
    <w:rsid w:val="00106A2F"/>
    <w:rsid w:val="00120CA5"/>
    <w:rsid w:val="001238EF"/>
    <w:rsid w:val="001329FA"/>
    <w:rsid w:val="00132A96"/>
    <w:rsid w:val="001441D7"/>
    <w:rsid w:val="00154E62"/>
    <w:rsid w:val="00160BC8"/>
    <w:rsid w:val="00162A07"/>
    <w:rsid w:val="001727F5"/>
    <w:rsid w:val="001745FC"/>
    <w:rsid w:val="00175CE7"/>
    <w:rsid w:val="00195762"/>
    <w:rsid w:val="00197613"/>
    <w:rsid w:val="001A2B5B"/>
    <w:rsid w:val="001A32E0"/>
    <w:rsid w:val="001A3BCF"/>
    <w:rsid w:val="001C0950"/>
    <w:rsid w:val="001C2E71"/>
    <w:rsid w:val="001E37DF"/>
    <w:rsid w:val="001E76BC"/>
    <w:rsid w:val="001F7F53"/>
    <w:rsid w:val="00210512"/>
    <w:rsid w:val="00215E60"/>
    <w:rsid w:val="00222DD0"/>
    <w:rsid w:val="002242AB"/>
    <w:rsid w:val="00224C1F"/>
    <w:rsid w:val="0022590B"/>
    <w:rsid w:val="00233923"/>
    <w:rsid w:val="00233DC7"/>
    <w:rsid w:val="00242AC1"/>
    <w:rsid w:val="00247779"/>
    <w:rsid w:val="00253706"/>
    <w:rsid w:val="00256613"/>
    <w:rsid w:val="00260578"/>
    <w:rsid w:val="00262B55"/>
    <w:rsid w:val="00266D1F"/>
    <w:rsid w:val="00285BEE"/>
    <w:rsid w:val="00292708"/>
    <w:rsid w:val="0029533F"/>
    <w:rsid w:val="002A6CBA"/>
    <w:rsid w:val="002B30AF"/>
    <w:rsid w:val="002B722F"/>
    <w:rsid w:val="002C373D"/>
    <w:rsid w:val="002D2458"/>
    <w:rsid w:val="002E4240"/>
    <w:rsid w:val="002E46FD"/>
    <w:rsid w:val="002F6053"/>
    <w:rsid w:val="00300224"/>
    <w:rsid w:val="00300A8A"/>
    <w:rsid w:val="00303111"/>
    <w:rsid w:val="0031165F"/>
    <w:rsid w:val="0031373D"/>
    <w:rsid w:val="003243F5"/>
    <w:rsid w:val="0033088C"/>
    <w:rsid w:val="003328E1"/>
    <w:rsid w:val="003332B3"/>
    <w:rsid w:val="0033344A"/>
    <w:rsid w:val="00342826"/>
    <w:rsid w:val="0034714E"/>
    <w:rsid w:val="00353838"/>
    <w:rsid w:val="003558B4"/>
    <w:rsid w:val="0035755B"/>
    <w:rsid w:val="00360FD8"/>
    <w:rsid w:val="00366CA6"/>
    <w:rsid w:val="00372F04"/>
    <w:rsid w:val="003746EC"/>
    <w:rsid w:val="00376167"/>
    <w:rsid w:val="003771FA"/>
    <w:rsid w:val="00380F7E"/>
    <w:rsid w:val="00381CEB"/>
    <w:rsid w:val="00383F20"/>
    <w:rsid w:val="0038429B"/>
    <w:rsid w:val="003867BE"/>
    <w:rsid w:val="003907B7"/>
    <w:rsid w:val="003917CE"/>
    <w:rsid w:val="003A16F9"/>
    <w:rsid w:val="003A3027"/>
    <w:rsid w:val="003B3980"/>
    <w:rsid w:val="003B3D76"/>
    <w:rsid w:val="003B6926"/>
    <w:rsid w:val="003C07A7"/>
    <w:rsid w:val="003C702A"/>
    <w:rsid w:val="003D44C1"/>
    <w:rsid w:val="003E04C7"/>
    <w:rsid w:val="003E4698"/>
    <w:rsid w:val="003F39C9"/>
    <w:rsid w:val="0040604C"/>
    <w:rsid w:val="004203E0"/>
    <w:rsid w:val="004220AD"/>
    <w:rsid w:val="00422C20"/>
    <w:rsid w:val="004256E8"/>
    <w:rsid w:val="0042648E"/>
    <w:rsid w:val="00427ED6"/>
    <w:rsid w:val="004337FD"/>
    <w:rsid w:val="00462B13"/>
    <w:rsid w:val="00464C84"/>
    <w:rsid w:val="004656DA"/>
    <w:rsid w:val="00467087"/>
    <w:rsid w:val="00474A5D"/>
    <w:rsid w:val="00486BAC"/>
    <w:rsid w:val="004936D2"/>
    <w:rsid w:val="004A1CA7"/>
    <w:rsid w:val="004A3C4E"/>
    <w:rsid w:val="004A4627"/>
    <w:rsid w:val="004B053E"/>
    <w:rsid w:val="004B0948"/>
    <w:rsid w:val="004B525C"/>
    <w:rsid w:val="004C2FFE"/>
    <w:rsid w:val="004C6A80"/>
    <w:rsid w:val="004D7F6B"/>
    <w:rsid w:val="004E0C4C"/>
    <w:rsid w:val="004F2D0F"/>
    <w:rsid w:val="005136DE"/>
    <w:rsid w:val="00514EC4"/>
    <w:rsid w:val="0051597B"/>
    <w:rsid w:val="00517C38"/>
    <w:rsid w:val="00525C30"/>
    <w:rsid w:val="005326BD"/>
    <w:rsid w:val="005338EE"/>
    <w:rsid w:val="005370E0"/>
    <w:rsid w:val="00554E71"/>
    <w:rsid w:val="00563676"/>
    <w:rsid w:val="00567388"/>
    <w:rsid w:val="00576487"/>
    <w:rsid w:val="005829EE"/>
    <w:rsid w:val="005A2D96"/>
    <w:rsid w:val="005A56A5"/>
    <w:rsid w:val="005B1EB6"/>
    <w:rsid w:val="005B23A5"/>
    <w:rsid w:val="005B5370"/>
    <w:rsid w:val="005B63E2"/>
    <w:rsid w:val="005D0FC9"/>
    <w:rsid w:val="005D1D3D"/>
    <w:rsid w:val="005D1F90"/>
    <w:rsid w:val="005E4A2F"/>
    <w:rsid w:val="005E5067"/>
    <w:rsid w:val="005E68EB"/>
    <w:rsid w:val="005F62F4"/>
    <w:rsid w:val="006039E5"/>
    <w:rsid w:val="0061287A"/>
    <w:rsid w:val="0061326F"/>
    <w:rsid w:val="00621535"/>
    <w:rsid w:val="00625F6A"/>
    <w:rsid w:val="0063593A"/>
    <w:rsid w:val="00647F57"/>
    <w:rsid w:val="00653DA2"/>
    <w:rsid w:val="006547C6"/>
    <w:rsid w:val="00671DCA"/>
    <w:rsid w:val="006743AD"/>
    <w:rsid w:val="006746B5"/>
    <w:rsid w:val="00680238"/>
    <w:rsid w:val="00683CE7"/>
    <w:rsid w:val="0068500D"/>
    <w:rsid w:val="00687CA5"/>
    <w:rsid w:val="006958C5"/>
    <w:rsid w:val="0069594B"/>
    <w:rsid w:val="006972E9"/>
    <w:rsid w:val="006C00A7"/>
    <w:rsid w:val="006C124C"/>
    <w:rsid w:val="006C64F2"/>
    <w:rsid w:val="006C6D36"/>
    <w:rsid w:val="006D0E97"/>
    <w:rsid w:val="006E0DE0"/>
    <w:rsid w:val="006E26B1"/>
    <w:rsid w:val="006E4161"/>
    <w:rsid w:val="006F34E7"/>
    <w:rsid w:val="006F35B3"/>
    <w:rsid w:val="00701A73"/>
    <w:rsid w:val="00702F5E"/>
    <w:rsid w:val="00705BBF"/>
    <w:rsid w:val="007169E9"/>
    <w:rsid w:val="00720CCC"/>
    <w:rsid w:val="00723A68"/>
    <w:rsid w:val="00724598"/>
    <w:rsid w:val="00736EB1"/>
    <w:rsid w:val="00742314"/>
    <w:rsid w:val="00764997"/>
    <w:rsid w:val="00773331"/>
    <w:rsid w:val="00780678"/>
    <w:rsid w:val="0078224A"/>
    <w:rsid w:val="0079286A"/>
    <w:rsid w:val="007932EF"/>
    <w:rsid w:val="0079339C"/>
    <w:rsid w:val="007B5A04"/>
    <w:rsid w:val="007C0CB8"/>
    <w:rsid w:val="007C4B72"/>
    <w:rsid w:val="007D63F2"/>
    <w:rsid w:val="007D7D8B"/>
    <w:rsid w:val="007E05B0"/>
    <w:rsid w:val="007E28E0"/>
    <w:rsid w:val="007E475D"/>
    <w:rsid w:val="007F22EB"/>
    <w:rsid w:val="00815F5B"/>
    <w:rsid w:val="0081616B"/>
    <w:rsid w:val="0081646C"/>
    <w:rsid w:val="00823DF6"/>
    <w:rsid w:val="00824065"/>
    <w:rsid w:val="00824DF8"/>
    <w:rsid w:val="0083135C"/>
    <w:rsid w:val="00855816"/>
    <w:rsid w:val="00855B01"/>
    <w:rsid w:val="0087318A"/>
    <w:rsid w:val="00874D22"/>
    <w:rsid w:val="00887F76"/>
    <w:rsid w:val="008A1986"/>
    <w:rsid w:val="008A2914"/>
    <w:rsid w:val="008A5A22"/>
    <w:rsid w:val="008A65FB"/>
    <w:rsid w:val="008B2C8A"/>
    <w:rsid w:val="008B3E15"/>
    <w:rsid w:val="008C0B47"/>
    <w:rsid w:val="008C5AEE"/>
    <w:rsid w:val="008C5B6D"/>
    <w:rsid w:val="008E4C53"/>
    <w:rsid w:val="008E4D8E"/>
    <w:rsid w:val="008F232D"/>
    <w:rsid w:val="0090283E"/>
    <w:rsid w:val="00911264"/>
    <w:rsid w:val="00915191"/>
    <w:rsid w:val="00920595"/>
    <w:rsid w:val="00922DB7"/>
    <w:rsid w:val="00930F91"/>
    <w:rsid w:val="00943323"/>
    <w:rsid w:val="009438BB"/>
    <w:rsid w:val="009615F9"/>
    <w:rsid w:val="00973318"/>
    <w:rsid w:val="00990A08"/>
    <w:rsid w:val="00995282"/>
    <w:rsid w:val="0099627F"/>
    <w:rsid w:val="0099664F"/>
    <w:rsid w:val="009B28B1"/>
    <w:rsid w:val="009C128D"/>
    <w:rsid w:val="009C3F06"/>
    <w:rsid w:val="009D126D"/>
    <w:rsid w:val="009E79D8"/>
    <w:rsid w:val="009F755E"/>
    <w:rsid w:val="00A041FD"/>
    <w:rsid w:val="00A101B8"/>
    <w:rsid w:val="00A10FC7"/>
    <w:rsid w:val="00A12687"/>
    <w:rsid w:val="00A21E11"/>
    <w:rsid w:val="00A2200B"/>
    <w:rsid w:val="00A22507"/>
    <w:rsid w:val="00A23C77"/>
    <w:rsid w:val="00A26901"/>
    <w:rsid w:val="00A33427"/>
    <w:rsid w:val="00A42D5C"/>
    <w:rsid w:val="00A6328F"/>
    <w:rsid w:val="00A6623D"/>
    <w:rsid w:val="00A66ADD"/>
    <w:rsid w:val="00A70346"/>
    <w:rsid w:val="00A71B03"/>
    <w:rsid w:val="00A77164"/>
    <w:rsid w:val="00A85F9B"/>
    <w:rsid w:val="00A920D1"/>
    <w:rsid w:val="00A9224A"/>
    <w:rsid w:val="00A97B21"/>
    <w:rsid w:val="00AA3585"/>
    <w:rsid w:val="00AA698C"/>
    <w:rsid w:val="00AA6B3A"/>
    <w:rsid w:val="00AB3995"/>
    <w:rsid w:val="00AC1EC1"/>
    <w:rsid w:val="00AC7277"/>
    <w:rsid w:val="00AC78D5"/>
    <w:rsid w:val="00AD7A78"/>
    <w:rsid w:val="00AE0C87"/>
    <w:rsid w:val="00AE2AFE"/>
    <w:rsid w:val="00AE4AB6"/>
    <w:rsid w:val="00AF5ED1"/>
    <w:rsid w:val="00B02A7B"/>
    <w:rsid w:val="00B10759"/>
    <w:rsid w:val="00B14BBA"/>
    <w:rsid w:val="00B20124"/>
    <w:rsid w:val="00B30909"/>
    <w:rsid w:val="00B34A53"/>
    <w:rsid w:val="00B34EDF"/>
    <w:rsid w:val="00B459FD"/>
    <w:rsid w:val="00B47D28"/>
    <w:rsid w:val="00B5303B"/>
    <w:rsid w:val="00B537F7"/>
    <w:rsid w:val="00B860E3"/>
    <w:rsid w:val="00B861C8"/>
    <w:rsid w:val="00B8740E"/>
    <w:rsid w:val="00B877AD"/>
    <w:rsid w:val="00B877D0"/>
    <w:rsid w:val="00B922AB"/>
    <w:rsid w:val="00B938D8"/>
    <w:rsid w:val="00B94BD4"/>
    <w:rsid w:val="00BA723C"/>
    <w:rsid w:val="00BB1994"/>
    <w:rsid w:val="00BB5431"/>
    <w:rsid w:val="00BC2651"/>
    <w:rsid w:val="00BC3714"/>
    <w:rsid w:val="00BC41C7"/>
    <w:rsid w:val="00BD389C"/>
    <w:rsid w:val="00C020B0"/>
    <w:rsid w:val="00C063A8"/>
    <w:rsid w:val="00C06C69"/>
    <w:rsid w:val="00C12301"/>
    <w:rsid w:val="00C17991"/>
    <w:rsid w:val="00C20AEE"/>
    <w:rsid w:val="00C22A1C"/>
    <w:rsid w:val="00C3233E"/>
    <w:rsid w:val="00C360CC"/>
    <w:rsid w:val="00C45188"/>
    <w:rsid w:val="00C64AA0"/>
    <w:rsid w:val="00C75322"/>
    <w:rsid w:val="00C8524B"/>
    <w:rsid w:val="00C85A96"/>
    <w:rsid w:val="00C86A9C"/>
    <w:rsid w:val="00C86EB6"/>
    <w:rsid w:val="00CB4A09"/>
    <w:rsid w:val="00CC4020"/>
    <w:rsid w:val="00CC4ED2"/>
    <w:rsid w:val="00CC60B9"/>
    <w:rsid w:val="00CD7376"/>
    <w:rsid w:val="00CE1B3F"/>
    <w:rsid w:val="00CE225D"/>
    <w:rsid w:val="00CE79EF"/>
    <w:rsid w:val="00CF6E11"/>
    <w:rsid w:val="00CF73EC"/>
    <w:rsid w:val="00D0484E"/>
    <w:rsid w:val="00D05579"/>
    <w:rsid w:val="00D070AC"/>
    <w:rsid w:val="00D0748C"/>
    <w:rsid w:val="00D10516"/>
    <w:rsid w:val="00D10808"/>
    <w:rsid w:val="00D11520"/>
    <w:rsid w:val="00D17151"/>
    <w:rsid w:val="00D20381"/>
    <w:rsid w:val="00D23467"/>
    <w:rsid w:val="00D2376C"/>
    <w:rsid w:val="00D30D0F"/>
    <w:rsid w:val="00D31581"/>
    <w:rsid w:val="00D31C35"/>
    <w:rsid w:val="00D44A8A"/>
    <w:rsid w:val="00D55690"/>
    <w:rsid w:val="00D601C5"/>
    <w:rsid w:val="00D622C1"/>
    <w:rsid w:val="00D761A7"/>
    <w:rsid w:val="00D762B1"/>
    <w:rsid w:val="00D807AE"/>
    <w:rsid w:val="00D87B8E"/>
    <w:rsid w:val="00DB457E"/>
    <w:rsid w:val="00DD0804"/>
    <w:rsid w:val="00DD6FA8"/>
    <w:rsid w:val="00DE10A2"/>
    <w:rsid w:val="00DE6B69"/>
    <w:rsid w:val="00DF39CE"/>
    <w:rsid w:val="00DF4808"/>
    <w:rsid w:val="00DF485D"/>
    <w:rsid w:val="00DF67CF"/>
    <w:rsid w:val="00E10169"/>
    <w:rsid w:val="00E12876"/>
    <w:rsid w:val="00E13151"/>
    <w:rsid w:val="00E17287"/>
    <w:rsid w:val="00E218A1"/>
    <w:rsid w:val="00E25DB1"/>
    <w:rsid w:val="00E31786"/>
    <w:rsid w:val="00E33132"/>
    <w:rsid w:val="00E33907"/>
    <w:rsid w:val="00E452B7"/>
    <w:rsid w:val="00E46EEA"/>
    <w:rsid w:val="00E53456"/>
    <w:rsid w:val="00E53B7D"/>
    <w:rsid w:val="00E62214"/>
    <w:rsid w:val="00E664ED"/>
    <w:rsid w:val="00E72DC8"/>
    <w:rsid w:val="00E74E62"/>
    <w:rsid w:val="00E93B07"/>
    <w:rsid w:val="00EA2C25"/>
    <w:rsid w:val="00EA47FF"/>
    <w:rsid w:val="00EA5DDF"/>
    <w:rsid w:val="00EA5EAB"/>
    <w:rsid w:val="00EC65F1"/>
    <w:rsid w:val="00ED667C"/>
    <w:rsid w:val="00EE620D"/>
    <w:rsid w:val="00F02A7C"/>
    <w:rsid w:val="00F02CCD"/>
    <w:rsid w:val="00F0379A"/>
    <w:rsid w:val="00F07502"/>
    <w:rsid w:val="00F1017E"/>
    <w:rsid w:val="00F12C99"/>
    <w:rsid w:val="00F26003"/>
    <w:rsid w:val="00F36D7C"/>
    <w:rsid w:val="00F5343C"/>
    <w:rsid w:val="00F55211"/>
    <w:rsid w:val="00F60C88"/>
    <w:rsid w:val="00F6721B"/>
    <w:rsid w:val="00F7715C"/>
    <w:rsid w:val="00F822C9"/>
    <w:rsid w:val="00F93286"/>
    <w:rsid w:val="00F9659C"/>
    <w:rsid w:val="00FA0913"/>
    <w:rsid w:val="00FA4D60"/>
    <w:rsid w:val="00FA7339"/>
    <w:rsid w:val="00FC0C89"/>
    <w:rsid w:val="00FC242F"/>
    <w:rsid w:val="00FC3100"/>
    <w:rsid w:val="00FC38F8"/>
    <w:rsid w:val="00FD608B"/>
    <w:rsid w:val="00FE6B92"/>
    <w:rsid w:val="00FE70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5:docId w15:val="{EBC1511E-FC11-4245-8FAA-77BC1327D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cs-CZ"/>
    </w:rPr>
  </w:style>
  <w:style w:type="paragraph" w:styleId="Heading1">
    <w:name w:val="heading 1"/>
    <w:basedOn w:val="Normal"/>
    <w:next w:val="Text1"/>
    <w:link w:val="Heading1Char"/>
    <w:uiPriority w:val="9"/>
    <w:qFormat/>
    <w:pPr>
      <w:keepNext/>
      <w:numPr>
        <w:numId w:val="16"/>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16"/>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16"/>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16"/>
      </w:numPr>
      <w:outlineLvl w:val="3"/>
    </w:pPr>
    <w:rPr>
      <w:rFonts w:eastAsiaTheme="majorEastAsia"/>
      <w:bCs/>
      <w:iCs/>
    </w:rPr>
  </w:style>
  <w:style w:type="paragraph" w:styleId="Heading5">
    <w:name w:val="heading 5"/>
    <w:basedOn w:val="Normal"/>
    <w:next w:val="Text2"/>
    <w:link w:val="Heading5Char"/>
    <w:uiPriority w:val="9"/>
    <w:semiHidden/>
    <w:unhideWhenUsed/>
    <w:qFormat/>
    <w:pPr>
      <w:keepNext/>
      <w:numPr>
        <w:ilvl w:val="4"/>
        <w:numId w:val="16"/>
      </w:numPr>
      <w:outlineLvl w:val="4"/>
    </w:pPr>
    <w:rPr>
      <w:rFonts w:eastAsiaTheme="majorEastAsia"/>
    </w:rPr>
  </w:style>
  <w:style w:type="paragraph" w:styleId="Heading6">
    <w:name w:val="heading 6"/>
    <w:basedOn w:val="Normal"/>
    <w:next w:val="Text2"/>
    <w:link w:val="Heading6Char"/>
    <w:uiPriority w:val="9"/>
    <w:semiHidden/>
    <w:unhideWhenUsed/>
    <w:qFormat/>
    <w:pPr>
      <w:keepNext/>
      <w:numPr>
        <w:ilvl w:val="5"/>
        <w:numId w:val="16"/>
      </w:numPr>
      <w:outlineLvl w:val="5"/>
    </w:pPr>
    <w:rPr>
      <w:rFonts w:eastAsiaTheme="majorEastAsia"/>
      <w:iCs/>
    </w:rPr>
  </w:style>
  <w:style w:type="paragraph" w:styleId="Heading7">
    <w:name w:val="heading 7"/>
    <w:basedOn w:val="Normal"/>
    <w:next w:val="Text2"/>
    <w:link w:val="Heading7Char"/>
    <w:uiPriority w:val="9"/>
    <w:semiHidden/>
    <w:unhideWhenUsed/>
    <w:qFormat/>
    <w:pPr>
      <w:keepNext/>
      <w:numPr>
        <w:ilvl w:val="6"/>
        <w:numId w:val="16"/>
      </w:numPr>
      <w:outlineLvl w:val="6"/>
    </w:pPr>
    <w:rPr>
      <w:rFonts w:eastAsiaTheme="majorEastAsia"/>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rsid w:val="00D31C35"/>
    <w:pPr>
      <w:numPr>
        <w:numId w:val="1"/>
      </w:numPr>
    </w:pPr>
    <w:rPr>
      <w:rFonts w:eastAsia="Times New Roman"/>
      <w:lang w:eastAsia="en-GB"/>
    </w:rPr>
  </w:style>
  <w:style w:type="character" w:styleId="Hyperlink">
    <w:name w:val="Hyperlink"/>
    <w:basedOn w:val="DefaultParagraphFont"/>
    <w:uiPriority w:val="99"/>
    <w:unhideWhenUsed/>
    <w:rsid w:val="00D31C35"/>
    <w:rPr>
      <w:color w:val="0000FF" w:themeColor="hyperlink"/>
      <w:u w:val="single"/>
    </w:rPr>
  </w:style>
  <w:style w:type="paragraph" w:styleId="Caption">
    <w:name w:val="caption"/>
    <w:basedOn w:val="Normal"/>
    <w:next w:val="Normal"/>
    <w:uiPriority w:val="35"/>
    <w:semiHidden/>
    <w:unhideWhenUsed/>
    <w:qFormat/>
    <w:rsid w:val="002B722F"/>
    <w:pPr>
      <w:spacing w:before="0" w:after="200"/>
    </w:pPr>
    <w:rPr>
      <w:i/>
      <w:iCs/>
      <w:color w:val="1F497D" w:themeColor="text2"/>
      <w:sz w:val="18"/>
      <w:szCs w:val="18"/>
    </w:rPr>
  </w:style>
  <w:style w:type="paragraph" w:styleId="TableofFigures">
    <w:name w:val="table of figures"/>
    <w:basedOn w:val="Normal"/>
    <w:next w:val="Normal"/>
    <w:uiPriority w:val="99"/>
    <w:semiHidden/>
    <w:unhideWhenUsed/>
    <w:rsid w:val="002B722F"/>
    <w:pPr>
      <w:spacing w:after="0"/>
    </w:pPr>
  </w:style>
  <w:style w:type="paragraph" w:styleId="ListBullet2">
    <w:name w:val="List Bullet 2"/>
    <w:basedOn w:val="Normal"/>
    <w:uiPriority w:val="99"/>
    <w:semiHidden/>
    <w:unhideWhenUsed/>
    <w:rsid w:val="002B722F"/>
    <w:pPr>
      <w:numPr>
        <w:numId w:val="2"/>
      </w:numPr>
      <w:contextualSpacing/>
    </w:pPr>
  </w:style>
  <w:style w:type="paragraph" w:styleId="ListBullet3">
    <w:name w:val="List Bullet 3"/>
    <w:basedOn w:val="Normal"/>
    <w:uiPriority w:val="99"/>
    <w:semiHidden/>
    <w:unhideWhenUsed/>
    <w:rsid w:val="002B722F"/>
    <w:pPr>
      <w:numPr>
        <w:numId w:val="3"/>
      </w:numPr>
      <w:contextualSpacing/>
    </w:pPr>
  </w:style>
  <w:style w:type="paragraph" w:styleId="ListBullet4">
    <w:name w:val="List Bullet 4"/>
    <w:basedOn w:val="Normal"/>
    <w:uiPriority w:val="99"/>
    <w:semiHidden/>
    <w:unhideWhenUsed/>
    <w:rsid w:val="002B722F"/>
    <w:pPr>
      <w:numPr>
        <w:numId w:val="4"/>
      </w:numPr>
      <w:contextualSpacing/>
    </w:pPr>
  </w:style>
  <w:style w:type="paragraph" w:styleId="ListNumber">
    <w:name w:val="List Number"/>
    <w:basedOn w:val="Normal"/>
    <w:uiPriority w:val="99"/>
    <w:semiHidden/>
    <w:unhideWhenUsed/>
    <w:rsid w:val="002B722F"/>
    <w:pPr>
      <w:numPr>
        <w:numId w:val="5"/>
      </w:numPr>
      <w:contextualSpacing/>
    </w:pPr>
  </w:style>
  <w:style w:type="paragraph" w:styleId="ListNumber2">
    <w:name w:val="List Number 2"/>
    <w:basedOn w:val="Normal"/>
    <w:uiPriority w:val="99"/>
    <w:semiHidden/>
    <w:unhideWhenUsed/>
    <w:rsid w:val="002B722F"/>
    <w:pPr>
      <w:numPr>
        <w:numId w:val="6"/>
      </w:numPr>
      <w:contextualSpacing/>
    </w:pPr>
  </w:style>
  <w:style w:type="paragraph" w:styleId="ListNumber3">
    <w:name w:val="List Number 3"/>
    <w:basedOn w:val="Normal"/>
    <w:uiPriority w:val="99"/>
    <w:semiHidden/>
    <w:unhideWhenUsed/>
    <w:rsid w:val="002B722F"/>
    <w:pPr>
      <w:numPr>
        <w:numId w:val="7"/>
      </w:numPr>
      <w:contextualSpacing/>
    </w:pPr>
  </w:style>
  <w:style w:type="paragraph" w:styleId="ListNumber4">
    <w:name w:val="List Number 4"/>
    <w:basedOn w:val="Normal"/>
    <w:uiPriority w:val="99"/>
    <w:semiHidden/>
    <w:unhideWhenUsed/>
    <w:rsid w:val="002B722F"/>
    <w:pPr>
      <w:numPr>
        <w:numId w:val="8"/>
      </w:numPr>
      <w:contextualSpacing/>
    </w:pPr>
  </w:style>
  <w:style w:type="character" w:styleId="CommentReference">
    <w:name w:val="annotation reference"/>
    <w:basedOn w:val="DefaultParagraphFont"/>
    <w:uiPriority w:val="99"/>
    <w:semiHidden/>
    <w:unhideWhenUsed/>
    <w:rsid w:val="00C45188"/>
    <w:rPr>
      <w:sz w:val="16"/>
      <w:szCs w:val="16"/>
    </w:rPr>
  </w:style>
  <w:style w:type="paragraph" w:styleId="CommentText">
    <w:name w:val="annotation text"/>
    <w:basedOn w:val="Normal"/>
    <w:link w:val="CommentTextChar"/>
    <w:uiPriority w:val="99"/>
    <w:unhideWhenUsed/>
    <w:rsid w:val="00C45188"/>
    <w:rPr>
      <w:sz w:val="20"/>
      <w:szCs w:val="20"/>
    </w:rPr>
  </w:style>
  <w:style w:type="character" w:customStyle="1" w:styleId="CommentTextChar">
    <w:name w:val="Comment Text Char"/>
    <w:basedOn w:val="DefaultParagraphFont"/>
    <w:link w:val="CommentText"/>
    <w:uiPriority w:val="99"/>
    <w:rsid w:val="00C45188"/>
    <w:rPr>
      <w:rFonts w:ascii="Times New Roman" w:hAnsi="Times New Roman" w:cs="Times New Roman"/>
      <w:sz w:val="20"/>
      <w:szCs w:val="20"/>
      <w:lang w:val="cs-CZ"/>
    </w:rPr>
  </w:style>
  <w:style w:type="paragraph" w:styleId="CommentSubject">
    <w:name w:val="annotation subject"/>
    <w:basedOn w:val="CommentText"/>
    <w:next w:val="CommentText"/>
    <w:link w:val="CommentSubjectChar"/>
    <w:uiPriority w:val="99"/>
    <w:semiHidden/>
    <w:unhideWhenUsed/>
    <w:rsid w:val="00C45188"/>
    <w:rPr>
      <w:b/>
      <w:bCs/>
    </w:rPr>
  </w:style>
  <w:style w:type="character" w:customStyle="1" w:styleId="CommentSubjectChar">
    <w:name w:val="Comment Subject Char"/>
    <w:basedOn w:val="CommentTextChar"/>
    <w:link w:val="CommentSubject"/>
    <w:uiPriority w:val="99"/>
    <w:semiHidden/>
    <w:rsid w:val="00C45188"/>
    <w:rPr>
      <w:rFonts w:ascii="Times New Roman" w:hAnsi="Times New Roman" w:cs="Times New Roman"/>
      <w:b/>
      <w:bCs/>
      <w:sz w:val="20"/>
      <w:szCs w:val="20"/>
      <w:lang w:val="cs-CZ"/>
    </w:rPr>
  </w:style>
  <w:style w:type="character" w:customStyle="1" w:styleId="UnresolvedMention">
    <w:name w:val="Unresolved Mention"/>
    <w:basedOn w:val="DefaultParagraphFont"/>
    <w:uiPriority w:val="99"/>
    <w:semiHidden/>
    <w:unhideWhenUsed/>
    <w:rsid w:val="00C45188"/>
    <w:rPr>
      <w:color w:val="605E5C"/>
      <w:shd w:val="clear" w:color="auto" w:fill="E1DFDD"/>
    </w:rPr>
  </w:style>
  <w:style w:type="paragraph" w:customStyle="1" w:styleId="Bnorma">
    <w:name w:val="Bnorma"/>
    <w:basedOn w:val="Statut"/>
    <w:rsid w:val="006F35B3"/>
  </w:style>
  <w:style w:type="paragraph" w:styleId="Revision">
    <w:name w:val="Revision"/>
    <w:hidden/>
    <w:uiPriority w:val="99"/>
    <w:semiHidden/>
    <w:rsid w:val="00C063A8"/>
    <w:pPr>
      <w:spacing w:after="0" w:line="240" w:lineRule="auto"/>
    </w:pPr>
    <w:rPr>
      <w:rFonts w:ascii="Times New Roman" w:hAnsi="Times New Roman" w:cs="Times New Roman"/>
      <w:sz w:val="24"/>
    </w:rPr>
  </w:style>
  <w:style w:type="paragraph" w:styleId="ListParagraph">
    <w:name w:val="List Paragraph"/>
    <w:basedOn w:val="Normal"/>
    <w:uiPriority w:val="34"/>
    <w:qFormat/>
    <w:rsid w:val="009B28B1"/>
    <w:pPr>
      <w:ind w:left="720"/>
      <w:contextualSpacing/>
    </w:pPr>
  </w:style>
  <w:style w:type="character" w:customStyle="1" w:styleId="HeaderChar">
    <w:name w:val="Header Char"/>
    <w:basedOn w:val="DefaultParagraphFont"/>
    <w:link w:val="Header"/>
    <w:uiPriority w:val="99"/>
    <w:rsid w:val="004256E8"/>
    <w:rPr>
      <w:rFonts w:ascii="Times New Roman" w:hAnsi="Times New Roman" w:cs="Times New Roman"/>
      <w:sz w:val="24"/>
      <w:lang w:val="cs-CZ"/>
    </w:rPr>
  </w:style>
  <w:style w:type="character" w:customStyle="1" w:styleId="FooterChar">
    <w:name w:val="Footer Char"/>
    <w:basedOn w:val="DefaultParagraphFont"/>
    <w:link w:val="Footer"/>
    <w:uiPriority w:val="99"/>
    <w:rsid w:val="004256E8"/>
    <w:rPr>
      <w:rFonts w:ascii="Times New Roman" w:hAnsi="Times New Roman" w:cs="Times New Roman"/>
      <w:sz w:val="24"/>
      <w:lang w:val="cs-CZ"/>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cs-CZ"/>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cs-CZ"/>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cs-CZ"/>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cs-CZ"/>
    </w:rPr>
  </w:style>
  <w:style w:type="character" w:customStyle="1" w:styleId="Heading5Char">
    <w:name w:val="Heading 5 Char"/>
    <w:basedOn w:val="DefaultParagraphFont"/>
    <w:link w:val="Heading5"/>
    <w:uiPriority w:val="9"/>
    <w:semiHidden/>
    <w:rPr>
      <w:rFonts w:ascii="Times New Roman" w:eastAsiaTheme="majorEastAsia" w:hAnsi="Times New Roman" w:cs="Times New Roman"/>
      <w:sz w:val="24"/>
      <w:lang w:val="cs-CZ"/>
    </w:rPr>
  </w:style>
  <w:style w:type="character" w:customStyle="1" w:styleId="Heading6Char">
    <w:name w:val="Heading 6 Char"/>
    <w:basedOn w:val="DefaultParagraphFont"/>
    <w:link w:val="Heading6"/>
    <w:uiPriority w:val="9"/>
    <w:semiHidden/>
    <w:rPr>
      <w:rFonts w:ascii="Times New Roman" w:eastAsiaTheme="majorEastAsia" w:hAnsi="Times New Roman" w:cs="Times New Roman"/>
      <w:iCs/>
      <w:sz w:val="24"/>
      <w:lang w:val="cs-CZ"/>
    </w:rPr>
  </w:style>
  <w:style w:type="character" w:customStyle="1" w:styleId="Heading7Char">
    <w:name w:val="Heading 7 Char"/>
    <w:basedOn w:val="DefaultParagraphFont"/>
    <w:link w:val="Heading7"/>
    <w:uiPriority w:val="9"/>
    <w:semiHidden/>
    <w:rPr>
      <w:rFonts w:ascii="Times New Roman" w:eastAsiaTheme="majorEastAsia" w:hAnsi="Times New Roman" w:cs="Times New Roman"/>
      <w:iCs/>
      <w:sz w:val="24"/>
      <w:lang w:val="cs-CZ"/>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ind w:left="1417" w:hanging="141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rsid w:val="004256E8"/>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4256E8"/>
    <w:pPr>
      <w:spacing w:before="0"/>
      <w:jc w:val="right"/>
    </w:pPr>
    <w:rPr>
      <w:sz w:val="28"/>
    </w:rPr>
  </w:style>
  <w:style w:type="paragraph" w:customStyle="1" w:styleId="FooterSensitivity">
    <w:name w:val="Footer Sensitivity"/>
    <w:basedOn w:val="Normal"/>
    <w:rsid w:val="004256E8"/>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5">
    <w:name w:val="Point 5"/>
    <w:basedOn w:val="Normal"/>
    <w:pPr>
      <w:ind w:left="3685" w:hanging="567"/>
    </w:pPr>
  </w:style>
  <w:style w:type="paragraph" w:customStyle="1" w:styleId="Tiret0">
    <w:name w:val="Tiret 0"/>
    <w:basedOn w:val="Point0"/>
    <w:pPr>
      <w:numPr>
        <w:numId w:val="9"/>
      </w:numPr>
    </w:pPr>
  </w:style>
  <w:style w:type="paragraph" w:customStyle="1" w:styleId="Tiret1">
    <w:name w:val="Tiret 1"/>
    <w:basedOn w:val="Point1"/>
    <w:pPr>
      <w:numPr>
        <w:numId w:val="10"/>
      </w:numPr>
    </w:pPr>
  </w:style>
  <w:style w:type="paragraph" w:customStyle="1" w:styleId="Tiret2">
    <w:name w:val="Tiret 2"/>
    <w:basedOn w:val="Point2"/>
    <w:pPr>
      <w:numPr>
        <w:numId w:val="11"/>
      </w:numPr>
    </w:pPr>
  </w:style>
  <w:style w:type="paragraph" w:customStyle="1" w:styleId="Tiret3">
    <w:name w:val="Tiret 3"/>
    <w:basedOn w:val="Point3"/>
    <w:pPr>
      <w:numPr>
        <w:numId w:val="12"/>
      </w:numPr>
    </w:pPr>
  </w:style>
  <w:style w:type="paragraph" w:customStyle="1" w:styleId="Tiret4">
    <w:name w:val="Tiret 4"/>
    <w:basedOn w:val="Point4"/>
    <w:pPr>
      <w:numPr>
        <w:numId w:val="13"/>
      </w:numPr>
    </w:pPr>
  </w:style>
  <w:style w:type="paragraph" w:customStyle="1" w:styleId="Tiret5">
    <w:name w:val="Tiret 5"/>
    <w:basedOn w:val="Point5"/>
    <w:pPr>
      <w:numPr>
        <w:numId w:val="14"/>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15"/>
      </w:numPr>
    </w:pPr>
  </w:style>
  <w:style w:type="paragraph" w:customStyle="1" w:styleId="NumPar2">
    <w:name w:val="NumPar 2"/>
    <w:basedOn w:val="Normal"/>
    <w:next w:val="Text1"/>
    <w:pPr>
      <w:numPr>
        <w:ilvl w:val="1"/>
        <w:numId w:val="15"/>
      </w:numPr>
    </w:pPr>
  </w:style>
  <w:style w:type="paragraph" w:customStyle="1" w:styleId="NumPar3">
    <w:name w:val="NumPar 3"/>
    <w:basedOn w:val="Normal"/>
    <w:next w:val="Text1"/>
    <w:pPr>
      <w:numPr>
        <w:ilvl w:val="2"/>
        <w:numId w:val="15"/>
      </w:numPr>
    </w:pPr>
  </w:style>
  <w:style w:type="paragraph" w:customStyle="1" w:styleId="NumPar4">
    <w:name w:val="NumPar 4"/>
    <w:basedOn w:val="Normal"/>
    <w:next w:val="Text1"/>
    <w:pPr>
      <w:numPr>
        <w:ilvl w:val="3"/>
        <w:numId w:val="15"/>
      </w:numPr>
    </w:pPr>
  </w:style>
  <w:style w:type="paragraph" w:customStyle="1" w:styleId="NumPar5">
    <w:name w:val="NumPar 5"/>
    <w:basedOn w:val="Normal"/>
    <w:next w:val="Text2"/>
    <w:pPr>
      <w:numPr>
        <w:ilvl w:val="4"/>
        <w:numId w:val="15"/>
      </w:numPr>
    </w:pPr>
  </w:style>
  <w:style w:type="paragraph" w:customStyle="1" w:styleId="NumPar6">
    <w:name w:val="NumPar 6"/>
    <w:basedOn w:val="Normal"/>
    <w:next w:val="Text2"/>
    <w:pPr>
      <w:numPr>
        <w:ilvl w:val="5"/>
        <w:numId w:val="15"/>
      </w:numPr>
    </w:pPr>
  </w:style>
  <w:style w:type="paragraph" w:customStyle="1" w:styleId="NumPar7">
    <w:name w:val="NumPar 7"/>
    <w:basedOn w:val="Normal"/>
    <w:next w:val="Text2"/>
    <w:pPr>
      <w:numPr>
        <w:ilvl w:val="6"/>
        <w:numId w:val="15"/>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17"/>
      </w:numPr>
    </w:pPr>
  </w:style>
  <w:style w:type="paragraph" w:customStyle="1" w:styleId="Point1number">
    <w:name w:val="Point 1 (number)"/>
    <w:basedOn w:val="Normal"/>
    <w:pPr>
      <w:numPr>
        <w:ilvl w:val="2"/>
        <w:numId w:val="17"/>
      </w:numPr>
    </w:pPr>
  </w:style>
  <w:style w:type="paragraph" w:customStyle="1" w:styleId="Point2number">
    <w:name w:val="Point 2 (number)"/>
    <w:basedOn w:val="Normal"/>
    <w:pPr>
      <w:numPr>
        <w:ilvl w:val="4"/>
        <w:numId w:val="17"/>
      </w:numPr>
    </w:pPr>
  </w:style>
  <w:style w:type="paragraph" w:customStyle="1" w:styleId="Point3number">
    <w:name w:val="Point 3 (number)"/>
    <w:basedOn w:val="Normal"/>
    <w:pPr>
      <w:numPr>
        <w:ilvl w:val="6"/>
        <w:numId w:val="17"/>
      </w:numPr>
    </w:pPr>
  </w:style>
  <w:style w:type="paragraph" w:customStyle="1" w:styleId="Point0letter">
    <w:name w:val="Point 0 (letter)"/>
    <w:basedOn w:val="Normal"/>
    <w:pPr>
      <w:numPr>
        <w:ilvl w:val="1"/>
        <w:numId w:val="17"/>
      </w:numPr>
    </w:pPr>
  </w:style>
  <w:style w:type="paragraph" w:customStyle="1" w:styleId="Point1letter">
    <w:name w:val="Point 1 (letter)"/>
    <w:basedOn w:val="Normal"/>
    <w:pPr>
      <w:numPr>
        <w:ilvl w:val="3"/>
        <w:numId w:val="17"/>
      </w:numPr>
    </w:pPr>
  </w:style>
  <w:style w:type="paragraph" w:customStyle="1" w:styleId="Point2letter">
    <w:name w:val="Point 2 (letter)"/>
    <w:basedOn w:val="Normal"/>
    <w:pPr>
      <w:numPr>
        <w:ilvl w:val="5"/>
        <w:numId w:val="17"/>
      </w:numPr>
    </w:pPr>
  </w:style>
  <w:style w:type="paragraph" w:customStyle="1" w:styleId="Point3letter">
    <w:name w:val="Point 3 (letter)"/>
    <w:basedOn w:val="Normal"/>
    <w:pPr>
      <w:numPr>
        <w:ilvl w:val="7"/>
        <w:numId w:val="17"/>
      </w:numPr>
    </w:pPr>
  </w:style>
  <w:style w:type="paragraph" w:customStyle="1" w:styleId="Point4letter">
    <w:name w:val="Point 4 (letter)"/>
    <w:basedOn w:val="Normal"/>
    <w:pPr>
      <w:numPr>
        <w:ilvl w:val="8"/>
        <w:numId w:val="17"/>
      </w:numPr>
    </w:pPr>
  </w:style>
  <w:style w:type="paragraph" w:customStyle="1" w:styleId="Bullet0">
    <w:name w:val="Bullet 0"/>
    <w:basedOn w:val="Normal"/>
    <w:pPr>
      <w:numPr>
        <w:numId w:val="18"/>
      </w:numPr>
    </w:pPr>
  </w:style>
  <w:style w:type="paragraph" w:customStyle="1" w:styleId="Bullet1">
    <w:name w:val="Bullet 1"/>
    <w:basedOn w:val="Normal"/>
    <w:pPr>
      <w:numPr>
        <w:numId w:val="19"/>
      </w:numPr>
    </w:pPr>
  </w:style>
  <w:style w:type="paragraph" w:customStyle="1" w:styleId="Bullet2">
    <w:name w:val="Bullet 2"/>
    <w:basedOn w:val="Normal"/>
    <w:pPr>
      <w:numPr>
        <w:numId w:val="20"/>
      </w:numPr>
    </w:pPr>
  </w:style>
  <w:style w:type="paragraph" w:customStyle="1" w:styleId="Bullet3">
    <w:name w:val="Bullet 3"/>
    <w:basedOn w:val="Normal"/>
    <w:pPr>
      <w:numPr>
        <w:numId w:val="21"/>
      </w:numPr>
    </w:pPr>
  </w:style>
  <w:style w:type="paragraph" w:customStyle="1" w:styleId="Bullet4">
    <w:name w:val="Bullet 4"/>
    <w:basedOn w:val="Normal"/>
    <w:pPr>
      <w:numPr>
        <w:numId w:val="22"/>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23"/>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rsid w:val="00E664ED"/>
    <w:pPr>
      <w:spacing w:before="360" w:after="24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rsid w:val="00E664ED"/>
    <w:pPr>
      <w:spacing w:after="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Normal"/>
    <w:rsid w:val="00E664ED"/>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Rfrencecroise"/>
    <w:rsid w:val="00E664ED"/>
    <w:pPr>
      <w:spacing w:before="360" w:after="240"/>
      <w:jc w:val="center"/>
    </w:pPr>
  </w:style>
  <w:style w:type="paragraph" w:styleId="Header">
    <w:name w:val="header"/>
    <w:basedOn w:val="Normal"/>
    <w:link w:val="HeaderChar"/>
    <w:uiPriority w:val="99"/>
    <w:unhideWhenUsed/>
    <w:rsid w:val="004256E8"/>
    <w:pPr>
      <w:tabs>
        <w:tab w:val="center" w:pos="4535"/>
        <w:tab w:val="right" w:pos="9071"/>
      </w:tabs>
      <w:spacing w:before="0"/>
    </w:pPr>
  </w:style>
  <w:style w:type="paragraph" w:customStyle="1" w:styleId="HeaderLandscape">
    <w:name w:val="HeaderLandscape"/>
    <w:basedOn w:val="Normal"/>
    <w:rsid w:val="004256E8"/>
    <w:pPr>
      <w:tabs>
        <w:tab w:val="center" w:pos="7285"/>
        <w:tab w:val="right" w:pos="14003"/>
      </w:tabs>
      <w:spacing w:before="0"/>
    </w:pPr>
  </w:style>
  <w:style w:type="paragraph" w:styleId="Footer">
    <w:name w:val="footer"/>
    <w:basedOn w:val="Normal"/>
    <w:link w:val="FooterChar"/>
    <w:uiPriority w:val="99"/>
    <w:unhideWhenUsed/>
    <w:rsid w:val="004256E8"/>
    <w:pPr>
      <w:tabs>
        <w:tab w:val="center" w:pos="4535"/>
        <w:tab w:val="right" w:pos="9071"/>
        <w:tab w:val="right" w:pos="9921"/>
      </w:tabs>
      <w:spacing w:before="360" w:after="0"/>
      <w:ind w:left="-850" w:right="-850"/>
      <w:jc w:val="left"/>
    </w:pPr>
  </w:style>
  <w:style w:type="paragraph" w:customStyle="1" w:styleId="FooterLandscape">
    <w:name w:val="FooterLandscape"/>
    <w:basedOn w:val="Normal"/>
    <w:rsid w:val="004256E8"/>
    <w:pPr>
      <w:tabs>
        <w:tab w:val="center" w:pos="7285"/>
        <w:tab w:val="center" w:pos="10913"/>
        <w:tab w:val="right" w:pos="15137"/>
      </w:tabs>
      <w:spacing w:before="360" w:after="0"/>
      <w:ind w:left="-567" w:right="-567"/>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3739870">
      <w:bodyDiv w:val="1"/>
      <w:marLeft w:val="0"/>
      <w:marRight w:val="0"/>
      <w:marTop w:val="0"/>
      <w:marBottom w:val="0"/>
      <w:divBdr>
        <w:top w:val="none" w:sz="0" w:space="0" w:color="auto"/>
        <w:left w:val="none" w:sz="0" w:space="0" w:color="auto"/>
        <w:bottom w:val="none" w:sz="0" w:space="0" w:color="auto"/>
        <w:right w:val="none" w:sz="0" w:space="0" w:color="auto"/>
      </w:divBdr>
    </w:div>
    <w:div w:id="1022821962">
      <w:bodyDiv w:val="1"/>
      <w:marLeft w:val="0"/>
      <w:marRight w:val="0"/>
      <w:marTop w:val="0"/>
      <w:marBottom w:val="0"/>
      <w:divBdr>
        <w:top w:val="none" w:sz="0" w:space="0" w:color="auto"/>
        <w:left w:val="none" w:sz="0" w:space="0" w:color="auto"/>
        <w:bottom w:val="none" w:sz="0" w:space="0" w:color="auto"/>
        <w:right w:val="none" w:sz="0" w:space="0" w:color="auto"/>
      </w:divBdr>
    </w:div>
    <w:div w:id="1724796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data.europa.eu/eli/reg/2024/1263/oj" TargetMode="External"/><Relationship Id="rId1" Type="http://schemas.openxmlformats.org/officeDocument/2006/relationships/hyperlink" Target="http://data.europa.eu/eli/reg/2025/1106/oj"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2C27A92ABE24488EA583CFD08DCF90" ma:contentTypeVersion="2" ma:contentTypeDescription="Create a new document." ma:contentTypeScope="" ma:versionID="d582813bc283a2b8186060a620db32cb">
  <xsd:schema xmlns:xsd="http://www.w3.org/2001/XMLSchema" xmlns:xs="http://www.w3.org/2001/XMLSchema" xmlns:p="http://schemas.microsoft.com/office/2006/metadata/properties" xmlns:ns2="a20ec63f-8aa4-4fd8-bfc8-ccb9f9a0dbe7" targetNamespace="http://schemas.microsoft.com/office/2006/metadata/properties" ma:root="true" ma:fieldsID="884729f5c59b25300f15593d03b75cb5" ns2:_="">
    <xsd:import namespace="a20ec63f-8aa4-4fd8-bfc8-ccb9f9a0dbe7"/>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0ec63f-8aa4-4fd8-bfc8-ccb9f9a0dbe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B22D47-2D93-4DA1-A24F-4A111EDE6F4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C8827F1-ACB5-42E3-8BF3-FEED724BF86C}">
  <ds:schemaRefs>
    <ds:schemaRef ds:uri="http://schemas.microsoft.com/sharepoint/v3/contenttype/forms"/>
  </ds:schemaRefs>
</ds:datastoreItem>
</file>

<file path=customXml/itemProps3.xml><?xml version="1.0" encoding="utf-8"?>
<ds:datastoreItem xmlns:ds="http://schemas.openxmlformats.org/officeDocument/2006/customXml" ds:itemID="{FB3BEEE0-4B25-43C9-A938-EE722F0E64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0ec63f-8aa4-4fd8-bfc8-ccb9f9a0db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62D445-CDB0-491B-8719-C19C30EAD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7</TotalTime>
  <Pages>3</Pages>
  <Words>591</Words>
  <Characters>3372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20</cp:revision>
  <dcterms:created xsi:type="dcterms:W3CDTF">2026-01-14T14:52:00Z</dcterms:created>
  <dcterms:modified xsi:type="dcterms:W3CDTF">2026-01-22T16:56:00Z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8.0.25.0</vt:lpwstr>
  </property>
  <property fmtid="{D5CDD505-2E9C-101B-9397-08002B2CF9AE}" pid="4" name="Last edited using">
    <vt:lpwstr>LW 9.2, Build 20250828</vt:lpwstr>
  </property>
  <property fmtid="{D5CDD505-2E9C-101B-9397-08002B2CF9AE}" pid="5" name="Created using">
    <vt:lpwstr>LW 9.2, Build 20250828</vt:lpwstr>
  </property>
  <property fmtid="{D5CDD505-2E9C-101B-9397-08002B2CF9AE}" pid="6" name="Part">
    <vt:lpwstr>1</vt:lpwstr>
  </property>
  <property fmtid="{D5CDD505-2E9C-101B-9397-08002B2CF9AE}" pid="7" name="Total parts">
    <vt:lpwstr>1</vt:lpwstr>
  </property>
  <property fmtid="{D5CDD505-2E9C-101B-9397-08002B2CF9AE}" pid="8" name="Level of sensitivity">
    <vt:lpwstr>Standard treatment</vt:lpwstr>
  </property>
  <property fmtid="{D5CDD505-2E9C-101B-9397-08002B2CF9AE}" pid="9" name="LWTemplateID">
    <vt:lpwstr>SJ-020</vt:lpwstr>
  </property>
  <property fmtid="{D5CDD505-2E9C-101B-9397-08002B2CF9AE}" pid="10" name="MSIP_Label_6bd9ddd1-4d20-43f6-abfa-fc3c07406f94_Enabled">
    <vt:lpwstr>true</vt:lpwstr>
  </property>
  <property fmtid="{D5CDD505-2E9C-101B-9397-08002B2CF9AE}" pid="11" name="MSIP_Label_6bd9ddd1-4d20-43f6-abfa-fc3c07406f94_SetDate">
    <vt:lpwstr>2025-11-28T15:51:11Z</vt:lpwstr>
  </property>
  <property fmtid="{D5CDD505-2E9C-101B-9397-08002B2CF9AE}" pid="12" name="MSIP_Label_6bd9ddd1-4d20-43f6-abfa-fc3c07406f94_Method">
    <vt:lpwstr>Standard</vt:lpwstr>
  </property>
  <property fmtid="{D5CDD505-2E9C-101B-9397-08002B2CF9AE}" pid="13" name="MSIP_Label_6bd9ddd1-4d20-43f6-abfa-fc3c07406f94_Name">
    <vt:lpwstr>Commission Use</vt:lpwstr>
  </property>
  <property fmtid="{D5CDD505-2E9C-101B-9397-08002B2CF9AE}" pid="14" name="MSIP_Label_6bd9ddd1-4d20-43f6-abfa-fc3c07406f94_SiteId">
    <vt:lpwstr>b24c8b06-522c-46fe-9080-70926f8dddb1</vt:lpwstr>
  </property>
  <property fmtid="{D5CDD505-2E9C-101B-9397-08002B2CF9AE}" pid="15" name="MSIP_Label_6bd9ddd1-4d20-43f6-abfa-fc3c07406f94_ActionId">
    <vt:lpwstr>ab4a71aa-8701-4965-8615-9596dba371c2</vt:lpwstr>
  </property>
  <property fmtid="{D5CDD505-2E9C-101B-9397-08002B2CF9AE}" pid="16" name="MSIP_Label_6bd9ddd1-4d20-43f6-abfa-fc3c07406f94_ContentBits">
    <vt:lpwstr>0</vt:lpwstr>
  </property>
  <property fmtid="{D5CDD505-2E9C-101B-9397-08002B2CF9AE}" pid="17" name="MSIP_Label_6bd9ddd1-4d20-43f6-abfa-fc3c07406f94_Tag">
    <vt:lpwstr>10, 3, 0, 1</vt:lpwstr>
  </property>
  <property fmtid="{D5CDD505-2E9C-101B-9397-08002B2CF9AE}" pid="18" name="ContentTypeId">
    <vt:lpwstr>0x010100192C27A92ABE24488EA583CFD08DCF90</vt:lpwstr>
  </property>
  <property fmtid="{D5CDD505-2E9C-101B-9397-08002B2CF9AE}" pid="19" name="DQCStatus">
    <vt:lpwstr>Green (DQC version 03)</vt:lpwstr>
  </property>
</Properties>
</file>