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06FAC" w14:textId="7B3A5BC6" w:rsidR="00A70A62" w:rsidRPr="00A64F36" w:rsidRDefault="00EA13D1" w:rsidP="00EA13D1">
      <w:pPr>
        <w:pStyle w:val="Pagedecouverture"/>
        <w:rPr>
          <w:noProof/>
        </w:rPr>
      </w:pPr>
      <w:bookmarkStart w:id="0" w:name="LW_BM_COVERPAGE"/>
      <w:r>
        <w:rPr>
          <w:noProof/>
        </w:rPr>
        <w:pict w14:anchorId="61180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C7437EC-A421-430B-9E93-F58855749F6D" style="width:455.25pt;height:300pt">
            <v:imagedata r:id="rId8" o:title=""/>
          </v:shape>
        </w:pict>
      </w:r>
    </w:p>
    <w:bookmarkEnd w:id="0"/>
    <w:p w14:paraId="18CBE1AF" w14:textId="77777777" w:rsidR="00A70A62" w:rsidRPr="00973910" w:rsidRDefault="00A70A62" w:rsidP="00A70A62">
      <w:pPr>
        <w:rPr>
          <w:rFonts w:ascii="Times New Roman" w:hAnsi="Times New Roman" w:cs="Times New Roman"/>
          <w:noProof/>
          <w:lang w:val="en-GB"/>
        </w:rPr>
        <w:sectPr w:rsidR="00A70A62" w:rsidRPr="00973910" w:rsidSect="00EA13D1">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C3A81C6" w14:textId="15724A46" w:rsidR="00A70A62" w:rsidRPr="00A64F36" w:rsidRDefault="00A70A62" w:rsidP="00A70A62">
      <w:pPr>
        <w:pStyle w:val="Heading2"/>
        <w:numPr>
          <w:ilvl w:val="0"/>
          <w:numId w:val="2"/>
        </w:numPr>
        <w:tabs>
          <w:tab w:val="num" w:pos="360"/>
        </w:tabs>
        <w:ind w:left="0" w:firstLine="0"/>
        <w:rPr>
          <w:rFonts w:ascii="Times New Roman" w:eastAsia="Times New Roman" w:hAnsi="Times New Roman" w:cs="Times New Roman"/>
          <w:b/>
          <w:bCs/>
          <w:noProof/>
          <w:color w:val="0070C0"/>
        </w:rPr>
      </w:pPr>
      <w:bookmarkStart w:id="1" w:name="_GoBack"/>
      <w:bookmarkEnd w:id="1"/>
      <w:r>
        <w:rPr>
          <w:rFonts w:ascii="Times New Roman" w:hAnsi="Times New Roman"/>
          <w:b/>
          <w:noProof/>
          <w:color w:val="0070C0"/>
        </w:rPr>
        <w:lastRenderedPageBreak/>
        <w:t>Úvod</w:t>
      </w:r>
    </w:p>
    <w:p w14:paraId="7B915A73" w14:textId="378B6DBF" w:rsidR="00A70A62" w:rsidRPr="00A64F36" w:rsidRDefault="00A70A62" w:rsidP="4F3BD43B">
      <w:pPr>
        <w:pStyle w:val="NormalWeb"/>
        <w:spacing w:before="0" w:beforeAutospacing="0" w:after="180" w:afterAutospacing="0"/>
        <w:jc w:val="both"/>
        <w:rPr>
          <w:noProof/>
        </w:rPr>
      </w:pPr>
      <w:r>
        <w:rPr>
          <w:b/>
          <w:noProof/>
        </w:rPr>
        <w:t>Strategie pro mezigenerační spravedlnost</w:t>
      </w:r>
      <w:r>
        <w:rPr>
          <w:noProof/>
        </w:rPr>
        <w:t xml:space="preserve"> vyjadřuje snahu Evropské komise zajistit, aby rozhodnutí učiněná dnes kladně přispívala také k příležitostem, které přinese budoucnost, a aby výhody i odpovědnost byly spravedlivě rozděleny mezi všechny věkové skupiny. Jejím cílem je podporovat politické přístupy, které spojují hospodářskou prosperitu a dobré životní podmínky, odpovědnost za životní prostředí, sociální a územní soudržnost, fiskální udržitelnost a demokratickou účast. Dále si klade za cíl posílit hlasy mladých lidí jako budoucnosti EU a zajistit mezigenerační solidaritu.</w:t>
      </w:r>
    </w:p>
    <w:p w14:paraId="1247DF99" w14:textId="10CFE97B" w:rsidR="00A70A62" w:rsidRPr="00A64F36" w:rsidRDefault="00A70A62" w:rsidP="471E3495">
      <w:pPr>
        <w:pStyle w:val="NormalWeb"/>
        <w:spacing w:before="0" w:beforeAutospacing="0" w:after="180" w:afterAutospacing="0"/>
        <w:jc w:val="both"/>
        <w:rPr>
          <w:noProof/>
        </w:rPr>
      </w:pPr>
      <w:r>
        <w:rPr>
          <w:b/>
          <w:noProof/>
        </w:rPr>
        <w:t>EU dosáhla jedné z nejpokročilejších úrovní rovnosti příležitostí na světě</w:t>
      </w:r>
      <w:r>
        <w:rPr>
          <w:noProof/>
        </w:rPr>
        <w:t>, která je podporována konkurenceschopným tržním hospodářstvím, silnými sociálními modely a kvalitními a inkluzivními veřejnými službami. Ve světě, který se vyznačuje rostoucí nestabilitou a zrychlujícími se globálními změnami, kde dlouhodobé demografické, technologické, ekonomické, sociální, klimatické a environmentální trendy mění způsob vytváření a sdílení příležitostí, je nezbytné znovu věnovat pozornost mezigenerační spravedlnosti. To pomůže zajistit, aby se příležitosti pro mladé lidi, kteří tvoří základ budoucí Evropy, nadále rozšiřovaly a aby EU mohla svým občanům zajistit udržitelné dobré životní podmínky podporující začlenění.</w:t>
      </w:r>
    </w:p>
    <w:p w14:paraId="6A59A0C2" w14:textId="2CA0E26B" w:rsidR="00A70A62" w:rsidRPr="00A64F36" w:rsidRDefault="00A70A62" w:rsidP="0A5929DF">
      <w:pPr>
        <w:pStyle w:val="NormalWeb"/>
        <w:spacing w:before="0" w:beforeAutospacing="0" w:after="180" w:afterAutospacing="0"/>
        <w:jc w:val="both"/>
        <w:rPr>
          <w:noProof/>
        </w:rPr>
      </w:pPr>
      <w:r>
        <w:rPr>
          <w:b/>
          <w:noProof/>
        </w:rPr>
        <w:t>Strategie je projektem důvěry a spolupráce</w:t>
      </w:r>
      <w:r>
        <w:rPr>
          <w:noProof/>
        </w:rPr>
        <w:t>, který vznikl v procesu společného navrhování</w:t>
      </w:r>
      <w:r>
        <w:rPr>
          <w:rStyle w:val="FootnoteReference"/>
          <w:noProof/>
          <w:lang w:val="en-GB"/>
        </w:rPr>
        <w:footnoteReference w:id="1"/>
      </w:r>
      <w:r>
        <w:rPr>
          <w:noProof/>
        </w:rPr>
        <w:t>, jehož součástí byla i specializovaná evropská panelová diskuse občanů o mezigenerační spravedlnosti</w:t>
      </w:r>
      <w:r>
        <w:rPr>
          <w:rStyle w:val="FootnoteReference"/>
          <w:noProof/>
          <w:lang w:val="en-GB"/>
        </w:rPr>
        <w:footnoteReference w:id="2"/>
      </w:r>
      <w:r>
        <w:rPr>
          <w:noProof/>
        </w:rPr>
        <w:t>. Odráží myšlenky a doporučení občanů, zúčastněných stran a komunit z celé Evropy. Lidé všech věkových kategorií, různého původu a z různých regionů spolupracovali na zjištění, jak EU vybavit na to, aby lépe zvládala rostoucí a vzájemně propojené výzvy v zájmu lepší budoucnosti.</w:t>
      </w:r>
    </w:p>
    <w:p w14:paraId="0B792AD1" w14:textId="331AEFC0" w:rsidR="00A70A62" w:rsidRPr="00A64F36" w:rsidRDefault="00A70A62" w:rsidP="0A5929DF">
      <w:pPr>
        <w:pStyle w:val="NormalWeb"/>
        <w:spacing w:before="0" w:beforeAutospacing="0" w:after="180" w:afterAutospacing="0"/>
        <w:jc w:val="both"/>
        <w:rPr>
          <w:noProof/>
        </w:rPr>
      </w:pPr>
      <w:r>
        <w:rPr>
          <w:b/>
          <w:noProof/>
        </w:rPr>
        <w:t>Na summitu OSN o budoucnosti konaném v roce 2024</w:t>
      </w:r>
      <w:r>
        <w:rPr>
          <w:noProof/>
        </w:rPr>
        <w:t xml:space="preserve"> EU a její členské státy schválily Pakt pro budoucnost a Pakt o budoucích generacích</w:t>
      </w:r>
      <w:r>
        <w:rPr>
          <w:rStyle w:val="FootnoteReference"/>
          <w:noProof/>
          <w:lang w:val="en-GB"/>
        </w:rPr>
        <w:footnoteReference w:id="3"/>
      </w:r>
      <w:r>
        <w:rPr>
          <w:noProof/>
        </w:rPr>
        <w:t xml:space="preserve">. Více než třetina členských států EU zmiňuje budoucí generace ve svých ústavách nebo zavedla zvláštní institucionální rámce, které zdůrazňují význam zajištění příležitostí pro budoucí generace. To úzce souvisí s prováděním Agendy 2030 a cílů udržitelného rozvoje, které představují celosvětově sdílený plán pro mír a prosperitu lidí i planety, a to v současné době i v budoucnu. </w:t>
      </w:r>
    </w:p>
    <w:p w14:paraId="6D1B6F76" w14:textId="2B6C5A2A" w:rsidR="00A64F36" w:rsidRPr="00A64F36" w:rsidRDefault="00A70A62" w:rsidP="1A30185C">
      <w:pPr>
        <w:pStyle w:val="NormalWeb"/>
        <w:spacing w:before="0" w:beforeAutospacing="0" w:after="180" w:afterAutospacing="0"/>
        <w:jc w:val="both"/>
        <w:rPr>
          <w:noProof/>
          <w:color w:val="000000" w:themeColor="text1"/>
        </w:rPr>
      </w:pPr>
      <w:r>
        <w:rPr>
          <w:b/>
          <w:noProof/>
        </w:rPr>
        <w:t xml:space="preserve">Touto strategií Komise přispívá k pevnému závazku EU </w:t>
      </w:r>
      <w:r>
        <w:rPr>
          <w:noProof/>
        </w:rPr>
        <w:t>navázat na tento celosvětový impuls, přičemž vychází z toho</w:t>
      </w:r>
      <w:r>
        <w:rPr>
          <w:noProof/>
          <w:color w:val="000000" w:themeColor="text1"/>
        </w:rPr>
        <w:t>, že ochrana míru, lidských práv a planety při současném zlepšování životních podmínek budoucích generací, jakož i podpora solidarity mezi současnými generacemi jsou součástí evropské identity, hodnot a dlouhodobých strategických zájmů</w:t>
      </w:r>
      <w:r>
        <w:rPr>
          <w:rStyle w:val="FootnoteReference"/>
          <w:noProof/>
          <w:color w:val="000000" w:themeColor="text1"/>
          <w:lang w:val="en-GB"/>
        </w:rPr>
        <w:footnoteReference w:id="4"/>
      </w:r>
      <w:r>
        <w:rPr>
          <w:noProof/>
        </w:rPr>
        <w:t>.</w:t>
      </w:r>
    </w:p>
    <w:p w14:paraId="37CA34E2" w14:textId="76CBC6AF" w:rsidR="00684B4D" w:rsidRPr="00A64F36" w:rsidRDefault="00A70A62" w:rsidP="1A30185C">
      <w:pPr>
        <w:pStyle w:val="NormalWeb"/>
        <w:spacing w:before="0" w:beforeAutospacing="0" w:after="180" w:afterAutospacing="0"/>
        <w:jc w:val="both"/>
        <w:rPr>
          <w:noProof/>
        </w:rPr>
      </w:pPr>
      <w:r>
        <w:rPr>
          <w:noProof/>
        </w:rPr>
        <w:t>Strategie je založena na dlouhodobé odpovědnosti, mezigenerační solidaritě a územní spravedlnosti a snaží se rovněž přispět k obnovení důvěry ve veřejné instituce, k utváření udržitelné a spravedlivé budoucnosti a k zajištění toho, aby dnešní pokrok posílil základy pro budoucnost.</w:t>
      </w:r>
    </w:p>
    <w:p w14:paraId="1B789A19" w14:textId="77777777" w:rsidR="005E1550" w:rsidRPr="000E0D5C" w:rsidRDefault="005E1550" w:rsidP="1A30185C">
      <w:pPr>
        <w:pStyle w:val="NormalWeb"/>
        <w:spacing w:before="0" w:beforeAutospacing="0" w:after="180" w:afterAutospacing="0"/>
        <w:jc w:val="both"/>
        <w:rPr>
          <w:noProof/>
        </w:rPr>
      </w:pPr>
    </w:p>
    <w:p w14:paraId="4D585EF9" w14:textId="778A162F" w:rsidR="00A70A62" w:rsidRPr="00A64F36" w:rsidRDefault="00A70A62" w:rsidP="00A70A62">
      <w:pPr>
        <w:pStyle w:val="Heading2"/>
        <w:numPr>
          <w:ilvl w:val="0"/>
          <w:numId w:val="2"/>
        </w:numPr>
        <w:tabs>
          <w:tab w:val="num" w:pos="360"/>
        </w:tabs>
        <w:ind w:left="0" w:firstLine="0"/>
        <w:rPr>
          <w:rFonts w:ascii="Times New Roman" w:eastAsia="Times New Roman" w:hAnsi="Times New Roman" w:cs="Times New Roman"/>
          <w:b/>
          <w:bCs/>
          <w:noProof/>
          <w:color w:val="0070C0"/>
        </w:rPr>
      </w:pPr>
      <w:r>
        <w:rPr>
          <w:rFonts w:ascii="Times New Roman" w:hAnsi="Times New Roman"/>
          <w:b/>
          <w:noProof/>
          <w:color w:val="0070C0"/>
        </w:rPr>
        <w:t>Měnící se horizont příležitostí</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70A62" w:rsidRPr="00A64F36" w14:paraId="01B4BC90" w14:textId="77777777" w:rsidTr="1A16B2EB">
        <w:tc>
          <w:tcPr>
            <w:tcW w:w="9016" w:type="dxa"/>
            <w:shd w:val="clear" w:color="auto" w:fill="DAE9F7" w:themeFill="text2" w:themeFillTint="1A"/>
          </w:tcPr>
          <w:p w14:paraId="524043B5" w14:textId="77777777" w:rsidR="00A70A62" w:rsidRPr="00A64F36" w:rsidRDefault="00A70A62" w:rsidP="00234C09">
            <w:pPr>
              <w:jc w:val="both"/>
              <w:rPr>
                <w:rFonts w:ascii="Times New Roman" w:eastAsia="Times New Roman" w:hAnsi="Times New Roman" w:cs="Times New Roman"/>
                <w:b/>
                <w:bCs/>
                <w:noProof/>
                <w:color w:val="0070C0"/>
                <w:sz w:val="24"/>
                <w:szCs w:val="24"/>
              </w:rPr>
            </w:pPr>
          </w:p>
          <w:p w14:paraId="06725B03" w14:textId="77777777" w:rsidR="00A70A62" w:rsidRPr="00A64F36" w:rsidRDefault="00A70A62" w:rsidP="00234C09">
            <w:pPr>
              <w:jc w:val="both"/>
              <w:rPr>
                <w:rFonts w:ascii="Times New Roman" w:eastAsia="Times New Roman" w:hAnsi="Times New Roman" w:cs="Times New Roman"/>
                <w:b/>
                <w:bCs/>
                <w:noProof/>
                <w:color w:val="0070C0"/>
                <w:sz w:val="24"/>
                <w:szCs w:val="24"/>
              </w:rPr>
            </w:pPr>
            <w:r>
              <w:rPr>
                <w:rFonts w:ascii="Times New Roman" w:hAnsi="Times New Roman"/>
                <w:b/>
                <w:i/>
                <w:noProof/>
                <w:color w:val="0070C0"/>
                <w:sz w:val="24"/>
              </w:rPr>
              <w:t>Megatrendy</w:t>
            </w:r>
            <w:r>
              <w:rPr>
                <w:rFonts w:ascii="Times New Roman" w:hAnsi="Times New Roman"/>
                <w:b/>
                <w:noProof/>
                <w:color w:val="0070C0"/>
                <w:sz w:val="24"/>
              </w:rPr>
              <w:t xml:space="preserve"> ovlivňující mezigenerační rovnováhu:</w:t>
            </w:r>
          </w:p>
          <w:p w14:paraId="6C1A36E9" w14:textId="0B893A8F" w:rsidR="00A70A62" w:rsidRPr="00A64F36" w:rsidRDefault="00A70A62" w:rsidP="00234C09">
            <w:pPr>
              <w:pStyle w:val="NormalWeb"/>
              <w:spacing w:after="180"/>
              <w:jc w:val="both"/>
              <w:rPr>
                <w:noProof/>
              </w:rPr>
            </w:pPr>
            <w:r>
              <w:rPr>
                <w:b/>
                <w:noProof/>
              </w:rPr>
              <w:t>Mladí Evropané dospívají v době rychlé transformace a současně čelí zásadním výzvám</w:t>
            </w:r>
            <w:r>
              <w:rPr>
                <w:noProof/>
              </w:rPr>
              <w:t>. Demografické změny a migrace, souběžná ekologická a digitální transformace a měnící se geopolitické prostředí nově definují způsob vytváření a sdílení příležitostí mezi generacemi, a to v oblastech vzdělávání, zaměstnání a bydlení</w:t>
            </w:r>
            <w:r>
              <w:rPr>
                <w:rStyle w:val="FootnoteReference"/>
                <w:noProof/>
              </w:rPr>
              <w:footnoteReference w:id="5"/>
            </w:r>
            <w:r>
              <w:rPr>
                <w:noProof/>
              </w:rPr>
              <w:t>. Tyto změny se dotýkají lidí ve všech fázích života a vytvářejí společný horizont odpovědnosti, který nabízí významnou příležitost k obnově sociálního, hospodářského a demokratického modelu EU způsobem, který bude prospěšný pro současné i budoucí generace</w:t>
            </w:r>
            <w:r>
              <w:rPr>
                <w:rStyle w:val="FootnoteReference"/>
                <w:noProof/>
              </w:rPr>
              <w:footnoteReference w:id="6"/>
            </w:r>
            <w:r>
              <w:rPr>
                <w:noProof/>
              </w:rPr>
              <w:t>.</w:t>
            </w:r>
          </w:p>
          <w:p w14:paraId="44B98B05" w14:textId="3B5C9692" w:rsidR="00A70A62" w:rsidRPr="00A64F36" w:rsidRDefault="00A70A62" w:rsidP="00234C09">
            <w:pPr>
              <w:pStyle w:val="NormalWeb"/>
              <w:spacing w:after="180"/>
              <w:jc w:val="both"/>
              <w:rPr>
                <w:noProof/>
              </w:rPr>
            </w:pPr>
            <w:bookmarkStart w:id="2" w:name="_Hlk221891564"/>
            <w:r>
              <w:rPr>
                <w:b/>
                <w:noProof/>
              </w:rPr>
              <w:t xml:space="preserve">Z mezigeneračního hlediska není hlavní otázkou samotná změna, </w:t>
            </w:r>
            <w:r>
              <w:rPr>
                <w:noProof/>
              </w:rPr>
              <w:t>ale to, zda rozhodnutí, která dnes činíme, zlepšují šance lidí na dobrý život a zvyšují, příležitosti pro budoucí generace, nebo je omezují. Delší život, technologický pokrok a přechod na klimaticky neutrální a udržitelné využívání zdrojů mohou posílit prosperitu a dobré životní podmínky v průběhu celého života. K dosažení tohoto cíle bude zapotřebí dlouhodobá vize zakotvená v právních předpisech, investice v počátečních fázích, podpora aktivní účasti po celý pracovní život a trvalá spravedlnost mezi generacemi.</w:t>
            </w:r>
          </w:p>
          <w:bookmarkEnd w:id="2"/>
          <w:p w14:paraId="6E218182" w14:textId="63F83970" w:rsidR="00431CC3" w:rsidRPr="00A64F36" w:rsidRDefault="00431CC3" w:rsidP="00431CC3">
            <w:pPr>
              <w:pStyle w:val="NormalWeb"/>
              <w:spacing w:after="180"/>
              <w:jc w:val="both"/>
              <w:rPr>
                <w:noProof/>
              </w:rPr>
            </w:pPr>
            <w:r>
              <w:rPr>
                <w:b/>
                <w:noProof/>
              </w:rPr>
              <w:t xml:space="preserve">Demografická transformace </w:t>
            </w:r>
            <w:r>
              <w:rPr>
                <w:noProof/>
              </w:rPr>
              <w:t>mění společnost a má dopad na přístup mladších generací k bydlení, práci a příjmům, jakož i na dlouhodobou a zdravotní péči. Aktivní stárnutí, mezigenerační předávání znalostí a širší ekonomické a sociální zapojení může zároveň podpořit delší a zdravější život. Díky investicím do celoživotního vzdělávání, flexibilní práce a komunit přátelských ke stáří se demografické změny mohou stát příležitostí pro všechny generace.</w:t>
            </w:r>
          </w:p>
          <w:p w14:paraId="151CDA06" w14:textId="0ACDCBAB" w:rsidR="00A70A62" w:rsidRPr="00A64F36" w:rsidRDefault="00FF7A12" w:rsidP="00234C09">
            <w:pPr>
              <w:pStyle w:val="NormalWeb"/>
              <w:spacing w:after="180"/>
              <w:jc w:val="both"/>
              <w:rPr>
                <w:noProof/>
              </w:rPr>
            </w:pPr>
            <w:r>
              <w:rPr>
                <w:noProof/>
              </w:rPr>
              <w:t xml:space="preserve">Dalším jasným příkladem jsou </w:t>
            </w:r>
            <w:r>
              <w:rPr>
                <w:b/>
                <w:noProof/>
              </w:rPr>
              <w:t>klima a příroda</w:t>
            </w:r>
            <w:r>
              <w:rPr>
                <w:noProof/>
              </w:rPr>
              <w:t xml:space="preserve">. Rozhodné kroky v oblasti ochrany klimatu a životního prostředí zamezí mnohem větším nákladům pro mladší a budoucí generace a jsou investicí do zdraví, bezpečnosti a životních podmínek mladších a budoucích generací a zároveň přinášejí hmatatelné výhody lidem všech věkových kategorií již dnes prostřednictvím čistšího životního prostředí, lepšího veřejného zdraví, energetické bezpečnosti a zabezpečení dodávek vody a odolnějších komunit. Naproti tomu absence opatření by významně ovlivnila prosperitu budoucích generací. Inkluzivně řízená ekologická transformace přispívá ke kvalitním pracovním místům, lepším životním podmínkám, cenové dostupnosti a posiluje odolnost a energetickou bezpečnost EU. </w:t>
            </w:r>
          </w:p>
          <w:p w14:paraId="773685B7" w14:textId="607BB5EE" w:rsidR="00A70A62" w:rsidRPr="00A64F36" w:rsidRDefault="00A70A62" w:rsidP="00234C09">
            <w:pPr>
              <w:pStyle w:val="NormalWeb"/>
              <w:spacing w:after="180"/>
              <w:jc w:val="both"/>
              <w:rPr>
                <w:noProof/>
              </w:rPr>
            </w:pPr>
            <w:r>
              <w:rPr>
                <w:b/>
                <w:noProof/>
              </w:rPr>
              <w:t>Digitalizace, umělá inteligence</w:t>
            </w:r>
            <w:r>
              <w:rPr>
                <w:noProof/>
              </w:rPr>
              <w:t xml:space="preserve"> </w:t>
            </w:r>
            <w:r>
              <w:rPr>
                <w:b/>
                <w:noProof/>
              </w:rPr>
              <w:t>a kosmické technologie</w:t>
            </w:r>
            <w:r>
              <w:rPr>
                <w:noProof/>
              </w:rPr>
              <w:t xml:space="preserve"> mění vzdělání, práci, životní styl a demokratickou účast v průběhu celého života. Tyto transformace sice vyžadují přizpůsobení, zároveň však rozšiřují možnosti. Celoživotní učení, prohlubování dovedností a rekvalifikace a inovace zaměřené na člověka mohou zajistit, že technologický pokrok bude přínosem pro všechny generace a umožní mladým lidem uspět na měnícím se trhu práce a podpoří účast a samostatnost po celý déletrvající život. </w:t>
            </w:r>
            <w:r>
              <w:rPr>
                <w:b/>
                <w:noProof/>
              </w:rPr>
              <w:t>Měnící se povaha práce</w:t>
            </w:r>
            <w:r>
              <w:rPr>
                <w:noProof/>
              </w:rPr>
              <w:t xml:space="preserve"> přetváří zaměstnání, kariérní modely a organizační struktury, což může potenciálně prohlubovat nerovnosti, pokud nebude správně řízena, a mladí lidé se budou muset vypořádat s méně přímočarými a více nejistými profesními dráhami.</w:t>
            </w:r>
          </w:p>
        </w:tc>
      </w:tr>
    </w:tbl>
    <w:p w14:paraId="62863817" w14:textId="140B0C75" w:rsidR="00621C87" w:rsidRPr="00A64F36" w:rsidRDefault="00621C87" w:rsidP="00621C87">
      <w:pPr>
        <w:pStyle w:val="NormalWeb"/>
        <w:spacing w:after="180"/>
        <w:jc w:val="both"/>
        <w:rPr>
          <w:noProof/>
        </w:rPr>
      </w:pPr>
      <w:r>
        <w:rPr>
          <w:b/>
          <w:noProof/>
        </w:rPr>
        <w:t>V rámci těchto změn</w:t>
      </w:r>
      <w:r>
        <w:rPr>
          <w:noProof/>
        </w:rPr>
        <w:t xml:space="preserve"> budou mít dnešní rozhodnutí v oblasti investic, veřejných financí, daňových systémů, důchodových systémů a regulace, která ovlivňují bydlení, vzdělávání, zdraví, péči o děti a dlouhodobou péči, práci a rozdělení bohatství, vliv na to, zda zdědí budoucí generace rostoucí omezení, nebo větší schopnost jednat</w:t>
      </w:r>
      <w:r>
        <w:rPr>
          <w:rStyle w:val="FootnoteReference"/>
          <w:noProof/>
        </w:rPr>
        <w:footnoteReference w:id="7"/>
      </w:r>
      <w:r>
        <w:rPr>
          <w:noProof/>
        </w:rPr>
        <w:t>.</w:t>
      </w:r>
    </w:p>
    <w:p w14:paraId="6804D0BC" w14:textId="108F6CFE" w:rsidR="00621C87" w:rsidRPr="00A64F36" w:rsidRDefault="00621C87" w:rsidP="00621C87">
      <w:pPr>
        <w:pStyle w:val="NormalWeb"/>
        <w:spacing w:before="240" w:beforeAutospacing="0" w:after="180" w:afterAutospacing="0"/>
        <w:jc w:val="both"/>
        <w:rPr>
          <w:noProof/>
        </w:rPr>
      </w:pPr>
      <w:r>
        <w:rPr>
          <w:b/>
          <w:noProof/>
        </w:rPr>
        <w:t>Mezigenerační přístup proto vyžaduje odhodlání založené na sdílené odpovědnosti a solidaritě</w:t>
      </w:r>
      <w:r>
        <w:rPr>
          <w:noProof/>
        </w:rPr>
        <w:t>, aby všechny generace, především mladí lidé, nebyly na budoucnost pouze připraveny, ale aby ji mohly utvářet, a to na základě zkušeností, přispění a solidarity všech generací.</w:t>
      </w:r>
    </w:p>
    <w:p w14:paraId="0DB29630" w14:textId="41786B28" w:rsidR="00A70A62" w:rsidRPr="00A64F36" w:rsidRDefault="00A70A62" w:rsidP="00621C87">
      <w:pPr>
        <w:pStyle w:val="NormalWeb"/>
        <w:spacing w:before="240" w:beforeAutospacing="0" w:after="180" w:afterAutospacing="0"/>
        <w:jc w:val="both"/>
        <w:rPr>
          <w:noProof/>
        </w:rPr>
      </w:pPr>
      <w:r>
        <w:rPr>
          <w:b/>
          <w:noProof/>
        </w:rPr>
        <w:t xml:space="preserve">Příležitosti a rizika se mění s tím, jak lidé procházejí různými fázemi života, </w:t>
      </w:r>
      <w:r>
        <w:rPr>
          <w:noProof/>
        </w:rPr>
        <w:t xml:space="preserve">a v důsledku toho vznikají mezi generacemi významné rozdíly v přístupu ke vzdělání, bezpečnému prostředí, stabilní práci, bydlení, péči, bohatství a dlouhodobému zabezpečení. To vyžaduje sjednocující přístup, který spojí generace při řešení společných cílů pro budoucnost. </w:t>
      </w:r>
    </w:p>
    <w:p w14:paraId="6CAA0BFA" w14:textId="49DA30F8" w:rsidR="00A70A62" w:rsidRPr="00A64F36" w:rsidRDefault="00A70A62" w:rsidP="1F2F85B8">
      <w:pPr>
        <w:pStyle w:val="NormalWeb"/>
        <w:spacing w:before="240" w:beforeAutospacing="0" w:after="180" w:afterAutospacing="0"/>
        <w:jc w:val="both"/>
        <w:rPr>
          <w:b/>
          <w:bCs/>
          <w:noProof/>
        </w:rPr>
      </w:pPr>
      <w:r>
        <w:rPr>
          <w:b/>
          <w:noProof/>
        </w:rPr>
        <w:t>Děti a mladí lidé mají dnes stále více příležitostí ke vzdělávání, cestování, dobrovolnické činnosti a k vyjádření svého názoru</w:t>
      </w:r>
      <w:r>
        <w:rPr>
          <w:rStyle w:val="FootnoteReference"/>
          <w:b/>
          <w:bCs/>
          <w:noProof/>
        </w:rPr>
        <w:footnoteReference w:id="8"/>
      </w:r>
      <w:r>
        <w:rPr>
          <w:noProof/>
        </w:rPr>
        <w:t>. Jedná se o dosud nejvzdělanější a digitálně nejschopnější generaci, což ji staví do čela technologických inovací</w:t>
      </w:r>
      <w:r>
        <w:rPr>
          <w:rStyle w:val="FootnoteReference"/>
          <w:noProof/>
        </w:rPr>
        <w:footnoteReference w:id="9"/>
      </w:r>
      <w:r>
        <w:rPr>
          <w:noProof/>
        </w:rPr>
        <w:t>, přičemž průměrná délka života se v roce 2024 odhaduje na 81,7 roku. Mladí lidé jsou však dnes také více vystaveni narušením trhu práce a novým formám nejistoty, které souvisejí s rychlými technologickými změnami a rozvojem nestandardních forem práce. Navzdory celkově vysoké úrovni vzdělání se mnozí z nich vzdělávají způsoby, které ne vždy odpovídají vyvíjejícím se kvalifikačním potřebám a novým odvětvím. Mnozí jsou vystaveni prudkému poklesu úrovně základních dovedností. To může zkomplikovat přechod od vzdělání ke stabilnímu zaměstnání, což přispívá k roztříštěnosti profesních drah na jejich počátku a zvyšuje riziko nestability zaměstnání. Tyto ekonomické tlaky se prolínají s širšími sociálními a psychologickými problémy, které zahrnují zvýšenou míru stresu, úzkosti a osamělosti mezi mladými lidmi, což odráží nejistotu, finanční napětí a zesílení sociálního srovnávání v digitálním prostředí. Problémem je také dostupnost bydlení, která mladým lidem ztěžuje získání vlastního bydlení a odchod z domu rodičů, což oddaluje jejich přechod k samostatnosti.</w:t>
      </w:r>
    </w:p>
    <w:p w14:paraId="5F710157" w14:textId="59811A52" w:rsidR="006C4AAF" w:rsidRPr="00A64F36" w:rsidRDefault="00A70A62" w:rsidP="1A16B2EB">
      <w:pPr>
        <w:pStyle w:val="NormalWeb"/>
        <w:spacing w:before="240" w:beforeAutospacing="0" w:after="180" w:afterAutospacing="0"/>
        <w:jc w:val="both"/>
        <w:rPr>
          <w:noProof/>
        </w:rPr>
      </w:pPr>
      <w:r>
        <w:rPr>
          <w:b/>
          <w:noProof/>
        </w:rPr>
        <w:t xml:space="preserve">Také starší lidé čelí změně horizontu příležitostí, </w:t>
      </w:r>
      <w:r>
        <w:rPr>
          <w:noProof/>
        </w:rPr>
        <w:t>které se utvářejí díky delšímu a zdravějšímu životu, ale také větší potřebě dlouhodobé péče a riziku chudoby v pozdějším věku. Jejich schopnost zůstat aktivní a jejich zajištění a zapojení se výrazně liší. Zejména u žen se nerovnosti nahromaděné v průběhu života promítají do vyššího rizika chudoby a finanční nejistoty. Mnoho starších lidí si přeje i nadále přispívat společnosti a účastnit se trhu práce, ale brání jim v tom rychlá digitalizace</w:t>
      </w:r>
      <w:r>
        <w:rPr>
          <w:rStyle w:val="FootnoteReference"/>
          <w:noProof/>
          <w:lang w:val="en-GB"/>
        </w:rPr>
        <w:footnoteReference w:id="10"/>
      </w:r>
      <w:r>
        <w:rPr>
          <w:noProof/>
        </w:rPr>
        <w:t>, která hrozí vyloučením osob s nižšími digitálními dovednostmi</w:t>
      </w:r>
      <w:r>
        <w:rPr>
          <w:rStyle w:val="FootnoteReference"/>
          <w:noProof/>
          <w:lang w:val="en-GB"/>
        </w:rPr>
        <w:footnoteReference w:id="11"/>
      </w:r>
      <w:r>
        <w:rPr>
          <w:noProof/>
        </w:rPr>
        <w:t>. Velmi rozšířená je diskriminace na základě věku: 52 % občanů EU považuje věk za největší nevýhodu pro uchazeče o zaměstnání, přičemž starší pracovníci jsou často vnímáni jako méně přizpůsobiví a méně digitálně zdatní</w:t>
      </w:r>
      <w:r>
        <w:rPr>
          <w:rStyle w:val="FootnoteReference"/>
          <w:noProof/>
          <w:lang w:val="en-GB"/>
        </w:rPr>
        <w:footnoteReference w:id="12"/>
      </w:r>
      <w:r>
        <w:rPr>
          <w:noProof/>
        </w:rPr>
        <w:t>. Nedostatek základních služeb a infrastruktury, včetně širokopásmového připojení, má dopad zejména na některá venkovská území s vyšším průměrným věkem.</w:t>
      </w:r>
    </w:p>
    <w:p w14:paraId="34BA1920" w14:textId="2A480748" w:rsidR="00A70A62" w:rsidRPr="00A64F36" w:rsidRDefault="00647C05" w:rsidP="1A16B2EB">
      <w:pPr>
        <w:pStyle w:val="NormalWeb"/>
        <w:spacing w:before="240" w:beforeAutospacing="0" w:after="180" w:afterAutospacing="0"/>
        <w:jc w:val="both"/>
        <w:rPr>
          <w:noProof/>
        </w:rPr>
      </w:pPr>
      <w:r>
        <w:rPr>
          <w:b/>
          <w:noProof/>
        </w:rPr>
        <w:t>Ekonomické zabezpečení v pozdějším věku</w:t>
      </w:r>
      <w:r>
        <w:rPr>
          <w:noProof/>
        </w:rPr>
        <w:t xml:space="preserve"> závisí také na přiměřenosti a udržitelnosti důchodových systémů, které hrají ústřední roli při utváření mezigenerační spravedlnosti tím, že vyvažují zabezpečení příjmů starších lidí s dlouhodobou odolností veřejných financí. Územní rozdíly ve zdravotní péči, dlouhodobé péči, přístupu k zařízením pro pravidelné fyzické aktivity a mobilitu mají další dopad na nezávislost, pocit osamělosti, zdravotní stav a kvalitu života ve stáří</w:t>
      </w:r>
      <w:r>
        <w:rPr>
          <w:rStyle w:val="FootnoteReference"/>
          <w:noProof/>
          <w:lang w:val="en-GB"/>
        </w:rPr>
        <w:footnoteReference w:id="13"/>
      </w:r>
      <w:r>
        <w:rPr>
          <w:noProof/>
        </w:rPr>
        <w:t>. V budoucnu budou starší lidé žít déle a budou potřebovat služby v domácím prostředí a úpravy, které jim umožní žít v jejich domovech. Fyzická aktivita bez ohledu na věk přispívá ke zlepšení celkové kvality života a kognitivních funkcí.</w:t>
      </w:r>
    </w:p>
    <w:p w14:paraId="2CE656CD" w14:textId="284C2003" w:rsidR="00C81D7E" w:rsidRPr="00A64F36" w:rsidRDefault="00C81D7E" w:rsidP="00C81D7E">
      <w:pPr>
        <w:pStyle w:val="NormalWeb"/>
        <w:spacing w:before="240" w:beforeAutospacing="0" w:after="180" w:afterAutospacing="0"/>
        <w:jc w:val="both"/>
        <w:rPr>
          <w:noProof/>
        </w:rPr>
      </w:pPr>
      <w:r>
        <w:rPr>
          <w:b/>
          <w:noProof/>
        </w:rPr>
        <w:t>Pohlaví zůstává hlavním faktorem nerovnosti příležitostí a diskriminace</w:t>
      </w:r>
      <w:r>
        <w:rPr>
          <w:noProof/>
        </w:rPr>
        <w:t xml:space="preserve">. V roce 2023 ženy v EU vydělávaly v průměru </w:t>
      </w:r>
      <w:r>
        <w:rPr>
          <w:rStyle w:val="Strong"/>
          <w:b w:val="0"/>
          <w:noProof/>
        </w:rPr>
        <w:t>o 12 % méně na hodinu</w:t>
      </w:r>
      <w:r>
        <w:rPr>
          <w:noProof/>
        </w:rPr>
        <w:t xml:space="preserve"> než muži a v roce 2024 byla jejich míra zaměstnanosti </w:t>
      </w:r>
      <w:r>
        <w:rPr>
          <w:rStyle w:val="Strong"/>
          <w:b w:val="0"/>
          <w:noProof/>
        </w:rPr>
        <w:t>70,8 %</w:t>
      </w:r>
      <w:r>
        <w:rPr>
          <w:noProof/>
        </w:rPr>
        <w:t xml:space="preserve"> oproti </w:t>
      </w:r>
      <w:r>
        <w:rPr>
          <w:rStyle w:val="Strong"/>
          <w:b w:val="0"/>
          <w:noProof/>
        </w:rPr>
        <w:t>80,8 % u mužů</w:t>
      </w:r>
      <w:r>
        <w:rPr>
          <w:rStyle w:val="FootnoteReference"/>
          <w:noProof/>
          <w:lang w:val="en-GB"/>
        </w:rPr>
        <w:footnoteReference w:id="14"/>
      </w:r>
      <w:r>
        <w:rPr>
          <w:noProof/>
        </w:rPr>
        <w:t xml:space="preserve">. Na ženách také leží hlavní břemeno pečovatelských povinností. Mnohé z nich čelí diskriminaci a sexuálnímu obtěžování, přičemž přibližně každá třetí zažila fyzické nebo sexuální násilí, a to i v práci. Postupem času se tyto nerovnosti v zaměstnání, odměňování a pečovatelských povinnostech kumulují a prohlubují rozdíly mezi muži a ženami v jistotě příjmu, důchodech a ekonomické nezávislosti v pozdějším věku. </w:t>
      </w:r>
    </w:p>
    <w:p w14:paraId="1C8FB5AF" w14:textId="0B74D82D" w:rsidR="00EA0CC4" w:rsidRPr="00A64F36" w:rsidRDefault="00EA0CC4" w:rsidP="00EA0CC4">
      <w:pPr>
        <w:pStyle w:val="NormalWeb"/>
        <w:spacing w:before="240" w:beforeAutospacing="0" w:after="180" w:afterAutospacing="0"/>
        <w:jc w:val="both"/>
        <w:rPr>
          <w:noProof/>
        </w:rPr>
      </w:pPr>
      <w:r>
        <w:rPr>
          <w:b/>
          <w:noProof/>
        </w:rPr>
        <w:t>Znevýhodněné skupiny se potýkají s dalšími obtížemi, které vyžadují meziodvětvový přístup.</w:t>
      </w:r>
      <w:r>
        <w:rPr>
          <w:noProof/>
        </w:rPr>
        <w:t xml:space="preserve"> V průměru více než čtvrtinu nerovnosti v tržních příjmech v Evropě lze přičíst dědičným faktorům, jako je sociálně ekonomické postavení rodičů</w:t>
      </w:r>
      <w:r>
        <w:rPr>
          <w:rStyle w:val="FootnoteReference"/>
          <w:noProof/>
          <w:lang w:val="en-GB"/>
        </w:rPr>
        <w:footnoteReference w:id="15"/>
      </w:r>
      <w:r>
        <w:rPr>
          <w:noProof/>
        </w:rPr>
        <w:t xml:space="preserve"> nebo zeměpisná poloha. Mladí lidé se zdravotním postižením mají často problémy při vstupu do dospělosti kvůli nízké průchodnosti mezi vzděláváním a zaměstnáním. Děti jsou i nadále ohroženy chudobou více než celková populace. Územní rozdíly, zejména ve venkovských a odlehlých oblastech, omezují přístup ke kvalitní odborné přípravě, bydlení, dopravě a spojení, což posiluje odliv mozků a zvyšuje míru osob, které nejsou zaměstnané ani se neúčastní vzdělávání nebo odborné přípravy (NEET).</w:t>
      </w:r>
    </w:p>
    <w:p w14:paraId="51160C0A" w14:textId="3CAEF33B" w:rsidR="00EA0CC4" w:rsidRPr="00A64F36" w:rsidRDefault="00EA0CC4" w:rsidP="00EA0CC4">
      <w:pPr>
        <w:pStyle w:val="NormalWeb"/>
        <w:spacing w:before="240" w:beforeAutospacing="0" w:after="180" w:afterAutospacing="0"/>
        <w:jc w:val="both"/>
        <w:rPr>
          <w:noProof/>
        </w:rPr>
      </w:pPr>
      <w:r>
        <w:rPr>
          <w:b/>
          <w:noProof/>
        </w:rPr>
        <w:t xml:space="preserve">Strukturální překážky </w:t>
      </w:r>
      <w:r>
        <w:rPr>
          <w:noProof/>
        </w:rPr>
        <w:t xml:space="preserve">související se vzděláváním a odbornou přípravou, zaměstnaností, chudobou, vysokými náklady na bydlení a přístupem ke službám se kumulují a často se přenášejí z generace na generaci a pociťují je zejména lidé vystavení diskriminaci, včetně těch z přistěhovaleckého prostředí, Romů a osob LGBTIQ+. </w:t>
      </w:r>
    </w:p>
    <w:p w14:paraId="22954855" w14:textId="512B63E6" w:rsidR="006140DF" w:rsidRDefault="00A70A62" w:rsidP="00A70A62">
      <w:pPr>
        <w:pStyle w:val="NormalWeb"/>
        <w:jc w:val="both"/>
        <w:rPr>
          <w:noProof/>
        </w:rPr>
      </w:pPr>
      <w:r>
        <w:rPr>
          <w:b/>
          <w:noProof/>
        </w:rPr>
        <w:t>Celoživotní</w:t>
      </w:r>
      <w:r>
        <w:rPr>
          <w:noProof/>
        </w:rPr>
        <w:t xml:space="preserve"> </w:t>
      </w:r>
      <w:r>
        <w:rPr>
          <w:b/>
          <w:noProof/>
        </w:rPr>
        <w:t>perspektiva přesahuje rámec dnešních generací</w:t>
      </w:r>
      <w:r>
        <w:rPr>
          <w:noProof/>
        </w:rPr>
        <w:t xml:space="preserve">. Zkoumáním dlouhodobých demografických, technologických, environmentálních, klimatických a socioekonomických trendů můžeme předvídat příležitosti a rizika, kterým budou čelit </w:t>
      </w:r>
      <w:r>
        <w:rPr>
          <w:b/>
          <w:noProof/>
        </w:rPr>
        <w:t>budoucí generace</w:t>
      </w:r>
      <w:r>
        <w:rPr>
          <w:noProof/>
        </w:rPr>
        <w:t>. Přestože v současné době nemohou volit ani mluvit sami za sebe, dnešní rozhodnutí budou utvářet jejich horizont příležitostí. Mezigenerační spravedlnost proto vyžaduje řešení současných rozdílů a zároveň vytvoření budoucnosti, v níž se bude dařit i těm, kteří se ještě nenarodili.</w:t>
      </w:r>
    </w:p>
    <w:p w14:paraId="77075192" w14:textId="77777777" w:rsidR="00024888" w:rsidRPr="000E0D5C" w:rsidRDefault="00024888" w:rsidP="00A70A62">
      <w:pPr>
        <w:pStyle w:val="NormalWeb"/>
        <w:jc w:val="both"/>
        <w:rPr>
          <w:noProof/>
        </w:rPr>
      </w:pPr>
    </w:p>
    <w:p w14:paraId="1E0A4C17" w14:textId="3D2CC071" w:rsidR="00A70A62" w:rsidRPr="00A64F36" w:rsidRDefault="00A70A62" w:rsidP="00A70A62">
      <w:pPr>
        <w:pStyle w:val="Heading2"/>
        <w:numPr>
          <w:ilvl w:val="0"/>
          <w:numId w:val="2"/>
        </w:numPr>
        <w:tabs>
          <w:tab w:val="num" w:pos="360"/>
        </w:tabs>
        <w:ind w:left="0" w:firstLine="0"/>
        <w:rPr>
          <w:rFonts w:ascii="Times New Roman" w:eastAsia="Times New Roman" w:hAnsi="Times New Roman" w:cs="Times New Roman"/>
          <w:b/>
          <w:bCs/>
          <w:noProof/>
          <w:color w:val="0070C0"/>
        </w:rPr>
      </w:pPr>
      <w:r>
        <w:rPr>
          <w:rFonts w:ascii="Times New Roman" w:hAnsi="Times New Roman"/>
          <w:b/>
          <w:noProof/>
          <w:color w:val="0070C0"/>
        </w:rPr>
        <w:t xml:space="preserve">Co se stane, pokud nebudeme jednat: náklady na nečinnost </w:t>
      </w:r>
    </w:p>
    <w:p w14:paraId="0C15CD13" w14:textId="1EB5F01C" w:rsidR="00A70A62" w:rsidRPr="00A64F36" w:rsidRDefault="00A70A62" w:rsidP="7EB3A829">
      <w:pPr>
        <w:spacing w:line="240" w:lineRule="auto"/>
        <w:jc w:val="both"/>
        <w:rPr>
          <w:rFonts w:ascii="Times New Roman" w:eastAsia="Times New Roman" w:hAnsi="Times New Roman" w:cs="Times New Roman"/>
          <w:noProof/>
          <w:kern w:val="0"/>
          <w14:ligatures w14:val="none"/>
        </w:rPr>
      </w:pPr>
      <w:r>
        <w:rPr>
          <w:rFonts w:ascii="Times New Roman" w:hAnsi="Times New Roman"/>
          <w:b/>
          <w:noProof/>
        </w:rPr>
        <w:t xml:space="preserve">Mezigenerační spravedlnost je pro EU strategickou volbou. </w:t>
      </w:r>
      <w:r>
        <w:rPr>
          <w:rFonts w:ascii="Times New Roman" w:hAnsi="Times New Roman"/>
          <w:noProof/>
        </w:rPr>
        <w:t xml:space="preserve">Volební cykly mají často krátký časový rámec, což zvyšuje motivaci upřednostňovat krátkodobý výhled. Pokud politiky dostatečně nezohledňují své dopady napříč generacemi, dochází k postupné kumulaci ekonomických, environmentálních, sociálních a demokratických nákladů. </w:t>
      </w:r>
      <w:r>
        <w:rPr>
          <w:noProof/>
        </w:rPr>
        <w:t>Jen v případě změny klimatu by si nečinnost vyžádala v EU do konce století pokles HDP v rozmezí od 7 % po dvouciferné procento</w:t>
      </w:r>
      <w:r>
        <w:rPr>
          <w:rStyle w:val="FootnoteReference"/>
          <w:rFonts w:ascii="Times New Roman" w:eastAsiaTheme="minorEastAsia" w:hAnsi="Times New Roman" w:cs="Times New Roman"/>
          <w:noProof/>
          <w:lang w:eastAsia="en-GB"/>
        </w:rPr>
        <w:footnoteReference w:id="16"/>
      </w:r>
      <w:r>
        <w:rPr>
          <w:noProof/>
        </w:rPr>
        <w:t>.</w:t>
      </w:r>
      <w:r>
        <w:rPr>
          <w:rFonts w:ascii="Times New Roman" w:hAnsi="Times New Roman"/>
          <w:noProof/>
        </w:rPr>
        <w:t xml:space="preserve"> Hospodářské ztráty související s klimatem se dále zrychlují</w:t>
      </w:r>
      <w:r>
        <w:rPr>
          <w:rFonts w:ascii="Times New Roman" w:eastAsia="Times New Roman" w:hAnsi="Times New Roman" w:cs="Times New Roman"/>
          <w:noProof/>
          <w:vertAlign w:val="superscript"/>
        </w:rPr>
        <w:footnoteReference w:id="17"/>
      </w:r>
      <w:r>
        <w:rPr>
          <w:rFonts w:ascii="Times New Roman" w:hAnsi="Times New Roman"/>
          <w:noProof/>
        </w:rPr>
        <w:t>.</w:t>
      </w:r>
    </w:p>
    <w:p w14:paraId="3B6906A7" w14:textId="713F13C0" w:rsidR="00A70A62" w:rsidRPr="00A64F36" w:rsidRDefault="00A70A62" w:rsidP="00A70A62">
      <w:pPr>
        <w:pStyle w:val="NormalWeb"/>
        <w:jc w:val="both"/>
        <w:rPr>
          <w:noProof/>
        </w:rPr>
      </w:pPr>
      <w:r>
        <w:rPr>
          <w:b/>
          <w:noProof/>
        </w:rPr>
        <w:t>Tam, kde jsou příležitosti nerovnoměrně rozděleny mezi generace, území</w:t>
      </w:r>
      <w:r>
        <w:rPr>
          <w:noProof/>
        </w:rPr>
        <w:t xml:space="preserve"> </w:t>
      </w:r>
      <w:r>
        <w:rPr>
          <w:b/>
          <w:noProof/>
        </w:rPr>
        <w:t>a sociální skupiny,</w:t>
      </w:r>
      <w:r>
        <w:rPr>
          <w:noProof/>
        </w:rPr>
        <w:t xml:space="preserve"> hrozí, že se ekonomické zisky budou stále více koncentrovat. Může se zhoršit sociální mobilita, prohloubit nerovnost a může klesnout důvěra ve spravedlivost životních příležitostí. Méně než polovina Evropanů se domnívá, že mají v životě rovné příležitosti k tomu, aby se jim v životě dařilo, a pouze 38 % vnímá, že většiny výsledků v životě dosáhlo spravedlivě, což poukazuje na rostoucí pocit, že život není spravedlivý</w:t>
      </w:r>
      <w:r>
        <w:rPr>
          <w:rStyle w:val="FootnoteReference"/>
          <w:noProof/>
          <w:lang w:val="en-GB"/>
        </w:rPr>
        <w:footnoteReference w:id="18"/>
      </w:r>
      <w:r>
        <w:rPr>
          <w:noProof/>
        </w:rPr>
        <w:t>. Toto vnímání podtrhuje význam řešení vznikajících rozdílů, které vedou k přenosu ekonomického znevýhodnění z jedné generace na druhou, ještě předtím, než se stanou strukturálními.</w:t>
      </w:r>
      <w:r>
        <w:rPr>
          <w:b/>
          <w:noProof/>
        </w:rPr>
        <w:t xml:space="preserve"> </w:t>
      </w:r>
    </w:p>
    <w:p w14:paraId="473109B6" w14:textId="51E20E65" w:rsidR="00A70A62" w:rsidRPr="00B22CB0" w:rsidRDefault="00A70A62" w:rsidP="007D1A56">
      <w:pPr>
        <w:pStyle w:val="NormalWeb"/>
        <w:spacing w:before="0" w:beforeAutospacing="0" w:after="240" w:afterAutospacing="0"/>
        <w:jc w:val="both"/>
        <w:rPr>
          <w:rFonts w:eastAsia="Aptos"/>
          <w:noProof/>
        </w:rPr>
      </w:pPr>
      <w:r>
        <w:rPr>
          <w:b/>
          <w:noProof/>
        </w:rPr>
        <w:t>Nečinnost má rovněž vliv na odolnost demokracie</w:t>
      </w:r>
      <w:r>
        <w:rPr>
          <w:noProof/>
        </w:rPr>
        <w:t>. Pokud jsou politiky vnímány tak, že nedostatečně reagují na generační obměnu, může dojít k poklesu důvěry v instituce. Důvěra v EU je stále poměrně vysoká, je však skutečně zásadní na ní stavět, abychom posílili občanskou angažovanost a demokratickou odolnost. Sociální izolace může souviset s nižší občanskou angažovaností, nižší volební účastí a celkově nižším politickým zapojením</w:t>
      </w:r>
      <w:r>
        <w:rPr>
          <w:rStyle w:val="FootnoteReference"/>
          <w:noProof/>
        </w:rPr>
        <w:footnoteReference w:id="19"/>
      </w:r>
      <w:r>
        <w:rPr>
          <w:noProof/>
        </w:rPr>
        <w:t>. Dezinformace mohou narušit důvěru v instituce a média, ohrozit volby a omezit schopnost občanů činit informovaná rozhodnutí</w:t>
      </w:r>
      <w:r>
        <w:rPr>
          <w:rStyle w:val="FootnoteReference"/>
          <w:rFonts w:eastAsia="Aptos"/>
          <w:noProof/>
          <w:lang w:val="en-GB"/>
        </w:rPr>
        <w:footnoteReference w:id="20"/>
      </w:r>
      <w:r>
        <w:rPr>
          <w:noProof/>
        </w:rPr>
        <w:t xml:space="preserve">. V důsledku toho bude společnost více vystavována otřesům, bude více závislá na reakcích a méně schopná s důvěrou investovat do budoucnosti. </w:t>
      </w:r>
    </w:p>
    <w:p w14:paraId="5121980A" w14:textId="25D92AC4" w:rsidR="006140DF" w:rsidRDefault="00A70A62" w:rsidP="007D1A56">
      <w:pPr>
        <w:pStyle w:val="NormalWeb"/>
        <w:spacing w:before="0" w:beforeAutospacing="0" w:after="240" w:afterAutospacing="0"/>
        <w:jc w:val="both"/>
        <w:rPr>
          <w:noProof/>
        </w:rPr>
      </w:pPr>
      <w:r>
        <w:rPr>
          <w:b/>
          <w:noProof/>
        </w:rPr>
        <w:t xml:space="preserve">Náklady plynoucí z nečinnosti v oblasti mezigenerační spravedlnosti proto nejsou jen ekonomické; jsou také demokratické, sociální a environmentální. </w:t>
      </w:r>
      <w:r>
        <w:rPr>
          <w:noProof/>
        </w:rPr>
        <w:t>Řešení dnešních problémů s bydlením, kvalifikací, přístupem na pracovní trh, veřejnými financemi, přírodními zdroji, klimatem, systémem péče a systémem sociálního zabezpečení a přístupem ke službám nabízí významnou příležitost posílit postavení mladších generací a zároveň potvrdit solidaritu a spravedlnost ve všech věkových kategoriích. Mezigenerační spravedlnost tedy není dodatečným cílem, ale podmínkou stability, legitimity a udržitelného a čistého růstu pro nadcházející desetiletí.</w:t>
      </w:r>
    </w:p>
    <w:p w14:paraId="7A4CD4CA" w14:textId="77777777" w:rsidR="00024888" w:rsidRPr="000E0D5C" w:rsidRDefault="00024888" w:rsidP="007D1A56">
      <w:pPr>
        <w:pStyle w:val="NormalWeb"/>
        <w:spacing w:before="0" w:beforeAutospacing="0" w:after="240" w:afterAutospacing="0"/>
        <w:jc w:val="both"/>
        <w:rPr>
          <w:noProof/>
        </w:rPr>
      </w:pPr>
    </w:p>
    <w:p w14:paraId="3E7271F1" w14:textId="77777777" w:rsidR="00A70A62" w:rsidRPr="00A64F36" w:rsidRDefault="00A70A62" w:rsidP="00A70A62">
      <w:pPr>
        <w:pStyle w:val="Heading2"/>
        <w:numPr>
          <w:ilvl w:val="0"/>
          <w:numId w:val="2"/>
        </w:numPr>
        <w:tabs>
          <w:tab w:val="num" w:pos="360"/>
        </w:tabs>
        <w:ind w:left="0" w:firstLine="0"/>
        <w:rPr>
          <w:rFonts w:ascii="Times New Roman" w:eastAsia="Times New Roman" w:hAnsi="Times New Roman" w:cs="Times New Roman"/>
          <w:b/>
          <w:bCs/>
          <w:noProof/>
          <w:color w:val="0070C0"/>
        </w:rPr>
      </w:pPr>
      <w:r>
        <w:rPr>
          <w:rFonts w:ascii="Times New Roman" w:hAnsi="Times New Roman"/>
          <w:b/>
          <w:noProof/>
          <w:color w:val="0070C0"/>
        </w:rPr>
        <w:t>Budování nových základů spravedlnosti: nová mezigenerační „smlouva“</w:t>
      </w:r>
    </w:p>
    <w:p w14:paraId="478A0729" w14:textId="684F2A0E" w:rsidR="00A70A62" w:rsidRPr="00A64F36" w:rsidRDefault="00A70A62" w:rsidP="00A70A62">
      <w:pPr>
        <w:spacing w:line="240" w:lineRule="auto"/>
        <w:jc w:val="both"/>
        <w:rPr>
          <w:rFonts w:ascii="Times New Roman" w:eastAsia="Times New Roman" w:hAnsi="Times New Roman" w:cs="Times New Roman"/>
          <w:noProof/>
          <w:kern w:val="0"/>
          <w14:ligatures w14:val="none"/>
        </w:rPr>
      </w:pPr>
      <w:r>
        <w:rPr>
          <w:rFonts w:ascii="Times New Roman" w:hAnsi="Times New Roman"/>
          <w:b/>
          <w:noProof/>
        </w:rPr>
        <w:t>Mezigenerační spravedlnost závisí na upevnění základů, na nichž stojí mezigenerační solidarita.</w:t>
      </w:r>
      <w:r>
        <w:rPr>
          <w:rFonts w:ascii="Times New Roman" w:hAnsi="Times New Roman"/>
          <w:noProof/>
        </w:rPr>
        <w:t xml:space="preserve"> Tato strategie představuje novou mezigenerační „smlouvu“, která vznikla v reakci na doporučení evropské panelové diskuse občanů a odráží potřebu rozšířit příležitosti v čase, řešit rozdíly mezi jednotlivými územími a zajistit, aby se rozhodnutí přijímala s dlouhodobou perspektivou. </w:t>
      </w:r>
      <w:r>
        <w:rPr>
          <w:rFonts w:ascii="Times New Roman" w:hAnsi="Times New Roman"/>
          <w:b/>
          <w:noProof/>
        </w:rPr>
        <w:t>Poskytuje společný rámec pro sladění předvídavosti, spravedlnosti a odpovědnosti</w:t>
      </w:r>
      <w:r>
        <w:rPr>
          <w:rFonts w:ascii="Times New Roman" w:hAnsi="Times New Roman"/>
          <w:noProof/>
        </w:rPr>
        <w:t xml:space="preserve"> tak, aby dnešní rozhodnutí posilovala příležitosti pro současné i budoucí generace,</w:t>
      </w:r>
      <w:r>
        <w:rPr>
          <w:rFonts w:ascii="Times New Roman" w:hAnsi="Times New Roman"/>
          <w:b/>
          <w:noProof/>
        </w:rPr>
        <w:t xml:space="preserve"> a pro posílení sociální struktury EU</w:t>
      </w:r>
      <w:r>
        <w:rPr>
          <w:rFonts w:ascii="Times New Roman" w:hAnsi="Times New Roman"/>
          <w:noProof/>
        </w:rPr>
        <w:t xml:space="preserve"> spojením generací na základě společných cílů, sdílené odpovědnosti a společné investice do budoucnosti. </w:t>
      </w:r>
    </w:p>
    <w:p w14:paraId="15419D38" w14:textId="2B4FAFBC" w:rsidR="00A70A62" w:rsidRPr="00A64F36" w:rsidRDefault="00A70A62" w:rsidP="00A70A62">
      <w:pPr>
        <w:pStyle w:val="NormalWeb"/>
        <w:jc w:val="both"/>
        <w:rPr>
          <w:bCs/>
          <w:noProof/>
        </w:rPr>
      </w:pPr>
      <w:r>
        <w:rPr>
          <w:b/>
          <w:noProof/>
          <w:color w:val="111111"/>
        </w:rPr>
        <w:t>Nová mezigenerační „smlouva“ se opírá o tři rozměry</w:t>
      </w:r>
      <w:r>
        <w:rPr>
          <w:b/>
          <w:noProof/>
        </w:rPr>
        <w:t xml:space="preserve">: </w:t>
      </w:r>
      <w:r>
        <w:rPr>
          <w:noProof/>
        </w:rPr>
        <w:t>1)</w:t>
      </w:r>
      <w:r>
        <w:rPr>
          <w:b/>
          <w:noProof/>
        </w:rPr>
        <w:t xml:space="preserve"> </w:t>
      </w:r>
      <w:r>
        <w:rPr>
          <w:i/>
          <w:noProof/>
        </w:rPr>
        <w:t>spravedlivá tvorba politik</w:t>
      </w:r>
      <w:r>
        <w:rPr>
          <w:noProof/>
        </w:rPr>
        <w:t xml:space="preserve">, která zahrnuje dlouhodobé myšlení a perspektivu mládeže, 2) </w:t>
      </w:r>
      <w:r>
        <w:rPr>
          <w:i/>
          <w:noProof/>
        </w:rPr>
        <w:t xml:space="preserve">spravedlivé příležitosti, </w:t>
      </w:r>
      <w:r>
        <w:rPr>
          <w:noProof/>
        </w:rPr>
        <w:t>které sjednocují generace kolem společných cílů pro lepší budoucnost</w:t>
      </w:r>
      <w:r>
        <w:rPr>
          <w:i/>
          <w:noProof/>
        </w:rPr>
        <w:t xml:space="preserve"> </w:t>
      </w:r>
      <w:r>
        <w:rPr>
          <w:noProof/>
        </w:rPr>
        <w:t xml:space="preserve">a 3) </w:t>
      </w:r>
      <w:r>
        <w:rPr>
          <w:i/>
          <w:noProof/>
        </w:rPr>
        <w:t>spravedlivá místa,</w:t>
      </w:r>
      <w:r>
        <w:rPr>
          <w:noProof/>
        </w:rPr>
        <w:t xml:space="preserve"> která podporují mezigenerační spravedlnost na různých územích. </w:t>
      </w:r>
    </w:p>
    <w:p w14:paraId="11392159" w14:textId="2B1591F2" w:rsidR="00A70A62" w:rsidRPr="00A64F36" w:rsidRDefault="00A70A62" w:rsidP="00A70A62">
      <w:pPr>
        <w:pStyle w:val="Heading3"/>
        <w:numPr>
          <w:ilvl w:val="1"/>
          <w:numId w:val="2"/>
        </w:numPr>
        <w:tabs>
          <w:tab w:val="num" w:pos="360"/>
        </w:tabs>
        <w:ind w:left="0" w:firstLine="0"/>
        <w:jc w:val="both"/>
        <w:rPr>
          <w:rFonts w:ascii="Times New Roman" w:eastAsia="Times New Roman" w:hAnsi="Times New Roman" w:cs="Times New Roman"/>
          <w:b/>
          <w:bCs/>
          <w:noProof/>
          <w:color w:val="0070C0"/>
        </w:rPr>
      </w:pPr>
      <w:r>
        <w:rPr>
          <w:rFonts w:ascii="Times New Roman" w:hAnsi="Times New Roman"/>
          <w:b/>
          <w:noProof/>
          <w:color w:val="0070C0"/>
        </w:rPr>
        <w:t xml:space="preserve">Spravedlivá tvorba politik – zahrnutí dlouhodobého myšlení a perspektivy mládeže </w:t>
      </w:r>
    </w:p>
    <w:p w14:paraId="57C1090E" w14:textId="6D1DB7C5" w:rsidR="00A70A62" w:rsidRPr="00A64F36" w:rsidRDefault="00A70A62" w:rsidP="00A70A62">
      <w:pPr>
        <w:pStyle w:val="FootnoteText"/>
        <w:jc w:val="both"/>
        <w:rPr>
          <w:rFonts w:ascii="Times New Roman" w:eastAsia="Times New Roman" w:hAnsi="Times New Roman" w:cs="Times New Roman"/>
          <w:noProof/>
          <w:sz w:val="24"/>
          <w:szCs w:val="24"/>
        </w:rPr>
      </w:pPr>
      <w:bookmarkStart w:id="3" w:name="_Hlk216980148"/>
      <w:r>
        <w:rPr>
          <w:rFonts w:ascii="Times New Roman" w:hAnsi="Times New Roman"/>
          <w:b/>
          <w:i/>
          <w:noProof/>
          <w:sz w:val="24"/>
        </w:rPr>
        <w:t>Spravedlivá tvorba politik</w:t>
      </w:r>
      <w:r>
        <w:rPr>
          <w:rFonts w:ascii="Times New Roman" w:hAnsi="Times New Roman"/>
          <w:b/>
          <w:noProof/>
          <w:sz w:val="24"/>
        </w:rPr>
        <w:t xml:space="preserve"> vyžaduje, aby se vedle krátkodobých cílů systematicky zvažovaly i dlouhodobé dopady rozhodnutí</w:t>
      </w:r>
      <w:r>
        <w:rPr>
          <w:rFonts w:ascii="Times New Roman" w:hAnsi="Times New Roman"/>
          <w:noProof/>
          <w:sz w:val="24"/>
        </w:rPr>
        <w:t>. Právní předpisy, rozpočty a reformy utvářejí příležitosti v čase a rozhodnutí učiněná dnes mohou přinést trvalé výhody – nebo náklady – budoucím generacím. Zohledňování dlouhodobé a systémové perspektivy pomáhá zajistit, aby krátkodobá řešení nevytvářela rizika nebo zátěž, kterým se lze vyhnout.</w:t>
      </w:r>
    </w:p>
    <w:p w14:paraId="238540FE" w14:textId="77777777" w:rsidR="00A70A62" w:rsidRPr="00A64F36" w:rsidRDefault="00A70A62" w:rsidP="00A70A62">
      <w:pPr>
        <w:pStyle w:val="FootnoteText"/>
        <w:jc w:val="both"/>
        <w:rPr>
          <w:rFonts w:ascii="Times New Roman" w:eastAsia="Times New Roman" w:hAnsi="Times New Roman" w:cs="Times New Roman"/>
          <w:noProof/>
          <w:kern w:val="0"/>
          <w:sz w:val="24"/>
          <w:szCs w:val="24"/>
          <w:lang w:eastAsia="en-GB"/>
          <w14:ligatures w14:val="none"/>
        </w:rPr>
      </w:pPr>
    </w:p>
    <w:p w14:paraId="4A1B211F" w14:textId="12B60808" w:rsidR="00A70A62" w:rsidRPr="00A64F36" w:rsidRDefault="00A70A62" w:rsidP="00A70A62">
      <w:pPr>
        <w:pStyle w:val="FootnoteText"/>
        <w:jc w:val="both"/>
        <w:rPr>
          <w:rFonts w:ascii="Times New Roman" w:eastAsia="Times New Roman" w:hAnsi="Times New Roman" w:cs="Times New Roman"/>
          <w:noProof/>
          <w:kern w:val="0"/>
          <w:sz w:val="24"/>
          <w:szCs w:val="24"/>
          <w14:ligatures w14:val="none"/>
        </w:rPr>
      </w:pPr>
      <w:r>
        <w:rPr>
          <w:rFonts w:ascii="Times New Roman" w:hAnsi="Times New Roman"/>
          <w:b/>
          <w:noProof/>
          <w:sz w:val="24"/>
        </w:rPr>
        <w:t>To předpokládá předjímající a na důkazech založené přístupy ke správě</w:t>
      </w:r>
      <w:r>
        <w:rPr>
          <w:rFonts w:ascii="Times New Roman" w:hAnsi="Times New Roman"/>
          <w:noProof/>
          <w:sz w:val="24"/>
        </w:rPr>
        <w:t>. Díky svému programu zlepšování právní úpravy EU zaujímá vedoucí postavení, pokud jde o řádnou správu věcí veřejných a předvídavé rozhodování</w:t>
      </w:r>
      <w:r>
        <w:rPr>
          <w:rStyle w:val="FootnoteReference"/>
          <w:rFonts w:ascii="Times New Roman" w:eastAsia="Times New Roman" w:hAnsi="Times New Roman" w:cs="Times New Roman"/>
          <w:noProof/>
          <w:kern w:val="0"/>
          <w:sz w:val="24"/>
          <w:szCs w:val="24"/>
          <w:lang w:eastAsia="en-GB"/>
        </w:rPr>
        <w:footnoteReference w:id="21"/>
      </w:r>
      <w:r>
        <w:rPr>
          <w:noProof/>
        </w:rPr>
        <w:t>.</w:t>
      </w:r>
      <w:r>
        <w:rPr>
          <w:rFonts w:ascii="Times New Roman" w:hAnsi="Times New Roman"/>
          <w:noProof/>
          <w:sz w:val="24"/>
        </w:rPr>
        <w:t xml:space="preserve"> Využívá několik nástrojů, jako jsou posouzení strategického výhledu dopadů a veřejné konzultace, které umožňují na základě důkazů zvážit kompromisy, jež napomáhají včas identifikovat rizika a sloužit jako podklad pro politická rozhodnutí. Tyto přístupy podporují odolnější a rozumnější politiky ve všech odvětvích.</w:t>
      </w:r>
    </w:p>
    <w:p w14:paraId="0DD27BBB" w14:textId="77777777" w:rsidR="00A70A62" w:rsidRPr="00A64F36" w:rsidRDefault="00A70A62" w:rsidP="00A70A62">
      <w:pPr>
        <w:pStyle w:val="FootnoteText"/>
        <w:jc w:val="both"/>
        <w:rPr>
          <w:rFonts w:ascii="Times New Roman" w:eastAsia="Times New Roman" w:hAnsi="Times New Roman" w:cs="Times New Roman"/>
          <w:noProof/>
          <w:kern w:val="0"/>
          <w:sz w:val="24"/>
          <w:szCs w:val="24"/>
          <w:lang w:eastAsia="en-GB"/>
          <w14:ligatures w14:val="none"/>
        </w:rPr>
      </w:pPr>
    </w:p>
    <w:p w14:paraId="5EE163C3" w14:textId="41097042" w:rsidR="00A70A62" w:rsidRPr="00A64F36" w:rsidRDefault="00A70A62" w:rsidP="00A70A62">
      <w:pPr>
        <w:pStyle w:val="FootnoteText"/>
        <w:jc w:val="both"/>
        <w:rPr>
          <w:rFonts w:ascii="Times New Roman" w:eastAsia="Times New Roman" w:hAnsi="Times New Roman" w:cs="Times New Roman"/>
          <w:noProof/>
          <w:kern w:val="0"/>
          <w:sz w:val="24"/>
          <w:szCs w:val="24"/>
          <w14:ligatures w14:val="none"/>
        </w:rPr>
      </w:pPr>
      <w:r>
        <w:rPr>
          <w:rFonts w:ascii="Times New Roman" w:hAnsi="Times New Roman"/>
          <w:b/>
          <w:noProof/>
          <w:sz w:val="24"/>
        </w:rPr>
        <w:t>Spravedlivá tvorba politik závisí také na tom, aby se k diskusnímu stolu dostaly názory těch, kterých se rozhodnutí s dlouhodobým dopadem nejvíce dotýkají</w:t>
      </w:r>
      <w:r>
        <w:rPr>
          <w:rFonts w:ascii="Times New Roman" w:hAnsi="Times New Roman"/>
          <w:noProof/>
          <w:sz w:val="24"/>
        </w:rPr>
        <w:t>. To znamená vytvářet smysluplné a přiměřené příležitosti pro mladé lidi, aby se mohli podílet na politických diskusích, které utvářejí jejich budoucnost.</w:t>
      </w:r>
    </w:p>
    <w:p w14:paraId="7319B85C" w14:textId="77777777" w:rsidR="00110939" w:rsidRPr="00A64F36" w:rsidRDefault="00110939" w:rsidP="00A70A62">
      <w:pPr>
        <w:pStyle w:val="FootnoteText"/>
        <w:jc w:val="both"/>
        <w:rPr>
          <w:rFonts w:ascii="Times New Roman" w:eastAsia="Times New Roman" w:hAnsi="Times New Roman" w:cs="Times New Roman"/>
          <w:noProof/>
          <w:kern w:val="0"/>
          <w:sz w:val="24"/>
          <w:szCs w:val="24"/>
          <w:lang w:eastAsia="en-GB"/>
          <w14:ligatures w14:val="none"/>
        </w:rPr>
      </w:pPr>
    </w:p>
    <w:p w14:paraId="4608A2B1" w14:textId="4D55D26F" w:rsidR="00A70A62" w:rsidRPr="00A64F36" w:rsidRDefault="00110939" w:rsidP="00A70A62">
      <w:pPr>
        <w:pStyle w:val="FootnoteText"/>
        <w:jc w:val="both"/>
        <w:rPr>
          <w:rFonts w:ascii="Times New Roman" w:eastAsia="Times New Roman" w:hAnsi="Times New Roman" w:cs="Times New Roman"/>
          <w:noProof/>
          <w:sz w:val="24"/>
          <w:szCs w:val="24"/>
        </w:rPr>
      </w:pPr>
      <w:r>
        <w:rPr>
          <w:rFonts w:ascii="Times New Roman" w:hAnsi="Times New Roman"/>
          <w:b/>
          <w:noProof/>
          <w:sz w:val="24"/>
        </w:rPr>
        <w:t>Dnešní rozhodnutí často přinášejí významné dopady na budoucí generace</w:t>
      </w:r>
      <w:r>
        <w:rPr>
          <w:rFonts w:ascii="Times New Roman" w:hAnsi="Times New Roman"/>
          <w:noProof/>
          <w:sz w:val="24"/>
        </w:rPr>
        <w:t>, ať už z ekonomického, sociálního, nebo environmentálního hlediska. Níže uvedená opatření dále zajistí, že dlouhodobá hlediska budou důsledně začleněna do návrhu politik.</w:t>
      </w:r>
    </w:p>
    <w:p w14:paraId="1D4B4307" w14:textId="77777777" w:rsidR="00482FA8" w:rsidRPr="00A64F36" w:rsidRDefault="00482FA8" w:rsidP="00A70A62">
      <w:pPr>
        <w:pStyle w:val="FootnoteText"/>
        <w:jc w:val="both"/>
        <w:rPr>
          <w:rFonts w:ascii="Times New Roman" w:eastAsia="Times New Roman" w:hAnsi="Times New Roman" w:cs="Times New Roman"/>
          <w:noProof/>
          <w:sz w:val="24"/>
          <w:szCs w:val="24"/>
        </w:rPr>
      </w:pPr>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DAE9F7" w:themeFill="text2" w:themeFillTint="1A"/>
        <w:tblLook w:val="04A0" w:firstRow="1" w:lastRow="0" w:firstColumn="1" w:lastColumn="0" w:noHBand="0" w:noVBand="1"/>
      </w:tblPr>
      <w:tblGrid>
        <w:gridCol w:w="9016"/>
      </w:tblGrid>
      <w:tr w:rsidR="00A70A62" w:rsidRPr="00A64F36" w14:paraId="1127D9FE" w14:textId="77777777" w:rsidTr="1A16B2EB">
        <w:tc>
          <w:tcPr>
            <w:tcW w:w="9016" w:type="dxa"/>
            <w:shd w:val="clear" w:color="auto" w:fill="DAE9F7" w:themeFill="text2" w:themeFillTint="1A"/>
          </w:tcPr>
          <w:bookmarkEnd w:id="3"/>
          <w:p w14:paraId="545645D4" w14:textId="18C9F679" w:rsidR="00A70A62" w:rsidRPr="00A64F36" w:rsidRDefault="00A70A62" w:rsidP="00234C09">
            <w:pPr>
              <w:jc w:val="both"/>
              <w:rPr>
                <w:rFonts w:ascii="Times New Roman" w:eastAsia="Times New Roman" w:hAnsi="Times New Roman" w:cs="Times New Roman"/>
                <w:b/>
                <w:bCs/>
                <w:noProof/>
                <w:color w:val="0070C0"/>
              </w:rPr>
            </w:pPr>
            <w:r>
              <w:rPr>
                <w:rFonts w:ascii="Times New Roman" w:hAnsi="Times New Roman"/>
                <w:b/>
                <w:noProof/>
                <w:color w:val="0070C0"/>
              </w:rPr>
              <w:t xml:space="preserve">V zájmu podpory </w:t>
            </w:r>
            <w:r>
              <w:rPr>
                <w:rFonts w:ascii="Times New Roman" w:hAnsi="Times New Roman"/>
                <w:b/>
                <w:i/>
                <w:noProof/>
                <w:color w:val="0070C0"/>
              </w:rPr>
              <w:t>spravedlivé tvorby politik</w:t>
            </w:r>
            <w:r>
              <w:rPr>
                <w:rFonts w:ascii="Times New Roman" w:hAnsi="Times New Roman"/>
                <w:b/>
                <w:noProof/>
                <w:color w:val="0070C0"/>
              </w:rPr>
              <w:t xml:space="preserve"> Komise:</w:t>
            </w:r>
          </w:p>
          <w:p w14:paraId="0CC1B494" w14:textId="77777777" w:rsidR="00A70A62" w:rsidRPr="00A64F36" w:rsidRDefault="00A70A62" w:rsidP="00234C09">
            <w:pPr>
              <w:jc w:val="both"/>
              <w:rPr>
                <w:rFonts w:ascii="Times New Roman" w:eastAsia="Times New Roman" w:hAnsi="Times New Roman" w:cs="Times New Roman"/>
                <w:noProof/>
              </w:rPr>
            </w:pPr>
          </w:p>
          <w:p w14:paraId="7E394E14" w14:textId="3E493389" w:rsidR="00A70A62" w:rsidRPr="00A64F36" w:rsidRDefault="00B7369E" w:rsidP="00973910">
            <w:pPr>
              <w:pStyle w:val="ListParagraph"/>
              <w:numPr>
                <w:ilvl w:val="0"/>
                <w:numId w:val="4"/>
              </w:numPr>
              <w:jc w:val="both"/>
              <w:rPr>
                <w:rFonts w:ascii="Times New Roman" w:eastAsia="Times New Roman" w:hAnsi="Times New Roman" w:cs="Times New Roman"/>
                <w:noProof/>
              </w:rPr>
            </w:pPr>
            <w:r>
              <w:rPr>
                <w:rFonts w:ascii="Times New Roman" w:hAnsi="Times New Roman"/>
                <w:b/>
                <w:noProof/>
              </w:rPr>
              <w:t>podpoří budování gramotnosti v oblasti budoucnosti ve veřejné správě</w:t>
            </w:r>
            <w:r>
              <w:rPr>
                <w:rFonts w:ascii="Times New Roman" w:hAnsi="Times New Roman"/>
                <w:noProof/>
              </w:rPr>
              <w:t xml:space="preserve"> v členských státech EU zveřejněním vícejazyčného balíčku pro tvorbu politik orientovaných na budoucnost,</w:t>
            </w:r>
          </w:p>
          <w:p w14:paraId="77755DEF" w14:textId="51D2B61A" w:rsidR="00A70A62" w:rsidRPr="00A64F36" w:rsidRDefault="00A70A62" w:rsidP="3434180E">
            <w:pPr>
              <w:pStyle w:val="ListParagraph"/>
              <w:numPr>
                <w:ilvl w:val="0"/>
                <w:numId w:val="4"/>
              </w:numPr>
              <w:jc w:val="both"/>
              <w:rPr>
                <w:rFonts w:ascii="Times New Roman" w:eastAsia="Times New Roman" w:hAnsi="Times New Roman" w:cs="Times New Roman"/>
                <w:b/>
                <w:bCs/>
                <w:noProof/>
              </w:rPr>
            </w:pPr>
            <w:r>
              <w:rPr>
                <w:rFonts w:ascii="Times New Roman" w:hAnsi="Times New Roman"/>
                <w:b/>
                <w:noProof/>
              </w:rPr>
              <w:t>posílí využívání strategického výhledu při tvorbě politik,</w:t>
            </w:r>
            <w:r>
              <w:rPr>
                <w:rFonts w:ascii="Times New Roman" w:hAnsi="Times New Roman"/>
                <w:noProof/>
              </w:rPr>
              <w:t xml:space="preserve"> například podporou nástroje </w:t>
            </w:r>
            <w:r>
              <w:rPr>
                <w:rFonts w:ascii="Times New Roman" w:hAnsi="Times New Roman"/>
                <w:i/>
                <w:noProof/>
              </w:rPr>
              <w:t>Futures Balance</w:t>
            </w:r>
            <w:r>
              <w:rPr>
                <w:rFonts w:ascii="Times New Roman" w:hAnsi="Times New Roman"/>
                <w:noProof/>
              </w:rPr>
              <w:t xml:space="preserve">, což je nástroj s </w:t>
            </w:r>
            <w:bookmarkStart w:id="4" w:name="_Hlk221896465"/>
            <w:r>
              <w:rPr>
                <w:rFonts w:ascii="Times New Roman" w:hAnsi="Times New Roman"/>
                <w:noProof/>
              </w:rPr>
              <w:t>využitím umělé inteligence pro výhledovou analýzu politik v oblasti rozvoje ve spolupráci s laboratoří OSN Beyond Lab,</w:t>
            </w:r>
          </w:p>
          <w:bookmarkEnd w:id="4"/>
          <w:p w14:paraId="6CA17FA6" w14:textId="0735E94C" w:rsidR="00A70A62" w:rsidRPr="00A64F36" w:rsidRDefault="203F7420" w:rsidP="00A70A62">
            <w:pPr>
              <w:pStyle w:val="ListParagraph"/>
              <w:numPr>
                <w:ilvl w:val="0"/>
                <w:numId w:val="4"/>
              </w:numPr>
              <w:jc w:val="both"/>
              <w:rPr>
                <w:rFonts w:ascii="Times New Roman" w:eastAsia="Times New Roman" w:hAnsi="Times New Roman" w:cs="Times New Roman"/>
                <w:b/>
                <w:bCs/>
                <w:noProof/>
              </w:rPr>
            </w:pPr>
            <w:r>
              <w:rPr>
                <w:rFonts w:ascii="Times New Roman" w:hAnsi="Times New Roman"/>
                <w:b/>
                <w:noProof/>
              </w:rPr>
              <w:t>bude pokračovat v systematickém uplatňování kontrol týkajících se dopadů na mládež, včetně dialogů o politice v oblasti mládeže,</w:t>
            </w:r>
            <w:r>
              <w:rPr>
                <w:rFonts w:ascii="Times New Roman" w:hAnsi="Times New Roman"/>
                <w:noProof/>
              </w:rPr>
              <w:t xml:space="preserve"> v rámci klíčových iniciativ uvedených v příloze 1 pracovního programu Komise s cílem prozkoumat potenciální dopad nových politik na mladé lidi,</w:t>
            </w:r>
          </w:p>
          <w:p w14:paraId="32710376" w14:textId="3A43B33F" w:rsidR="73143E2C" w:rsidRPr="00B22CB0" w:rsidRDefault="7418F703" w:rsidP="7EB3A829">
            <w:pPr>
              <w:pStyle w:val="ListParagraph"/>
              <w:numPr>
                <w:ilvl w:val="0"/>
                <w:numId w:val="4"/>
              </w:numPr>
              <w:jc w:val="both"/>
              <w:rPr>
                <w:rFonts w:ascii="Times New Roman" w:hAnsi="Times New Roman" w:cs="Times New Roman"/>
                <w:noProof/>
              </w:rPr>
            </w:pPr>
            <w:r>
              <w:rPr>
                <w:rFonts w:ascii="Times New Roman" w:hAnsi="Times New Roman"/>
                <w:b/>
                <w:noProof/>
              </w:rPr>
              <w:t>pověří Evropskou skupinu pro etiku ve vědě a nových technologiích (EGE),</w:t>
            </w:r>
            <w:r>
              <w:rPr>
                <w:rFonts w:ascii="Times New Roman" w:hAnsi="Times New Roman"/>
                <w:noProof/>
              </w:rPr>
              <w:t xml:space="preserve"> aby poskytla analýzu a doporučení ohledně spravedlivé digitální budoucnosti, umělé inteligenci a digitálních veřejných statků.</w:t>
            </w:r>
          </w:p>
          <w:p w14:paraId="0E23BBBC" w14:textId="6BE4F57A" w:rsidR="005240B9" w:rsidRPr="00A64F36" w:rsidRDefault="00A70A62" w:rsidP="005240B9">
            <w:pPr>
              <w:pStyle w:val="ListParagraph"/>
              <w:numPr>
                <w:ilvl w:val="0"/>
                <w:numId w:val="4"/>
              </w:numPr>
              <w:jc w:val="both"/>
              <w:rPr>
                <w:rFonts w:ascii="Times New Roman" w:eastAsia="Times New Roman" w:hAnsi="Times New Roman" w:cs="Times New Roman"/>
                <w:noProof/>
              </w:rPr>
            </w:pPr>
            <w:r>
              <w:rPr>
                <w:rFonts w:ascii="Times New Roman" w:hAnsi="Times New Roman"/>
                <w:noProof/>
                <w:color w:val="111111"/>
              </w:rPr>
              <w:t xml:space="preserve">počátkem roku 2028 </w:t>
            </w:r>
            <w:r>
              <w:rPr>
                <w:rFonts w:ascii="Times New Roman" w:hAnsi="Times New Roman"/>
                <w:b/>
                <w:noProof/>
                <w:color w:val="111111"/>
              </w:rPr>
              <w:t xml:space="preserve">zveřejní zprávu o pokroku strategie mezigenerační spravedlnosti, </w:t>
            </w:r>
            <w:r>
              <w:rPr>
                <w:rFonts w:ascii="Times New Roman" w:hAnsi="Times New Roman"/>
                <w:noProof/>
                <w:color w:val="111111"/>
              </w:rPr>
              <w:t>která bude sloužit jako podklad pro příspěvky EU k opatřením OSN navazujícím na Pakt o budoucích generacích,</w:t>
            </w:r>
          </w:p>
          <w:p w14:paraId="7422433A" w14:textId="27E83807" w:rsidR="00A70A62" w:rsidRPr="00A64F36" w:rsidRDefault="00E01812" w:rsidP="00234C09">
            <w:pPr>
              <w:pStyle w:val="ListParagraph"/>
              <w:numPr>
                <w:ilvl w:val="0"/>
                <w:numId w:val="4"/>
              </w:numPr>
              <w:jc w:val="both"/>
              <w:rPr>
                <w:rFonts w:ascii="Times New Roman" w:eastAsia="Times New Roman" w:hAnsi="Times New Roman" w:cs="Times New Roman"/>
                <w:noProof/>
              </w:rPr>
            </w:pPr>
            <w:r>
              <w:rPr>
                <w:rFonts w:ascii="Times New Roman" w:hAnsi="Times New Roman"/>
                <w:b/>
                <w:noProof/>
              </w:rPr>
              <w:t>zveřejní plán dlouhověkosti</w:t>
            </w:r>
            <w:r>
              <w:rPr>
                <w:rFonts w:ascii="Times New Roman" w:hAnsi="Times New Roman"/>
                <w:noProof/>
              </w:rPr>
              <w:t xml:space="preserve">, který má zmapovat politické otázky související s věkem u všech věkových skupin s cílem určit strategické příležitosti pro aktivní utváření delšího, zdravějšího a finančně zabezpečenějšího života. </w:t>
            </w:r>
          </w:p>
          <w:p w14:paraId="1606779F" w14:textId="40F7F764" w:rsidR="00EA0CC4" w:rsidRPr="00A64F36" w:rsidRDefault="00EA0CC4" w:rsidP="00EA0CC4">
            <w:pPr>
              <w:pStyle w:val="ListParagraph"/>
              <w:jc w:val="both"/>
              <w:rPr>
                <w:rFonts w:ascii="Times New Roman" w:eastAsia="Times New Roman" w:hAnsi="Times New Roman" w:cs="Times New Roman"/>
                <w:noProof/>
              </w:rPr>
            </w:pPr>
          </w:p>
        </w:tc>
      </w:tr>
    </w:tbl>
    <w:p w14:paraId="62C93394" w14:textId="77777777" w:rsidR="00CE77D2" w:rsidRPr="000E0D5C" w:rsidRDefault="00CE77D2" w:rsidP="00A70A62">
      <w:pPr>
        <w:rPr>
          <w:rFonts w:ascii="Times New Roman" w:eastAsia="Times New Roman" w:hAnsi="Times New Roman" w:cs="Times New Roman"/>
          <w:noProof/>
        </w:rPr>
      </w:pPr>
    </w:p>
    <w:tbl>
      <w:tblPr>
        <w:tblStyle w:val="TableGrid"/>
        <w:tblW w:w="0" w:type="auto"/>
        <w:shd w:val="clear" w:color="auto" w:fill="D9F2D0" w:themeFill="accent6" w:themeFillTint="33"/>
        <w:tblLook w:val="04A0" w:firstRow="1" w:lastRow="0" w:firstColumn="1" w:lastColumn="0" w:noHBand="0" w:noVBand="1"/>
      </w:tblPr>
      <w:tblGrid>
        <w:gridCol w:w="9016"/>
      </w:tblGrid>
      <w:tr w:rsidR="00A70A62" w:rsidRPr="00A64F36" w14:paraId="14E9813E" w14:textId="77777777" w:rsidTr="1A16B2EB">
        <w:tc>
          <w:tcPr>
            <w:tcW w:w="9016"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227371C" w14:textId="7C40F461" w:rsidR="00A70A62" w:rsidRPr="00A64F36" w:rsidRDefault="511A9A77" w:rsidP="00234C09">
            <w:pPr>
              <w:rPr>
                <w:rFonts w:ascii="Times New Roman" w:eastAsia="Times New Roman" w:hAnsi="Times New Roman" w:cs="Times New Roman"/>
                <w:b/>
                <w:bCs/>
                <w:noProof/>
                <w:color w:val="000000" w:themeColor="text1"/>
                <w:sz w:val="20"/>
                <w:szCs w:val="20"/>
              </w:rPr>
            </w:pPr>
            <w:r>
              <w:rPr>
                <w:rFonts w:ascii="Times New Roman" w:hAnsi="Times New Roman"/>
                <w:b/>
                <w:noProof/>
                <w:color w:val="000000" w:themeColor="text1"/>
                <w:sz w:val="20"/>
              </w:rPr>
              <w:t xml:space="preserve">Inspirativní postupy v členských státech EU </w:t>
            </w:r>
          </w:p>
          <w:p w14:paraId="4579FF12" w14:textId="77777777" w:rsidR="00A70A62" w:rsidRPr="00A64F36" w:rsidRDefault="00A70A62" w:rsidP="00234C09">
            <w:pPr>
              <w:rPr>
                <w:rFonts w:ascii="Times New Roman" w:eastAsia="Times New Roman" w:hAnsi="Times New Roman" w:cs="Times New Roman"/>
                <w:b/>
                <w:bCs/>
                <w:noProof/>
                <w:color w:val="000000"/>
                <w:sz w:val="20"/>
                <w:szCs w:val="20"/>
              </w:rPr>
            </w:pPr>
          </w:p>
          <w:p w14:paraId="743B1D78" w14:textId="04D4A90E" w:rsidR="00A70A62" w:rsidRPr="00A64F36" w:rsidRDefault="00A70A62" w:rsidP="00A70A62">
            <w:pPr>
              <w:pStyle w:val="ListParagraph"/>
              <w:numPr>
                <w:ilvl w:val="0"/>
                <w:numId w:val="3"/>
              </w:numPr>
              <w:jc w:val="both"/>
              <w:rPr>
                <w:rFonts w:ascii="Times New Roman" w:eastAsia="Times New Roman" w:hAnsi="Times New Roman" w:cs="Times New Roman"/>
                <w:noProof/>
                <w:color w:val="000000"/>
                <w:sz w:val="20"/>
                <w:szCs w:val="20"/>
              </w:rPr>
            </w:pPr>
            <w:r>
              <w:rPr>
                <w:rFonts w:ascii="Times New Roman" w:hAnsi="Times New Roman"/>
                <w:b/>
                <w:noProof/>
                <w:color w:val="000000" w:themeColor="text1"/>
                <w:sz w:val="20"/>
              </w:rPr>
              <w:t>Příklady institucionalizace dlouhodobého myšlení</w:t>
            </w:r>
            <w:r>
              <w:rPr>
                <w:rFonts w:ascii="Times New Roman" w:hAnsi="Times New Roman"/>
                <w:noProof/>
                <w:color w:val="000000" w:themeColor="text1"/>
                <w:sz w:val="20"/>
              </w:rPr>
              <w:t xml:space="preserve"> lze nalézt v mnoha členských státech EU v různých formách: ve Finsku (</w:t>
            </w:r>
            <w:r>
              <w:rPr>
                <w:rFonts w:ascii="Times New Roman" w:hAnsi="Times New Roman"/>
                <w:i/>
                <w:noProof/>
                <w:color w:val="000000" w:themeColor="text1"/>
                <w:sz w:val="20"/>
              </w:rPr>
              <w:t>Výbor pro budoucnost</w:t>
            </w:r>
            <w:r>
              <w:rPr>
                <w:rFonts w:ascii="Times New Roman" w:hAnsi="Times New Roman"/>
                <w:noProof/>
                <w:color w:val="000000" w:themeColor="text1"/>
                <w:sz w:val="20"/>
              </w:rPr>
              <w:t>)</w:t>
            </w:r>
            <w:r>
              <w:rPr>
                <w:rStyle w:val="FootnoteReference"/>
                <w:rFonts w:ascii="Times New Roman" w:eastAsia="Times New Roman" w:hAnsi="Times New Roman" w:cs="Times New Roman"/>
                <w:noProof/>
                <w:color w:val="000000" w:themeColor="text1"/>
                <w:sz w:val="20"/>
                <w:szCs w:val="20"/>
              </w:rPr>
              <w:footnoteReference w:id="22"/>
            </w:r>
            <w:r>
              <w:rPr>
                <w:rFonts w:ascii="Times New Roman" w:hAnsi="Times New Roman"/>
                <w:noProof/>
                <w:color w:val="000000" w:themeColor="text1"/>
                <w:sz w:val="20"/>
              </w:rPr>
              <w:t>, ve Španělsku (</w:t>
            </w:r>
            <w:r>
              <w:rPr>
                <w:rFonts w:ascii="Times New Roman" w:hAnsi="Times New Roman"/>
                <w:i/>
                <w:noProof/>
                <w:color w:val="000000" w:themeColor="text1"/>
                <w:sz w:val="20"/>
              </w:rPr>
              <w:t>Národní úřad pro prognózu a strategii</w:t>
            </w:r>
            <w:r>
              <w:rPr>
                <w:rFonts w:ascii="Times New Roman" w:hAnsi="Times New Roman"/>
                <w:noProof/>
                <w:color w:val="000000" w:themeColor="text1"/>
                <w:sz w:val="20"/>
              </w:rPr>
              <w:t>)</w:t>
            </w:r>
            <w:r>
              <w:rPr>
                <w:rStyle w:val="FootnoteReference"/>
                <w:rFonts w:ascii="Times New Roman" w:eastAsia="Times New Roman" w:hAnsi="Times New Roman" w:cs="Times New Roman"/>
                <w:i/>
                <w:iCs/>
                <w:noProof/>
                <w:color w:val="000000" w:themeColor="text1"/>
                <w:sz w:val="20"/>
                <w:szCs w:val="20"/>
              </w:rPr>
              <w:footnoteReference w:id="23"/>
            </w:r>
            <w:r>
              <w:rPr>
                <w:rFonts w:ascii="Times New Roman" w:hAnsi="Times New Roman"/>
                <w:noProof/>
                <w:color w:val="000000" w:themeColor="text1"/>
                <w:sz w:val="20"/>
              </w:rPr>
              <w:t xml:space="preserve"> a na Maltě (</w:t>
            </w:r>
            <w:r>
              <w:rPr>
                <w:rFonts w:ascii="Times New Roman" w:hAnsi="Times New Roman"/>
                <w:i/>
                <w:noProof/>
                <w:color w:val="000000" w:themeColor="text1"/>
                <w:sz w:val="20"/>
              </w:rPr>
              <w:t>Strážce budoucích generací</w:t>
            </w:r>
            <w:r>
              <w:rPr>
                <w:rFonts w:ascii="Times New Roman" w:hAnsi="Times New Roman"/>
                <w:noProof/>
                <w:color w:val="000000" w:themeColor="text1"/>
                <w:sz w:val="20"/>
              </w:rPr>
              <w:t>)</w:t>
            </w:r>
            <w:r>
              <w:rPr>
                <w:rStyle w:val="FootnoteReference"/>
                <w:rFonts w:ascii="Times New Roman" w:eastAsia="Times New Roman" w:hAnsi="Times New Roman" w:cs="Times New Roman"/>
                <w:noProof/>
                <w:color w:val="000000" w:themeColor="text1"/>
                <w:sz w:val="20"/>
                <w:szCs w:val="20"/>
              </w:rPr>
              <w:footnoteReference w:id="24"/>
            </w:r>
            <w:r>
              <w:rPr>
                <w:rFonts w:ascii="Times New Roman" w:hAnsi="Times New Roman"/>
                <w:noProof/>
                <w:color w:val="000000" w:themeColor="text1"/>
                <w:sz w:val="20"/>
              </w:rPr>
              <w:t>.</w:t>
            </w:r>
          </w:p>
          <w:p w14:paraId="1AE66CD2" w14:textId="6D66201A" w:rsidR="00A70A62" w:rsidRPr="00A64F36" w:rsidRDefault="00A70A62" w:rsidP="00A70A62">
            <w:pPr>
              <w:numPr>
                <w:ilvl w:val="0"/>
                <w:numId w:val="3"/>
              </w:numPr>
              <w:jc w:val="both"/>
              <w:rPr>
                <w:rFonts w:ascii="Times New Roman" w:eastAsia="Times New Roman" w:hAnsi="Times New Roman" w:cs="Times New Roman"/>
                <w:noProof/>
                <w:sz w:val="20"/>
                <w:szCs w:val="20"/>
              </w:rPr>
            </w:pPr>
            <w:r>
              <w:rPr>
                <w:rFonts w:ascii="Times New Roman" w:hAnsi="Times New Roman"/>
                <w:b/>
                <w:noProof/>
                <w:sz w:val="20"/>
              </w:rPr>
              <w:t>Mnoho členských států EU má zvláštní posouzení dopadů regulace na mládež</w:t>
            </w:r>
            <w:r>
              <w:rPr>
                <w:rFonts w:ascii="Times New Roman" w:hAnsi="Times New Roman"/>
                <w:noProof/>
                <w:sz w:val="20"/>
              </w:rPr>
              <w:t xml:space="preserve"> a/nebo budoucí generace: Rakousko </w:t>
            </w:r>
            <w:r>
              <w:rPr>
                <w:rFonts w:ascii="Times New Roman" w:hAnsi="Times New Roman"/>
                <w:i/>
                <w:noProof/>
                <w:sz w:val="20"/>
              </w:rPr>
              <w:t>(Wirkungsorientierte Folgenabschätzung</w:t>
            </w:r>
            <w:r>
              <w:rPr>
                <w:rFonts w:ascii="Times New Roman" w:hAnsi="Times New Roman"/>
                <w:noProof/>
                <w:sz w:val="20"/>
              </w:rPr>
              <w:t>), Belgie/Flandry</w:t>
            </w:r>
            <w:r>
              <w:rPr>
                <w:rFonts w:ascii="Times New Roman" w:hAnsi="Times New Roman"/>
                <w:i/>
                <w:noProof/>
                <w:sz w:val="20"/>
              </w:rPr>
              <w:t>(JoKER)</w:t>
            </w:r>
            <w:r>
              <w:rPr>
                <w:rFonts w:ascii="Times New Roman" w:hAnsi="Times New Roman"/>
                <w:noProof/>
                <w:sz w:val="20"/>
              </w:rPr>
              <w:t xml:space="preserve">, Finsko </w:t>
            </w:r>
            <w:r>
              <w:rPr>
                <w:rFonts w:ascii="Times New Roman" w:hAnsi="Times New Roman"/>
                <w:i/>
                <w:noProof/>
                <w:sz w:val="20"/>
              </w:rPr>
              <w:t>(Lapsivaikutusten arviointi</w:t>
            </w:r>
            <w:r>
              <w:rPr>
                <w:rFonts w:ascii="Times New Roman" w:hAnsi="Times New Roman"/>
                <w:noProof/>
                <w:sz w:val="20"/>
              </w:rPr>
              <w:t xml:space="preserve">), Francie </w:t>
            </w:r>
            <w:r>
              <w:rPr>
                <w:rFonts w:ascii="Times New Roman" w:hAnsi="Times New Roman"/>
                <w:i/>
                <w:noProof/>
                <w:sz w:val="20"/>
              </w:rPr>
              <w:t>(Clause d’impact jeunesse</w:t>
            </w:r>
            <w:r>
              <w:rPr>
                <w:rFonts w:ascii="Times New Roman" w:hAnsi="Times New Roman"/>
                <w:noProof/>
                <w:sz w:val="20"/>
              </w:rPr>
              <w:t xml:space="preserve">), Německo </w:t>
            </w:r>
            <w:r>
              <w:rPr>
                <w:rFonts w:ascii="Times New Roman" w:hAnsi="Times New Roman"/>
                <w:i/>
                <w:noProof/>
                <w:sz w:val="20"/>
              </w:rPr>
              <w:t>(Jugend-Check)</w:t>
            </w:r>
            <w:r>
              <w:rPr>
                <w:rFonts w:ascii="Times New Roman" w:hAnsi="Times New Roman"/>
                <w:noProof/>
                <w:sz w:val="20"/>
              </w:rPr>
              <w:t xml:space="preserve">, Itálie </w:t>
            </w:r>
            <w:r>
              <w:rPr>
                <w:rFonts w:ascii="Times New Roman" w:hAnsi="Times New Roman"/>
                <w:i/>
                <w:noProof/>
                <w:sz w:val="20"/>
              </w:rPr>
              <w:t>(Valutazione di Impatto Generazionale</w:t>
            </w:r>
            <w:r>
              <w:rPr>
                <w:rFonts w:ascii="Times New Roman" w:hAnsi="Times New Roman"/>
                <w:noProof/>
                <w:sz w:val="20"/>
              </w:rPr>
              <w:t xml:space="preserve">), Nizozemsko </w:t>
            </w:r>
            <w:r>
              <w:rPr>
                <w:rFonts w:ascii="Times New Roman" w:hAnsi="Times New Roman"/>
                <w:i/>
                <w:noProof/>
                <w:sz w:val="20"/>
              </w:rPr>
              <w:t>(Generatietoets</w:t>
            </w:r>
            <w:r>
              <w:rPr>
                <w:rFonts w:ascii="Times New Roman" w:hAnsi="Times New Roman"/>
                <w:noProof/>
                <w:sz w:val="20"/>
              </w:rPr>
              <w:t xml:space="preserve">) a Švédsko </w:t>
            </w:r>
            <w:r>
              <w:rPr>
                <w:rFonts w:ascii="Times New Roman" w:hAnsi="Times New Roman"/>
                <w:i/>
                <w:noProof/>
                <w:sz w:val="20"/>
              </w:rPr>
              <w:t>(Barnkonsekvensanalys)</w:t>
            </w:r>
            <w:r>
              <w:rPr>
                <w:rFonts w:ascii="Times New Roman" w:hAnsi="Times New Roman"/>
                <w:noProof/>
                <w:sz w:val="20"/>
              </w:rPr>
              <w:t>.</w:t>
            </w:r>
          </w:p>
        </w:tc>
      </w:tr>
    </w:tbl>
    <w:p w14:paraId="5D0FEFE7" w14:textId="77777777" w:rsidR="00A70A62" w:rsidRPr="000E0D5C" w:rsidRDefault="00A70A62" w:rsidP="00A70A62">
      <w:pPr>
        <w:rPr>
          <w:rFonts w:ascii="Times New Roman" w:eastAsia="Times New Roman" w:hAnsi="Times New Roman" w:cs="Times New Roman"/>
          <w:noProof/>
          <w:sz w:val="20"/>
          <w:szCs w:val="20"/>
        </w:rPr>
      </w:pPr>
    </w:p>
    <w:p w14:paraId="64161BFF" w14:textId="3F5B812B" w:rsidR="00E8298A" w:rsidRPr="00A64F36" w:rsidRDefault="00E8298A" w:rsidP="00E8298A">
      <w:pPr>
        <w:pStyle w:val="Heading3"/>
        <w:numPr>
          <w:ilvl w:val="1"/>
          <w:numId w:val="2"/>
        </w:numPr>
        <w:tabs>
          <w:tab w:val="num" w:pos="360"/>
        </w:tabs>
        <w:ind w:left="0" w:firstLine="0"/>
        <w:jc w:val="both"/>
        <w:rPr>
          <w:rFonts w:ascii="Times New Roman" w:eastAsia="Times New Roman" w:hAnsi="Times New Roman" w:cs="Times New Roman"/>
          <w:b/>
          <w:bCs/>
          <w:noProof/>
          <w:color w:val="0070C0"/>
        </w:rPr>
      </w:pPr>
      <w:r>
        <w:rPr>
          <w:rFonts w:ascii="Times New Roman" w:hAnsi="Times New Roman"/>
          <w:b/>
          <w:noProof/>
          <w:color w:val="0070C0"/>
        </w:rPr>
        <w:t xml:space="preserve">Spravedlivé příležitosti – sjednocení generací kolem společných cílů pro lepší budoucnost </w:t>
      </w:r>
    </w:p>
    <w:p w14:paraId="2FB3E75F" w14:textId="50F9B457" w:rsidR="00A70A62" w:rsidRPr="00A64F36" w:rsidRDefault="00A70A62" w:rsidP="105CA65C">
      <w:pPr>
        <w:pStyle w:val="NormalWeb"/>
        <w:spacing w:before="0" w:beforeAutospacing="0" w:after="180" w:afterAutospacing="0"/>
        <w:jc w:val="both"/>
        <w:rPr>
          <w:noProof/>
        </w:rPr>
      </w:pPr>
      <w:r>
        <w:rPr>
          <w:b/>
          <w:noProof/>
        </w:rPr>
        <w:t>Spravedlivé příležitosti vyžadují, aby děti a mladí lidé mohli budovat svůj život na pevných základech</w:t>
      </w:r>
      <w:r>
        <w:rPr>
          <w:noProof/>
        </w:rPr>
        <w:t>. Podmínky v raném věku výrazně ovlivňují pozdější výsledky, přičemž nevýhody, které nejsou včas řešeny, mají tendenci se v průběhu času hromadit. Mezigenerační přístup proto klade důraz na včasnou prevenci, cílenou podporu a dobře řízený přechod do dospělosti a uznává, že spravedlivé příležitosti se vytvářejí v průběhu celého života.</w:t>
      </w:r>
    </w:p>
    <w:p w14:paraId="23BFEB2D" w14:textId="01EA711F" w:rsidR="00A70A62" w:rsidRPr="00A64F36" w:rsidRDefault="00A70A62" w:rsidP="1A16B2EB">
      <w:pPr>
        <w:pStyle w:val="NormalWeb"/>
        <w:spacing w:before="0" w:beforeAutospacing="0" w:after="180" w:afterAutospacing="0"/>
        <w:jc w:val="both"/>
        <w:rPr>
          <w:noProof/>
        </w:rPr>
      </w:pPr>
      <w:r>
        <w:rPr>
          <w:b/>
          <w:noProof/>
        </w:rPr>
        <w:t>Politiky, které se zaměřují na děti a mladé lidi, zejména na ty, kteří pocházejí ze znevýhodněného prostředí nebo čelí diskriminaci, mají pro zajištění spravedlnosti mezi generacemi zásadní význam.</w:t>
      </w:r>
      <w:r>
        <w:rPr>
          <w:noProof/>
        </w:rPr>
        <w:t xml:space="preserve"> To zahrnuje trvalé investice do rozvoje dětí v raném věku, vzdělávání, odborné přípravy a dovedností, přístupu ke kultuře, účasti a infrastruktuře, volnočasových aktivit, přístupu ke zdravotní péči, přístupu k bydlení, dopravě a dalším základním službám, jakož i cílenou podporu v klíčových přechodových obdobích života, jako je ukončení školní docházky, vstup na trh práce nebo založení samostatné domácnosti. Zahrnuje rovněž podporu finanční gramotnosti, která má zásadní význam pro posílení schopnosti mladých lidí zajistit jejich finanční nezávislost a finanční začlenění</w:t>
      </w:r>
      <w:r>
        <w:rPr>
          <w:rStyle w:val="FootnoteReference"/>
          <w:noProof/>
          <w:lang w:val="en-GB"/>
        </w:rPr>
        <w:footnoteReference w:id="25"/>
      </w:r>
      <w:r>
        <w:rPr>
          <w:noProof/>
        </w:rPr>
        <w:t>. Včasným řešením rizik a podporou dětí žijících v obtížných podmínkách</w:t>
      </w:r>
      <w:r>
        <w:rPr>
          <w:rStyle w:val="FootnoteReference"/>
          <w:noProof/>
          <w:lang w:val="en-GB"/>
        </w:rPr>
        <w:footnoteReference w:id="26"/>
      </w:r>
      <w:r>
        <w:rPr>
          <w:noProof/>
        </w:rPr>
        <w:t xml:space="preserve"> pomáhají tato opatření předcházet prohlubování nerovností a dlouhodobě snižují tlak na sociální systémy. Aby byla tato opatření účinná, musí jít nad rámec zaměření na věk a zohlednit specifické potřeby zranitelných a znevýhodněných skupin.</w:t>
      </w:r>
    </w:p>
    <w:p w14:paraId="14ADD1A7" w14:textId="1A02667D" w:rsidR="00A70A62" w:rsidRPr="00A64F36" w:rsidRDefault="00F9253C" w:rsidP="00E8298A">
      <w:pPr>
        <w:pStyle w:val="NormalWeb"/>
        <w:spacing w:before="0" w:beforeAutospacing="0" w:after="180" w:afterAutospacing="0"/>
        <w:jc w:val="both"/>
        <w:rPr>
          <w:noProof/>
        </w:rPr>
      </w:pPr>
      <w:r>
        <w:rPr>
          <w:b/>
          <w:noProof/>
        </w:rPr>
        <w:t>Mezigenerační spravedlnost může existovat pouze tehdy, když dochází ke spravedlivému rozdělování bohatství vytvořeného společností</w:t>
      </w:r>
      <w:r>
        <w:rPr>
          <w:noProof/>
        </w:rPr>
        <w:t xml:space="preserve">. Nerovnoměrné rozdělení bohatství a rozdíly při zdanění majetku a dědictví v naší společnosti ovlivňuje způsob, jakým se rizika a příležitosti přenášejí mezi generacemi. Odstranění strukturálních překážek, které neúměrně postihují mladší ročníky, je rovněž nezbytné pro přerušení mezigeneračního přenosu znevýhodnění a zároveň pro zajištění toho, aby starší lidé mohli zůstat zajištěni, začleněni a schopni přispívat i ve stáří. Dostupnost bydlení, přístup ke vzdělávání a odborné přípravě, stabilní a dobře odměňované profesní dráhy, kvalitní zdravotní péče – včetně péče o duševní zdraví – a možnost skloubit práci, učení, soukromý a rodinný život ovlivňují to, zda se mladí lidé mohou plně zapojit do společnosti a s důvěrou plánovat budoucnost. Do značné míry také umožňují mezigenerační sousedství, účast a dialog. </w:t>
      </w:r>
    </w:p>
    <w:p w14:paraId="6B509EE6" w14:textId="6E96312D" w:rsidR="00A70A62" w:rsidRDefault="00A70A62" w:rsidP="00A70A62">
      <w:pPr>
        <w:pStyle w:val="NormalWeb"/>
        <w:spacing w:after="180"/>
        <w:jc w:val="both"/>
        <w:rPr>
          <w:noProof/>
        </w:rPr>
      </w:pPr>
      <w:r>
        <w:rPr>
          <w:b/>
          <w:noProof/>
        </w:rPr>
        <w:t>Převedení těchto zásad do praxe vyžaduje cílená opatření založená na důkazech</w:t>
      </w:r>
      <w:r>
        <w:rPr>
          <w:noProof/>
        </w:rPr>
        <w:t xml:space="preserve">. V této souvislosti se strategie zaměřuje na posílení analytické základny pro mezigenerační spravedlnost prostřednictvím sestavení speciálního </w:t>
      </w:r>
      <w:r>
        <w:rPr>
          <w:b/>
          <w:i/>
          <w:noProof/>
        </w:rPr>
        <w:t>indexu mezigenerační spravedlnosti</w:t>
      </w:r>
      <w:r>
        <w:rPr>
          <w:noProof/>
        </w:rPr>
        <w:t xml:space="preserve">. Bude navržen tak, aby zachycoval nerovnosti v příležitostech mezi současnými generacemi a v čase sledováním ukazatelů, které úzce souvisejí s mezigenerační spravedlností. Strategie rovněž zvýší spoluúčast občanů sjednocením generací kolem společných cílů, posílí mezigenerační dialog a spolupráci, zdůrazní hlasy dětí a mladých lidí a bude bojovat proti diskriminaci na základě věku prostřednictvím sdílení osvědčených postupů v členských státech. </w:t>
      </w:r>
    </w:p>
    <w:p w14:paraId="4AD73B26" w14:textId="77777777" w:rsidR="008E1529" w:rsidRPr="000E0D5C" w:rsidRDefault="008E1529" w:rsidP="00A70A62">
      <w:pPr>
        <w:pStyle w:val="NormalWeb"/>
        <w:spacing w:after="180"/>
        <w:jc w:val="both"/>
        <w:rPr>
          <w:noProof/>
        </w:rPr>
      </w:pPr>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DAE9F7" w:themeFill="text2" w:themeFillTint="1A"/>
        <w:tblLook w:val="04A0" w:firstRow="1" w:lastRow="0" w:firstColumn="1" w:lastColumn="0" w:noHBand="0" w:noVBand="1"/>
      </w:tblPr>
      <w:tblGrid>
        <w:gridCol w:w="9016"/>
      </w:tblGrid>
      <w:tr w:rsidR="00A70A62" w:rsidRPr="00A64F36" w14:paraId="1F66B9E5" w14:textId="77777777" w:rsidTr="0A5929DF">
        <w:tc>
          <w:tcPr>
            <w:tcW w:w="9016" w:type="dxa"/>
            <w:shd w:val="clear" w:color="auto" w:fill="DAE9F7" w:themeFill="text2" w:themeFillTint="1A"/>
          </w:tcPr>
          <w:p w14:paraId="0EECD658" w14:textId="77777777" w:rsidR="00A70A62" w:rsidRPr="00A64F36" w:rsidRDefault="00A70A62" w:rsidP="00234C09">
            <w:pPr>
              <w:jc w:val="both"/>
              <w:rPr>
                <w:rFonts w:ascii="Times New Roman" w:eastAsia="Times New Roman" w:hAnsi="Times New Roman" w:cs="Times New Roman"/>
                <w:b/>
                <w:bCs/>
                <w:noProof/>
              </w:rPr>
            </w:pPr>
            <w:r>
              <w:rPr>
                <w:rFonts w:ascii="Times New Roman" w:hAnsi="Times New Roman"/>
                <w:b/>
                <w:noProof/>
                <w:color w:val="0070C0"/>
              </w:rPr>
              <w:t xml:space="preserve">V zájmu podpory </w:t>
            </w:r>
            <w:r>
              <w:rPr>
                <w:rFonts w:ascii="Times New Roman" w:hAnsi="Times New Roman"/>
                <w:b/>
                <w:i/>
                <w:noProof/>
                <w:color w:val="0070C0"/>
              </w:rPr>
              <w:t>spravedlivých příležitostí</w:t>
            </w:r>
            <w:r>
              <w:rPr>
                <w:rFonts w:ascii="Times New Roman" w:hAnsi="Times New Roman"/>
                <w:b/>
                <w:noProof/>
                <w:color w:val="0070C0"/>
              </w:rPr>
              <w:t xml:space="preserve"> Komise:</w:t>
            </w:r>
          </w:p>
          <w:p w14:paraId="2EE799F4" w14:textId="77777777" w:rsidR="00A70A62" w:rsidRPr="00A64F36" w:rsidRDefault="00A70A62" w:rsidP="00234C09">
            <w:pPr>
              <w:jc w:val="both"/>
              <w:rPr>
                <w:rFonts w:ascii="Times New Roman" w:eastAsia="Times New Roman" w:hAnsi="Times New Roman" w:cs="Times New Roman"/>
                <w:noProof/>
              </w:rPr>
            </w:pPr>
          </w:p>
          <w:p w14:paraId="0609F106" w14:textId="4A80B3FA" w:rsidR="00A70A62" w:rsidRPr="00A64F36" w:rsidRDefault="00A70A62" w:rsidP="00A70A62">
            <w:pPr>
              <w:pStyle w:val="ListParagraph"/>
              <w:numPr>
                <w:ilvl w:val="0"/>
                <w:numId w:val="1"/>
              </w:numPr>
              <w:jc w:val="both"/>
              <w:rPr>
                <w:rFonts w:ascii="Times New Roman" w:eastAsia="Times New Roman" w:hAnsi="Times New Roman" w:cs="Times New Roman"/>
                <w:noProof/>
              </w:rPr>
            </w:pPr>
            <w:r>
              <w:rPr>
                <w:rFonts w:ascii="Times New Roman" w:hAnsi="Times New Roman"/>
                <w:b/>
                <w:noProof/>
              </w:rPr>
              <w:t>sestaví</w:t>
            </w:r>
            <w:r>
              <w:rPr>
                <w:rFonts w:ascii="Times New Roman" w:hAnsi="Times New Roman"/>
                <w:noProof/>
              </w:rPr>
              <w:t xml:space="preserve"> </w:t>
            </w:r>
            <w:r>
              <w:rPr>
                <w:rFonts w:ascii="Times New Roman" w:hAnsi="Times New Roman"/>
                <w:b/>
                <w:noProof/>
              </w:rPr>
              <w:t>index mezigenerační spravedlnosti,</w:t>
            </w:r>
            <w:r>
              <w:rPr>
                <w:rFonts w:ascii="Times New Roman" w:hAnsi="Times New Roman"/>
                <w:noProof/>
              </w:rPr>
              <w:t xml:space="preserve"> který umožní určit příležitosti a nedostatky, přijímat politická rozhodnutí a podporovat spravedlnost v rámci generací</w:t>
            </w:r>
            <w:r w:rsidR="000E0D5C">
              <w:rPr>
                <w:rFonts w:ascii="Times New Roman" w:hAnsi="Times New Roman"/>
                <w:noProof/>
              </w:rPr>
              <w:t>;</w:t>
            </w:r>
          </w:p>
          <w:p w14:paraId="46701C51" w14:textId="4CF1E0B0" w:rsidR="00A70A62" w:rsidRPr="00A64F36" w:rsidRDefault="00C867A2" w:rsidP="00A70A62">
            <w:pPr>
              <w:pStyle w:val="ListParagraph"/>
              <w:numPr>
                <w:ilvl w:val="0"/>
                <w:numId w:val="1"/>
              </w:numPr>
              <w:jc w:val="both"/>
              <w:rPr>
                <w:rFonts w:ascii="Times New Roman" w:eastAsia="Times New Roman" w:hAnsi="Times New Roman" w:cs="Times New Roman"/>
                <w:b/>
                <w:bCs/>
                <w:noProof/>
              </w:rPr>
            </w:pPr>
            <w:r>
              <w:rPr>
                <w:rFonts w:ascii="Times New Roman" w:hAnsi="Times New Roman"/>
                <w:b/>
                <w:noProof/>
              </w:rPr>
              <w:t xml:space="preserve">podpoří vypracování </w:t>
            </w:r>
            <w:r>
              <w:rPr>
                <w:rFonts w:ascii="Times New Roman" w:hAnsi="Times New Roman"/>
                <w:b/>
                <w:noProof/>
                <w:color w:val="111111"/>
              </w:rPr>
              <w:t>sborníku osvědčených postupů v oblasti rovnosti na základě věku</w:t>
            </w:r>
            <w:r>
              <w:rPr>
                <w:rFonts w:ascii="Times New Roman" w:hAnsi="Times New Roman"/>
                <w:noProof/>
              </w:rPr>
              <w:t xml:space="preserve"> skupinou na vysoké úrovni pro otázky rovnosti, nediskriminace a rozmanitosti, a to na základě </w:t>
            </w:r>
            <w:r>
              <w:rPr>
                <w:rFonts w:ascii="Times New Roman" w:hAnsi="Times New Roman"/>
                <w:noProof/>
                <w:color w:val="111111"/>
              </w:rPr>
              <w:t>připravované studie o diskriminaci na základě věku v EU, která poskytuje přehled vnitrostátních akčních plánů nebo opatření v oblasti rovnosti na základě věku</w:t>
            </w:r>
            <w:r w:rsidR="000E0D5C">
              <w:rPr>
                <w:rFonts w:ascii="Times New Roman" w:hAnsi="Times New Roman"/>
                <w:noProof/>
                <w:color w:val="111111"/>
              </w:rPr>
              <w:t>;</w:t>
            </w:r>
          </w:p>
          <w:p w14:paraId="55FB1E8D" w14:textId="7EF24AA4" w:rsidR="00A70A62" w:rsidRPr="00EC7FDD" w:rsidRDefault="009E287F" w:rsidP="00A70A62">
            <w:pPr>
              <w:pStyle w:val="ListParagraph"/>
              <w:numPr>
                <w:ilvl w:val="0"/>
                <w:numId w:val="1"/>
              </w:numPr>
              <w:jc w:val="both"/>
              <w:rPr>
                <w:rFonts w:ascii="Times New Roman" w:eastAsia="Times New Roman" w:hAnsi="Times New Roman" w:cs="Times New Roman"/>
                <w:noProof/>
              </w:rPr>
            </w:pPr>
            <w:r>
              <w:rPr>
                <w:rFonts w:ascii="Times New Roman" w:hAnsi="Times New Roman"/>
                <w:b/>
                <w:noProof/>
              </w:rPr>
              <w:t xml:space="preserve">podpoří společné výzkumné činnosti </w:t>
            </w:r>
            <w:r>
              <w:rPr>
                <w:rFonts w:ascii="Times New Roman" w:hAnsi="Times New Roman"/>
                <w:noProof/>
              </w:rPr>
              <w:t>prosazující mezigenerační spravedlnost v rámci programu Horizont Evropa</w:t>
            </w:r>
            <w:r w:rsidR="000E0D5C">
              <w:rPr>
                <w:rFonts w:ascii="Times New Roman" w:hAnsi="Times New Roman"/>
                <w:noProof/>
              </w:rPr>
              <w:t>;</w:t>
            </w:r>
          </w:p>
          <w:p w14:paraId="1DCFD9DF" w14:textId="4CA9E09D" w:rsidR="00A70A62" w:rsidRPr="00A64F36" w:rsidRDefault="00A70A62" w:rsidP="00A70A62">
            <w:pPr>
              <w:pStyle w:val="ListParagraph"/>
              <w:numPr>
                <w:ilvl w:val="0"/>
                <w:numId w:val="1"/>
              </w:numPr>
              <w:jc w:val="both"/>
              <w:rPr>
                <w:rFonts w:ascii="Times New Roman" w:eastAsia="Times New Roman" w:hAnsi="Times New Roman" w:cs="Times New Roman"/>
                <w:noProof/>
              </w:rPr>
            </w:pPr>
            <w:r>
              <w:rPr>
                <w:rFonts w:ascii="Times New Roman" w:hAnsi="Times New Roman"/>
                <w:b/>
                <w:noProof/>
              </w:rPr>
              <w:t xml:space="preserve">uspořádá demografické fórum </w:t>
            </w:r>
            <w:r>
              <w:rPr>
                <w:rFonts w:ascii="Times New Roman" w:hAnsi="Times New Roman"/>
                <w:noProof/>
              </w:rPr>
              <w:t>jako místo pro výměnu a vzájemné učení v oblasti demografického vývoje,</w:t>
            </w:r>
            <w:r w:rsidR="000E0D5C">
              <w:rPr>
                <w:rFonts w:ascii="Times New Roman" w:hAnsi="Times New Roman"/>
                <w:noProof/>
              </w:rPr>
              <w:t>´;</w:t>
            </w:r>
          </w:p>
          <w:p w14:paraId="49E600E6" w14:textId="5F363CC7" w:rsidR="00A70A62" w:rsidRPr="00A64F36" w:rsidRDefault="00A70A62" w:rsidP="00A70A62">
            <w:pPr>
              <w:pStyle w:val="ListParagraph"/>
              <w:numPr>
                <w:ilvl w:val="0"/>
                <w:numId w:val="1"/>
              </w:numPr>
              <w:jc w:val="both"/>
              <w:rPr>
                <w:rFonts w:ascii="Times New Roman" w:eastAsia="Times New Roman" w:hAnsi="Times New Roman" w:cs="Times New Roman"/>
                <w:b/>
                <w:bCs/>
                <w:noProof/>
                <w:color w:val="0070C0"/>
              </w:rPr>
            </w:pPr>
            <w:r>
              <w:rPr>
                <w:rFonts w:ascii="Times New Roman" w:hAnsi="Times New Roman"/>
                <w:b/>
                <w:noProof/>
              </w:rPr>
              <w:t xml:space="preserve">zvýší účast občanů – zejména mladých lidí – </w:t>
            </w:r>
            <w:r>
              <w:rPr>
                <w:rFonts w:ascii="Times New Roman" w:hAnsi="Times New Roman"/>
                <w:noProof/>
              </w:rPr>
              <w:t xml:space="preserve">podporou participativních a konzultačních procesů, mimo jiné prostřednictvím: </w:t>
            </w:r>
          </w:p>
          <w:p w14:paraId="17BD5CEF" w14:textId="182CD125" w:rsidR="00A70A62" w:rsidRPr="00A64F36" w:rsidRDefault="00774BD6" w:rsidP="00A70A62">
            <w:pPr>
              <w:pStyle w:val="ListParagraph"/>
              <w:numPr>
                <w:ilvl w:val="1"/>
                <w:numId w:val="1"/>
              </w:numPr>
              <w:jc w:val="both"/>
              <w:rPr>
                <w:rFonts w:ascii="Times New Roman" w:eastAsia="Times New Roman" w:hAnsi="Times New Roman" w:cs="Times New Roman"/>
                <w:noProof/>
                <w:color w:val="000000" w:themeColor="text1"/>
                <w:u w:val="single"/>
              </w:rPr>
            </w:pPr>
            <w:r>
              <w:rPr>
                <w:rFonts w:ascii="Times New Roman" w:hAnsi="Times New Roman"/>
                <w:noProof/>
              </w:rPr>
              <w:t xml:space="preserve">podpory mezigeneračních dialogů, participativního rozpočtování, participativních prognóz, </w:t>
            </w:r>
            <w:r>
              <w:rPr>
                <w:rFonts w:ascii="Times New Roman" w:hAnsi="Times New Roman"/>
                <w:noProof/>
                <w:color w:val="000000" w:themeColor="text1"/>
              </w:rPr>
              <w:t>panelových diskusí občanů a inovativních online technologických nástrojů pro občany</w:t>
            </w:r>
            <w:r w:rsidR="000E0D5C">
              <w:rPr>
                <w:rFonts w:ascii="Times New Roman" w:hAnsi="Times New Roman"/>
                <w:noProof/>
                <w:color w:val="000000" w:themeColor="text1"/>
              </w:rPr>
              <w:t>;</w:t>
            </w:r>
          </w:p>
          <w:p w14:paraId="56A30D72" w14:textId="2A83D9E0" w:rsidR="00A70A62" w:rsidRPr="00A64F36" w:rsidRDefault="00A70A62" w:rsidP="00A70A62">
            <w:pPr>
              <w:pStyle w:val="ListParagraph"/>
              <w:numPr>
                <w:ilvl w:val="1"/>
                <w:numId w:val="1"/>
              </w:numPr>
              <w:jc w:val="both"/>
              <w:rPr>
                <w:rFonts w:ascii="Times New Roman" w:eastAsia="Times New Roman" w:hAnsi="Times New Roman" w:cs="Times New Roman"/>
                <w:noProof/>
                <w:u w:val="single"/>
              </w:rPr>
            </w:pPr>
            <w:r>
              <w:rPr>
                <w:rFonts w:ascii="Times New Roman" w:hAnsi="Times New Roman"/>
                <w:noProof/>
              </w:rPr>
              <w:t>uspořádání Evropského týdne mládeže 2026 věnovaného solidaritě a spravedlnosti</w:t>
            </w:r>
            <w:r w:rsidR="000E0D5C">
              <w:rPr>
                <w:rFonts w:ascii="Times New Roman" w:hAnsi="Times New Roman"/>
                <w:noProof/>
              </w:rPr>
              <w:t>;</w:t>
            </w:r>
          </w:p>
          <w:p w14:paraId="388D3384" w14:textId="7C7A8793" w:rsidR="007D0886" w:rsidRPr="00A64F36" w:rsidRDefault="007D0886" w:rsidP="007D0886">
            <w:pPr>
              <w:pStyle w:val="ListParagraph"/>
              <w:numPr>
                <w:ilvl w:val="1"/>
                <w:numId w:val="1"/>
              </w:numPr>
              <w:jc w:val="both"/>
              <w:rPr>
                <w:rFonts w:ascii="Times New Roman" w:eastAsia="Times New Roman" w:hAnsi="Times New Roman" w:cs="Times New Roman"/>
                <w:noProof/>
                <w:sz w:val="24"/>
                <w:szCs w:val="24"/>
                <w:u w:val="single"/>
              </w:rPr>
            </w:pPr>
            <w:r>
              <w:rPr>
                <w:rFonts w:ascii="Times New Roman" w:hAnsi="Times New Roman"/>
                <w:noProof/>
              </w:rPr>
              <w:t>zvyšování povědomí zejména o dni 16. listopadu jakožto Dni mezigenerační spravedlnosti</w:t>
            </w:r>
            <w:r w:rsidR="000E0D5C">
              <w:rPr>
                <w:rFonts w:ascii="Times New Roman" w:hAnsi="Times New Roman"/>
                <w:noProof/>
              </w:rPr>
              <w:t>;</w:t>
            </w:r>
            <w:r>
              <w:rPr>
                <w:rFonts w:ascii="Times New Roman" w:hAnsi="Times New Roman"/>
                <w:noProof/>
              </w:rPr>
              <w:t xml:space="preserve"> </w:t>
            </w:r>
          </w:p>
          <w:p w14:paraId="029DF9CE" w14:textId="6D256C5F" w:rsidR="00A70A62" w:rsidRPr="00A64F36" w:rsidRDefault="00A70A62" w:rsidP="00A70A62">
            <w:pPr>
              <w:pStyle w:val="ListParagraph"/>
              <w:numPr>
                <w:ilvl w:val="0"/>
                <w:numId w:val="1"/>
              </w:numPr>
              <w:jc w:val="both"/>
              <w:rPr>
                <w:rFonts w:ascii="Times New Roman" w:eastAsia="Times New Roman" w:hAnsi="Times New Roman" w:cs="Times New Roman"/>
                <w:noProof/>
              </w:rPr>
            </w:pPr>
            <w:r>
              <w:rPr>
                <w:rFonts w:ascii="Times New Roman" w:hAnsi="Times New Roman"/>
                <w:b/>
                <w:noProof/>
              </w:rPr>
              <w:t>posílí</w:t>
            </w:r>
            <w:r>
              <w:rPr>
                <w:rFonts w:ascii="Times New Roman" w:hAnsi="Times New Roman"/>
                <w:noProof/>
              </w:rPr>
              <w:t xml:space="preserve"> </w:t>
            </w:r>
            <w:r>
              <w:rPr>
                <w:rFonts w:ascii="Times New Roman" w:hAnsi="Times New Roman"/>
                <w:b/>
                <w:noProof/>
              </w:rPr>
              <w:t>rozměr mezigenerační spravedlnosti v politikách EU v oblasti mládeže a sportu</w:t>
            </w:r>
            <w:r>
              <w:rPr>
                <w:rFonts w:ascii="Times New Roman" w:hAnsi="Times New Roman"/>
                <w:noProof/>
              </w:rPr>
              <w:t xml:space="preserve"> prostřednictvím </w:t>
            </w:r>
            <w:r>
              <w:rPr>
                <w:rFonts w:ascii="Times New Roman" w:hAnsi="Times New Roman"/>
                <w:b/>
                <w:noProof/>
              </w:rPr>
              <w:t>strategie EU pro mládež</w:t>
            </w:r>
            <w:r>
              <w:rPr>
                <w:rFonts w:ascii="Times New Roman" w:hAnsi="Times New Roman"/>
                <w:noProof/>
              </w:rPr>
              <w:t xml:space="preserve"> </w:t>
            </w:r>
            <w:r>
              <w:rPr>
                <w:rFonts w:ascii="Times New Roman" w:hAnsi="Times New Roman"/>
                <w:b/>
                <w:noProof/>
              </w:rPr>
              <w:t>po roce</w:t>
            </w:r>
            <w:r>
              <w:rPr>
                <w:rFonts w:ascii="Times New Roman" w:hAnsi="Times New Roman"/>
                <w:noProof/>
              </w:rPr>
              <w:t xml:space="preserve"> </w:t>
            </w:r>
            <w:r>
              <w:rPr>
                <w:rFonts w:ascii="Times New Roman" w:hAnsi="Times New Roman"/>
                <w:b/>
                <w:noProof/>
              </w:rPr>
              <w:t>2027</w:t>
            </w:r>
            <w:r>
              <w:rPr>
                <w:rFonts w:ascii="Times New Roman" w:hAnsi="Times New Roman"/>
                <w:noProof/>
              </w:rPr>
              <w:t xml:space="preserve"> a </w:t>
            </w:r>
            <w:r>
              <w:rPr>
                <w:rFonts w:ascii="Times New Roman" w:hAnsi="Times New Roman"/>
                <w:b/>
                <w:noProof/>
              </w:rPr>
              <w:t>pracovního plánu EU v oblasti sportu</w:t>
            </w:r>
            <w:r>
              <w:rPr>
                <w:rFonts w:ascii="Times New Roman" w:hAnsi="Times New Roman"/>
                <w:noProof/>
              </w:rPr>
              <w:t xml:space="preserve"> a rovněž </w:t>
            </w:r>
            <w:r>
              <w:rPr>
                <w:rFonts w:ascii="Times New Roman" w:hAnsi="Times New Roman"/>
                <w:b/>
                <w:noProof/>
                <w:color w:val="111111"/>
              </w:rPr>
              <w:t>zvýší účast dětí</w:t>
            </w:r>
            <w:r>
              <w:rPr>
                <w:rFonts w:ascii="Times New Roman" w:hAnsi="Times New Roman"/>
                <w:noProof/>
                <w:color w:val="111111"/>
              </w:rPr>
              <w:t xml:space="preserve"> na tvorbě politik EU tím, že bude prosazovat práva dětí v příslušných politikách EU</w:t>
            </w:r>
            <w:r>
              <w:rPr>
                <w:rFonts w:ascii="Times New Roman" w:eastAsia="Times New Roman" w:hAnsi="Times New Roman" w:cs="Times New Roman"/>
                <w:noProof/>
                <w:color w:val="111111"/>
                <w:vertAlign w:val="superscript"/>
              </w:rPr>
              <w:footnoteReference w:id="27"/>
            </w:r>
            <w:r>
              <w:rPr>
                <w:rFonts w:ascii="Times New Roman" w:hAnsi="Times New Roman"/>
                <w:noProof/>
                <w:color w:val="111111"/>
              </w:rPr>
              <w:t xml:space="preserve"> a stavět na Platformě EU pro účast dětí</w:t>
            </w:r>
            <w:r>
              <w:rPr>
                <w:rStyle w:val="FootnoteReference"/>
                <w:rFonts w:ascii="Times New Roman" w:eastAsia="Times New Roman" w:hAnsi="Times New Roman" w:cs="Times New Roman"/>
                <w:noProof/>
                <w:color w:val="111111"/>
              </w:rPr>
              <w:footnoteReference w:id="28"/>
            </w:r>
            <w:r>
              <w:rPr>
                <w:noProof/>
              </w:rPr>
              <w:t>.</w:t>
            </w:r>
          </w:p>
          <w:p w14:paraId="6490BB1A" w14:textId="62D93E40" w:rsidR="00A70A62" w:rsidRPr="00A64F36" w:rsidRDefault="00A70A62" w:rsidP="00234C09">
            <w:pPr>
              <w:jc w:val="both"/>
              <w:rPr>
                <w:rFonts w:ascii="Times New Roman" w:hAnsi="Times New Roman" w:cs="Times New Roman"/>
                <w:noProof/>
              </w:rPr>
            </w:pPr>
          </w:p>
        </w:tc>
      </w:tr>
    </w:tbl>
    <w:p w14:paraId="42F64AAD" w14:textId="77777777" w:rsidR="00A70A62" w:rsidRPr="000E0D5C" w:rsidRDefault="00A70A62" w:rsidP="00A70A62">
      <w:pPr>
        <w:rPr>
          <w:rFonts w:ascii="Times New Roman" w:eastAsia="Times New Roman" w:hAnsi="Times New Roman" w:cs="Times New Roman"/>
          <w:noProof/>
        </w:rPr>
      </w:pPr>
    </w:p>
    <w:tbl>
      <w:tblPr>
        <w:tblStyle w:val="TableGrid"/>
        <w:tblW w:w="0" w:type="auto"/>
        <w:shd w:val="clear" w:color="auto" w:fill="D9F2D0" w:themeFill="accent6" w:themeFillTint="33"/>
        <w:tblLook w:val="04A0" w:firstRow="1" w:lastRow="0" w:firstColumn="1" w:lastColumn="0" w:noHBand="0" w:noVBand="1"/>
      </w:tblPr>
      <w:tblGrid>
        <w:gridCol w:w="9016"/>
      </w:tblGrid>
      <w:tr w:rsidR="00A70A62" w:rsidRPr="00A64F36" w14:paraId="77E1D6E8" w14:textId="77777777" w:rsidTr="1A16B2EB">
        <w:tc>
          <w:tcPr>
            <w:tcW w:w="9026"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D9BA96F" w14:textId="6E763F88" w:rsidR="00A70A62" w:rsidRPr="00A64F36" w:rsidRDefault="7F999087" w:rsidP="00234C09">
            <w:pPr>
              <w:spacing w:line="276" w:lineRule="auto"/>
              <w:rPr>
                <w:rFonts w:ascii="Times New Roman" w:eastAsia="Times New Roman" w:hAnsi="Times New Roman" w:cs="Times New Roman"/>
                <w:b/>
                <w:bCs/>
                <w:noProof/>
                <w:color w:val="000000" w:themeColor="text1"/>
                <w:sz w:val="14"/>
                <w:szCs w:val="14"/>
              </w:rPr>
            </w:pPr>
            <w:r>
              <w:rPr>
                <w:rFonts w:ascii="Times New Roman" w:hAnsi="Times New Roman"/>
                <w:b/>
                <w:noProof/>
                <w:color w:val="000000" w:themeColor="text1"/>
                <w:sz w:val="20"/>
              </w:rPr>
              <w:t xml:space="preserve">Inspirativní postupy v členských státech EU </w:t>
            </w:r>
          </w:p>
          <w:p w14:paraId="57BFF851" w14:textId="77777777" w:rsidR="00A70A62" w:rsidRPr="00A64F36" w:rsidRDefault="00A70A62" w:rsidP="00234C09">
            <w:pPr>
              <w:spacing w:line="276" w:lineRule="auto"/>
              <w:rPr>
                <w:rFonts w:ascii="Times New Roman" w:eastAsia="Times New Roman" w:hAnsi="Times New Roman" w:cs="Times New Roman"/>
                <w:b/>
                <w:bCs/>
                <w:noProof/>
                <w:color w:val="000000"/>
                <w:sz w:val="14"/>
                <w:szCs w:val="14"/>
              </w:rPr>
            </w:pPr>
          </w:p>
          <w:p w14:paraId="7AA611F7" w14:textId="2486159F" w:rsidR="00A70A62" w:rsidRPr="00A64F36" w:rsidRDefault="00A70A62" w:rsidP="00A70A62">
            <w:pPr>
              <w:pStyle w:val="ListParagraph"/>
              <w:numPr>
                <w:ilvl w:val="0"/>
                <w:numId w:val="3"/>
              </w:numPr>
              <w:spacing w:line="276" w:lineRule="auto"/>
              <w:jc w:val="both"/>
              <w:rPr>
                <w:rFonts w:ascii="Times New Roman" w:eastAsia="Times New Roman" w:hAnsi="Times New Roman" w:cs="Times New Roman"/>
                <w:noProof/>
                <w:color w:val="000000" w:themeColor="text1"/>
                <w:sz w:val="14"/>
                <w:szCs w:val="14"/>
              </w:rPr>
            </w:pPr>
            <w:r>
              <w:rPr>
                <w:rFonts w:ascii="Times New Roman" w:hAnsi="Times New Roman"/>
                <w:b/>
                <w:noProof/>
                <w:color w:val="000000" w:themeColor="text1"/>
                <w:sz w:val="20"/>
              </w:rPr>
              <w:t>V Nizozemsku</w:t>
            </w:r>
            <w:r>
              <w:rPr>
                <w:rFonts w:ascii="Times New Roman" w:hAnsi="Times New Roman"/>
                <w:noProof/>
                <w:color w:val="000000" w:themeColor="text1"/>
                <w:sz w:val="20"/>
              </w:rPr>
              <w:t xml:space="preserve"> podporuje děti a jejich rodiče v prvních tisíci dnech </w:t>
            </w:r>
            <w:r>
              <w:rPr>
                <w:rFonts w:ascii="Times New Roman" w:hAnsi="Times New Roman"/>
                <w:b/>
                <w:noProof/>
                <w:color w:val="000000" w:themeColor="text1"/>
                <w:sz w:val="20"/>
              </w:rPr>
              <w:t>akční program Slibný start</w:t>
            </w:r>
            <w:r>
              <w:rPr>
                <w:rFonts w:ascii="Times New Roman" w:hAnsi="Times New Roman"/>
                <w:noProof/>
                <w:color w:val="000000" w:themeColor="text1"/>
                <w:sz w:val="20"/>
              </w:rPr>
              <w:t xml:space="preserve">. </w:t>
            </w:r>
          </w:p>
          <w:p w14:paraId="1EAA6BF1" w14:textId="77777777" w:rsidR="002E586E" w:rsidRPr="00A64F36" w:rsidRDefault="00A70A62" w:rsidP="002E586E">
            <w:pPr>
              <w:pStyle w:val="ListParagraph"/>
              <w:numPr>
                <w:ilvl w:val="0"/>
                <w:numId w:val="3"/>
              </w:numPr>
              <w:spacing w:line="276" w:lineRule="auto"/>
              <w:jc w:val="both"/>
              <w:rPr>
                <w:rFonts w:ascii="Times New Roman" w:eastAsia="Times New Roman" w:hAnsi="Times New Roman" w:cs="Times New Roman"/>
                <w:i/>
                <w:iCs/>
                <w:noProof/>
                <w:color w:val="000000" w:themeColor="text1"/>
                <w:sz w:val="14"/>
                <w:szCs w:val="14"/>
              </w:rPr>
            </w:pPr>
            <w:r>
              <w:rPr>
                <w:rFonts w:ascii="Times New Roman" w:hAnsi="Times New Roman"/>
                <w:b/>
                <w:noProof/>
                <w:color w:val="000000" w:themeColor="text1"/>
                <w:sz w:val="20"/>
              </w:rPr>
              <w:t>V Belgii působí CALICO, bruselský projekt v oblasti bydlení financovaný EU</w:t>
            </w:r>
            <w:r>
              <w:rPr>
                <w:rFonts w:ascii="Times New Roman" w:hAnsi="Times New Roman"/>
                <w:noProof/>
                <w:color w:val="000000" w:themeColor="text1"/>
                <w:sz w:val="20"/>
              </w:rPr>
              <w:t xml:space="preserve">, který podporuje mezigenerační solidaritu, bydlení pro ženy a dostupné vlastnictví. </w:t>
            </w:r>
          </w:p>
          <w:p w14:paraId="21FCBCC0" w14:textId="2013477E" w:rsidR="00A70A62" w:rsidRPr="00A64F36" w:rsidRDefault="00A70A62" w:rsidP="002E586E">
            <w:pPr>
              <w:pStyle w:val="ListParagraph"/>
              <w:numPr>
                <w:ilvl w:val="0"/>
                <w:numId w:val="3"/>
              </w:numPr>
              <w:spacing w:line="276" w:lineRule="auto"/>
              <w:jc w:val="both"/>
              <w:rPr>
                <w:rFonts w:ascii="Times New Roman" w:eastAsia="Times New Roman" w:hAnsi="Times New Roman" w:cs="Times New Roman"/>
                <w:i/>
                <w:iCs/>
                <w:noProof/>
                <w:color w:val="000000" w:themeColor="text1"/>
                <w:sz w:val="14"/>
                <w:szCs w:val="14"/>
              </w:rPr>
            </w:pPr>
            <w:r>
              <w:rPr>
                <w:rFonts w:ascii="Times New Roman" w:hAnsi="Times New Roman"/>
                <w:b/>
                <w:noProof/>
                <w:color w:val="000000" w:themeColor="text1"/>
                <w:sz w:val="20"/>
              </w:rPr>
              <w:t>V Polsku</w:t>
            </w:r>
            <w:r>
              <w:rPr>
                <w:rFonts w:ascii="Times New Roman" w:hAnsi="Times New Roman"/>
                <w:noProof/>
                <w:color w:val="000000" w:themeColor="text1"/>
                <w:sz w:val="20"/>
              </w:rPr>
              <w:t xml:space="preserve"> podporují mezigenerační vazby a integraci v komunitě </w:t>
            </w:r>
            <w:r>
              <w:rPr>
                <w:rFonts w:ascii="Times New Roman" w:hAnsi="Times New Roman"/>
                <w:b/>
                <w:noProof/>
                <w:color w:val="000000" w:themeColor="text1"/>
                <w:sz w:val="20"/>
              </w:rPr>
              <w:t>semináře Společně se seniory – zahradničení</w:t>
            </w:r>
            <w:r>
              <w:rPr>
                <w:rFonts w:ascii="Times New Roman" w:hAnsi="Times New Roman"/>
                <w:noProof/>
                <w:color w:val="000000" w:themeColor="text1"/>
                <w:sz w:val="20"/>
              </w:rPr>
              <w:t>, které jsou součástí projektu Evropského sboru solidarity.</w:t>
            </w:r>
          </w:p>
        </w:tc>
      </w:tr>
    </w:tbl>
    <w:p w14:paraId="2DFE7539" w14:textId="77777777" w:rsidR="00A70A62" w:rsidRPr="000E0D5C" w:rsidRDefault="00A70A62" w:rsidP="00A70A62">
      <w:pPr>
        <w:rPr>
          <w:rFonts w:ascii="Times New Roman" w:eastAsia="Times New Roman" w:hAnsi="Times New Roman" w:cs="Times New Roman"/>
          <w:noProof/>
          <w:sz w:val="20"/>
          <w:szCs w:val="20"/>
        </w:rPr>
      </w:pPr>
    </w:p>
    <w:p w14:paraId="15E3D7C3" w14:textId="1B5A3BE9" w:rsidR="00A70A62" w:rsidRPr="00A64F36" w:rsidRDefault="00A70A62" w:rsidP="7EB3A829">
      <w:pPr>
        <w:pStyle w:val="Heading3"/>
        <w:numPr>
          <w:ilvl w:val="1"/>
          <w:numId w:val="2"/>
        </w:numPr>
        <w:tabs>
          <w:tab w:val="num" w:pos="360"/>
        </w:tabs>
        <w:ind w:left="0" w:firstLine="0"/>
        <w:jc w:val="both"/>
        <w:rPr>
          <w:rFonts w:ascii="Times New Roman" w:eastAsia="Times New Roman" w:hAnsi="Times New Roman" w:cs="Times New Roman"/>
          <w:b/>
          <w:bCs/>
          <w:noProof/>
          <w:color w:val="0070C0"/>
        </w:rPr>
      </w:pPr>
      <w:r>
        <w:rPr>
          <w:rFonts w:ascii="Times New Roman" w:hAnsi="Times New Roman"/>
          <w:b/>
          <w:noProof/>
          <w:color w:val="0070C0"/>
        </w:rPr>
        <w:t xml:space="preserve">Spravedlivá místa – zajištění mezigenerační spravedlnosti na různých územích </w:t>
      </w:r>
    </w:p>
    <w:p w14:paraId="60D91553" w14:textId="1187B465" w:rsidR="00A70A62" w:rsidRPr="00A64F36" w:rsidRDefault="00A70A62" w:rsidP="00A70A62">
      <w:pPr>
        <w:spacing w:line="240" w:lineRule="auto"/>
        <w:jc w:val="both"/>
        <w:rPr>
          <w:rStyle w:val="normaltextrun"/>
          <w:rFonts w:ascii="Times New Roman" w:eastAsia="Times New Roman" w:hAnsi="Times New Roman" w:cs="Times New Roman"/>
          <w:noProof/>
          <w:color w:val="0F4761" w:themeColor="accent1" w:themeShade="BF"/>
          <w:kern w:val="0"/>
          <w:sz w:val="28"/>
          <w:szCs w:val="28"/>
          <w14:ligatures w14:val="none"/>
        </w:rPr>
      </w:pPr>
      <w:r>
        <w:rPr>
          <w:rStyle w:val="normaltextrun"/>
          <w:rFonts w:ascii="Times New Roman" w:hAnsi="Times New Roman"/>
          <w:b/>
          <w:noProof/>
        </w:rPr>
        <w:t>Mezigenerační spravedlnost je ovlivněna nejen věkem, pohlavím a socioekonomickým zázemím, ale také místem bydliště.</w:t>
      </w:r>
      <w:r>
        <w:rPr>
          <w:rStyle w:val="normaltextrun"/>
          <w:rFonts w:ascii="Times New Roman" w:hAnsi="Times New Roman"/>
          <w:noProof/>
        </w:rPr>
        <w:t xml:space="preserve"> Místo, kde lidé žijí, výrazně ovlivňuje jejich přístup ke vzdělávání, kultuře, pracovním místům, bydlení, službám, digitální infrastruktuře, mobilitě a příležitostem k zapojení do demokratického a společenského dění. Územní rozdíly – mezi městskými a venkovskými oblastmi, přeshraničními regiony a znevýhodněnými čtvrtěmi – mohou nerovnosti v čase prohlubovat.</w:t>
      </w:r>
    </w:p>
    <w:p w14:paraId="031407EB" w14:textId="735EF121" w:rsidR="00A70A62" w:rsidRPr="00A64F36" w:rsidRDefault="00A70A62" w:rsidP="00A70A62">
      <w:pPr>
        <w:pStyle w:val="NormalWeb"/>
        <w:spacing w:after="180"/>
        <w:jc w:val="both"/>
        <w:rPr>
          <w:rStyle w:val="normaltextrun"/>
          <w:noProof/>
        </w:rPr>
      </w:pPr>
      <w:r>
        <w:rPr>
          <w:rStyle w:val="normaltextrun"/>
          <w:b/>
          <w:noProof/>
        </w:rPr>
        <w:t xml:space="preserve">Územní perspektiva mezigenerační spravedlnosti se zaměřuje na to, aby různé generace nebyly znevýhodněny z geografického hlediska. </w:t>
      </w:r>
      <w:r>
        <w:rPr>
          <w:rStyle w:val="normaltextrun"/>
          <w:noProof/>
        </w:rPr>
        <w:t>To vyžaduje politiky, které zohledňují místní podmínky a dopad na klima investují do dlouhodobé schopnosti míst podporovat příležitosti napříč generacemi. Přístup k cenově dostupnému a udržitelnému bydlení, kvalitním veřejným službám, včetně sociálních a pečovatelských služeb, dopravě, digitální konektivitě, sociální infrastruktuře a rekreačním zařízením má zásadní význam pro to, zda lidé ve svých komunitách mohou zůstat, budovat svou budoucnost nebo se do nich vrátit.</w:t>
      </w:r>
      <w:r>
        <w:rPr>
          <w:noProof/>
        </w:rPr>
        <w:t xml:space="preserve"> Studijní mobilita a </w:t>
      </w:r>
      <w:r>
        <w:rPr>
          <w:rStyle w:val="normaltextrun"/>
          <w:noProof/>
        </w:rPr>
        <w:t>volný pohyb pracovníků zároveň zlepšují příležitosti zejména pro mladé lidi, umožňují přenos dovedností a znalostí a podporují dlouhodobě udržitelnou konkurenceschopnost a růst.</w:t>
      </w:r>
    </w:p>
    <w:p w14:paraId="32807207" w14:textId="0D5E1DDF" w:rsidR="00A70A62" w:rsidRPr="00A64F36" w:rsidRDefault="00A70A62" w:rsidP="00A70A62">
      <w:pPr>
        <w:pStyle w:val="NormalWeb"/>
        <w:spacing w:after="180"/>
        <w:jc w:val="both"/>
        <w:rPr>
          <w:rStyle w:val="normaltextrun"/>
          <w:noProof/>
        </w:rPr>
      </w:pPr>
      <w:r>
        <w:rPr>
          <w:rStyle w:val="normaltextrun"/>
          <w:b/>
          <w:noProof/>
        </w:rPr>
        <w:t>K odolnosti a sociální soudržnosti přispívá také posilování mezigeneračních vazeb na místní úrovni</w:t>
      </w:r>
      <w:r>
        <w:rPr>
          <w:rStyle w:val="normaltextrun"/>
          <w:noProof/>
        </w:rPr>
        <w:t>. Komunitní zařízení, společná veřejná prostranství a místní služby mohou podpořit interakci mezi věkovými skupinami, snížit izolaci a posílit vzájemnou podporu – zejména v oblastech, které čelí demografickým změnám nebo ekonomické transformaci. Zlepšování</w:t>
      </w:r>
      <w:r>
        <w:rPr>
          <w:noProof/>
        </w:rPr>
        <w:t xml:space="preserve"> přístupu lidí ke kultuře a jejich účasti na ní podporuje sdílené hodnoty a sociální soudržnost a posiluje postavení všech generací. </w:t>
      </w:r>
    </w:p>
    <w:p w14:paraId="04A33E1B" w14:textId="12B77732" w:rsidR="00A70A62" w:rsidRPr="00A64F36" w:rsidRDefault="00A70A62" w:rsidP="00B45E14">
      <w:pPr>
        <w:pStyle w:val="NormalWeb"/>
        <w:spacing w:before="0" w:beforeAutospacing="0" w:after="180" w:afterAutospacing="0"/>
        <w:jc w:val="both"/>
        <w:rPr>
          <w:rStyle w:val="normaltextrun"/>
          <w:noProof/>
        </w:rPr>
      </w:pPr>
      <w:r>
        <w:rPr>
          <w:rStyle w:val="normaltextrun"/>
          <w:b/>
          <w:noProof/>
        </w:rPr>
        <w:t>Zajištění spravedlivých míst spočívá v cílených opatřeních založených na místních podmínkách</w:t>
      </w:r>
      <w:r>
        <w:rPr>
          <w:rStyle w:val="normaltextrun"/>
          <w:noProof/>
        </w:rPr>
        <w:t xml:space="preserve"> – </w:t>
      </w:r>
      <w:r>
        <w:rPr>
          <w:rStyle w:val="normaltextrun"/>
          <w:b/>
          <w:noProof/>
        </w:rPr>
        <w:t>prováděných ve spolupráci s místními a regionálními orgány –</w:t>
      </w:r>
      <w:r>
        <w:rPr>
          <w:rStyle w:val="normaltextrun"/>
          <w:noProof/>
        </w:rPr>
        <w:t>, která posilují příležitosti pro mladší generace, podporují zdravé a aktivní stárnutí v rámci místních komunit, napomáhají výměně zkušeností mezi jednotlivými územími a propagují iniciativy, které upevňují mezigenerační vazby v rámci komunit.</w:t>
      </w:r>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DAE9F7" w:themeFill="text2" w:themeFillTint="1A"/>
        <w:tblLook w:val="04A0" w:firstRow="1" w:lastRow="0" w:firstColumn="1" w:lastColumn="0" w:noHBand="0" w:noVBand="1"/>
      </w:tblPr>
      <w:tblGrid>
        <w:gridCol w:w="9016"/>
      </w:tblGrid>
      <w:tr w:rsidR="00A70A62" w:rsidRPr="00A64F36" w14:paraId="32BD5889" w14:textId="77777777" w:rsidTr="7EB3A829">
        <w:tc>
          <w:tcPr>
            <w:tcW w:w="9016" w:type="dxa"/>
            <w:shd w:val="clear" w:color="auto" w:fill="DAE9F7" w:themeFill="text2" w:themeFillTint="1A"/>
          </w:tcPr>
          <w:p w14:paraId="059247D6" w14:textId="77777777" w:rsidR="00A70A62" w:rsidRPr="00A64F36" w:rsidRDefault="00A70A62" w:rsidP="00234C09">
            <w:pPr>
              <w:rPr>
                <w:rFonts w:ascii="Times New Roman" w:eastAsia="Times New Roman" w:hAnsi="Times New Roman" w:cs="Times New Roman"/>
                <w:b/>
                <w:bCs/>
                <w:noProof/>
                <w:color w:val="0070C0"/>
              </w:rPr>
            </w:pPr>
            <w:r>
              <w:rPr>
                <w:rFonts w:ascii="Times New Roman" w:hAnsi="Times New Roman"/>
                <w:b/>
                <w:noProof/>
                <w:color w:val="0070C0"/>
              </w:rPr>
              <w:t xml:space="preserve">Na podporu </w:t>
            </w:r>
            <w:r>
              <w:rPr>
                <w:rFonts w:ascii="Times New Roman" w:hAnsi="Times New Roman"/>
                <w:b/>
                <w:i/>
                <w:noProof/>
                <w:color w:val="0070C0"/>
              </w:rPr>
              <w:t>spravedlivých míst</w:t>
            </w:r>
            <w:r>
              <w:rPr>
                <w:rFonts w:ascii="Times New Roman" w:hAnsi="Times New Roman"/>
                <w:b/>
                <w:noProof/>
                <w:color w:val="0070C0"/>
              </w:rPr>
              <w:t xml:space="preserve"> Komise:</w:t>
            </w:r>
          </w:p>
          <w:p w14:paraId="57DA8ECB" w14:textId="77777777" w:rsidR="00A70A62" w:rsidRPr="00A64F36" w:rsidRDefault="00A70A62" w:rsidP="00234C09">
            <w:pPr>
              <w:spacing w:line="257" w:lineRule="auto"/>
              <w:rPr>
                <w:rFonts w:ascii="Times New Roman" w:eastAsia="Times New Roman" w:hAnsi="Times New Roman" w:cs="Times New Roman"/>
                <w:noProof/>
              </w:rPr>
            </w:pPr>
          </w:p>
          <w:p w14:paraId="76A4E878" w14:textId="13FA7F2A" w:rsidR="00A70A62" w:rsidRPr="00A64F36" w:rsidRDefault="00A70A62" w:rsidP="00A70A62">
            <w:pPr>
              <w:pStyle w:val="ListParagraph"/>
              <w:numPr>
                <w:ilvl w:val="0"/>
                <w:numId w:val="6"/>
              </w:numPr>
              <w:spacing w:line="257" w:lineRule="auto"/>
              <w:jc w:val="both"/>
              <w:rPr>
                <w:rFonts w:ascii="Times New Roman" w:eastAsia="Times New Roman" w:hAnsi="Times New Roman" w:cs="Times New Roman"/>
                <w:noProof/>
                <w:color w:val="000000" w:themeColor="text1"/>
              </w:rPr>
            </w:pPr>
            <w:bookmarkStart w:id="5" w:name="_Hlk221892338"/>
            <w:r>
              <w:rPr>
                <w:rFonts w:ascii="Times New Roman" w:hAnsi="Times New Roman"/>
                <w:b/>
                <w:noProof/>
                <w:color w:val="000000" w:themeColor="text1"/>
              </w:rPr>
              <w:t xml:space="preserve">zahájí </w:t>
            </w:r>
            <w:r>
              <w:rPr>
                <w:rFonts w:ascii="Times New Roman" w:hAnsi="Times New Roman"/>
                <w:b/>
                <w:i/>
                <w:noProof/>
                <w:color w:val="000000" w:themeColor="text1"/>
              </w:rPr>
              <w:t xml:space="preserve">iniciativu „Voices of the Future“ </w:t>
            </w:r>
            <w:r>
              <w:rPr>
                <w:rFonts w:ascii="Times New Roman" w:hAnsi="Times New Roman"/>
                <w:noProof/>
                <w:color w:val="000000" w:themeColor="text1"/>
              </w:rPr>
              <w:t>ve spolupráci s Výborem regionů, která vyzývá místní a regionální orgány, aby se zapojily do utváření budoucnosti svých regionů (oznámeno v rámci Evropského štítu pro demokracii)</w:t>
            </w:r>
            <w:r w:rsidR="000E0D5C">
              <w:rPr>
                <w:rFonts w:ascii="Times New Roman" w:hAnsi="Times New Roman"/>
                <w:noProof/>
                <w:color w:val="000000" w:themeColor="text1"/>
              </w:rPr>
              <w:t>;</w:t>
            </w:r>
          </w:p>
          <w:bookmarkEnd w:id="5"/>
          <w:p w14:paraId="2EE05826" w14:textId="10D34A31" w:rsidR="00A70A62" w:rsidRPr="00A64F36" w:rsidRDefault="00A70A62" w:rsidP="00A70A62">
            <w:pPr>
              <w:pStyle w:val="ListParagraph"/>
              <w:numPr>
                <w:ilvl w:val="0"/>
                <w:numId w:val="6"/>
              </w:numPr>
              <w:jc w:val="both"/>
              <w:rPr>
                <w:rFonts w:ascii="Times New Roman" w:eastAsia="Times New Roman" w:hAnsi="Times New Roman" w:cs="Times New Roman"/>
                <w:noProof/>
                <w:color w:val="000000" w:themeColor="text1"/>
              </w:rPr>
            </w:pPr>
            <w:r>
              <w:rPr>
                <w:rFonts w:ascii="Times New Roman" w:hAnsi="Times New Roman"/>
                <w:b/>
                <w:noProof/>
                <w:color w:val="000000" w:themeColor="text1"/>
              </w:rPr>
              <w:t>bude posilovat inspiraci, propojení a vzájemnou péči</w:t>
            </w:r>
            <w:r>
              <w:rPr>
                <w:rFonts w:ascii="Times New Roman" w:hAnsi="Times New Roman"/>
                <w:noProof/>
                <w:color w:val="000000" w:themeColor="text1"/>
              </w:rPr>
              <w:t xml:space="preserve"> </w:t>
            </w:r>
            <w:r>
              <w:rPr>
                <w:rFonts w:ascii="Times New Roman" w:hAnsi="Times New Roman"/>
                <w:i/>
                <w:noProof/>
                <w:color w:val="000000" w:themeColor="text1"/>
              </w:rPr>
              <w:t xml:space="preserve">budováním mezigeneračních partnerství </w:t>
            </w:r>
            <w:r>
              <w:rPr>
                <w:rFonts w:ascii="Times New Roman" w:hAnsi="Times New Roman"/>
                <w:noProof/>
                <w:color w:val="000000" w:themeColor="text1"/>
              </w:rPr>
              <w:t xml:space="preserve">s knihovnami, muzei, sportovními organizacemi a komunitními centry, ale i kulturními, akademickými, kreativními a perspektivními programy, jako jsou: </w:t>
            </w:r>
          </w:p>
          <w:p w14:paraId="4AB9CF66" w14:textId="26BD723C" w:rsidR="00432272" w:rsidRPr="00B22CB0" w:rsidRDefault="00432272" w:rsidP="00973910">
            <w:pPr>
              <w:pStyle w:val="ListParagraph"/>
              <w:numPr>
                <w:ilvl w:val="0"/>
                <w:numId w:val="12"/>
              </w:numPr>
              <w:jc w:val="both"/>
              <w:rPr>
                <w:rFonts w:ascii="Times New Roman" w:eastAsia="Times New Roman" w:hAnsi="Times New Roman" w:cs="Times New Roman"/>
                <w:noProof/>
                <w:color w:val="000000" w:themeColor="text1"/>
              </w:rPr>
            </w:pPr>
            <w:r>
              <w:rPr>
                <w:rFonts w:ascii="Times New Roman" w:hAnsi="Times New Roman"/>
                <w:noProof/>
              </w:rPr>
              <w:t xml:space="preserve">podpora mezigeneračních kulturních výměn a začleňování v souladu s </w:t>
            </w:r>
            <w:r>
              <w:rPr>
                <w:rStyle w:val="Strong"/>
                <w:rFonts w:ascii="Times New Roman" w:hAnsi="Times New Roman"/>
                <w:b w:val="0"/>
                <w:noProof/>
              </w:rPr>
              <w:t>Kulturním kompasem pro Evropu</w:t>
            </w:r>
            <w:r w:rsidR="000E0D5C">
              <w:rPr>
                <w:rStyle w:val="Strong"/>
                <w:rFonts w:ascii="Times New Roman" w:hAnsi="Times New Roman"/>
                <w:b w:val="0"/>
                <w:noProof/>
              </w:rPr>
              <w:t>;</w:t>
            </w:r>
          </w:p>
          <w:p w14:paraId="6FA27568" w14:textId="01047426" w:rsidR="00A70A62" w:rsidRPr="00B22CB0" w:rsidRDefault="00A70A62" w:rsidP="00973910">
            <w:pPr>
              <w:pStyle w:val="ListParagraph"/>
              <w:numPr>
                <w:ilvl w:val="0"/>
                <w:numId w:val="12"/>
              </w:numPr>
              <w:jc w:val="both"/>
              <w:rPr>
                <w:rFonts w:ascii="Times New Roman" w:eastAsia="Times New Roman" w:hAnsi="Times New Roman" w:cs="Times New Roman"/>
                <w:noProof/>
                <w:color w:val="000000" w:themeColor="text1"/>
              </w:rPr>
            </w:pPr>
            <w:r>
              <w:rPr>
                <w:rFonts w:ascii="Times New Roman" w:hAnsi="Times New Roman"/>
                <w:noProof/>
                <w:color w:val="000000" w:themeColor="text1"/>
              </w:rPr>
              <w:t>zdůraznění inkluzivních, přístupných a udržitelných dopravních řešení pro všechny generace prostřednictvím Evropského týdne mobility 2026</w:t>
            </w:r>
            <w:r w:rsidR="000E0D5C">
              <w:rPr>
                <w:rFonts w:ascii="Times New Roman" w:hAnsi="Times New Roman"/>
                <w:noProof/>
                <w:color w:val="000000" w:themeColor="text1"/>
              </w:rPr>
              <w:t>;</w:t>
            </w:r>
          </w:p>
          <w:p w14:paraId="467EFB2F" w14:textId="4C469395" w:rsidR="00A70A62" w:rsidRPr="00A64F36" w:rsidRDefault="00A70A62" w:rsidP="00973910">
            <w:pPr>
              <w:pStyle w:val="ListParagraph"/>
              <w:numPr>
                <w:ilvl w:val="0"/>
                <w:numId w:val="12"/>
              </w:numPr>
              <w:jc w:val="both"/>
              <w:rPr>
                <w:rFonts w:ascii="Times New Roman" w:eastAsia="Times New Roman" w:hAnsi="Times New Roman" w:cs="Times New Roman"/>
                <w:noProof/>
              </w:rPr>
            </w:pPr>
            <w:r>
              <w:rPr>
                <w:rFonts w:ascii="Times New Roman" w:hAnsi="Times New Roman"/>
                <w:noProof/>
              </w:rPr>
              <w:t>podpora mezigeneračních aktivit prostřednictvím sportu, zejména iniciativ, které spojují generace a umožňují snadnější přístup ke sportu a pohybovým aktivitám pro všechny věkové kategorie – s oceněním #BeActive EU Sport v kategorii „napříč generacemi“</w:t>
            </w:r>
            <w:r w:rsidR="000E0D5C">
              <w:rPr>
                <w:rFonts w:ascii="Times New Roman" w:hAnsi="Times New Roman"/>
                <w:noProof/>
              </w:rPr>
              <w:t>;</w:t>
            </w:r>
          </w:p>
          <w:p w14:paraId="10772334" w14:textId="4FBB74F8" w:rsidR="00A70A62" w:rsidRPr="00A64F36" w:rsidRDefault="005F1423" w:rsidP="00A70A62">
            <w:pPr>
              <w:pStyle w:val="ListParagraph"/>
              <w:numPr>
                <w:ilvl w:val="0"/>
                <w:numId w:val="6"/>
              </w:numPr>
              <w:spacing w:line="257" w:lineRule="auto"/>
              <w:jc w:val="both"/>
              <w:rPr>
                <w:rFonts w:ascii="Times New Roman" w:eastAsia="Times New Roman" w:hAnsi="Times New Roman" w:cs="Times New Roman"/>
                <w:noProof/>
                <w:color w:val="000000" w:themeColor="text1"/>
              </w:rPr>
            </w:pPr>
            <w:r>
              <w:rPr>
                <w:rFonts w:ascii="Times New Roman" w:hAnsi="Times New Roman"/>
                <w:b/>
                <w:noProof/>
                <w:color w:val="000000" w:themeColor="text1"/>
              </w:rPr>
              <w:t>bude chránit a obnovovat veřejné prostory s cílem posílit sociální soudržnost a udržitelnost</w:t>
            </w:r>
            <w:r>
              <w:rPr>
                <w:rFonts w:ascii="Times New Roman" w:hAnsi="Times New Roman"/>
                <w:noProof/>
                <w:color w:val="000000" w:themeColor="text1"/>
              </w:rPr>
              <w:t xml:space="preserve"> prostřednictvím </w:t>
            </w:r>
            <w:r>
              <w:rPr>
                <w:rFonts w:ascii="Times New Roman" w:hAnsi="Times New Roman"/>
                <w:i/>
                <w:noProof/>
                <w:color w:val="000000" w:themeColor="text1"/>
              </w:rPr>
              <w:t xml:space="preserve">iniciativy Nový evropský Bauhaus </w:t>
            </w:r>
            <w:r>
              <w:rPr>
                <w:rFonts w:ascii="Times New Roman" w:hAnsi="Times New Roman"/>
                <w:noProof/>
                <w:color w:val="000000" w:themeColor="text1"/>
              </w:rPr>
              <w:t>a jejích komunitně vedených aktivit a prostřednictvím znalosti úlohy veřejných prostor pro demokratickou odolnost.</w:t>
            </w:r>
          </w:p>
          <w:p w14:paraId="7AB9534B" w14:textId="569F3669" w:rsidR="00A70A62" w:rsidRPr="00A64F36" w:rsidRDefault="00A70A62" w:rsidP="00234C09">
            <w:pPr>
              <w:rPr>
                <w:rFonts w:ascii="Times New Roman" w:eastAsia="Times New Roman" w:hAnsi="Times New Roman" w:cs="Times New Roman"/>
                <w:i/>
                <w:iCs/>
                <w:noProof/>
                <w:color w:val="111111"/>
              </w:rPr>
            </w:pPr>
          </w:p>
        </w:tc>
      </w:tr>
    </w:tbl>
    <w:p w14:paraId="24FA5604" w14:textId="77777777" w:rsidR="00A70A62" w:rsidRPr="000E0D5C" w:rsidRDefault="00A70A62" w:rsidP="00A70A62">
      <w:pPr>
        <w:pStyle w:val="NormalWeb"/>
        <w:spacing w:before="0" w:beforeAutospacing="0" w:after="210" w:afterAutospacing="0"/>
        <w:jc w:val="both"/>
        <w:rPr>
          <w:noProof/>
        </w:rPr>
      </w:pPr>
    </w:p>
    <w:tbl>
      <w:tblPr>
        <w:tblStyle w:val="TableGridLight"/>
        <w:tblW w:w="0" w:type="auto"/>
        <w:tblLook w:val="04A0" w:firstRow="1" w:lastRow="0" w:firstColumn="1" w:lastColumn="0" w:noHBand="0" w:noVBand="1"/>
      </w:tblPr>
      <w:tblGrid>
        <w:gridCol w:w="9016"/>
      </w:tblGrid>
      <w:tr w:rsidR="00A70A62" w:rsidRPr="00A64F36" w14:paraId="5B35FEA2" w14:textId="77777777" w:rsidTr="1A16B2EB">
        <w:tc>
          <w:tcPr>
            <w:tcW w:w="9016"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2C28D8D" w14:textId="7CE5C007" w:rsidR="00A70A62" w:rsidRPr="00A64F36" w:rsidRDefault="34349891" w:rsidP="1A16B2EB">
            <w:pPr>
              <w:spacing w:line="276" w:lineRule="auto"/>
              <w:rPr>
                <w:rFonts w:ascii="Times New Roman" w:eastAsia="Times New Roman" w:hAnsi="Times New Roman" w:cs="Times New Roman"/>
                <w:b/>
                <w:bCs/>
                <w:noProof/>
                <w:sz w:val="20"/>
                <w:szCs w:val="20"/>
              </w:rPr>
            </w:pPr>
            <w:r>
              <w:rPr>
                <w:rFonts w:ascii="Times New Roman" w:hAnsi="Times New Roman"/>
                <w:b/>
                <w:noProof/>
                <w:sz w:val="20"/>
              </w:rPr>
              <w:t xml:space="preserve">Inspirativní postupy v členských státech EU </w:t>
            </w:r>
          </w:p>
          <w:p w14:paraId="6CBD399B" w14:textId="77777777" w:rsidR="00A70A62" w:rsidRPr="000E0D5C" w:rsidRDefault="00A70A62" w:rsidP="00234C09">
            <w:pPr>
              <w:spacing w:line="276" w:lineRule="auto"/>
              <w:rPr>
                <w:rFonts w:ascii="Times New Roman" w:eastAsia="Times New Roman" w:hAnsi="Times New Roman" w:cs="Times New Roman"/>
                <w:b/>
                <w:bCs/>
                <w:noProof/>
                <w:sz w:val="20"/>
                <w:szCs w:val="20"/>
              </w:rPr>
            </w:pPr>
          </w:p>
          <w:p w14:paraId="3257D1EA" w14:textId="77777777" w:rsidR="00A70A62" w:rsidRPr="00A64F36" w:rsidRDefault="00A70A62" w:rsidP="00A70A62">
            <w:pPr>
              <w:pStyle w:val="ListParagraph"/>
              <w:numPr>
                <w:ilvl w:val="0"/>
                <w:numId w:val="3"/>
              </w:numPr>
              <w:spacing w:line="276" w:lineRule="auto"/>
              <w:jc w:val="both"/>
              <w:rPr>
                <w:rFonts w:ascii="Times New Roman" w:eastAsia="Times New Roman" w:hAnsi="Times New Roman" w:cs="Times New Roman"/>
                <w:noProof/>
                <w:color w:val="000000" w:themeColor="text1"/>
                <w:sz w:val="20"/>
                <w:szCs w:val="20"/>
              </w:rPr>
            </w:pPr>
            <w:r>
              <w:rPr>
                <w:rFonts w:ascii="Times New Roman" w:hAnsi="Times New Roman"/>
                <w:b/>
                <w:noProof/>
                <w:color w:val="000000" w:themeColor="text1"/>
                <w:sz w:val="20"/>
              </w:rPr>
              <w:t>Projekt Phōnē</w:t>
            </w:r>
            <w:r>
              <w:rPr>
                <w:rFonts w:ascii="Times New Roman" w:hAnsi="Times New Roman"/>
                <w:noProof/>
                <w:color w:val="000000" w:themeColor="text1"/>
                <w:sz w:val="20"/>
              </w:rPr>
              <w:t xml:space="preserve"> – Giving Minority Languages a Voice se</w:t>
            </w:r>
            <w:r>
              <w:rPr>
                <w:rFonts w:ascii="Times New Roman" w:hAnsi="Times New Roman"/>
                <w:b/>
                <w:noProof/>
                <w:color w:val="000000" w:themeColor="text1"/>
                <w:sz w:val="20"/>
              </w:rPr>
              <w:t xml:space="preserve"> po celé Evropě</w:t>
            </w:r>
            <w:r>
              <w:rPr>
                <w:rFonts w:ascii="Times New Roman" w:hAnsi="Times New Roman"/>
                <w:noProof/>
                <w:color w:val="000000" w:themeColor="text1"/>
                <w:sz w:val="20"/>
              </w:rPr>
              <w:t xml:space="preserve"> zaměřuje na podporu kulturní a jazykové rozmanitosti prostřednictvím propojování mluvčích menšinových jazyků v Evropě, podpory mezigeneračního vyprávění příběhů a komunitních divadelních představení.</w:t>
            </w:r>
          </w:p>
          <w:p w14:paraId="6E1CD958" w14:textId="77777777" w:rsidR="00A70A62" w:rsidRPr="00A64F36" w:rsidRDefault="00A70A62" w:rsidP="00A70A62">
            <w:pPr>
              <w:pStyle w:val="ListParagraph"/>
              <w:numPr>
                <w:ilvl w:val="0"/>
                <w:numId w:val="3"/>
              </w:numPr>
              <w:spacing w:line="276" w:lineRule="auto"/>
              <w:jc w:val="both"/>
              <w:rPr>
                <w:rFonts w:ascii="Times New Roman" w:eastAsia="Times New Roman" w:hAnsi="Times New Roman" w:cs="Times New Roman"/>
                <w:noProof/>
                <w:color w:val="000000" w:themeColor="text1"/>
                <w:sz w:val="20"/>
                <w:szCs w:val="20"/>
              </w:rPr>
            </w:pPr>
            <w:r>
              <w:rPr>
                <w:rFonts w:ascii="Times New Roman" w:hAnsi="Times New Roman"/>
                <w:b/>
                <w:noProof/>
                <w:color w:val="000000" w:themeColor="text1"/>
                <w:sz w:val="20"/>
              </w:rPr>
              <w:t>Ve Slovinsku</w:t>
            </w:r>
            <w:r>
              <w:rPr>
                <w:rFonts w:ascii="Times New Roman" w:hAnsi="Times New Roman"/>
                <w:noProof/>
                <w:color w:val="000000" w:themeColor="text1"/>
                <w:sz w:val="20"/>
              </w:rPr>
              <w:t xml:space="preserve"> jsou v rámci projektu </w:t>
            </w:r>
            <w:r>
              <w:rPr>
                <w:rFonts w:ascii="Times New Roman" w:hAnsi="Times New Roman"/>
                <w:b/>
                <w:noProof/>
                <w:color w:val="000000" w:themeColor="text1"/>
                <w:sz w:val="20"/>
              </w:rPr>
              <w:t>Puls evropské literatury</w:t>
            </w:r>
            <w:r>
              <w:rPr>
                <w:rFonts w:ascii="Times New Roman" w:hAnsi="Times New Roman"/>
                <w:noProof/>
                <w:color w:val="000000" w:themeColor="text1"/>
                <w:sz w:val="20"/>
              </w:rPr>
              <w:t xml:space="preserve"> překládána a propagována současná evropská díla s cílem podpořit evropskou identitu a inkluzivitu a zapojit publikum všech věkových kategorií prostřednictvím mezigenerační spolupráce a digitálních médií.</w:t>
            </w:r>
          </w:p>
          <w:p w14:paraId="63CAEEEA" w14:textId="65831CB1" w:rsidR="00A70A62" w:rsidRPr="00A64F36" w:rsidRDefault="00A70A62" w:rsidP="00A70A62">
            <w:pPr>
              <w:pStyle w:val="ListParagraph"/>
              <w:numPr>
                <w:ilvl w:val="0"/>
                <w:numId w:val="3"/>
              </w:numPr>
              <w:spacing w:line="276" w:lineRule="auto"/>
              <w:jc w:val="both"/>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 xml:space="preserve">Program </w:t>
            </w:r>
            <w:r>
              <w:rPr>
                <w:rFonts w:ascii="Times New Roman" w:hAnsi="Times New Roman"/>
                <w:b/>
                <w:noProof/>
                <w:color w:val="000000" w:themeColor="text1"/>
                <w:sz w:val="20"/>
              </w:rPr>
              <w:t>Dobrovolníci evropského dědictví</w:t>
            </w:r>
            <w:r>
              <w:rPr>
                <w:rFonts w:ascii="Times New Roman" w:hAnsi="Times New Roman"/>
                <w:noProof/>
                <w:color w:val="000000" w:themeColor="text1"/>
                <w:sz w:val="20"/>
              </w:rPr>
              <w:t xml:space="preserve"> oživuje památky </w:t>
            </w:r>
            <w:r>
              <w:rPr>
                <w:rFonts w:ascii="Times New Roman" w:hAnsi="Times New Roman"/>
                <w:b/>
                <w:noProof/>
                <w:color w:val="000000" w:themeColor="text1"/>
                <w:sz w:val="20"/>
              </w:rPr>
              <w:t>po celé Evropě</w:t>
            </w:r>
            <w:r>
              <w:rPr>
                <w:rFonts w:ascii="Times New Roman" w:hAnsi="Times New Roman"/>
                <w:noProof/>
                <w:color w:val="000000" w:themeColor="text1"/>
                <w:sz w:val="20"/>
              </w:rPr>
              <w:t xml:space="preserve"> prostřednictvím vzdělávacích kurzů „Tradiční řemesla v praxi“, propojuje generace a kultury a představuje udržitelné postupy v oblasti dědictví pro zajištění odolnosti vůči změně klimatu.</w:t>
            </w:r>
          </w:p>
          <w:p w14:paraId="7B3C8136" w14:textId="71F0A0E4" w:rsidR="00A70A62" w:rsidRPr="00A64F36" w:rsidRDefault="00A70A62" w:rsidP="00A70A62">
            <w:pPr>
              <w:numPr>
                <w:ilvl w:val="0"/>
                <w:numId w:val="3"/>
              </w:numPr>
              <w:spacing w:line="276" w:lineRule="auto"/>
              <w:jc w:val="both"/>
              <w:rPr>
                <w:rFonts w:ascii="Times New Roman" w:eastAsia="Times New Roman" w:hAnsi="Times New Roman" w:cs="Times New Roman"/>
                <w:noProof/>
                <w:color w:val="000000" w:themeColor="text1"/>
                <w:sz w:val="20"/>
                <w:szCs w:val="20"/>
              </w:rPr>
            </w:pPr>
            <w:r>
              <w:rPr>
                <w:rFonts w:ascii="Times New Roman" w:hAnsi="Times New Roman"/>
                <w:b/>
                <w:noProof/>
                <w:color w:val="000000" w:themeColor="text1"/>
                <w:sz w:val="20"/>
              </w:rPr>
              <w:t>Ve Francii projekt „La république des hyper voisins“</w:t>
            </w:r>
            <w:r>
              <w:rPr>
                <w:rFonts w:ascii="Times New Roman" w:hAnsi="Times New Roman"/>
                <w:noProof/>
                <w:color w:val="000000" w:themeColor="text1"/>
                <w:sz w:val="20"/>
              </w:rPr>
              <w:t xml:space="preserve"> sdružuje obyvatele jedné pařížské čtvrti, kteří jednou ročně uspořádají akci, při níž jsou všichni pozváni ke společnému jídlu na ulici.</w:t>
            </w:r>
          </w:p>
        </w:tc>
      </w:tr>
    </w:tbl>
    <w:p w14:paraId="67D38B71" w14:textId="77777777" w:rsidR="007D1A56" w:rsidRPr="000E0D5C" w:rsidRDefault="007D1A56" w:rsidP="00B22CB0">
      <w:pPr>
        <w:rPr>
          <w:rFonts w:ascii="Times New Roman" w:hAnsi="Times New Roman" w:cs="Times New Roman"/>
          <w:noProof/>
        </w:rPr>
      </w:pPr>
    </w:p>
    <w:p w14:paraId="79ACBF2C" w14:textId="58FFC91F" w:rsidR="00A70A62" w:rsidRPr="00A64F36" w:rsidRDefault="00A70A62" w:rsidP="00A70A62">
      <w:pPr>
        <w:pStyle w:val="Heading2"/>
        <w:numPr>
          <w:ilvl w:val="0"/>
          <w:numId w:val="2"/>
        </w:numPr>
        <w:tabs>
          <w:tab w:val="num" w:pos="360"/>
        </w:tabs>
        <w:ind w:left="0" w:firstLine="0"/>
        <w:rPr>
          <w:rFonts w:ascii="Times New Roman" w:eastAsia="Times New Roman" w:hAnsi="Times New Roman" w:cs="Times New Roman"/>
          <w:b/>
          <w:bCs/>
          <w:noProof/>
          <w:color w:val="0070C0"/>
        </w:rPr>
      </w:pPr>
      <w:r>
        <w:rPr>
          <w:rFonts w:ascii="Times New Roman" w:hAnsi="Times New Roman"/>
          <w:b/>
          <w:noProof/>
          <w:color w:val="0070C0"/>
        </w:rPr>
        <w:t>Začleňování mezigenerační spravedlnosti do politik EU</w:t>
      </w:r>
    </w:p>
    <w:p w14:paraId="732EF20B" w14:textId="5F6BA845" w:rsidR="00A70A62" w:rsidRPr="00A64F36" w:rsidRDefault="00A70A62" w:rsidP="00A70A62">
      <w:pPr>
        <w:spacing w:line="240" w:lineRule="auto"/>
        <w:jc w:val="both"/>
        <w:rPr>
          <w:rFonts w:ascii="Times New Roman" w:eastAsia="Times New Roman" w:hAnsi="Times New Roman" w:cs="Times New Roman"/>
          <w:noProof/>
        </w:rPr>
      </w:pPr>
      <w:r>
        <w:rPr>
          <w:rFonts w:ascii="Times New Roman" w:hAnsi="Times New Roman"/>
          <w:b/>
          <w:noProof/>
        </w:rPr>
        <w:t>Mezigenerační spravedlnost není novou oblastí politiky.</w:t>
      </w:r>
      <w:r>
        <w:rPr>
          <w:rFonts w:ascii="Times New Roman" w:hAnsi="Times New Roman"/>
          <w:noProof/>
        </w:rPr>
        <w:t xml:space="preserve"> Je to výzva k jasnějšímu pohledu na dlouhodobé důsledky stávajících rozhodnutí a k zajištění toho, aby se náklady, rizika nebo omezení našich v současnosti přijatých rozhodnutí nepřenášely z jedné generace na druhou. </w:t>
      </w:r>
    </w:p>
    <w:p w14:paraId="43E14E37" w14:textId="7835BCED" w:rsidR="00E8298A" w:rsidRPr="00A64F36" w:rsidRDefault="0087013B" w:rsidP="00E8298A">
      <w:pPr>
        <w:spacing w:line="240" w:lineRule="auto"/>
        <w:jc w:val="both"/>
        <w:rPr>
          <w:rFonts w:ascii="Times New Roman" w:eastAsia="Times New Roman" w:hAnsi="Times New Roman" w:cs="Times New Roman"/>
          <w:noProof/>
        </w:rPr>
      </w:pPr>
      <w:r>
        <w:rPr>
          <w:rFonts w:ascii="Times New Roman" w:hAnsi="Times New Roman"/>
          <w:b/>
          <w:noProof/>
        </w:rPr>
        <w:t>Jedním z klíčových cílů této strategie je začlenění mezigenerační spravedlnosti do tvorby politik</w:t>
      </w:r>
      <w:r>
        <w:rPr>
          <w:rFonts w:ascii="Times New Roman" w:hAnsi="Times New Roman"/>
          <w:noProof/>
        </w:rPr>
        <w:t xml:space="preserve">. Pokud není systematicky zohledňována při navrhování, provádění a hodnocení politik, nemůže být účinná. Mezigenerační spravedlnost by proto neměla být považována za samostatnou oblast politiky, ale za hlavní zásadu, která je základem všech našich politik a výdajů. To vyžaduje, mimo jiné, abychom mladé lidi chránili nejen prostřednictvím inteligentních investic, ale tím, že zajistíme, aby nezůstali zatíženi dluhy minulosti. To vyžaduje nástroje, které zajistí, že reformy, které v současnosti zahájíme, budou navrhovány s ohledem na svůj dlouhodobý dopad. Je rovněž nutné zajistit, aby byly zájmy seniorů začleněny do tvorby politik. Tento přístup se odráží ve </w:t>
      </w:r>
      <w:r>
        <w:rPr>
          <w:rFonts w:ascii="Times New Roman" w:hAnsi="Times New Roman"/>
          <w:i/>
          <w:noProof/>
        </w:rPr>
        <w:t>víceletém finančním rámci</w:t>
      </w:r>
      <w:r>
        <w:rPr>
          <w:rFonts w:ascii="Times New Roman" w:hAnsi="Times New Roman"/>
          <w:noProof/>
        </w:rPr>
        <w:t xml:space="preserve"> (zejména prostřednictvím Evropského sociálního fondu plus)</w:t>
      </w:r>
      <w:r>
        <w:rPr>
          <w:rStyle w:val="FootnoteReference"/>
          <w:rFonts w:ascii="Times New Roman" w:eastAsia="Times New Roman" w:hAnsi="Times New Roman" w:cs="Times New Roman"/>
          <w:noProof/>
        </w:rPr>
        <w:footnoteReference w:id="29"/>
      </w:r>
      <w:r>
        <w:rPr>
          <w:rFonts w:ascii="Times New Roman" w:hAnsi="Times New Roman"/>
          <w:i/>
          <w:noProof/>
        </w:rPr>
        <w:t xml:space="preserve"> </w:t>
      </w:r>
      <w:r>
        <w:rPr>
          <w:rFonts w:ascii="Times New Roman" w:hAnsi="Times New Roman"/>
          <w:noProof/>
        </w:rPr>
        <w:t xml:space="preserve">nebo v </w:t>
      </w:r>
      <w:r>
        <w:rPr>
          <w:rFonts w:ascii="Times New Roman" w:hAnsi="Times New Roman"/>
          <w:i/>
          <w:noProof/>
        </w:rPr>
        <w:t>evropském semestru</w:t>
      </w:r>
      <w:r>
        <w:rPr>
          <w:rFonts w:ascii="Times New Roman" w:hAnsi="Times New Roman"/>
          <w:noProof/>
        </w:rPr>
        <w:t>, který je rámcem pro koordinaci hospodářské politiky a politiky zaměstnanosti v EU, a to přijetím dlouhodobých reforem, které jsou přiměřené a udržitelné. V tomto rámci může jít Evropská komise – jako zaměstnavatel – příkladem, a to posílením svého závazku nulové tolerance diskriminace na základě věku a podporou mezigenerační spolupráce na pracovišti.</w:t>
      </w:r>
    </w:p>
    <w:p w14:paraId="406E9ED9" w14:textId="36DBE355" w:rsidR="00A70A62" w:rsidRPr="00A64F36" w:rsidRDefault="00A70A62" w:rsidP="00A70A62">
      <w:pPr>
        <w:spacing w:line="240" w:lineRule="auto"/>
        <w:jc w:val="both"/>
        <w:rPr>
          <w:rFonts w:ascii="Times New Roman" w:eastAsia="Times New Roman" w:hAnsi="Times New Roman" w:cs="Times New Roman"/>
          <w:noProof/>
        </w:rPr>
      </w:pPr>
      <w:r>
        <w:rPr>
          <w:rFonts w:ascii="Times New Roman" w:hAnsi="Times New Roman"/>
          <w:b/>
          <w:noProof/>
        </w:rPr>
        <w:t>EU již jedná v mnoha oblastech s myšlenkou přinášet významné dlouhodobé účinky.</w:t>
      </w:r>
      <w:r>
        <w:rPr>
          <w:rFonts w:ascii="Times New Roman" w:hAnsi="Times New Roman"/>
          <w:noProof/>
        </w:rPr>
        <w:t xml:space="preserve"> Účelem tohoto oddílu je tudíž zdůraznit, v jakých oblastech začlenění mezigenerační perspektivy přináší jasnou přidanou hodnotu, posiluje soudržnost a podporuje trvalost a legitimitu činností EU s ohledem na její závazky v rámci Paktu pro budoucnost a Paktu o budoucích generacích.</w:t>
      </w:r>
    </w:p>
    <w:p w14:paraId="6A8CAB10" w14:textId="638F1EA3" w:rsidR="00774BD6" w:rsidRPr="00A64F36" w:rsidRDefault="00774BD6" w:rsidP="00774BD6">
      <w:pPr>
        <w:spacing w:line="240" w:lineRule="auto"/>
        <w:jc w:val="both"/>
        <w:rPr>
          <w:rFonts w:ascii="Times New Roman" w:eastAsia="Times New Roman" w:hAnsi="Times New Roman" w:cs="Times New Roman"/>
          <w:b/>
          <w:bCs/>
          <w:noProof/>
          <w:color w:val="0070C0"/>
          <w:sz w:val="28"/>
          <w:szCs w:val="28"/>
        </w:rPr>
      </w:pPr>
      <w:r>
        <w:rPr>
          <w:rFonts w:ascii="Times New Roman" w:hAnsi="Times New Roman"/>
          <w:b/>
          <w:noProof/>
          <w:color w:val="0070C0"/>
          <w:sz w:val="28"/>
        </w:rPr>
        <w:t xml:space="preserve">… budováním konkurenceschopnosti bez vyčerpání zdrojů </w:t>
      </w:r>
    </w:p>
    <w:p w14:paraId="318B7907" w14:textId="409DC057" w:rsidR="00774BD6" w:rsidRPr="00A64F36" w:rsidRDefault="00774BD6" w:rsidP="00774BD6">
      <w:pPr>
        <w:spacing w:line="240" w:lineRule="auto"/>
        <w:jc w:val="both"/>
        <w:rPr>
          <w:rFonts w:ascii="Times New Roman" w:eastAsia="Times New Roman" w:hAnsi="Times New Roman" w:cs="Times New Roman"/>
          <w:noProof/>
        </w:rPr>
      </w:pPr>
      <w:r>
        <w:rPr>
          <w:rFonts w:ascii="Times New Roman" w:hAnsi="Times New Roman"/>
          <w:b/>
          <w:noProof/>
        </w:rPr>
        <w:t>Mezigenerační spravedlnost závisí na schopnosti Evropy zůstat konkurenceschopnou, inovativní a ekonomicky odolnou v průběhu času.</w:t>
      </w:r>
      <w:r>
        <w:rPr>
          <w:rFonts w:ascii="Times New Roman" w:hAnsi="Times New Roman"/>
          <w:noProof/>
        </w:rPr>
        <w:t xml:space="preserve"> Aby byly zajištěny dobré životní podmínky budoucích generací, je třeba usilovat o takový růst, který nevyčerpá zdroje, na nichž tyto dobré životní podmínky závisí. Investice do průmyslových odvětví orientovaných na budoucnost vytvářejí v Evropě kvalitní pracovní místa, posilují udržitelnou konkurenceschopnost a podporují vedoucí strategickou autonomii a silnou, konkurenceschopnou ekonomiku. Pro kvalitní zaměstnanost a udržitelné veřejné finance jsou klíčové udržitelné hospodářské a průmyslové politiky, které podporují konkurenceschopné trhy. Investice do infrastruktury a inovativních společností jsou stejně důležité pro rozšíření příležitostí pro současné i budoucí generace</w:t>
      </w:r>
      <w:r>
        <w:rPr>
          <w:rFonts w:ascii="Times New Roman" w:eastAsia="Times New Roman" w:hAnsi="Times New Roman" w:cs="Times New Roman"/>
          <w:noProof/>
          <w:vertAlign w:val="superscript"/>
        </w:rPr>
        <w:footnoteReference w:id="30"/>
      </w:r>
      <w:r>
        <w:rPr>
          <w:rFonts w:ascii="Times New Roman" w:hAnsi="Times New Roman"/>
          <w:noProof/>
        </w:rPr>
        <w:t xml:space="preserve">. Podporou produktivity, strategické autonomie a rozvoje průmyslových odvětví orientovaných na budoucnost přispívá konkurenceschopnost k mezigenerační spravedlnosti tím, že zajišťuje, aby budoucí generace zdědily silné kapitálové, sociální a environmentální zdroje a robustní a přizpůsobivou hospodářskou základnu. </w:t>
      </w:r>
    </w:p>
    <w:p w14:paraId="70950B05" w14:textId="41EA1F67" w:rsidR="00765C68" w:rsidRPr="00A64F36" w:rsidRDefault="007D1A56" w:rsidP="00973910">
      <w:pPr>
        <w:keepNext/>
        <w:spacing w:line="240" w:lineRule="auto"/>
        <w:jc w:val="both"/>
        <w:rPr>
          <w:rFonts w:ascii="Times New Roman" w:eastAsia="Times New Roman" w:hAnsi="Times New Roman" w:cs="Times New Roman"/>
          <w:b/>
          <w:bCs/>
          <w:noProof/>
          <w:color w:val="0070C0"/>
          <w:sz w:val="28"/>
          <w:szCs w:val="28"/>
        </w:rPr>
      </w:pPr>
      <w:r>
        <w:rPr>
          <w:rFonts w:ascii="Times New Roman" w:hAnsi="Times New Roman"/>
          <w:b/>
          <w:noProof/>
          <w:color w:val="0070C0"/>
          <w:sz w:val="28"/>
        </w:rPr>
        <w:t>… investicemi do lidí a podporou silného evropského sociálního modelu</w:t>
      </w:r>
    </w:p>
    <w:p w14:paraId="49836F9B" w14:textId="626AA032" w:rsidR="007D1A56" w:rsidRPr="00A64F36" w:rsidRDefault="00A70A62" w:rsidP="00973910">
      <w:pPr>
        <w:keepNext/>
        <w:spacing w:line="240" w:lineRule="auto"/>
        <w:jc w:val="both"/>
        <w:rPr>
          <w:rFonts w:ascii="Times New Roman" w:eastAsia="Times New Roman" w:hAnsi="Times New Roman" w:cs="Times New Roman"/>
          <w:noProof/>
        </w:rPr>
      </w:pPr>
      <w:r>
        <w:rPr>
          <w:rFonts w:ascii="Times New Roman" w:hAnsi="Times New Roman"/>
          <w:b/>
          <w:noProof/>
        </w:rPr>
        <w:t>Mezigenerační spravedlnost je silná tam, kde politiky rozšiřují schopnost lidí zapojit se, přizpůsobovat a plánovat v průběhu celého života.</w:t>
      </w:r>
      <w:r>
        <w:rPr>
          <w:rFonts w:ascii="Times New Roman" w:hAnsi="Times New Roman"/>
          <w:noProof/>
        </w:rPr>
        <w:t xml:space="preserve"> To znamená silné systémy sociální ochrany a péče, díky kterým se každý a v každé fázi života může v případě potřeby spolehnout na podporu</w:t>
      </w:r>
      <w:r>
        <w:rPr>
          <w:rStyle w:val="FootnoteReference"/>
          <w:rFonts w:ascii="Times New Roman" w:eastAsia="Times New Roman" w:hAnsi="Times New Roman" w:cs="Times New Roman"/>
          <w:noProof/>
        </w:rPr>
        <w:footnoteReference w:id="31"/>
      </w:r>
      <w:r>
        <w:rPr>
          <w:noProof/>
        </w:rPr>
        <w:t>.</w:t>
      </w:r>
      <w:r>
        <w:rPr>
          <w:rFonts w:ascii="Times New Roman" w:hAnsi="Times New Roman"/>
          <w:noProof/>
        </w:rPr>
        <w:t xml:space="preserve"> </w:t>
      </w:r>
    </w:p>
    <w:p w14:paraId="7D819409" w14:textId="3E68975D" w:rsidR="00F170CB" w:rsidRDefault="00A70A62" w:rsidP="21381609">
      <w:pPr>
        <w:spacing w:line="240" w:lineRule="auto"/>
        <w:jc w:val="both"/>
        <w:rPr>
          <w:rFonts w:ascii="Times New Roman" w:eastAsia="Times New Roman" w:hAnsi="Times New Roman" w:cs="Times New Roman"/>
          <w:noProof/>
        </w:rPr>
      </w:pPr>
      <w:r>
        <w:rPr>
          <w:rFonts w:ascii="Times New Roman" w:hAnsi="Times New Roman"/>
          <w:b/>
          <w:noProof/>
        </w:rPr>
        <w:t>Dovednosti a celoživotní učení</w:t>
      </w:r>
      <w:r>
        <w:rPr>
          <w:rFonts w:ascii="Times New Roman" w:hAnsi="Times New Roman"/>
          <w:noProof/>
        </w:rPr>
        <w:t xml:space="preserve"> jsou klíčové pro zajištění toho, aby se všechny generace mohly přizpůsobit ekonomickým a technologickým změnám a zároveň umožnily starším pracovníkům zůstat aktivní. Iniciativy EU, jako jsou </w:t>
      </w:r>
      <w:r>
        <w:rPr>
          <w:rFonts w:ascii="Times New Roman" w:hAnsi="Times New Roman"/>
          <w:i/>
          <w:noProof/>
        </w:rPr>
        <w:t>unie dovedností</w:t>
      </w:r>
      <w:r>
        <w:rPr>
          <w:rFonts w:ascii="Times New Roman" w:hAnsi="Times New Roman"/>
          <w:noProof/>
        </w:rPr>
        <w:t xml:space="preserve"> a </w:t>
      </w:r>
      <w:r>
        <w:rPr>
          <w:rFonts w:ascii="Times New Roman" w:hAnsi="Times New Roman"/>
          <w:i/>
          <w:noProof/>
        </w:rPr>
        <w:t>Evropský prostor</w:t>
      </w:r>
      <w:r>
        <w:rPr>
          <w:rFonts w:ascii="Times New Roman" w:hAnsi="Times New Roman"/>
          <w:noProof/>
        </w:rPr>
        <w:t xml:space="preserve"> </w:t>
      </w:r>
      <w:r>
        <w:rPr>
          <w:rFonts w:ascii="Times New Roman" w:hAnsi="Times New Roman"/>
          <w:i/>
          <w:noProof/>
        </w:rPr>
        <w:t>vzdělávání</w:t>
      </w:r>
      <w:r>
        <w:rPr>
          <w:rFonts w:ascii="Times New Roman" w:hAnsi="Times New Roman"/>
          <w:noProof/>
        </w:rPr>
        <w:t>, podporují členské státy v předvídání a reagování na potřeby v oblasti dovedností, podporují prohlubování dovedností a změny kvalifikace s cílem prodloužit pracovní život, odstraňují rozdíly v digitálních dovednostech, modernizují systémy vzdělávání a odborné přípravy a v případě potřeby přitahují talenty z mimoevropských zemí</w:t>
      </w:r>
      <w:r>
        <w:rPr>
          <w:rStyle w:val="FootnoteReference"/>
          <w:rFonts w:ascii="Times New Roman" w:eastAsia="Times New Roman" w:hAnsi="Times New Roman" w:cs="Times New Roman"/>
          <w:noProof/>
        </w:rPr>
        <w:footnoteReference w:id="32"/>
      </w:r>
      <w:r>
        <w:rPr>
          <w:noProof/>
        </w:rPr>
        <w:t>.</w:t>
      </w:r>
      <w:r>
        <w:rPr>
          <w:rFonts w:ascii="Times New Roman" w:hAnsi="Times New Roman"/>
          <w:noProof/>
        </w:rPr>
        <w:t xml:space="preserve"> </w:t>
      </w:r>
      <w:bookmarkStart w:id="6" w:name="_Hlk221892494"/>
      <w:r>
        <w:rPr>
          <w:rFonts w:ascii="Times New Roman" w:hAnsi="Times New Roman"/>
          <w:i/>
          <w:noProof/>
        </w:rPr>
        <w:t>Iniciativa Blue Carpet</w:t>
      </w:r>
      <w:r>
        <w:rPr>
          <w:rFonts w:ascii="Times New Roman" w:hAnsi="Times New Roman"/>
          <w:noProof/>
        </w:rPr>
        <w:t xml:space="preserve">, která je součástí Strategie EU pro startupy a scaleupy, podporuje přilákání a udržení vysoce kvalifikovaných odborníků, studentů a výzkumných pracovníků v programu </w:t>
      </w:r>
      <w:r>
        <w:rPr>
          <w:rFonts w:ascii="Times New Roman" w:hAnsi="Times New Roman"/>
          <w:i/>
          <w:noProof/>
        </w:rPr>
        <w:t>Choose Europe</w:t>
      </w:r>
      <w:r>
        <w:rPr>
          <w:rFonts w:ascii="Times New Roman" w:hAnsi="Times New Roman"/>
          <w:noProof/>
        </w:rPr>
        <w:t>.</w:t>
      </w:r>
    </w:p>
    <w:p w14:paraId="654DA2D6" w14:textId="412A320D" w:rsidR="007D1A56" w:rsidRPr="00A64F36" w:rsidRDefault="00774BD6" w:rsidP="21381609">
      <w:pPr>
        <w:spacing w:line="240" w:lineRule="auto"/>
        <w:jc w:val="both"/>
        <w:rPr>
          <w:rFonts w:ascii="Times New Roman" w:eastAsia="Times New Roman" w:hAnsi="Times New Roman" w:cs="Times New Roman"/>
          <w:noProof/>
        </w:rPr>
      </w:pPr>
      <w:r>
        <w:rPr>
          <w:rFonts w:ascii="Times New Roman" w:hAnsi="Times New Roman"/>
          <w:b/>
          <w:noProof/>
        </w:rPr>
        <w:t>Silné kulturní a sportovní politiky</w:t>
      </w:r>
      <w:r>
        <w:rPr>
          <w:rFonts w:ascii="Times New Roman" w:hAnsi="Times New Roman"/>
          <w:noProof/>
        </w:rPr>
        <w:t xml:space="preserve"> hrají ústřední roli při prosazování mezigenerační spravedlnosti, posilování sociálního začlenění a podpoře dlouhodobé udržitelnosti tím, že podporují účast, solidaritu a sdílené hodnoty napříč věkovými skupinami. </w:t>
      </w:r>
    </w:p>
    <w:bookmarkEnd w:id="6"/>
    <w:p w14:paraId="446887FF" w14:textId="55870EB9" w:rsidR="007D1A56" w:rsidRPr="00A64F36" w:rsidRDefault="007D1A56" w:rsidP="007D1A56">
      <w:pPr>
        <w:pStyle w:val="NormalWeb"/>
        <w:spacing w:after="180"/>
        <w:jc w:val="both"/>
        <w:rPr>
          <w:noProof/>
        </w:rPr>
      </w:pPr>
      <w:r>
        <w:rPr>
          <w:b/>
          <w:noProof/>
        </w:rPr>
        <w:t>Programy EU, jako je</w:t>
      </w:r>
      <w:r>
        <w:rPr>
          <w:noProof/>
        </w:rPr>
        <w:t xml:space="preserve"> </w:t>
      </w:r>
      <w:r>
        <w:rPr>
          <w:b/>
          <w:noProof/>
        </w:rPr>
        <w:t>Erasmus+</w:t>
      </w:r>
      <w:r>
        <w:rPr>
          <w:noProof/>
        </w:rPr>
        <w:t xml:space="preserve">, podporují rozvoj dovedností, aktivní občanství a celoživotní učení pro všechny věkové skupiny, pomáhají posilovat rozvoj sociálních a mezikulturních kompetencí, kritické myšlení a mediální gramotnost a (zejména prostřednictvím oblasti vyhrazené mládeži) prosazovat mezigenerační spravedlnost a učení. </w:t>
      </w:r>
      <w:r>
        <w:rPr>
          <w:i/>
          <w:noProof/>
        </w:rPr>
        <w:t>Evropský sbor solidarity</w:t>
      </w:r>
      <w:r>
        <w:rPr>
          <w:rStyle w:val="FootnoteReference"/>
          <w:noProof/>
        </w:rPr>
        <w:footnoteReference w:id="33"/>
      </w:r>
      <w:r>
        <w:rPr>
          <w:noProof/>
        </w:rPr>
        <w:t xml:space="preserve"> podporuje mezigenerační týmy dobrovolníků na místní a regionální úrovni v získávání dovedností, klíčových kompetencí a evropských hodnot a přispívá k mezigenerační solidaritě a spravedlnosti.</w:t>
      </w:r>
    </w:p>
    <w:p w14:paraId="072EC5E9" w14:textId="2557FBCA" w:rsidR="00F026F7" w:rsidRPr="00A64F36" w:rsidRDefault="00A70A62" w:rsidP="21381609">
      <w:pPr>
        <w:spacing w:line="240" w:lineRule="auto"/>
        <w:jc w:val="both"/>
        <w:rPr>
          <w:rFonts w:ascii="Times New Roman" w:eastAsia="Times New Roman" w:hAnsi="Times New Roman" w:cs="Times New Roman"/>
          <w:noProof/>
        </w:rPr>
      </w:pPr>
      <w:r>
        <w:rPr>
          <w:rFonts w:ascii="Times New Roman" w:hAnsi="Times New Roman"/>
          <w:noProof/>
        </w:rPr>
        <w:t>Velmi dobře viditelnou mezigenerační výzvou se stala</w:t>
      </w:r>
      <w:r>
        <w:rPr>
          <w:rFonts w:ascii="Times New Roman" w:hAnsi="Times New Roman"/>
          <w:b/>
          <w:noProof/>
        </w:rPr>
        <w:t xml:space="preserve"> dostupnost bydlení</w:t>
      </w:r>
      <w:r>
        <w:rPr>
          <w:rStyle w:val="FootnoteReference"/>
          <w:rFonts w:ascii="Times New Roman" w:eastAsia="Times New Roman" w:hAnsi="Times New Roman" w:cs="Times New Roman"/>
          <w:noProof/>
        </w:rPr>
        <w:footnoteReference w:id="34"/>
      </w:r>
      <w:r>
        <w:rPr>
          <w:noProof/>
        </w:rPr>
        <w:t>.</w:t>
      </w:r>
      <w:r>
        <w:rPr>
          <w:rFonts w:ascii="Times New Roman" w:hAnsi="Times New Roman"/>
          <w:noProof/>
        </w:rPr>
        <w:t xml:space="preserve"> Mladí lidé se stále častěji potýkají s překážkami v přístupu k sociálnímu, dobře propojenému a dostupnému bydlení a současně mnoho starších lidí žije v nevyhovujících nebo izolovaných podmínkách. Opatření EU přispívají prostřednictvím investic, podpůrných opatření, prosazováním reforem a cílených iniciativ, které zlepšují přístup k cenově dostupnému a odpovídajícímu bydlení a doplňují úsilí na celostátní, regionální a místní úrovni. </w:t>
      </w:r>
    </w:p>
    <w:p w14:paraId="6484CD73" w14:textId="3BDBD4DD" w:rsidR="006A4ECB" w:rsidRPr="00A64F36" w:rsidRDefault="00A70A62" w:rsidP="21381609">
      <w:pPr>
        <w:spacing w:line="240" w:lineRule="auto"/>
        <w:jc w:val="both"/>
        <w:rPr>
          <w:rFonts w:ascii="Times New Roman" w:eastAsia="Times New Roman" w:hAnsi="Times New Roman" w:cs="Times New Roman"/>
          <w:noProof/>
        </w:rPr>
      </w:pPr>
      <w:r>
        <w:rPr>
          <w:rFonts w:ascii="Times New Roman" w:hAnsi="Times New Roman"/>
          <w:b/>
          <w:noProof/>
        </w:rPr>
        <w:t xml:space="preserve">Stárnoucí společnost rovněž vyvolává mezigenerační otázky ohledně přiměřenosti a udržitelnosti důchodů a zdravotní a dlouhodobé péče, </w:t>
      </w:r>
      <w:r>
        <w:rPr>
          <w:rFonts w:ascii="Times New Roman" w:hAnsi="Times New Roman"/>
          <w:noProof/>
        </w:rPr>
        <w:t>přičemž mezigenerační spravedlnost znamená vyvážení přiměřenosti s fiskální udržitelností</w:t>
      </w:r>
      <w:r>
        <w:rPr>
          <w:rStyle w:val="FootnoteReference"/>
          <w:rFonts w:ascii="Times New Roman" w:eastAsia="Times New Roman" w:hAnsi="Times New Roman" w:cs="Times New Roman"/>
          <w:noProof/>
        </w:rPr>
        <w:footnoteReference w:id="35"/>
      </w:r>
      <w:r>
        <w:rPr>
          <w:noProof/>
        </w:rPr>
        <w:t>.</w:t>
      </w:r>
      <w:r>
        <w:rPr>
          <w:rFonts w:ascii="Times New Roman" w:hAnsi="Times New Roman"/>
          <w:noProof/>
        </w:rPr>
        <w:t xml:space="preserve"> Řešení problémů vyplývajících z demografických změn a změn na trhu práce vyžaduje širokou kombinaci politik, včetně posílení doplňkových důchodů, které by důchodcům poskytly dodatečný příjem ve stáří</w:t>
      </w:r>
      <w:r>
        <w:rPr>
          <w:rStyle w:val="FootnoteReference"/>
          <w:rFonts w:ascii="Times New Roman" w:eastAsia="Times New Roman" w:hAnsi="Times New Roman" w:cs="Times New Roman"/>
          <w:noProof/>
          <w:lang w:val="en-GB"/>
        </w:rPr>
        <w:footnoteReference w:id="36"/>
      </w:r>
      <w:r>
        <w:rPr>
          <w:noProof/>
        </w:rPr>
        <w:t>.</w:t>
      </w:r>
    </w:p>
    <w:p w14:paraId="657EB1B3" w14:textId="1B0CCBDD" w:rsidR="00A70A62" w:rsidRPr="00A64F36" w:rsidRDefault="007D1A56" w:rsidP="21381609">
      <w:pPr>
        <w:spacing w:line="240" w:lineRule="auto"/>
        <w:jc w:val="both"/>
        <w:rPr>
          <w:rFonts w:ascii="Times New Roman" w:eastAsia="Times New Roman" w:hAnsi="Times New Roman" w:cs="Times New Roman"/>
          <w:noProof/>
        </w:rPr>
      </w:pPr>
      <w:r>
        <w:rPr>
          <w:rFonts w:ascii="Times New Roman" w:hAnsi="Times New Roman"/>
          <w:b/>
          <w:noProof/>
        </w:rPr>
        <w:t>Evropská Strategie unie připravenosti</w:t>
      </w:r>
      <w:r>
        <w:rPr>
          <w:rStyle w:val="FootnoteReference"/>
          <w:rFonts w:ascii="Times New Roman" w:eastAsia="Times New Roman" w:hAnsi="Times New Roman" w:cs="Times New Roman"/>
          <w:b/>
          <w:bCs/>
          <w:noProof/>
        </w:rPr>
        <w:footnoteReference w:id="37"/>
      </w:r>
      <w:r>
        <w:rPr>
          <w:rFonts w:ascii="Times New Roman" w:hAnsi="Times New Roman"/>
          <w:noProof/>
        </w:rPr>
        <w:t xml:space="preserve"> v souladu s Niinistöovou zprávou „Společně bezpečněji – cesta k plně připravené Unii“</w:t>
      </w:r>
      <w:r>
        <w:rPr>
          <w:rStyle w:val="FootnoteReference"/>
          <w:rFonts w:ascii="Times New Roman" w:eastAsia="Times New Roman" w:hAnsi="Times New Roman" w:cs="Times New Roman"/>
          <w:noProof/>
        </w:rPr>
        <w:footnoteReference w:id="38"/>
      </w:r>
      <w:r>
        <w:rPr>
          <w:rFonts w:ascii="Times New Roman" w:hAnsi="Times New Roman"/>
          <w:b/>
          <w:noProof/>
        </w:rPr>
        <w:t xml:space="preserve"> </w:t>
      </w:r>
      <w:r>
        <w:rPr>
          <w:rFonts w:ascii="Times New Roman" w:hAnsi="Times New Roman"/>
          <w:noProof/>
        </w:rPr>
        <w:t>podporuje celospolečenský přístup k připravenosti a bezpečnosti s opatřeními zaměřenými na mladší a starší generace a zranitelné osoby</w:t>
      </w:r>
      <w:r>
        <w:rPr>
          <w:rFonts w:ascii="Times New Roman" w:eastAsia="Times New Roman" w:hAnsi="Times New Roman" w:cs="Times New Roman"/>
          <w:noProof/>
          <w:vertAlign w:val="superscript"/>
        </w:rPr>
        <w:footnoteReference w:id="39"/>
      </w:r>
      <w:r>
        <w:rPr>
          <w:rFonts w:ascii="Times New Roman" w:hAnsi="Times New Roman"/>
          <w:noProof/>
        </w:rPr>
        <w:t>.</w:t>
      </w:r>
    </w:p>
    <w:p w14:paraId="451255C4" w14:textId="4B338657" w:rsidR="009869ED" w:rsidRPr="00A64F36" w:rsidRDefault="00A17573" w:rsidP="009869ED">
      <w:pPr>
        <w:pStyle w:val="NormalWeb"/>
        <w:spacing w:before="0" w:beforeAutospacing="0" w:after="180" w:afterAutospacing="0"/>
        <w:jc w:val="both"/>
        <w:rPr>
          <w:noProof/>
        </w:rPr>
      </w:pPr>
      <w:r>
        <w:rPr>
          <w:noProof/>
        </w:rPr>
        <w:t xml:space="preserve">Cílem </w:t>
      </w:r>
      <w:r>
        <w:rPr>
          <w:b/>
          <w:noProof/>
        </w:rPr>
        <w:t>Evropského štítu pro demokracii a</w:t>
      </w:r>
      <w:r>
        <w:rPr>
          <w:noProof/>
        </w:rPr>
        <w:t xml:space="preserve"> </w:t>
      </w:r>
      <w:r>
        <w:rPr>
          <w:b/>
          <w:noProof/>
        </w:rPr>
        <w:t>Strategie EU pro občanskou společnost</w:t>
      </w:r>
      <w:r>
        <w:rPr>
          <w:noProof/>
        </w:rPr>
        <w:t xml:space="preserve"> je posílit demokratickou odolnost přijetím celospolečenského přístupu, mimo jiné posílením občanské angažovanosti a mezigeneračních vazeb</w:t>
      </w:r>
      <w:r>
        <w:rPr>
          <w:rStyle w:val="FootnoteReference"/>
          <w:noProof/>
          <w:lang w:val="en-IE"/>
        </w:rPr>
        <w:footnoteReference w:id="40"/>
      </w:r>
      <w:r>
        <w:rPr>
          <w:noProof/>
        </w:rPr>
        <w:t>. Ochrana integrity dnešního demokratického systému přispívá k zajištění toho, aby budoucí generace zdědily politické prostředí založené na transparentnosti, účasti a odpovědnosti, což je základním předpokladem mezigenerační spravedlnosti.</w:t>
      </w:r>
    </w:p>
    <w:p w14:paraId="6B45350E" w14:textId="3D2BC6CC" w:rsidR="00765C68" w:rsidRPr="00A64F36" w:rsidRDefault="009D2617" w:rsidP="009869ED">
      <w:pPr>
        <w:pStyle w:val="NormalWeb"/>
        <w:spacing w:before="0" w:beforeAutospacing="0" w:after="180" w:afterAutospacing="0"/>
        <w:jc w:val="both"/>
        <w:rPr>
          <w:b/>
          <w:bCs/>
          <w:noProof/>
          <w:color w:val="0070C0"/>
          <w:sz w:val="28"/>
          <w:szCs w:val="28"/>
        </w:rPr>
      </w:pPr>
      <w:r>
        <w:rPr>
          <w:b/>
          <w:noProof/>
          <w:color w:val="0070C0"/>
          <w:sz w:val="28"/>
        </w:rPr>
        <w:t>… pokračováním souběžné transformace v rámci planetárních mezí</w:t>
      </w:r>
    </w:p>
    <w:p w14:paraId="2A3098CE" w14:textId="1956A1D2" w:rsidR="007D1A56" w:rsidRPr="00A64F36" w:rsidRDefault="00A70A62" w:rsidP="00A70A62">
      <w:pPr>
        <w:spacing w:line="240" w:lineRule="auto"/>
        <w:jc w:val="both"/>
        <w:rPr>
          <w:rFonts w:ascii="Times New Roman" w:eastAsia="Times New Roman" w:hAnsi="Times New Roman" w:cs="Times New Roman"/>
          <w:noProof/>
        </w:rPr>
      </w:pPr>
      <w:r>
        <w:rPr>
          <w:rFonts w:ascii="Times New Roman" w:hAnsi="Times New Roman"/>
          <w:b/>
          <w:noProof/>
        </w:rPr>
        <w:t>Souběžná</w:t>
      </w:r>
      <w:r>
        <w:rPr>
          <w:rFonts w:ascii="Times New Roman" w:hAnsi="Times New Roman"/>
          <w:noProof/>
        </w:rPr>
        <w:t xml:space="preserve"> </w:t>
      </w:r>
      <w:r>
        <w:rPr>
          <w:rFonts w:ascii="Times New Roman" w:hAnsi="Times New Roman"/>
          <w:b/>
          <w:noProof/>
        </w:rPr>
        <w:t>ekologická a digitální transformace EU má jasné mezigenerační důsledky</w:t>
      </w:r>
      <w:r>
        <w:rPr>
          <w:rFonts w:ascii="Times New Roman" w:hAnsi="Times New Roman"/>
          <w:noProof/>
        </w:rPr>
        <w:t xml:space="preserve">. Vyzývá k přehodnocení způsobu, jakým EU využívá zdroje, chrání své ekosystémy, vybavuje pracovníky, podniky a občany, zajišťuje konkurenceschopnost a respektuje ekologické limity, v nichž musí žít budoucí generace. </w:t>
      </w:r>
    </w:p>
    <w:p w14:paraId="652473CE" w14:textId="25289B60" w:rsidR="00E8298A" w:rsidRPr="00A64F36" w:rsidRDefault="00A70A62" w:rsidP="00A70A62">
      <w:pPr>
        <w:spacing w:line="240" w:lineRule="auto"/>
        <w:jc w:val="both"/>
        <w:rPr>
          <w:rFonts w:ascii="Times New Roman" w:eastAsia="Times New Roman" w:hAnsi="Times New Roman" w:cs="Times New Roman"/>
          <w:noProof/>
        </w:rPr>
      </w:pPr>
      <w:r>
        <w:rPr>
          <w:rFonts w:ascii="Times New Roman" w:hAnsi="Times New Roman"/>
          <w:b/>
          <w:noProof/>
        </w:rPr>
        <w:t>Politiky EU v oblasti klimatu a životního prostředí jsou základem opatření EU na ochranu planety pro ty, kteří teprve přijdou.</w:t>
      </w:r>
      <w:r>
        <w:rPr>
          <w:rFonts w:ascii="Times New Roman" w:hAnsi="Times New Roman"/>
          <w:noProof/>
        </w:rPr>
        <w:t xml:space="preserve"> Mezigenerační aspekty jsou neodmyslitelnou součástí politiky v oblasti klimatu, protože každé zpoždění v opatřeních znamená vyšší náklady pro budoucí generace. Cílem stěžejních iniciativ </w:t>
      </w:r>
      <w:r>
        <w:rPr>
          <w:rFonts w:ascii="Times New Roman" w:hAnsi="Times New Roman"/>
          <w:i/>
          <w:noProof/>
        </w:rPr>
        <w:t>Zelené dohody pro Evropu</w:t>
      </w:r>
      <w:r>
        <w:rPr>
          <w:rFonts w:ascii="Times New Roman" w:hAnsi="Times New Roman"/>
          <w:noProof/>
        </w:rPr>
        <w:t xml:space="preserve"> a </w:t>
      </w:r>
      <w:r>
        <w:rPr>
          <w:rFonts w:ascii="Times New Roman" w:hAnsi="Times New Roman"/>
          <w:i/>
          <w:noProof/>
        </w:rPr>
        <w:t>Evropského paktu pro oceány</w:t>
      </w:r>
      <w:r>
        <w:rPr>
          <w:rFonts w:ascii="Times New Roman" w:hAnsi="Times New Roman"/>
          <w:noProof/>
        </w:rPr>
        <w:t xml:space="preserve"> je dosáhnout klimatické neutrality, snížit emise, zvýšit oběhovost a využívání omezených zdrojů, snížit znečištění, chránit biologickou rozmanitost a podpořit ekologickou transformaci napříč odvětvími s cílem vybudovat konkurenceschopnou ekonomiku. Kosmické prostředky ve vlastnictví EU, jako jsou </w:t>
      </w:r>
      <w:r>
        <w:rPr>
          <w:rFonts w:ascii="Times New Roman" w:hAnsi="Times New Roman"/>
          <w:i/>
          <w:noProof/>
        </w:rPr>
        <w:t>Copernicus</w:t>
      </w:r>
      <w:r>
        <w:rPr>
          <w:rFonts w:ascii="Times New Roman" w:hAnsi="Times New Roman"/>
          <w:noProof/>
        </w:rPr>
        <w:t xml:space="preserve"> a </w:t>
      </w:r>
      <w:r>
        <w:rPr>
          <w:rFonts w:ascii="Times New Roman" w:hAnsi="Times New Roman"/>
          <w:i/>
          <w:noProof/>
        </w:rPr>
        <w:t>Galileo</w:t>
      </w:r>
      <w:r>
        <w:rPr>
          <w:rFonts w:ascii="Times New Roman" w:hAnsi="Times New Roman"/>
          <w:noProof/>
        </w:rPr>
        <w:t xml:space="preserve">, poskytují údaje s bezkonkurenční přesností a umožňují monitorování a informované rozhodování. </w:t>
      </w:r>
      <w:r>
        <w:rPr>
          <w:rFonts w:ascii="Times New Roman" w:hAnsi="Times New Roman"/>
          <w:i/>
          <w:noProof/>
        </w:rPr>
        <w:t>Evropský klimatický pakt</w:t>
      </w:r>
      <w:r>
        <w:rPr>
          <w:rFonts w:ascii="Times New Roman" w:hAnsi="Times New Roman"/>
          <w:noProof/>
        </w:rPr>
        <w:t xml:space="preserve"> spojuje komunity, jednotlivce a organizace z celé EU a různých generací, aby si vyměňovali osvědčené postupy, vyvíjeli řešení v oblasti klimatu a pomáhali budovat čistou a prosperující Evropu. </w:t>
      </w:r>
      <w:r>
        <w:rPr>
          <w:rFonts w:ascii="Times New Roman" w:hAnsi="Times New Roman"/>
          <w:i/>
          <w:noProof/>
        </w:rPr>
        <w:t>Evropská strategie unie připravenosti</w:t>
      </w:r>
      <w:r>
        <w:rPr>
          <w:rFonts w:ascii="Times New Roman" w:hAnsi="Times New Roman"/>
          <w:noProof/>
        </w:rPr>
        <w:t xml:space="preserve"> vyzývá k podpoře dobrovolnictví a k posílení občanských dovedností a dovednosti v oblasti připravenosti. </w:t>
      </w:r>
      <w:r>
        <w:rPr>
          <w:rFonts w:ascii="Times New Roman" w:hAnsi="Times New Roman"/>
          <w:i/>
          <w:noProof/>
        </w:rPr>
        <w:t>Mechanismus pro spravedlivou transformaci</w:t>
      </w:r>
      <w:r>
        <w:rPr>
          <w:rFonts w:ascii="Times New Roman" w:hAnsi="Times New Roman"/>
          <w:noProof/>
        </w:rPr>
        <w:t xml:space="preserve">, včetně </w:t>
      </w:r>
      <w:r>
        <w:rPr>
          <w:rFonts w:ascii="Times New Roman" w:hAnsi="Times New Roman"/>
          <w:i/>
          <w:noProof/>
        </w:rPr>
        <w:t>Fondu pro spravedlivou transformaci</w:t>
      </w:r>
      <w:r>
        <w:rPr>
          <w:rFonts w:ascii="Times New Roman" w:hAnsi="Times New Roman"/>
          <w:noProof/>
        </w:rPr>
        <w:t xml:space="preserve"> a </w:t>
      </w:r>
      <w:r>
        <w:rPr>
          <w:rFonts w:ascii="Times New Roman" w:hAnsi="Times New Roman"/>
          <w:i/>
          <w:noProof/>
        </w:rPr>
        <w:t>platformy pro spravedlivou transformaci</w:t>
      </w:r>
      <w:r>
        <w:rPr>
          <w:rFonts w:ascii="Times New Roman" w:hAnsi="Times New Roman"/>
          <w:noProof/>
        </w:rPr>
        <w:t xml:space="preserve">, jakož i </w:t>
      </w:r>
      <w:r>
        <w:rPr>
          <w:rFonts w:ascii="Times New Roman" w:hAnsi="Times New Roman"/>
          <w:i/>
          <w:noProof/>
        </w:rPr>
        <w:t>Sociální klimatický fond</w:t>
      </w:r>
      <w:r>
        <w:rPr>
          <w:rFonts w:ascii="Times New Roman" w:hAnsi="Times New Roman"/>
          <w:noProof/>
        </w:rPr>
        <w:t xml:space="preserve"> pomáhají předcházet novým nerovnostem tím, že podporují regiony, komunity, zranitelné domácnosti, uživatele dopravy a malé podniky, kterých se transformace nejvíce dotýká, a zajišťují, aby klimatická neutralita nikoho neopomíjela</w:t>
      </w:r>
      <w:r>
        <w:rPr>
          <w:rStyle w:val="FootnoteReference"/>
          <w:noProof/>
        </w:rPr>
        <w:footnoteReference w:id="41"/>
      </w:r>
      <w:r>
        <w:rPr>
          <w:noProof/>
        </w:rPr>
        <w:t>.</w:t>
      </w:r>
      <w:r>
        <w:rPr>
          <w:rFonts w:ascii="Times New Roman" w:hAnsi="Times New Roman"/>
          <w:noProof/>
        </w:rPr>
        <w:t xml:space="preserve"> Iniciativy, jako je například </w:t>
      </w:r>
      <w:r>
        <w:rPr>
          <w:rFonts w:ascii="Times New Roman" w:hAnsi="Times New Roman"/>
          <w:i/>
          <w:noProof/>
        </w:rPr>
        <w:t>Modrý</w:t>
      </w:r>
      <w:r>
        <w:rPr>
          <w:rFonts w:ascii="Times New Roman" w:hAnsi="Times New Roman"/>
          <w:noProof/>
        </w:rPr>
        <w:t xml:space="preserve"> </w:t>
      </w:r>
      <w:r>
        <w:rPr>
          <w:rFonts w:ascii="Times New Roman" w:hAnsi="Times New Roman"/>
          <w:i/>
          <w:noProof/>
        </w:rPr>
        <w:t>mezigenerační program Transatlantické aliance pro</w:t>
      </w:r>
      <w:r>
        <w:rPr>
          <w:rFonts w:ascii="Times New Roman" w:hAnsi="Times New Roman"/>
          <w:noProof/>
        </w:rPr>
        <w:t xml:space="preserve"> </w:t>
      </w:r>
      <w:r>
        <w:rPr>
          <w:rFonts w:ascii="Times New Roman" w:hAnsi="Times New Roman"/>
          <w:i/>
          <w:noProof/>
        </w:rPr>
        <w:t>oceánský výzkum</w:t>
      </w:r>
      <w:r>
        <w:rPr>
          <w:rFonts w:ascii="Times New Roman" w:hAnsi="Times New Roman"/>
          <w:noProof/>
        </w:rPr>
        <w:t xml:space="preserve"> a </w:t>
      </w:r>
      <w:r>
        <w:rPr>
          <w:rFonts w:ascii="Times New Roman" w:hAnsi="Times New Roman"/>
          <w:i/>
          <w:noProof/>
        </w:rPr>
        <w:t>program EU pro velvyslance mládeže v oblasti bioekonomiky</w:t>
      </w:r>
      <w:r>
        <w:rPr>
          <w:rFonts w:ascii="Times New Roman" w:hAnsi="Times New Roman"/>
          <w:noProof/>
        </w:rPr>
        <w:t xml:space="preserve">, umožňují mladým lidem zapojit se do politických diskusí o oceánech a vodě, udržitelných potravinových systémech a bioekonomiky. Připravovaná platforma zúčastněných stran EU pro vodohospodářskou odolnost má v souladu se </w:t>
      </w:r>
      <w:r>
        <w:rPr>
          <w:rFonts w:ascii="Times New Roman" w:hAnsi="Times New Roman"/>
          <w:i/>
          <w:noProof/>
        </w:rPr>
        <w:t xml:space="preserve">Strategií pro vodohospodářskou odolnost </w:t>
      </w:r>
      <w:r>
        <w:rPr>
          <w:rFonts w:ascii="Times New Roman" w:hAnsi="Times New Roman"/>
          <w:noProof/>
        </w:rPr>
        <w:t xml:space="preserve">vyhrazená místa pro zástupce mládeže. </w:t>
      </w:r>
    </w:p>
    <w:p w14:paraId="230F9F33" w14:textId="484EDF4B" w:rsidR="00024888" w:rsidRDefault="00A70A62" w:rsidP="00A70A62">
      <w:pPr>
        <w:spacing w:line="240" w:lineRule="auto"/>
        <w:jc w:val="both"/>
        <w:rPr>
          <w:rFonts w:ascii="Times New Roman" w:eastAsia="Times New Roman" w:hAnsi="Times New Roman" w:cs="Times New Roman"/>
          <w:noProof/>
        </w:rPr>
      </w:pPr>
      <w:r>
        <w:rPr>
          <w:rFonts w:ascii="Times New Roman" w:hAnsi="Times New Roman"/>
          <w:b/>
          <w:noProof/>
        </w:rPr>
        <w:t>Digitální transformace a nástup umělé inteligence (AI)</w:t>
      </w:r>
      <w:r>
        <w:rPr>
          <w:rFonts w:ascii="Times New Roman" w:hAnsi="Times New Roman"/>
          <w:noProof/>
        </w:rPr>
        <w:t xml:space="preserve"> představují pro Evropu jasné příležitosti, jak zlepšit životní podmínky jejích občanů, podpořit udržitelné inovace, posílit evropský vědecký systém a zvýšit jeho konkurenceschopnost. Iniciativy EU v oblasti digitálních technologií a dovedností přispívají podporou digitální gramotnosti, spravedlivých přechodů na trhu práce a odpovědného využívání AI způsobem, který bude mít zásadní význam pro budování pracovní síly budoucnosti. EU rovněž buduje příznivý ekosystém, který má povzbudit průlomové inovace v nových technologiích, jako AI, neurotechnologie a kvantová technologie, které jsou zaměřené na člověka, jsou etické a vycházejí z práv</w:t>
      </w:r>
      <w:r>
        <w:rPr>
          <w:rStyle w:val="FootnoteReference"/>
          <w:rFonts w:ascii="Times New Roman" w:eastAsia="Times New Roman" w:hAnsi="Times New Roman" w:cs="Times New Roman"/>
          <w:noProof/>
          <w:lang w:val="en-GB"/>
        </w:rPr>
        <w:footnoteReference w:id="42"/>
      </w:r>
      <w:r>
        <w:rPr>
          <w:noProof/>
        </w:rPr>
        <w:t>.</w:t>
      </w:r>
      <w:r>
        <w:rPr>
          <w:rFonts w:ascii="Times New Roman" w:hAnsi="Times New Roman"/>
          <w:noProof/>
        </w:rPr>
        <w:t xml:space="preserve"> Mezigenerační spravedlnost v digitálním věku proto vyžaduje zajištění širokého přístupu k digitální infrastruktuře, inkluzivní rozvoj dovedností ve všech věkových kategoriích a zejména pro seniory, jakož i na člověka zaměřené zavádění AI a inovací, které rozšiřují příležitosti, spíše než aby zvětšovaly rozdíly</w:t>
      </w:r>
      <w:r>
        <w:rPr>
          <w:rStyle w:val="FootnoteReference"/>
          <w:rFonts w:ascii="Times New Roman" w:eastAsia="Times New Roman" w:hAnsi="Times New Roman" w:cs="Times New Roman"/>
          <w:noProof/>
        </w:rPr>
        <w:footnoteReference w:id="43"/>
      </w:r>
      <w:r>
        <w:rPr>
          <w:noProof/>
        </w:rPr>
        <w:t>.</w:t>
      </w:r>
      <w:r>
        <w:rPr>
          <w:rFonts w:ascii="Times New Roman" w:hAnsi="Times New Roman"/>
          <w:noProof/>
        </w:rPr>
        <w:t xml:space="preserve"> V souladu s tím Komise zahájila pilotní program malých grantů pro mezigenerační projekty mediální gramotnosti. </w:t>
      </w:r>
    </w:p>
    <w:p w14:paraId="2AD3D7FC" w14:textId="5E955CA2" w:rsidR="004F3FD5" w:rsidRPr="00B22CB0" w:rsidRDefault="00A723B7" w:rsidP="00A70A62">
      <w:pPr>
        <w:spacing w:line="240" w:lineRule="auto"/>
        <w:jc w:val="both"/>
        <w:rPr>
          <w:rFonts w:ascii="Times New Roman" w:eastAsia="Times New Roman" w:hAnsi="Times New Roman" w:cs="Times New Roman"/>
          <w:noProof/>
        </w:rPr>
      </w:pPr>
      <w:r>
        <w:rPr>
          <w:rFonts w:ascii="Times New Roman" w:hAnsi="Times New Roman"/>
          <w:noProof/>
        </w:rPr>
        <w:t xml:space="preserve">Kosmické technologie jsou základem přístupu k základním službám, hospodářského růstu a environmentální odolnosti. V současné době je vesmírná oblast stále více přetížená, což zvyšuje rizika pro naše vesmírná aktiva a bezpečnost. Iniciativy, jako je </w:t>
      </w:r>
      <w:r>
        <w:rPr>
          <w:rFonts w:ascii="Times New Roman" w:hAnsi="Times New Roman"/>
          <w:i/>
          <w:noProof/>
        </w:rPr>
        <w:t>akt EU o kosmu</w:t>
      </w:r>
      <w:r>
        <w:rPr>
          <w:rFonts w:ascii="Times New Roman" w:hAnsi="Times New Roman"/>
          <w:noProof/>
        </w:rPr>
        <w:t xml:space="preserve"> a </w:t>
      </w:r>
      <w:r>
        <w:rPr>
          <w:rFonts w:ascii="Times New Roman" w:hAnsi="Times New Roman"/>
          <w:i/>
          <w:noProof/>
        </w:rPr>
        <w:t>Vize pro kosmickou ekonomiku</w:t>
      </w:r>
      <w:r>
        <w:rPr>
          <w:rFonts w:ascii="Times New Roman" w:hAnsi="Times New Roman"/>
          <w:noProof/>
        </w:rPr>
        <w:t>, jsou klíčové pro zajištění bezpečnosti, ochrany a udržitelnosti vesmíru pro budoucí generace.</w:t>
      </w:r>
    </w:p>
    <w:p w14:paraId="32493403" w14:textId="39661659" w:rsidR="00765C68" w:rsidRPr="00A64F36" w:rsidRDefault="009D2617" w:rsidP="0A5929DF">
      <w:pPr>
        <w:pStyle w:val="NormalWeb"/>
        <w:spacing w:before="0" w:beforeAutospacing="0" w:after="180" w:afterAutospacing="0"/>
        <w:jc w:val="both"/>
        <w:rPr>
          <w:b/>
          <w:bCs/>
          <w:noProof/>
          <w:color w:val="0070C0"/>
          <w:sz w:val="28"/>
          <w:szCs w:val="28"/>
        </w:rPr>
      </w:pPr>
      <w:r>
        <w:rPr>
          <w:b/>
          <w:noProof/>
          <w:color w:val="0070C0"/>
          <w:sz w:val="28"/>
        </w:rPr>
        <w:t xml:space="preserve">… dosahováním dopadu prostřednictvím opatření na místní a globální úrovni </w:t>
      </w:r>
    </w:p>
    <w:p w14:paraId="18F20A28" w14:textId="14D9276D" w:rsidR="00A70A62" w:rsidRPr="00A64F36" w:rsidRDefault="00A70A62" w:rsidP="0A5929DF">
      <w:pPr>
        <w:pStyle w:val="NormalWeb"/>
        <w:spacing w:before="0" w:beforeAutospacing="0" w:after="180" w:afterAutospacing="0"/>
        <w:jc w:val="both"/>
        <w:rPr>
          <w:noProof/>
        </w:rPr>
      </w:pPr>
      <w:r>
        <w:rPr>
          <w:b/>
          <w:noProof/>
        </w:rPr>
        <w:t>Mezigenerační spravedlnost je obzvláště citelná tam, kde jde o přístup k živobytí, majetku a příležitostem</w:t>
      </w:r>
      <w:r>
        <w:rPr>
          <w:noProof/>
        </w:rPr>
        <w:t xml:space="preserve">. </w:t>
      </w:r>
      <w:r>
        <w:rPr>
          <w:b/>
          <w:noProof/>
        </w:rPr>
        <w:t xml:space="preserve">V odvětví zemědělství, rybolovu a venkova </w:t>
      </w:r>
      <w:r>
        <w:rPr>
          <w:noProof/>
        </w:rPr>
        <w:t>ohrožují dlouhodobou životaschopnost stárnoucí pracovní síly a vysoké překážky vstupu na trh. Politiky EU podporují generační obměnu tím, že zlepšují přístup k půdě a moři, financování, odbornou přípravu a předávání znalostí a posilují venkovské a pobřežní oblasti jako místa, kde si mladí lidé mohou vytvořit životaschopnou budoucnost</w:t>
      </w:r>
      <w:r>
        <w:rPr>
          <w:rStyle w:val="FootnoteReference"/>
          <w:noProof/>
        </w:rPr>
        <w:footnoteReference w:id="44"/>
      </w:r>
      <w:r>
        <w:rPr>
          <w:noProof/>
        </w:rPr>
        <w:t xml:space="preserve">. </w:t>
      </w:r>
    </w:p>
    <w:p w14:paraId="2798538E" w14:textId="44140FE3" w:rsidR="3E293728" w:rsidRPr="00A64F36" w:rsidRDefault="00A70A62" w:rsidP="3E293728">
      <w:pPr>
        <w:pStyle w:val="NormalWeb"/>
        <w:spacing w:after="180"/>
        <w:jc w:val="both"/>
        <w:rPr>
          <w:noProof/>
        </w:rPr>
      </w:pPr>
      <w:r>
        <w:rPr>
          <w:b/>
          <w:noProof/>
        </w:rPr>
        <w:t xml:space="preserve">Na místních a regionálních úrovních </w:t>
      </w:r>
      <w:r>
        <w:rPr>
          <w:noProof/>
        </w:rPr>
        <w:t>pomáhají silné a propojené komunity převádět dlouhodobé politiky do praxe, podporují spolupráci mezi věkovými skupinami, posilují začlenění a snižují izolaci, zejména v kontextu demografických změn</w:t>
      </w:r>
      <w:r>
        <w:rPr>
          <w:rStyle w:val="FootnoteReference"/>
          <w:noProof/>
        </w:rPr>
        <w:footnoteReference w:id="45"/>
      </w:r>
      <w:r>
        <w:rPr>
          <w:noProof/>
        </w:rPr>
        <w:t>, urbanizace</w:t>
      </w:r>
      <w:r>
        <w:rPr>
          <w:rStyle w:val="FootnoteReference"/>
          <w:noProof/>
        </w:rPr>
        <w:footnoteReference w:id="46"/>
      </w:r>
      <w:r>
        <w:rPr>
          <w:noProof/>
        </w:rPr>
        <w:t xml:space="preserve"> nebo územního znevýhodnění. Přístup ke službám, mobilita, sdílené veřejné prostory, místní sociální a kulturní infrastruktura ovlivňují to, zda se lidé různých generací mohou plně zapojit do ekonomického, sociálního a demokratického života. Opatření EU, zejména prostřednictvím politiky soudržnosti a zemědělské politiky, podporují vnitrostátní, regionální a místní orgány při posilování odolnosti na úrovni komunit prostřednictvím územních investic, inkluzivního rozvoje měst, pobřeží a venkova</w:t>
      </w:r>
      <w:r>
        <w:rPr>
          <w:rStyle w:val="FootnoteReference"/>
          <w:noProof/>
        </w:rPr>
        <w:footnoteReference w:id="47"/>
      </w:r>
      <w:r>
        <w:rPr>
          <w:noProof/>
        </w:rPr>
        <w:t xml:space="preserve"> a lepšího přístupu ke službám. Jejich cílem je zajistit </w:t>
      </w:r>
      <w:r>
        <w:rPr>
          <w:i/>
          <w:noProof/>
        </w:rPr>
        <w:t>právo setrvat</w:t>
      </w:r>
      <w:r>
        <w:rPr>
          <w:noProof/>
        </w:rPr>
        <w:t xml:space="preserve"> a prosperitu v místech, která lidé nazývají svým domovem.</w:t>
      </w:r>
    </w:p>
    <w:p w14:paraId="49E950F1" w14:textId="47E34E0A" w:rsidR="00036440" w:rsidRPr="00A64F36" w:rsidRDefault="00A70A62" w:rsidP="00036440">
      <w:pPr>
        <w:pStyle w:val="NormalWeb"/>
        <w:spacing w:before="0" w:beforeAutospacing="0" w:after="180" w:afterAutospacing="0"/>
        <w:jc w:val="both"/>
        <w:rPr>
          <w:noProof/>
        </w:rPr>
      </w:pPr>
      <w:r>
        <w:rPr>
          <w:b/>
          <w:noProof/>
        </w:rPr>
        <w:t>Na celosvětové úrovni</w:t>
      </w:r>
      <w:r>
        <w:rPr>
          <w:noProof/>
        </w:rPr>
        <w:t xml:space="preserve"> je přístup EU zakotven v nedávných mnohostranných závazcích. Na summitu OSN o budoucnosti EU a její členské státy schválily Pakt pro budoucnost a Pakt o budoucích generacích, který zdůrazňuje význam multilateralismu a podpory mezinárodního řádu založeného na pravidlech, jehož jádrem je OSN, která podporuje mír</w:t>
      </w:r>
      <w:r>
        <w:rPr>
          <w:rStyle w:val="FootnoteReference"/>
          <w:noProof/>
        </w:rPr>
        <w:footnoteReference w:id="48"/>
      </w:r>
      <w:r>
        <w:rPr>
          <w:noProof/>
        </w:rPr>
        <w:t>.</w:t>
      </w:r>
      <w:r>
        <w:rPr>
          <w:b/>
          <w:noProof/>
        </w:rPr>
        <w:t xml:space="preserve"> </w:t>
      </w:r>
      <w:bookmarkStart w:id="7" w:name="_Hlk219982338"/>
      <w:r>
        <w:rPr>
          <w:noProof/>
        </w:rPr>
        <w:t xml:space="preserve">Nejnovější průzkumy veřejného mínění i evropské panelové diskuse občanů ukazují, že </w:t>
      </w:r>
      <w:r>
        <w:rPr>
          <w:i/>
          <w:noProof/>
        </w:rPr>
        <w:t>bezpečnost a obrana</w:t>
      </w:r>
      <w:r>
        <w:rPr>
          <w:noProof/>
        </w:rPr>
        <w:t xml:space="preserve"> EU patří mezi nejpalčivější obavy Evropanů, zejména mladých lidí. Dosažení strategické autonomie v EU, která zajistí bezpečnost a mír pro své občany, kteří nejsou omezováni nestabilitou, závislostí a konflikty, je investicí pro všechny současné i budoucí generace.</w:t>
      </w:r>
      <w:r>
        <w:rPr>
          <w:b/>
          <w:noProof/>
        </w:rPr>
        <w:t xml:space="preserve"> </w:t>
      </w:r>
      <w:r>
        <w:rPr>
          <w:i/>
          <w:noProof/>
        </w:rPr>
        <w:t>Global Gateway</w:t>
      </w:r>
      <w:r>
        <w:rPr>
          <w:noProof/>
        </w:rPr>
        <w:t>, strategie vnějších investic EU, zajišťuje, aby dlouhodobé investice přispívaly k podpoře cílů veřejné politiky v partnerských zemích, které jsou zakotveny v mezigenerační spravedlnosti, a to podporou místních dovedností, zapojením mládeže, odborného vzdělávání a přípravy a důstojných pracovních míst, přispíváním k ekologičtější a zdravější společnosti a snižováním vícerozměrných nerovností. Cílem globálních opatření EU v oblasti klimatu je zmobilizovat mezinárodní spolupráci, aby bylo možné dosáhnout cílů Pařížské dohody a zajistit udržitelné životní prostředí pro budoucí generace.</w:t>
      </w:r>
    </w:p>
    <w:p w14:paraId="61B366A6" w14:textId="36F7359E" w:rsidR="007D1A56" w:rsidRPr="00A64F36" w:rsidRDefault="00A70A62" w:rsidP="1A16B2EB">
      <w:pPr>
        <w:pStyle w:val="NormalWeb"/>
        <w:spacing w:before="0" w:beforeAutospacing="0" w:after="180" w:afterAutospacing="0"/>
        <w:jc w:val="both"/>
        <w:rPr>
          <w:noProof/>
          <w:color w:val="000000" w:themeColor="text1"/>
        </w:rPr>
      </w:pPr>
      <w:r>
        <w:rPr>
          <w:b/>
          <w:bCs/>
          <w:noProof/>
        </w:rPr>
        <w:t xml:space="preserve">Posilování vztahů s širším sousedstvím </w:t>
      </w:r>
      <w:r>
        <w:rPr>
          <w:b/>
          <w:bCs/>
          <w:noProof/>
          <w:color w:val="000000" w:themeColor="text1"/>
        </w:rPr>
        <w:t>EU</w:t>
      </w:r>
      <w:r>
        <w:rPr>
          <w:noProof/>
          <w:color w:val="000000" w:themeColor="text1"/>
        </w:rPr>
        <w:t xml:space="preserve"> </w:t>
      </w:r>
      <w:r>
        <w:rPr>
          <w:noProof/>
        </w:rPr>
        <w:t>a budování obranné připravenosti a schopností prostřednictvím nástroje SAFE jsou investicemi do mírové budoucnosti</w:t>
      </w:r>
      <w:bookmarkEnd w:id="7"/>
      <w:r>
        <w:rPr>
          <w:noProof/>
        </w:rPr>
        <w:t>.</w:t>
      </w:r>
      <w:r>
        <w:rPr>
          <w:b/>
          <w:noProof/>
        </w:rPr>
        <w:t xml:space="preserve"> </w:t>
      </w:r>
      <w:r>
        <w:rPr>
          <w:noProof/>
        </w:rPr>
        <w:t xml:space="preserve">Rámce spolupráce, jako je </w:t>
      </w:r>
      <w:r>
        <w:rPr>
          <w:i/>
          <w:noProof/>
        </w:rPr>
        <w:t>Pakt pro Středomoří</w:t>
      </w:r>
      <w:r>
        <w:rPr>
          <w:noProof/>
        </w:rPr>
        <w:t>, podporují společně vlastněné iniciativy, které podporují investice do dovedností, hospodářského rozvoje, odolnosti a sociální soudržnosti v celém regionu a uznávají úlohu lidí – zejména mladých – jako hnací síly inovací a sdílené prosperity.</w:t>
      </w:r>
      <w:r>
        <w:rPr>
          <w:noProof/>
          <w:color w:val="000000" w:themeColor="text1"/>
        </w:rPr>
        <w:t xml:space="preserve"> </w:t>
      </w:r>
    </w:p>
    <w:p w14:paraId="22467DCB" w14:textId="44D0C7CA" w:rsidR="007D1A56" w:rsidRPr="00A64F36" w:rsidRDefault="00A70A62" w:rsidP="1A16B2EB">
      <w:pPr>
        <w:pStyle w:val="NormalWeb"/>
        <w:spacing w:before="0" w:beforeAutospacing="0" w:after="180" w:afterAutospacing="0"/>
        <w:jc w:val="both"/>
        <w:rPr>
          <w:b/>
          <w:bCs/>
          <w:noProof/>
        </w:rPr>
      </w:pPr>
      <w:r>
        <w:rPr>
          <w:b/>
          <w:noProof/>
        </w:rPr>
        <w:t>Rozšíření EU</w:t>
      </w:r>
      <w:r>
        <w:rPr>
          <w:noProof/>
        </w:rPr>
        <w:t xml:space="preserve"> je také jednou z nejdůslednějších dlouhodobých investic EU. Důvěryhodný, spravedlivý a na zásluhách založený proces rozšiřování posiluje mír, stabilitu a příležitosti a rozšiřuje vyhlídky mladých lidí jak ve stávajících členských státech, tak v kandidátských a potenciálních kandidátských zemích. V tomto smyslu je rozšíření stejně tak mezigeneračním jako geopolitickým závazkem. V souladu s cíli Komise budou kandidátské a potenciální kandidátské země vyzvány k účasti na akcích uvedených v této strategii spolu s členskými státy EU, pokud to bude možné a proveditelné.</w:t>
      </w:r>
    </w:p>
    <w:p w14:paraId="04194E46" w14:textId="77777777" w:rsidR="00A70A62" w:rsidRPr="00A64F36" w:rsidRDefault="00A70A62" w:rsidP="00A70A62">
      <w:pPr>
        <w:pStyle w:val="Heading2"/>
        <w:numPr>
          <w:ilvl w:val="0"/>
          <w:numId w:val="2"/>
        </w:numPr>
        <w:tabs>
          <w:tab w:val="num" w:pos="360"/>
        </w:tabs>
        <w:ind w:left="0" w:firstLine="0"/>
        <w:rPr>
          <w:rFonts w:ascii="Times New Roman" w:eastAsia="Times New Roman" w:hAnsi="Times New Roman" w:cs="Times New Roman"/>
          <w:b/>
          <w:bCs/>
          <w:noProof/>
          <w:color w:val="0070C0"/>
        </w:rPr>
      </w:pPr>
      <w:r>
        <w:rPr>
          <w:rFonts w:ascii="Times New Roman" w:hAnsi="Times New Roman"/>
          <w:b/>
          <w:noProof/>
          <w:color w:val="0070C0"/>
        </w:rPr>
        <w:t>Další kroky – spolupráce v oblasti mezigenerační spravedlnosti</w:t>
      </w:r>
    </w:p>
    <w:p w14:paraId="59DC785E" w14:textId="2E9D008B" w:rsidR="00A70A62" w:rsidRPr="00A64F36" w:rsidRDefault="00A70A62" w:rsidP="00A70A62">
      <w:pPr>
        <w:spacing w:line="240" w:lineRule="auto"/>
        <w:jc w:val="both"/>
        <w:rPr>
          <w:rFonts w:ascii="Times New Roman" w:eastAsia="Times New Roman" w:hAnsi="Times New Roman" w:cs="Times New Roman"/>
          <w:noProof/>
          <w:kern w:val="0"/>
          <w14:ligatures w14:val="none"/>
        </w:rPr>
      </w:pPr>
      <w:r>
        <w:rPr>
          <w:rFonts w:ascii="Times New Roman" w:hAnsi="Times New Roman"/>
          <w:b/>
          <w:noProof/>
        </w:rPr>
        <w:t>Mezigenerační spravedlnost není jednotná politika, nýbrž způsob tvorby politiky, který důsledně zohledňuje dlouhodobé dopady</w:t>
      </w:r>
      <w:r>
        <w:rPr>
          <w:rFonts w:ascii="Times New Roman" w:hAnsi="Times New Roman"/>
          <w:noProof/>
        </w:rPr>
        <w:t xml:space="preserve"> a snaží se zajistit, aby rozhodnutí, která dnes přijímáme, neohrožovala budoucí dobré životní podmínky, ale naopak je zlepšovala. </w:t>
      </w:r>
    </w:p>
    <w:p w14:paraId="54695B27" w14:textId="77777777" w:rsidR="007D1A56" w:rsidRPr="00A64F36" w:rsidRDefault="00A70A62" w:rsidP="00A70A62">
      <w:pPr>
        <w:pStyle w:val="NormalWeb"/>
        <w:spacing w:after="180"/>
        <w:jc w:val="both"/>
        <w:rPr>
          <w:b/>
          <w:bCs/>
          <w:noProof/>
        </w:rPr>
      </w:pPr>
      <w:r>
        <w:rPr>
          <w:b/>
          <w:noProof/>
        </w:rPr>
        <w:t>Posílení mezigenerační spravedlnosti vyžaduje promyšlené a trvalé úsilí v průběhu času,</w:t>
      </w:r>
      <w:r>
        <w:rPr>
          <w:noProof/>
        </w:rPr>
        <w:t xml:space="preserve"> nikoli jednorázovou reformu. Vyzývá k iterativním, reflexivním a adaptivním přístupům, které se mohou vyvíjet v závislosti na měnících se potřebách, důkazech a okolnostech a které jsou začleněny do stávajících procesů tvorby politik.</w:t>
      </w:r>
      <w:r>
        <w:rPr>
          <w:b/>
          <w:noProof/>
        </w:rPr>
        <w:t xml:space="preserve"> </w:t>
      </w:r>
    </w:p>
    <w:p w14:paraId="514F823E" w14:textId="582A9DDA" w:rsidR="00A70A62" w:rsidRPr="00A64F36" w:rsidRDefault="00A70A62" w:rsidP="00A70A62">
      <w:pPr>
        <w:pStyle w:val="NormalWeb"/>
        <w:spacing w:after="180"/>
        <w:jc w:val="both"/>
        <w:rPr>
          <w:noProof/>
        </w:rPr>
      </w:pPr>
      <w:r>
        <w:rPr>
          <w:b/>
          <w:noProof/>
        </w:rPr>
        <w:t xml:space="preserve">V rámci tohoto procesu může jít Evropská komise příkladem </w:t>
      </w:r>
      <w:r>
        <w:rPr>
          <w:noProof/>
        </w:rPr>
        <w:t>tím, že bude uplatňovat zásady, které prosazuje, a účinně využívat stávající nástroje k lepšímu začlenění dlouhodobých hledisek do své práce. Pokrok bude záviset na spolupráci mezi institucemi EU a členskými státy, ale i na zapojení na regionální a místní úrovni.</w:t>
      </w:r>
    </w:p>
    <w:p w14:paraId="724456DE" w14:textId="0DB3EC74" w:rsidR="00A70A62" w:rsidRPr="00A64F36" w:rsidRDefault="00A70A62" w:rsidP="00A70A62">
      <w:pPr>
        <w:pStyle w:val="NormalWeb"/>
        <w:spacing w:after="180"/>
        <w:jc w:val="both"/>
        <w:rPr>
          <w:noProof/>
        </w:rPr>
      </w:pPr>
      <w:r>
        <w:rPr>
          <w:b/>
          <w:noProof/>
        </w:rPr>
        <w:t>Mezigenerační spravedlnost se již odráží v řadě iniciativ, postupů a politických rozhodnutí EU.</w:t>
      </w:r>
      <w:r>
        <w:rPr>
          <w:noProof/>
        </w:rPr>
        <w:t xml:space="preserve"> Tato strategie vychází z této skutečnosti tím, že podporuje větší soudržnost, viditelnost a výměnu zkušeností a podněcuje k úvahám o tom, jak lze posílit dlouhodobé perspektivy v rámci stávajících rámců. </w:t>
      </w:r>
    </w:p>
    <w:p w14:paraId="42C57464" w14:textId="188D5E9C" w:rsidR="00A70A62" w:rsidRPr="00A64F36" w:rsidRDefault="00A70A62" w:rsidP="00A70A62">
      <w:pPr>
        <w:pStyle w:val="NormalWeb"/>
        <w:spacing w:after="180"/>
        <w:jc w:val="both"/>
        <w:rPr>
          <w:noProof/>
        </w:rPr>
      </w:pPr>
      <w:r>
        <w:rPr>
          <w:b/>
          <w:noProof/>
        </w:rPr>
        <w:t>Komise vyzývá Evropský parlament a Radu EU,</w:t>
      </w:r>
      <w:r>
        <w:rPr>
          <w:noProof/>
        </w:rPr>
        <w:t xml:space="preserve"> aby v rámci svých úkolů zvážily, jakým způsobem lze při tvorbě politik dále zohlednit mezigenerační aspekty. Členské státy EU se vyzývají, aby v souladu s vnitrostátními podmínkami a pravomocemi pokračovaly v začleňování uvažování v dlouhodobém horizontu do veřejného rozhodování a zvyšovaly povědomí o různých aspektech mezigenerační spravedlnosti.</w:t>
      </w:r>
    </w:p>
    <w:p w14:paraId="335E54BA" w14:textId="29BF18AE" w:rsidR="00D52C02" w:rsidRPr="00A64F36" w:rsidRDefault="06D90A44" w:rsidP="001D5967">
      <w:pPr>
        <w:pStyle w:val="NormalWeb"/>
        <w:spacing w:after="180"/>
        <w:jc w:val="both"/>
        <w:rPr>
          <w:noProof/>
        </w:rPr>
      </w:pPr>
      <w:r>
        <w:rPr>
          <w:b/>
          <w:noProof/>
        </w:rPr>
        <w:t xml:space="preserve">Posílením těchto přístupů může EU přejít od zásad k důslednější praxi </w:t>
      </w:r>
      <w:r>
        <w:rPr>
          <w:noProof/>
        </w:rPr>
        <w:t>a zlepšit schopnost veřejných politik vyvážit současné potřeby s budoucími povinnostmi a přispět k lepším výsledkům pro současné i budoucí generace.</w:t>
      </w:r>
    </w:p>
    <w:sectPr w:rsidR="00D52C02" w:rsidRPr="00A64F36" w:rsidSect="00A70A6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556B9" w14:textId="77777777" w:rsidR="00D41B13" w:rsidRDefault="00D41B13" w:rsidP="00A70A62">
      <w:pPr>
        <w:spacing w:after="0" w:line="240" w:lineRule="auto"/>
      </w:pPr>
      <w:r>
        <w:separator/>
      </w:r>
    </w:p>
  </w:endnote>
  <w:endnote w:type="continuationSeparator" w:id="0">
    <w:p w14:paraId="4119F7C8" w14:textId="77777777" w:rsidR="00D41B13" w:rsidRDefault="00D41B13" w:rsidP="00A70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7EE82" w14:textId="0C0F727C" w:rsidR="00EA13D1" w:rsidRPr="00EA13D1" w:rsidRDefault="00EA13D1" w:rsidP="00EA13D1">
    <w:pPr>
      <w:pStyle w:val="FooterCoverPage"/>
      <w:rPr>
        <w:rFonts w:ascii="Arial" w:hAnsi="Arial" w:cs="Arial"/>
        <w:b/>
        <w:sz w:val="48"/>
      </w:rPr>
    </w:pPr>
    <w:r w:rsidRPr="00EA13D1">
      <w:rPr>
        <w:rFonts w:ascii="Arial" w:hAnsi="Arial" w:cs="Arial"/>
        <w:b/>
        <w:sz w:val="48"/>
      </w:rPr>
      <w:t>CS</w:t>
    </w:r>
    <w:r w:rsidRPr="00EA13D1">
      <w:rPr>
        <w:rFonts w:ascii="Arial" w:hAnsi="Arial" w:cs="Arial"/>
        <w:b/>
        <w:sz w:val="48"/>
      </w:rPr>
      <w:tab/>
    </w:r>
    <w:r w:rsidRPr="00EA13D1">
      <w:rPr>
        <w:rFonts w:ascii="Arial" w:hAnsi="Arial" w:cs="Arial"/>
        <w:b/>
        <w:sz w:val="48"/>
      </w:rPr>
      <w:tab/>
    </w:r>
    <w:r w:rsidRPr="00EA13D1">
      <w:tab/>
    </w:r>
    <w:r w:rsidRPr="00EA13D1">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AD960" w14:textId="367B8548" w:rsidR="00EA13D1" w:rsidRPr="00EA13D1" w:rsidRDefault="00EA13D1" w:rsidP="00EA13D1">
    <w:pPr>
      <w:pStyle w:val="FooterCoverPage"/>
      <w:rPr>
        <w:rFonts w:ascii="Arial" w:hAnsi="Arial" w:cs="Arial"/>
        <w:b/>
        <w:sz w:val="48"/>
      </w:rPr>
    </w:pPr>
    <w:r w:rsidRPr="00EA13D1">
      <w:rPr>
        <w:rFonts w:ascii="Arial" w:hAnsi="Arial" w:cs="Arial"/>
        <w:b/>
        <w:sz w:val="48"/>
      </w:rPr>
      <w:t>CS</w:t>
    </w:r>
    <w:r w:rsidRPr="00EA13D1">
      <w:rPr>
        <w:rFonts w:ascii="Arial" w:hAnsi="Arial" w:cs="Arial"/>
        <w:b/>
        <w:sz w:val="48"/>
      </w:rPr>
      <w:tab/>
    </w:r>
    <w:r w:rsidRPr="00EA13D1">
      <w:rPr>
        <w:rFonts w:ascii="Arial" w:hAnsi="Arial" w:cs="Arial"/>
        <w:b/>
        <w:sz w:val="48"/>
      </w:rPr>
      <w:tab/>
    </w:r>
    <w:r w:rsidRPr="00EA13D1">
      <w:tab/>
    </w:r>
    <w:r w:rsidRPr="00EA13D1">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DBFEF" w14:textId="77777777" w:rsidR="00EA13D1" w:rsidRPr="00EA13D1" w:rsidRDefault="00EA13D1" w:rsidP="00EA13D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03BBB" w14:textId="77777777" w:rsidR="00A70A62" w:rsidRDefault="00A70A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5682747"/>
      <w:docPartObj>
        <w:docPartGallery w:val="Page Numbers (Bottom of Page)"/>
        <w:docPartUnique/>
      </w:docPartObj>
    </w:sdtPr>
    <w:sdtEndPr>
      <w:rPr>
        <w:noProof/>
      </w:rPr>
    </w:sdtEndPr>
    <w:sdtContent>
      <w:p w14:paraId="27732BDC" w14:textId="07B2DF13" w:rsidR="00A70A62" w:rsidRPr="00973910" w:rsidRDefault="00A70A62">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A13D1">
          <w:rPr>
            <w:rFonts w:ascii="Times New Roman" w:hAnsi="Times New Roman" w:cs="Times New Roman"/>
            <w:noProof/>
          </w:rPr>
          <w:t>2</w:t>
        </w:r>
        <w:r>
          <w:rPr>
            <w:rFonts w:ascii="Times New Roman" w:hAnsi="Times New Roman" w:cs="Times New Roman"/>
          </w:rPr>
          <w:fldChar w:fldCharType="end"/>
        </w:r>
      </w:p>
    </w:sdtContent>
  </w:sdt>
  <w:p w14:paraId="08665005" w14:textId="77777777" w:rsidR="00A70A62" w:rsidRPr="00973910" w:rsidRDefault="00A70A62">
    <w:pPr>
      <w:pStyle w:val="Footer"/>
      <w:rPr>
        <w:rFonts w:ascii="Times New Roman" w:hAnsi="Times New Roman"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BC2EF" w14:textId="77777777" w:rsidR="00A70A62" w:rsidRDefault="00A70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CE41E" w14:textId="77777777" w:rsidR="00D41B13" w:rsidRDefault="00D41B13" w:rsidP="00A70A62">
      <w:pPr>
        <w:spacing w:after="0" w:line="240" w:lineRule="auto"/>
      </w:pPr>
      <w:r>
        <w:separator/>
      </w:r>
    </w:p>
  </w:footnote>
  <w:footnote w:type="continuationSeparator" w:id="0">
    <w:p w14:paraId="3096E85A" w14:textId="77777777" w:rsidR="00D41B13" w:rsidRDefault="00D41B13" w:rsidP="00A70A62">
      <w:pPr>
        <w:spacing w:after="0" w:line="240" w:lineRule="auto"/>
      </w:pPr>
      <w:r>
        <w:continuationSeparator/>
      </w:r>
    </w:p>
  </w:footnote>
  <w:footnote w:id="1">
    <w:p w14:paraId="541926E1" w14:textId="77777777" w:rsidR="00A70A62" w:rsidRPr="008E7A92" w:rsidRDefault="00A70A62" w:rsidP="00B22CB0">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1" w:history="1">
        <w:r>
          <w:rPr>
            <w:rStyle w:val="Hyperlink"/>
            <w:rFonts w:ascii="Times New Roman" w:hAnsi="Times New Roman"/>
            <w:sz w:val="16"/>
          </w:rPr>
          <w:t>Podpůrné materiály pro návrh strategie</w:t>
        </w:r>
      </w:hyperlink>
      <w:r>
        <w:t>.</w:t>
      </w:r>
    </w:p>
  </w:footnote>
  <w:footnote w:id="2">
    <w:p w14:paraId="63F57681" w14:textId="77777777" w:rsidR="00A70A62" w:rsidRPr="008E7A92" w:rsidRDefault="00A70A62" w:rsidP="00B22CB0">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2" w:history="1">
        <w:r>
          <w:rPr>
            <w:rStyle w:val="Hyperlink"/>
            <w:rFonts w:ascii="Times New Roman" w:hAnsi="Times New Roman"/>
            <w:sz w:val="16"/>
          </w:rPr>
          <w:t>Evropská panelová diskuse občanů o mezigenerační spravedlnosti</w:t>
        </w:r>
      </w:hyperlink>
      <w:r>
        <w:t>.</w:t>
      </w:r>
    </w:p>
  </w:footnote>
  <w:footnote w:id="3">
    <w:p w14:paraId="5AD01ADD" w14:textId="77777777" w:rsidR="00A70A62" w:rsidRPr="008E7A92" w:rsidRDefault="00A70A62" w:rsidP="00B22CB0">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3" w:history="1">
        <w:r>
          <w:rPr>
            <w:rStyle w:val="Hyperlink"/>
            <w:rFonts w:ascii="Times New Roman" w:hAnsi="Times New Roman"/>
            <w:sz w:val="16"/>
          </w:rPr>
          <w:t>Pakt o budoucích generacích – OSN</w:t>
        </w:r>
      </w:hyperlink>
      <w:r>
        <w:t>.</w:t>
      </w:r>
    </w:p>
  </w:footnote>
  <w:footnote w:id="4">
    <w:p w14:paraId="7CA36E9E" w14:textId="77777777" w:rsidR="00A70A62" w:rsidRPr="008E7A92" w:rsidRDefault="00A70A62" w:rsidP="00A64F36">
      <w:pPr>
        <w:pStyle w:val="FootnoteText"/>
        <w:jc w:val="both"/>
        <w:rPr>
          <w:rFonts w:ascii="Times New Roman" w:eastAsia="Times New Roman" w:hAnsi="Times New Roman" w:cs="Times New Roman"/>
          <w:color w:val="000000" w:themeColor="text1"/>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Smlouva o Evropské unii v čl. 3 odst. 3 stanoví, že Unie podporuje mezigenerační solidaritu, a Listina základních práv zdůrazňuje, že uplatňování základních práv zahrnuje odpovědnost ve vztahu k budoucím generacím. Na zaměření Unie na mezigenerační soudržnost poukazují mimo jiné klíčové iniciativy, jako je Evropský rok aktivního stárnutí 2012 a Evropský rok mládeže 2022. Ve sdělení o demografických změnách z roku 2023 je mezigenerační spravedlnost ústředním bodem politiky a ve zprávě o strategickém výhledu z roku 2025 je uvedena jako jedna z osmi klíčových priorit.</w:t>
      </w:r>
    </w:p>
  </w:footnote>
  <w:footnote w:id="5">
    <w:p w14:paraId="24D7978A" w14:textId="77777777" w:rsidR="00A70A62" w:rsidRPr="008E7A92" w:rsidRDefault="00A70A62" w:rsidP="00482FA8">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Evropská komise určila a monitoruje čtrnáct megatrendů, které jsou klíčové pro budoucnost EU, a to prostřednictvím svého </w:t>
      </w:r>
      <w:hyperlink r:id="rId4" w:history="1">
        <w:r>
          <w:rPr>
            <w:rStyle w:val="Hyperlink"/>
            <w:rFonts w:ascii="Times New Roman" w:hAnsi="Times New Roman"/>
            <w:sz w:val="16"/>
          </w:rPr>
          <w:t>Centra pro megatrendy</w:t>
        </w:r>
      </w:hyperlink>
      <w:r>
        <w:rPr>
          <w:rFonts w:ascii="Times New Roman" w:hAnsi="Times New Roman"/>
          <w:sz w:val="16"/>
        </w:rPr>
        <w:t>.</w:t>
      </w:r>
    </w:p>
  </w:footnote>
  <w:footnote w:id="6">
    <w:p w14:paraId="7DDD5196" w14:textId="63D76F21" w:rsidR="00A70A62" w:rsidRPr="008E7A92" w:rsidRDefault="00A70A62" w:rsidP="00482FA8">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5" w:history="1">
        <w:r>
          <w:rPr>
            <w:rStyle w:val="Hyperlink"/>
            <w:rFonts w:ascii="Times New Roman" w:hAnsi="Times New Roman"/>
            <w:sz w:val="16"/>
          </w:rPr>
          <w:t>Výhledová studie ESPAS 2025 o mezigenerační spravedlnosti</w:t>
        </w:r>
      </w:hyperlink>
      <w:r>
        <w:rPr>
          <w:rFonts w:ascii="Times New Roman" w:hAnsi="Times New Roman"/>
          <w:sz w:val="16"/>
        </w:rPr>
        <w:t xml:space="preserve"> nabízí jasný přehled výzev a příležitostí megatrendů týkajících se mezigenerační spravedlnosti.</w:t>
      </w:r>
    </w:p>
  </w:footnote>
  <w:footnote w:id="7">
    <w:p w14:paraId="1926BFA1" w14:textId="77777777" w:rsidR="00621C87" w:rsidRPr="008E7A92" w:rsidRDefault="00621C87" w:rsidP="00621C87">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Zpráva o </w:t>
      </w:r>
      <w:hyperlink r:id="rId6" w:history="1">
        <w:r>
          <w:rPr>
            <w:rStyle w:val="Hyperlink"/>
            <w:rFonts w:ascii="Times New Roman" w:hAnsi="Times New Roman"/>
            <w:sz w:val="16"/>
          </w:rPr>
          <w:t>strategickém výhledu z roku 2025</w:t>
        </w:r>
      </w:hyperlink>
      <w:r>
        <w:rPr>
          <w:rFonts w:ascii="Times New Roman" w:hAnsi="Times New Roman"/>
          <w:sz w:val="16"/>
        </w:rPr>
        <w:t xml:space="preserve"> uvádí osm klíčových oblastí, v nichž může EU jednat, aby proměnila specifické evropské výzvy v příležitosti.</w:t>
      </w:r>
    </w:p>
  </w:footnote>
  <w:footnote w:id="8">
    <w:p w14:paraId="5FB020E4" w14:textId="40D7F640" w:rsidR="00A70A62" w:rsidRPr="008E7A92" w:rsidRDefault="00A70A62" w:rsidP="00A64F36">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7" w:history="1">
        <w:r>
          <w:rPr>
            <w:rStyle w:val="Hyperlink"/>
            <w:rFonts w:ascii="Times New Roman" w:hAnsi="Times New Roman"/>
            <w:sz w:val="16"/>
          </w:rPr>
          <w:t>Zpráva o provádění strategie EU pro mládež (2022–2024)</w:t>
        </w:r>
      </w:hyperlink>
      <w:r>
        <w:rPr>
          <w:rFonts w:ascii="Times New Roman" w:hAnsi="Times New Roman"/>
          <w:sz w:val="16"/>
        </w:rPr>
        <w:t xml:space="preserve"> – Úřad pro publikace EU. </w:t>
      </w:r>
    </w:p>
  </w:footnote>
  <w:footnote w:id="9">
    <w:p w14:paraId="02EAC32B" w14:textId="7F45E1E1" w:rsidR="00A70A62" w:rsidRPr="008E7A92" w:rsidRDefault="00A70A62" w:rsidP="006140DF">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Podle </w:t>
      </w:r>
      <w:hyperlink r:id="rId8">
        <w:r>
          <w:rPr>
            <w:rStyle w:val="Hyperlink"/>
            <w:rFonts w:ascii="Times New Roman" w:hAnsi="Times New Roman"/>
            <w:sz w:val="16"/>
          </w:rPr>
          <w:t>Eurostatu</w:t>
        </w:r>
      </w:hyperlink>
      <w:r>
        <w:rPr>
          <w:rFonts w:ascii="Times New Roman" w:hAnsi="Times New Roman"/>
          <w:sz w:val="16"/>
        </w:rPr>
        <w:t xml:space="preserve"> mělo v roce 2025 alespoň základní digitální dovednosti alespoň 75 % mladých lidí ve věku 16 až 29 let.</w:t>
      </w:r>
    </w:p>
  </w:footnote>
  <w:footnote w:id="10">
    <w:p w14:paraId="20497E58" w14:textId="77777777" w:rsidR="00A70A62" w:rsidRPr="008E7A92" w:rsidRDefault="00A70A62" w:rsidP="006140DF">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9" w:history="1">
        <w:r>
          <w:rPr>
            <w:rStyle w:val="Hyperlink"/>
            <w:rFonts w:ascii="Times New Roman" w:hAnsi="Times New Roman"/>
            <w:sz w:val="16"/>
          </w:rPr>
          <w:t>Dovednosti pro digitální věk – vysvětlení statistik – Eurostat</w:t>
        </w:r>
      </w:hyperlink>
      <w:r>
        <w:t>.</w:t>
      </w:r>
      <w:r>
        <w:rPr>
          <w:rFonts w:ascii="Times New Roman" w:hAnsi="Times New Roman"/>
          <w:sz w:val="16"/>
        </w:rPr>
        <w:t xml:space="preserve"> </w:t>
      </w:r>
    </w:p>
  </w:footnote>
  <w:footnote w:id="11">
    <w:p w14:paraId="3E80BBBA" w14:textId="4BB19FD5" w:rsidR="00A70A62" w:rsidRPr="008E7A92" w:rsidRDefault="00A70A62" w:rsidP="006140DF">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10" w:history="1">
        <w:r>
          <w:rPr>
            <w:rStyle w:val="Hyperlink"/>
            <w:rFonts w:ascii="Times New Roman" w:hAnsi="Times New Roman"/>
            <w:sz w:val="16"/>
          </w:rPr>
          <w:t>Digitální dovednosti v roce 2023:</w:t>
        </w:r>
      </w:hyperlink>
      <w:hyperlink r:id="rId11" w:history="1">
        <w:r>
          <w:rPr>
            <w:rStyle w:val="Hyperlink"/>
            <w:rFonts w:ascii="Times New Roman" w:hAnsi="Times New Roman"/>
            <w:sz w:val="16"/>
          </w:rPr>
          <w:t xml:space="preserve"> vliv vzdělávání a věku</w:t>
        </w:r>
      </w:hyperlink>
      <w:r>
        <w:t>.</w:t>
      </w:r>
    </w:p>
  </w:footnote>
  <w:footnote w:id="12">
    <w:p w14:paraId="491A7E6B" w14:textId="77777777" w:rsidR="006C4AAF" w:rsidRPr="008E7A92" w:rsidRDefault="006C4AAF" w:rsidP="006140DF">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12" w:history="1">
        <w:r>
          <w:rPr>
            <w:rStyle w:val="Hyperlink"/>
            <w:rFonts w:ascii="Times New Roman" w:hAnsi="Times New Roman"/>
            <w:sz w:val="16"/>
          </w:rPr>
          <w:t>Diskriminace v Evropské unii – prosinec 2023 – průzkum Eurobarometr</w:t>
        </w:r>
      </w:hyperlink>
      <w:r>
        <w:t>.</w:t>
      </w:r>
    </w:p>
  </w:footnote>
  <w:footnote w:id="13">
    <w:p w14:paraId="271DAEB5" w14:textId="770A2D49" w:rsidR="00A70A62" w:rsidRPr="008E7A92" w:rsidRDefault="00A70A62" w:rsidP="006140DF">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13" w:history="1">
        <w:r>
          <w:rPr>
            <w:rStyle w:val="Hyperlink"/>
            <w:rFonts w:ascii="Times New Roman" w:hAnsi="Times New Roman"/>
            <w:sz w:val="16"/>
          </w:rPr>
          <w:t>Statistiky zaměřené na zdravotní pojištění – starší generace potřebuje pomoc nebo podporu</w:t>
        </w:r>
      </w:hyperlink>
      <w:r>
        <w:t>.</w:t>
      </w:r>
    </w:p>
  </w:footnote>
  <w:footnote w:id="14">
    <w:p w14:paraId="2E5E40B5" w14:textId="380ECDE4" w:rsidR="00C81D7E" w:rsidRPr="008E7A92" w:rsidRDefault="00C81D7E" w:rsidP="00C81D7E">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14" w:history="1">
        <w:r>
          <w:rPr>
            <w:rStyle w:val="Hyperlink"/>
            <w:rFonts w:ascii="Times New Roman" w:hAnsi="Times New Roman"/>
            <w:sz w:val="16"/>
          </w:rPr>
          <w:t>Rozdíly v odměňování žen a mužů v EU – Evropská komise</w:t>
        </w:r>
      </w:hyperlink>
      <w:r>
        <w:rPr>
          <w:rFonts w:ascii="Times New Roman" w:hAnsi="Times New Roman"/>
          <w:sz w:val="16"/>
        </w:rPr>
        <w:t xml:space="preserve">; </w:t>
      </w:r>
      <w:hyperlink r:id="rId15" w:history="1">
        <w:r>
          <w:rPr>
            <w:rStyle w:val="Hyperlink"/>
            <w:rFonts w:ascii="Times New Roman" w:hAnsi="Times New Roman"/>
            <w:sz w:val="16"/>
          </w:rPr>
          <w:t>Rozdíly v zaměstnanosti žen a osob se zdravotním postižením – Eurostat</w:t>
        </w:r>
      </w:hyperlink>
      <w:r>
        <w:t>.</w:t>
      </w:r>
    </w:p>
  </w:footnote>
  <w:footnote w:id="15">
    <w:p w14:paraId="55D8B7F2" w14:textId="77777777" w:rsidR="00EA0CC4" w:rsidRPr="008E7A92" w:rsidRDefault="00EA0CC4" w:rsidP="00EA0CC4">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OECD (2025), </w:t>
      </w:r>
      <w:r>
        <w:rPr>
          <w:rFonts w:ascii="Times New Roman" w:hAnsi="Times New Roman"/>
          <w:i/>
          <w:sz w:val="16"/>
        </w:rPr>
        <w:t>To Have and Have Not - How to Bridge the Gap in Opportunities (Mít a nemít – jak překonat rozdíly v příležitostech</w:t>
      </w:r>
      <w:r>
        <w:rPr>
          <w:rFonts w:ascii="Times New Roman" w:hAnsi="Times New Roman"/>
          <w:sz w:val="16"/>
        </w:rPr>
        <w:t xml:space="preserve">), OECD Publishing, Paříž, </w:t>
      </w:r>
      <w:hyperlink r:id="rId16" w:history="1">
        <w:r>
          <w:rPr>
            <w:rStyle w:val="Hyperlink"/>
            <w:rFonts w:ascii="Times New Roman" w:hAnsi="Times New Roman"/>
            <w:sz w:val="16"/>
          </w:rPr>
          <w:t>https://doi.org/10.1787/dec143ad</w:t>
        </w:r>
      </w:hyperlink>
      <w:r>
        <w:t>.</w:t>
      </w:r>
    </w:p>
  </w:footnote>
  <w:footnote w:id="16">
    <w:p w14:paraId="0CF75170" w14:textId="1FF2B226" w:rsidR="7EB3A829" w:rsidRPr="008E7A92" w:rsidRDefault="7EB3A829" w:rsidP="00482FA8">
      <w:pPr>
        <w:spacing w:after="0" w:line="240" w:lineRule="auto"/>
        <w:jc w:val="both"/>
        <w:rPr>
          <w:rFonts w:ascii="Times New Roman" w:eastAsia="Aptos" w:hAnsi="Times New Roman" w:cs="Times New Roman"/>
          <w:sz w:val="16"/>
          <w:szCs w:val="16"/>
        </w:rPr>
      </w:pPr>
      <w:r>
        <w:rPr>
          <w:rStyle w:val="FootnoteReference"/>
          <w:rFonts w:ascii="Times New Roman" w:hAnsi="Times New Roman" w:cs="Times New Roman"/>
          <w:sz w:val="16"/>
          <w:szCs w:val="16"/>
          <w:lang w:val="en-GB"/>
        </w:rPr>
        <w:footnoteRef/>
      </w:r>
      <w:r>
        <w:rPr>
          <w:rFonts w:ascii="Times New Roman" w:hAnsi="Times New Roman"/>
          <w:sz w:val="16"/>
        </w:rPr>
        <w:t xml:space="preserve"> </w:t>
      </w:r>
      <w:hyperlink r:id="rId17" w:history="1">
        <w:r>
          <w:rPr>
            <w:rStyle w:val="Hyperlink"/>
            <w:rFonts w:ascii="Times New Roman" w:hAnsi="Times New Roman"/>
            <w:color w:val="467886"/>
            <w:sz w:val="16"/>
          </w:rPr>
          <w:t>Posouzení dopadů pro cíl v oblasti klimatu do roku 2040, SWD(2024) 63 final, část 2/5, příloha 7, oddíl 3</w:t>
        </w:r>
      </w:hyperlink>
      <w:r>
        <w:t>.</w:t>
      </w:r>
    </w:p>
  </w:footnote>
  <w:footnote w:id="17">
    <w:p w14:paraId="4C40BE9A" w14:textId="4B922764" w:rsidR="00036440" w:rsidRPr="00AE047D" w:rsidRDefault="00036440" w:rsidP="00036440">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18" w:history="1">
        <w:r>
          <w:rPr>
            <w:rStyle w:val="Hyperlink"/>
            <w:rFonts w:ascii="Times New Roman" w:hAnsi="Times New Roman"/>
            <w:sz w:val="16"/>
          </w:rPr>
          <w:t>Hospodářské ztráty způsobené extrémy počasí a klimatu v Evropě |</w:t>
        </w:r>
      </w:hyperlink>
      <w:hyperlink r:id="rId19" w:history="1">
        <w:r>
          <w:rPr>
            <w:rStyle w:val="Hyperlink"/>
            <w:rFonts w:ascii="Times New Roman" w:hAnsi="Times New Roman"/>
            <w:sz w:val="16"/>
          </w:rPr>
          <w:t xml:space="preserve"> Ukazatele |</w:t>
        </w:r>
      </w:hyperlink>
      <w:hyperlink r:id="rId20" w:history="1">
        <w:r>
          <w:rPr>
            <w:rStyle w:val="Hyperlink"/>
            <w:rFonts w:ascii="Times New Roman" w:hAnsi="Times New Roman"/>
            <w:sz w:val="16"/>
          </w:rPr>
          <w:t xml:space="preserve"> Evropská agentura pro životní prostředí (EEA)</w:t>
        </w:r>
      </w:hyperlink>
      <w:r>
        <w:rPr>
          <w:rFonts w:ascii="Times New Roman" w:hAnsi="Times New Roman"/>
          <w:sz w:val="16"/>
        </w:rPr>
        <w:t>. Z hospodářských ztrát souvisejících s klimatem ve výši 822 miliard EUR, ke kterým došlo za posledních 45 let, jich 25 % vzniklo za pouhé poslední čtyři roky.</w:t>
      </w:r>
    </w:p>
  </w:footnote>
  <w:footnote w:id="18">
    <w:p w14:paraId="4422BA9B" w14:textId="14F2C07F" w:rsidR="00A70A62" w:rsidRPr="008E7A92" w:rsidRDefault="00A70A62" w:rsidP="00482FA8">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21" w:history="1">
        <w:r>
          <w:rPr>
            <w:rStyle w:val="Hyperlink"/>
            <w:rFonts w:ascii="Times New Roman" w:hAnsi="Times New Roman"/>
            <w:sz w:val="16"/>
          </w:rPr>
          <w:t>Spravedlnost, nerovnost a mezigenerační mobilita – únor 2023 – průzkum Eurobarometr</w:t>
        </w:r>
      </w:hyperlink>
      <w:r>
        <w:t>.</w:t>
      </w:r>
    </w:p>
  </w:footnote>
  <w:footnote w:id="19">
    <w:p w14:paraId="64FBD62E" w14:textId="0343D530" w:rsidR="002D2E4D" w:rsidRPr="00B22CB0" w:rsidRDefault="002D2E4D" w:rsidP="00482FA8">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22" w:history="1">
        <w:r>
          <w:rPr>
            <w:rStyle w:val="Hyperlink"/>
            <w:rFonts w:ascii="Times New Roman" w:hAnsi="Times New Roman"/>
            <w:sz w:val="16"/>
          </w:rPr>
          <w:t>Rizikové faktory a důsledky osamělosti – Společné výzkumné středisko:</w:t>
        </w:r>
      </w:hyperlink>
      <w:hyperlink r:id="rId23" w:history="1">
        <w:r>
          <w:rPr>
            <w:rStyle w:val="Hyperlink"/>
            <w:rFonts w:ascii="Times New Roman" w:hAnsi="Times New Roman"/>
            <w:sz w:val="16"/>
          </w:rPr>
          <w:t xml:space="preserve"> Portál EU Science Hub</w:t>
        </w:r>
      </w:hyperlink>
      <w:r>
        <w:t>.</w:t>
      </w:r>
    </w:p>
  </w:footnote>
  <w:footnote w:id="20">
    <w:p w14:paraId="5A4F7200" w14:textId="40604A92" w:rsidR="00A64F36" w:rsidRPr="00B22CB0" w:rsidRDefault="00A64F36">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24" w:history="1">
        <w:r>
          <w:rPr>
            <w:rStyle w:val="Hyperlink"/>
            <w:rFonts w:ascii="Times New Roman" w:hAnsi="Times New Roman"/>
            <w:sz w:val="16"/>
          </w:rPr>
          <w:t>Evropský kodex zásad boje proti šíření dezinformací |</w:t>
        </w:r>
      </w:hyperlink>
      <w:hyperlink r:id="rId25" w:history="1">
        <w:r>
          <w:rPr>
            <w:rStyle w:val="Hyperlink"/>
            <w:rFonts w:ascii="Times New Roman" w:hAnsi="Times New Roman"/>
            <w:sz w:val="16"/>
          </w:rPr>
          <w:t xml:space="preserve"> Evropská komise</w:t>
        </w:r>
      </w:hyperlink>
      <w:r>
        <w:rPr>
          <w:rFonts w:ascii="Times New Roman" w:hAnsi="Times New Roman"/>
          <w:sz w:val="16"/>
        </w:rPr>
        <w:t>. 63 % mladších Evropanů se s falešnými zprávami setkává častěji než jednou týdně a 51 % Evropanů si myslí, že byli vystaveni dezinformacím na internetu.</w:t>
      </w:r>
    </w:p>
  </w:footnote>
  <w:footnote w:id="21">
    <w:p w14:paraId="0380CEB3" w14:textId="77777777" w:rsidR="00A70A62" w:rsidRPr="00B22CB0" w:rsidRDefault="00A70A62" w:rsidP="00A70A62">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OECD (2025), </w:t>
      </w:r>
      <w:r>
        <w:rPr>
          <w:rFonts w:ascii="Times New Roman" w:hAnsi="Times New Roman"/>
          <w:i/>
          <w:sz w:val="16"/>
        </w:rPr>
        <w:t>Better Regulation Practices across the European Union 2025</w:t>
      </w:r>
      <w:r>
        <w:rPr>
          <w:rFonts w:ascii="Times New Roman" w:hAnsi="Times New Roman"/>
          <w:sz w:val="16"/>
        </w:rPr>
        <w:t xml:space="preserve"> (Zlepšení právní úpravy v rámci Evropské unie v roce 2025), OECD Publishing, Paříž, </w:t>
      </w:r>
      <w:hyperlink r:id="rId26" w:history="1">
        <w:r>
          <w:rPr>
            <w:rStyle w:val="Hyperlink"/>
            <w:rFonts w:ascii="Times New Roman" w:hAnsi="Times New Roman"/>
            <w:sz w:val="16"/>
          </w:rPr>
          <w:t>https://doi.org/10.1787/6f007516</w:t>
        </w:r>
      </w:hyperlink>
      <w:r>
        <w:t>.</w:t>
      </w:r>
    </w:p>
  </w:footnote>
  <w:footnote w:id="22">
    <w:p w14:paraId="7F86657E" w14:textId="2AFD7919" w:rsidR="00A70A62" w:rsidRPr="008E7A92" w:rsidRDefault="00A70A62" w:rsidP="007D1A56">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r>
        <w:rPr>
          <w:rFonts w:ascii="Times New Roman" w:hAnsi="Times New Roman"/>
          <w:color w:val="000000" w:themeColor="text1"/>
          <w:sz w:val="16"/>
        </w:rPr>
        <w:t>Finský „</w:t>
      </w:r>
      <w:hyperlink r:id="rId27" w:history="1">
        <w:r>
          <w:rPr>
            <w:rStyle w:val="Hyperlink"/>
            <w:rFonts w:ascii="Times New Roman" w:hAnsi="Times New Roman"/>
            <w:sz w:val="16"/>
          </w:rPr>
          <w:t>Výbor pro budoucnost</w:t>
        </w:r>
      </w:hyperlink>
      <w:r>
        <w:rPr>
          <w:rFonts w:ascii="Times New Roman" w:hAnsi="Times New Roman"/>
          <w:color w:val="000000" w:themeColor="text1"/>
          <w:sz w:val="16"/>
        </w:rPr>
        <w:t>“ je stálý parlamentní orgán, který institucionalizuje předvídavost ve správě věcí veřejných.</w:t>
      </w:r>
    </w:p>
  </w:footnote>
  <w:footnote w:id="23">
    <w:p w14:paraId="61F08304" w14:textId="77777777" w:rsidR="00A70A62" w:rsidRPr="008E7A92" w:rsidRDefault="00A70A62" w:rsidP="007D1A56">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Španělský „</w:t>
      </w:r>
      <w:hyperlink r:id="rId28" w:history="1">
        <w:r>
          <w:rPr>
            <w:rStyle w:val="Hyperlink"/>
            <w:rFonts w:ascii="Times New Roman" w:hAnsi="Times New Roman"/>
            <w:sz w:val="16"/>
          </w:rPr>
          <w:t>Národní úřad pro prognózu a strategii</w:t>
        </w:r>
      </w:hyperlink>
      <w:r>
        <w:rPr>
          <w:rFonts w:ascii="Times New Roman" w:hAnsi="Times New Roman"/>
          <w:color w:val="000000" w:themeColor="text1"/>
          <w:sz w:val="16"/>
        </w:rPr>
        <w:t>“ koordinuje plán „Španělsko 2050“ a institucionalizuje strategický výhled v rámci správy věcí veřejných s cílem sladit současné politiky s dlouhodobými cíli mezigenerační spravedlnosti.</w:t>
      </w:r>
    </w:p>
  </w:footnote>
  <w:footnote w:id="24">
    <w:p w14:paraId="62DF0E30" w14:textId="51FDFC4E" w:rsidR="00A70A62" w:rsidRPr="00B22CB0" w:rsidRDefault="00A70A62" w:rsidP="007D1A56">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Maltský „</w:t>
      </w:r>
      <w:hyperlink r:id="rId29" w:history="1">
        <w:r>
          <w:rPr>
            <w:rStyle w:val="Hyperlink"/>
            <w:rFonts w:ascii="Times New Roman" w:hAnsi="Times New Roman"/>
            <w:sz w:val="16"/>
          </w:rPr>
          <w:t>Strážce budoucích generací</w:t>
        </w:r>
      </w:hyperlink>
      <w:r>
        <w:rPr>
          <w:rFonts w:ascii="Times New Roman" w:hAnsi="Times New Roman"/>
          <w:sz w:val="16"/>
        </w:rPr>
        <w:t>“ je komise na vysoké úrovni, která kontroluje sektory vládních institucí, aby zajistila, že politiky udržitelného rozvoje neohrozí budoucí občany.</w:t>
      </w:r>
    </w:p>
  </w:footnote>
  <w:footnote w:id="25">
    <w:p w14:paraId="6FA7A9D1" w14:textId="591B82AE" w:rsidR="007C669E" w:rsidRPr="00B22CB0" w:rsidRDefault="007C669E" w:rsidP="00B22CB0">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Opatření na podporu finanční gramotnosti jsou popsána v dokumentu Evropské komise (2025), </w:t>
      </w:r>
      <w:hyperlink r:id="rId30" w:history="1">
        <w:r>
          <w:rPr>
            <w:rStyle w:val="Hyperlink"/>
            <w:rFonts w:ascii="Times New Roman" w:hAnsi="Times New Roman"/>
            <w:i/>
            <w:sz w:val="16"/>
          </w:rPr>
          <w:t>Sdělení o strategii EU v oblasti finanční gramotnosti</w:t>
        </w:r>
      </w:hyperlink>
      <w:r>
        <w:rPr>
          <w:rFonts w:ascii="Times New Roman" w:hAnsi="Times New Roman"/>
          <w:sz w:val="16"/>
        </w:rPr>
        <w:t>, COM(2025) 681 final.</w:t>
      </w:r>
    </w:p>
  </w:footnote>
  <w:footnote w:id="26">
    <w:p w14:paraId="41BE690F" w14:textId="77777777" w:rsidR="006F0A75" w:rsidRPr="00B22CB0" w:rsidRDefault="006F0A75" w:rsidP="00B22CB0">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V souladu se zásadami evropské záruky pro děti, </w:t>
      </w:r>
      <w:hyperlink r:id="rId31" w:history="1">
        <w:r>
          <w:rPr>
            <w:rStyle w:val="Hyperlink"/>
            <w:rFonts w:ascii="Times New Roman" w:hAnsi="Times New Roman"/>
            <w:i/>
            <w:sz w:val="16"/>
          </w:rPr>
          <w:t>Evropská záruka pro děti – zaměstnanost, sociální věci a sociální začleňování</w:t>
        </w:r>
      </w:hyperlink>
      <w:r>
        <w:rPr>
          <w:rFonts w:ascii="Times New Roman" w:hAnsi="Times New Roman"/>
          <w:sz w:val="16"/>
        </w:rPr>
        <w:t>.</w:t>
      </w:r>
    </w:p>
  </w:footnote>
  <w:footnote w:id="27">
    <w:p w14:paraId="06BFE516" w14:textId="0F713BCF" w:rsidR="00110939" w:rsidRPr="008E7A92" w:rsidRDefault="00110939" w:rsidP="00110939">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32" w:history="1">
        <w:r>
          <w:rPr>
            <w:rStyle w:val="Hyperlink"/>
            <w:rFonts w:ascii="Times New Roman" w:hAnsi="Times New Roman"/>
            <w:sz w:val="16"/>
          </w:rPr>
          <w:t>Strategie EU pro práva dítěte</w:t>
        </w:r>
      </w:hyperlink>
      <w:r>
        <w:rPr>
          <w:rFonts w:ascii="Times New Roman" w:hAnsi="Times New Roman"/>
          <w:sz w:val="16"/>
        </w:rPr>
        <w:t>, COM(2021) 142 final.</w:t>
      </w:r>
    </w:p>
  </w:footnote>
  <w:footnote w:id="28">
    <w:p w14:paraId="63678E0F" w14:textId="6899EABD" w:rsidR="00130792" w:rsidRPr="00B22CB0" w:rsidRDefault="00130792">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33" w:history="1">
        <w:r>
          <w:rPr>
            <w:rStyle w:val="Hyperlink"/>
            <w:rFonts w:ascii="Times New Roman" w:hAnsi="Times New Roman"/>
            <w:sz w:val="16"/>
          </w:rPr>
          <w:t>Platforma EU pro účast dětí |</w:t>
        </w:r>
      </w:hyperlink>
      <w:hyperlink r:id="rId34" w:history="1">
        <w:r>
          <w:rPr>
            <w:rStyle w:val="Hyperlink"/>
            <w:rFonts w:ascii="Times New Roman" w:hAnsi="Times New Roman"/>
            <w:sz w:val="16"/>
          </w:rPr>
          <w:t xml:space="preserve"> Evropská unie</w:t>
        </w:r>
      </w:hyperlink>
      <w:r>
        <w:rPr>
          <w:rFonts w:ascii="Times New Roman" w:hAnsi="Times New Roman"/>
          <w:sz w:val="16"/>
        </w:rPr>
        <w:t>.</w:t>
      </w:r>
    </w:p>
  </w:footnote>
  <w:footnote w:id="29">
    <w:p w14:paraId="6D47EBA2" w14:textId="43E7DBC3" w:rsidR="006F0A75" w:rsidRPr="008E7A92" w:rsidRDefault="006F0A75" w:rsidP="009D2617">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Style w:val="FootnoteReference"/>
          <w:rFonts w:ascii="Times New Roman" w:hAnsi="Times New Roman"/>
          <w:sz w:val="16"/>
          <w:vertAlign w:val="baseline"/>
        </w:rPr>
        <w:t xml:space="preserve"> Evropský</w:t>
      </w:r>
      <w:r>
        <w:rPr>
          <w:rFonts w:ascii="Times New Roman" w:hAnsi="Times New Roman"/>
          <w:sz w:val="16"/>
        </w:rPr>
        <w:t xml:space="preserve"> sociální </w:t>
      </w:r>
      <w:r>
        <w:rPr>
          <w:rStyle w:val="FootnoteReference"/>
          <w:rFonts w:ascii="Times New Roman" w:hAnsi="Times New Roman"/>
          <w:sz w:val="16"/>
          <w:vertAlign w:val="baseline"/>
        </w:rPr>
        <w:t>fond</w:t>
      </w:r>
      <w:r>
        <w:rPr>
          <w:rFonts w:ascii="Times New Roman" w:hAnsi="Times New Roman"/>
          <w:sz w:val="16"/>
        </w:rPr>
        <w:t xml:space="preserve"> </w:t>
      </w:r>
      <w:r>
        <w:rPr>
          <w:rStyle w:val="FootnoteReference"/>
          <w:rFonts w:ascii="Times New Roman" w:hAnsi="Times New Roman"/>
          <w:sz w:val="16"/>
          <w:vertAlign w:val="baseline"/>
        </w:rPr>
        <w:t xml:space="preserve">plus může </w:t>
      </w:r>
      <w:r>
        <w:rPr>
          <w:rFonts w:ascii="Times New Roman" w:hAnsi="Times New Roman"/>
          <w:sz w:val="16"/>
        </w:rPr>
        <w:t>podporovat</w:t>
      </w:r>
      <w:r>
        <w:rPr>
          <w:rStyle w:val="FootnoteReference"/>
          <w:rFonts w:ascii="Times New Roman" w:hAnsi="Times New Roman"/>
          <w:sz w:val="16"/>
          <w:vertAlign w:val="baseline"/>
        </w:rPr>
        <w:t xml:space="preserve"> řadu opatření, která </w:t>
      </w:r>
      <w:r>
        <w:rPr>
          <w:rFonts w:ascii="Times New Roman" w:hAnsi="Times New Roman"/>
          <w:sz w:val="16"/>
        </w:rPr>
        <w:t>zmírňují dopad</w:t>
      </w:r>
      <w:r>
        <w:rPr>
          <w:rStyle w:val="FootnoteReference"/>
          <w:rFonts w:ascii="Times New Roman" w:hAnsi="Times New Roman"/>
          <w:sz w:val="16"/>
          <w:vertAlign w:val="baseline"/>
        </w:rPr>
        <w:t xml:space="preserve"> demografických změn, jako je přístup k zaměstnání (včetně starších lidí, mládeže a žen), </w:t>
      </w:r>
      <w:r>
        <w:rPr>
          <w:rFonts w:ascii="Times New Roman" w:hAnsi="Times New Roman"/>
          <w:sz w:val="16"/>
        </w:rPr>
        <w:t xml:space="preserve">přístup ke službám péče o děti a dlouhodobé péče, vzdělávání a dovednosti a provádění </w:t>
      </w:r>
      <w:r>
        <w:rPr>
          <w:rStyle w:val="FootnoteReference"/>
          <w:rFonts w:ascii="Times New Roman" w:hAnsi="Times New Roman"/>
          <w:sz w:val="16"/>
          <w:vertAlign w:val="baseline"/>
        </w:rPr>
        <w:t>záruk pro děti a pro mladé lidi</w:t>
      </w:r>
      <w:r>
        <w:rPr>
          <w:rFonts w:ascii="Times New Roman" w:hAnsi="Times New Roman"/>
          <w:sz w:val="16"/>
        </w:rPr>
        <w:t xml:space="preserve">. </w:t>
      </w:r>
      <w:r>
        <w:rPr>
          <w:rStyle w:val="FootnoteReference"/>
          <w:rFonts w:ascii="Times New Roman" w:hAnsi="Times New Roman"/>
          <w:sz w:val="16"/>
          <w:vertAlign w:val="baseline"/>
        </w:rPr>
        <w:t>Toto zaměření je dále posíleno v návrzích Komise pro příští víceletý finanční rámec, které zavádějí zvláštní</w:t>
      </w:r>
      <w:r>
        <w:rPr>
          <w:rFonts w:ascii="Times New Roman" w:hAnsi="Times New Roman"/>
          <w:sz w:val="16"/>
        </w:rPr>
        <w:t xml:space="preserve"> </w:t>
      </w:r>
      <w:r>
        <w:rPr>
          <w:rStyle w:val="FootnoteReference"/>
          <w:rFonts w:ascii="Times New Roman" w:hAnsi="Times New Roman"/>
          <w:sz w:val="16"/>
          <w:vertAlign w:val="baseline"/>
        </w:rPr>
        <w:t>článek ESF týkající se demografických změn</w:t>
      </w:r>
      <w:r>
        <w:rPr>
          <w:rFonts w:ascii="Times New Roman" w:hAnsi="Times New Roman"/>
          <w:sz w:val="16"/>
        </w:rPr>
        <w:t xml:space="preserve">. </w:t>
      </w:r>
    </w:p>
  </w:footnote>
  <w:footnote w:id="30">
    <w:p w14:paraId="238DC283" w14:textId="77777777" w:rsidR="00774BD6" w:rsidRPr="008E7A92" w:rsidRDefault="00774BD6" w:rsidP="00774BD6">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Viz např. </w:t>
      </w:r>
      <w:hyperlink r:id="rId35" w:history="1">
        <w:r>
          <w:rPr>
            <w:rStyle w:val="Hyperlink"/>
            <w:rFonts w:ascii="Times New Roman" w:hAnsi="Times New Roman"/>
            <w:i/>
            <w:sz w:val="16"/>
          </w:rPr>
          <w:t>průmyslová strategie pro Evropu</w:t>
        </w:r>
      </w:hyperlink>
      <w:r>
        <w:rPr>
          <w:rFonts w:ascii="Times New Roman" w:hAnsi="Times New Roman"/>
          <w:sz w:val="16"/>
        </w:rPr>
        <w:t xml:space="preserve">, </w:t>
      </w:r>
      <w:hyperlink r:id="rId36" w:history="1">
        <w:r>
          <w:rPr>
            <w:rStyle w:val="Hyperlink"/>
            <w:rFonts w:ascii="Times New Roman" w:hAnsi="Times New Roman"/>
            <w:i/>
            <w:sz w:val="16"/>
          </w:rPr>
          <w:t>Kompas konkurenceschopnosti</w:t>
        </w:r>
      </w:hyperlink>
      <w:r>
        <w:rPr>
          <w:rFonts w:ascii="Times New Roman" w:hAnsi="Times New Roman"/>
          <w:sz w:val="16"/>
        </w:rPr>
        <w:t xml:space="preserve"> nebo </w:t>
      </w:r>
      <w:hyperlink r:id="rId37" w:history="1">
        <w:r>
          <w:rPr>
            <w:rStyle w:val="Hyperlink"/>
            <w:rFonts w:ascii="Times New Roman" w:hAnsi="Times New Roman"/>
            <w:i/>
            <w:sz w:val="16"/>
          </w:rPr>
          <w:t>Strategie EU pro startupy a scaleupy</w:t>
        </w:r>
      </w:hyperlink>
      <w:r>
        <w:t>.</w:t>
      </w:r>
    </w:p>
  </w:footnote>
  <w:footnote w:id="31">
    <w:p w14:paraId="2F9083C5" w14:textId="2036B16B" w:rsidR="002E586E" w:rsidRPr="008E7A92" w:rsidRDefault="002E586E" w:rsidP="002E586E">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t xml:space="preserve"> </w:t>
      </w:r>
      <w:r>
        <w:rPr>
          <w:rFonts w:ascii="Times New Roman" w:hAnsi="Times New Roman"/>
          <w:sz w:val="16"/>
        </w:rPr>
        <w:t xml:space="preserve">Programy EU, jako např. </w:t>
      </w:r>
      <w:hyperlink r:id="rId38" w:history="1">
        <w:r>
          <w:rPr>
            <w:rStyle w:val="Hyperlink"/>
            <w:rFonts w:ascii="Times New Roman" w:hAnsi="Times New Roman"/>
            <w:i/>
            <w:sz w:val="16"/>
          </w:rPr>
          <w:t>EU4Health</w:t>
        </w:r>
      </w:hyperlink>
      <w:r>
        <w:rPr>
          <w:rFonts w:ascii="Times New Roman" w:hAnsi="Times New Roman"/>
          <w:sz w:val="16"/>
        </w:rPr>
        <w:t xml:space="preserve">, nebo iniciativy, jako je </w:t>
      </w:r>
      <w:hyperlink r:id="rId39" w:history="1">
        <w:r>
          <w:rPr>
            <w:rStyle w:val="Hyperlink"/>
            <w:rFonts w:ascii="Times New Roman" w:hAnsi="Times New Roman"/>
            <w:i/>
            <w:sz w:val="16"/>
          </w:rPr>
          <w:t>Plán pro kvalitní pracovní místa</w:t>
        </w:r>
      </w:hyperlink>
      <w:r>
        <w:rPr>
          <w:rFonts w:ascii="Times New Roman" w:hAnsi="Times New Roman"/>
          <w:sz w:val="16"/>
        </w:rPr>
        <w:t xml:space="preserve">, připravovaná </w:t>
      </w:r>
      <w:r>
        <w:rPr>
          <w:rFonts w:ascii="Times New Roman" w:hAnsi="Times New Roman"/>
          <w:i/>
          <w:sz w:val="16"/>
        </w:rPr>
        <w:t>Strategie EU pro boj proti chudobě</w:t>
      </w:r>
      <w:r>
        <w:rPr>
          <w:rFonts w:ascii="Times New Roman" w:hAnsi="Times New Roman"/>
          <w:sz w:val="16"/>
        </w:rPr>
        <w:t xml:space="preserve">, posílená </w:t>
      </w:r>
      <w:r>
        <w:rPr>
          <w:rFonts w:ascii="Times New Roman" w:hAnsi="Times New Roman"/>
          <w:i/>
          <w:sz w:val="16"/>
        </w:rPr>
        <w:t>evropská záruka pro děti</w:t>
      </w:r>
      <w:r>
        <w:rPr>
          <w:rFonts w:ascii="Times New Roman" w:hAnsi="Times New Roman"/>
          <w:sz w:val="16"/>
        </w:rPr>
        <w:t xml:space="preserve">, </w:t>
      </w:r>
      <w:r>
        <w:rPr>
          <w:rFonts w:ascii="Times New Roman" w:hAnsi="Times New Roman"/>
          <w:i/>
          <w:sz w:val="16"/>
        </w:rPr>
        <w:t>Evropská strategie v oblasti péče</w:t>
      </w:r>
      <w:r>
        <w:rPr>
          <w:rFonts w:ascii="Times New Roman" w:hAnsi="Times New Roman"/>
          <w:sz w:val="16"/>
        </w:rPr>
        <w:t xml:space="preserve"> a </w:t>
      </w:r>
      <w:hyperlink r:id="rId40" w:history="1">
        <w:r>
          <w:rPr>
            <w:rStyle w:val="Hyperlink"/>
            <w:rFonts w:ascii="Times New Roman" w:hAnsi="Times New Roman"/>
            <w:i/>
            <w:sz w:val="16"/>
          </w:rPr>
          <w:t>doporučení Rady o přístupu k cenově dostupné vysoce kvalitní dlouhodobé péči</w:t>
        </w:r>
      </w:hyperlink>
      <w:r>
        <w:rPr>
          <w:rFonts w:ascii="Times New Roman" w:hAnsi="Times New Roman"/>
          <w:sz w:val="16"/>
        </w:rPr>
        <w:t>, jejichž cílem je posílit přístup k péči a podpořit pečující osoby, podpořit kvalitní pracovní místa, zajistit přístup ke klíčovým službám a ochraně a přerušit cykly chudoby.</w:t>
      </w:r>
    </w:p>
  </w:footnote>
  <w:footnote w:id="32">
    <w:p w14:paraId="2926019A" w14:textId="04FFEE26" w:rsidR="00A70A62" w:rsidRPr="008E7A92" w:rsidRDefault="00A70A62" w:rsidP="007D1A56">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Cílem</w:t>
      </w:r>
      <w:r>
        <w:t xml:space="preserve"> </w:t>
      </w:r>
      <w:hyperlink r:id="rId41">
        <w:r>
          <w:rPr>
            <w:rStyle w:val="Hyperlink"/>
            <w:rFonts w:ascii="Times New Roman" w:hAnsi="Times New Roman"/>
            <w:i/>
            <w:sz w:val="16"/>
          </w:rPr>
          <w:t>unie dovedností</w:t>
        </w:r>
      </w:hyperlink>
      <w:r>
        <w:rPr>
          <w:rFonts w:ascii="Times New Roman" w:hAnsi="Times New Roman"/>
          <w:sz w:val="16"/>
        </w:rPr>
        <w:t xml:space="preserve"> přijaté Komisí v roce 2025 je podporovat rozvoj kvalitních, inkluzivních a adaptabilních systémů vzdělávání, odborné přípravy a dovedností, aby lidé v celé Evropě získali dovednosti, které potřebují, aby mohli uspět, a zvýšit konkurenceschopnost EU, a to prostřednictvím iniciativ, jako je Program na podporu základních dovedností, Agenda EU pro učitele a školitele, Evropské školní aliance a plán pro budoucnost digitálního vzdělávání a dovedností do roku 2030.</w:t>
      </w:r>
    </w:p>
  </w:footnote>
  <w:footnote w:id="33">
    <w:p w14:paraId="79361375" w14:textId="77777777" w:rsidR="007D1A56" w:rsidRPr="008E7A92" w:rsidRDefault="007D1A56" w:rsidP="007D1A56">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42" w:history="1">
        <w:r>
          <w:rPr>
            <w:rStyle w:val="Hyperlink"/>
            <w:rFonts w:ascii="Times New Roman" w:hAnsi="Times New Roman"/>
            <w:sz w:val="16"/>
          </w:rPr>
          <w:t>Evropský sbor solidarity |</w:t>
        </w:r>
      </w:hyperlink>
      <w:hyperlink r:id="rId43" w:history="1">
        <w:r>
          <w:rPr>
            <w:rStyle w:val="Hyperlink"/>
            <w:rFonts w:ascii="Times New Roman" w:hAnsi="Times New Roman"/>
            <w:sz w:val="16"/>
          </w:rPr>
          <w:t xml:space="preserve"> Evropský portál pro mládež</w:t>
        </w:r>
      </w:hyperlink>
      <w:r>
        <w:t>.</w:t>
      </w:r>
    </w:p>
  </w:footnote>
  <w:footnote w:id="34">
    <w:p w14:paraId="68F412F3" w14:textId="69607F80" w:rsidR="00A70A62" w:rsidRPr="008E7A92" w:rsidRDefault="00A70A62" w:rsidP="007D1A56">
      <w:pPr>
        <w:pStyle w:val="FootnoteText"/>
        <w:jc w:val="both"/>
        <w:rPr>
          <w:rFonts w:ascii="Times New Roman" w:hAnsi="Times New Roman" w:cs="Times New Roman"/>
          <w:i/>
          <w:iCs/>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Evropská panelová diskuse občanů o mezigenerační spravedlnosti zdůraznila význam </w:t>
      </w:r>
      <w:r>
        <w:rPr>
          <w:rFonts w:ascii="Times New Roman" w:hAnsi="Times New Roman"/>
          <w:i/>
          <w:sz w:val="16"/>
        </w:rPr>
        <w:t>bezpečných domovů, silných komunit a důstojného života pro všechny generace.</w:t>
      </w:r>
    </w:p>
  </w:footnote>
  <w:footnote w:id="35">
    <w:p w14:paraId="549E8D35" w14:textId="77777777" w:rsidR="00A70A62" w:rsidRPr="008E7A92" w:rsidRDefault="00A70A62" w:rsidP="007D1A56">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Komise v roce 2027 zveřejní</w:t>
      </w:r>
      <w:r>
        <w:rPr>
          <w:rFonts w:ascii="Times New Roman" w:hAnsi="Times New Roman"/>
          <w:color w:val="000000" w:themeColor="text1"/>
          <w:sz w:val="16"/>
        </w:rPr>
        <w:t xml:space="preserve"> </w:t>
      </w:r>
      <w:r>
        <w:rPr>
          <w:rFonts w:ascii="Times New Roman" w:hAnsi="Times New Roman"/>
          <w:sz w:val="16"/>
        </w:rPr>
        <w:t>několik zpráv o systémech sociální ochrany. Zpráva o přiměřené sociální ochraně ve stáří bude integrovaným způsobem analyzovat, jak evropské systémy sociální ochrany pomáhají chránit životní úroveň starší populace prostřednictvím důchodů, dlouhodobé péče a souvisejících politik, zatímco zpráva o stárnutí populace 2027 se zaměří na prognózy ukazující ekonomický a rozpočtový dopad stárnutí populace v dlouhodobém horizontu, tedy do roku 2080.</w:t>
      </w:r>
    </w:p>
  </w:footnote>
  <w:footnote w:id="36">
    <w:p w14:paraId="1D952476" w14:textId="7443FF2A" w:rsidR="007C669E" w:rsidRPr="00B22CB0" w:rsidRDefault="007C669E" w:rsidP="00B22CB0">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Komise vydala v listopadu 2025 soubor iniciativ na podporu rozvoje a využívání doplňkových důchodů v členských státech, včetně </w:t>
      </w:r>
      <w:hyperlink r:id="rId44" w:history="1">
        <w:r>
          <w:rPr>
            <w:rStyle w:val="Hyperlink"/>
            <w:rFonts w:ascii="Times New Roman" w:hAnsi="Times New Roman"/>
            <w:i/>
            <w:sz w:val="16"/>
          </w:rPr>
          <w:t>doporučení Komise o systémech evidence důchodů, přehledech důchodových ukazatelů a automatickém zařazení</w:t>
        </w:r>
      </w:hyperlink>
      <w:r>
        <w:rPr>
          <w:rFonts w:ascii="Times New Roman" w:hAnsi="Times New Roman"/>
          <w:sz w:val="16"/>
        </w:rPr>
        <w:t>, C/2025/9300 final.</w:t>
      </w:r>
    </w:p>
  </w:footnote>
  <w:footnote w:id="37">
    <w:p w14:paraId="338079ED" w14:textId="797D3414" w:rsidR="00C35434" w:rsidRPr="00973910" w:rsidRDefault="00C35434">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45" w:history="1">
        <w:r>
          <w:rPr>
            <w:rStyle w:val="Hyperlink"/>
            <w:rFonts w:ascii="Times New Roman" w:hAnsi="Times New Roman"/>
            <w:sz w:val="16"/>
          </w:rPr>
          <w:t>Strategie unie připravenosti EU</w:t>
        </w:r>
      </w:hyperlink>
      <w:r>
        <w:t>.</w:t>
      </w:r>
    </w:p>
  </w:footnote>
  <w:footnote w:id="38">
    <w:p w14:paraId="141974DB" w14:textId="6C4775A8" w:rsidR="00C35434" w:rsidRDefault="00C35434">
      <w:pPr>
        <w:pStyle w:val="FootnoteText"/>
      </w:pPr>
      <w:r>
        <w:rPr>
          <w:rStyle w:val="FootnoteReference"/>
          <w:rFonts w:ascii="Times New Roman" w:hAnsi="Times New Roman" w:cs="Times New Roman"/>
          <w:sz w:val="16"/>
          <w:szCs w:val="16"/>
        </w:rPr>
        <w:footnoteRef/>
      </w:r>
      <w:r>
        <w:rPr>
          <w:rFonts w:ascii="Times New Roman" w:hAnsi="Times New Roman"/>
          <w:sz w:val="16"/>
        </w:rPr>
        <w:t xml:space="preserve"> </w:t>
      </w:r>
      <w:hyperlink r:id="rId46" w:history="1">
        <w:r>
          <w:rPr>
            <w:rStyle w:val="Hyperlink"/>
            <w:rFonts w:ascii="Times New Roman" w:hAnsi="Times New Roman"/>
            <w:sz w:val="16"/>
          </w:rPr>
          <w:t>Společně bezpečněji:</w:t>
        </w:r>
      </w:hyperlink>
      <w:hyperlink r:id="rId47" w:history="1">
        <w:r>
          <w:rPr>
            <w:rStyle w:val="Hyperlink"/>
            <w:rFonts w:ascii="Times New Roman" w:hAnsi="Times New Roman"/>
            <w:sz w:val="16"/>
          </w:rPr>
          <w:t>Cesta k plně připravené Unii – Evropská komise</w:t>
        </w:r>
      </w:hyperlink>
      <w:r>
        <w:t>.</w:t>
      </w:r>
    </w:p>
  </w:footnote>
  <w:footnote w:id="39">
    <w:p w14:paraId="434B4238" w14:textId="090357FC" w:rsidR="007D1A56" w:rsidRPr="008E7A92" w:rsidRDefault="007D1A56" w:rsidP="007D1A56">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Viz například opatření 29 týkající se školních vzdělávacích programů, opatření 30 týkající se programů pro mládež a opatření 27 týkající se povědomí o rizicích a hrozbách, které obsahuje složku týkající se zranitelných osob. </w:t>
      </w:r>
    </w:p>
  </w:footnote>
  <w:footnote w:id="40">
    <w:p w14:paraId="6B711BB0" w14:textId="77777777" w:rsidR="009869ED" w:rsidRPr="008E7A92" w:rsidRDefault="009869ED" w:rsidP="007D1A56">
      <w:pPr>
        <w:pStyle w:val="FootnoteText"/>
        <w:jc w:val="both"/>
        <w:rPr>
          <w:rFonts w:ascii="Times New Roman" w:hAnsi="Times New Roman" w:cs="Times New Roman"/>
          <w:i/>
          <w:iCs/>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48" w:history="1">
        <w:r>
          <w:rPr>
            <w:rStyle w:val="Hyperlink"/>
            <w:rFonts w:ascii="Times New Roman" w:hAnsi="Times New Roman"/>
            <w:i/>
            <w:sz w:val="16"/>
          </w:rPr>
          <w:t>Evropský štít pro demokracii a Strategie EU pro občanskou společnost</w:t>
        </w:r>
      </w:hyperlink>
      <w:r>
        <w:t>.</w:t>
      </w:r>
    </w:p>
  </w:footnote>
  <w:footnote w:id="41">
    <w:p w14:paraId="76429081" w14:textId="77777777" w:rsidR="00024888" w:rsidRPr="008E7A92" w:rsidRDefault="00024888" w:rsidP="00024888">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Komise zveřejnila své první </w:t>
      </w:r>
      <w:hyperlink r:id="rId49" w:history="1">
        <w:r>
          <w:rPr>
            <w:rStyle w:val="Hyperlink"/>
            <w:rFonts w:ascii="Times New Roman" w:hAnsi="Times New Roman"/>
            <w:i/>
            <w:sz w:val="16"/>
          </w:rPr>
          <w:t>doporučení o dopravní chudobě</w:t>
        </w:r>
      </w:hyperlink>
      <w:r>
        <w:rPr>
          <w:rFonts w:ascii="Times New Roman" w:hAnsi="Times New Roman"/>
          <w:sz w:val="16"/>
        </w:rPr>
        <w:t xml:space="preserve"> v květnu 2025. Zdůraznila zásadní úlohu dopravy hospodářského rozvoje, blahobytu a sociální spravedlnosti tím, že podporuje přístup ke kvalitním pracovním místům, a to i pro osoby ohrožené chudobou a sociálním vyloučením a některé zranitelné skupiny společnosti, a také její přínos k posílení mezigenerační spravedlnosti a solidarity.</w:t>
      </w:r>
    </w:p>
  </w:footnote>
  <w:footnote w:id="42">
    <w:p w14:paraId="619C0703" w14:textId="62917C01" w:rsidR="00A70A62" w:rsidRPr="00B22CB0" w:rsidRDefault="00A70A62" w:rsidP="00A70A62">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Viz například </w:t>
      </w:r>
      <w:hyperlink r:id="rId50" w:history="1">
        <w:r>
          <w:rPr>
            <w:rStyle w:val="Hyperlink"/>
            <w:rFonts w:ascii="Times New Roman" w:hAnsi="Times New Roman"/>
            <w:i/>
            <w:sz w:val="16"/>
          </w:rPr>
          <w:t>nařízení (EU) 2024/1689</w:t>
        </w:r>
      </w:hyperlink>
      <w:r>
        <w:rPr>
          <w:rFonts w:ascii="Times New Roman" w:hAnsi="Times New Roman"/>
          <w:sz w:val="16"/>
        </w:rPr>
        <w:t>, které zajišťuje, aby systémy AI byly bezpečné, důvěryhodné, respektovaly základní práva a zároveň podporovaly inovace.</w:t>
      </w:r>
    </w:p>
  </w:footnote>
  <w:footnote w:id="43">
    <w:p w14:paraId="39C5F959" w14:textId="22C0A971" w:rsidR="00A70A62" w:rsidRPr="008E7A92" w:rsidRDefault="00A70A62" w:rsidP="00A70A62">
      <w:pPr>
        <w:pStyle w:val="FootnoteText"/>
        <w:jc w:val="both"/>
        <w:rPr>
          <w:rFonts w:ascii="Times New Roman" w:hAnsi="Times New Roman" w:cs="Times New Roman"/>
          <w:i/>
          <w:iCs/>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Evropská panelová diskuse občanů o mezigenerační spravedlnost zdůraznila, že je důležité </w:t>
      </w:r>
      <w:r>
        <w:rPr>
          <w:rFonts w:ascii="Times New Roman" w:hAnsi="Times New Roman"/>
          <w:i/>
          <w:sz w:val="16"/>
        </w:rPr>
        <w:t>stanovit hranice pro používání umělé inteligence s cílem zajistit odpovědný přístup, etické normy a zmírnit možná rizika.</w:t>
      </w:r>
    </w:p>
  </w:footnote>
  <w:footnote w:id="44">
    <w:p w14:paraId="67DA1DC1" w14:textId="33DD5BB2" w:rsidR="00A70A62" w:rsidRPr="008E7A92" w:rsidRDefault="00A70A62" w:rsidP="007D1A56">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Cílem </w:t>
      </w:r>
      <w:hyperlink r:id="rId51" w:history="1">
        <w:r>
          <w:rPr>
            <w:rStyle w:val="Hyperlink"/>
            <w:rFonts w:ascii="Times New Roman" w:hAnsi="Times New Roman"/>
            <w:i/>
            <w:sz w:val="16"/>
          </w:rPr>
          <w:t>Strategie pro generační obměnu v zemědělství</w:t>
        </w:r>
      </w:hyperlink>
      <w:r>
        <w:rPr>
          <w:rFonts w:ascii="Times New Roman" w:hAnsi="Times New Roman"/>
          <w:color w:val="000000" w:themeColor="text1"/>
          <w:sz w:val="16"/>
        </w:rPr>
        <w:t xml:space="preserve"> je zdvojnásobit podíl mladých a nových zemědělců a zajistit, aby zemědělství zůstalo inovativní, konkurenceschopné a odolné. To je v souladu s</w:t>
      </w:r>
      <w:r>
        <w:rPr>
          <w:rFonts w:ascii="Times New Roman" w:hAnsi="Times New Roman"/>
          <w:sz w:val="16"/>
        </w:rPr>
        <w:t xml:space="preserve"> evropskou panelovou diskusí občanů o mezigenerační spravedlnosti, která rovněž zdůraznila význam posílení udržitelného zemědělství zvýšenou finanční podporou EU a potravinové bezpečnosti a suverenity. Generační obměnou pracovních míst souvisejících s oceány se bude zabývat Vize pro rybolov a akvakulturu do roku 2040 (2026) a strategie modré generační obměny (2027).</w:t>
      </w:r>
    </w:p>
  </w:footnote>
  <w:footnote w:id="45">
    <w:p w14:paraId="35B47072" w14:textId="77777777" w:rsidR="00A70A62" w:rsidRPr="008E7A92" w:rsidRDefault="00A70A62" w:rsidP="007D1A56">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52" w:history="1">
        <w:r>
          <w:rPr>
            <w:rStyle w:val="Hyperlink"/>
            <w:rFonts w:ascii="Times New Roman" w:hAnsi="Times New Roman"/>
            <w:i/>
            <w:sz w:val="16"/>
          </w:rPr>
          <w:t>Soubor nástrojů pro demografii</w:t>
        </w:r>
      </w:hyperlink>
      <w:r>
        <w:rPr>
          <w:rFonts w:ascii="Times New Roman" w:hAnsi="Times New Roman"/>
          <w:sz w:val="16"/>
        </w:rPr>
        <w:t xml:space="preserve"> z roku 2023 upozorňuje na rizika stárnutí obyvatelstva EU pro dlouhodobou konkurenceschopnost EU. Kombinuje nástroje EU s vnitrostátními a regionálními politikami s cílem posílit postavení všech generací, umožnit jim realizovat svá životní rozhodnutí a svůj potenciál v ekonomice a společnosti obecně.</w:t>
      </w:r>
    </w:p>
  </w:footnote>
  <w:footnote w:id="46">
    <w:p w14:paraId="664A9E80" w14:textId="2FA44A60" w:rsidR="00A70A62" w:rsidRPr="008E7A92" w:rsidRDefault="00A70A62" w:rsidP="007D1A56">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53" w:history="1">
        <w:r>
          <w:rPr>
            <w:rStyle w:val="Hyperlink"/>
            <w:rFonts w:ascii="Times New Roman" w:hAnsi="Times New Roman"/>
            <w:i/>
            <w:sz w:val="16"/>
          </w:rPr>
          <w:t>Agenda EU pro města z roku 2025</w:t>
        </w:r>
      </w:hyperlink>
      <w:r>
        <w:rPr>
          <w:rFonts w:ascii="Times New Roman" w:hAnsi="Times New Roman"/>
          <w:sz w:val="16"/>
        </w:rPr>
        <w:t xml:space="preserve"> posiluje územní a městský rozměr politik EU a zefektivňuje stávající podporu městských oblastí. Kromě toho </w:t>
      </w:r>
      <w:hyperlink r:id="rId54" w:history="1">
        <w:r>
          <w:rPr>
            <w:rStyle w:val="Hyperlink"/>
            <w:rFonts w:ascii="Times New Roman" w:hAnsi="Times New Roman"/>
            <w:i/>
            <w:sz w:val="16"/>
          </w:rPr>
          <w:t>mise programu Horizont Evropa týkající se klimaticky neutrálních a inteligentních měst</w:t>
        </w:r>
      </w:hyperlink>
      <w:r>
        <w:rPr>
          <w:rFonts w:ascii="Times New Roman" w:hAnsi="Times New Roman"/>
          <w:sz w:val="16"/>
        </w:rPr>
        <w:t xml:space="preserve"> posiluje společenskou odolnost a inovace díky svému výslovnému zaměření na zapojení občanů a správu více zúčastněných stran.</w:t>
      </w:r>
    </w:p>
  </w:footnote>
  <w:footnote w:id="47">
    <w:p w14:paraId="57AF9394" w14:textId="4E1391D5" w:rsidR="00A70A62" w:rsidRPr="008E7A92" w:rsidRDefault="00A70A62" w:rsidP="007D1A56">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S cílem zajistit, aby venkovské oblasti mohly i nadále plnit tyto zásadní role, zveřejnila Evropská komise v roce 2025 svou </w:t>
      </w:r>
      <w:hyperlink r:id="rId55" w:history="1">
        <w:r>
          <w:rPr>
            <w:rStyle w:val="Hyperlink"/>
            <w:rFonts w:ascii="Times New Roman" w:hAnsi="Times New Roman"/>
            <w:i/>
            <w:sz w:val="16"/>
          </w:rPr>
          <w:t>dlouhodobou vizi pro venkovské oblasti EU</w:t>
        </w:r>
      </w:hyperlink>
      <w:r>
        <w:rPr>
          <w:rFonts w:ascii="Times New Roman" w:hAnsi="Times New Roman"/>
          <w:sz w:val="16"/>
        </w:rPr>
        <w:t xml:space="preserve"> do roku 2040. Podobné strategie pro pobřežní obce a ostrovy se očekávají v roce 2026.</w:t>
      </w:r>
    </w:p>
  </w:footnote>
  <w:footnote w:id="48">
    <w:p w14:paraId="05BD7102" w14:textId="77777777" w:rsidR="00A70A62" w:rsidRPr="008E7A92" w:rsidRDefault="00A70A62" w:rsidP="00A70A62">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Evropská panelová diskuse občanů o mezigenerační spravedlnosti zdůraznila význam </w:t>
      </w:r>
      <w:r>
        <w:rPr>
          <w:rFonts w:ascii="Times New Roman" w:hAnsi="Times New Roman"/>
          <w:i/>
          <w:sz w:val="16"/>
        </w:rPr>
        <w:t>posílení diplomacie a mírové role EU jako hlavního nástroje pro řešení konfliktů.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F3E97" w14:textId="77777777" w:rsidR="00EA13D1" w:rsidRPr="00EA13D1" w:rsidRDefault="00EA13D1" w:rsidP="00EA13D1">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2FA8C" w14:textId="77777777" w:rsidR="00EA13D1" w:rsidRPr="00EA13D1" w:rsidRDefault="00EA13D1" w:rsidP="00EA13D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59BC7" w14:textId="77777777" w:rsidR="00EA13D1" w:rsidRPr="00EA13D1" w:rsidRDefault="00EA13D1" w:rsidP="00EA13D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64DE9" w14:textId="77777777" w:rsidR="00A70A62" w:rsidRDefault="00A70A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1019B" w14:textId="77777777" w:rsidR="00A70A62" w:rsidRDefault="00A70A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3BE9" w14:textId="77777777" w:rsidR="00A70A62" w:rsidRDefault="00A70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1C36"/>
    <w:multiLevelType w:val="multilevel"/>
    <w:tmpl w:val="A8FC4D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color w:val="auto"/>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53933"/>
    <w:multiLevelType w:val="hybridMultilevel"/>
    <w:tmpl w:val="3702999A"/>
    <w:lvl w:ilvl="0" w:tplc="444A215C">
      <w:start w:val="1"/>
      <w:numFmt w:val="bullet"/>
      <w:lvlText w:val=""/>
      <w:lvlJc w:val="left"/>
      <w:pPr>
        <w:ind w:left="720" w:hanging="360"/>
      </w:pPr>
      <w:rPr>
        <w:rFonts w:ascii="Symbol" w:hAnsi="Symbol"/>
      </w:rPr>
    </w:lvl>
    <w:lvl w:ilvl="1" w:tplc="165291AC">
      <w:start w:val="1"/>
      <w:numFmt w:val="bullet"/>
      <w:lvlText w:val=""/>
      <w:lvlJc w:val="left"/>
      <w:pPr>
        <w:ind w:left="720" w:hanging="360"/>
      </w:pPr>
      <w:rPr>
        <w:rFonts w:ascii="Symbol" w:hAnsi="Symbol"/>
      </w:rPr>
    </w:lvl>
    <w:lvl w:ilvl="2" w:tplc="0DCCB22E">
      <w:start w:val="1"/>
      <w:numFmt w:val="bullet"/>
      <w:lvlText w:val=""/>
      <w:lvlJc w:val="left"/>
      <w:pPr>
        <w:ind w:left="720" w:hanging="360"/>
      </w:pPr>
      <w:rPr>
        <w:rFonts w:ascii="Symbol" w:hAnsi="Symbol"/>
      </w:rPr>
    </w:lvl>
    <w:lvl w:ilvl="3" w:tplc="281AF734">
      <w:start w:val="1"/>
      <w:numFmt w:val="bullet"/>
      <w:lvlText w:val=""/>
      <w:lvlJc w:val="left"/>
      <w:pPr>
        <w:ind w:left="720" w:hanging="360"/>
      </w:pPr>
      <w:rPr>
        <w:rFonts w:ascii="Symbol" w:hAnsi="Symbol"/>
      </w:rPr>
    </w:lvl>
    <w:lvl w:ilvl="4" w:tplc="502AAA0A">
      <w:start w:val="1"/>
      <w:numFmt w:val="bullet"/>
      <w:lvlText w:val=""/>
      <w:lvlJc w:val="left"/>
      <w:pPr>
        <w:ind w:left="720" w:hanging="360"/>
      </w:pPr>
      <w:rPr>
        <w:rFonts w:ascii="Symbol" w:hAnsi="Symbol"/>
      </w:rPr>
    </w:lvl>
    <w:lvl w:ilvl="5" w:tplc="E76EF7A8">
      <w:start w:val="1"/>
      <w:numFmt w:val="bullet"/>
      <w:lvlText w:val=""/>
      <w:lvlJc w:val="left"/>
      <w:pPr>
        <w:ind w:left="720" w:hanging="360"/>
      </w:pPr>
      <w:rPr>
        <w:rFonts w:ascii="Symbol" w:hAnsi="Symbol"/>
      </w:rPr>
    </w:lvl>
    <w:lvl w:ilvl="6" w:tplc="75F4A750">
      <w:start w:val="1"/>
      <w:numFmt w:val="bullet"/>
      <w:lvlText w:val=""/>
      <w:lvlJc w:val="left"/>
      <w:pPr>
        <w:ind w:left="720" w:hanging="360"/>
      </w:pPr>
      <w:rPr>
        <w:rFonts w:ascii="Symbol" w:hAnsi="Symbol"/>
      </w:rPr>
    </w:lvl>
    <w:lvl w:ilvl="7" w:tplc="41E2D902">
      <w:start w:val="1"/>
      <w:numFmt w:val="bullet"/>
      <w:lvlText w:val=""/>
      <w:lvlJc w:val="left"/>
      <w:pPr>
        <w:ind w:left="720" w:hanging="360"/>
      </w:pPr>
      <w:rPr>
        <w:rFonts w:ascii="Symbol" w:hAnsi="Symbol"/>
      </w:rPr>
    </w:lvl>
    <w:lvl w:ilvl="8" w:tplc="A3A2FDB4">
      <w:start w:val="1"/>
      <w:numFmt w:val="bullet"/>
      <w:lvlText w:val=""/>
      <w:lvlJc w:val="left"/>
      <w:pPr>
        <w:ind w:left="720" w:hanging="360"/>
      </w:pPr>
      <w:rPr>
        <w:rFonts w:ascii="Symbol" w:hAnsi="Symbol"/>
      </w:rPr>
    </w:lvl>
  </w:abstractNum>
  <w:abstractNum w:abstractNumId="2" w15:restartNumberingAfterBreak="0">
    <w:nsid w:val="20B60C53"/>
    <w:multiLevelType w:val="hybridMultilevel"/>
    <w:tmpl w:val="8E283BCA"/>
    <w:lvl w:ilvl="0" w:tplc="FD403C90">
      <w:start w:val="1"/>
      <w:numFmt w:val="decimal"/>
      <w:lvlText w:val="%1."/>
      <w:lvlJc w:val="left"/>
      <w:pPr>
        <w:ind w:left="360" w:hanging="360"/>
      </w:pPr>
      <w:rPr>
        <w:b w:val="0"/>
        <w:bCs w:val="0"/>
        <w:i w:val="0"/>
        <w:iCs w:val="0"/>
      </w:rPr>
    </w:lvl>
    <w:lvl w:ilvl="1" w:tplc="F47CC1D6" w:tentative="1">
      <w:start w:val="1"/>
      <w:numFmt w:val="lowerLetter"/>
      <w:lvlText w:val="%2."/>
      <w:lvlJc w:val="left"/>
      <w:pPr>
        <w:ind w:left="1080" w:hanging="360"/>
      </w:pPr>
    </w:lvl>
    <w:lvl w:ilvl="2" w:tplc="BA0C0874" w:tentative="1">
      <w:start w:val="1"/>
      <w:numFmt w:val="lowerRoman"/>
      <w:lvlText w:val="%3."/>
      <w:lvlJc w:val="right"/>
      <w:pPr>
        <w:ind w:left="1800" w:hanging="180"/>
      </w:pPr>
    </w:lvl>
    <w:lvl w:ilvl="3" w:tplc="AA54C370" w:tentative="1">
      <w:start w:val="1"/>
      <w:numFmt w:val="decimal"/>
      <w:lvlText w:val="%4."/>
      <w:lvlJc w:val="left"/>
      <w:pPr>
        <w:ind w:left="2520" w:hanging="360"/>
      </w:pPr>
    </w:lvl>
    <w:lvl w:ilvl="4" w:tplc="47ECBC1E" w:tentative="1">
      <w:start w:val="1"/>
      <w:numFmt w:val="lowerLetter"/>
      <w:lvlText w:val="%5."/>
      <w:lvlJc w:val="left"/>
      <w:pPr>
        <w:ind w:left="3240" w:hanging="360"/>
      </w:pPr>
    </w:lvl>
    <w:lvl w:ilvl="5" w:tplc="5CF8F538" w:tentative="1">
      <w:start w:val="1"/>
      <w:numFmt w:val="lowerRoman"/>
      <w:lvlText w:val="%6."/>
      <w:lvlJc w:val="right"/>
      <w:pPr>
        <w:ind w:left="3960" w:hanging="180"/>
      </w:pPr>
    </w:lvl>
    <w:lvl w:ilvl="6" w:tplc="23780D40" w:tentative="1">
      <w:start w:val="1"/>
      <w:numFmt w:val="decimal"/>
      <w:lvlText w:val="%7."/>
      <w:lvlJc w:val="left"/>
      <w:pPr>
        <w:ind w:left="4680" w:hanging="360"/>
      </w:pPr>
    </w:lvl>
    <w:lvl w:ilvl="7" w:tplc="BED6A6D6" w:tentative="1">
      <w:start w:val="1"/>
      <w:numFmt w:val="lowerLetter"/>
      <w:lvlText w:val="%8."/>
      <w:lvlJc w:val="left"/>
      <w:pPr>
        <w:ind w:left="5400" w:hanging="360"/>
      </w:pPr>
    </w:lvl>
    <w:lvl w:ilvl="8" w:tplc="E59AEE92" w:tentative="1">
      <w:start w:val="1"/>
      <w:numFmt w:val="lowerRoman"/>
      <w:lvlText w:val="%9."/>
      <w:lvlJc w:val="right"/>
      <w:pPr>
        <w:ind w:left="6120" w:hanging="180"/>
      </w:pPr>
    </w:lvl>
  </w:abstractNum>
  <w:abstractNum w:abstractNumId="3" w15:restartNumberingAfterBreak="0">
    <w:nsid w:val="259C160E"/>
    <w:multiLevelType w:val="hybridMultilevel"/>
    <w:tmpl w:val="3B7A1596"/>
    <w:lvl w:ilvl="0" w:tplc="18090019">
      <w:start w:val="1"/>
      <w:numFmt w:val="lowerLetter"/>
      <w:lvlText w:val="%1."/>
      <w:lvlJc w:val="left"/>
      <w:pPr>
        <w:ind w:left="720" w:hanging="360"/>
      </w:pPr>
      <w:rPr>
        <w:rFonts w:hint="default"/>
        <w:u w:val="no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8EC3CA"/>
    <w:multiLevelType w:val="hybridMultilevel"/>
    <w:tmpl w:val="17EACFD0"/>
    <w:lvl w:ilvl="0" w:tplc="6D1412CE">
      <w:start w:val="1"/>
      <w:numFmt w:val="decimal"/>
      <w:lvlText w:val="%1."/>
      <w:lvlJc w:val="left"/>
      <w:pPr>
        <w:ind w:left="360" w:hanging="360"/>
      </w:pPr>
      <w:rPr>
        <w:b w:val="0"/>
        <w:bCs w:val="0"/>
        <w:color w:val="auto"/>
      </w:rPr>
    </w:lvl>
    <w:lvl w:ilvl="1" w:tplc="145A3446">
      <w:start w:val="1"/>
      <w:numFmt w:val="lowerLetter"/>
      <w:lvlText w:val="%2."/>
      <w:lvlJc w:val="left"/>
      <w:pPr>
        <w:ind w:left="1080" w:hanging="360"/>
      </w:pPr>
    </w:lvl>
    <w:lvl w:ilvl="2" w:tplc="DAA8FE46">
      <w:start w:val="1"/>
      <w:numFmt w:val="lowerRoman"/>
      <w:lvlText w:val="%3."/>
      <w:lvlJc w:val="right"/>
      <w:pPr>
        <w:ind w:left="1800" w:hanging="180"/>
      </w:pPr>
    </w:lvl>
    <w:lvl w:ilvl="3" w:tplc="7F7656FC">
      <w:start w:val="1"/>
      <w:numFmt w:val="decimal"/>
      <w:lvlText w:val="%4."/>
      <w:lvlJc w:val="left"/>
      <w:pPr>
        <w:ind w:left="2520" w:hanging="360"/>
      </w:pPr>
    </w:lvl>
    <w:lvl w:ilvl="4" w:tplc="8BDE6CF2">
      <w:start w:val="1"/>
      <w:numFmt w:val="lowerLetter"/>
      <w:lvlText w:val="%5."/>
      <w:lvlJc w:val="left"/>
      <w:pPr>
        <w:ind w:left="3240" w:hanging="360"/>
      </w:pPr>
    </w:lvl>
    <w:lvl w:ilvl="5" w:tplc="FC5AB04E">
      <w:start w:val="1"/>
      <w:numFmt w:val="lowerRoman"/>
      <w:lvlText w:val="%6."/>
      <w:lvlJc w:val="right"/>
      <w:pPr>
        <w:ind w:left="3960" w:hanging="180"/>
      </w:pPr>
    </w:lvl>
    <w:lvl w:ilvl="6" w:tplc="13B42998">
      <w:start w:val="1"/>
      <w:numFmt w:val="decimal"/>
      <w:lvlText w:val="%7."/>
      <w:lvlJc w:val="left"/>
      <w:pPr>
        <w:ind w:left="4680" w:hanging="360"/>
      </w:pPr>
    </w:lvl>
    <w:lvl w:ilvl="7" w:tplc="0324FA5C">
      <w:start w:val="1"/>
      <w:numFmt w:val="lowerLetter"/>
      <w:lvlText w:val="%8."/>
      <w:lvlJc w:val="left"/>
      <w:pPr>
        <w:ind w:left="5400" w:hanging="360"/>
      </w:pPr>
    </w:lvl>
    <w:lvl w:ilvl="8" w:tplc="37C4C750">
      <w:start w:val="1"/>
      <w:numFmt w:val="lowerRoman"/>
      <w:lvlText w:val="%9."/>
      <w:lvlJc w:val="right"/>
      <w:pPr>
        <w:ind w:left="6120" w:hanging="180"/>
      </w:pPr>
    </w:lvl>
  </w:abstractNum>
  <w:abstractNum w:abstractNumId="5" w15:restartNumberingAfterBreak="0">
    <w:nsid w:val="3A05143D"/>
    <w:multiLevelType w:val="multilevel"/>
    <w:tmpl w:val="AFB429EE"/>
    <w:lvl w:ilvl="0">
      <w:start w:val="1"/>
      <w:numFmt w:val="decimal"/>
      <w:lvlText w:val="%1."/>
      <w:lvlJc w:val="left"/>
      <w:pPr>
        <w:ind w:left="720" w:hanging="360"/>
      </w:pPr>
      <w:rPr>
        <w:rFonts w:ascii="Times New Roman" w:hAnsi="Times New Roman" w:cs="Times New Roman" w:hint="default"/>
        <w:b/>
        <w:bCs/>
        <w:color w:val="0070C0"/>
        <w:sz w:val="32"/>
      </w:rPr>
    </w:lvl>
    <w:lvl w:ilvl="1">
      <w:start w:val="1"/>
      <w:numFmt w:val="decimal"/>
      <w:isLgl/>
      <w:lvlText w:val="%1.%2."/>
      <w:lvlJc w:val="left"/>
      <w:pPr>
        <w:ind w:left="4690" w:hanging="720"/>
      </w:pPr>
      <w:rPr>
        <w:rFonts w:ascii="Times New Roman" w:hAnsi="Times New Roman" w:cs="Times New Roman" w:hint="default"/>
        <w:i w:val="0"/>
        <w:iCs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BC100F2"/>
    <w:multiLevelType w:val="hybridMultilevel"/>
    <w:tmpl w:val="C6EAB264"/>
    <w:lvl w:ilvl="0" w:tplc="516ABC76">
      <w:start w:val="1"/>
      <w:numFmt w:val="bullet"/>
      <w:lvlText w:val=""/>
      <w:lvlJc w:val="left"/>
      <w:pPr>
        <w:ind w:left="720" w:hanging="360"/>
      </w:pPr>
      <w:rPr>
        <w:rFonts w:ascii="Symbol" w:hAnsi="Symbol"/>
      </w:rPr>
    </w:lvl>
    <w:lvl w:ilvl="1" w:tplc="A9CA57EA">
      <w:start w:val="1"/>
      <w:numFmt w:val="bullet"/>
      <w:lvlText w:val=""/>
      <w:lvlJc w:val="left"/>
      <w:pPr>
        <w:ind w:left="720" w:hanging="360"/>
      </w:pPr>
      <w:rPr>
        <w:rFonts w:ascii="Symbol" w:hAnsi="Symbol"/>
      </w:rPr>
    </w:lvl>
    <w:lvl w:ilvl="2" w:tplc="0176548C">
      <w:start w:val="1"/>
      <w:numFmt w:val="bullet"/>
      <w:lvlText w:val=""/>
      <w:lvlJc w:val="left"/>
      <w:pPr>
        <w:ind w:left="720" w:hanging="360"/>
      </w:pPr>
      <w:rPr>
        <w:rFonts w:ascii="Symbol" w:hAnsi="Symbol"/>
      </w:rPr>
    </w:lvl>
    <w:lvl w:ilvl="3" w:tplc="DD48C8E6">
      <w:start w:val="1"/>
      <w:numFmt w:val="bullet"/>
      <w:lvlText w:val=""/>
      <w:lvlJc w:val="left"/>
      <w:pPr>
        <w:ind w:left="720" w:hanging="360"/>
      </w:pPr>
      <w:rPr>
        <w:rFonts w:ascii="Symbol" w:hAnsi="Symbol"/>
      </w:rPr>
    </w:lvl>
    <w:lvl w:ilvl="4" w:tplc="C2F00988">
      <w:start w:val="1"/>
      <w:numFmt w:val="bullet"/>
      <w:lvlText w:val=""/>
      <w:lvlJc w:val="left"/>
      <w:pPr>
        <w:ind w:left="720" w:hanging="360"/>
      </w:pPr>
      <w:rPr>
        <w:rFonts w:ascii="Symbol" w:hAnsi="Symbol"/>
      </w:rPr>
    </w:lvl>
    <w:lvl w:ilvl="5" w:tplc="23E0CA84">
      <w:start w:val="1"/>
      <w:numFmt w:val="bullet"/>
      <w:lvlText w:val=""/>
      <w:lvlJc w:val="left"/>
      <w:pPr>
        <w:ind w:left="720" w:hanging="360"/>
      </w:pPr>
      <w:rPr>
        <w:rFonts w:ascii="Symbol" w:hAnsi="Symbol"/>
      </w:rPr>
    </w:lvl>
    <w:lvl w:ilvl="6" w:tplc="CE24C952">
      <w:start w:val="1"/>
      <w:numFmt w:val="bullet"/>
      <w:lvlText w:val=""/>
      <w:lvlJc w:val="left"/>
      <w:pPr>
        <w:ind w:left="720" w:hanging="360"/>
      </w:pPr>
      <w:rPr>
        <w:rFonts w:ascii="Symbol" w:hAnsi="Symbol"/>
      </w:rPr>
    </w:lvl>
    <w:lvl w:ilvl="7" w:tplc="C8668A1E">
      <w:start w:val="1"/>
      <w:numFmt w:val="bullet"/>
      <w:lvlText w:val=""/>
      <w:lvlJc w:val="left"/>
      <w:pPr>
        <w:ind w:left="720" w:hanging="360"/>
      </w:pPr>
      <w:rPr>
        <w:rFonts w:ascii="Symbol" w:hAnsi="Symbol"/>
      </w:rPr>
    </w:lvl>
    <w:lvl w:ilvl="8" w:tplc="2868650E">
      <w:start w:val="1"/>
      <w:numFmt w:val="bullet"/>
      <w:lvlText w:val=""/>
      <w:lvlJc w:val="left"/>
      <w:pPr>
        <w:ind w:left="720" w:hanging="360"/>
      </w:pPr>
      <w:rPr>
        <w:rFonts w:ascii="Symbol" w:hAnsi="Symbol"/>
      </w:rPr>
    </w:lvl>
  </w:abstractNum>
  <w:abstractNum w:abstractNumId="7" w15:restartNumberingAfterBreak="0">
    <w:nsid w:val="4C3B333A"/>
    <w:multiLevelType w:val="hybridMultilevel"/>
    <w:tmpl w:val="11822086"/>
    <w:lvl w:ilvl="0" w:tplc="211A24A2">
      <w:start w:val="1"/>
      <w:numFmt w:val="decimal"/>
      <w:lvlText w:val="%1)"/>
      <w:lvlJc w:val="left"/>
      <w:pPr>
        <w:ind w:left="720" w:hanging="360"/>
      </w:pPr>
    </w:lvl>
    <w:lvl w:ilvl="1" w:tplc="CA24508A">
      <w:start w:val="1"/>
      <w:numFmt w:val="decimal"/>
      <w:lvlText w:val="%2)"/>
      <w:lvlJc w:val="left"/>
      <w:pPr>
        <w:ind w:left="720" w:hanging="360"/>
      </w:pPr>
    </w:lvl>
    <w:lvl w:ilvl="2" w:tplc="16E6FF1E">
      <w:start w:val="1"/>
      <w:numFmt w:val="decimal"/>
      <w:lvlText w:val="%3)"/>
      <w:lvlJc w:val="left"/>
      <w:pPr>
        <w:ind w:left="720" w:hanging="360"/>
      </w:pPr>
    </w:lvl>
    <w:lvl w:ilvl="3" w:tplc="B770C906">
      <w:start w:val="1"/>
      <w:numFmt w:val="decimal"/>
      <w:lvlText w:val="%4)"/>
      <w:lvlJc w:val="left"/>
      <w:pPr>
        <w:ind w:left="720" w:hanging="360"/>
      </w:pPr>
    </w:lvl>
    <w:lvl w:ilvl="4" w:tplc="99DE5164">
      <w:start w:val="1"/>
      <w:numFmt w:val="decimal"/>
      <w:lvlText w:val="%5)"/>
      <w:lvlJc w:val="left"/>
      <w:pPr>
        <w:ind w:left="720" w:hanging="360"/>
      </w:pPr>
    </w:lvl>
    <w:lvl w:ilvl="5" w:tplc="EDF0CF26">
      <w:start w:val="1"/>
      <w:numFmt w:val="decimal"/>
      <w:lvlText w:val="%6)"/>
      <w:lvlJc w:val="left"/>
      <w:pPr>
        <w:ind w:left="720" w:hanging="360"/>
      </w:pPr>
    </w:lvl>
    <w:lvl w:ilvl="6" w:tplc="84F05A34">
      <w:start w:val="1"/>
      <w:numFmt w:val="decimal"/>
      <w:lvlText w:val="%7)"/>
      <w:lvlJc w:val="left"/>
      <w:pPr>
        <w:ind w:left="720" w:hanging="360"/>
      </w:pPr>
    </w:lvl>
    <w:lvl w:ilvl="7" w:tplc="093A4C8C">
      <w:start w:val="1"/>
      <w:numFmt w:val="decimal"/>
      <w:lvlText w:val="%8)"/>
      <w:lvlJc w:val="left"/>
      <w:pPr>
        <w:ind w:left="720" w:hanging="360"/>
      </w:pPr>
    </w:lvl>
    <w:lvl w:ilvl="8" w:tplc="2136764A">
      <w:start w:val="1"/>
      <w:numFmt w:val="decimal"/>
      <w:lvlText w:val="%9)"/>
      <w:lvlJc w:val="left"/>
      <w:pPr>
        <w:ind w:left="720" w:hanging="360"/>
      </w:pPr>
    </w:lvl>
  </w:abstractNum>
  <w:abstractNum w:abstractNumId="8" w15:restartNumberingAfterBreak="0">
    <w:nsid w:val="5E105199"/>
    <w:multiLevelType w:val="hybridMultilevel"/>
    <w:tmpl w:val="2DB6E6CE"/>
    <w:lvl w:ilvl="0" w:tplc="29587AEC">
      <w:start w:val="1"/>
      <w:numFmt w:val="decimal"/>
      <w:lvlText w:val="%1)"/>
      <w:lvlJc w:val="left"/>
      <w:pPr>
        <w:ind w:left="720" w:hanging="360"/>
      </w:pPr>
    </w:lvl>
    <w:lvl w:ilvl="1" w:tplc="5050693C">
      <w:start w:val="1"/>
      <w:numFmt w:val="decimal"/>
      <w:lvlText w:val="%2)"/>
      <w:lvlJc w:val="left"/>
      <w:pPr>
        <w:ind w:left="720" w:hanging="360"/>
      </w:pPr>
    </w:lvl>
    <w:lvl w:ilvl="2" w:tplc="95987C16">
      <w:start w:val="1"/>
      <w:numFmt w:val="decimal"/>
      <w:lvlText w:val="%3)"/>
      <w:lvlJc w:val="left"/>
      <w:pPr>
        <w:ind w:left="720" w:hanging="360"/>
      </w:pPr>
    </w:lvl>
    <w:lvl w:ilvl="3" w:tplc="BDB8F030">
      <w:start w:val="1"/>
      <w:numFmt w:val="decimal"/>
      <w:lvlText w:val="%4)"/>
      <w:lvlJc w:val="left"/>
      <w:pPr>
        <w:ind w:left="720" w:hanging="360"/>
      </w:pPr>
    </w:lvl>
    <w:lvl w:ilvl="4" w:tplc="F5EE4B84">
      <w:start w:val="1"/>
      <w:numFmt w:val="decimal"/>
      <w:lvlText w:val="%5)"/>
      <w:lvlJc w:val="left"/>
      <w:pPr>
        <w:ind w:left="720" w:hanging="360"/>
      </w:pPr>
    </w:lvl>
    <w:lvl w:ilvl="5" w:tplc="6D4EABDE">
      <w:start w:val="1"/>
      <w:numFmt w:val="decimal"/>
      <w:lvlText w:val="%6)"/>
      <w:lvlJc w:val="left"/>
      <w:pPr>
        <w:ind w:left="720" w:hanging="360"/>
      </w:pPr>
    </w:lvl>
    <w:lvl w:ilvl="6" w:tplc="0290B5DE">
      <w:start w:val="1"/>
      <w:numFmt w:val="decimal"/>
      <w:lvlText w:val="%7)"/>
      <w:lvlJc w:val="left"/>
      <w:pPr>
        <w:ind w:left="720" w:hanging="360"/>
      </w:pPr>
    </w:lvl>
    <w:lvl w:ilvl="7" w:tplc="78E8BD78">
      <w:start w:val="1"/>
      <w:numFmt w:val="decimal"/>
      <w:lvlText w:val="%8)"/>
      <w:lvlJc w:val="left"/>
      <w:pPr>
        <w:ind w:left="720" w:hanging="360"/>
      </w:pPr>
    </w:lvl>
    <w:lvl w:ilvl="8" w:tplc="55365482">
      <w:start w:val="1"/>
      <w:numFmt w:val="decimal"/>
      <w:lvlText w:val="%9)"/>
      <w:lvlJc w:val="left"/>
      <w:pPr>
        <w:ind w:left="720" w:hanging="360"/>
      </w:pPr>
    </w:lvl>
  </w:abstractNum>
  <w:abstractNum w:abstractNumId="9" w15:restartNumberingAfterBreak="0">
    <w:nsid w:val="6BEF020D"/>
    <w:multiLevelType w:val="hybridMultilevel"/>
    <w:tmpl w:val="B50E89D0"/>
    <w:lvl w:ilvl="0" w:tplc="90045264">
      <w:start w:val="1"/>
      <w:numFmt w:val="decimal"/>
      <w:lvlText w:val="%1)"/>
      <w:lvlJc w:val="left"/>
      <w:pPr>
        <w:ind w:left="1020" w:hanging="360"/>
      </w:pPr>
    </w:lvl>
    <w:lvl w:ilvl="1" w:tplc="399A339C">
      <w:start w:val="1"/>
      <w:numFmt w:val="decimal"/>
      <w:lvlText w:val="%2)"/>
      <w:lvlJc w:val="left"/>
      <w:pPr>
        <w:ind w:left="1020" w:hanging="360"/>
      </w:pPr>
    </w:lvl>
    <w:lvl w:ilvl="2" w:tplc="6B6A2728">
      <w:start w:val="1"/>
      <w:numFmt w:val="decimal"/>
      <w:lvlText w:val="%3)"/>
      <w:lvlJc w:val="left"/>
      <w:pPr>
        <w:ind w:left="1020" w:hanging="360"/>
      </w:pPr>
    </w:lvl>
    <w:lvl w:ilvl="3" w:tplc="84345F10">
      <w:start w:val="1"/>
      <w:numFmt w:val="decimal"/>
      <w:lvlText w:val="%4)"/>
      <w:lvlJc w:val="left"/>
      <w:pPr>
        <w:ind w:left="1020" w:hanging="360"/>
      </w:pPr>
    </w:lvl>
    <w:lvl w:ilvl="4" w:tplc="42CAAC84">
      <w:start w:val="1"/>
      <w:numFmt w:val="decimal"/>
      <w:lvlText w:val="%5)"/>
      <w:lvlJc w:val="left"/>
      <w:pPr>
        <w:ind w:left="1020" w:hanging="360"/>
      </w:pPr>
    </w:lvl>
    <w:lvl w:ilvl="5" w:tplc="C52E1FCA">
      <w:start w:val="1"/>
      <w:numFmt w:val="decimal"/>
      <w:lvlText w:val="%6)"/>
      <w:lvlJc w:val="left"/>
      <w:pPr>
        <w:ind w:left="1020" w:hanging="360"/>
      </w:pPr>
    </w:lvl>
    <w:lvl w:ilvl="6" w:tplc="07F82948">
      <w:start w:val="1"/>
      <w:numFmt w:val="decimal"/>
      <w:lvlText w:val="%7)"/>
      <w:lvlJc w:val="left"/>
      <w:pPr>
        <w:ind w:left="1020" w:hanging="360"/>
      </w:pPr>
    </w:lvl>
    <w:lvl w:ilvl="7" w:tplc="025A9120">
      <w:start w:val="1"/>
      <w:numFmt w:val="decimal"/>
      <w:lvlText w:val="%8)"/>
      <w:lvlJc w:val="left"/>
      <w:pPr>
        <w:ind w:left="1020" w:hanging="360"/>
      </w:pPr>
    </w:lvl>
    <w:lvl w:ilvl="8" w:tplc="ED2C39EE">
      <w:start w:val="1"/>
      <w:numFmt w:val="decimal"/>
      <w:lvlText w:val="%9)"/>
      <w:lvlJc w:val="left"/>
      <w:pPr>
        <w:ind w:left="1020" w:hanging="360"/>
      </w:pPr>
    </w:lvl>
  </w:abstractNum>
  <w:abstractNum w:abstractNumId="10" w15:restartNumberingAfterBreak="0">
    <w:nsid w:val="6EDE09B9"/>
    <w:multiLevelType w:val="hybridMultilevel"/>
    <w:tmpl w:val="975A00F2"/>
    <w:lvl w:ilvl="0" w:tplc="A44679FC">
      <w:start w:val="1"/>
      <w:numFmt w:val="bullet"/>
      <w:lvlText w:val="-"/>
      <w:lvlJc w:val="left"/>
      <w:pPr>
        <w:ind w:left="360" w:hanging="360"/>
      </w:pPr>
      <w:rPr>
        <w:rFonts w:ascii="Times New Roman" w:hAnsi="Times New Roman" w:hint="default"/>
        <w:u w:val="none"/>
      </w:rPr>
    </w:lvl>
    <w:lvl w:ilvl="1" w:tplc="5D70F918" w:tentative="1">
      <w:start w:val="1"/>
      <w:numFmt w:val="bullet"/>
      <w:lvlText w:val="o"/>
      <w:lvlJc w:val="left"/>
      <w:pPr>
        <w:ind w:left="1080" w:hanging="360"/>
      </w:pPr>
      <w:rPr>
        <w:rFonts w:ascii="Courier New" w:hAnsi="Courier New" w:hint="default"/>
      </w:rPr>
    </w:lvl>
    <w:lvl w:ilvl="2" w:tplc="CD108972" w:tentative="1">
      <w:start w:val="1"/>
      <w:numFmt w:val="bullet"/>
      <w:lvlText w:val=""/>
      <w:lvlJc w:val="left"/>
      <w:pPr>
        <w:ind w:left="1800" w:hanging="360"/>
      </w:pPr>
      <w:rPr>
        <w:rFonts w:ascii="Wingdings" w:hAnsi="Wingdings" w:hint="default"/>
      </w:rPr>
    </w:lvl>
    <w:lvl w:ilvl="3" w:tplc="4E661094" w:tentative="1">
      <w:start w:val="1"/>
      <w:numFmt w:val="bullet"/>
      <w:lvlText w:val=""/>
      <w:lvlJc w:val="left"/>
      <w:pPr>
        <w:ind w:left="2520" w:hanging="360"/>
      </w:pPr>
      <w:rPr>
        <w:rFonts w:ascii="Symbol" w:hAnsi="Symbol" w:hint="default"/>
      </w:rPr>
    </w:lvl>
    <w:lvl w:ilvl="4" w:tplc="70A4A5D0" w:tentative="1">
      <w:start w:val="1"/>
      <w:numFmt w:val="bullet"/>
      <w:lvlText w:val="o"/>
      <w:lvlJc w:val="left"/>
      <w:pPr>
        <w:ind w:left="3240" w:hanging="360"/>
      </w:pPr>
      <w:rPr>
        <w:rFonts w:ascii="Courier New" w:hAnsi="Courier New" w:hint="default"/>
      </w:rPr>
    </w:lvl>
    <w:lvl w:ilvl="5" w:tplc="9DA65B20" w:tentative="1">
      <w:start w:val="1"/>
      <w:numFmt w:val="bullet"/>
      <w:lvlText w:val=""/>
      <w:lvlJc w:val="left"/>
      <w:pPr>
        <w:ind w:left="3960" w:hanging="360"/>
      </w:pPr>
      <w:rPr>
        <w:rFonts w:ascii="Wingdings" w:hAnsi="Wingdings" w:hint="default"/>
      </w:rPr>
    </w:lvl>
    <w:lvl w:ilvl="6" w:tplc="4D701D4C" w:tentative="1">
      <w:start w:val="1"/>
      <w:numFmt w:val="bullet"/>
      <w:lvlText w:val=""/>
      <w:lvlJc w:val="left"/>
      <w:pPr>
        <w:ind w:left="4680" w:hanging="360"/>
      </w:pPr>
      <w:rPr>
        <w:rFonts w:ascii="Symbol" w:hAnsi="Symbol" w:hint="default"/>
      </w:rPr>
    </w:lvl>
    <w:lvl w:ilvl="7" w:tplc="440AABAC" w:tentative="1">
      <w:start w:val="1"/>
      <w:numFmt w:val="bullet"/>
      <w:lvlText w:val="o"/>
      <w:lvlJc w:val="left"/>
      <w:pPr>
        <w:ind w:left="5400" w:hanging="360"/>
      </w:pPr>
      <w:rPr>
        <w:rFonts w:ascii="Courier New" w:hAnsi="Courier New" w:hint="default"/>
      </w:rPr>
    </w:lvl>
    <w:lvl w:ilvl="8" w:tplc="74762C7E" w:tentative="1">
      <w:start w:val="1"/>
      <w:numFmt w:val="bullet"/>
      <w:lvlText w:val=""/>
      <w:lvlJc w:val="left"/>
      <w:pPr>
        <w:ind w:left="6120" w:hanging="360"/>
      </w:pPr>
      <w:rPr>
        <w:rFonts w:ascii="Wingdings" w:hAnsi="Wingdings" w:hint="default"/>
      </w:rPr>
    </w:lvl>
  </w:abstractNum>
  <w:abstractNum w:abstractNumId="11" w15:restartNumberingAfterBreak="0">
    <w:nsid w:val="7FE42BA8"/>
    <w:multiLevelType w:val="hybridMultilevel"/>
    <w:tmpl w:val="2B5CC0FA"/>
    <w:lvl w:ilvl="0" w:tplc="E2907094">
      <w:start w:val="1"/>
      <w:numFmt w:val="decimal"/>
      <w:lvlText w:val="%1."/>
      <w:lvlJc w:val="left"/>
      <w:pPr>
        <w:ind w:left="720" w:hanging="360"/>
      </w:pPr>
      <w:rPr>
        <w:rFonts w:ascii="Times New Roman" w:hAnsi="Times New Roman" w:cs="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1"/>
  </w:num>
  <w:num w:numId="5">
    <w:abstractNumId w:val="10"/>
  </w:num>
  <w:num w:numId="6">
    <w:abstractNumId w:val="2"/>
  </w:num>
  <w:num w:numId="7">
    <w:abstractNumId w:val="9"/>
  </w:num>
  <w:num w:numId="8">
    <w:abstractNumId w:val="7"/>
  </w:num>
  <w:num w:numId="9">
    <w:abstractNumId w:val="6"/>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5C7437EC-A421-430B-9E93-F58855749F6D"/>
    <w:docVar w:name="LW_COVERPAGE_TYPE" w:val="1"/>
    <w:docVar w:name="LW_CROSSREFERENCE" w:val="{SWD(2026) 80 final}"/>
    <w:docVar w:name="LW_DocType" w:val="NORMAL"/>
    <w:docVar w:name="LW_EMISSION" w:val="5.3.2026"/>
    <w:docVar w:name="LW_EMISSION_ISODATE" w:val="2026-03-05"/>
    <w:docVar w:name="LW_EMISSION_LOCATION" w:val="BRX"/>
    <w:docVar w:name="LW_EMISSION_PREFIX" w:val="V Bruselu dne "/>
    <w:docVar w:name="LW_EMISSION_SUFFIX" w:val=" "/>
    <w:docVar w:name="LW_ID_DOCTYPE_NONLW" w:val="CP-014"/>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26) 11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trategie pro mezigenera\u269?ní spravedlnost"/>
    <w:docVar w:name="LW_TYPE.DOC.CP" w:val="SD\u282?LENÍ KOMISE EVROPSKÉMU PARLAMENTU, RAD\u282?, EVROPSKÉMU HOSPODÁ\u344?SKÉMU A SOCIÁLNÍMU VÝBORU A VÝBORU REGION\u366?"/>
    <w:docVar w:name="LW_TYPE.DOC.CP.USERTEXT" w:val="&lt;EMPTY&gt;"/>
    <w:docVar w:name="LwApiVersions" w:val="LW4CoDe 1.24.5.0; LW 9.2, Build 20251112"/>
  </w:docVars>
  <w:rsids>
    <w:rsidRoot w:val="00A70A62"/>
    <w:rsid w:val="00002B66"/>
    <w:rsid w:val="00003279"/>
    <w:rsid w:val="000032EE"/>
    <w:rsid w:val="000037DF"/>
    <w:rsid w:val="00004352"/>
    <w:rsid w:val="00006C0F"/>
    <w:rsid w:val="00006F2F"/>
    <w:rsid w:val="00010011"/>
    <w:rsid w:val="0001158D"/>
    <w:rsid w:val="000128A7"/>
    <w:rsid w:val="00013097"/>
    <w:rsid w:val="000132B2"/>
    <w:rsid w:val="000141F7"/>
    <w:rsid w:val="000155B6"/>
    <w:rsid w:val="00016295"/>
    <w:rsid w:val="00016B90"/>
    <w:rsid w:val="0001731D"/>
    <w:rsid w:val="00017554"/>
    <w:rsid w:val="00017C9E"/>
    <w:rsid w:val="0002012E"/>
    <w:rsid w:val="0002098A"/>
    <w:rsid w:val="00022CC1"/>
    <w:rsid w:val="00024765"/>
    <w:rsid w:val="00024888"/>
    <w:rsid w:val="00024BC0"/>
    <w:rsid w:val="00025448"/>
    <w:rsid w:val="00026492"/>
    <w:rsid w:val="00026BAD"/>
    <w:rsid w:val="0002772F"/>
    <w:rsid w:val="000306B8"/>
    <w:rsid w:val="00030BF1"/>
    <w:rsid w:val="0003143F"/>
    <w:rsid w:val="00031776"/>
    <w:rsid w:val="00032443"/>
    <w:rsid w:val="00033608"/>
    <w:rsid w:val="0003388A"/>
    <w:rsid w:val="00033961"/>
    <w:rsid w:val="000342CB"/>
    <w:rsid w:val="0003550A"/>
    <w:rsid w:val="000362A5"/>
    <w:rsid w:val="00036440"/>
    <w:rsid w:val="0004071C"/>
    <w:rsid w:val="00040AE1"/>
    <w:rsid w:val="00041808"/>
    <w:rsid w:val="00042D27"/>
    <w:rsid w:val="00042DCF"/>
    <w:rsid w:val="0004365A"/>
    <w:rsid w:val="00043AA3"/>
    <w:rsid w:val="00044289"/>
    <w:rsid w:val="00044D0D"/>
    <w:rsid w:val="00044DE3"/>
    <w:rsid w:val="00045067"/>
    <w:rsid w:val="0004737B"/>
    <w:rsid w:val="00047DB6"/>
    <w:rsid w:val="00047F7B"/>
    <w:rsid w:val="00051E23"/>
    <w:rsid w:val="00053ACB"/>
    <w:rsid w:val="000549FC"/>
    <w:rsid w:val="00057A4B"/>
    <w:rsid w:val="00057E89"/>
    <w:rsid w:val="00060109"/>
    <w:rsid w:val="000604D2"/>
    <w:rsid w:val="00060D47"/>
    <w:rsid w:val="00061AC1"/>
    <w:rsid w:val="00062466"/>
    <w:rsid w:val="000627E1"/>
    <w:rsid w:val="00063B93"/>
    <w:rsid w:val="00063C7B"/>
    <w:rsid w:val="000650F0"/>
    <w:rsid w:val="000669DF"/>
    <w:rsid w:val="000675CD"/>
    <w:rsid w:val="00067DCB"/>
    <w:rsid w:val="00070070"/>
    <w:rsid w:val="00070674"/>
    <w:rsid w:val="000708B0"/>
    <w:rsid w:val="000712A3"/>
    <w:rsid w:val="00073299"/>
    <w:rsid w:val="00073428"/>
    <w:rsid w:val="00073EA5"/>
    <w:rsid w:val="00075228"/>
    <w:rsid w:val="00076DB5"/>
    <w:rsid w:val="00076DB9"/>
    <w:rsid w:val="00077264"/>
    <w:rsid w:val="000804D3"/>
    <w:rsid w:val="00080FF0"/>
    <w:rsid w:val="00081541"/>
    <w:rsid w:val="00081FF1"/>
    <w:rsid w:val="000835D9"/>
    <w:rsid w:val="00083B43"/>
    <w:rsid w:val="00084B32"/>
    <w:rsid w:val="00085163"/>
    <w:rsid w:val="00085358"/>
    <w:rsid w:val="000854F1"/>
    <w:rsid w:val="00085AF2"/>
    <w:rsid w:val="00085F50"/>
    <w:rsid w:val="000861BF"/>
    <w:rsid w:val="00087543"/>
    <w:rsid w:val="00087EFC"/>
    <w:rsid w:val="00091533"/>
    <w:rsid w:val="00091F04"/>
    <w:rsid w:val="000921BA"/>
    <w:rsid w:val="00092259"/>
    <w:rsid w:val="00092618"/>
    <w:rsid w:val="00093467"/>
    <w:rsid w:val="000935C7"/>
    <w:rsid w:val="00093E1A"/>
    <w:rsid w:val="00094000"/>
    <w:rsid w:val="000946A7"/>
    <w:rsid w:val="00095F73"/>
    <w:rsid w:val="00096AC4"/>
    <w:rsid w:val="00096CC4"/>
    <w:rsid w:val="000970D6"/>
    <w:rsid w:val="0009738C"/>
    <w:rsid w:val="00097B41"/>
    <w:rsid w:val="000A0B1C"/>
    <w:rsid w:val="000A1ADE"/>
    <w:rsid w:val="000A3101"/>
    <w:rsid w:val="000A454B"/>
    <w:rsid w:val="000A49B8"/>
    <w:rsid w:val="000A5229"/>
    <w:rsid w:val="000A5F43"/>
    <w:rsid w:val="000A6260"/>
    <w:rsid w:val="000A6C6C"/>
    <w:rsid w:val="000A7BD8"/>
    <w:rsid w:val="000A7EE4"/>
    <w:rsid w:val="000B1606"/>
    <w:rsid w:val="000B1817"/>
    <w:rsid w:val="000B1861"/>
    <w:rsid w:val="000B1DEC"/>
    <w:rsid w:val="000B2317"/>
    <w:rsid w:val="000B25F5"/>
    <w:rsid w:val="000B2A5B"/>
    <w:rsid w:val="000B394F"/>
    <w:rsid w:val="000B5030"/>
    <w:rsid w:val="000B533D"/>
    <w:rsid w:val="000B5CD6"/>
    <w:rsid w:val="000B5F03"/>
    <w:rsid w:val="000C0E81"/>
    <w:rsid w:val="000C0FCA"/>
    <w:rsid w:val="000C113F"/>
    <w:rsid w:val="000C1566"/>
    <w:rsid w:val="000C16DA"/>
    <w:rsid w:val="000C24CC"/>
    <w:rsid w:val="000C2BFC"/>
    <w:rsid w:val="000C33DF"/>
    <w:rsid w:val="000C4385"/>
    <w:rsid w:val="000C4EB5"/>
    <w:rsid w:val="000C4FA3"/>
    <w:rsid w:val="000C6DEC"/>
    <w:rsid w:val="000C72EF"/>
    <w:rsid w:val="000C7D0A"/>
    <w:rsid w:val="000D0FF1"/>
    <w:rsid w:val="000D12F8"/>
    <w:rsid w:val="000D26E8"/>
    <w:rsid w:val="000D2C6A"/>
    <w:rsid w:val="000D2CE3"/>
    <w:rsid w:val="000D2E69"/>
    <w:rsid w:val="000D30E1"/>
    <w:rsid w:val="000D31A8"/>
    <w:rsid w:val="000D3516"/>
    <w:rsid w:val="000D426C"/>
    <w:rsid w:val="000D4A67"/>
    <w:rsid w:val="000D5115"/>
    <w:rsid w:val="000D5ABF"/>
    <w:rsid w:val="000D739B"/>
    <w:rsid w:val="000E0D5C"/>
    <w:rsid w:val="000E1003"/>
    <w:rsid w:val="000E1BB2"/>
    <w:rsid w:val="000E33F6"/>
    <w:rsid w:val="000E3667"/>
    <w:rsid w:val="000E76F6"/>
    <w:rsid w:val="000F0B24"/>
    <w:rsid w:val="000F18CD"/>
    <w:rsid w:val="000F283E"/>
    <w:rsid w:val="000F2AC5"/>
    <w:rsid w:val="000F306A"/>
    <w:rsid w:val="000F53CE"/>
    <w:rsid w:val="000F5D66"/>
    <w:rsid w:val="000F762F"/>
    <w:rsid w:val="000F769B"/>
    <w:rsid w:val="000F7779"/>
    <w:rsid w:val="000F7EA4"/>
    <w:rsid w:val="0010085C"/>
    <w:rsid w:val="00100A54"/>
    <w:rsid w:val="00100B34"/>
    <w:rsid w:val="00103C3C"/>
    <w:rsid w:val="00103CA4"/>
    <w:rsid w:val="00104C29"/>
    <w:rsid w:val="00104EAE"/>
    <w:rsid w:val="00104EF4"/>
    <w:rsid w:val="001068C6"/>
    <w:rsid w:val="001071E4"/>
    <w:rsid w:val="00107584"/>
    <w:rsid w:val="00107E0F"/>
    <w:rsid w:val="00110455"/>
    <w:rsid w:val="00110939"/>
    <w:rsid w:val="00110C12"/>
    <w:rsid w:val="00112CDD"/>
    <w:rsid w:val="00114652"/>
    <w:rsid w:val="00115627"/>
    <w:rsid w:val="00117318"/>
    <w:rsid w:val="00117D2D"/>
    <w:rsid w:val="00120902"/>
    <w:rsid w:val="00120B0E"/>
    <w:rsid w:val="00120BD7"/>
    <w:rsid w:val="00120D73"/>
    <w:rsid w:val="00121557"/>
    <w:rsid w:val="0012313C"/>
    <w:rsid w:val="001237EB"/>
    <w:rsid w:val="001244AA"/>
    <w:rsid w:val="00124878"/>
    <w:rsid w:val="0012493B"/>
    <w:rsid w:val="00124D60"/>
    <w:rsid w:val="00124E9D"/>
    <w:rsid w:val="00124FD8"/>
    <w:rsid w:val="001250E7"/>
    <w:rsid w:val="001262B9"/>
    <w:rsid w:val="001265FD"/>
    <w:rsid w:val="00126887"/>
    <w:rsid w:val="00127AA5"/>
    <w:rsid w:val="00130792"/>
    <w:rsid w:val="00131CE1"/>
    <w:rsid w:val="001326BF"/>
    <w:rsid w:val="00132BED"/>
    <w:rsid w:val="00133962"/>
    <w:rsid w:val="00136AC3"/>
    <w:rsid w:val="00136B41"/>
    <w:rsid w:val="00136EE1"/>
    <w:rsid w:val="00137BE2"/>
    <w:rsid w:val="00140664"/>
    <w:rsid w:val="00140682"/>
    <w:rsid w:val="00141D82"/>
    <w:rsid w:val="00142436"/>
    <w:rsid w:val="00142EF3"/>
    <w:rsid w:val="00144200"/>
    <w:rsid w:val="0014595F"/>
    <w:rsid w:val="001469D1"/>
    <w:rsid w:val="001475F3"/>
    <w:rsid w:val="00147F88"/>
    <w:rsid w:val="0015069F"/>
    <w:rsid w:val="0015165C"/>
    <w:rsid w:val="00153ED5"/>
    <w:rsid w:val="00154609"/>
    <w:rsid w:val="00154F33"/>
    <w:rsid w:val="001576EC"/>
    <w:rsid w:val="00157F9F"/>
    <w:rsid w:val="00161786"/>
    <w:rsid w:val="001618EA"/>
    <w:rsid w:val="00162F5F"/>
    <w:rsid w:val="00163B05"/>
    <w:rsid w:val="00163B80"/>
    <w:rsid w:val="00163EE1"/>
    <w:rsid w:val="00164803"/>
    <w:rsid w:val="00165FE8"/>
    <w:rsid w:val="00166365"/>
    <w:rsid w:val="0016652A"/>
    <w:rsid w:val="00166C56"/>
    <w:rsid w:val="00166C94"/>
    <w:rsid w:val="00167CA4"/>
    <w:rsid w:val="001716E4"/>
    <w:rsid w:val="00172F1C"/>
    <w:rsid w:val="00173817"/>
    <w:rsid w:val="001740A2"/>
    <w:rsid w:val="001750FE"/>
    <w:rsid w:val="001753B8"/>
    <w:rsid w:val="001765B4"/>
    <w:rsid w:val="00176E31"/>
    <w:rsid w:val="0018002D"/>
    <w:rsid w:val="0018229F"/>
    <w:rsid w:val="001827FE"/>
    <w:rsid w:val="00182822"/>
    <w:rsid w:val="00183247"/>
    <w:rsid w:val="00183EA0"/>
    <w:rsid w:val="00184C7A"/>
    <w:rsid w:val="00186C56"/>
    <w:rsid w:val="00186D7C"/>
    <w:rsid w:val="00186DB0"/>
    <w:rsid w:val="00190B37"/>
    <w:rsid w:val="00191730"/>
    <w:rsid w:val="00191A23"/>
    <w:rsid w:val="001924B6"/>
    <w:rsid w:val="00192BF6"/>
    <w:rsid w:val="001933E6"/>
    <w:rsid w:val="00193B39"/>
    <w:rsid w:val="00193B55"/>
    <w:rsid w:val="001944E2"/>
    <w:rsid w:val="00194770"/>
    <w:rsid w:val="00194E54"/>
    <w:rsid w:val="00195352"/>
    <w:rsid w:val="0019622A"/>
    <w:rsid w:val="001A16C7"/>
    <w:rsid w:val="001A202C"/>
    <w:rsid w:val="001A2A96"/>
    <w:rsid w:val="001A5037"/>
    <w:rsid w:val="001A53A1"/>
    <w:rsid w:val="001A6FD1"/>
    <w:rsid w:val="001A7527"/>
    <w:rsid w:val="001B1833"/>
    <w:rsid w:val="001B184A"/>
    <w:rsid w:val="001B4B57"/>
    <w:rsid w:val="001B61A1"/>
    <w:rsid w:val="001B6982"/>
    <w:rsid w:val="001B77A1"/>
    <w:rsid w:val="001C1221"/>
    <w:rsid w:val="001C14B4"/>
    <w:rsid w:val="001C1FA1"/>
    <w:rsid w:val="001C36B4"/>
    <w:rsid w:val="001C4C44"/>
    <w:rsid w:val="001C6400"/>
    <w:rsid w:val="001C6E91"/>
    <w:rsid w:val="001C7018"/>
    <w:rsid w:val="001D2857"/>
    <w:rsid w:val="001D331F"/>
    <w:rsid w:val="001D3B8D"/>
    <w:rsid w:val="001D3BD2"/>
    <w:rsid w:val="001D3CE2"/>
    <w:rsid w:val="001D5967"/>
    <w:rsid w:val="001D605B"/>
    <w:rsid w:val="001D61E1"/>
    <w:rsid w:val="001D647A"/>
    <w:rsid w:val="001D67BA"/>
    <w:rsid w:val="001E0A44"/>
    <w:rsid w:val="001E1D0F"/>
    <w:rsid w:val="001E3A17"/>
    <w:rsid w:val="001E4609"/>
    <w:rsid w:val="001E55F7"/>
    <w:rsid w:val="001E56C9"/>
    <w:rsid w:val="001E78EF"/>
    <w:rsid w:val="001E7C32"/>
    <w:rsid w:val="001F054B"/>
    <w:rsid w:val="001F1008"/>
    <w:rsid w:val="001F213E"/>
    <w:rsid w:val="001F2340"/>
    <w:rsid w:val="001F2C6A"/>
    <w:rsid w:val="001F2D66"/>
    <w:rsid w:val="001F572A"/>
    <w:rsid w:val="001F675C"/>
    <w:rsid w:val="001F703B"/>
    <w:rsid w:val="00200C28"/>
    <w:rsid w:val="00200FC2"/>
    <w:rsid w:val="00202757"/>
    <w:rsid w:val="002035AF"/>
    <w:rsid w:val="002037E6"/>
    <w:rsid w:val="0020475B"/>
    <w:rsid w:val="00204E47"/>
    <w:rsid w:val="00205EFB"/>
    <w:rsid w:val="00207D67"/>
    <w:rsid w:val="00211429"/>
    <w:rsid w:val="00211D4E"/>
    <w:rsid w:val="00212A45"/>
    <w:rsid w:val="00212D06"/>
    <w:rsid w:val="002130ED"/>
    <w:rsid w:val="00213808"/>
    <w:rsid w:val="00213823"/>
    <w:rsid w:val="00213BBC"/>
    <w:rsid w:val="00213FDB"/>
    <w:rsid w:val="00214A57"/>
    <w:rsid w:val="00216708"/>
    <w:rsid w:val="00216E51"/>
    <w:rsid w:val="00217ADE"/>
    <w:rsid w:val="00221A8D"/>
    <w:rsid w:val="002258D6"/>
    <w:rsid w:val="00225E29"/>
    <w:rsid w:val="002296EF"/>
    <w:rsid w:val="002307CD"/>
    <w:rsid w:val="00231F8F"/>
    <w:rsid w:val="00232AF8"/>
    <w:rsid w:val="00234C09"/>
    <w:rsid w:val="00235038"/>
    <w:rsid w:val="00235440"/>
    <w:rsid w:val="00235868"/>
    <w:rsid w:val="0023720E"/>
    <w:rsid w:val="00242674"/>
    <w:rsid w:val="00242812"/>
    <w:rsid w:val="00244B35"/>
    <w:rsid w:val="00245748"/>
    <w:rsid w:val="00246A1E"/>
    <w:rsid w:val="00246EFB"/>
    <w:rsid w:val="0025099B"/>
    <w:rsid w:val="00250F5A"/>
    <w:rsid w:val="002510A2"/>
    <w:rsid w:val="00253404"/>
    <w:rsid w:val="00253567"/>
    <w:rsid w:val="00253E9B"/>
    <w:rsid w:val="00254158"/>
    <w:rsid w:val="00254B75"/>
    <w:rsid w:val="002555B1"/>
    <w:rsid w:val="002556BD"/>
    <w:rsid w:val="00255EDD"/>
    <w:rsid w:val="00256234"/>
    <w:rsid w:val="0025679B"/>
    <w:rsid w:val="002576EB"/>
    <w:rsid w:val="00260806"/>
    <w:rsid w:val="002619FB"/>
    <w:rsid w:val="00261EBE"/>
    <w:rsid w:val="00262170"/>
    <w:rsid w:val="00262305"/>
    <w:rsid w:val="00263866"/>
    <w:rsid w:val="00264835"/>
    <w:rsid w:val="00264A6E"/>
    <w:rsid w:val="00265DEA"/>
    <w:rsid w:val="00266160"/>
    <w:rsid w:val="00267CD8"/>
    <w:rsid w:val="00270251"/>
    <w:rsid w:val="00270B3F"/>
    <w:rsid w:val="00270F04"/>
    <w:rsid w:val="00271086"/>
    <w:rsid w:val="00272302"/>
    <w:rsid w:val="00272B9A"/>
    <w:rsid w:val="002733F3"/>
    <w:rsid w:val="00275A9D"/>
    <w:rsid w:val="0027762E"/>
    <w:rsid w:val="00277793"/>
    <w:rsid w:val="00277FF6"/>
    <w:rsid w:val="00280154"/>
    <w:rsid w:val="00280864"/>
    <w:rsid w:val="00281805"/>
    <w:rsid w:val="00282DD3"/>
    <w:rsid w:val="00283B71"/>
    <w:rsid w:val="00283ED6"/>
    <w:rsid w:val="00284DBC"/>
    <w:rsid w:val="00285CBA"/>
    <w:rsid w:val="00286C7C"/>
    <w:rsid w:val="0028788E"/>
    <w:rsid w:val="00290088"/>
    <w:rsid w:val="0029020C"/>
    <w:rsid w:val="00290413"/>
    <w:rsid w:val="002908D7"/>
    <w:rsid w:val="00290AED"/>
    <w:rsid w:val="002910A6"/>
    <w:rsid w:val="00292147"/>
    <w:rsid w:val="00293A35"/>
    <w:rsid w:val="00294D73"/>
    <w:rsid w:val="002954C1"/>
    <w:rsid w:val="00295D65"/>
    <w:rsid w:val="002961BC"/>
    <w:rsid w:val="0029700C"/>
    <w:rsid w:val="0029794C"/>
    <w:rsid w:val="00297E5A"/>
    <w:rsid w:val="002A047C"/>
    <w:rsid w:val="002A0D98"/>
    <w:rsid w:val="002A110F"/>
    <w:rsid w:val="002A36EE"/>
    <w:rsid w:val="002A3B01"/>
    <w:rsid w:val="002A41FA"/>
    <w:rsid w:val="002A5F7B"/>
    <w:rsid w:val="002B2756"/>
    <w:rsid w:val="002B6B55"/>
    <w:rsid w:val="002C0365"/>
    <w:rsid w:val="002C21AF"/>
    <w:rsid w:val="002C239F"/>
    <w:rsid w:val="002C2CBA"/>
    <w:rsid w:val="002C2E12"/>
    <w:rsid w:val="002C3625"/>
    <w:rsid w:val="002C36A9"/>
    <w:rsid w:val="002C487F"/>
    <w:rsid w:val="002C4C05"/>
    <w:rsid w:val="002C4EF5"/>
    <w:rsid w:val="002C5429"/>
    <w:rsid w:val="002C5620"/>
    <w:rsid w:val="002C5B0E"/>
    <w:rsid w:val="002C5DFF"/>
    <w:rsid w:val="002C6BA3"/>
    <w:rsid w:val="002D16A9"/>
    <w:rsid w:val="002D1E31"/>
    <w:rsid w:val="002D2E4D"/>
    <w:rsid w:val="002D3EE0"/>
    <w:rsid w:val="002D4DD8"/>
    <w:rsid w:val="002D7E28"/>
    <w:rsid w:val="002E0028"/>
    <w:rsid w:val="002E0856"/>
    <w:rsid w:val="002E2308"/>
    <w:rsid w:val="002E23B4"/>
    <w:rsid w:val="002E25F3"/>
    <w:rsid w:val="002E2A49"/>
    <w:rsid w:val="002E37D3"/>
    <w:rsid w:val="002E3E2E"/>
    <w:rsid w:val="002E4114"/>
    <w:rsid w:val="002E493E"/>
    <w:rsid w:val="002E586E"/>
    <w:rsid w:val="002E5AF7"/>
    <w:rsid w:val="002E6058"/>
    <w:rsid w:val="002E680F"/>
    <w:rsid w:val="002E6BC6"/>
    <w:rsid w:val="002E73AC"/>
    <w:rsid w:val="002F130B"/>
    <w:rsid w:val="002F3F87"/>
    <w:rsid w:val="002F49C7"/>
    <w:rsid w:val="002F514B"/>
    <w:rsid w:val="002F6684"/>
    <w:rsid w:val="002F7B04"/>
    <w:rsid w:val="00300B1B"/>
    <w:rsid w:val="00303165"/>
    <w:rsid w:val="00303ED6"/>
    <w:rsid w:val="00304EBC"/>
    <w:rsid w:val="003051D5"/>
    <w:rsid w:val="0030577B"/>
    <w:rsid w:val="003057A7"/>
    <w:rsid w:val="003060C6"/>
    <w:rsid w:val="00313436"/>
    <w:rsid w:val="00313813"/>
    <w:rsid w:val="0031560F"/>
    <w:rsid w:val="00315AC6"/>
    <w:rsid w:val="0031694C"/>
    <w:rsid w:val="00317B8B"/>
    <w:rsid w:val="003207FC"/>
    <w:rsid w:val="00324EA1"/>
    <w:rsid w:val="00325197"/>
    <w:rsid w:val="00325236"/>
    <w:rsid w:val="00325EEE"/>
    <w:rsid w:val="00326D42"/>
    <w:rsid w:val="003270BD"/>
    <w:rsid w:val="0032730C"/>
    <w:rsid w:val="00327A6A"/>
    <w:rsid w:val="00330B97"/>
    <w:rsid w:val="003318B7"/>
    <w:rsid w:val="00332A93"/>
    <w:rsid w:val="00332CB8"/>
    <w:rsid w:val="00332F9F"/>
    <w:rsid w:val="00332FE5"/>
    <w:rsid w:val="00334114"/>
    <w:rsid w:val="00334F61"/>
    <w:rsid w:val="0033582A"/>
    <w:rsid w:val="00335967"/>
    <w:rsid w:val="00337475"/>
    <w:rsid w:val="0034073D"/>
    <w:rsid w:val="0034220B"/>
    <w:rsid w:val="0034396F"/>
    <w:rsid w:val="003443CE"/>
    <w:rsid w:val="003451A3"/>
    <w:rsid w:val="003455B3"/>
    <w:rsid w:val="00345B4A"/>
    <w:rsid w:val="003468A4"/>
    <w:rsid w:val="00346FD6"/>
    <w:rsid w:val="003474B6"/>
    <w:rsid w:val="00347611"/>
    <w:rsid w:val="003478A5"/>
    <w:rsid w:val="0035083F"/>
    <w:rsid w:val="003530AC"/>
    <w:rsid w:val="003547C6"/>
    <w:rsid w:val="00354B33"/>
    <w:rsid w:val="00355777"/>
    <w:rsid w:val="00356225"/>
    <w:rsid w:val="003571C7"/>
    <w:rsid w:val="00357D2E"/>
    <w:rsid w:val="00360405"/>
    <w:rsid w:val="00360781"/>
    <w:rsid w:val="00361D0C"/>
    <w:rsid w:val="003620BB"/>
    <w:rsid w:val="00362520"/>
    <w:rsid w:val="00362F54"/>
    <w:rsid w:val="00363968"/>
    <w:rsid w:val="00364E13"/>
    <w:rsid w:val="003661DF"/>
    <w:rsid w:val="0036628B"/>
    <w:rsid w:val="003672BD"/>
    <w:rsid w:val="00367C60"/>
    <w:rsid w:val="0037084A"/>
    <w:rsid w:val="00371AD9"/>
    <w:rsid w:val="00371FFB"/>
    <w:rsid w:val="00372399"/>
    <w:rsid w:val="003727F2"/>
    <w:rsid w:val="00373A32"/>
    <w:rsid w:val="00373D32"/>
    <w:rsid w:val="003741AB"/>
    <w:rsid w:val="0037427D"/>
    <w:rsid w:val="003742DB"/>
    <w:rsid w:val="00374A47"/>
    <w:rsid w:val="003755B5"/>
    <w:rsid w:val="0037680D"/>
    <w:rsid w:val="00376C1C"/>
    <w:rsid w:val="00376E98"/>
    <w:rsid w:val="00377059"/>
    <w:rsid w:val="003774F7"/>
    <w:rsid w:val="003806A4"/>
    <w:rsid w:val="00381A55"/>
    <w:rsid w:val="003824E4"/>
    <w:rsid w:val="0038454E"/>
    <w:rsid w:val="0038476E"/>
    <w:rsid w:val="00385A80"/>
    <w:rsid w:val="003863D1"/>
    <w:rsid w:val="00390190"/>
    <w:rsid w:val="003926B0"/>
    <w:rsid w:val="003926DB"/>
    <w:rsid w:val="00392D7A"/>
    <w:rsid w:val="00392E5E"/>
    <w:rsid w:val="0039586C"/>
    <w:rsid w:val="00396095"/>
    <w:rsid w:val="00396218"/>
    <w:rsid w:val="00396409"/>
    <w:rsid w:val="00396CD6"/>
    <w:rsid w:val="00396FFA"/>
    <w:rsid w:val="00397677"/>
    <w:rsid w:val="00397838"/>
    <w:rsid w:val="003A01B2"/>
    <w:rsid w:val="003A0354"/>
    <w:rsid w:val="003A054F"/>
    <w:rsid w:val="003A05D2"/>
    <w:rsid w:val="003A0E16"/>
    <w:rsid w:val="003A25EC"/>
    <w:rsid w:val="003A2B9A"/>
    <w:rsid w:val="003A5EEC"/>
    <w:rsid w:val="003A5F45"/>
    <w:rsid w:val="003A6D37"/>
    <w:rsid w:val="003A7C4E"/>
    <w:rsid w:val="003B2DA1"/>
    <w:rsid w:val="003B3CCF"/>
    <w:rsid w:val="003B3F41"/>
    <w:rsid w:val="003B5E85"/>
    <w:rsid w:val="003B6C3D"/>
    <w:rsid w:val="003C0976"/>
    <w:rsid w:val="003C0E6F"/>
    <w:rsid w:val="003C0FD0"/>
    <w:rsid w:val="003C1005"/>
    <w:rsid w:val="003C1580"/>
    <w:rsid w:val="003C16F6"/>
    <w:rsid w:val="003C450B"/>
    <w:rsid w:val="003D0D43"/>
    <w:rsid w:val="003D1744"/>
    <w:rsid w:val="003D5107"/>
    <w:rsid w:val="003D59E3"/>
    <w:rsid w:val="003D5D52"/>
    <w:rsid w:val="003D69FA"/>
    <w:rsid w:val="003D7A8D"/>
    <w:rsid w:val="003E0009"/>
    <w:rsid w:val="003E0D01"/>
    <w:rsid w:val="003E2D14"/>
    <w:rsid w:val="003E3223"/>
    <w:rsid w:val="003E3893"/>
    <w:rsid w:val="003E4816"/>
    <w:rsid w:val="003E56F0"/>
    <w:rsid w:val="003E724F"/>
    <w:rsid w:val="003E78D4"/>
    <w:rsid w:val="003F094A"/>
    <w:rsid w:val="003F1D13"/>
    <w:rsid w:val="003F2740"/>
    <w:rsid w:val="003F3FCE"/>
    <w:rsid w:val="003F450C"/>
    <w:rsid w:val="00400462"/>
    <w:rsid w:val="00400875"/>
    <w:rsid w:val="0040124F"/>
    <w:rsid w:val="00402920"/>
    <w:rsid w:val="00402F63"/>
    <w:rsid w:val="00403721"/>
    <w:rsid w:val="004038B5"/>
    <w:rsid w:val="004039A8"/>
    <w:rsid w:val="00403FD9"/>
    <w:rsid w:val="00404458"/>
    <w:rsid w:val="00404860"/>
    <w:rsid w:val="00407E20"/>
    <w:rsid w:val="0041026A"/>
    <w:rsid w:val="00410530"/>
    <w:rsid w:val="00412C00"/>
    <w:rsid w:val="00413DC0"/>
    <w:rsid w:val="004148A3"/>
    <w:rsid w:val="004156EC"/>
    <w:rsid w:val="00415879"/>
    <w:rsid w:val="00415FFB"/>
    <w:rsid w:val="00416257"/>
    <w:rsid w:val="00417616"/>
    <w:rsid w:val="00420307"/>
    <w:rsid w:val="004228AF"/>
    <w:rsid w:val="004230FE"/>
    <w:rsid w:val="00423969"/>
    <w:rsid w:val="004263C3"/>
    <w:rsid w:val="0042783C"/>
    <w:rsid w:val="00427E17"/>
    <w:rsid w:val="00430D41"/>
    <w:rsid w:val="00430E8D"/>
    <w:rsid w:val="00430E92"/>
    <w:rsid w:val="00431CC3"/>
    <w:rsid w:val="00432272"/>
    <w:rsid w:val="00433EA6"/>
    <w:rsid w:val="00435790"/>
    <w:rsid w:val="00435EAE"/>
    <w:rsid w:val="00435F1D"/>
    <w:rsid w:val="00441AFE"/>
    <w:rsid w:val="00441CF7"/>
    <w:rsid w:val="00442578"/>
    <w:rsid w:val="00442E5F"/>
    <w:rsid w:val="00444B75"/>
    <w:rsid w:val="0044649D"/>
    <w:rsid w:val="004466B6"/>
    <w:rsid w:val="00447208"/>
    <w:rsid w:val="0044746C"/>
    <w:rsid w:val="00447850"/>
    <w:rsid w:val="00447E7E"/>
    <w:rsid w:val="00451D6E"/>
    <w:rsid w:val="004542D6"/>
    <w:rsid w:val="00454529"/>
    <w:rsid w:val="00454D93"/>
    <w:rsid w:val="00454EAE"/>
    <w:rsid w:val="00456388"/>
    <w:rsid w:val="004567A6"/>
    <w:rsid w:val="0045723B"/>
    <w:rsid w:val="0045727A"/>
    <w:rsid w:val="004574F4"/>
    <w:rsid w:val="00460083"/>
    <w:rsid w:val="004614DD"/>
    <w:rsid w:val="004657DC"/>
    <w:rsid w:val="0046581B"/>
    <w:rsid w:val="0046750F"/>
    <w:rsid w:val="004679C8"/>
    <w:rsid w:val="00467A42"/>
    <w:rsid w:val="0047005D"/>
    <w:rsid w:val="0047040F"/>
    <w:rsid w:val="00470755"/>
    <w:rsid w:val="00471038"/>
    <w:rsid w:val="0047549D"/>
    <w:rsid w:val="00475B79"/>
    <w:rsid w:val="00475ECD"/>
    <w:rsid w:val="00475F20"/>
    <w:rsid w:val="00475F35"/>
    <w:rsid w:val="004768DB"/>
    <w:rsid w:val="004802F3"/>
    <w:rsid w:val="004812F6"/>
    <w:rsid w:val="004819A7"/>
    <w:rsid w:val="00481F0B"/>
    <w:rsid w:val="00482FA8"/>
    <w:rsid w:val="00482FEC"/>
    <w:rsid w:val="0048358B"/>
    <w:rsid w:val="004867B0"/>
    <w:rsid w:val="00486EF8"/>
    <w:rsid w:val="004870AA"/>
    <w:rsid w:val="00487C6F"/>
    <w:rsid w:val="004909AD"/>
    <w:rsid w:val="00491781"/>
    <w:rsid w:val="00492907"/>
    <w:rsid w:val="00492FC0"/>
    <w:rsid w:val="00493955"/>
    <w:rsid w:val="004955E5"/>
    <w:rsid w:val="0049600C"/>
    <w:rsid w:val="00496223"/>
    <w:rsid w:val="00496403"/>
    <w:rsid w:val="00496E7E"/>
    <w:rsid w:val="004A07B3"/>
    <w:rsid w:val="004A102E"/>
    <w:rsid w:val="004A2B4E"/>
    <w:rsid w:val="004A3644"/>
    <w:rsid w:val="004A399F"/>
    <w:rsid w:val="004A5DBA"/>
    <w:rsid w:val="004A6D7C"/>
    <w:rsid w:val="004B043D"/>
    <w:rsid w:val="004B0976"/>
    <w:rsid w:val="004B121A"/>
    <w:rsid w:val="004B12A7"/>
    <w:rsid w:val="004B22A5"/>
    <w:rsid w:val="004B29C0"/>
    <w:rsid w:val="004B3F95"/>
    <w:rsid w:val="004B4340"/>
    <w:rsid w:val="004B5167"/>
    <w:rsid w:val="004B5E10"/>
    <w:rsid w:val="004B7D2E"/>
    <w:rsid w:val="004C12D0"/>
    <w:rsid w:val="004C1E7A"/>
    <w:rsid w:val="004C2F5E"/>
    <w:rsid w:val="004C30E4"/>
    <w:rsid w:val="004C3411"/>
    <w:rsid w:val="004C3AC6"/>
    <w:rsid w:val="004C6EB3"/>
    <w:rsid w:val="004CCDB2"/>
    <w:rsid w:val="004D11FD"/>
    <w:rsid w:val="004D158F"/>
    <w:rsid w:val="004D2C98"/>
    <w:rsid w:val="004D3F1B"/>
    <w:rsid w:val="004D44EF"/>
    <w:rsid w:val="004D4BB4"/>
    <w:rsid w:val="004D5C07"/>
    <w:rsid w:val="004D790B"/>
    <w:rsid w:val="004E049B"/>
    <w:rsid w:val="004E0F9A"/>
    <w:rsid w:val="004E1B68"/>
    <w:rsid w:val="004E25FD"/>
    <w:rsid w:val="004E64AB"/>
    <w:rsid w:val="004E6C0A"/>
    <w:rsid w:val="004F0FDE"/>
    <w:rsid w:val="004F21D7"/>
    <w:rsid w:val="004F2AC5"/>
    <w:rsid w:val="004F3209"/>
    <w:rsid w:val="004F3FD5"/>
    <w:rsid w:val="004F4127"/>
    <w:rsid w:val="004F6EDA"/>
    <w:rsid w:val="005002EA"/>
    <w:rsid w:val="005004AC"/>
    <w:rsid w:val="005023ED"/>
    <w:rsid w:val="00502FB7"/>
    <w:rsid w:val="0050326E"/>
    <w:rsid w:val="0050365D"/>
    <w:rsid w:val="00503CFD"/>
    <w:rsid w:val="005048C1"/>
    <w:rsid w:val="005052F0"/>
    <w:rsid w:val="005061AD"/>
    <w:rsid w:val="005074D1"/>
    <w:rsid w:val="00507AAA"/>
    <w:rsid w:val="00511924"/>
    <w:rsid w:val="00511994"/>
    <w:rsid w:val="005122ED"/>
    <w:rsid w:val="0051237B"/>
    <w:rsid w:val="00512C9D"/>
    <w:rsid w:val="00512F1E"/>
    <w:rsid w:val="00513F9F"/>
    <w:rsid w:val="005141A2"/>
    <w:rsid w:val="00514B52"/>
    <w:rsid w:val="00514DAC"/>
    <w:rsid w:val="00515090"/>
    <w:rsid w:val="00515428"/>
    <w:rsid w:val="005159D9"/>
    <w:rsid w:val="00515A02"/>
    <w:rsid w:val="00515B22"/>
    <w:rsid w:val="00516E6C"/>
    <w:rsid w:val="0051739B"/>
    <w:rsid w:val="00517D0F"/>
    <w:rsid w:val="00520E09"/>
    <w:rsid w:val="005216B7"/>
    <w:rsid w:val="0052282A"/>
    <w:rsid w:val="00522F26"/>
    <w:rsid w:val="00523F44"/>
    <w:rsid w:val="00524086"/>
    <w:rsid w:val="005240B9"/>
    <w:rsid w:val="0052414C"/>
    <w:rsid w:val="00525071"/>
    <w:rsid w:val="005279A6"/>
    <w:rsid w:val="005301C1"/>
    <w:rsid w:val="00530269"/>
    <w:rsid w:val="00531E74"/>
    <w:rsid w:val="00532595"/>
    <w:rsid w:val="00533CC1"/>
    <w:rsid w:val="00534BB0"/>
    <w:rsid w:val="0053527B"/>
    <w:rsid w:val="005368DE"/>
    <w:rsid w:val="00536BFC"/>
    <w:rsid w:val="00543049"/>
    <w:rsid w:val="0054367C"/>
    <w:rsid w:val="00544320"/>
    <w:rsid w:val="0054495E"/>
    <w:rsid w:val="005454E7"/>
    <w:rsid w:val="0054589F"/>
    <w:rsid w:val="005463F7"/>
    <w:rsid w:val="005464B5"/>
    <w:rsid w:val="00550223"/>
    <w:rsid w:val="00550DBB"/>
    <w:rsid w:val="005515A4"/>
    <w:rsid w:val="00551FE9"/>
    <w:rsid w:val="00552E44"/>
    <w:rsid w:val="0055380E"/>
    <w:rsid w:val="00553A03"/>
    <w:rsid w:val="00553C23"/>
    <w:rsid w:val="005542B8"/>
    <w:rsid w:val="00554325"/>
    <w:rsid w:val="00554A90"/>
    <w:rsid w:val="0055598E"/>
    <w:rsid w:val="00555B4E"/>
    <w:rsid w:val="005562D7"/>
    <w:rsid w:val="00556451"/>
    <w:rsid w:val="005571AD"/>
    <w:rsid w:val="0055789E"/>
    <w:rsid w:val="00557BC5"/>
    <w:rsid w:val="00561EC4"/>
    <w:rsid w:val="005623F4"/>
    <w:rsid w:val="00562F95"/>
    <w:rsid w:val="00564E37"/>
    <w:rsid w:val="0056529A"/>
    <w:rsid w:val="005656A8"/>
    <w:rsid w:val="0056670B"/>
    <w:rsid w:val="00566AE7"/>
    <w:rsid w:val="005671D9"/>
    <w:rsid w:val="00567FDF"/>
    <w:rsid w:val="00570090"/>
    <w:rsid w:val="00571189"/>
    <w:rsid w:val="00571BDC"/>
    <w:rsid w:val="0057263B"/>
    <w:rsid w:val="00574503"/>
    <w:rsid w:val="00574E56"/>
    <w:rsid w:val="00574F01"/>
    <w:rsid w:val="005756FD"/>
    <w:rsid w:val="005759C9"/>
    <w:rsid w:val="00575F73"/>
    <w:rsid w:val="00580CC8"/>
    <w:rsid w:val="00580E55"/>
    <w:rsid w:val="00586CB4"/>
    <w:rsid w:val="005871FE"/>
    <w:rsid w:val="00587FBF"/>
    <w:rsid w:val="00591A71"/>
    <w:rsid w:val="00591BCE"/>
    <w:rsid w:val="00592E30"/>
    <w:rsid w:val="005938BF"/>
    <w:rsid w:val="005938D0"/>
    <w:rsid w:val="00594ACB"/>
    <w:rsid w:val="005954E4"/>
    <w:rsid w:val="00595E44"/>
    <w:rsid w:val="005A27D0"/>
    <w:rsid w:val="005A40EA"/>
    <w:rsid w:val="005A4FDE"/>
    <w:rsid w:val="005A5925"/>
    <w:rsid w:val="005A5B0E"/>
    <w:rsid w:val="005A782E"/>
    <w:rsid w:val="005B03FA"/>
    <w:rsid w:val="005B1021"/>
    <w:rsid w:val="005B1406"/>
    <w:rsid w:val="005B2252"/>
    <w:rsid w:val="005B3070"/>
    <w:rsid w:val="005B64D2"/>
    <w:rsid w:val="005B7602"/>
    <w:rsid w:val="005C035B"/>
    <w:rsid w:val="005C0818"/>
    <w:rsid w:val="005C0D0A"/>
    <w:rsid w:val="005C3618"/>
    <w:rsid w:val="005C38CB"/>
    <w:rsid w:val="005C3E4B"/>
    <w:rsid w:val="005C418B"/>
    <w:rsid w:val="005C4372"/>
    <w:rsid w:val="005C59D3"/>
    <w:rsid w:val="005C6390"/>
    <w:rsid w:val="005C74D9"/>
    <w:rsid w:val="005C77A8"/>
    <w:rsid w:val="005C786B"/>
    <w:rsid w:val="005D0F8D"/>
    <w:rsid w:val="005D1370"/>
    <w:rsid w:val="005D26B4"/>
    <w:rsid w:val="005D2A93"/>
    <w:rsid w:val="005D2D4F"/>
    <w:rsid w:val="005D2E81"/>
    <w:rsid w:val="005D4EBF"/>
    <w:rsid w:val="005D52B0"/>
    <w:rsid w:val="005D5815"/>
    <w:rsid w:val="005D5CA3"/>
    <w:rsid w:val="005D62A1"/>
    <w:rsid w:val="005D6702"/>
    <w:rsid w:val="005D7C1E"/>
    <w:rsid w:val="005E0A7A"/>
    <w:rsid w:val="005E1550"/>
    <w:rsid w:val="005E19E5"/>
    <w:rsid w:val="005E1A59"/>
    <w:rsid w:val="005E1BB1"/>
    <w:rsid w:val="005E3D57"/>
    <w:rsid w:val="005E4432"/>
    <w:rsid w:val="005E46A9"/>
    <w:rsid w:val="005E532F"/>
    <w:rsid w:val="005F1423"/>
    <w:rsid w:val="005F206E"/>
    <w:rsid w:val="005F270C"/>
    <w:rsid w:val="005F32DF"/>
    <w:rsid w:val="005F6AB6"/>
    <w:rsid w:val="005F7272"/>
    <w:rsid w:val="006014D0"/>
    <w:rsid w:val="00601B52"/>
    <w:rsid w:val="00602127"/>
    <w:rsid w:val="0060296C"/>
    <w:rsid w:val="006037B0"/>
    <w:rsid w:val="00603E27"/>
    <w:rsid w:val="00604184"/>
    <w:rsid w:val="00605750"/>
    <w:rsid w:val="00606271"/>
    <w:rsid w:val="00606C3C"/>
    <w:rsid w:val="0060711A"/>
    <w:rsid w:val="00607587"/>
    <w:rsid w:val="00607631"/>
    <w:rsid w:val="00607E62"/>
    <w:rsid w:val="006103BD"/>
    <w:rsid w:val="00611490"/>
    <w:rsid w:val="0061178E"/>
    <w:rsid w:val="006122F5"/>
    <w:rsid w:val="00613E95"/>
    <w:rsid w:val="006140DF"/>
    <w:rsid w:val="006173D5"/>
    <w:rsid w:val="0061C6C3"/>
    <w:rsid w:val="00621701"/>
    <w:rsid w:val="00621C87"/>
    <w:rsid w:val="00622959"/>
    <w:rsid w:val="00622991"/>
    <w:rsid w:val="00623237"/>
    <w:rsid w:val="006237C3"/>
    <w:rsid w:val="00626D72"/>
    <w:rsid w:val="006274B8"/>
    <w:rsid w:val="006276BA"/>
    <w:rsid w:val="00627FAF"/>
    <w:rsid w:val="00627FEE"/>
    <w:rsid w:val="006336A2"/>
    <w:rsid w:val="0063399A"/>
    <w:rsid w:val="00635865"/>
    <w:rsid w:val="00636660"/>
    <w:rsid w:val="0063696D"/>
    <w:rsid w:val="00637BE9"/>
    <w:rsid w:val="00637F08"/>
    <w:rsid w:val="006410B4"/>
    <w:rsid w:val="0064152F"/>
    <w:rsid w:val="006416CC"/>
    <w:rsid w:val="00644273"/>
    <w:rsid w:val="0064535A"/>
    <w:rsid w:val="0064664B"/>
    <w:rsid w:val="006471AE"/>
    <w:rsid w:val="0064780D"/>
    <w:rsid w:val="00647C05"/>
    <w:rsid w:val="00650433"/>
    <w:rsid w:val="006518C7"/>
    <w:rsid w:val="00651D38"/>
    <w:rsid w:val="00652019"/>
    <w:rsid w:val="006531FA"/>
    <w:rsid w:val="00653B50"/>
    <w:rsid w:val="00653E5B"/>
    <w:rsid w:val="00654778"/>
    <w:rsid w:val="00654984"/>
    <w:rsid w:val="00654F81"/>
    <w:rsid w:val="006554CB"/>
    <w:rsid w:val="00655901"/>
    <w:rsid w:val="00655AD1"/>
    <w:rsid w:val="00656D94"/>
    <w:rsid w:val="00657730"/>
    <w:rsid w:val="006577E8"/>
    <w:rsid w:val="00663017"/>
    <w:rsid w:val="006632BF"/>
    <w:rsid w:val="00663450"/>
    <w:rsid w:val="006648DF"/>
    <w:rsid w:val="0066751B"/>
    <w:rsid w:val="00671864"/>
    <w:rsid w:val="006733A4"/>
    <w:rsid w:val="00673BC3"/>
    <w:rsid w:val="006749AF"/>
    <w:rsid w:val="00675D38"/>
    <w:rsid w:val="00676147"/>
    <w:rsid w:val="00680652"/>
    <w:rsid w:val="006812A6"/>
    <w:rsid w:val="00681793"/>
    <w:rsid w:val="00681F8F"/>
    <w:rsid w:val="006828C0"/>
    <w:rsid w:val="00682A4E"/>
    <w:rsid w:val="00684B4D"/>
    <w:rsid w:val="00684C32"/>
    <w:rsid w:val="00684D73"/>
    <w:rsid w:val="00691AE0"/>
    <w:rsid w:val="00693B1D"/>
    <w:rsid w:val="00694A01"/>
    <w:rsid w:val="00694AC2"/>
    <w:rsid w:val="00695716"/>
    <w:rsid w:val="00695FE7"/>
    <w:rsid w:val="0069657A"/>
    <w:rsid w:val="0069671A"/>
    <w:rsid w:val="006A0E65"/>
    <w:rsid w:val="006A1213"/>
    <w:rsid w:val="006A1216"/>
    <w:rsid w:val="006A1B05"/>
    <w:rsid w:val="006A347D"/>
    <w:rsid w:val="006A4B69"/>
    <w:rsid w:val="006A4ECB"/>
    <w:rsid w:val="006A62CA"/>
    <w:rsid w:val="006A7CC8"/>
    <w:rsid w:val="006A7D9A"/>
    <w:rsid w:val="006B0C10"/>
    <w:rsid w:val="006B1258"/>
    <w:rsid w:val="006B2E18"/>
    <w:rsid w:val="006B358F"/>
    <w:rsid w:val="006B3663"/>
    <w:rsid w:val="006B6897"/>
    <w:rsid w:val="006B6993"/>
    <w:rsid w:val="006B759E"/>
    <w:rsid w:val="006C01A8"/>
    <w:rsid w:val="006C20B1"/>
    <w:rsid w:val="006C210A"/>
    <w:rsid w:val="006C2979"/>
    <w:rsid w:val="006C354A"/>
    <w:rsid w:val="006C379E"/>
    <w:rsid w:val="006C384E"/>
    <w:rsid w:val="006C48FD"/>
    <w:rsid w:val="006C4AAF"/>
    <w:rsid w:val="006C563D"/>
    <w:rsid w:val="006C5D44"/>
    <w:rsid w:val="006C635D"/>
    <w:rsid w:val="006D0B87"/>
    <w:rsid w:val="006D1238"/>
    <w:rsid w:val="006D153D"/>
    <w:rsid w:val="006D25DA"/>
    <w:rsid w:val="006D594E"/>
    <w:rsid w:val="006D5A60"/>
    <w:rsid w:val="006D5B2D"/>
    <w:rsid w:val="006D616D"/>
    <w:rsid w:val="006D61BF"/>
    <w:rsid w:val="006D73B2"/>
    <w:rsid w:val="006E07A7"/>
    <w:rsid w:val="006E07AA"/>
    <w:rsid w:val="006E0CDE"/>
    <w:rsid w:val="006E2779"/>
    <w:rsid w:val="006E3AB6"/>
    <w:rsid w:val="006E4AA2"/>
    <w:rsid w:val="006E4BE6"/>
    <w:rsid w:val="006E4CB7"/>
    <w:rsid w:val="006E53D7"/>
    <w:rsid w:val="006E568E"/>
    <w:rsid w:val="006E796A"/>
    <w:rsid w:val="006F0A75"/>
    <w:rsid w:val="006F1E7B"/>
    <w:rsid w:val="006F3055"/>
    <w:rsid w:val="006F3257"/>
    <w:rsid w:val="006F353E"/>
    <w:rsid w:val="006F459A"/>
    <w:rsid w:val="006F4F08"/>
    <w:rsid w:val="006F7980"/>
    <w:rsid w:val="00701161"/>
    <w:rsid w:val="00701354"/>
    <w:rsid w:val="007037FE"/>
    <w:rsid w:val="0070549E"/>
    <w:rsid w:val="00705C02"/>
    <w:rsid w:val="00706764"/>
    <w:rsid w:val="0070709A"/>
    <w:rsid w:val="007070FA"/>
    <w:rsid w:val="0071070B"/>
    <w:rsid w:val="007128B9"/>
    <w:rsid w:val="00713409"/>
    <w:rsid w:val="00713E91"/>
    <w:rsid w:val="00715F94"/>
    <w:rsid w:val="00717408"/>
    <w:rsid w:val="0071786D"/>
    <w:rsid w:val="007220A6"/>
    <w:rsid w:val="0072243A"/>
    <w:rsid w:val="00723465"/>
    <w:rsid w:val="00723E67"/>
    <w:rsid w:val="00723F2B"/>
    <w:rsid w:val="007278C7"/>
    <w:rsid w:val="00727BC8"/>
    <w:rsid w:val="00730CE1"/>
    <w:rsid w:val="0073110F"/>
    <w:rsid w:val="00732785"/>
    <w:rsid w:val="00733889"/>
    <w:rsid w:val="00733F51"/>
    <w:rsid w:val="00735202"/>
    <w:rsid w:val="00735AE9"/>
    <w:rsid w:val="00735BAC"/>
    <w:rsid w:val="00736526"/>
    <w:rsid w:val="00736C2D"/>
    <w:rsid w:val="00740CDF"/>
    <w:rsid w:val="00741C43"/>
    <w:rsid w:val="00741E91"/>
    <w:rsid w:val="00742AC4"/>
    <w:rsid w:val="00745350"/>
    <w:rsid w:val="007453A3"/>
    <w:rsid w:val="00745A33"/>
    <w:rsid w:val="00746116"/>
    <w:rsid w:val="0074643F"/>
    <w:rsid w:val="00747E1C"/>
    <w:rsid w:val="00750511"/>
    <w:rsid w:val="00750893"/>
    <w:rsid w:val="007508BF"/>
    <w:rsid w:val="007511C7"/>
    <w:rsid w:val="00751799"/>
    <w:rsid w:val="00751A2F"/>
    <w:rsid w:val="007521F6"/>
    <w:rsid w:val="00753507"/>
    <w:rsid w:val="00753EDC"/>
    <w:rsid w:val="00754F6D"/>
    <w:rsid w:val="00756F15"/>
    <w:rsid w:val="0075728B"/>
    <w:rsid w:val="00757C89"/>
    <w:rsid w:val="0076037A"/>
    <w:rsid w:val="00760D4D"/>
    <w:rsid w:val="007611E6"/>
    <w:rsid w:val="007619CF"/>
    <w:rsid w:val="00761A16"/>
    <w:rsid w:val="007628C6"/>
    <w:rsid w:val="007630B0"/>
    <w:rsid w:val="00764062"/>
    <w:rsid w:val="00764C82"/>
    <w:rsid w:val="0076557B"/>
    <w:rsid w:val="00765C68"/>
    <w:rsid w:val="00766292"/>
    <w:rsid w:val="007662FF"/>
    <w:rsid w:val="007678B7"/>
    <w:rsid w:val="00767A64"/>
    <w:rsid w:val="0077014B"/>
    <w:rsid w:val="00771667"/>
    <w:rsid w:val="00771762"/>
    <w:rsid w:val="00773EAF"/>
    <w:rsid w:val="00774953"/>
    <w:rsid w:val="007749EB"/>
    <w:rsid w:val="00774BD6"/>
    <w:rsid w:val="00782002"/>
    <w:rsid w:val="007826E7"/>
    <w:rsid w:val="00783862"/>
    <w:rsid w:val="00783CD3"/>
    <w:rsid w:val="007856BF"/>
    <w:rsid w:val="00785858"/>
    <w:rsid w:val="007872DF"/>
    <w:rsid w:val="0078730F"/>
    <w:rsid w:val="00787AB5"/>
    <w:rsid w:val="0079129E"/>
    <w:rsid w:val="007917DE"/>
    <w:rsid w:val="00793FA3"/>
    <w:rsid w:val="00795433"/>
    <w:rsid w:val="0079693A"/>
    <w:rsid w:val="00796B81"/>
    <w:rsid w:val="00797950"/>
    <w:rsid w:val="00797B33"/>
    <w:rsid w:val="00797E53"/>
    <w:rsid w:val="007A115A"/>
    <w:rsid w:val="007A1ADA"/>
    <w:rsid w:val="007A2F57"/>
    <w:rsid w:val="007A4DC1"/>
    <w:rsid w:val="007A5897"/>
    <w:rsid w:val="007A5E6F"/>
    <w:rsid w:val="007A70F1"/>
    <w:rsid w:val="007B0359"/>
    <w:rsid w:val="007B2ADB"/>
    <w:rsid w:val="007B3070"/>
    <w:rsid w:val="007B35EE"/>
    <w:rsid w:val="007B630A"/>
    <w:rsid w:val="007B7393"/>
    <w:rsid w:val="007B7B7E"/>
    <w:rsid w:val="007B7D96"/>
    <w:rsid w:val="007C037A"/>
    <w:rsid w:val="007C0752"/>
    <w:rsid w:val="007C0BAA"/>
    <w:rsid w:val="007C294D"/>
    <w:rsid w:val="007C47A5"/>
    <w:rsid w:val="007C4E92"/>
    <w:rsid w:val="007C5800"/>
    <w:rsid w:val="007C5D86"/>
    <w:rsid w:val="007C60BB"/>
    <w:rsid w:val="007C669E"/>
    <w:rsid w:val="007C7F4B"/>
    <w:rsid w:val="007D016A"/>
    <w:rsid w:val="007D0886"/>
    <w:rsid w:val="007D1218"/>
    <w:rsid w:val="007D1A56"/>
    <w:rsid w:val="007D1DA7"/>
    <w:rsid w:val="007D1E4F"/>
    <w:rsid w:val="007D2901"/>
    <w:rsid w:val="007D3B4F"/>
    <w:rsid w:val="007D5A93"/>
    <w:rsid w:val="007D61FB"/>
    <w:rsid w:val="007D7288"/>
    <w:rsid w:val="007D7EB2"/>
    <w:rsid w:val="007E1BEB"/>
    <w:rsid w:val="007E212A"/>
    <w:rsid w:val="007E2E5D"/>
    <w:rsid w:val="007E300E"/>
    <w:rsid w:val="007E4BE6"/>
    <w:rsid w:val="007E4CDE"/>
    <w:rsid w:val="007E4CDF"/>
    <w:rsid w:val="007E598C"/>
    <w:rsid w:val="007E6B39"/>
    <w:rsid w:val="007E79F3"/>
    <w:rsid w:val="007F05C3"/>
    <w:rsid w:val="007F1E3B"/>
    <w:rsid w:val="007F2BF0"/>
    <w:rsid w:val="007F3A47"/>
    <w:rsid w:val="007F4D53"/>
    <w:rsid w:val="007F5240"/>
    <w:rsid w:val="007F5C71"/>
    <w:rsid w:val="007F7AFF"/>
    <w:rsid w:val="0080003E"/>
    <w:rsid w:val="00800324"/>
    <w:rsid w:val="0080075E"/>
    <w:rsid w:val="00800EA0"/>
    <w:rsid w:val="008016DB"/>
    <w:rsid w:val="008025DD"/>
    <w:rsid w:val="00803AFC"/>
    <w:rsid w:val="00805C15"/>
    <w:rsid w:val="00806444"/>
    <w:rsid w:val="00806AB3"/>
    <w:rsid w:val="00806E7C"/>
    <w:rsid w:val="00807F5B"/>
    <w:rsid w:val="00810F58"/>
    <w:rsid w:val="0081154E"/>
    <w:rsid w:val="008132D5"/>
    <w:rsid w:val="008136DB"/>
    <w:rsid w:val="008142B7"/>
    <w:rsid w:val="00814B7B"/>
    <w:rsid w:val="0081561B"/>
    <w:rsid w:val="0081572E"/>
    <w:rsid w:val="00816208"/>
    <w:rsid w:val="00816F08"/>
    <w:rsid w:val="0081707A"/>
    <w:rsid w:val="0081773D"/>
    <w:rsid w:val="00824137"/>
    <w:rsid w:val="00825E61"/>
    <w:rsid w:val="008264EE"/>
    <w:rsid w:val="00827448"/>
    <w:rsid w:val="00827998"/>
    <w:rsid w:val="00831624"/>
    <w:rsid w:val="00832002"/>
    <w:rsid w:val="00832354"/>
    <w:rsid w:val="008325CA"/>
    <w:rsid w:val="00832DD7"/>
    <w:rsid w:val="0083330E"/>
    <w:rsid w:val="00833AA4"/>
    <w:rsid w:val="008346C9"/>
    <w:rsid w:val="00834707"/>
    <w:rsid w:val="0083522D"/>
    <w:rsid w:val="00835BF2"/>
    <w:rsid w:val="00835F27"/>
    <w:rsid w:val="00836145"/>
    <w:rsid w:val="008363C7"/>
    <w:rsid w:val="00836C22"/>
    <w:rsid w:val="0084025E"/>
    <w:rsid w:val="00840B0D"/>
    <w:rsid w:val="00840E81"/>
    <w:rsid w:val="0084281A"/>
    <w:rsid w:val="00844316"/>
    <w:rsid w:val="00844A54"/>
    <w:rsid w:val="00844E1A"/>
    <w:rsid w:val="0084524A"/>
    <w:rsid w:val="008452FD"/>
    <w:rsid w:val="0084578D"/>
    <w:rsid w:val="00846B3F"/>
    <w:rsid w:val="00847D05"/>
    <w:rsid w:val="00850F70"/>
    <w:rsid w:val="00852666"/>
    <w:rsid w:val="00854496"/>
    <w:rsid w:val="00854FBA"/>
    <w:rsid w:val="00856A42"/>
    <w:rsid w:val="008575EB"/>
    <w:rsid w:val="00861E09"/>
    <w:rsid w:val="00862455"/>
    <w:rsid w:val="00862A71"/>
    <w:rsid w:val="008657D8"/>
    <w:rsid w:val="00866773"/>
    <w:rsid w:val="0086703C"/>
    <w:rsid w:val="00867ABF"/>
    <w:rsid w:val="0087013B"/>
    <w:rsid w:val="00870565"/>
    <w:rsid w:val="00870A82"/>
    <w:rsid w:val="00871058"/>
    <w:rsid w:val="00871648"/>
    <w:rsid w:val="0087249A"/>
    <w:rsid w:val="008734A3"/>
    <w:rsid w:val="00873568"/>
    <w:rsid w:val="00873E2D"/>
    <w:rsid w:val="00875E64"/>
    <w:rsid w:val="008763BF"/>
    <w:rsid w:val="00877EA8"/>
    <w:rsid w:val="008820F2"/>
    <w:rsid w:val="00885EE6"/>
    <w:rsid w:val="00887B86"/>
    <w:rsid w:val="00887CBF"/>
    <w:rsid w:val="0089054E"/>
    <w:rsid w:val="00890862"/>
    <w:rsid w:val="00890A7F"/>
    <w:rsid w:val="00890C30"/>
    <w:rsid w:val="008926E5"/>
    <w:rsid w:val="00896B87"/>
    <w:rsid w:val="008A14B5"/>
    <w:rsid w:val="008A2864"/>
    <w:rsid w:val="008A3E6F"/>
    <w:rsid w:val="008A4389"/>
    <w:rsid w:val="008A6968"/>
    <w:rsid w:val="008A76B5"/>
    <w:rsid w:val="008A7B99"/>
    <w:rsid w:val="008A7D2B"/>
    <w:rsid w:val="008A7DCB"/>
    <w:rsid w:val="008B18AA"/>
    <w:rsid w:val="008B3615"/>
    <w:rsid w:val="008B4FD7"/>
    <w:rsid w:val="008B55F6"/>
    <w:rsid w:val="008B7E85"/>
    <w:rsid w:val="008C02B7"/>
    <w:rsid w:val="008C296D"/>
    <w:rsid w:val="008C3C51"/>
    <w:rsid w:val="008C454F"/>
    <w:rsid w:val="008C4860"/>
    <w:rsid w:val="008C5159"/>
    <w:rsid w:val="008C5FC3"/>
    <w:rsid w:val="008C6019"/>
    <w:rsid w:val="008C67F5"/>
    <w:rsid w:val="008D20FE"/>
    <w:rsid w:val="008D4E13"/>
    <w:rsid w:val="008D50BC"/>
    <w:rsid w:val="008D5F62"/>
    <w:rsid w:val="008D6FAF"/>
    <w:rsid w:val="008D6FCA"/>
    <w:rsid w:val="008E0437"/>
    <w:rsid w:val="008E092F"/>
    <w:rsid w:val="008E0FF4"/>
    <w:rsid w:val="008E10A0"/>
    <w:rsid w:val="008E1529"/>
    <w:rsid w:val="008E1696"/>
    <w:rsid w:val="008E3A30"/>
    <w:rsid w:val="008E451B"/>
    <w:rsid w:val="008E5147"/>
    <w:rsid w:val="008E5B95"/>
    <w:rsid w:val="008E5BAC"/>
    <w:rsid w:val="008E71B0"/>
    <w:rsid w:val="008E7321"/>
    <w:rsid w:val="008E7A92"/>
    <w:rsid w:val="008F05F3"/>
    <w:rsid w:val="008F0F16"/>
    <w:rsid w:val="008F1192"/>
    <w:rsid w:val="008F18B7"/>
    <w:rsid w:val="008F1EB4"/>
    <w:rsid w:val="008F2590"/>
    <w:rsid w:val="008F2D65"/>
    <w:rsid w:val="008F30F2"/>
    <w:rsid w:val="008F4C14"/>
    <w:rsid w:val="008F7C56"/>
    <w:rsid w:val="009009F7"/>
    <w:rsid w:val="00902469"/>
    <w:rsid w:val="009048CE"/>
    <w:rsid w:val="00906763"/>
    <w:rsid w:val="00906A74"/>
    <w:rsid w:val="00907555"/>
    <w:rsid w:val="009079B2"/>
    <w:rsid w:val="009103AE"/>
    <w:rsid w:val="00911FB9"/>
    <w:rsid w:val="0091483B"/>
    <w:rsid w:val="009152E9"/>
    <w:rsid w:val="009163D5"/>
    <w:rsid w:val="00917BEC"/>
    <w:rsid w:val="0092099B"/>
    <w:rsid w:val="00920C8D"/>
    <w:rsid w:val="00923650"/>
    <w:rsid w:val="00923A57"/>
    <w:rsid w:val="00925765"/>
    <w:rsid w:val="00925E9F"/>
    <w:rsid w:val="009261D6"/>
    <w:rsid w:val="00926CDC"/>
    <w:rsid w:val="00926E92"/>
    <w:rsid w:val="0093003D"/>
    <w:rsid w:val="009300D2"/>
    <w:rsid w:val="00930638"/>
    <w:rsid w:val="00931DB4"/>
    <w:rsid w:val="009321E0"/>
    <w:rsid w:val="00932D63"/>
    <w:rsid w:val="00932F8E"/>
    <w:rsid w:val="009334AE"/>
    <w:rsid w:val="009334DB"/>
    <w:rsid w:val="00934EFB"/>
    <w:rsid w:val="00935533"/>
    <w:rsid w:val="00935786"/>
    <w:rsid w:val="00935854"/>
    <w:rsid w:val="009360B7"/>
    <w:rsid w:val="00936C98"/>
    <w:rsid w:val="00937450"/>
    <w:rsid w:val="00937BE1"/>
    <w:rsid w:val="00940D93"/>
    <w:rsid w:val="00942128"/>
    <w:rsid w:val="009427C4"/>
    <w:rsid w:val="00942933"/>
    <w:rsid w:val="00943F03"/>
    <w:rsid w:val="0094407D"/>
    <w:rsid w:val="00944E1D"/>
    <w:rsid w:val="00945B06"/>
    <w:rsid w:val="00946278"/>
    <w:rsid w:val="00946851"/>
    <w:rsid w:val="00946BA1"/>
    <w:rsid w:val="00947A37"/>
    <w:rsid w:val="0095266A"/>
    <w:rsid w:val="00952A7E"/>
    <w:rsid w:val="009553D0"/>
    <w:rsid w:val="00955555"/>
    <w:rsid w:val="009620C2"/>
    <w:rsid w:val="0096218F"/>
    <w:rsid w:val="00963E50"/>
    <w:rsid w:val="00964094"/>
    <w:rsid w:val="00965A00"/>
    <w:rsid w:val="00965E73"/>
    <w:rsid w:val="00966C7E"/>
    <w:rsid w:val="009677AA"/>
    <w:rsid w:val="00967B08"/>
    <w:rsid w:val="00970810"/>
    <w:rsid w:val="009712CD"/>
    <w:rsid w:val="009712F3"/>
    <w:rsid w:val="00972228"/>
    <w:rsid w:val="009728A4"/>
    <w:rsid w:val="00972AB9"/>
    <w:rsid w:val="00973731"/>
    <w:rsid w:val="00973910"/>
    <w:rsid w:val="009746B7"/>
    <w:rsid w:val="00975919"/>
    <w:rsid w:val="00975E49"/>
    <w:rsid w:val="0097639E"/>
    <w:rsid w:val="009764C5"/>
    <w:rsid w:val="009768A7"/>
    <w:rsid w:val="009768AC"/>
    <w:rsid w:val="009773C5"/>
    <w:rsid w:val="00977D17"/>
    <w:rsid w:val="00982DBB"/>
    <w:rsid w:val="00983ECE"/>
    <w:rsid w:val="009849B0"/>
    <w:rsid w:val="00984C98"/>
    <w:rsid w:val="0098543C"/>
    <w:rsid w:val="009859D4"/>
    <w:rsid w:val="00985A35"/>
    <w:rsid w:val="009869ED"/>
    <w:rsid w:val="00986CAE"/>
    <w:rsid w:val="0098700E"/>
    <w:rsid w:val="00987620"/>
    <w:rsid w:val="00990C03"/>
    <w:rsid w:val="00991402"/>
    <w:rsid w:val="00993DD2"/>
    <w:rsid w:val="009943CF"/>
    <w:rsid w:val="00994DA3"/>
    <w:rsid w:val="00995901"/>
    <w:rsid w:val="0099646A"/>
    <w:rsid w:val="009970CD"/>
    <w:rsid w:val="009A0A43"/>
    <w:rsid w:val="009A0EA2"/>
    <w:rsid w:val="009A2C77"/>
    <w:rsid w:val="009A5FC6"/>
    <w:rsid w:val="009A61D0"/>
    <w:rsid w:val="009A7148"/>
    <w:rsid w:val="009A7633"/>
    <w:rsid w:val="009B1998"/>
    <w:rsid w:val="009B1A2A"/>
    <w:rsid w:val="009B1DDF"/>
    <w:rsid w:val="009B366A"/>
    <w:rsid w:val="009B3DEC"/>
    <w:rsid w:val="009B415E"/>
    <w:rsid w:val="009B56AC"/>
    <w:rsid w:val="009B6613"/>
    <w:rsid w:val="009B671B"/>
    <w:rsid w:val="009B6D98"/>
    <w:rsid w:val="009B7772"/>
    <w:rsid w:val="009B7B87"/>
    <w:rsid w:val="009C009C"/>
    <w:rsid w:val="009C06D8"/>
    <w:rsid w:val="009C0C9D"/>
    <w:rsid w:val="009C18BB"/>
    <w:rsid w:val="009C1AD4"/>
    <w:rsid w:val="009C1B5F"/>
    <w:rsid w:val="009C5405"/>
    <w:rsid w:val="009C6641"/>
    <w:rsid w:val="009C67B5"/>
    <w:rsid w:val="009C7B0A"/>
    <w:rsid w:val="009D1E28"/>
    <w:rsid w:val="009D2617"/>
    <w:rsid w:val="009D406C"/>
    <w:rsid w:val="009D45F7"/>
    <w:rsid w:val="009D5FA5"/>
    <w:rsid w:val="009D6F88"/>
    <w:rsid w:val="009D7E63"/>
    <w:rsid w:val="009E05A1"/>
    <w:rsid w:val="009E0B9D"/>
    <w:rsid w:val="009E0D85"/>
    <w:rsid w:val="009E0E5A"/>
    <w:rsid w:val="009E287F"/>
    <w:rsid w:val="009E2D21"/>
    <w:rsid w:val="009E3598"/>
    <w:rsid w:val="009E3A5D"/>
    <w:rsid w:val="009E3B96"/>
    <w:rsid w:val="009E492B"/>
    <w:rsid w:val="009E6B4A"/>
    <w:rsid w:val="009F007F"/>
    <w:rsid w:val="009F2174"/>
    <w:rsid w:val="009F3282"/>
    <w:rsid w:val="009F3413"/>
    <w:rsid w:val="009F38FA"/>
    <w:rsid w:val="009F3B29"/>
    <w:rsid w:val="009F5782"/>
    <w:rsid w:val="009F5EEC"/>
    <w:rsid w:val="009F6839"/>
    <w:rsid w:val="009F6EF2"/>
    <w:rsid w:val="009F6FCC"/>
    <w:rsid w:val="009F704C"/>
    <w:rsid w:val="009F7D1A"/>
    <w:rsid w:val="00A01558"/>
    <w:rsid w:val="00A028E0"/>
    <w:rsid w:val="00A032DF"/>
    <w:rsid w:val="00A046C2"/>
    <w:rsid w:val="00A06288"/>
    <w:rsid w:val="00A06598"/>
    <w:rsid w:val="00A06855"/>
    <w:rsid w:val="00A11222"/>
    <w:rsid w:val="00A12035"/>
    <w:rsid w:val="00A126B6"/>
    <w:rsid w:val="00A12D5F"/>
    <w:rsid w:val="00A12D9B"/>
    <w:rsid w:val="00A13AA8"/>
    <w:rsid w:val="00A13D31"/>
    <w:rsid w:val="00A157A5"/>
    <w:rsid w:val="00A163F8"/>
    <w:rsid w:val="00A1689E"/>
    <w:rsid w:val="00A17290"/>
    <w:rsid w:val="00A17573"/>
    <w:rsid w:val="00A20ADA"/>
    <w:rsid w:val="00A20E20"/>
    <w:rsid w:val="00A240C1"/>
    <w:rsid w:val="00A26337"/>
    <w:rsid w:val="00A26C68"/>
    <w:rsid w:val="00A30007"/>
    <w:rsid w:val="00A3233A"/>
    <w:rsid w:val="00A323EB"/>
    <w:rsid w:val="00A33EBC"/>
    <w:rsid w:val="00A35850"/>
    <w:rsid w:val="00A401B1"/>
    <w:rsid w:val="00A409AC"/>
    <w:rsid w:val="00A40DA2"/>
    <w:rsid w:val="00A41612"/>
    <w:rsid w:val="00A4249B"/>
    <w:rsid w:val="00A42F1E"/>
    <w:rsid w:val="00A42FA2"/>
    <w:rsid w:val="00A43590"/>
    <w:rsid w:val="00A441E1"/>
    <w:rsid w:val="00A444C1"/>
    <w:rsid w:val="00A4464E"/>
    <w:rsid w:val="00A446CA"/>
    <w:rsid w:val="00A44F45"/>
    <w:rsid w:val="00A45151"/>
    <w:rsid w:val="00A46860"/>
    <w:rsid w:val="00A47976"/>
    <w:rsid w:val="00A500AF"/>
    <w:rsid w:val="00A50374"/>
    <w:rsid w:val="00A509FD"/>
    <w:rsid w:val="00A50B86"/>
    <w:rsid w:val="00A51818"/>
    <w:rsid w:val="00A5181F"/>
    <w:rsid w:val="00A51950"/>
    <w:rsid w:val="00A52388"/>
    <w:rsid w:val="00A52C2B"/>
    <w:rsid w:val="00A539A1"/>
    <w:rsid w:val="00A53ACE"/>
    <w:rsid w:val="00A54CB7"/>
    <w:rsid w:val="00A57E96"/>
    <w:rsid w:val="00A60468"/>
    <w:rsid w:val="00A60861"/>
    <w:rsid w:val="00A6156D"/>
    <w:rsid w:val="00A61AA8"/>
    <w:rsid w:val="00A63A6F"/>
    <w:rsid w:val="00A64CF0"/>
    <w:rsid w:val="00A64F36"/>
    <w:rsid w:val="00A65B35"/>
    <w:rsid w:val="00A70A62"/>
    <w:rsid w:val="00A70F58"/>
    <w:rsid w:val="00A7177D"/>
    <w:rsid w:val="00A71C68"/>
    <w:rsid w:val="00A71FAE"/>
    <w:rsid w:val="00A723B7"/>
    <w:rsid w:val="00A72740"/>
    <w:rsid w:val="00A741CC"/>
    <w:rsid w:val="00A761CA"/>
    <w:rsid w:val="00A813B7"/>
    <w:rsid w:val="00A81C19"/>
    <w:rsid w:val="00A81F15"/>
    <w:rsid w:val="00A831F9"/>
    <w:rsid w:val="00A8332C"/>
    <w:rsid w:val="00A84481"/>
    <w:rsid w:val="00A845B4"/>
    <w:rsid w:val="00A859CE"/>
    <w:rsid w:val="00A85D7C"/>
    <w:rsid w:val="00A870F6"/>
    <w:rsid w:val="00A87AD5"/>
    <w:rsid w:val="00A87BFF"/>
    <w:rsid w:val="00A901B2"/>
    <w:rsid w:val="00A90590"/>
    <w:rsid w:val="00A923D3"/>
    <w:rsid w:val="00A9286C"/>
    <w:rsid w:val="00A92EFB"/>
    <w:rsid w:val="00A93F2B"/>
    <w:rsid w:val="00A94063"/>
    <w:rsid w:val="00A95A7B"/>
    <w:rsid w:val="00A963C9"/>
    <w:rsid w:val="00A97E2A"/>
    <w:rsid w:val="00AA0736"/>
    <w:rsid w:val="00AA0AAD"/>
    <w:rsid w:val="00AA2A3E"/>
    <w:rsid w:val="00AA32FF"/>
    <w:rsid w:val="00AA4789"/>
    <w:rsid w:val="00AA561B"/>
    <w:rsid w:val="00AA5940"/>
    <w:rsid w:val="00AA5B7E"/>
    <w:rsid w:val="00AA6FE1"/>
    <w:rsid w:val="00AB0D77"/>
    <w:rsid w:val="00AB0ED8"/>
    <w:rsid w:val="00AB1349"/>
    <w:rsid w:val="00AB1933"/>
    <w:rsid w:val="00AB1969"/>
    <w:rsid w:val="00AB287D"/>
    <w:rsid w:val="00AB451D"/>
    <w:rsid w:val="00AB454F"/>
    <w:rsid w:val="00AB593B"/>
    <w:rsid w:val="00AB6362"/>
    <w:rsid w:val="00AB67CA"/>
    <w:rsid w:val="00AC038D"/>
    <w:rsid w:val="00AC0DCC"/>
    <w:rsid w:val="00AC0E1B"/>
    <w:rsid w:val="00AC1801"/>
    <w:rsid w:val="00AC2FCC"/>
    <w:rsid w:val="00AC31B2"/>
    <w:rsid w:val="00AC54D4"/>
    <w:rsid w:val="00AC6A67"/>
    <w:rsid w:val="00AC7151"/>
    <w:rsid w:val="00AC79B7"/>
    <w:rsid w:val="00AD175A"/>
    <w:rsid w:val="00AD1D43"/>
    <w:rsid w:val="00AD30B5"/>
    <w:rsid w:val="00AD4928"/>
    <w:rsid w:val="00AD53DD"/>
    <w:rsid w:val="00AD726D"/>
    <w:rsid w:val="00AD73CB"/>
    <w:rsid w:val="00AD79A7"/>
    <w:rsid w:val="00AD7F30"/>
    <w:rsid w:val="00AE047D"/>
    <w:rsid w:val="00AE052A"/>
    <w:rsid w:val="00AE11A8"/>
    <w:rsid w:val="00AE2955"/>
    <w:rsid w:val="00AE43DC"/>
    <w:rsid w:val="00AE4857"/>
    <w:rsid w:val="00AE673E"/>
    <w:rsid w:val="00AE682F"/>
    <w:rsid w:val="00AE696A"/>
    <w:rsid w:val="00AE7058"/>
    <w:rsid w:val="00AE7616"/>
    <w:rsid w:val="00AE7BCB"/>
    <w:rsid w:val="00AF09FA"/>
    <w:rsid w:val="00AF107B"/>
    <w:rsid w:val="00AF278D"/>
    <w:rsid w:val="00AF2F35"/>
    <w:rsid w:val="00AF48C0"/>
    <w:rsid w:val="00AF4E44"/>
    <w:rsid w:val="00AF4E83"/>
    <w:rsid w:val="00AF6BC1"/>
    <w:rsid w:val="00AF6DD1"/>
    <w:rsid w:val="00AF7956"/>
    <w:rsid w:val="00AF7A48"/>
    <w:rsid w:val="00B02EAA"/>
    <w:rsid w:val="00B04661"/>
    <w:rsid w:val="00B13E55"/>
    <w:rsid w:val="00B14501"/>
    <w:rsid w:val="00B145EF"/>
    <w:rsid w:val="00B15562"/>
    <w:rsid w:val="00B17D96"/>
    <w:rsid w:val="00B20C89"/>
    <w:rsid w:val="00B213AD"/>
    <w:rsid w:val="00B22CB0"/>
    <w:rsid w:val="00B232DA"/>
    <w:rsid w:val="00B23684"/>
    <w:rsid w:val="00B247D9"/>
    <w:rsid w:val="00B249A7"/>
    <w:rsid w:val="00B250FF"/>
    <w:rsid w:val="00B25118"/>
    <w:rsid w:val="00B25808"/>
    <w:rsid w:val="00B26377"/>
    <w:rsid w:val="00B2701D"/>
    <w:rsid w:val="00B274A6"/>
    <w:rsid w:val="00B311FE"/>
    <w:rsid w:val="00B35E74"/>
    <w:rsid w:val="00B35FE5"/>
    <w:rsid w:val="00B366C7"/>
    <w:rsid w:val="00B36D03"/>
    <w:rsid w:val="00B37B3A"/>
    <w:rsid w:val="00B37EE8"/>
    <w:rsid w:val="00B4068A"/>
    <w:rsid w:val="00B42241"/>
    <w:rsid w:val="00B425B2"/>
    <w:rsid w:val="00B4348C"/>
    <w:rsid w:val="00B44906"/>
    <w:rsid w:val="00B449BA"/>
    <w:rsid w:val="00B44AA3"/>
    <w:rsid w:val="00B454FE"/>
    <w:rsid w:val="00B45843"/>
    <w:rsid w:val="00B45E14"/>
    <w:rsid w:val="00B47DFC"/>
    <w:rsid w:val="00B5168A"/>
    <w:rsid w:val="00B51890"/>
    <w:rsid w:val="00B51A26"/>
    <w:rsid w:val="00B51CE4"/>
    <w:rsid w:val="00B5288B"/>
    <w:rsid w:val="00B52B99"/>
    <w:rsid w:val="00B52BA7"/>
    <w:rsid w:val="00B536AF"/>
    <w:rsid w:val="00B53C86"/>
    <w:rsid w:val="00B54DAD"/>
    <w:rsid w:val="00B559C6"/>
    <w:rsid w:val="00B56153"/>
    <w:rsid w:val="00B56A46"/>
    <w:rsid w:val="00B572C1"/>
    <w:rsid w:val="00B57CB9"/>
    <w:rsid w:val="00B6034E"/>
    <w:rsid w:val="00B62269"/>
    <w:rsid w:val="00B625AF"/>
    <w:rsid w:val="00B62CFA"/>
    <w:rsid w:val="00B63F9C"/>
    <w:rsid w:val="00B6520E"/>
    <w:rsid w:val="00B6590F"/>
    <w:rsid w:val="00B65BBD"/>
    <w:rsid w:val="00B65CDF"/>
    <w:rsid w:val="00B65EB4"/>
    <w:rsid w:val="00B66DE9"/>
    <w:rsid w:val="00B6784D"/>
    <w:rsid w:val="00B70345"/>
    <w:rsid w:val="00B71E51"/>
    <w:rsid w:val="00B734B2"/>
    <w:rsid w:val="00B7369E"/>
    <w:rsid w:val="00B74FBB"/>
    <w:rsid w:val="00B750BA"/>
    <w:rsid w:val="00B778F2"/>
    <w:rsid w:val="00B80948"/>
    <w:rsid w:val="00B8472B"/>
    <w:rsid w:val="00B866C3"/>
    <w:rsid w:val="00B90310"/>
    <w:rsid w:val="00B91575"/>
    <w:rsid w:val="00B92C02"/>
    <w:rsid w:val="00B93C84"/>
    <w:rsid w:val="00B94F5A"/>
    <w:rsid w:val="00B96E0B"/>
    <w:rsid w:val="00B975C0"/>
    <w:rsid w:val="00BA0975"/>
    <w:rsid w:val="00BA0A88"/>
    <w:rsid w:val="00BA12F7"/>
    <w:rsid w:val="00BA2B76"/>
    <w:rsid w:val="00BA300C"/>
    <w:rsid w:val="00BA3A28"/>
    <w:rsid w:val="00BA58CA"/>
    <w:rsid w:val="00BA62D0"/>
    <w:rsid w:val="00BA6D6B"/>
    <w:rsid w:val="00BA7038"/>
    <w:rsid w:val="00BB06F8"/>
    <w:rsid w:val="00BB0A65"/>
    <w:rsid w:val="00BB0FFC"/>
    <w:rsid w:val="00BB17F2"/>
    <w:rsid w:val="00BB3161"/>
    <w:rsid w:val="00BB3B31"/>
    <w:rsid w:val="00BB3B47"/>
    <w:rsid w:val="00BB4202"/>
    <w:rsid w:val="00BB51CC"/>
    <w:rsid w:val="00BB7D0D"/>
    <w:rsid w:val="00BB7F2B"/>
    <w:rsid w:val="00BC1DBC"/>
    <w:rsid w:val="00BC330F"/>
    <w:rsid w:val="00BC3C97"/>
    <w:rsid w:val="00BC494B"/>
    <w:rsid w:val="00BC6D87"/>
    <w:rsid w:val="00BD1077"/>
    <w:rsid w:val="00BD1948"/>
    <w:rsid w:val="00BD2239"/>
    <w:rsid w:val="00BD327B"/>
    <w:rsid w:val="00BD346D"/>
    <w:rsid w:val="00BD3B33"/>
    <w:rsid w:val="00BD3F0F"/>
    <w:rsid w:val="00BD47F0"/>
    <w:rsid w:val="00BD5CA4"/>
    <w:rsid w:val="00BD5F34"/>
    <w:rsid w:val="00BE1551"/>
    <w:rsid w:val="00BE1963"/>
    <w:rsid w:val="00BE24A6"/>
    <w:rsid w:val="00BE2A0E"/>
    <w:rsid w:val="00BE4160"/>
    <w:rsid w:val="00BE4181"/>
    <w:rsid w:val="00BE5ECC"/>
    <w:rsid w:val="00BE7141"/>
    <w:rsid w:val="00BE792D"/>
    <w:rsid w:val="00BE7E30"/>
    <w:rsid w:val="00BF0DC7"/>
    <w:rsid w:val="00BF0EC8"/>
    <w:rsid w:val="00BF1A1C"/>
    <w:rsid w:val="00BF4903"/>
    <w:rsid w:val="00C00842"/>
    <w:rsid w:val="00C00D4E"/>
    <w:rsid w:val="00C0128C"/>
    <w:rsid w:val="00C04495"/>
    <w:rsid w:val="00C05CCF"/>
    <w:rsid w:val="00C06AFD"/>
    <w:rsid w:val="00C071A1"/>
    <w:rsid w:val="00C072C1"/>
    <w:rsid w:val="00C07897"/>
    <w:rsid w:val="00C10452"/>
    <w:rsid w:val="00C10E7E"/>
    <w:rsid w:val="00C12B27"/>
    <w:rsid w:val="00C146FF"/>
    <w:rsid w:val="00C14C03"/>
    <w:rsid w:val="00C14FF1"/>
    <w:rsid w:val="00C151F8"/>
    <w:rsid w:val="00C160AE"/>
    <w:rsid w:val="00C16744"/>
    <w:rsid w:val="00C1698D"/>
    <w:rsid w:val="00C2096B"/>
    <w:rsid w:val="00C216CF"/>
    <w:rsid w:val="00C216D5"/>
    <w:rsid w:val="00C22A1A"/>
    <w:rsid w:val="00C22C6F"/>
    <w:rsid w:val="00C23473"/>
    <w:rsid w:val="00C26637"/>
    <w:rsid w:val="00C271C8"/>
    <w:rsid w:val="00C3184F"/>
    <w:rsid w:val="00C323DB"/>
    <w:rsid w:val="00C33149"/>
    <w:rsid w:val="00C339E7"/>
    <w:rsid w:val="00C33BDB"/>
    <w:rsid w:val="00C33E71"/>
    <w:rsid w:val="00C33E81"/>
    <w:rsid w:val="00C3448D"/>
    <w:rsid w:val="00C35434"/>
    <w:rsid w:val="00C354B6"/>
    <w:rsid w:val="00C354DC"/>
    <w:rsid w:val="00C367DE"/>
    <w:rsid w:val="00C36B06"/>
    <w:rsid w:val="00C406E4"/>
    <w:rsid w:val="00C41376"/>
    <w:rsid w:val="00C4137D"/>
    <w:rsid w:val="00C4175F"/>
    <w:rsid w:val="00C42109"/>
    <w:rsid w:val="00C4268D"/>
    <w:rsid w:val="00C430A4"/>
    <w:rsid w:val="00C4317F"/>
    <w:rsid w:val="00C455D0"/>
    <w:rsid w:val="00C45AB2"/>
    <w:rsid w:val="00C47B98"/>
    <w:rsid w:val="00C47F2E"/>
    <w:rsid w:val="00C50525"/>
    <w:rsid w:val="00C50D89"/>
    <w:rsid w:val="00C520AB"/>
    <w:rsid w:val="00C52AB0"/>
    <w:rsid w:val="00C52FC0"/>
    <w:rsid w:val="00C54198"/>
    <w:rsid w:val="00C572C9"/>
    <w:rsid w:val="00C5736E"/>
    <w:rsid w:val="00C60E9E"/>
    <w:rsid w:val="00C62403"/>
    <w:rsid w:val="00C62524"/>
    <w:rsid w:val="00C62D43"/>
    <w:rsid w:val="00C657DA"/>
    <w:rsid w:val="00C66823"/>
    <w:rsid w:val="00C70CAE"/>
    <w:rsid w:val="00C717E9"/>
    <w:rsid w:val="00C72FCA"/>
    <w:rsid w:val="00C73981"/>
    <w:rsid w:val="00C749AA"/>
    <w:rsid w:val="00C76AC1"/>
    <w:rsid w:val="00C77D0C"/>
    <w:rsid w:val="00C81D7E"/>
    <w:rsid w:val="00C81EE2"/>
    <w:rsid w:val="00C822C0"/>
    <w:rsid w:val="00C838A5"/>
    <w:rsid w:val="00C8393D"/>
    <w:rsid w:val="00C85655"/>
    <w:rsid w:val="00C859C9"/>
    <w:rsid w:val="00C85A63"/>
    <w:rsid w:val="00C867A2"/>
    <w:rsid w:val="00C86825"/>
    <w:rsid w:val="00C8684D"/>
    <w:rsid w:val="00C87204"/>
    <w:rsid w:val="00C90A7B"/>
    <w:rsid w:val="00C91A2E"/>
    <w:rsid w:val="00C91B91"/>
    <w:rsid w:val="00C92120"/>
    <w:rsid w:val="00C92F80"/>
    <w:rsid w:val="00C92F97"/>
    <w:rsid w:val="00C9319E"/>
    <w:rsid w:val="00C93781"/>
    <w:rsid w:val="00C93917"/>
    <w:rsid w:val="00C94691"/>
    <w:rsid w:val="00C948C8"/>
    <w:rsid w:val="00C95C1B"/>
    <w:rsid w:val="00CA033B"/>
    <w:rsid w:val="00CA08E9"/>
    <w:rsid w:val="00CA10A1"/>
    <w:rsid w:val="00CA1B96"/>
    <w:rsid w:val="00CA2472"/>
    <w:rsid w:val="00CA254E"/>
    <w:rsid w:val="00CA3288"/>
    <w:rsid w:val="00CA3498"/>
    <w:rsid w:val="00CA353B"/>
    <w:rsid w:val="00CA459A"/>
    <w:rsid w:val="00CA4DC8"/>
    <w:rsid w:val="00CA4F6B"/>
    <w:rsid w:val="00CA67A2"/>
    <w:rsid w:val="00CA7070"/>
    <w:rsid w:val="00CA7FDE"/>
    <w:rsid w:val="00CB06C5"/>
    <w:rsid w:val="00CB0845"/>
    <w:rsid w:val="00CB0FA1"/>
    <w:rsid w:val="00CB10EC"/>
    <w:rsid w:val="00CB36C6"/>
    <w:rsid w:val="00CB45C1"/>
    <w:rsid w:val="00CB4765"/>
    <w:rsid w:val="00CB4AE8"/>
    <w:rsid w:val="00CB6848"/>
    <w:rsid w:val="00CB6D0C"/>
    <w:rsid w:val="00CB71FF"/>
    <w:rsid w:val="00CB7DEF"/>
    <w:rsid w:val="00CC171A"/>
    <w:rsid w:val="00CC18DD"/>
    <w:rsid w:val="00CC1DF3"/>
    <w:rsid w:val="00CC1E7C"/>
    <w:rsid w:val="00CC4057"/>
    <w:rsid w:val="00CC449C"/>
    <w:rsid w:val="00CC53B2"/>
    <w:rsid w:val="00CC5C3F"/>
    <w:rsid w:val="00CC65FF"/>
    <w:rsid w:val="00CD1827"/>
    <w:rsid w:val="00CD3513"/>
    <w:rsid w:val="00CD37BC"/>
    <w:rsid w:val="00CD454F"/>
    <w:rsid w:val="00CD5751"/>
    <w:rsid w:val="00CD5BB7"/>
    <w:rsid w:val="00CD64B4"/>
    <w:rsid w:val="00CD7B60"/>
    <w:rsid w:val="00CE20A2"/>
    <w:rsid w:val="00CE27CD"/>
    <w:rsid w:val="00CE36ED"/>
    <w:rsid w:val="00CE387E"/>
    <w:rsid w:val="00CE48F1"/>
    <w:rsid w:val="00CE564B"/>
    <w:rsid w:val="00CE56B2"/>
    <w:rsid w:val="00CE6CDA"/>
    <w:rsid w:val="00CE77D2"/>
    <w:rsid w:val="00CE7E14"/>
    <w:rsid w:val="00CF15D1"/>
    <w:rsid w:val="00CF2912"/>
    <w:rsid w:val="00CF2B89"/>
    <w:rsid w:val="00CF3C7D"/>
    <w:rsid w:val="00CF4187"/>
    <w:rsid w:val="00CF42B5"/>
    <w:rsid w:val="00CF4BFB"/>
    <w:rsid w:val="00CF52FB"/>
    <w:rsid w:val="00CF5BC5"/>
    <w:rsid w:val="00CF5C16"/>
    <w:rsid w:val="00CF68F4"/>
    <w:rsid w:val="00CF6C87"/>
    <w:rsid w:val="00CF79F2"/>
    <w:rsid w:val="00D000EC"/>
    <w:rsid w:val="00D03018"/>
    <w:rsid w:val="00D03380"/>
    <w:rsid w:val="00D03547"/>
    <w:rsid w:val="00D03E90"/>
    <w:rsid w:val="00D0487B"/>
    <w:rsid w:val="00D048FA"/>
    <w:rsid w:val="00D04CF1"/>
    <w:rsid w:val="00D05299"/>
    <w:rsid w:val="00D059D6"/>
    <w:rsid w:val="00D1192D"/>
    <w:rsid w:val="00D122CC"/>
    <w:rsid w:val="00D12581"/>
    <w:rsid w:val="00D12962"/>
    <w:rsid w:val="00D12BB0"/>
    <w:rsid w:val="00D13630"/>
    <w:rsid w:val="00D145C2"/>
    <w:rsid w:val="00D14F83"/>
    <w:rsid w:val="00D14FA8"/>
    <w:rsid w:val="00D152F2"/>
    <w:rsid w:val="00D16C41"/>
    <w:rsid w:val="00D17388"/>
    <w:rsid w:val="00D17E2F"/>
    <w:rsid w:val="00D200A2"/>
    <w:rsid w:val="00D202A5"/>
    <w:rsid w:val="00D20BB1"/>
    <w:rsid w:val="00D20E1F"/>
    <w:rsid w:val="00D23519"/>
    <w:rsid w:val="00D23B92"/>
    <w:rsid w:val="00D23DAD"/>
    <w:rsid w:val="00D24FAF"/>
    <w:rsid w:val="00D260F0"/>
    <w:rsid w:val="00D266F9"/>
    <w:rsid w:val="00D267E8"/>
    <w:rsid w:val="00D26FB6"/>
    <w:rsid w:val="00D27313"/>
    <w:rsid w:val="00D275B2"/>
    <w:rsid w:val="00D27DB7"/>
    <w:rsid w:val="00D304D8"/>
    <w:rsid w:val="00D30863"/>
    <w:rsid w:val="00D30F52"/>
    <w:rsid w:val="00D31F7D"/>
    <w:rsid w:val="00D33C46"/>
    <w:rsid w:val="00D34EB1"/>
    <w:rsid w:val="00D35767"/>
    <w:rsid w:val="00D3722C"/>
    <w:rsid w:val="00D37249"/>
    <w:rsid w:val="00D400C4"/>
    <w:rsid w:val="00D40550"/>
    <w:rsid w:val="00D414AA"/>
    <w:rsid w:val="00D41B13"/>
    <w:rsid w:val="00D41CE7"/>
    <w:rsid w:val="00D42429"/>
    <w:rsid w:val="00D44928"/>
    <w:rsid w:val="00D45312"/>
    <w:rsid w:val="00D45802"/>
    <w:rsid w:val="00D46850"/>
    <w:rsid w:val="00D46A85"/>
    <w:rsid w:val="00D471D6"/>
    <w:rsid w:val="00D4788D"/>
    <w:rsid w:val="00D50166"/>
    <w:rsid w:val="00D5038C"/>
    <w:rsid w:val="00D51BC7"/>
    <w:rsid w:val="00D52230"/>
    <w:rsid w:val="00D524C8"/>
    <w:rsid w:val="00D52C02"/>
    <w:rsid w:val="00D53DBB"/>
    <w:rsid w:val="00D53F8C"/>
    <w:rsid w:val="00D543D1"/>
    <w:rsid w:val="00D54E31"/>
    <w:rsid w:val="00D555A9"/>
    <w:rsid w:val="00D55AFF"/>
    <w:rsid w:val="00D57AB6"/>
    <w:rsid w:val="00D610B7"/>
    <w:rsid w:val="00D615B2"/>
    <w:rsid w:val="00D62452"/>
    <w:rsid w:val="00D66A79"/>
    <w:rsid w:val="00D70570"/>
    <w:rsid w:val="00D716C5"/>
    <w:rsid w:val="00D72005"/>
    <w:rsid w:val="00D730F2"/>
    <w:rsid w:val="00D73D74"/>
    <w:rsid w:val="00D73E6D"/>
    <w:rsid w:val="00D74B89"/>
    <w:rsid w:val="00D75247"/>
    <w:rsid w:val="00D76354"/>
    <w:rsid w:val="00D76D53"/>
    <w:rsid w:val="00D83254"/>
    <w:rsid w:val="00D83ADD"/>
    <w:rsid w:val="00D84378"/>
    <w:rsid w:val="00D845E1"/>
    <w:rsid w:val="00D855A7"/>
    <w:rsid w:val="00D86AD5"/>
    <w:rsid w:val="00D8755D"/>
    <w:rsid w:val="00D87742"/>
    <w:rsid w:val="00D87B64"/>
    <w:rsid w:val="00D9036C"/>
    <w:rsid w:val="00D90677"/>
    <w:rsid w:val="00D9121B"/>
    <w:rsid w:val="00D91D04"/>
    <w:rsid w:val="00D925B6"/>
    <w:rsid w:val="00D93B4B"/>
    <w:rsid w:val="00D951CC"/>
    <w:rsid w:val="00D95865"/>
    <w:rsid w:val="00D9633A"/>
    <w:rsid w:val="00D96564"/>
    <w:rsid w:val="00D96EEE"/>
    <w:rsid w:val="00DA0361"/>
    <w:rsid w:val="00DA0BF5"/>
    <w:rsid w:val="00DA1801"/>
    <w:rsid w:val="00DA32B2"/>
    <w:rsid w:val="00DA4035"/>
    <w:rsid w:val="00DA4377"/>
    <w:rsid w:val="00DA4481"/>
    <w:rsid w:val="00DA4698"/>
    <w:rsid w:val="00DA4F26"/>
    <w:rsid w:val="00DA505A"/>
    <w:rsid w:val="00DA6E91"/>
    <w:rsid w:val="00DA75CC"/>
    <w:rsid w:val="00DB08CF"/>
    <w:rsid w:val="00DB13CF"/>
    <w:rsid w:val="00DB1BF2"/>
    <w:rsid w:val="00DB2A01"/>
    <w:rsid w:val="00DB32D5"/>
    <w:rsid w:val="00DB3A25"/>
    <w:rsid w:val="00DB3A2D"/>
    <w:rsid w:val="00DB4B6B"/>
    <w:rsid w:val="00DB69DE"/>
    <w:rsid w:val="00DB7E89"/>
    <w:rsid w:val="00DC01F7"/>
    <w:rsid w:val="00DC29D5"/>
    <w:rsid w:val="00DC3E33"/>
    <w:rsid w:val="00DC6460"/>
    <w:rsid w:val="00DC7101"/>
    <w:rsid w:val="00DC7D65"/>
    <w:rsid w:val="00DD0507"/>
    <w:rsid w:val="00DD0DEB"/>
    <w:rsid w:val="00DD16E4"/>
    <w:rsid w:val="00DD1F12"/>
    <w:rsid w:val="00DD34A4"/>
    <w:rsid w:val="00DD3DDE"/>
    <w:rsid w:val="00DD3EE1"/>
    <w:rsid w:val="00DD4BEA"/>
    <w:rsid w:val="00DD5501"/>
    <w:rsid w:val="00DD55FF"/>
    <w:rsid w:val="00DD56CD"/>
    <w:rsid w:val="00DD59CC"/>
    <w:rsid w:val="00DD6AF3"/>
    <w:rsid w:val="00DD7971"/>
    <w:rsid w:val="00DE1210"/>
    <w:rsid w:val="00DE2CEB"/>
    <w:rsid w:val="00DE302F"/>
    <w:rsid w:val="00DE5EEF"/>
    <w:rsid w:val="00DE653A"/>
    <w:rsid w:val="00DE6D54"/>
    <w:rsid w:val="00DE7BD2"/>
    <w:rsid w:val="00DE9789"/>
    <w:rsid w:val="00DF0DD7"/>
    <w:rsid w:val="00DF2AA7"/>
    <w:rsid w:val="00DF4109"/>
    <w:rsid w:val="00DF4591"/>
    <w:rsid w:val="00DF6B68"/>
    <w:rsid w:val="00DF6E21"/>
    <w:rsid w:val="00DF6E29"/>
    <w:rsid w:val="00DF70AC"/>
    <w:rsid w:val="00DF7891"/>
    <w:rsid w:val="00DF7B1B"/>
    <w:rsid w:val="00DF7DB9"/>
    <w:rsid w:val="00DF7E78"/>
    <w:rsid w:val="00E00B81"/>
    <w:rsid w:val="00E01812"/>
    <w:rsid w:val="00E01C21"/>
    <w:rsid w:val="00E02297"/>
    <w:rsid w:val="00E02AD6"/>
    <w:rsid w:val="00E0425B"/>
    <w:rsid w:val="00E04680"/>
    <w:rsid w:val="00E048F6"/>
    <w:rsid w:val="00E06620"/>
    <w:rsid w:val="00E068A4"/>
    <w:rsid w:val="00E0738A"/>
    <w:rsid w:val="00E11646"/>
    <w:rsid w:val="00E126C5"/>
    <w:rsid w:val="00E13B8F"/>
    <w:rsid w:val="00E14379"/>
    <w:rsid w:val="00E152B7"/>
    <w:rsid w:val="00E162CD"/>
    <w:rsid w:val="00E20045"/>
    <w:rsid w:val="00E21037"/>
    <w:rsid w:val="00E22A3E"/>
    <w:rsid w:val="00E230D1"/>
    <w:rsid w:val="00E23ABD"/>
    <w:rsid w:val="00E24518"/>
    <w:rsid w:val="00E261B9"/>
    <w:rsid w:val="00E267EA"/>
    <w:rsid w:val="00E26ED0"/>
    <w:rsid w:val="00E27C85"/>
    <w:rsid w:val="00E328A2"/>
    <w:rsid w:val="00E3340F"/>
    <w:rsid w:val="00E34AA9"/>
    <w:rsid w:val="00E375AE"/>
    <w:rsid w:val="00E40D3B"/>
    <w:rsid w:val="00E4198F"/>
    <w:rsid w:val="00E446E1"/>
    <w:rsid w:val="00E45BCE"/>
    <w:rsid w:val="00E471F2"/>
    <w:rsid w:val="00E47333"/>
    <w:rsid w:val="00E4795A"/>
    <w:rsid w:val="00E47B45"/>
    <w:rsid w:val="00E515ED"/>
    <w:rsid w:val="00E51AA7"/>
    <w:rsid w:val="00E51C31"/>
    <w:rsid w:val="00E522F1"/>
    <w:rsid w:val="00E52B33"/>
    <w:rsid w:val="00E53018"/>
    <w:rsid w:val="00E53152"/>
    <w:rsid w:val="00E531F3"/>
    <w:rsid w:val="00E53A77"/>
    <w:rsid w:val="00E546E8"/>
    <w:rsid w:val="00E5488A"/>
    <w:rsid w:val="00E54C80"/>
    <w:rsid w:val="00E5554A"/>
    <w:rsid w:val="00E565C8"/>
    <w:rsid w:val="00E5729B"/>
    <w:rsid w:val="00E573F5"/>
    <w:rsid w:val="00E61548"/>
    <w:rsid w:val="00E62D25"/>
    <w:rsid w:val="00E62D5B"/>
    <w:rsid w:val="00E63C38"/>
    <w:rsid w:val="00E63E88"/>
    <w:rsid w:val="00E64CBA"/>
    <w:rsid w:val="00E675BB"/>
    <w:rsid w:val="00E71A7D"/>
    <w:rsid w:val="00E71C79"/>
    <w:rsid w:val="00E7237E"/>
    <w:rsid w:val="00E73D75"/>
    <w:rsid w:val="00E748DF"/>
    <w:rsid w:val="00E75A34"/>
    <w:rsid w:val="00E76538"/>
    <w:rsid w:val="00E7689E"/>
    <w:rsid w:val="00E7737A"/>
    <w:rsid w:val="00E77AE9"/>
    <w:rsid w:val="00E802D5"/>
    <w:rsid w:val="00E80437"/>
    <w:rsid w:val="00E8107C"/>
    <w:rsid w:val="00E8237E"/>
    <w:rsid w:val="00E8298A"/>
    <w:rsid w:val="00E842F7"/>
    <w:rsid w:val="00E84822"/>
    <w:rsid w:val="00E84A95"/>
    <w:rsid w:val="00E8539B"/>
    <w:rsid w:val="00E86105"/>
    <w:rsid w:val="00E86459"/>
    <w:rsid w:val="00E86AE8"/>
    <w:rsid w:val="00E877D3"/>
    <w:rsid w:val="00E903D2"/>
    <w:rsid w:val="00E9133C"/>
    <w:rsid w:val="00E92D40"/>
    <w:rsid w:val="00E930F6"/>
    <w:rsid w:val="00E93BE2"/>
    <w:rsid w:val="00E94ACB"/>
    <w:rsid w:val="00E9525E"/>
    <w:rsid w:val="00E9659F"/>
    <w:rsid w:val="00EA0CC4"/>
    <w:rsid w:val="00EA13D1"/>
    <w:rsid w:val="00EA2830"/>
    <w:rsid w:val="00EA2AA4"/>
    <w:rsid w:val="00EA2EAF"/>
    <w:rsid w:val="00EA3113"/>
    <w:rsid w:val="00EA500F"/>
    <w:rsid w:val="00EA5688"/>
    <w:rsid w:val="00EB0079"/>
    <w:rsid w:val="00EB0BFB"/>
    <w:rsid w:val="00EB26E0"/>
    <w:rsid w:val="00EB2EF9"/>
    <w:rsid w:val="00EB374B"/>
    <w:rsid w:val="00EB37C7"/>
    <w:rsid w:val="00EB4927"/>
    <w:rsid w:val="00EB5563"/>
    <w:rsid w:val="00EB5645"/>
    <w:rsid w:val="00EB685C"/>
    <w:rsid w:val="00EB6ABE"/>
    <w:rsid w:val="00EB7DDD"/>
    <w:rsid w:val="00EC073A"/>
    <w:rsid w:val="00EC155E"/>
    <w:rsid w:val="00EC1952"/>
    <w:rsid w:val="00EC1FCB"/>
    <w:rsid w:val="00EC261A"/>
    <w:rsid w:val="00EC28F7"/>
    <w:rsid w:val="00EC349B"/>
    <w:rsid w:val="00EC383F"/>
    <w:rsid w:val="00EC6F39"/>
    <w:rsid w:val="00EC7BF4"/>
    <w:rsid w:val="00EC7FDD"/>
    <w:rsid w:val="00ECA57E"/>
    <w:rsid w:val="00ED1661"/>
    <w:rsid w:val="00ED27CE"/>
    <w:rsid w:val="00ED34BF"/>
    <w:rsid w:val="00ED35D0"/>
    <w:rsid w:val="00ED40B5"/>
    <w:rsid w:val="00ED430A"/>
    <w:rsid w:val="00ED433D"/>
    <w:rsid w:val="00ED4FF5"/>
    <w:rsid w:val="00ED54D3"/>
    <w:rsid w:val="00ED5DBB"/>
    <w:rsid w:val="00ED630A"/>
    <w:rsid w:val="00ED6A74"/>
    <w:rsid w:val="00ED6F9E"/>
    <w:rsid w:val="00ED7805"/>
    <w:rsid w:val="00EE0B63"/>
    <w:rsid w:val="00EE0C30"/>
    <w:rsid w:val="00EE0C46"/>
    <w:rsid w:val="00EE1FD5"/>
    <w:rsid w:val="00EE2A33"/>
    <w:rsid w:val="00EE3762"/>
    <w:rsid w:val="00EE68F8"/>
    <w:rsid w:val="00EE7145"/>
    <w:rsid w:val="00EF0014"/>
    <w:rsid w:val="00EF01FE"/>
    <w:rsid w:val="00EF1A33"/>
    <w:rsid w:val="00EF4A3E"/>
    <w:rsid w:val="00EF504E"/>
    <w:rsid w:val="00EF5114"/>
    <w:rsid w:val="00EF597B"/>
    <w:rsid w:val="00EF5D71"/>
    <w:rsid w:val="00EF73CF"/>
    <w:rsid w:val="00EF743D"/>
    <w:rsid w:val="00EF7C42"/>
    <w:rsid w:val="00F00241"/>
    <w:rsid w:val="00F01B76"/>
    <w:rsid w:val="00F026F7"/>
    <w:rsid w:val="00F03252"/>
    <w:rsid w:val="00F034D7"/>
    <w:rsid w:val="00F035AD"/>
    <w:rsid w:val="00F04EF2"/>
    <w:rsid w:val="00F05022"/>
    <w:rsid w:val="00F06178"/>
    <w:rsid w:val="00F07CAB"/>
    <w:rsid w:val="00F116ED"/>
    <w:rsid w:val="00F11A33"/>
    <w:rsid w:val="00F11AF1"/>
    <w:rsid w:val="00F13CB4"/>
    <w:rsid w:val="00F14338"/>
    <w:rsid w:val="00F15807"/>
    <w:rsid w:val="00F16766"/>
    <w:rsid w:val="00F170CB"/>
    <w:rsid w:val="00F205C8"/>
    <w:rsid w:val="00F24144"/>
    <w:rsid w:val="00F24A29"/>
    <w:rsid w:val="00F24C04"/>
    <w:rsid w:val="00F251BC"/>
    <w:rsid w:val="00F253A5"/>
    <w:rsid w:val="00F257B5"/>
    <w:rsid w:val="00F25C3C"/>
    <w:rsid w:val="00F261F6"/>
    <w:rsid w:val="00F26216"/>
    <w:rsid w:val="00F263A9"/>
    <w:rsid w:val="00F26F96"/>
    <w:rsid w:val="00F27C68"/>
    <w:rsid w:val="00F307F4"/>
    <w:rsid w:val="00F31D82"/>
    <w:rsid w:val="00F33C17"/>
    <w:rsid w:val="00F34AF5"/>
    <w:rsid w:val="00F365AF"/>
    <w:rsid w:val="00F36B0E"/>
    <w:rsid w:val="00F4145E"/>
    <w:rsid w:val="00F42D70"/>
    <w:rsid w:val="00F445CB"/>
    <w:rsid w:val="00F45281"/>
    <w:rsid w:val="00F465D1"/>
    <w:rsid w:val="00F46D5F"/>
    <w:rsid w:val="00F50963"/>
    <w:rsid w:val="00F51F15"/>
    <w:rsid w:val="00F545AB"/>
    <w:rsid w:val="00F5531A"/>
    <w:rsid w:val="00F569CD"/>
    <w:rsid w:val="00F57160"/>
    <w:rsid w:val="00F57F6E"/>
    <w:rsid w:val="00F60140"/>
    <w:rsid w:val="00F60374"/>
    <w:rsid w:val="00F62172"/>
    <w:rsid w:val="00F660EB"/>
    <w:rsid w:val="00F70FBE"/>
    <w:rsid w:val="00F73246"/>
    <w:rsid w:val="00F74B1B"/>
    <w:rsid w:val="00F76270"/>
    <w:rsid w:val="00F81476"/>
    <w:rsid w:val="00F8171C"/>
    <w:rsid w:val="00F82220"/>
    <w:rsid w:val="00F82240"/>
    <w:rsid w:val="00F826FC"/>
    <w:rsid w:val="00F85821"/>
    <w:rsid w:val="00F85C17"/>
    <w:rsid w:val="00F8605C"/>
    <w:rsid w:val="00F8704B"/>
    <w:rsid w:val="00F87379"/>
    <w:rsid w:val="00F900D5"/>
    <w:rsid w:val="00F900D6"/>
    <w:rsid w:val="00F91126"/>
    <w:rsid w:val="00F92499"/>
    <w:rsid w:val="00F9253C"/>
    <w:rsid w:val="00F925CB"/>
    <w:rsid w:val="00F92DF2"/>
    <w:rsid w:val="00F93462"/>
    <w:rsid w:val="00F948FD"/>
    <w:rsid w:val="00F94DC1"/>
    <w:rsid w:val="00F95C71"/>
    <w:rsid w:val="00F96CF5"/>
    <w:rsid w:val="00F9723A"/>
    <w:rsid w:val="00FA03F5"/>
    <w:rsid w:val="00FA0EA5"/>
    <w:rsid w:val="00FA21D5"/>
    <w:rsid w:val="00FA2A97"/>
    <w:rsid w:val="00FA473D"/>
    <w:rsid w:val="00FA6E66"/>
    <w:rsid w:val="00FA70C7"/>
    <w:rsid w:val="00FA7D82"/>
    <w:rsid w:val="00FB0E8B"/>
    <w:rsid w:val="00FB1533"/>
    <w:rsid w:val="00FB44EA"/>
    <w:rsid w:val="00FB5B51"/>
    <w:rsid w:val="00FB5CD0"/>
    <w:rsid w:val="00FB63EA"/>
    <w:rsid w:val="00FB6D7A"/>
    <w:rsid w:val="00FB78C1"/>
    <w:rsid w:val="00FC0C61"/>
    <w:rsid w:val="00FC163A"/>
    <w:rsid w:val="00FC2DB3"/>
    <w:rsid w:val="00FC33FE"/>
    <w:rsid w:val="00FC4B55"/>
    <w:rsid w:val="00FC525C"/>
    <w:rsid w:val="00FC6672"/>
    <w:rsid w:val="00FC6977"/>
    <w:rsid w:val="00FC7226"/>
    <w:rsid w:val="00FC7639"/>
    <w:rsid w:val="00FD07FE"/>
    <w:rsid w:val="00FD1673"/>
    <w:rsid w:val="00FD2E05"/>
    <w:rsid w:val="00FD32C0"/>
    <w:rsid w:val="00FD416C"/>
    <w:rsid w:val="00FD41D6"/>
    <w:rsid w:val="00FD4756"/>
    <w:rsid w:val="00FD5221"/>
    <w:rsid w:val="00FD5689"/>
    <w:rsid w:val="00FD6879"/>
    <w:rsid w:val="00FD7931"/>
    <w:rsid w:val="00FE33FF"/>
    <w:rsid w:val="00FE6861"/>
    <w:rsid w:val="00FE713C"/>
    <w:rsid w:val="00FE74B3"/>
    <w:rsid w:val="00FE79AC"/>
    <w:rsid w:val="00FE7BBA"/>
    <w:rsid w:val="00FF173F"/>
    <w:rsid w:val="00FF1989"/>
    <w:rsid w:val="00FF28EB"/>
    <w:rsid w:val="00FF2DE4"/>
    <w:rsid w:val="00FF3300"/>
    <w:rsid w:val="00FF376E"/>
    <w:rsid w:val="00FF3CD6"/>
    <w:rsid w:val="00FF3D2C"/>
    <w:rsid w:val="00FF4279"/>
    <w:rsid w:val="00FF4377"/>
    <w:rsid w:val="00FF4488"/>
    <w:rsid w:val="00FF4AD5"/>
    <w:rsid w:val="00FF623F"/>
    <w:rsid w:val="00FF7A12"/>
    <w:rsid w:val="013319D1"/>
    <w:rsid w:val="01685FC3"/>
    <w:rsid w:val="01984219"/>
    <w:rsid w:val="01B1BFD3"/>
    <w:rsid w:val="01BFA7D1"/>
    <w:rsid w:val="01F5F07E"/>
    <w:rsid w:val="0235A19D"/>
    <w:rsid w:val="02A78985"/>
    <w:rsid w:val="02B08773"/>
    <w:rsid w:val="02D6AC5F"/>
    <w:rsid w:val="03147B85"/>
    <w:rsid w:val="031BE540"/>
    <w:rsid w:val="03430CE0"/>
    <w:rsid w:val="0384B72E"/>
    <w:rsid w:val="03AE3C39"/>
    <w:rsid w:val="03CF117D"/>
    <w:rsid w:val="048492F1"/>
    <w:rsid w:val="04B196FF"/>
    <w:rsid w:val="04B66805"/>
    <w:rsid w:val="04CB2468"/>
    <w:rsid w:val="04D02144"/>
    <w:rsid w:val="05300D91"/>
    <w:rsid w:val="0588B5A7"/>
    <w:rsid w:val="05C87306"/>
    <w:rsid w:val="0606E1D6"/>
    <w:rsid w:val="060AFAE3"/>
    <w:rsid w:val="061D49D8"/>
    <w:rsid w:val="06289D50"/>
    <w:rsid w:val="0637147B"/>
    <w:rsid w:val="063D0A0E"/>
    <w:rsid w:val="06840109"/>
    <w:rsid w:val="0686EE95"/>
    <w:rsid w:val="068B1583"/>
    <w:rsid w:val="06922F34"/>
    <w:rsid w:val="06963AA1"/>
    <w:rsid w:val="06A6994C"/>
    <w:rsid w:val="06CCADD5"/>
    <w:rsid w:val="06D90A44"/>
    <w:rsid w:val="07129B0D"/>
    <w:rsid w:val="071827B2"/>
    <w:rsid w:val="0735C4D9"/>
    <w:rsid w:val="0736E852"/>
    <w:rsid w:val="076B83FF"/>
    <w:rsid w:val="077E3D9E"/>
    <w:rsid w:val="07BBFD02"/>
    <w:rsid w:val="07E42D5F"/>
    <w:rsid w:val="082582D5"/>
    <w:rsid w:val="085E64A3"/>
    <w:rsid w:val="08E20B75"/>
    <w:rsid w:val="08EAF22C"/>
    <w:rsid w:val="08F4C631"/>
    <w:rsid w:val="09157855"/>
    <w:rsid w:val="09202B15"/>
    <w:rsid w:val="0923B5C7"/>
    <w:rsid w:val="09751BDB"/>
    <w:rsid w:val="0A00B476"/>
    <w:rsid w:val="0A4C888A"/>
    <w:rsid w:val="0A4F6D38"/>
    <w:rsid w:val="0A5929DF"/>
    <w:rsid w:val="0AA5733C"/>
    <w:rsid w:val="0AD7B316"/>
    <w:rsid w:val="0ADAB8E2"/>
    <w:rsid w:val="0AF75974"/>
    <w:rsid w:val="0B0EE98C"/>
    <w:rsid w:val="0B159C35"/>
    <w:rsid w:val="0B4F3342"/>
    <w:rsid w:val="0B57FEAC"/>
    <w:rsid w:val="0B90AF37"/>
    <w:rsid w:val="0B95B0BA"/>
    <w:rsid w:val="0BCCE3F2"/>
    <w:rsid w:val="0BDA7155"/>
    <w:rsid w:val="0C03D152"/>
    <w:rsid w:val="0C60CF35"/>
    <w:rsid w:val="0C7CB82C"/>
    <w:rsid w:val="0C7EBB48"/>
    <w:rsid w:val="0C848A90"/>
    <w:rsid w:val="0C88CCD4"/>
    <w:rsid w:val="0C962042"/>
    <w:rsid w:val="0CB268A8"/>
    <w:rsid w:val="0CD89A20"/>
    <w:rsid w:val="0CE45D86"/>
    <w:rsid w:val="0CE7B13B"/>
    <w:rsid w:val="0CF877F1"/>
    <w:rsid w:val="0D1665E2"/>
    <w:rsid w:val="0D356BD9"/>
    <w:rsid w:val="0D365357"/>
    <w:rsid w:val="0D4E7057"/>
    <w:rsid w:val="0D73BBD5"/>
    <w:rsid w:val="0D764942"/>
    <w:rsid w:val="0D7CFDBC"/>
    <w:rsid w:val="0DC29542"/>
    <w:rsid w:val="0DCCB0D0"/>
    <w:rsid w:val="0DD4DEA6"/>
    <w:rsid w:val="0E067BEA"/>
    <w:rsid w:val="0E2DB0DD"/>
    <w:rsid w:val="0E3607E8"/>
    <w:rsid w:val="0E54C3BC"/>
    <w:rsid w:val="0E5E312B"/>
    <w:rsid w:val="0E61E007"/>
    <w:rsid w:val="0E9EA071"/>
    <w:rsid w:val="0E9EE8BE"/>
    <w:rsid w:val="0EB30BDB"/>
    <w:rsid w:val="0ED2CD52"/>
    <w:rsid w:val="0EFEB9E7"/>
    <w:rsid w:val="0F73F14D"/>
    <w:rsid w:val="0FA69904"/>
    <w:rsid w:val="0FCFB213"/>
    <w:rsid w:val="1036F649"/>
    <w:rsid w:val="105643FD"/>
    <w:rsid w:val="105CA65C"/>
    <w:rsid w:val="10764F8E"/>
    <w:rsid w:val="10774298"/>
    <w:rsid w:val="1088641E"/>
    <w:rsid w:val="109CC8B6"/>
    <w:rsid w:val="10CD77D1"/>
    <w:rsid w:val="1128C5A4"/>
    <w:rsid w:val="112F51B6"/>
    <w:rsid w:val="114A587B"/>
    <w:rsid w:val="118EF225"/>
    <w:rsid w:val="11B270FB"/>
    <w:rsid w:val="11CE9728"/>
    <w:rsid w:val="11CF89FD"/>
    <w:rsid w:val="11D0D560"/>
    <w:rsid w:val="11ECCBF4"/>
    <w:rsid w:val="120B4001"/>
    <w:rsid w:val="12254484"/>
    <w:rsid w:val="1234EF67"/>
    <w:rsid w:val="125EEEE1"/>
    <w:rsid w:val="1267AEA3"/>
    <w:rsid w:val="12BA6F0C"/>
    <w:rsid w:val="1301F3C8"/>
    <w:rsid w:val="1321DFD0"/>
    <w:rsid w:val="13847822"/>
    <w:rsid w:val="14362F3E"/>
    <w:rsid w:val="1438AB95"/>
    <w:rsid w:val="1482C7BA"/>
    <w:rsid w:val="14B4C9EA"/>
    <w:rsid w:val="14C9E828"/>
    <w:rsid w:val="14CA2804"/>
    <w:rsid w:val="153425C1"/>
    <w:rsid w:val="1565F0C4"/>
    <w:rsid w:val="1582CD19"/>
    <w:rsid w:val="158C0451"/>
    <w:rsid w:val="159717CE"/>
    <w:rsid w:val="15994E3F"/>
    <w:rsid w:val="15DBC3ED"/>
    <w:rsid w:val="160AE9C4"/>
    <w:rsid w:val="16236FC0"/>
    <w:rsid w:val="163E339B"/>
    <w:rsid w:val="16591AEA"/>
    <w:rsid w:val="167F09A4"/>
    <w:rsid w:val="16808D45"/>
    <w:rsid w:val="16D77B95"/>
    <w:rsid w:val="1704F1EF"/>
    <w:rsid w:val="172028DF"/>
    <w:rsid w:val="17326834"/>
    <w:rsid w:val="1771D2A0"/>
    <w:rsid w:val="179F0D9B"/>
    <w:rsid w:val="17AFF6EC"/>
    <w:rsid w:val="17F65AFE"/>
    <w:rsid w:val="1817D7AE"/>
    <w:rsid w:val="184C4ADB"/>
    <w:rsid w:val="18666F75"/>
    <w:rsid w:val="186D08D0"/>
    <w:rsid w:val="187C4150"/>
    <w:rsid w:val="18891CED"/>
    <w:rsid w:val="18A11726"/>
    <w:rsid w:val="18AEFF62"/>
    <w:rsid w:val="18BB55D7"/>
    <w:rsid w:val="19875518"/>
    <w:rsid w:val="19879120"/>
    <w:rsid w:val="19D50CAB"/>
    <w:rsid w:val="19F23997"/>
    <w:rsid w:val="1A16B2EB"/>
    <w:rsid w:val="1A2DCC01"/>
    <w:rsid w:val="1A30185C"/>
    <w:rsid w:val="1A803D52"/>
    <w:rsid w:val="1AD9CDEF"/>
    <w:rsid w:val="1B1A0D3E"/>
    <w:rsid w:val="1B2940B4"/>
    <w:rsid w:val="1B2EC812"/>
    <w:rsid w:val="1B56DE3C"/>
    <w:rsid w:val="1B5BEDFF"/>
    <w:rsid w:val="1B969DC0"/>
    <w:rsid w:val="1BB96F43"/>
    <w:rsid w:val="1BC57931"/>
    <w:rsid w:val="1BDAD3B0"/>
    <w:rsid w:val="1BDB227F"/>
    <w:rsid w:val="1BEFDA94"/>
    <w:rsid w:val="1BF8D7F6"/>
    <w:rsid w:val="1C25A44A"/>
    <w:rsid w:val="1C2CBA89"/>
    <w:rsid w:val="1C6E2DF4"/>
    <w:rsid w:val="1CB450B9"/>
    <w:rsid w:val="1CE3EA17"/>
    <w:rsid w:val="1CF18075"/>
    <w:rsid w:val="1D09869A"/>
    <w:rsid w:val="1D2261FD"/>
    <w:rsid w:val="1D627638"/>
    <w:rsid w:val="1D93C243"/>
    <w:rsid w:val="1DA87CF4"/>
    <w:rsid w:val="1DB4F260"/>
    <w:rsid w:val="1DDD3B52"/>
    <w:rsid w:val="1DF55EFE"/>
    <w:rsid w:val="1E133D4B"/>
    <w:rsid w:val="1E1E7A23"/>
    <w:rsid w:val="1E2E564D"/>
    <w:rsid w:val="1E57807C"/>
    <w:rsid w:val="1E5B340A"/>
    <w:rsid w:val="1E60E917"/>
    <w:rsid w:val="1E6E086C"/>
    <w:rsid w:val="1E800306"/>
    <w:rsid w:val="1EC1A4B4"/>
    <w:rsid w:val="1ED9E1F8"/>
    <w:rsid w:val="1EE36993"/>
    <w:rsid w:val="1EFDDAD1"/>
    <w:rsid w:val="1F2F85B8"/>
    <w:rsid w:val="1F59DC51"/>
    <w:rsid w:val="1F680FEC"/>
    <w:rsid w:val="1F8F754F"/>
    <w:rsid w:val="1F983474"/>
    <w:rsid w:val="1FB9C6D4"/>
    <w:rsid w:val="1FBBD94A"/>
    <w:rsid w:val="1FF588A5"/>
    <w:rsid w:val="201C2DC5"/>
    <w:rsid w:val="203F7420"/>
    <w:rsid w:val="20486F65"/>
    <w:rsid w:val="20901678"/>
    <w:rsid w:val="20ACDA61"/>
    <w:rsid w:val="20C7D039"/>
    <w:rsid w:val="20DB7D81"/>
    <w:rsid w:val="20E19530"/>
    <w:rsid w:val="21020B7C"/>
    <w:rsid w:val="2117365B"/>
    <w:rsid w:val="211FA235"/>
    <w:rsid w:val="212227ED"/>
    <w:rsid w:val="21381609"/>
    <w:rsid w:val="214F6B7E"/>
    <w:rsid w:val="216F5E03"/>
    <w:rsid w:val="21B84641"/>
    <w:rsid w:val="21B92BF6"/>
    <w:rsid w:val="21C5CE9F"/>
    <w:rsid w:val="21D62B1C"/>
    <w:rsid w:val="21E6D5DE"/>
    <w:rsid w:val="21FA4583"/>
    <w:rsid w:val="2200615D"/>
    <w:rsid w:val="221A05BD"/>
    <w:rsid w:val="22525460"/>
    <w:rsid w:val="2261A2CA"/>
    <w:rsid w:val="238622B0"/>
    <w:rsid w:val="23B7AD56"/>
    <w:rsid w:val="23DD114F"/>
    <w:rsid w:val="23DD25D8"/>
    <w:rsid w:val="23F4A5D6"/>
    <w:rsid w:val="241412CF"/>
    <w:rsid w:val="242B0562"/>
    <w:rsid w:val="246B715F"/>
    <w:rsid w:val="24D9A893"/>
    <w:rsid w:val="24E08154"/>
    <w:rsid w:val="24FC51C9"/>
    <w:rsid w:val="255DAB35"/>
    <w:rsid w:val="25653F2F"/>
    <w:rsid w:val="25708EE0"/>
    <w:rsid w:val="2598F05B"/>
    <w:rsid w:val="25E5450B"/>
    <w:rsid w:val="25FC3C53"/>
    <w:rsid w:val="2603BC42"/>
    <w:rsid w:val="260BD1E5"/>
    <w:rsid w:val="2633DF9B"/>
    <w:rsid w:val="26471835"/>
    <w:rsid w:val="26AA9D83"/>
    <w:rsid w:val="26AEA4EE"/>
    <w:rsid w:val="26B1D540"/>
    <w:rsid w:val="26BED72B"/>
    <w:rsid w:val="26C7C8CC"/>
    <w:rsid w:val="26D2994E"/>
    <w:rsid w:val="26D7B60E"/>
    <w:rsid w:val="27067204"/>
    <w:rsid w:val="27125729"/>
    <w:rsid w:val="2763F434"/>
    <w:rsid w:val="277CB613"/>
    <w:rsid w:val="278450D6"/>
    <w:rsid w:val="27C2E183"/>
    <w:rsid w:val="27CBD2AD"/>
    <w:rsid w:val="27DB51EB"/>
    <w:rsid w:val="27DCDFCD"/>
    <w:rsid w:val="27FDAAA7"/>
    <w:rsid w:val="2807A969"/>
    <w:rsid w:val="2867094D"/>
    <w:rsid w:val="28742B0F"/>
    <w:rsid w:val="28B1A5C4"/>
    <w:rsid w:val="28B3AB84"/>
    <w:rsid w:val="2922EB7B"/>
    <w:rsid w:val="2923BA57"/>
    <w:rsid w:val="292A33A0"/>
    <w:rsid w:val="2937118C"/>
    <w:rsid w:val="294DC643"/>
    <w:rsid w:val="2951E9F9"/>
    <w:rsid w:val="2966BD9B"/>
    <w:rsid w:val="29922CDE"/>
    <w:rsid w:val="299BB868"/>
    <w:rsid w:val="299E1343"/>
    <w:rsid w:val="2A2FC662"/>
    <w:rsid w:val="2A3DB21C"/>
    <w:rsid w:val="2A47ED43"/>
    <w:rsid w:val="2A58D631"/>
    <w:rsid w:val="2A5B653B"/>
    <w:rsid w:val="2A64739C"/>
    <w:rsid w:val="2A84AF5C"/>
    <w:rsid w:val="2A850EC3"/>
    <w:rsid w:val="2A974F8B"/>
    <w:rsid w:val="2AE9E841"/>
    <w:rsid w:val="2B0ADFB9"/>
    <w:rsid w:val="2B0EFDDD"/>
    <w:rsid w:val="2B122AC0"/>
    <w:rsid w:val="2B33BD6A"/>
    <w:rsid w:val="2B8A635F"/>
    <w:rsid w:val="2B9D55DE"/>
    <w:rsid w:val="2BEE197A"/>
    <w:rsid w:val="2BEFDCE1"/>
    <w:rsid w:val="2BF29EE1"/>
    <w:rsid w:val="2C15DB01"/>
    <w:rsid w:val="2C16A64A"/>
    <w:rsid w:val="2C235273"/>
    <w:rsid w:val="2C36A72D"/>
    <w:rsid w:val="2C3A81D8"/>
    <w:rsid w:val="2C4E001A"/>
    <w:rsid w:val="2C7576DD"/>
    <w:rsid w:val="2C9A1595"/>
    <w:rsid w:val="2C9B7717"/>
    <w:rsid w:val="2CB84F8B"/>
    <w:rsid w:val="2CD5F0B9"/>
    <w:rsid w:val="2D8C2ABB"/>
    <w:rsid w:val="2DA52F2D"/>
    <w:rsid w:val="2DB2FD86"/>
    <w:rsid w:val="2DDC2B36"/>
    <w:rsid w:val="2E0E687C"/>
    <w:rsid w:val="2E33F698"/>
    <w:rsid w:val="2E72F63E"/>
    <w:rsid w:val="2E8C0BC7"/>
    <w:rsid w:val="2EA3DC6B"/>
    <w:rsid w:val="2ED1E52E"/>
    <w:rsid w:val="2F04AF9B"/>
    <w:rsid w:val="2F3C005E"/>
    <w:rsid w:val="2F63CCE7"/>
    <w:rsid w:val="2F778211"/>
    <w:rsid w:val="2F9172B8"/>
    <w:rsid w:val="2FD9FFC3"/>
    <w:rsid w:val="2FDA9A85"/>
    <w:rsid w:val="30041C15"/>
    <w:rsid w:val="300CD44F"/>
    <w:rsid w:val="302EFEF2"/>
    <w:rsid w:val="303C2967"/>
    <w:rsid w:val="30A9553A"/>
    <w:rsid w:val="3138B0C6"/>
    <w:rsid w:val="315BFD16"/>
    <w:rsid w:val="31AF06B6"/>
    <w:rsid w:val="322BD07F"/>
    <w:rsid w:val="3241EC64"/>
    <w:rsid w:val="325F8289"/>
    <w:rsid w:val="326837E7"/>
    <w:rsid w:val="3275A918"/>
    <w:rsid w:val="32A1F106"/>
    <w:rsid w:val="3339FA5A"/>
    <w:rsid w:val="3346B0A3"/>
    <w:rsid w:val="33798ABD"/>
    <w:rsid w:val="3384CCCC"/>
    <w:rsid w:val="33AE55AA"/>
    <w:rsid w:val="33B648CA"/>
    <w:rsid w:val="33BE86BD"/>
    <w:rsid w:val="33C802BB"/>
    <w:rsid w:val="33CF0D3F"/>
    <w:rsid w:val="34287BBC"/>
    <w:rsid w:val="342B2B38"/>
    <w:rsid w:val="3434180E"/>
    <w:rsid w:val="34349891"/>
    <w:rsid w:val="343EB981"/>
    <w:rsid w:val="34D7E3E5"/>
    <w:rsid w:val="34D8899C"/>
    <w:rsid w:val="34EA9C89"/>
    <w:rsid w:val="34F17101"/>
    <w:rsid w:val="3517C5FC"/>
    <w:rsid w:val="3546FCEF"/>
    <w:rsid w:val="35740AC6"/>
    <w:rsid w:val="35CBBDC0"/>
    <w:rsid w:val="35CFB2AC"/>
    <w:rsid w:val="366CC267"/>
    <w:rsid w:val="368882EF"/>
    <w:rsid w:val="3690BA11"/>
    <w:rsid w:val="36BB6276"/>
    <w:rsid w:val="371AFD88"/>
    <w:rsid w:val="37288DCD"/>
    <w:rsid w:val="37327460"/>
    <w:rsid w:val="3756D211"/>
    <w:rsid w:val="37599C28"/>
    <w:rsid w:val="377639F8"/>
    <w:rsid w:val="37C05B9D"/>
    <w:rsid w:val="37C16619"/>
    <w:rsid w:val="37C64484"/>
    <w:rsid w:val="37CCAC5B"/>
    <w:rsid w:val="37EFE161"/>
    <w:rsid w:val="37FFBD21"/>
    <w:rsid w:val="383A56D3"/>
    <w:rsid w:val="38612363"/>
    <w:rsid w:val="38A48182"/>
    <w:rsid w:val="38BF4467"/>
    <w:rsid w:val="39579A2D"/>
    <w:rsid w:val="396CEBA0"/>
    <w:rsid w:val="39869950"/>
    <w:rsid w:val="398A46BC"/>
    <w:rsid w:val="398C10DF"/>
    <w:rsid w:val="39BEFD6C"/>
    <w:rsid w:val="39C9D496"/>
    <w:rsid w:val="39CD7AA6"/>
    <w:rsid w:val="39E72804"/>
    <w:rsid w:val="3A4196C8"/>
    <w:rsid w:val="3A6C3406"/>
    <w:rsid w:val="3A947060"/>
    <w:rsid w:val="3AD5CAE5"/>
    <w:rsid w:val="3B210A28"/>
    <w:rsid w:val="3B65B3D0"/>
    <w:rsid w:val="3BE3CBE9"/>
    <w:rsid w:val="3BEE5F06"/>
    <w:rsid w:val="3BF76280"/>
    <w:rsid w:val="3BFC57F6"/>
    <w:rsid w:val="3C0CC775"/>
    <w:rsid w:val="3C2074E0"/>
    <w:rsid w:val="3C79434E"/>
    <w:rsid w:val="3C9C4156"/>
    <w:rsid w:val="3CD0D7F0"/>
    <w:rsid w:val="3D066E8A"/>
    <w:rsid w:val="3D1E537B"/>
    <w:rsid w:val="3D399330"/>
    <w:rsid w:val="3D3CEE02"/>
    <w:rsid w:val="3D411FFA"/>
    <w:rsid w:val="3D66A6D3"/>
    <w:rsid w:val="3DAFBD8E"/>
    <w:rsid w:val="3DBD74A0"/>
    <w:rsid w:val="3DE7D1C4"/>
    <w:rsid w:val="3E293728"/>
    <w:rsid w:val="3ECB4ACA"/>
    <w:rsid w:val="3EDE57DB"/>
    <w:rsid w:val="3F1D330D"/>
    <w:rsid w:val="3F260081"/>
    <w:rsid w:val="3F4F804B"/>
    <w:rsid w:val="3F792816"/>
    <w:rsid w:val="3F8E5420"/>
    <w:rsid w:val="3F996574"/>
    <w:rsid w:val="3FB091F3"/>
    <w:rsid w:val="3FF71A60"/>
    <w:rsid w:val="402FACE9"/>
    <w:rsid w:val="408CEEE6"/>
    <w:rsid w:val="4094BDCA"/>
    <w:rsid w:val="409A2597"/>
    <w:rsid w:val="40CE2840"/>
    <w:rsid w:val="40EE8A53"/>
    <w:rsid w:val="40F359BC"/>
    <w:rsid w:val="4175DEB7"/>
    <w:rsid w:val="418B6A59"/>
    <w:rsid w:val="41CFBB08"/>
    <w:rsid w:val="422B4832"/>
    <w:rsid w:val="422D2ECE"/>
    <w:rsid w:val="42BC3700"/>
    <w:rsid w:val="42DB5981"/>
    <w:rsid w:val="42E24CE1"/>
    <w:rsid w:val="42F73FBA"/>
    <w:rsid w:val="4333F442"/>
    <w:rsid w:val="435EFD3C"/>
    <w:rsid w:val="4379D575"/>
    <w:rsid w:val="4390C037"/>
    <w:rsid w:val="43A88E91"/>
    <w:rsid w:val="43B946B5"/>
    <w:rsid w:val="43F9D0D2"/>
    <w:rsid w:val="4406DE01"/>
    <w:rsid w:val="441CC39C"/>
    <w:rsid w:val="442D67E7"/>
    <w:rsid w:val="445016D1"/>
    <w:rsid w:val="447CBCDF"/>
    <w:rsid w:val="447D1A9C"/>
    <w:rsid w:val="4480C913"/>
    <w:rsid w:val="449A5C8F"/>
    <w:rsid w:val="44A47A14"/>
    <w:rsid w:val="44C90994"/>
    <w:rsid w:val="44CBBFD2"/>
    <w:rsid w:val="44EDD9F2"/>
    <w:rsid w:val="4510D6F1"/>
    <w:rsid w:val="4522E7D6"/>
    <w:rsid w:val="454D15B5"/>
    <w:rsid w:val="455A91A3"/>
    <w:rsid w:val="4576EB41"/>
    <w:rsid w:val="457A6973"/>
    <w:rsid w:val="4591B4EC"/>
    <w:rsid w:val="45D2DE43"/>
    <w:rsid w:val="45E76067"/>
    <w:rsid w:val="45E7E4B2"/>
    <w:rsid w:val="4609071B"/>
    <w:rsid w:val="461CE3FF"/>
    <w:rsid w:val="46279CA2"/>
    <w:rsid w:val="4640B421"/>
    <w:rsid w:val="466DDAA9"/>
    <w:rsid w:val="4682C3FA"/>
    <w:rsid w:val="46A7D43F"/>
    <w:rsid w:val="46C43F70"/>
    <w:rsid w:val="46E3DAB8"/>
    <w:rsid w:val="46E4FD42"/>
    <w:rsid w:val="471E3495"/>
    <w:rsid w:val="478F1E47"/>
    <w:rsid w:val="47B09596"/>
    <w:rsid w:val="47C4FE9E"/>
    <w:rsid w:val="47E0C597"/>
    <w:rsid w:val="4814C3F7"/>
    <w:rsid w:val="4819AF6A"/>
    <w:rsid w:val="481DF651"/>
    <w:rsid w:val="48391E3D"/>
    <w:rsid w:val="488C0759"/>
    <w:rsid w:val="488FC228"/>
    <w:rsid w:val="48D6F212"/>
    <w:rsid w:val="48FEBA27"/>
    <w:rsid w:val="48FEFAAD"/>
    <w:rsid w:val="491AFC41"/>
    <w:rsid w:val="495BA857"/>
    <w:rsid w:val="4980D4DA"/>
    <w:rsid w:val="49B3373F"/>
    <w:rsid w:val="49BDC65F"/>
    <w:rsid w:val="49D72611"/>
    <w:rsid w:val="4A180864"/>
    <w:rsid w:val="4A39544D"/>
    <w:rsid w:val="4A3DCC50"/>
    <w:rsid w:val="4A401476"/>
    <w:rsid w:val="4A76946B"/>
    <w:rsid w:val="4AD794C5"/>
    <w:rsid w:val="4AD9337B"/>
    <w:rsid w:val="4B09537F"/>
    <w:rsid w:val="4B279F14"/>
    <w:rsid w:val="4BA1951F"/>
    <w:rsid w:val="4BA92847"/>
    <w:rsid w:val="4BD065A2"/>
    <w:rsid w:val="4BF8EEC5"/>
    <w:rsid w:val="4C062795"/>
    <w:rsid w:val="4C064FB2"/>
    <w:rsid w:val="4C152155"/>
    <w:rsid w:val="4C226839"/>
    <w:rsid w:val="4C2C42C0"/>
    <w:rsid w:val="4C32635B"/>
    <w:rsid w:val="4C430831"/>
    <w:rsid w:val="4C765FA4"/>
    <w:rsid w:val="4C7DC921"/>
    <w:rsid w:val="4CBBBE72"/>
    <w:rsid w:val="4CD3BD26"/>
    <w:rsid w:val="4D12944A"/>
    <w:rsid w:val="4D38FAAA"/>
    <w:rsid w:val="4D7E8365"/>
    <w:rsid w:val="4D8EA7BA"/>
    <w:rsid w:val="4D9EE6A8"/>
    <w:rsid w:val="4DB91C6B"/>
    <w:rsid w:val="4E7A5B34"/>
    <w:rsid w:val="4E88114C"/>
    <w:rsid w:val="4E88E67A"/>
    <w:rsid w:val="4E9522F7"/>
    <w:rsid w:val="4E9C3AFF"/>
    <w:rsid w:val="4F17F5E9"/>
    <w:rsid w:val="4F2E149E"/>
    <w:rsid w:val="4F3BD43B"/>
    <w:rsid w:val="4F5970EB"/>
    <w:rsid w:val="4F7C02FB"/>
    <w:rsid w:val="4F9B0EE5"/>
    <w:rsid w:val="4FC15CA2"/>
    <w:rsid w:val="4FCF5498"/>
    <w:rsid w:val="4FDADDA4"/>
    <w:rsid w:val="4FFD609E"/>
    <w:rsid w:val="5001F729"/>
    <w:rsid w:val="50066BEE"/>
    <w:rsid w:val="506045DA"/>
    <w:rsid w:val="507E4284"/>
    <w:rsid w:val="50CE93E3"/>
    <w:rsid w:val="50F08193"/>
    <w:rsid w:val="511755E8"/>
    <w:rsid w:val="511A9A77"/>
    <w:rsid w:val="5134988E"/>
    <w:rsid w:val="51371D45"/>
    <w:rsid w:val="514D38D5"/>
    <w:rsid w:val="518D4CAD"/>
    <w:rsid w:val="51A643D4"/>
    <w:rsid w:val="51D5ABF2"/>
    <w:rsid w:val="51DCDDB3"/>
    <w:rsid w:val="521FD9EC"/>
    <w:rsid w:val="52674EB7"/>
    <w:rsid w:val="528B2060"/>
    <w:rsid w:val="529FE487"/>
    <w:rsid w:val="52AE0909"/>
    <w:rsid w:val="52D10B32"/>
    <w:rsid w:val="52DACAFE"/>
    <w:rsid w:val="530ADF8C"/>
    <w:rsid w:val="53686B92"/>
    <w:rsid w:val="536EA123"/>
    <w:rsid w:val="53739867"/>
    <w:rsid w:val="5375453E"/>
    <w:rsid w:val="537BC720"/>
    <w:rsid w:val="539619A6"/>
    <w:rsid w:val="53965D21"/>
    <w:rsid w:val="53AA17F7"/>
    <w:rsid w:val="53E9B255"/>
    <w:rsid w:val="5408BCBF"/>
    <w:rsid w:val="542AC4DD"/>
    <w:rsid w:val="546E3D87"/>
    <w:rsid w:val="54C3B5C0"/>
    <w:rsid w:val="54CBB17D"/>
    <w:rsid w:val="54ED1F5B"/>
    <w:rsid w:val="54F5A0E6"/>
    <w:rsid w:val="5510F143"/>
    <w:rsid w:val="5543DA38"/>
    <w:rsid w:val="5555D21D"/>
    <w:rsid w:val="55632084"/>
    <w:rsid w:val="55693741"/>
    <w:rsid w:val="55960D71"/>
    <w:rsid w:val="55CD1272"/>
    <w:rsid w:val="55F128A8"/>
    <w:rsid w:val="56038875"/>
    <w:rsid w:val="56057B88"/>
    <w:rsid w:val="5635C504"/>
    <w:rsid w:val="567BD951"/>
    <w:rsid w:val="569EC5D0"/>
    <w:rsid w:val="56A53CF1"/>
    <w:rsid w:val="56AB9847"/>
    <w:rsid w:val="56D74CB8"/>
    <w:rsid w:val="56E9229D"/>
    <w:rsid w:val="56EEC1EF"/>
    <w:rsid w:val="56F8C3FA"/>
    <w:rsid w:val="56F96291"/>
    <w:rsid w:val="576FCCF7"/>
    <w:rsid w:val="578D09C1"/>
    <w:rsid w:val="57BCA4F6"/>
    <w:rsid w:val="57CC472F"/>
    <w:rsid w:val="57D755FC"/>
    <w:rsid w:val="57F3DEF1"/>
    <w:rsid w:val="57F9B65E"/>
    <w:rsid w:val="581DF201"/>
    <w:rsid w:val="581EF8F7"/>
    <w:rsid w:val="585BAFBA"/>
    <w:rsid w:val="58655D7E"/>
    <w:rsid w:val="5879AB5E"/>
    <w:rsid w:val="589279AA"/>
    <w:rsid w:val="5893560D"/>
    <w:rsid w:val="58B74555"/>
    <w:rsid w:val="58D6D602"/>
    <w:rsid w:val="58F130EA"/>
    <w:rsid w:val="591CF637"/>
    <w:rsid w:val="5953330A"/>
    <w:rsid w:val="596D19F1"/>
    <w:rsid w:val="59927FB3"/>
    <w:rsid w:val="59936899"/>
    <w:rsid w:val="59B8F217"/>
    <w:rsid w:val="59C8D527"/>
    <w:rsid w:val="59CD452C"/>
    <w:rsid w:val="59FC07F0"/>
    <w:rsid w:val="59FEB2A4"/>
    <w:rsid w:val="5A3C3898"/>
    <w:rsid w:val="5A40B250"/>
    <w:rsid w:val="5ACC71DE"/>
    <w:rsid w:val="5ADB7CC8"/>
    <w:rsid w:val="5B0CA07F"/>
    <w:rsid w:val="5B19BB1A"/>
    <w:rsid w:val="5B27BDE1"/>
    <w:rsid w:val="5B53553C"/>
    <w:rsid w:val="5B58EE8D"/>
    <w:rsid w:val="5B6A0201"/>
    <w:rsid w:val="5B75D95F"/>
    <w:rsid w:val="5B7903E9"/>
    <w:rsid w:val="5BA36F9B"/>
    <w:rsid w:val="5BC9BEDC"/>
    <w:rsid w:val="5BCB3897"/>
    <w:rsid w:val="5BF56D01"/>
    <w:rsid w:val="5C2EA615"/>
    <w:rsid w:val="5C382FC0"/>
    <w:rsid w:val="5CC91BBB"/>
    <w:rsid w:val="5D0ABB0F"/>
    <w:rsid w:val="5D7B5A1F"/>
    <w:rsid w:val="5D7DA10B"/>
    <w:rsid w:val="5D8C171A"/>
    <w:rsid w:val="5DC4A71C"/>
    <w:rsid w:val="5DE0078E"/>
    <w:rsid w:val="5DFB2427"/>
    <w:rsid w:val="5E113994"/>
    <w:rsid w:val="5E74238D"/>
    <w:rsid w:val="5E7614CB"/>
    <w:rsid w:val="5E77C7E9"/>
    <w:rsid w:val="5E7CA340"/>
    <w:rsid w:val="5ED6A600"/>
    <w:rsid w:val="5EDA9BF4"/>
    <w:rsid w:val="5EF846E1"/>
    <w:rsid w:val="5F710572"/>
    <w:rsid w:val="5F762746"/>
    <w:rsid w:val="5FE02B64"/>
    <w:rsid w:val="602A00CA"/>
    <w:rsid w:val="60C4A700"/>
    <w:rsid w:val="610B49AA"/>
    <w:rsid w:val="61B96D73"/>
    <w:rsid w:val="61CDC384"/>
    <w:rsid w:val="61EDFFEF"/>
    <w:rsid w:val="62015FC2"/>
    <w:rsid w:val="623AD789"/>
    <w:rsid w:val="623DCA0B"/>
    <w:rsid w:val="6255C514"/>
    <w:rsid w:val="62689556"/>
    <w:rsid w:val="62C0A594"/>
    <w:rsid w:val="62C3CE73"/>
    <w:rsid w:val="62C73461"/>
    <w:rsid w:val="62C97670"/>
    <w:rsid w:val="62EE67DC"/>
    <w:rsid w:val="632B5ABB"/>
    <w:rsid w:val="63721542"/>
    <w:rsid w:val="638D8357"/>
    <w:rsid w:val="63AAA3B3"/>
    <w:rsid w:val="63B1B669"/>
    <w:rsid w:val="63B5E07A"/>
    <w:rsid w:val="63E7BF27"/>
    <w:rsid w:val="64074340"/>
    <w:rsid w:val="641EA8C6"/>
    <w:rsid w:val="64AD0C62"/>
    <w:rsid w:val="64B89028"/>
    <w:rsid w:val="64D99EBD"/>
    <w:rsid w:val="64DAAD06"/>
    <w:rsid w:val="64ED5D2C"/>
    <w:rsid w:val="64FCFFF0"/>
    <w:rsid w:val="650A7ECE"/>
    <w:rsid w:val="653D7D14"/>
    <w:rsid w:val="65467CFC"/>
    <w:rsid w:val="654FF143"/>
    <w:rsid w:val="65A329BE"/>
    <w:rsid w:val="65B72EBC"/>
    <w:rsid w:val="65BD3E92"/>
    <w:rsid w:val="65DB5FFF"/>
    <w:rsid w:val="65EA2E17"/>
    <w:rsid w:val="6627CF79"/>
    <w:rsid w:val="663B45B1"/>
    <w:rsid w:val="66950AC4"/>
    <w:rsid w:val="66EBF7E9"/>
    <w:rsid w:val="670F0313"/>
    <w:rsid w:val="676C8171"/>
    <w:rsid w:val="67AF5AEA"/>
    <w:rsid w:val="6892B64E"/>
    <w:rsid w:val="68BCB7EA"/>
    <w:rsid w:val="68C727F4"/>
    <w:rsid w:val="68EFB00F"/>
    <w:rsid w:val="68FC438D"/>
    <w:rsid w:val="69596E09"/>
    <w:rsid w:val="697E0D2C"/>
    <w:rsid w:val="699A054D"/>
    <w:rsid w:val="69BE3C83"/>
    <w:rsid w:val="69CA60B5"/>
    <w:rsid w:val="69D04E92"/>
    <w:rsid w:val="6A1EE7EE"/>
    <w:rsid w:val="6A26624D"/>
    <w:rsid w:val="6A40B483"/>
    <w:rsid w:val="6A709A79"/>
    <w:rsid w:val="6A7BAAF6"/>
    <w:rsid w:val="6A9B289C"/>
    <w:rsid w:val="6AB7E992"/>
    <w:rsid w:val="6ABA0428"/>
    <w:rsid w:val="6AF29D37"/>
    <w:rsid w:val="6B4B4BEF"/>
    <w:rsid w:val="6B649839"/>
    <w:rsid w:val="6B6AEE03"/>
    <w:rsid w:val="6B9C683F"/>
    <w:rsid w:val="6BE29C27"/>
    <w:rsid w:val="6BEC6495"/>
    <w:rsid w:val="6C147DA0"/>
    <w:rsid w:val="6C631CA8"/>
    <w:rsid w:val="6C650ADB"/>
    <w:rsid w:val="6C6BCFE4"/>
    <w:rsid w:val="6C818E68"/>
    <w:rsid w:val="6C923A5C"/>
    <w:rsid w:val="6CED5383"/>
    <w:rsid w:val="6D3A5940"/>
    <w:rsid w:val="6D734516"/>
    <w:rsid w:val="6D793D20"/>
    <w:rsid w:val="6D936E94"/>
    <w:rsid w:val="6D99C9D7"/>
    <w:rsid w:val="6DA3D9DA"/>
    <w:rsid w:val="6DD11D86"/>
    <w:rsid w:val="6DFA4197"/>
    <w:rsid w:val="6DFBE117"/>
    <w:rsid w:val="6E14E71B"/>
    <w:rsid w:val="6E22F360"/>
    <w:rsid w:val="6E4EAF59"/>
    <w:rsid w:val="6E5FD522"/>
    <w:rsid w:val="6E6E16CA"/>
    <w:rsid w:val="6E71A64A"/>
    <w:rsid w:val="6EE0D5EB"/>
    <w:rsid w:val="6EED36C9"/>
    <w:rsid w:val="6EF47D22"/>
    <w:rsid w:val="6F79BF04"/>
    <w:rsid w:val="6FD537F7"/>
    <w:rsid w:val="6FDDE751"/>
    <w:rsid w:val="6FE62805"/>
    <w:rsid w:val="702A7BCA"/>
    <w:rsid w:val="703420E0"/>
    <w:rsid w:val="70342B0D"/>
    <w:rsid w:val="705C1687"/>
    <w:rsid w:val="7115F5E2"/>
    <w:rsid w:val="712CC666"/>
    <w:rsid w:val="71575BA7"/>
    <w:rsid w:val="716DB295"/>
    <w:rsid w:val="71929A22"/>
    <w:rsid w:val="71D6B3C3"/>
    <w:rsid w:val="71EE1538"/>
    <w:rsid w:val="71FC6F10"/>
    <w:rsid w:val="7239A20C"/>
    <w:rsid w:val="723D505A"/>
    <w:rsid w:val="728F662B"/>
    <w:rsid w:val="729436E6"/>
    <w:rsid w:val="73143E2C"/>
    <w:rsid w:val="73646FAE"/>
    <w:rsid w:val="73672551"/>
    <w:rsid w:val="73696141"/>
    <w:rsid w:val="73699DC0"/>
    <w:rsid w:val="736EC774"/>
    <w:rsid w:val="737CFBAC"/>
    <w:rsid w:val="739BAD65"/>
    <w:rsid w:val="7418F703"/>
    <w:rsid w:val="744BC667"/>
    <w:rsid w:val="745A92B4"/>
    <w:rsid w:val="746E7DC1"/>
    <w:rsid w:val="74CD43C5"/>
    <w:rsid w:val="74F1868B"/>
    <w:rsid w:val="74FD8B73"/>
    <w:rsid w:val="7512FA68"/>
    <w:rsid w:val="757719F5"/>
    <w:rsid w:val="758D369B"/>
    <w:rsid w:val="75C9A225"/>
    <w:rsid w:val="760F0613"/>
    <w:rsid w:val="761F284D"/>
    <w:rsid w:val="761F29DE"/>
    <w:rsid w:val="762BC179"/>
    <w:rsid w:val="7645C93D"/>
    <w:rsid w:val="765BCDC7"/>
    <w:rsid w:val="76640611"/>
    <w:rsid w:val="766D4B04"/>
    <w:rsid w:val="76700F27"/>
    <w:rsid w:val="76714EE7"/>
    <w:rsid w:val="7692D90B"/>
    <w:rsid w:val="771F87CD"/>
    <w:rsid w:val="77341B86"/>
    <w:rsid w:val="773708B1"/>
    <w:rsid w:val="7762269C"/>
    <w:rsid w:val="77733D9C"/>
    <w:rsid w:val="77AF9091"/>
    <w:rsid w:val="77CA737A"/>
    <w:rsid w:val="780B7C61"/>
    <w:rsid w:val="781AC4CD"/>
    <w:rsid w:val="7879DF3F"/>
    <w:rsid w:val="78BA151D"/>
    <w:rsid w:val="78FA5DF8"/>
    <w:rsid w:val="796A3B32"/>
    <w:rsid w:val="797DF7E0"/>
    <w:rsid w:val="79B113E1"/>
    <w:rsid w:val="79B738AD"/>
    <w:rsid w:val="79DB8CA2"/>
    <w:rsid w:val="7A35C011"/>
    <w:rsid w:val="7A49934F"/>
    <w:rsid w:val="7A6F2010"/>
    <w:rsid w:val="7A845CA1"/>
    <w:rsid w:val="7AAC1A1D"/>
    <w:rsid w:val="7AFAC4B4"/>
    <w:rsid w:val="7B25A036"/>
    <w:rsid w:val="7B7F6B4C"/>
    <w:rsid w:val="7B8ABA22"/>
    <w:rsid w:val="7CB0876B"/>
    <w:rsid w:val="7CC2AEA0"/>
    <w:rsid w:val="7CD16962"/>
    <w:rsid w:val="7CDC21BB"/>
    <w:rsid w:val="7CEBFA83"/>
    <w:rsid w:val="7D45B911"/>
    <w:rsid w:val="7DAB299B"/>
    <w:rsid w:val="7DAD602D"/>
    <w:rsid w:val="7DC563EE"/>
    <w:rsid w:val="7DCC219F"/>
    <w:rsid w:val="7E23137D"/>
    <w:rsid w:val="7E9C4933"/>
    <w:rsid w:val="7E9D0416"/>
    <w:rsid w:val="7EA24544"/>
    <w:rsid w:val="7EB3A829"/>
    <w:rsid w:val="7EBA0000"/>
    <w:rsid w:val="7EE16155"/>
    <w:rsid w:val="7EF58978"/>
    <w:rsid w:val="7F08357D"/>
    <w:rsid w:val="7F183454"/>
    <w:rsid w:val="7F2F452E"/>
    <w:rsid w:val="7F5AC704"/>
    <w:rsid w:val="7F7391E4"/>
    <w:rsid w:val="7F999087"/>
    <w:rsid w:val="7FB0A482"/>
    <w:rsid w:val="7FC2A2B5"/>
    <w:rsid w:val="7FCA6DB0"/>
    <w:rsid w:val="7FCB8E5D"/>
    <w:rsid w:val="7FCECFF6"/>
    <w:rsid w:val="7FE780B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C0AC6E"/>
  <w15:chartTrackingRefBased/>
  <w15:docId w15:val="{C08DDF1B-6A35-48E7-A05F-3EBFD254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A62"/>
  </w:style>
  <w:style w:type="paragraph" w:styleId="Heading1">
    <w:name w:val="heading 1"/>
    <w:basedOn w:val="Normal"/>
    <w:next w:val="Normal"/>
    <w:link w:val="Heading1Char"/>
    <w:uiPriority w:val="9"/>
    <w:qFormat/>
    <w:rsid w:val="00A70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0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0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0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0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A62"/>
    <w:rPr>
      <w:rFonts w:eastAsiaTheme="majorEastAsia" w:cstheme="majorBidi"/>
      <w:color w:val="272727" w:themeColor="text1" w:themeTint="D8"/>
    </w:rPr>
  </w:style>
  <w:style w:type="paragraph" w:styleId="Title">
    <w:name w:val="Title"/>
    <w:basedOn w:val="Normal"/>
    <w:next w:val="Normal"/>
    <w:link w:val="TitleChar"/>
    <w:uiPriority w:val="10"/>
    <w:qFormat/>
    <w:rsid w:val="00A70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A62"/>
    <w:pPr>
      <w:spacing w:before="160"/>
      <w:jc w:val="center"/>
    </w:pPr>
    <w:rPr>
      <w:i/>
      <w:iCs/>
      <w:color w:val="404040" w:themeColor="text1" w:themeTint="BF"/>
    </w:rPr>
  </w:style>
  <w:style w:type="character" w:customStyle="1" w:styleId="QuoteChar">
    <w:name w:val="Quote Char"/>
    <w:basedOn w:val="DefaultParagraphFont"/>
    <w:link w:val="Quote"/>
    <w:uiPriority w:val="29"/>
    <w:rsid w:val="00A70A62"/>
    <w:rPr>
      <w:i/>
      <w:iCs/>
      <w:color w:val="404040" w:themeColor="text1" w:themeTint="BF"/>
    </w:rPr>
  </w:style>
  <w:style w:type="paragraph" w:styleId="ListParagraph">
    <w:name w:val="List Paragraph"/>
    <w:basedOn w:val="Normal"/>
    <w:uiPriority w:val="34"/>
    <w:qFormat/>
    <w:rsid w:val="00A70A62"/>
    <w:pPr>
      <w:ind w:left="720"/>
      <w:contextualSpacing/>
    </w:pPr>
  </w:style>
  <w:style w:type="character" w:styleId="IntenseEmphasis">
    <w:name w:val="Intense Emphasis"/>
    <w:basedOn w:val="DefaultParagraphFont"/>
    <w:uiPriority w:val="21"/>
    <w:qFormat/>
    <w:rsid w:val="00A70A62"/>
    <w:rPr>
      <w:i/>
      <w:iCs/>
      <w:color w:val="0F4761" w:themeColor="accent1" w:themeShade="BF"/>
    </w:rPr>
  </w:style>
  <w:style w:type="paragraph" w:styleId="IntenseQuote">
    <w:name w:val="Intense Quote"/>
    <w:basedOn w:val="Normal"/>
    <w:next w:val="Normal"/>
    <w:link w:val="IntenseQuoteChar"/>
    <w:uiPriority w:val="30"/>
    <w:qFormat/>
    <w:rsid w:val="00A70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A62"/>
    <w:rPr>
      <w:i/>
      <w:iCs/>
      <w:color w:val="0F4761" w:themeColor="accent1" w:themeShade="BF"/>
    </w:rPr>
  </w:style>
  <w:style w:type="character" w:styleId="IntenseReference">
    <w:name w:val="Intense Reference"/>
    <w:basedOn w:val="DefaultParagraphFont"/>
    <w:uiPriority w:val="32"/>
    <w:qFormat/>
    <w:rsid w:val="00A70A62"/>
    <w:rPr>
      <w:b/>
      <w:bCs/>
      <w:smallCaps/>
      <w:color w:val="0F4761" w:themeColor="accent1" w:themeShade="BF"/>
      <w:spacing w:val="5"/>
    </w:rPr>
  </w:style>
  <w:style w:type="paragraph" w:styleId="NormalWeb">
    <w:name w:val="Normal (Web)"/>
    <w:basedOn w:val="Normal"/>
    <w:uiPriority w:val="99"/>
    <w:unhideWhenUsed/>
    <w:rsid w:val="00A70A6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noteText">
    <w:name w:val="footnote text"/>
    <w:aliases w:val="Footnote Text Char1 Char,Footnote Text Char Char Char,Footnote Text Char2 Char Char Char,Footnote Text Char1 Char Char Char Char,Footnote Text Char Char Char Char Char Char,Plonk,Footnote text PFR,Footnote Text Char2 Ch,Footnote Text Char2"/>
    <w:basedOn w:val="Normal"/>
    <w:link w:val="FootnoteTextChar"/>
    <w:uiPriority w:val="99"/>
    <w:unhideWhenUsed/>
    <w:qFormat/>
    <w:rsid w:val="00A70A62"/>
    <w:pPr>
      <w:spacing w:after="0" w:line="240" w:lineRule="auto"/>
    </w:pPr>
    <w:rPr>
      <w:sz w:val="20"/>
      <w:szCs w:val="20"/>
    </w:rPr>
  </w:style>
  <w:style w:type="character" w:customStyle="1" w:styleId="FootnoteTextChar">
    <w:name w:val="Footnote Text Char"/>
    <w:aliases w:val="Footnote Text Char1 Char Char,Footnote Text Char Char Char Char,Footnote Text Char2 Char Char Char Char,Footnote Text Char1 Char Char Char Char Char,Footnote Text Char Char Char Char Char Char Char,Plonk Char,Footnote text PFR Char"/>
    <w:basedOn w:val="DefaultParagraphFont"/>
    <w:link w:val="FootnoteText"/>
    <w:uiPriority w:val="99"/>
    <w:rsid w:val="00A70A62"/>
    <w:rPr>
      <w:sz w:val="20"/>
      <w:szCs w:val="20"/>
      <w:lang w:val="cs-CZ"/>
    </w:rPr>
  </w:style>
  <w:style w:type="character" w:styleId="FootnoteReference">
    <w:name w:val="footnote reference"/>
    <w:aliases w:val="Footnote symbol,HAppel note de bas de p.,Footnote reference number,Times 10 Point,Exposant 3 Point,EN Footnote Reference,note TESI,SUPERS,Nota,Footnote number,Char1,Ref,de nota al pie,EN Footnote text,E...,num, Char1, Exposant 3 Point"/>
    <w:basedOn w:val="DefaultParagraphFont"/>
    <w:link w:val="FootnotesymbolCarZchn"/>
    <w:uiPriority w:val="99"/>
    <w:unhideWhenUsed/>
    <w:qFormat/>
    <w:rsid w:val="00A70A62"/>
    <w:rPr>
      <w:vertAlign w:val="superscript"/>
    </w:rPr>
  </w:style>
  <w:style w:type="character" w:styleId="Hyperlink">
    <w:name w:val="Hyperlink"/>
    <w:basedOn w:val="DefaultParagraphFont"/>
    <w:uiPriority w:val="99"/>
    <w:unhideWhenUsed/>
    <w:rsid w:val="00A70A62"/>
    <w:rPr>
      <w:color w:val="467886" w:themeColor="hyperlink"/>
      <w:u w:val="single"/>
    </w:rPr>
  </w:style>
  <w:style w:type="character" w:styleId="CommentReference">
    <w:name w:val="annotation reference"/>
    <w:basedOn w:val="DefaultParagraphFont"/>
    <w:uiPriority w:val="99"/>
    <w:semiHidden/>
    <w:unhideWhenUsed/>
    <w:rsid w:val="00A70A62"/>
    <w:rPr>
      <w:sz w:val="16"/>
      <w:szCs w:val="16"/>
    </w:rPr>
  </w:style>
  <w:style w:type="character" w:styleId="Strong">
    <w:name w:val="Strong"/>
    <w:basedOn w:val="DefaultParagraphFont"/>
    <w:uiPriority w:val="22"/>
    <w:qFormat/>
    <w:rsid w:val="00A70A62"/>
    <w:rPr>
      <w:b/>
      <w:bCs/>
    </w:rPr>
  </w:style>
  <w:style w:type="table" w:styleId="TableGrid">
    <w:name w:val="Table Grid"/>
    <w:basedOn w:val="TableNormal"/>
    <w:uiPriority w:val="39"/>
    <w:rsid w:val="00A70A62"/>
    <w:pPr>
      <w:spacing w:after="0" w:line="240" w:lineRule="auto"/>
    </w:pPr>
    <w:rPr>
      <w:sz w:val="22"/>
      <w:szCs w:val="22"/>
    </w:rPr>
    <w:tblPr/>
  </w:style>
  <w:style w:type="table" w:styleId="TableGridLight">
    <w:name w:val="Grid Table Light"/>
    <w:basedOn w:val="TableNormal"/>
    <w:uiPriority w:val="40"/>
    <w:rsid w:val="00A70A62"/>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A70A62"/>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A70A62"/>
    <w:pPr>
      <w:spacing w:line="240" w:lineRule="exact"/>
      <w:jc w:val="both"/>
    </w:pPr>
    <w:rPr>
      <w:vertAlign w:val="superscript"/>
    </w:rPr>
  </w:style>
  <w:style w:type="paragraph" w:styleId="Header">
    <w:name w:val="header"/>
    <w:basedOn w:val="Normal"/>
    <w:link w:val="HeaderChar"/>
    <w:uiPriority w:val="99"/>
    <w:unhideWhenUsed/>
    <w:rsid w:val="00A70A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A62"/>
    <w:rPr>
      <w:lang w:val="cs-CZ"/>
    </w:rPr>
  </w:style>
  <w:style w:type="paragraph" w:styleId="Footer">
    <w:name w:val="footer"/>
    <w:basedOn w:val="Normal"/>
    <w:link w:val="FooterChar"/>
    <w:uiPriority w:val="99"/>
    <w:unhideWhenUsed/>
    <w:rsid w:val="00A70A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A62"/>
    <w:rPr>
      <w:lang w:val="cs-CZ"/>
    </w:rPr>
  </w:style>
  <w:style w:type="character" w:customStyle="1" w:styleId="Marker">
    <w:name w:val="Marker"/>
    <w:basedOn w:val="DefaultParagraphFont"/>
    <w:rsid w:val="00A70A62"/>
    <w:rPr>
      <w:color w:val="0000FF"/>
      <w:shd w:val="clear" w:color="auto" w:fill="auto"/>
    </w:rPr>
  </w:style>
  <w:style w:type="paragraph" w:customStyle="1" w:styleId="Pagedecouverture">
    <w:name w:val="Page de couverture"/>
    <w:basedOn w:val="Normal"/>
    <w:next w:val="Normal"/>
    <w:rsid w:val="00A70A62"/>
    <w:pPr>
      <w:spacing w:after="0" w:line="240" w:lineRule="auto"/>
      <w:jc w:val="both"/>
    </w:pPr>
    <w:rPr>
      <w:rFonts w:ascii="Times New Roman" w:hAnsi="Times New Roman" w:cs="Times New Roman"/>
      <w:kern w:val="0"/>
      <w:szCs w:val="22"/>
      <w14:ligatures w14:val="none"/>
    </w:rPr>
  </w:style>
  <w:style w:type="paragraph" w:customStyle="1" w:styleId="FooterCoverPage">
    <w:name w:val="Footer Cover Page"/>
    <w:basedOn w:val="Normal"/>
    <w:link w:val="FooterCoverPageChar"/>
    <w:rsid w:val="00A70A62"/>
    <w:pPr>
      <w:tabs>
        <w:tab w:val="center" w:pos="4535"/>
        <w:tab w:val="right" w:pos="9071"/>
        <w:tab w:val="right" w:pos="9921"/>
      </w:tabs>
      <w:spacing w:before="360" w:after="0" w:line="240" w:lineRule="auto"/>
      <w:ind w:left="-850" w:right="-850"/>
    </w:pPr>
    <w:rPr>
      <w:rFonts w:ascii="Times New Roman" w:hAnsi="Times New Roman" w:cs="Times New Roman"/>
    </w:rPr>
  </w:style>
  <w:style w:type="character" w:customStyle="1" w:styleId="FooterCoverPageChar">
    <w:name w:val="Footer Cover Page Char"/>
    <w:basedOn w:val="DefaultParagraphFont"/>
    <w:link w:val="FooterCoverPage"/>
    <w:rsid w:val="00A70A62"/>
    <w:rPr>
      <w:rFonts w:ascii="Times New Roman" w:hAnsi="Times New Roman" w:cs="Times New Roman"/>
    </w:rPr>
  </w:style>
  <w:style w:type="paragraph" w:customStyle="1" w:styleId="FooterSensitivity">
    <w:name w:val="Footer Sensitivity"/>
    <w:basedOn w:val="Normal"/>
    <w:link w:val="FooterSensitivityChar"/>
    <w:rsid w:val="00A70A6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A70A62"/>
    <w:rPr>
      <w:rFonts w:ascii="Times New Roman" w:hAnsi="Times New Roman" w:cs="Times New Roman"/>
      <w:b/>
      <w:sz w:val="32"/>
    </w:rPr>
  </w:style>
  <w:style w:type="paragraph" w:customStyle="1" w:styleId="HeaderCoverPage">
    <w:name w:val="Header Cover Page"/>
    <w:basedOn w:val="Normal"/>
    <w:link w:val="HeaderCoverPageChar"/>
    <w:rsid w:val="00A70A62"/>
    <w:pPr>
      <w:tabs>
        <w:tab w:val="center" w:pos="4535"/>
        <w:tab w:val="right" w:pos="9071"/>
      </w:tabs>
      <w:spacing w:after="120" w:line="240" w:lineRule="auto"/>
      <w:jc w:val="both"/>
    </w:pPr>
    <w:rPr>
      <w:rFonts w:ascii="Times New Roman" w:hAnsi="Times New Roman" w:cs="Times New Roman"/>
    </w:rPr>
  </w:style>
  <w:style w:type="character" w:customStyle="1" w:styleId="HeaderCoverPageChar">
    <w:name w:val="Header Cover Page Char"/>
    <w:basedOn w:val="DefaultParagraphFont"/>
    <w:link w:val="HeaderCoverPage"/>
    <w:rsid w:val="00A70A62"/>
    <w:rPr>
      <w:rFonts w:ascii="Times New Roman" w:hAnsi="Times New Roman" w:cs="Times New Roman"/>
    </w:rPr>
  </w:style>
  <w:style w:type="paragraph" w:customStyle="1" w:styleId="HeaderSensitivity">
    <w:name w:val="Header Sensitivity"/>
    <w:basedOn w:val="Normal"/>
    <w:link w:val="HeaderSensitivityChar"/>
    <w:rsid w:val="00A70A62"/>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A70A62"/>
    <w:rPr>
      <w:rFonts w:ascii="Times New Roman" w:hAnsi="Times New Roman" w:cs="Times New Roman"/>
      <w:b/>
      <w:sz w:val="32"/>
    </w:rPr>
  </w:style>
  <w:style w:type="paragraph" w:customStyle="1" w:styleId="HeaderSensitivityRight">
    <w:name w:val="Header Sensitivity Right"/>
    <w:basedOn w:val="Normal"/>
    <w:link w:val="HeaderSensitivityRightChar"/>
    <w:rsid w:val="004E049B"/>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A70A62"/>
    <w:rPr>
      <w:rFonts w:ascii="Times New Roman" w:hAnsi="Times New Roman" w:cs="Times New Roman"/>
      <w:sz w:val="2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cs-CZ"/>
    </w:rPr>
  </w:style>
  <w:style w:type="paragraph" w:styleId="Revision">
    <w:name w:val="Revision"/>
    <w:hidden/>
    <w:uiPriority w:val="99"/>
    <w:semiHidden/>
    <w:rsid w:val="00D260F0"/>
    <w:pPr>
      <w:spacing w:after="0" w:line="240" w:lineRule="auto"/>
    </w:pPr>
  </w:style>
  <w:style w:type="paragraph" w:styleId="CommentSubject">
    <w:name w:val="annotation subject"/>
    <w:basedOn w:val="CommentText"/>
    <w:next w:val="CommentText"/>
    <w:link w:val="CommentSubjectChar"/>
    <w:uiPriority w:val="99"/>
    <w:semiHidden/>
    <w:unhideWhenUsed/>
    <w:rsid w:val="00D260F0"/>
    <w:rPr>
      <w:b/>
      <w:bCs/>
    </w:rPr>
  </w:style>
  <w:style w:type="character" w:customStyle="1" w:styleId="CommentSubjectChar">
    <w:name w:val="Comment Subject Char"/>
    <w:basedOn w:val="CommentTextChar"/>
    <w:link w:val="CommentSubject"/>
    <w:uiPriority w:val="99"/>
    <w:semiHidden/>
    <w:rsid w:val="00D260F0"/>
    <w:rPr>
      <w:b/>
      <w:bCs/>
      <w:sz w:val="20"/>
      <w:szCs w:val="20"/>
      <w:lang w:val="cs-CZ"/>
    </w:rPr>
  </w:style>
  <w:style w:type="character" w:customStyle="1" w:styleId="UnresolvedMention">
    <w:name w:val="Unresolved Mention"/>
    <w:basedOn w:val="DefaultParagraphFont"/>
    <w:uiPriority w:val="99"/>
    <w:semiHidden/>
    <w:unhideWhenUsed/>
    <w:rsid w:val="007C0BAA"/>
    <w:rPr>
      <w:color w:val="605E5C"/>
      <w:shd w:val="clear" w:color="auto" w:fill="E1DFDD"/>
    </w:rPr>
  </w:style>
  <w:style w:type="character" w:styleId="FollowedHyperlink">
    <w:name w:val="FollowedHyperlink"/>
    <w:basedOn w:val="DefaultParagraphFont"/>
    <w:uiPriority w:val="99"/>
    <w:semiHidden/>
    <w:unhideWhenUsed/>
    <w:rsid w:val="0056529A"/>
    <w:rPr>
      <w:color w:val="96607D" w:themeColor="followedHyperlink"/>
      <w:u w:val="single"/>
    </w:rPr>
  </w:style>
  <w:style w:type="character" w:customStyle="1" w:styleId="Mention">
    <w:name w:val="Mention"/>
    <w:basedOn w:val="DefaultParagraphFont"/>
    <w:uiPriority w:val="99"/>
    <w:unhideWhenUsed/>
    <w:rsid w:val="000675CD"/>
    <w:rPr>
      <w:color w:val="2B579A"/>
      <w:shd w:val="clear" w:color="auto" w:fill="E1DFDD"/>
    </w:rPr>
  </w:style>
  <w:style w:type="paragraph" w:customStyle="1" w:styleId="Disclaimer">
    <w:name w:val="Disclaimer"/>
    <w:basedOn w:val="Normal"/>
    <w:rsid w:val="004E049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Cs w:val="22"/>
      <w14:ligatures w14:val="none"/>
    </w:rPr>
  </w:style>
  <w:style w:type="paragraph" w:customStyle="1" w:styleId="SecurityMarking">
    <w:name w:val="SecurityMarking"/>
    <w:basedOn w:val="Normal"/>
    <w:rsid w:val="004E049B"/>
    <w:pPr>
      <w:spacing w:after="0" w:line="276" w:lineRule="auto"/>
      <w:ind w:left="5103"/>
    </w:pPr>
    <w:rPr>
      <w:rFonts w:ascii="Times New Roman" w:hAnsi="Times New Roman" w:cs="Times New Roman"/>
      <w:kern w:val="0"/>
      <w:sz w:val="28"/>
      <w:szCs w:val="22"/>
      <w14:ligatures w14:val="none"/>
    </w:rPr>
  </w:style>
  <w:style w:type="paragraph" w:customStyle="1" w:styleId="DateMarking">
    <w:name w:val="DateMarking"/>
    <w:basedOn w:val="Normal"/>
    <w:rsid w:val="004E049B"/>
    <w:pPr>
      <w:spacing w:after="0" w:line="276" w:lineRule="auto"/>
      <w:ind w:left="5103"/>
    </w:pPr>
    <w:rPr>
      <w:rFonts w:ascii="Times New Roman" w:hAnsi="Times New Roman" w:cs="Times New Roman"/>
      <w:i/>
      <w:kern w:val="0"/>
      <w:sz w:val="28"/>
      <w:szCs w:val="22"/>
      <w14:ligatures w14:val="none"/>
    </w:rPr>
  </w:style>
  <w:style w:type="paragraph" w:customStyle="1" w:styleId="ReleasableTo">
    <w:name w:val="ReleasableTo"/>
    <w:basedOn w:val="Normal"/>
    <w:rsid w:val="004E049B"/>
    <w:pPr>
      <w:spacing w:after="0" w:line="276" w:lineRule="auto"/>
      <w:ind w:left="5103"/>
    </w:pPr>
    <w:rPr>
      <w:rFonts w:ascii="Times New Roman" w:hAnsi="Times New Roman" w:cs="Times New Roman"/>
      <w:i/>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67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ec.europa.eu/eurostat/statistics-explained/index.php?oldid=684726" TargetMode="External"/><Relationship Id="rId18" Type="http://schemas.openxmlformats.org/officeDocument/2006/relationships/hyperlink" Target="https://www.eea.europa.eu/en/analysis/indicators/economic-losses-from-climate-related" TargetMode="External"/><Relationship Id="rId26" Type="http://schemas.openxmlformats.org/officeDocument/2006/relationships/hyperlink" Target="https://doi.org/10.1787/6f007516-en" TargetMode="External"/><Relationship Id="rId39" Type="http://schemas.openxmlformats.org/officeDocument/2006/relationships/hyperlink" Target="https://employment-social-affairs.ec.europa.eu/document/download/82975aa7-bdd6-4a64-b3e3-82433901f8f7_en?filename=Quality-Jobs-Roadmap_Communication_2025.pdf" TargetMode="External"/><Relationship Id="rId21" Type="http://schemas.openxmlformats.org/officeDocument/2006/relationships/hyperlink" Target="https://europa.eu/eurobarometer/surveys/detail/2652" TargetMode="External"/><Relationship Id="rId34" Type="http://schemas.openxmlformats.org/officeDocument/2006/relationships/hyperlink" Target="https://eu-for-children.europa.eu/eu-childrens-participation-platform_en" TargetMode="External"/><Relationship Id="rId42" Type="http://schemas.openxmlformats.org/officeDocument/2006/relationships/hyperlink" Target="https://youth.europa.eu/solidarity_cs" TargetMode="External"/><Relationship Id="rId47" Type="http://schemas.openxmlformats.org/officeDocument/2006/relationships/hyperlink" Target="https://commission.europa.eu/topics/defence/safer-together-path-towards-fully-prepared-union_en" TargetMode="External"/><Relationship Id="rId50" Type="http://schemas.openxmlformats.org/officeDocument/2006/relationships/hyperlink" Target="https://eur-lex.europa.eu/eli/reg/2024/1689/oj/eng" TargetMode="External"/><Relationship Id="rId55" Type="http://schemas.openxmlformats.org/officeDocument/2006/relationships/hyperlink" Target="https://rural-vision.europa.eu/index_en" TargetMode="External"/><Relationship Id="rId7" Type="http://schemas.openxmlformats.org/officeDocument/2006/relationships/hyperlink" Target="https://eur-lex.europa.eu/resource.html?uri=cellar:c81baaa1-0899-11f0-b1a3-01aa75ed71a1.0001.02/DOC_1&amp;format=PDF" TargetMode="External"/><Relationship Id="rId12" Type="http://schemas.openxmlformats.org/officeDocument/2006/relationships/hyperlink" Target="https://europa.eu/eurobarometer/surveys/detail/2972" TargetMode="External"/><Relationship Id="rId17" Type="http://schemas.openxmlformats.org/officeDocument/2006/relationships/hyperlink" Target="https://eur-lex.europa.eu/resource.html?uri=cellar:6c154426-c5a6-11ee-95d9-01aa75ed71a1.0001.02/DOC_2&amp;format=PDF" TargetMode="External"/><Relationship Id="rId25" Type="http://schemas.openxmlformats.org/officeDocument/2006/relationships/hyperlink" Target="https://commission.europa.eu/topics/countering-information-manipulation/strengthened-eu-code-practice-disinformation_en" TargetMode="External"/><Relationship Id="rId33" Type="http://schemas.openxmlformats.org/officeDocument/2006/relationships/hyperlink" Target="https://eu-for-children.europa.eu/eu-childrens-participation-platform_en" TargetMode="External"/><Relationship Id="rId38" Type="http://schemas.openxmlformats.org/officeDocument/2006/relationships/hyperlink" Target="https://health.ec.europa.eu/funding/eu4health-programme-2021-2027-vision-healthier-european-union_en" TargetMode="External"/><Relationship Id="rId46" Type="http://schemas.openxmlformats.org/officeDocument/2006/relationships/hyperlink" Target="https://commission.europa.eu/topics/defence/safer-together-path-towards-fully-prepared-union_en" TargetMode="External"/><Relationship Id="rId2" Type="http://schemas.openxmlformats.org/officeDocument/2006/relationships/hyperlink" Target="https://citizens.ec.europa.eu/european-citizens-panels/citizens-panel-intergenerational-fairness_cs" TargetMode="External"/><Relationship Id="rId16" Type="http://schemas.openxmlformats.org/officeDocument/2006/relationships/hyperlink" Target="https://doi.org/10.1787/dec143ad-en" TargetMode="External"/><Relationship Id="rId20" Type="http://schemas.openxmlformats.org/officeDocument/2006/relationships/hyperlink" Target="https://www.eea.europa.eu/en/analysis/indicators/economic-losses-from-climate-related" TargetMode="External"/><Relationship Id="rId29" Type="http://schemas.openxmlformats.org/officeDocument/2006/relationships/hyperlink" Target="https://sustainabledevelopment.gov.mt/guardian-of-future-generations/" TargetMode="External"/><Relationship Id="rId41" Type="http://schemas.openxmlformats.org/officeDocument/2006/relationships/hyperlink" Target="https://commission.europa.eu/topics/competitiveness/union-skills_cs" TargetMode="External"/><Relationship Id="rId54" Type="http://schemas.openxmlformats.org/officeDocument/2006/relationships/hyperlink" Target="https://research-and-innovation.ec.europa.eu/funding/funding-opportunities/funding-programmes-and-open-calls/horizon-europe/eu-missions-horizon-europe/climate-neutral-and-smart-cities_en" TargetMode="External"/><Relationship Id="rId1" Type="http://schemas.openxmlformats.org/officeDocument/2006/relationships/hyperlink" Target="https://policy-lab.ec.europa.eu/intergenerational-fairness" TargetMode="External"/><Relationship Id="rId6" Type="http://schemas.openxmlformats.org/officeDocument/2006/relationships/hyperlink" Target="https://commission.europa.eu/strategy-and-policy/strategic-foresight/2025-strategic-foresight-report_en" TargetMode="External"/><Relationship Id="rId11" Type="http://schemas.openxmlformats.org/officeDocument/2006/relationships/hyperlink" Target="https://ec.europa.eu/eurostat/web/products-eurostat-news/w/ddn-20240222-1" TargetMode="External"/><Relationship Id="rId24" Type="http://schemas.openxmlformats.org/officeDocument/2006/relationships/hyperlink" Target="https://commission.europa.eu/topics/countering-information-manipulation/strengthened-eu-code-practice-disinformation_en" TargetMode="External"/><Relationship Id="rId32" Type="http://schemas.openxmlformats.org/officeDocument/2006/relationships/hyperlink" Target="https://eur-lex.europa.eu/legal-content/CS/TXT/?uri=CELEX:52021DC0142" TargetMode="External"/><Relationship Id="rId37" Type="http://schemas.openxmlformats.org/officeDocument/2006/relationships/hyperlink" Target="https://research-and-innovation.ec.europa.eu/strategy/strategy-research-and-innovation/jobs-and-economy/eu-startup-and-scaleup-strategy_en" TargetMode="External"/><Relationship Id="rId40" Type="http://schemas.openxmlformats.org/officeDocument/2006/relationships/hyperlink" Target="https://eur-lex.europa.eu/legal-content/CS/TXT/?uri=OJ:JOC_2022_476_R_0001" TargetMode="External"/><Relationship Id="rId45" Type="http://schemas.openxmlformats.org/officeDocument/2006/relationships/hyperlink" Target="https://commission.europa.eu/topics/preparedness_cs" TargetMode="External"/><Relationship Id="rId53" Type="http://schemas.openxmlformats.org/officeDocument/2006/relationships/hyperlink" Target="https://ec.europa.eu/regional_policy/information-sources/publications/communications/2025/eu-agenda-for-cities-2025_cs" TargetMode="External"/><Relationship Id="rId5" Type="http://schemas.openxmlformats.org/officeDocument/2006/relationships/hyperlink" Target="https://www.espas.eu/files/2025/ESPAS%20Foresight%20paper%20-%20Inter-generational%20fairness.pdf" TargetMode="External"/><Relationship Id="rId15" Type="http://schemas.openxmlformats.org/officeDocument/2006/relationships/hyperlink" Target="https://ec.europa.eu/eurostat/web/products-eurostat-news/w/ddn-20250527-1" TargetMode="External"/><Relationship Id="rId23" Type="http://schemas.openxmlformats.org/officeDocument/2006/relationships/hyperlink" Target="https://joint-research-centre.ec.europa.eu/projects-and-activities/survey-methods-and-analysis-centre/loneliness/risk-factors-and-consequences_en" TargetMode="External"/><Relationship Id="rId28" Type="http://schemas.openxmlformats.org/officeDocument/2006/relationships/hyperlink" Target="https://futuros.gob.es/en/office" TargetMode="External"/><Relationship Id="rId36" Type="http://schemas.openxmlformats.org/officeDocument/2006/relationships/hyperlink" Target="https://commission.europa.eu/topics/competitiveness/competitiveness-compass_cs" TargetMode="External"/><Relationship Id="rId49" Type="http://schemas.openxmlformats.org/officeDocument/2006/relationships/hyperlink" Target="https://eur-lex.europa.eu/legal-content/CS/TXT/?uri=CELEX:32025H1021" TargetMode="External"/><Relationship Id="rId10" Type="http://schemas.openxmlformats.org/officeDocument/2006/relationships/hyperlink" Target="https://ec.europa.eu/eurostat/web/products-eurostat-news/w/ddn-20240222-1" TargetMode="External"/><Relationship Id="rId19" Type="http://schemas.openxmlformats.org/officeDocument/2006/relationships/hyperlink" Target="https://www.eea.europa.eu/en/analysis/indicators/economic-losses-from-climate-related" TargetMode="External"/><Relationship Id="rId31" Type="http://schemas.openxmlformats.org/officeDocument/2006/relationships/hyperlink" Target="https://employment-social-affairs.ec.europa.eu/policies-and-activities/social-protection-social-inclusion/addressing-poverty-and-supporting-social-inclusion/investing-children/european-child-guarantee_en" TargetMode="External"/><Relationship Id="rId44" Type="http://schemas.openxmlformats.org/officeDocument/2006/relationships/hyperlink" Target="https://eur-lex.europa.eu/legal-content/CS/TXT/?uri=intcom:C%282025%299300" TargetMode="External"/><Relationship Id="rId52" Type="http://schemas.openxmlformats.org/officeDocument/2006/relationships/hyperlink" Target="https://commission.europa.eu/publications/communication-demographic-change-europe-toolbox-action_en" TargetMode="External"/><Relationship Id="rId4" Type="http://schemas.openxmlformats.org/officeDocument/2006/relationships/hyperlink" Target="https://knowledge4policy.ec.europa.eu/foresight/tool/megatrends-hub_en" TargetMode="External"/><Relationship Id="rId9" Type="http://schemas.openxmlformats.org/officeDocument/2006/relationships/hyperlink" Target="https://ec.europa.eu/eurostat/statistics-explained/index.php?oldid=685132" TargetMode="External"/><Relationship Id="rId14" Type="http://schemas.openxmlformats.org/officeDocument/2006/relationships/hyperlink" Target="https://commission.europa.eu/strategy-and-policy/policies/justice-and-fundamental-rights/gender-equality/equal-pay/gender-pay-gap-situation-eu_en" TargetMode="External"/><Relationship Id="rId22" Type="http://schemas.openxmlformats.org/officeDocument/2006/relationships/hyperlink" Target="https://joint-research-centre.ec.europa.eu/projects-and-activities/survey-methods-and-analysis-centre/loneliness/risk-factors-and-consequences_en" TargetMode="External"/><Relationship Id="rId27" Type="http://schemas.openxmlformats.org/officeDocument/2006/relationships/hyperlink" Target="https://www.eduskunta.fi/EN/valiokunnat/tulevaisuusvaliokunta/Pages/default.aspx" TargetMode="External"/><Relationship Id="rId30" Type="http://schemas.openxmlformats.org/officeDocument/2006/relationships/hyperlink" Target="https://eur-lex.europa.eu/legal-content/CS/TXT/?uri=CELEX:52025DC0681" TargetMode="External"/><Relationship Id="rId35" Type="http://schemas.openxmlformats.org/officeDocument/2006/relationships/hyperlink" Target="https://single-market-economy.ec.europa.eu/industry/strategy_en" TargetMode="External"/><Relationship Id="rId43" Type="http://schemas.openxmlformats.org/officeDocument/2006/relationships/hyperlink" Target="https://youth.europa.eu/solidarity_cs" TargetMode="External"/><Relationship Id="rId48" Type="http://schemas.openxmlformats.org/officeDocument/2006/relationships/hyperlink" Target="https://ec.europa.eu/commission/presscorner/detail/cs/ip_25_2660" TargetMode="External"/><Relationship Id="rId8" Type="http://schemas.openxmlformats.org/officeDocument/2006/relationships/hyperlink" Target="https://ec.europa.eu/eurostat/statistics-explained/index.php?oldid=685132" TargetMode="External"/><Relationship Id="rId51" Type="http://schemas.openxmlformats.org/officeDocument/2006/relationships/hyperlink" Target="https://agriculture.ec.europa.eu/overview-vision-agriculture-food/generational-renewal_cs" TargetMode="External"/><Relationship Id="rId3" Type="http://schemas.openxmlformats.org/officeDocument/2006/relationships/hyperlink" Target="https://www.un.org/en/summit-of-the-future/declaration-on-future-gen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6DB6F-BA40-4CC1-A725-785429863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6807</Words>
  <Characters>38800</Characters>
  <Application>Microsoft Office Word</Application>
  <DocSecurity>0</DocSecurity>
  <Lines>323</Lines>
  <Paragraphs>91</Paragraphs>
  <ScaleCrop>false</ScaleCrop>
  <Manager/>
  <Company/>
  <LinksUpToDate>false</LinksUpToDate>
  <CharactersWithSpaces>45516</CharactersWithSpaces>
  <SharedDoc>false</SharedDoc>
  <HLinks>
    <vt:vector size="438" baseType="variant">
      <vt:variant>
        <vt:i4>852039</vt:i4>
      </vt:variant>
      <vt:variant>
        <vt:i4>96</vt:i4>
      </vt:variant>
      <vt:variant>
        <vt:i4>0</vt:i4>
      </vt:variant>
      <vt:variant>
        <vt:i4>5</vt:i4>
      </vt:variant>
      <vt:variant>
        <vt:lpwstr>https://eur-lex.europa.eu/legal-content/EN/TXT/?uri=CELEX:32025H1021</vt:lpwstr>
      </vt:variant>
      <vt:variant>
        <vt:lpwstr/>
      </vt:variant>
      <vt:variant>
        <vt:i4>6946829</vt:i4>
      </vt:variant>
      <vt:variant>
        <vt:i4>93</vt:i4>
      </vt:variant>
      <vt:variant>
        <vt:i4>0</vt:i4>
      </vt:variant>
      <vt:variant>
        <vt:i4>5</vt:i4>
      </vt:variant>
      <vt:variant>
        <vt:lpwstr>https://rural-vision.europa.eu/index_en</vt:lpwstr>
      </vt:variant>
      <vt:variant>
        <vt:lpwstr/>
      </vt:variant>
      <vt:variant>
        <vt:i4>393312</vt:i4>
      </vt:variant>
      <vt:variant>
        <vt:i4>90</vt:i4>
      </vt:variant>
      <vt:variant>
        <vt:i4>0</vt:i4>
      </vt:variant>
      <vt:variant>
        <vt:i4>5</vt:i4>
      </vt:variant>
      <vt:variant>
        <vt:lpwstr>https://research-and-innovation.ec.europa.eu/funding/funding-opportunities/funding-programmes-and-open-calls/horizon-europe/eu-missions-horizon-europe/climate-neutral-and-smart-cities_en</vt:lpwstr>
      </vt:variant>
      <vt:variant>
        <vt:lpwstr/>
      </vt:variant>
      <vt:variant>
        <vt:i4>3801134</vt:i4>
      </vt:variant>
      <vt:variant>
        <vt:i4>87</vt:i4>
      </vt:variant>
      <vt:variant>
        <vt:i4>0</vt:i4>
      </vt:variant>
      <vt:variant>
        <vt:i4>5</vt:i4>
      </vt:variant>
      <vt:variant>
        <vt:lpwstr>https://ec.europa.eu/regional_policy/information-sources/publications/communications/2025/eu-agenda-for-cities-2025_en</vt:lpwstr>
      </vt:variant>
      <vt:variant>
        <vt:lpwstr/>
      </vt:variant>
      <vt:variant>
        <vt:i4>7667797</vt:i4>
      </vt:variant>
      <vt:variant>
        <vt:i4>84</vt:i4>
      </vt:variant>
      <vt:variant>
        <vt:i4>0</vt:i4>
      </vt:variant>
      <vt:variant>
        <vt:i4>5</vt:i4>
      </vt:variant>
      <vt:variant>
        <vt:lpwstr>https://commission.europa.eu/publications/communication-demographic-change-europe-toolbox-action_en</vt:lpwstr>
      </vt:variant>
      <vt:variant>
        <vt:lpwstr/>
      </vt:variant>
      <vt:variant>
        <vt:i4>327714</vt:i4>
      </vt:variant>
      <vt:variant>
        <vt:i4>81</vt:i4>
      </vt:variant>
      <vt:variant>
        <vt:i4>0</vt:i4>
      </vt:variant>
      <vt:variant>
        <vt:i4>5</vt:i4>
      </vt:variant>
      <vt:variant>
        <vt:lpwstr>https://agriculture.ec.europa.eu/overview-vision-agriculture-food/generational-renewal_en</vt:lpwstr>
      </vt:variant>
      <vt:variant>
        <vt:lpwstr/>
      </vt:variant>
      <vt:variant>
        <vt:i4>7929958</vt:i4>
      </vt:variant>
      <vt:variant>
        <vt:i4>78</vt:i4>
      </vt:variant>
      <vt:variant>
        <vt:i4>0</vt:i4>
      </vt:variant>
      <vt:variant>
        <vt:i4>5</vt:i4>
      </vt:variant>
      <vt:variant>
        <vt:lpwstr>https://ec.europa.eu/commission/presscorner/detail/en/ip_25_2660</vt:lpwstr>
      </vt:variant>
      <vt:variant>
        <vt:lpwstr/>
      </vt:variant>
      <vt:variant>
        <vt:i4>458810</vt:i4>
      </vt:variant>
      <vt:variant>
        <vt:i4>75</vt:i4>
      </vt:variant>
      <vt:variant>
        <vt:i4>0</vt:i4>
      </vt:variant>
      <vt:variant>
        <vt:i4>5</vt:i4>
      </vt:variant>
      <vt:variant>
        <vt:lpwstr>https://youth.europa.eu/solidarity_en</vt:lpwstr>
      </vt:variant>
      <vt:variant>
        <vt:lpwstr/>
      </vt:variant>
      <vt:variant>
        <vt:i4>7667730</vt:i4>
      </vt:variant>
      <vt:variant>
        <vt:i4>72</vt:i4>
      </vt:variant>
      <vt:variant>
        <vt:i4>0</vt:i4>
      </vt:variant>
      <vt:variant>
        <vt:i4>5</vt:i4>
      </vt:variant>
      <vt:variant>
        <vt:lpwstr>https://commission.europa.eu/topics/competitiveness/union-skills_en</vt:lpwstr>
      </vt:variant>
      <vt:variant>
        <vt:lpwstr/>
      </vt:variant>
      <vt:variant>
        <vt:i4>4194359</vt:i4>
      </vt:variant>
      <vt:variant>
        <vt:i4>69</vt:i4>
      </vt:variant>
      <vt:variant>
        <vt:i4>0</vt:i4>
      </vt:variant>
      <vt:variant>
        <vt:i4>5</vt:i4>
      </vt:variant>
      <vt:variant>
        <vt:lpwstr>https://research-and-innovation.ec.europa.eu/strategy/strategy-research-and-innovation/jobs-and-economy/eu-startup-and-scaleup-strategy_en</vt:lpwstr>
      </vt:variant>
      <vt:variant>
        <vt:lpwstr/>
      </vt:variant>
      <vt:variant>
        <vt:i4>4980776</vt:i4>
      </vt:variant>
      <vt:variant>
        <vt:i4>66</vt:i4>
      </vt:variant>
      <vt:variant>
        <vt:i4>0</vt:i4>
      </vt:variant>
      <vt:variant>
        <vt:i4>5</vt:i4>
      </vt:variant>
      <vt:variant>
        <vt:lpwstr>https://commission.europa.eu/topics/competitiveness/competitiveness-compass_en</vt:lpwstr>
      </vt:variant>
      <vt:variant>
        <vt:lpwstr/>
      </vt:variant>
      <vt:variant>
        <vt:i4>7536735</vt:i4>
      </vt:variant>
      <vt:variant>
        <vt:i4>63</vt:i4>
      </vt:variant>
      <vt:variant>
        <vt:i4>0</vt:i4>
      </vt:variant>
      <vt:variant>
        <vt:i4>5</vt:i4>
      </vt:variant>
      <vt:variant>
        <vt:lpwstr>https://single-market-economy.ec.europa.eu/industry/strategy_en</vt:lpwstr>
      </vt:variant>
      <vt:variant>
        <vt:lpwstr/>
      </vt:variant>
      <vt:variant>
        <vt:i4>3735644</vt:i4>
      </vt:variant>
      <vt:variant>
        <vt:i4>60</vt:i4>
      </vt:variant>
      <vt:variant>
        <vt:i4>0</vt:i4>
      </vt:variant>
      <vt:variant>
        <vt:i4>5</vt:i4>
      </vt:variant>
      <vt:variant>
        <vt:lpwstr>https://eu-for-children.europa.eu/eu-childrens-participation-platform_en</vt:lpwstr>
      </vt:variant>
      <vt:variant>
        <vt:lpwstr/>
      </vt:variant>
      <vt:variant>
        <vt:i4>8257608</vt:i4>
      </vt:variant>
      <vt:variant>
        <vt:i4>57</vt:i4>
      </vt:variant>
      <vt:variant>
        <vt:i4>0</vt:i4>
      </vt:variant>
      <vt:variant>
        <vt:i4>5</vt:i4>
      </vt:variant>
      <vt:variant>
        <vt:lpwstr>https://employment-social-affairs.ec.europa.eu/policies-and-activities/social-protection-social-inclusion/addressing-poverty-and-supporting-social-inclusion/investing-children/european-child-guarantee_en</vt:lpwstr>
      </vt:variant>
      <vt:variant>
        <vt:lpwstr/>
      </vt:variant>
      <vt:variant>
        <vt:i4>2949158</vt:i4>
      </vt:variant>
      <vt:variant>
        <vt:i4>54</vt:i4>
      </vt:variant>
      <vt:variant>
        <vt:i4>0</vt:i4>
      </vt:variant>
      <vt:variant>
        <vt:i4>5</vt:i4>
      </vt:variant>
      <vt:variant>
        <vt:lpwstr>https:/Generations</vt:lpwstr>
      </vt:variant>
      <vt:variant>
        <vt:lpwstr/>
      </vt:variant>
      <vt:variant>
        <vt:i4>4325400</vt:i4>
      </vt:variant>
      <vt:variant>
        <vt:i4>51</vt:i4>
      </vt:variant>
      <vt:variant>
        <vt:i4>0</vt:i4>
      </vt:variant>
      <vt:variant>
        <vt:i4>5</vt:i4>
      </vt:variant>
      <vt:variant>
        <vt:lpwstr>https://futuros.gob.es/en/office</vt:lpwstr>
      </vt:variant>
      <vt:variant>
        <vt:lpwstr/>
      </vt:variant>
      <vt:variant>
        <vt:i4>2818167</vt:i4>
      </vt:variant>
      <vt:variant>
        <vt:i4>48</vt:i4>
      </vt:variant>
      <vt:variant>
        <vt:i4>0</vt:i4>
      </vt:variant>
      <vt:variant>
        <vt:i4>5</vt:i4>
      </vt:variant>
      <vt:variant>
        <vt:lpwstr>https://doi.org/10.1787/6f007516-en</vt:lpwstr>
      </vt:variant>
      <vt:variant>
        <vt:lpwstr/>
      </vt:variant>
      <vt:variant>
        <vt:i4>2162791</vt:i4>
      </vt:variant>
      <vt:variant>
        <vt:i4>45</vt:i4>
      </vt:variant>
      <vt:variant>
        <vt:i4>0</vt:i4>
      </vt:variant>
      <vt:variant>
        <vt:i4>5</vt:i4>
      </vt:variant>
      <vt:variant>
        <vt:lpwstr>https://europa.eu/eurobarometer/surveys/detail/2652</vt:lpwstr>
      </vt:variant>
      <vt:variant>
        <vt:lpwstr/>
      </vt:variant>
      <vt:variant>
        <vt:i4>6881357</vt:i4>
      </vt:variant>
      <vt:variant>
        <vt:i4>42</vt:i4>
      </vt:variant>
      <vt:variant>
        <vt:i4>0</vt:i4>
      </vt:variant>
      <vt:variant>
        <vt:i4>5</vt:i4>
      </vt:variant>
      <vt:variant>
        <vt:lpwstr>https://eur-lex.europa.eu/resource.html?uri=cellar:6c154426-c5a6-11ee-95d9-01aa75ed71a1.0001.02/DOC_2&amp;format=PDF</vt:lpwstr>
      </vt:variant>
      <vt:variant>
        <vt:lpwstr/>
      </vt:variant>
      <vt:variant>
        <vt:i4>4456523</vt:i4>
      </vt:variant>
      <vt:variant>
        <vt:i4>39</vt:i4>
      </vt:variant>
      <vt:variant>
        <vt:i4>0</vt:i4>
      </vt:variant>
      <vt:variant>
        <vt:i4>5</vt:i4>
      </vt:variant>
      <vt:variant>
        <vt:lpwstr>https://ec.europa.eu/eurostat/web/products-eurostat-news/w/ddn-20250527-1</vt:lpwstr>
      </vt:variant>
      <vt:variant>
        <vt:lpwstr/>
      </vt:variant>
      <vt:variant>
        <vt:i4>131135</vt:i4>
      </vt:variant>
      <vt:variant>
        <vt:i4>36</vt:i4>
      </vt:variant>
      <vt:variant>
        <vt:i4>0</vt:i4>
      </vt:variant>
      <vt:variant>
        <vt:i4>5</vt:i4>
      </vt:variant>
      <vt:variant>
        <vt:lpwstr>https://commission.europa.eu/strategy-and-policy/policies/justice-and-fundamental-rights/gender-equality/equal-pay/gender-pay-gap-situation-eu_en</vt:lpwstr>
      </vt:variant>
      <vt:variant>
        <vt:lpwstr/>
      </vt:variant>
      <vt:variant>
        <vt:i4>8192037</vt:i4>
      </vt:variant>
      <vt:variant>
        <vt:i4>33</vt:i4>
      </vt:variant>
      <vt:variant>
        <vt:i4>0</vt:i4>
      </vt:variant>
      <vt:variant>
        <vt:i4>5</vt:i4>
      </vt:variant>
      <vt:variant>
        <vt:lpwstr>https://doi.org/10.1787/dec143ad-en</vt:lpwstr>
      </vt:variant>
      <vt:variant>
        <vt:lpwstr/>
      </vt:variant>
      <vt:variant>
        <vt:i4>5832723</vt:i4>
      </vt:variant>
      <vt:variant>
        <vt:i4>30</vt:i4>
      </vt:variant>
      <vt:variant>
        <vt:i4>0</vt:i4>
      </vt:variant>
      <vt:variant>
        <vt:i4>5</vt:i4>
      </vt:variant>
      <vt:variant>
        <vt:lpwstr>https://ec.europa.eu/eurostat/statistics-explained/index.php?oldid=684726</vt:lpwstr>
      </vt:variant>
      <vt:variant>
        <vt:lpwstr/>
      </vt:variant>
      <vt:variant>
        <vt:i4>2293864</vt:i4>
      </vt:variant>
      <vt:variant>
        <vt:i4>27</vt:i4>
      </vt:variant>
      <vt:variant>
        <vt:i4>0</vt:i4>
      </vt:variant>
      <vt:variant>
        <vt:i4>5</vt:i4>
      </vt:variant>
      <vt:variant>
        <vt:lpwstr>https://europa.eu/eurobarometer/surveys/detail/2972</vt:lpwstr>
      </vt:variant>
      <vt:variant>
        <vt:lpwstr/>
      </vt:variant>
      <vt:variant>
        <vt:i4>4456520</vt:i4>
      </vt:variant>
      <vt:variant>
        <vt:i4>24</vt:i4>
      </vt:variant>
      <vt:variant>
        <vt:i4>0</vt:i4>
      </vt:variant>
      <vt:variant>
        <vt:i4>5</vt:i4>
      </vt:variant>
      <vt:variant>
        <vt:lpwstr>https://ec.europa.eu/eurostat/web/products-eurostat-news/w/ddn-20240222-1</vt:lpwstr>
      </vt:variant>
      <vt:variant>
        <vt:lpwstr/>
      </vt:variant>
      <vt:variant>
        <vt:i4>5832725</vt:i4>
      </vt:variant>
      <vt:variant>
        <vt:i4>21</vt:i4>
      </vt:variant>
      <vt:variant>
        <vt:i4>0</vt:i4>
      </vt:variant>
      <vt:variant>
        <vt:i4>5</vt:i4>
      </vt:variant>
      <vt:variant>
        <vt:lpwstr>https://ec.europa.eu/eurostat/statistics-explained/index.php?oldid=685132</vt:lpwstr>
      </vt:variant>
      <vt:variant>
        <vt:lpwstr/>
      </vt:variant>
      <vt:variant>
        <vt:i4>5832725</vt:i4>
      </vt:variant>
      <vt:variant>
        <vt:i4>18</vt:i4>
      </vt:variant>
      <vt:variant>
        <vt:i4>0</vt:i4>
      </vt:variant>
      <vt:variant>
        <vt:i4>5</vt:i4>
      </vt:variant>
      <vt:variant>
        <vt:lpwstr>https://ec.europa.eu/eurostat/statistics-explained/index.php?oldid=685132</vt:lpwstr>
      </vt:variant>
      <vt:variant>
        <vt:lpwstr/>
      </vt:variant>
      <vt:variant>
        <vt:i4>7929927</vt:i4>
      </vt:variant>
      <vt:variant>
        <vt:i4>15</vt:i4>
      </vt:variant>
      <vt:variant>
        <vt:i4>0</vt:i4>
      </vt:variant>
      <vt:variant>
        <vt:i4>5</vt:i4>
      </vt:variant>
      <vt:variant>
        <vt:lpwstr>https://commission.europa.eu/strategy-and-policy/strategic-foresight/2025-strategic-foresight-report_en</vt:lpwstr>
      </vt:variant>
      <vt:variant>
        <vt:lpwstr/>
      </vt:variant>
      <vt:variant>
        <vt:i4>4063292</vt:i4>
      </vt:variant>
      <vt:variant>
        <vt:i4>12</vt:i4>
      </vt:variant>
      <vt:variant>
        <vt:i4>0</vt:i4>
      </vt:variant>
      <vt:variant>
        <vt:i4>5</vt:i4>
      </vt:variant>
      <vt:variant>
        <vt:lpwstr>https://www.espas.eu/files/2025/ESPAS Foresight paper - Inter-generational fairness.pdf</vt:lpwstr>
      </vt:variant>
      <vt:variant>
        <vt:lpwstr/>
      </vt:variant>
      <vt:variant>
        <vt:i4>655459</vt:i4>
      </vt:variant>
      <vt:variant>
        <vt:i4>9</vt:i4>
      </vt:variant>
      <vt:variant>
        <vt:i4>0</vt:i4>
      </vt:variant>
      <vt:variant>
        <vt:i4>5</vt:i4>
      </vt:variant>
      <vt:variant>
        <vt:lpwstr>https://knowledge4policy.ec.europa.eu/foresight/tool/megatrends-hub_en</vt:lpwstr>
      </vt:variant>
      <vt:variant>
        <vt:lpwstr/>
      </vt:variant>
      <vt:variant>
        <vt:i4>6160450</vt:i4>
      </vt:variant>
      <vt:variant>
        <vt:i4>6</vt:i4>
      </vt:variant>
      <vt:variant>
        <vt:i4>0</vt:i4>
      </vt:variant>
      <vt:variant>
        <vt:i4>5</vt:i4>
      </vt:variant>
      <vt:variant>
        <vt:lpwstr>https://www.un.org/en/summit-of-the-future/declaration-on-future-generations</vt:lpwstr>
      </vt:variant>
      <vt:variant>
        <vt:lpwstr/>
      </vt:variant>
      <vt:variant>
        <vt:i4>7667742</vt:i4>
      </vt:variant>
      <vt:variant>
        <vt:i4>3</vt:i4>
      </vt:variant>
      <vt:variant>
        <vt:i4>0</vt:i4>
      </vt:variant>
      <vt:variant>
        <vt:i4>5</vt:i4>
      </vt:variant>
      <vt:variant>
        <vt:lpwstr>https://citizens.ec.europa.eu/european-citizens-panels/citizens-panel-intergenerational-fairness_en</vt:lpwstr>
      </vt:variant>
      <vt:variant>
        <vt:lpwstr/>
      </vt:variant>
      <vt:variant>
        <vt:i4>3670133</vt:i4>
      </vt:variant>
      <vt:variant>
        <vt:i4>0</vt:i4>
      </vt:variant>
      <vt:variant>
        <vt:i4>0</vt:i4>
      </vt:variant>
      <vt:variant>
        <vt:i4>5</vt:i4>
      </vt:variant>
      <vt:variant>
        <vt:lpwstr>https://policy-lab.ec.europa.eu/intergenerational-fairness</vt:lpwstr>
      </vt:variant>
      <vt:variant>
        <vt:lpwstr/>
      </vt:variant>
      <vt:variant>
        <vt:i4>6094968</vt:i4>
      </vt:variant>
      <vt:variant>
        <vt:i4>117</vt:i4>
      </vt:variant>
      <vt:variant>
        <vt:i4>0</vt:i4>
      </vt:variant>
      <vt:variant>
        <vt:i4>5</vt:i4>
      </vt:variant>
      <vt:variant>
        <vt:lpwstr>mailto:Annukka.OJALA@ec.europa.eu</vt:lpwstr>
      </vt:variant>
      <vt:variant>
        <vt:lpwstr/>
      </vt:variant>
      <vt:variant>
        <vt:i4>1703985</vt:i4>
      </vt:variant>
      <vt:variant>
        <vt:i4>114</vt:i4>
      </vt:variant>
      <vt:variant>
        <vt:i4>0</vt:i4>
      </vt:variant>
      <vt:variant>
        <vt:i4>5</vt:i4>
      </vt:variant>
      <vt:variant>
        <vt:lpwstr>mailto:Triinu.VOLMER@ec.europa.eu</vt:lpwstr>
      </vt:variant>
      <vt:variant>
        <vt:lpwstr/>
      </vt:variant>
      <vt:variant>
        <vt:i4>8323152</vt:i4>
      </vt:variant>
      <vt:variant>
        <vt:i4>111</vt:i4>
      </vt:variant>
      <vt:variant>
        <vt:i4>0</vt:i4>
      </vt:variant>
      <vt:variant>
        <vt:i4>5</vt:i4>
      </vt:variant>
      <vt:variant>
        <vt:lpwstr>mailto:Max.UEBE@ec.europa.eu</vt:lpwstr>
      </vt:variant>
      <vt:variant>
        <vt:lpwstr/>
      </vt:variant>
      <vt:variant>
        <vt:i4>4063258</vt:i4>
      </vt:variant>
      <vt:variant>
        <vt:i4>108</vt:i4>
      </vt:variant>
      <vt:variant>
        <vt:i4>0</vt:i4>
      </vt:variant>
      <vt:variant>
        <vt:i4>5</vt:i4>
      </vt:variant>
      <vt:variant>
        <vt:lpwstr>mailto:Eva.SCHULTZ@ec.europa.eu</vt:lpwstr>
      </vt:variant>
      <vt:variant>
        <vt:lpwstr/>
      </vt:variant>
      <vt:variant>
        <vt:i4>1703985</vt:i4>
      </vt:variant>
      <vt:variant>
        <vt:i4>105</vt:i4>
      </vt:variant>
      <vt:variant>
        <vt:i4>0</vt:i4>
      </vt:variant>
      <vt:variant>
        <vt:i4>5</vt:i4>
      </vt:variant>
      <vt:variant>
        <vt:lpwstr>mailto:Triinu.VOLMER@ec.europa.eu</vt:lpwstr>
      </vt:variant>
      <vt:variant>
        <vt:lpwstr/>
      </vt:variant>
      <vt:variant>
        <vt:i4>1703985</vt:i4>
      </vt:variant>
      <vt:variant>
        <vt:i4>102</vt:i4>
      </vt:variant>
      <vt:variant>
        <vt:i4>0</vt:i4>
      </vt:variant>
      <vt:variant>
        <vt:i4>5</vt:i4>
      </vt:variant>
      <vt:variant>
        <vt:lpwstr>mailto:Triinu.VOLMER@ec.europa.eu</vt:lpwstr>
      </vt:variant>
      <vt:variant>
        <vt:lpwstr/>
      </vt:variant>
      <vt:variant>
        <vt:i4>7864347</vt:i4>
      </vt:variant>
      <vt:variant>
        <vt:i4>99</vt:i4>
      </vt:variant>
      <vt:variant>
        <vt:i4>0</vt:i4>
      </vt:variant>
      <vt:variant>
        <vt:i4>5</vt:i4>
      </vt:variant>
      <vt:variant>
        <vt:lpwstr>mailto:Ionut-Catalin.GHERAN@ec.europa.eu</vt:lpwstr>
      </vt:variant>
      <vt:variant>
        <vt:lpwstr/>
      </vt:variant>
      <vt:variant>
        <vt:i4>2687057</vt:i4>
      </vt:variant>
      <vt:variant>
        <vt:i4>96</vt:i4>
      </vt:variant>
      <vt:variant>
        <vt:i4>0</vt:i4>
      </vt:variant>
      <vt:variant>
        <vt:i4>5</vt:i4>
      </vt:variant>
      <vt:variant>
        <vt:lpwstr>mailto:Vanessa.DEBIAIS-SAINTON@ec.europa.eu</vt:lpwstr>
      </vt:variant>
      <vt:variant>
        <vt:lpwstr/>
      </vt:variant>
      <vt:variant>
        <vt:i4>7864347</vt:i4>
      </vt:variant>
      <vt:variant>
        <vt:i4>93</vt:i4>
      </vt:variant>
      <vt:variant>
        <vt:i4>0</vt:i4>
      </vt:variant>
      <vt:variant>
        <vt:i4>5</vt:i4>
      </vt:variant>
      <vt:variant>
        <vt:lpwstr>mailto:Ionut-Catalin.GHERAN@ec.europa.eu</vt:lpwstr>
      </vt:variant>
      <vt:variant>
        <vt:lpwstr/>
      </vt:variant>
      <vt:variant>
        <vt:i4>4063258</vt:i4>
      </vt:variant>
      <vt:variant>
        <vt:i4>90</vt:i4>
      </vt:variant>
      <vt:variant>
        <vt:i4>0</vt:i4>
      </vt:variant>
      <vt:variant>
        <vt:i4>5</vt:i4>
      </vt:variant>
      <vt:variant>
        <vt:lpwstr>mailto:Eva.SCHULTZ@ec.europa.eu</vt:lpwstr>
      </vt:variant>
      <vt:variant>
        <vt:lpwstr/>
      </vt:variant>
      <vt:variant>
        <vt:i4>1703985</vt:i4>
      </vt:variant>
      <vt:variant>
        <vt:i4>87</vt:i4>
      </vt:variant>
      <vt:variant>
        <vt:i4>0</vt:i4>
      </vt:variant>
      <vt:variant>
        <vt:i4>5</vt:i4>
      </vt:variant>
      <vt:variant>
        <vt:lpwstr>mailto:Triinu.VOLMER@ec.europa.eu</vt:lpwstr>
      </vt:variant>
      <vt:variant>
        <vt:lpwstr/>
      </vt:variant>
      <vt:variant>
        <vt:i4>7864347</vt:i4>
      </vt:variant>
      <vt:variant>
        <vt:i4>84</vt:i4>
      </vt:variant>
      <vt:variant>
        <vt:i4>0</vt:i4>
      </vt:variant>
      <vt:variant>
        <vt:i4>5</vt:i4>
      </vt:variant>
      <vt:variant>
        <vt:lpwstr>mailto:Ionut-Catalin.GHERAN@ec.europa.eu</vt:lpwstr>
      </vt:variant>
      <vt:variant>
        <vt:lpwstr/>
      </vt:variant>
      <vt:variant>
        <vt:i4>3604495</vt:i4>
      </vt:variant>
      <vt:variant>
        <vt:i4>81</vt:i4>
      </vt:variant>
      <vt:variant>
        <vt:i4>0</vt:i4>
      </vt:variant>
      <vt:variant>
        <vt:i4>5</vt:i4>
      </vt:variant>
      <vt:variant>
        <vt:lpwstr>mailto:Francesco.CORTI@ec.europa.eu</vt:lpwstr>
      </vt:variant>
      <vt:variant>
        <vt:lpwstr/>
      </vt:variant>
      <vt:variant>
        <vt:i4>7864347</vt:i4>
      </vt:variant>
      <vt:variant>
        <vt:i4>78</vt:i4>
      </vt:variant>
      <vt:variant>
        <vt:i4>0</vt:i4>
      </vt:variant>
      <vt:variant>
        <vt:i4>5</vt:i4>
      </vt:variant>
      <vt:variant>
        <vt:lpwstr>mailto:Ionut-Catalin.GHERAN@ec.europa.eu</vt:lpwstr>
      </vt:variant>
      <vt:variant>
        <vt:lpwstr/>
      </vt:variant>
      <vt:variant>
        <vt:i4>6029418</vt:i4>
      </vt:variant>
      <vt:variant>
        <vt:i4>75</vt:i4>
      </vt:variant>
      <vt:variant>
        <vt:i4>0</vt:i4>
      </vt:variant>
      <vt:variant>
        <vt:i4>5</vt:i4>
      </vt:variant>
      <vt:variant>
        <vt:lpwstr>mailto:Paul.MOLEY@ec.europa.eu</vt:lpwstr>
      </vt:variant>
      <vt:variant>
        <vt:lpwstr/>
      </vt:variant>
      <vt:variant>
        <vt:i4>6029418</vt:i4>
      </vt:variant>
      <vt:variant>
        <vt:i4>72</vt:i4>
      </vt:variant>
      <vt:variant>
        <vt:i4>0</vt:i4>
      </vt:variant>
      <vt:variant>
        <vt:i4>5</vt:i4>
      </vt:variant>
      <vt:variant>
        <vt:lpwstr>mailto:Paul.MOLEY@ec.europa.eu</vt:lpwstr>
      </vt:variant>
      <vt:variant>
        <vt:lpwstr/>
      </vt:variant>
      <vt:variant>
        <vt:i4>4063258</vt:i4>
      </vt:variant>
      <vt:variant>
        <vt:i4>69</vt:i4>
      </vt:variant>
      <vt:variant>
        <vt:i4>0</vt:i4>
      </vt:variant>
      <vt:variant>
        <vt:i4>5</vt:i4>
      </vt:variant>
      <vt:variant>
        <vt:lpwstr>mailto:Eva.SCHULTZ@ec.europa.eu</vt:lpwstr>
      </vt:variant>
      <vt:variant>
        <vt:lpwstr/>
      </vt:variant>
      <vt:variant>
        <vt:i4>2687057</vt:i4>
      </vt:variant>
      <vt:variant>
        <vt:i4>66</vt:i4>
      </vt:variant>
      <vt:variant>
        <vt:i4>0</vt:i4>
      </vt:variant>
      <vt:variant>
        <vt:i4>5</vt:i4>
      </vt:variant>
      <vt:variant>
        <vt:lpwstr>mailto:Vanessa.DEBIAIS-SAINTON@ec.europa.eu</vt:lpwstr>
      </vt:variant>
      <vt:variant>
        <vt:lpwstr/>
      </vt:variant>
      <vt:variant>
        <vt:i4>4063258</vt:i4>
      </vt:variant>
      <vt:variant>
        <vt:i4>63</vt:i4>
      </vt:variant>
      <vt:variant>
        <vt:i4>0</vt:i4>
      </vt:variant>
      <vt:variant>
        <vt:i4>5</vt:i4>
      </vt:variant>
      <vt:variant>
        <vt:lpwstr>mailto:Eva.SCHULTZ@ec.europa.eu</vt:lpwstr>
      </vt:variant>
      <vt:variant>
        <vt:lpwstr/>
      </vt:variant>
      <vt:variant>
        <vt:i4>3604495</vt:i4>
      </vt:variant>
      <vt:variant>
        <vt:i4>60</vt:i4>
      </vt:variant>
      <vt:variant>
        <vt:i4>0</vt:i4>
      </vt:variant>
      <vt:variant>
        <vt:i4>5</vt:i4>
      </vt:variant>
      <vt:variant>
        <vt:lpwstr>mailto:Francesco.CORTI@ec.europa.eu</vt:lpwstr>
      </vt:variant>
      <vt:variant>
        <vt:lpwstr/>
      </vt:variant>
      <vt:variant>
        <vt:i4>4063258</vt:i4>
      </vt:variant>
      <vt:variant>
        <vt:i4>57</vt:i4>
      </vt:variant>
      <vt:variant>
        <vt:i4>0</vt:i4>
      </vt:variant>
      <vt:variant>
        <vt:i4>5</vt:i4>
      </vt:variant>
      <vt:variant>
        <vt:lpwstr>mailto:Eva.SCHULTZ@ec.europa.eu</vt:lpwstr>
      </vt:variant>
      <vt:variant>
        <vt:lpwstr/>
      </vt:variant>
      <vt:variant>
        <vt:i4>6094968</vt:i4>
      </vt:variant>
      <vt:variant>
        <vt:i4>54</vt:i4>
      </vt:variant>
      <vt:variant>
        <vt:i4>0</vt:i4>
      </vt:variant>
      <vt:variant>
        <vt:i4>5</vt:i4>
      </vt:variant>
      <vt:variant>
        <vt:lpwstr>mailto:Annukka.OJALA@ec.europa.eu</vt:lpwstr>
      </vt:variant>
      <vt:variant>
        <vt:lpwstr/>
      </vt:variant>
      <vt:variant>
        <vt:i4>2490437</vt:i4>
      </vt:variant>
      <vt:variant>
        <vt:i4>51</vt:i4>
      </vt:variant>
      <vt:variant>
        <vt:i4>0</vt:i4>
      </vt:variant>
      <vt:variant>
        <vt:i4>5</vt:i4>
      </vt:variant>
      <vt:variant>
        <vt:lpwstr>mailto:Sonia.VILA-NUNEZ@ec.europa.eu</vt:lpwstr>
      </vt:variant>
      <vt:variant>
        <vt:lpwstr/>
      </vt:variant>
      <vt:variant>
        <vt:i4>1703985</vt:i4>
      </vt:variant>
      <vt:variant>
        <vt:i4>48</vt:i4>
      </vt:variant>
      <vt:variant>
        <vt:i4>0</vt:i4>
      </vt:variant>
      <vt:variant>
        <vt:i4>5</vt:i4>
      </vt:variant>
      <vt:variant>
        <vt:lpwstr>mailto:Triinu.VOLMER@ec.europa.eu</vt:lpwstr>
      </vt:variant>
      <vt:variant>
        <vt:lpwstr/>
      </vt:variant>
      <vt:variant>
        <vt:i4>6029418</vt:i4>
      </vt:variant>
      <vt:variant>
        <vt:i4>45</vt:i4>
      </vt:variant>
      <vt:variant>
        <vt:i4>0</vt:i4>
      </vt:variant>
      <vt:variant>
        <vt:i4>5</vt:i4>
      </vt:variant>
      <vt:variant>
        <vt:lpwstr>mailto:Paul.MOLEY@ec.europa.eu</vt:lpwstr>
      </vt:variant>
      <vt:variant>
        <vt:lpwstr/>
      </vt:variant>
      <vt:variant>
        <vt:i4>4063258</vt:i4>
      </vt:variant>
      <vt:variant>
        <vt:i4>42</vt:i4>
      </vt:variant>
      <vt:variant>
        <vt:i4>0</vt:i4>
      </vt:variant>
      <vt:variant>
        <vt:i4>5</vt:i4>
      </vt:variant>
      <vt:variant>
        <vt:lpwstr>mailto:Eva.SCHULTZ@ec.europa.eu</vt:lpwstr>
      </vt:variant>
      <vt:variant>
        <vt:lpwstr/>
      </vt:variant>
      <vt:variant>
        <vt:i4>4063258</vt:i4>
      </vt:variant>
      <vt:variant>
        <vt:i4>39</vt:i4>
      </vt:variant>
      <vt:variant>
        <vt:i4>0</vt:i4>
      </vt:variant>
      <vt:variant>
        <vt:i4>5</vt:i4>
      </vt:variant>
      <vt:variant>
        <vt:lpwstr>mailto:Eva.SCHULTZ@ec.europa.eu</vt:lpwstr>
      </vt:variant>
      <vt:variant>
        <vt:lpwstr/>
      </vt:variant>
      <vt:variant>
        <vt:i4>4063258</vt:i4>
      </vt:variant>
      <vt:variant>
        <vt:i4>36</vt:i4>
      </vt:variant>
      <vt:variant>
        <vt:i4>0</vt:i4>
      </vt:variant>
      <vt:variant>
        <vt:i4>5</vt:i4>
      </vt:variant>
      <vt:variant>
        <vt:lpwstr>mailto:Eva.SCHULTZ@ec.europa.eu</vt:lpwstr>
      </vt:variant>
      <vt:variant>
        <vt:lpwstr/>
      </vt:variant>
      <vt:variant>
        <vt:i4>4063258</vt:i4>
      </vt:variant>
      <vt:variant>
        <vt:i4>33</vt:i4>
      </vt:variant>
      <vt:variant>
        <vt:i4>0</vt:i4>
      </vt:variant>
      <vt:variant>
        <vt:i4>5</vt:i4>
      </vt:variant>
      <vt:variant>
        <vt:lpwstr>mailto:Eva.SCHULTZ@ec.europa.eu</vt:lpwstr>
      </vt:variant>
      <vt:variant>
        <vt:lpwstr/>
      </vt:variant>
      <vt:variant>
        <vt:i4>6094968</vt:i4>
      </vt:variant>
      <vt:variant>
        <vt:i4>30</vt:i4>
      </vt:variant>
      <vt:variant>
        <vt:i4>0</vt:i4>
      </vt:variant>
      <vt:variant>
        <vt:i4>5</vt:i4>
      </vt:variant>
      <vt:variant>
        <vt:lpwstr>mailto:Annukka.OJALA@ec.europa.eu</vt:lpwstr>
      </vt:variant>
      <vt:variant>
        <vt:lpwstr/>
      </vt:variant>
      <vt:variant>
        <vt:i4>1703985</vt:i4>
      </vt:variant>
      <vt:variant>
        <vt:i4>27</vt:i4>
      </vt:variant>
      <vt:variant>
        <vt:i4>0</vt:i4>
      </vt:variant>
      <vt:variant>
        <vt:i4>5</vt:i4>
      </vt:variant>
      <vt:variant>
        <vt:lpwstr>mailto:Triinu.VOLMER@ec.europa.eu</vt:lpwstr>
      </vt:variant>
      <vt:variant>
        <vt:lpwstr/>
      </vt:variant>
      <vt:variant>
        <vt:i4>6094968</vt:i4>
      </vt:variant>
      <vt:variant>
        <vt:i4>24</vt:i4>
      </vt:variant>
      <vt:variant>
        <vt:i4>0</vt:i4>
      </vt:variant>
      <vt:variant>
        <vt:i4>5</vt:i4>
      </vt:variant>
      <vt:variant>
        <vt:lpwstr>mailto:Annukka.OJALA@ec.europa.eu</vt:lpwstr>
      </vt:variant>
      <vt:variant>
        <vt:lpwstr/>
      </vt:variant>
      <vt:variant>
        <vt:i4>8323152</vt:i4>
      </vt:variant>
      <vt:variant>
        <vt:i4>21</vt:i4>
      </vt:variant>
      <vt:variant>
        <vt:i4>0</vt:i4>
      </vt:variant>
      <vt:variant>
        <vt:i4>5</vt:i4>
      </vt:variant>
      <vt:variant>
        <vt:lpwstr>mailto:Max.UEBE@ec.europa.eu</vt:lpwstr>
      </vt:variant>
      <vt:variant>
        <vt:lpwstr/>
      </vt:variant>
      <vt:variant>
        <vt:i4>2687057</vt:i4>
      </vt:variant>
      <vt:variant>
        <vt:i4>18</vt:i4>
      </vt:variant>
      <vt:variant>
        <vt:i4>0</vt:i4>
      </vt:variant>
      <vt:variant>
        <vt:i4>5</vt:i4>
      </vt:variant>
      <vt:variant>
        <vt:lpwstr>mailto:Vanessa.DEBIAIS-SAINTON@ec.europa.eu</vt:lpwstr>
      </vt:variant>
      <vt:variant>
        <vt:lpwstr/>
      </vt:variant>
      <vt:variant>
        <vt:i4>6029418</vt:i4>
      </vt:variant>
      <vt:variant>
        <vt:i4>15</vt:i4>
      </vt:variant>
      <vt:variant>
        <vt:i4>0</vt:i4>
      </vt:variant>
      <vt:variant>
        <vt:i4>5</vt:i4>
      </vt:variant>
      <vt:variant>
        <vt:lpwstr>mailto:Paul.MOLEY@ec.europa.eu</vt:lpwstr>
      </vt:variant>
      <vt:variant>
        <vt:lpwstr/>
      </vt:variant>
      <vt:variant>
        <vt:i4>8323152</vt:i4>
      </vt:variant>
      <vt:variant>
        <vt:i4>12</vt:i4>
      </vt:variant>
      <vt:variant>
        <vt:i4>0</vt:i4>
      </vt:variant>
      <vt:variant>
        <vt:i4>5</vt:i4>
      </vt:variant>
      <vt:variant>
        <vt:lpwstr>mailto:Max.UEBE@ec.europa.eu</vt:lpwstr>
      </vt:variant>
      <vt:variant>
        <vt:lpwstr/>
      </vt:variant>
      <vt:variant>
        <vt:i4>4063258</vt:i4>
      </vt:variant>
      <vt:variant>
        <vt:i4>9</vt:i4>
      </vt:variant>
      <vt:variant>
        <vt:i4>0</vt:i4>
      </vt:variant>
      <vt:variant>
        <vt:i4>5</vt:i4>
      </vt:variant>
      <vt:variant>
        <vt:lpwstr>mailto:Eva.SCHULTZ@ec.europa.eu</vt:lpwstr>
      </vt:variant>
      <vt:variant>
        <vt:lpwstr/>
      </vt:variant>
      <vt:variant>
        <vt:i4>4063258</vt:i4>
      </vt:variant>
      <vt:variant>
        <vt:i4>6</vt:i4>
      </vt:variant>
      <vt:variant>
        <vt:i4>0</vt:i4>
      </vt:variant>
      <vt:variant>
        <vt:i4>5</vt:i4>
      </vt:variant>
      <vt:variant>
        <vt:lpwstr>mailto:Eva.SCHULTZ@ec.europa.eu</vt:lpwstr>
      </vt:variant>
      <vt:variant>
        <vt:lpwstr/>
      </vt:variant>
      <vt:variant>
        <vt:i4>6029418</vt:i4>
      </vt:variant>
      <vt:variant>
        <vt:i4>3</vt:i4>
      </vt:variant>
      <vt:variant>
        <vt:i4>0</vt:i4>
      </vt:variant>
      <vt:variant>
        <vt:i4>5</vt:i4>
      </vt:variant>
      <vt:variant>
        <vt:lpwstr>mailto:Paul.MOLEY@ec.europa.eu</vt:lpwstr>
      </vt:variant>
      <vt:variant>
        <vt:lpwstr/>
      </vt:variant>
      <vt:variant>
        <vt:i4>6094968</vt:i4>
      </vt:variant>
      <vt:variant>
        <vt:i4>0</vt:i4>
      </vt:variant>
      <vt:variant>
        <vt:i4>0</vt:i4>
      </vt:variant>
      <vt:variant>
        <vt:i4>5</vt:i4>
      </vt:variant>
      <vt:variant>
        <vt:lpwstr>mailto:Annukka.OJALA@ec.europa.eu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2026-03-03T13:41:00Z</dcterms:created>
  <dcterms:modified xsi:type="dcterms:W3CDTF">2026-03-10T07:16:00Z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9.2, Build 20250828</vt:lpwstr>
  </property>
  <property fmtid="{D5CDD505-2E9C-101B-9397-08002B2CF9AE}" pid="4" name="MSIP_Label_6bd9ddd1-4d20-43f6-abfa-fc3c07406f94_Enabled">
    <vt:lpwstr>true</vt:lpwstr>
  </property>
  <property fmtid="{D5CDD505-2E9C-101B-9397-08002B2CF9AE}" pid="5" name="MSIP_Label_6bd9ddd1-4d20-43f6-abfa-fc3c07406f94_SetDate">
    <vt:lpwstr>2026-03-02T08:48:29Z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31cd12e0-f7df-4c0a-8173-91bab1bf8500</vt:lpwstr>
  </property>
  <property fmtid="{D5CDD505-2E9C-101B-9397-08002B2CF9AE}" pid="10" name="MSIP_Label_6bd9ddd1-4d20-43f6-abfa-fc3c07406f94_ContentBits">
    <vt:lpwstr>0</vt:lpwstr>
  </property>
  <property fmtid="{D5CDD505-2E9C-101B-9397-08002B2CF9AE}" pid="11" name="MSIP_Label_6bd9ddd1-4d20-43f6-abfa-fc3c07406f94_Tag">
    <vt:lpwstr>10, 3, 0, 1</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CP-014</vt:lpwstr>
  </property>
  <property name="OP_sanitized" fmtid="{D5CDD505-2E9C-101B-9397-08002B2CF9AE}" pid="16">
    <vt:lpwstr>True</vt:lpwstr>
  </property>
</Properties>
</file>