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F2" w:rsidRPr="006A7C0E" w:rsidRDefault="005D2203" w:rsidP="005D2203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9652B083-FC74-4177-A522-3FCCB4E38D00" style="width:455.25pt;height:355.5pt">
            <v:imagedata r:id="rId11" o:title=""/>
          </v:shape>
        </w:pict>
      </w:r>
    </w:p>
    <w:p w:rsidR="00A93BF2" w:rsidRPr="006A7C0E" w:rsidRDefault="00A93BF2" w:rsidP="00A93BF2">
      <w:pPr>
        <w:rPr>
          <w:noProof/>
        </w:rPr>
        <w:sectPr w:rsidR="00A93BF2" w:rsidRPr="006A7C0E" w:rsidSect="005D220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A93BF2" w:rsidRPr="006A7C0E" w:rsidRDefault="00A93BF2" w:rsidP="0010030D">
      <w:pPr>
        <w:pStyle w:val="Exposdesmotifstitre"/>
        <w:rPr>
          <w:noProof/>
        </w:rPr>
      </w:pPr>
      <w:bookmarkStart w:id="0" w:name="_GoBack"/>
      <w:bookmarkEnd w:id="0"/>
      <w:r w:rsidRPr="006A7C0E">
        <w:rPr>
          <w:noProof/>
        </w:rPr>
        <w:lastRenderedPageBreak/>
        <w:t>DŮVODOVÁ ZPRÁVA</w:t>
      </w:r>
    </w:p>
    <w:p w:rsidR="00A93BF2" w:rsidRPr="006A7C0E" w:rsidRDefault="00426077" w:rsidP="00426077">
      <w:pPr>
        <w:pStyle w:val="ManualHeading1"/>
        <w:rPr>
          <w:rFonts w:eastAsia="Arial Unicode MS"/>
          <w:noProof/>
        </w:rPr>
      </w:pPr>
      <w:r w:rsidRPr="00426077">
        <w:rPr>
          <w:noProof/>
        </w:rPr>
        <w:t>1.</w:t>
      </w:r>
      <w:r w:rsidRPr="00426077">
        <w:rPr>
          <w:noProof/>
        </w:rPr>
        <w:tab/>
      </w:r>
      <w:r w:rsidR="00A93BF2" w:rsidRPr="006A7C0E">
        <w:rPr>
          <w:noProof/>
        </w:rPr>
        <w:t>Předmět návrhu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 xml:space="preserve">Tento návrh se týká rozhodnutí o postoji, který má být zaujat jménem Unie v Mezinárodní radě pro obiloviny v souvislosti s plánovaným přijetím prodloužení </w:t>
      </w:r>
      <w:r w:rsidRPr="006A7C0E">
        <w:rPr>
          <w:b/>
          <w:noProof/>
        </w:rPr>
        <w:t>Úmluvy o obchodu s obilovinami</w:t>
      </w:r>
      <w:r w:rsidRPr="006A7C0E">
        <w:rPr>
          <w:noProof/>
        </w:rPr>
        <w:t xml:space="preserve"> z roku 1995 do 30. června 2027.</w:t>
      </w:r>
    </w:p>
    <w:p w:rsidR="00A93BF2" w:rsidRPr="006A7C0E" w:rsidRDefault="00426077" w:rsidP="00426077">
      <w:pPr>
        <w:pStyle w:val="ManualHeading1"/>
        <w:rPr>
          <w:noProof/>
        </w:rPr>
      </w:pPr>
      <w:r w:rsidRPr="00426077">
        <w:rPr>
          <w:noProof/>
        </w:rPr>
        <w:t>2.</w:t>
      </w:r>
      <w:r w:rsidRPr="00426077">
        <w:rPr>
          <w:noProof/>
        </w:rPr>
        <w:tab/>
      </w:r>
      <w:r w:rsidR="00A93BF2" w:rsidRPr="006A7C0E">
        <w:rPr>
          <w:noProof/>
        </w:rPr>
        <w:t>Souvislosti návrhu</w:t>
      </w: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2.1.</w:t>
      </w:r>
      <w:r w:rsidRPr="00426077">
        <w:rPr>
          <w:noProof/>
        </w:rPr>
        <w:tab/>
      </w:r>
      <w:r w:rsidR="00A93BF2" w:rsidRPr="006A7C0E">
        <w:rPr>
          <w:noProof/>
        </w:rPr>
        <w:t>Úmluva o obchodu s obilovinami z roku 1995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Cílem Úmluvy o obchodu s obilovinami z roku 1995 (dále jen „úmluva“) je prohloubit mezinárodní spolupráci ve všech aspektech obchodu s obilovinami, podpořit rozšíření mezinárodního obchodu s obilovinami a zabezpečit co možná nejplynulejší tok obchodu v této oblasti. Úmluva má dále v co nejvyšší možné míře přispět ke stabilitě mezinárodních trhů s obilovinami v zájmu všech členů, posílit zabezpečení potravin ve světě a poskytnout fórum pro výměnu informací a projednání obav členů týkajících se obchodu s obilovinami.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 xml:space="preserve">Úmluva vstoupila v platnost dne 1. července 1995. 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Evropská unie je smluvní stranou této úmluvy</w:t>
      </w:r>
      <w:r w:rsidRPr="006A7C0E">
        <w:rPr>
          <w:noProof/>
          <w:vertAlign w:val="superscript"/>
        </w:rPr>
        <w:t>3</w:t>
      </w:r>
      <w:r w:rsidRPr="006A7C0E">
        <w:rPr>
          <w:noProof/>
        </w:rPr>
        <w:t>.</w:t>
      </w:r>
    </w:p>
    <w:p w:rsidR="0048503B" w:rsidRPr="006A7C0E" w:rsidRDefault="0048503B" w:rsidP="0010030D">
      <w:pPr>
        <w:rPr>
          <w:rFonts w:eastAsia="Arial Unicode MS"/>
          <w:noProof/>
        </w:rPr>
      </w:pP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2.2.</w:t>
      </w:r>
      <w:r w:rsidRPr="00426077">
        <w:rPr>
          <w:noProof/>
        </w:rPr>
        <w:tab/>
      </w:r>
      <w:r w:rsidR="00A93BF2" w:rsidRPr="006A7C0E">
        <w:rPr>
          <w:noProof/>
        </w:rPr>
        <w:t>Mezinárodní rada pro obiloviny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Mezinárodní rada pro obiloviny je mezivládní organizace, která usiluje o splnění cílů stanovených v článku 1 úmluvy. Usiluje především o:</w:t>
      </w:r>
    </w:p>
    <w:p w:rsidR="0048503B" w:rsidRPr="006A7C0E" w:rsidRDefault="0048503B" w:rsidP="00681687">
      <w:pPr>
        <w:pStyle w:val="Bullet0"/>
        <w:numPr>
          <w:ilvl w:val="0"/>
          <w:numId w:val="35"/>
        </w:numPr>
        <w:rPr>
          <w:noProof/>
        </w:rPr>
      </w:pPr>
      <w:r w:rsidRPr="006A7C0E">
        <w:rPr>
          <w:noProof/>
        </w:rPr>
        <w:t>prohloubení mezinárodní spolupráce ve všech aspektech obchodu s obilovinami;</w:t>
      </w:r>
    </w:p>
    <w:p w:rsidR="0048503B" w:rsidRPr="006A7C0E" w:rsidRDefault="0048503B" w:rsidP="004A3B30">
      <w:pPr>
        <w:pStyle w:val="Bullet0"/>
        <w:rPr>
          <w:noProof/>
        </w:rPr>
      </w:pPr>
      <w:r w:rsidRPr="006A7C0E">
        <w:rPr>
          <w:noProof/>
        </w:rPr>
        <w:t>podporu rozšiřování, otevřenosti a spravedlnosti mezinárodního obchodu v odvětví obilovin;</w:t>
      </w:r>
    </w:p>
    <w:p w:rsidR="0048503B" w:rsidRPr="006A7C0E" w:rsidRDefault="0048503B" w:rsidP="004A3B30">
      <w:pPr>
        <w:pStyle w:val="Bullet0"/>
        <w:rPr>
          <w:noProof/>
        </w:rPr>
      </w:pPr>
      <w:r w:rsidRPr="006A7C0E">
        <w:rPr>
          <w:noProof/>
        </w:rPr>
        <w:t>přispívání ke stabilitě mezinárodního trhu s obilovinami, posílení zabezpečení potravin ve světě a přispívání k rozvoji zemí, jejichž hospodářství jsou závislá na obchodním prodeji obilovin.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O tyto cíle je usilováno na základě zlepšování transparentnosti trhu prostřednictvím sdílení informací, analýz a konzultací týkajících se vývoje trhu a politiky.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 xml:space="preserve">Mezinárodní rada pro obiloviny se skládá z 30 členů, mezi něž patří mnoho největších pěstitelů i dovozců obilovin na světě. Kromě Evropské unie jsou jejími členy mimo jiné i Argentina, Austrálie, Kanada, Indie, Japonsko, Rusko, Ukrajina, Spojené království a USA. Čína a Brazílie však mezi členy nepatří. 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 xml:space="preserve">Těchto 30 členů Mezinárodní rady pro obiloviny má celkem 2 000 hlasů. 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Při rozpočtových procesech (viz článek 11 úmluvy), tj. při stanovování ročních finančních příspěvků členů, má Unie v období 2024/25 375 hlasů</w:t>
      </w:r>
      <w:r w:rsidRPr="006A7C0E">
        <w:rPr>
          <w:noProof/>
          <w:vertAlign w:val="superscript"/>
        </w:rPr>
        <w:t>4</w:t>
      </w:r>
      <w:r w:rsidRPr="006A7C0E">
        <w:rPr>
          <w:noProof/>
        </w:rPr>
        <w:t xml:space="preserve">. 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Při rozhodování, tj. při hlasování (viz článek 12 úmluvy), je 1 000 hlasů rozděleno mezi 11 vyvážejících členů (včetně Unie s 240 hlasy) a 1 000 hlasů mezi 19 dovážejících členů. Je třeba zdůraznit, že Mezinárodní rada pro obiloviny v zásadě funguje na základě konsensu a k hlasování dochází pouze výjimečně.</w:t>
      </w:r>
    </w:p>
    <w:p w:rsidR="0048503B" w:rsidRPr="006A7C0E" w:rsidRDefault="0048503B" w:rsidP="0010030D">
      <w:pPr>
        <w:rPr>
          <w:noProof/>
        </w:rPr>
      </w:pP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Evropská unie je na schůzích Mezinárodní rady pro obiloviny zastoupena Evropskou komisí. Členské státy se mohou účastnit schůzí Mezinárodní rady pro obiloviny, zejména pak zasedání Rady.</w:t>
      </w: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2.3.</w:t>
      </w:r>
      <w:r w:rsidRPr="00426077">
        <w:rPr>
          <w:noProof/>
        </w:rPr>
        <w:tab/>
      </w:r>
      <w:r w:rsidR="00A93BF2" w:rsidRPr="006A7C0E">
        <w:rPr>
          <w:noProof/>
        </w:rPr>
        <w:t>Zamýšlený akt Mezinárodní rady pro obiloviny</w:t>
      </w:r>
    </w:p>
    <w:p w:rsidR="00A93BF2" w:rsidRPr="006A7C0E" w:rsidRDefault="00A93BF2" w:rsidP="0010030D">
      <w:pPr>
        <w:rPr>
          <w:rFonts w:eastAsia="Arial Unicode MS"/>
          <w:noProof/>
        </w:rPr>
      </w:pP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Dne 12. června 2025 přijme Mezinárodní rada pro obiloviny během 62. zasedání rozhodnutí ohledně prodloužení platnosti úmluvy o dva roky (dále jen „zamýšlený akt“).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Účelem zamýšleného aktu, který vychází z článku 33 úmluvy, je umožnit Mezinárodní radě pro obiloviny pokračování ve své práci.</w:t>
      </w:r>
    </w:p>
    <w:p w:rsidR="0048503B" w:rsidRPr="006A7C0E" w:rsidRDefault="0048503B" w:rsidP="0048503B">
      <w:pPr>
        <w:rPr>
          <w:rFonts w:eastAsia="Arial Unicode MS"/>
          <w:noProof/>
        </w:rPr>
      </w:pPr>
      <w:r w:rsidRPr="006A7C0E">
        <w:rPr>
          <w:noProof/>
        </w:rPr>
        <w:t>Prodloužení platnosti úmluvy se bude týkat období od 1. července 2025 do 30. června 2027.</w:t>
      </w:r>
    </w:p>
    <w:p w:rsidR="00A93BF2" w:rsidRPr="006A7C0E" w:rsidRDefault="00426077" w:rsidP="00426077">
      <w:pPr>
        <w:pStyle w:val="ManualHeading1"/>
        <w:rPr>
          <w:rFonts w:eastAsia="Arial Unicode MS"/>
          <w:noProof/>
        </w:rPr>
      </w:pPr>
      <w:r w:rsidRPr="00426077">
        <w:rPr>
          <w:noProof/>
        </w:rPr>
        <w:t>3.</w:t>
      </w:r>
      <w:r w:rsidRPr="00426077">
        <w:rPr>
          <w:noProof/>
        </w:rPr>
        <w:tab/>
      </w:r>
      <w:r w:rsidR="00A93BF2" w:rsidRPr="006A7C0E">
        <w:rPr>
          <w:noProof/>
        </w:rPr>
        <w:t>Postoj, který má být zaujat jménem Unie</w:t>
      </w:r>
    </w:p>
    <w:p w:rsidR="00A93BF2" w:rsidRPr="006A7C0E" w:rsidRDefault="00A93BF2" w:rsidP="0010030D">
      <w:pPr>
        <w:rPr>
          <w:rFonts w:eastAsia="Arial Unicode MS"/>
          <w:noProof/>
        </w:rPr>
      </w:pPr>
    </w:p>
    <w:p w:rsidR="002C3E05" w:rsidRPr="006A7C0E" w:rsidRDefault="002C3E05" w:rsidP="00B6133D">
      <w:pPr>
        <w:pStyle w:val="Bullet0"/>
        <w:numPr>
          <w:ilvl w:val="0"/>
          <w:numId w:val="18"/>
        </w:numPr>
        <w:rPr>
          <w:noProof/>
        </w:rPr>
      </w:pPr>
      <w:r w:rsidRPr="006A7C0E">
        <w:rPr>
          <w:noProof/>
        </w:rPr>
        <w:t>Úmluvu uzavřela Evropská unie rozhodnutím Rady 96/88/ES</w:t>
      </w:r>
      <w:r w:rsidRPr="006A7C0E">
        <w:rPr>
          <w:noProof/>
          <w:vertAlign w:val="superscript"/>
        </w:rPr>
        <w:t>5</w:t>
      </w:r>
      <w:r w:rsidRPr="006A7C0E">
        <w:rPr>
          <w:noProof/>
        </w:rPr>
        <w:t xml:space="preserve"> s platností do 30. června 1998 a poté byla její platnost pravidelně prodlužována. Úmluva se vždy prodlužuje nejvýše na dvouleté období v souladu s článkem 33 úmluvy. Naposledy byla prodloužena rozhodnutím Mezinárodní rady pro obiloviny 14. června 2023 a zůstává v platnosti do 30. června 2025. </w:t>
      </w:r>
    </w:p>
    <w:p w:rsidR="002C3E05" w:rsidRPr="006A7C0E" w:rsidRDefault="002C3E05" w:rsidP="00291C68">
      <w:pPr>
        <w:pStyle w:val="Bullet0"/>
        <w:rPr>
          <w:noProof/>
        </w:rPr>
      </w:pPr>
      <w:r w:rsidRPr="006A7C0E">
        <w:rPr>
          <w:noProof/>
        </w:rPr>
        <w:t xml:space="preserve">Evropská unie byla vždy aktivním členem Mezinárodní rady pro obiloviny a další prodloužení platnosti úmluvy o dva roky je v jejím zájmu. Unie je hlavním pěstitelem obilovin a největším vývozcem pšenice a ječmenu a zároveň největším dovozcem kukuřice. </w:t>
      </w:r>
      <w:r w:rsidRPr="006A7C0E">
        <w:rPr>
          <w:noProof/>
        </w:rPr>
        <w:tab/>
      </w:r>
    </w:p>
    <w:p w:rsidR="002C3E05" w:rsidRPr="006A7C0E" w:rsidRDefault="002C3E05" w:rsidP="00291C68">
      <w:pPr>
        <w:pStyle w:val="Bullet0"/>
        <w:rPr>
          <w:noProof/>
        </w:rPr>
      </w:pPr>
      <w:r w:rsidRPr="006A7C0E">
        <w:rPr>
          <w:noProof/>
        </w:rPr>
        <w:t>Účelem tohoto návrhu je získat pro Komisi zmocnění Rady k hlasování jménem Evropské unie pro prodloužení úmluvy do 30. června 2027 v Mezinárodní radě pro obiloviny. Formální rozhodnutí o prodloužení úmluvy je plánováno na 62. zasedání Mezinárodní rady pro obiloviny, které se bude konat 12. června 2025.</w:t>
      </w:r>
    </w:p>
    <w:p w:rsidR="00A93BF2" w:rsidRPr="006A7C0E" w:rsidRDefault="00426077" w:rsidP="00426077">
      <w:pPr>
        <w:pStyle w:val="ManualHeading1"/>
        <w:rPr>
          <w:noProof/>
        </w:rPr>
      </w:pPr>
      <w:r w:rsidRPr="00426077">
        <w:rPr>
          <w:noProof/>
        </w:rPr>
        <w:t>4.</w:t>
      </w:r>
      <w:r w:rsidRPr="00426077">
        <w:rPr>
          <w:noProof/>
        </w:rPr>
        <w:tab/>
      </w:r>
      <w:r w:rsidR="00A93BF2" w:rsidRPr="006A7C0E">
        <w:rPr>
          <w:noProof/>
        </w:rPr>
        <w:t>Právní základ</w:t>
      </w: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4.1.</w:t>
      </w:r>
      <w:r w:rsidRPr="00426077">
        <w:rPr>
          <w:noProof/>
        </w:rPr>
        <w:tab/>
      </w:r>
      <w:r w:rsidR="00A93BF2" w:rsidRPr="006A7C0E">
        <w:rPr>
          <w:noProof/>
        </w:rPr>
        <w:t>Procesněprávní základ</w:t>
      </w:r>
    </w:p>
    <w:p w:rsidR="00A93BF2" w:rsidRPr="006A7C0E" w:rsidRDefault="00426077" w:rsidP="00426077">
      <w:pPr>
        <w:pStyle w:val="ManualHeading3"/>
        <w:rPr>
          <w:noProof/>
        </w:rPr>
      </w:pPr>
      <w:r w:rsidRPr="00426077">
        <w:rPr>
          <w:noProof/>
        </w:rPr>
        <w:t>4.1.1.</w:t>
      </w:r>
      <w:r w:rsidRPr="00426077">
        <w:rPr>
          <w:noProof/>
        </w:rPr>
        <w:tab/>
      </w:r>
      <w:r w:rsidR="00242C67" w:rsidRPr="006A7C0E">
        <w:rPr>
          <w:noProof/>
        </w:rPr>
        <w:t xml:space="preserve"> Zásady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Ustanovení čl. 218 odst. 9 Smlouvy o fungování Evropské unie (Smlouva o fungování EU) zavádí rozhodnutí, kterými se stanoví „</w:t>
      </w:r>
      <w:r w:rsidRPr="006A7C0E">
        <w:rPr>
          <w:i/>
          <w:noProof/>
        </w:rPr>
        <w:t>postoje, které má jménem Unie zaujmout orgán zřízený dohodou, má-li tento orgán přijímat akty s právními účinky, s výjimkou aktů, které doplňují nebo pozměňují institucionální rámec dohody</w:t>
      </w:r>
      <w:r w:rsidRPr="006A7C0E">
        <w:rPr>
          <w:noProof/>
        </w:rPr>
        <w:t>“.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Pojem „</w:t>
      </w:r>
      <w:r w:rsidRPr="006A7C0E">
        <w:rPr>
          <w:i/>
          <w:noProof/>
        </w:rPr>
        <w:t>akty s právními účinky</w:t>
      </w:r>
      <w:r w:rsidRPr="006A7C0E">
        <w:rPr>
          <w:noProof/>
        </w:rPr>
        <w:t>“ zahrnuje akty, které mají právní účinky na základě pravidel mezinárodního práva, kterými se dotyčný orgán řídí. Zahrnuje rovněž nástroje, které podle mezinárodního práva nemají závazný účinek, ale „</w:t>
      </w:r>
      <w:r w:rsidRPr="006A7C0E">
        <w:rPr>
          <w:i/>
          <w:noProof/>
        </w:rPr>
        <w:t>mohou rozhodujícím způsobem ovlivnit obsah právní úpravy přijaté zákonodárcem Unie</w:t>
      </w:r>
      <w:r w:rsidRPr="006A7C0E">
        <w:rPr>
          <w:noProof/>
        </w:rPr>
        <w:t>“.</w:t>
      </w:r>
      <w:r w:rsidRPr="006A7C0E">
        <w:rPr>
          <w:noProof/>
          <w:vertAlign w:val="superscript"/>
        </w:rPr>
        <w:t>6</w:t>
      </w:r>
    </w:p>
    <w:p w:rsidR="00A93BF2" w:rsidRPr="006A7C0E" w:rsidRDefault="00426077" w:rsidP="00426077">
      <w:pPr>
        <w:pStyle w:val="ManualHeading3"/>
        <w:rPr>
          <w:noProof/>
        </w:rPr>
      </w:pPr>
      <w:r w:rsidRPr="00426077">
        <w:rPr>
          <w:noProof/>
        </w:rPr>
        <w:t>4.1.2.</w:t>
      </w:r>
      <w:r w:rsidRPr="00426077">
        <w:rPr>
          <w:noProof/>
        </w:rPr>
        <w:tab/>
      </w:r>
      <w:r w:rsidR="00242C67" w:rsidRPr="006A7C0E">
        <w:rPr>
          <w:noProof/>
        </w:rPr>
        <w:t xml:space="preserve"> Uplatňování v tomto konkrétním případě</w:t>
      </w:r>
    </w:p>
    <w:p w:rsidR="0084330F" w:rsidRPr="006A7C0E" w:rsidRDefault="0084330F" w:rsidP="0010030D">
      <w:pPr>
        <w:rPr>
          <w:noProof/>
        </w:rPr>
      </w:pPr>
      <w:r w:rsidRPr="006A7C0E">
        <w:rPr>
          <w:noProof/>
        </w:rPr>
        <w:t>Mezinárodní rady pro obiloviny je orgán zřízený Úmluvou o obchodu s obilovinami, 1995.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 xml:space="preserve">Zamýšleným aktem Mezinárodní rady pro obiloviny se prodlužuje platnost úmluvy, která je mezinárodní dohodou závaznou pro Unii. Zamýšlený akt má proto právní účinky. 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Zamýšlený akt nedoplňuje ani nepozměňuje institucionální rámec dohody.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Procesněprávním základem navrhovaného rozhodnutí je tudíž čl. 218 odst. 9 SFEU.</w:t>
      </w:r>
    </w:p>
    <w:p w:rsidR="0084330F" w:rsidRPr="006A7C0E" w:rsidRDefault="0084330F" w:rsidP="0010030D">
      <w:pPr>
        <w:rPr>
          <w:noProof/>
        </w:rPr>
      </w:pP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4.2.</w:t>
      </w:r>
      <w:r w:rsidRPr="00426077">
        <w:rPr>
          <w:noProof/>
        </w:rPr>
        <w:tab/>
      </w:r>
      <w:r w:rsidR="00A93BF2" w:rsidRPr="006A7C0E">
        <w:rPr>
          <w:noProof/>
        </w:rPr>
        <w:t>Hmotněprávní základ</w:t>
      </w:r>
    </w:p>
    <w:p w:rsidR="00A93BF2" w:rsidRPr="006A7C0E" w:rsidRDefault="00426077" w:rsidP="00426077">
      <w:pPr>
        <w:pStyle w:val="ManualHeading3"/>
        <w:rPr>
          <w:noProof/>
        </w:rPr>
      </w:pPr>
      <w:r w:rsidRPr="00426077">
        <w:rPr>
          <w:noProof/>
        </w:rPr>
        <w:t>4.2.1.</w:t>
      </w:r>
      <w:r w:rsidRPr="00426077">
        <w:rPr>
          <w:noProof/>
        </w:rPr>
        <w:tab/>
      </w:r>
      <w:r w:rsidR="00A93BF2" w:rsidRPr="006A7C0E">
        <w:rPr>
          <w:noProof/>
        </w:rPr>
        <w:t>Zásady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Hmotněprávní základ rozhodnutí podle čl. 218 odst. 9 SFEU závisí v první řadě na cíli a obsahu zamýšleného aktu, v jehož souvislosti je postoj jménem Unie zaujat. Sleduje-li zamýšlený akt dvojí účel nebo má-li dvě složky a lze-li jeden z těchto účelů nebo jednu z těchto složek identifikovat jako hlavní, zatímco druhý účel či druhá složka je pouze vedlejší, musí být rozhodnutí přijaté na základě čl. 218 odst. 9 Smlouvy o fungování EU založeno na jediném hmotněprávním základu, a sice na tom, který si žádá hlavní nebo převažující účel či složka.</w:t>
      </w:r>
    </w:p>
    <w:p w:rsidR="0084330F" w:rsidRPr="006A7C0E" w:rsidRDefault="0084330F" w:rsidP="0010030D">
      <w:pPr>
        <w:rPr>
          <w:noProof/>
        </w:rPr>
      </w:pPr>
    </w:p>
    <w:p w:rsidR="00A93BF2" w:rsidRPr="006A7C0E" w:rsidRDefault="00426077" w:rsidP="00426077">
      <w:pPr>
        <w:pStyle w:val="ManualHeading3"/>
        <w:rPr>
          <w:noProof/>
        </w:rPr>
      </w:pPr>
      <w:r w:rsidRPr="00426077">
        <w:rPr>
          <w:noProof/>
        </w:rPr>
        <w:t>4.2.2.</w:t>
      </w:r>
      <w:r w:rsidRPr="00426077">
        <w:rPr>
          <w:noProof/>
        </w:rPr>
        <w:tab/>
      </w:r>
      <w:r w:rsidR="00A93BF2" w:rsidRPr="006A7C0E">
        <w:rPr>
          <w:noProof/>
        </w:rPr>
        <w:t>Uplatňování v tomto konkrétním případě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 xml:space="preserve">Hlavní cíl a obsah zamýšleného aktu se týkají obchodu se zemědělskými produkty. 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Hmotněprávním základem navrhovaného rozhodnutí je tudíž čl. 207 odst. 4. první pododstavec SFEU.</w:t>
      </w:r>
    </w:p>
    <w:p w:rsidR="0084330F" w:rsidRPr="006A7C0E" w:rsidRDefault="0084330F" w:rsidP="0010030D">
      <w:pPr>
        <w:rPr>
          <w:noProof/>
        </w:rPr>
      </w:pPr>
    </w:p>
    <w:p w:rsidR="00A93BF2" w:rsidRPr="006A7C0E" w:rsidRDefault="00426077" w:rsidP="00426077">
      <w:pPr>
        <w:pStyle w:val="ManualHeading2"/>
        <w:rPr>
          <w:noProof/>
        </w:rPr>
      </w:pPr>
      <w:r w:rsidRPr="00426077">
        <w:rPr>
          <w:noProof/>
        </w:rPr>
        <w:t>4.3.</w:t>
      </w:r>
      <w:r w:rsidRPr="00426077">
        <w:rPr>
          <w:noProof/>
        </w:rPr>
        <w:tab/>
      </w:r>
      <w:r w:rsidR="00A93BF2" w:rsidRPr="006A7C0E">
        <w:rPr>
          <w:noProof/>
        </w:rPr>
        <w:t>Závěr</w:t>
      </w:r>
    </w:p>
    <w:p w:rsidR="0084330F" w:rsidRPr="006A7C0E" w:rsidRDefault="0084330F" w:rsidP="0084330F">
      <w:pPr>
        <w:rPr>
          <w:noProof/>
        </w:rPr>
      </w:pPr>
      <w:r w:rsidRPr="006A7C0E">
        <w:rPr>
          <w:noProof/>
        </w:rPr>
        <w:t>Právním základem navrhovaného rozhodnutí by měl být čl. 207 odst. 4. první pododstavec SFEU ve spojení s čl. 218 odst. 9 SFEU.</w:t>
      </w:r>
    </w:p>
    <w:p w:rsidR="0084330F" w:rsidRPr="006A7C0E" w:rsidRDefault="00426077" w:rsidP="00426077">
      <w:pPr>
        <w:pStyle w:val="ManualHeading1"/>
        <w:rPr>
          <w:noProof/>
        </w:rPr>
      </w:pPr>
      <w:r w:rsidRPr="00426077">
        <w:rPr>
          <w:noProof/>
        </w:rPr>
        <w:t>5.</w:t>
      </w:r>
      <w:r w:rsidRPr="00426077">
        <w:rPr>
          <w:noProof/>
        </w:rPr>
        <w:tab/>
      </w:r>
      <w:r w:rsidR="0084330F" w:rsidRPr="006A7C0E">
        <w:rPr>
          <w:noProof/>
        </w:rPr>
        <w:t>Soulad se zásadou „digitalizace jako standard“</w:t>
      </w:r>
    </w:p>
    <w:p w:rsidR="0084330F" w:rsidRPr="006A7C0E" w:rsidRDefault="0084330F" w:rsidP="0084330F">
      <w:pPr>
        <w:pStyle w:val="Text1"/>
        <w:ind w:left="0"/>
        <w:rPr>
          <w:noProof/>
        </w:rPr>
      </w:pPr>
      <w:r w:rsidRPr="006A7C0E">
        <w:rPr>
          <w:noProof/>
        </w:rPr>
        <w:t xml:space="preserve">Podle provedeného digitálního posouzení nemá stávající návrh digitální rozměr, neboť nemá digitální význam. </w:t>
      </w:r>
    </w:p>
    <w:p w:rsidR="0084330F" w:rsidRPr="006A7C0E" w:rsidRDefault="0084330F" w:rsidP="0084330F">
      <w:pPr>
        <w:pStyle w:val="Text1"/>
        <w:ind w:left="0"/>
        <w:rPr>
          <w:noProof/>
        </w:rPr>
      </w:pPr>
      <w:r w:rsidRPr="006A7C0E">
        <w:rPr>
          <w:noProof/>
        </w:rPr>
        <w:t>Návrh stanoví postoj EU k prodloužení mezinárodní dohody, Úmluvy o obchodu s obilovinami z roku 1995, o dva roky do 30. června 2027.</w:t>
      </w:r>
    </w:p>
    <w:p w:rsidR="0084330F" w:rsidRPr="006A7C0E" w:rsidRDefault="0084330F" w:rsidP="0084330F">
      <w:pPr>
        <w:pStyle w:val="Text1"/>
        <w:ind w:left="0"/>
        <w:rPr>
          <w:noProof/>
        </w:rPr>
      </w:pPr>
      <w:r w:rsidRPr="006A7C0E">
        <w:rPr>
          <w:noProof/>
        </w:rPr>
        <w:t>Digitální prostředky nebo výměna údajů do oblasti působnosti návrhu nespadají.</w:t>
      </w:r>
    </w:p>
    <w:p w:rsidR="00D01CAF" w:rsidRPr="006A7C0E" w:rsidRDefault="00D01CAF" w:rsidP="0084330F">
      <w:pPr>
        <w:pStyle w:val="Text1"/>
        <w:ind w:left="0"/>
        <w:rPr>
          <w:noProof/>
        </w:rPr>
      </w:pPr>
    </w:p>
    <w:p w:rsidR="00A93BF2" w:rsidRPr="006A7C0E" w:rsidRDefault="00426077" w:rsidP="00426077">
      <w:pPr>
        <w:pStyle w:val="ManualHeading1"/>
        <w:rPr>
          <w:noProof/>
        </w:rPr>
      </w:pPr>
      <w:r w:rsidRPr="00426077">
        <w:rPr>
          <w:noProof/>
        </w:rPr>
        <w:t>6.</w:t>
      </w:r>
      <w:r w:rsidRPr="00426077">
        <w:rPr>
          <w:noProof/>
        </w:rPr>
        <w:tab/>
      </w:r>
      <w:r w:rsidR="00A93BF2" w:rsidRPr="006A7C0E">
        <w:rPr>
          <w:noProof/>
        </w:rPr>
        <w:t>Zveřejnění zamýšleného aktu</w:t>
      </w:r>
    </w:p>
    <w:p w:rsidR="0084330F" w:rsidRPr="006A7C0E" w:rsidRDefault="0084330F" w:rsidP="0010030D">
      <w:pPr>
        <w:rPr>
          <w:noProof/>
        </w:rPr>
      </w:pPr>
    </w:p>
    <w:p w:rsidR="00502F54" w:rsidRPr="006A7C0E" w:rsidRDefault="00502F54" w:rsidP="00502F54">
      <w:pPr>
        <w:rPr>
          <w:noProof/>
        </w:rPr>
      </w:pPr>
      <w:r w:rsidRPr="006A7C0E">
        <w:rPr>
          <w:noProof/>
        </w:rPr>
        <w:t xml:space="preserve">Vzhledem k tomu, že akt Mezinárodní rady pro obiloviny prodlouží platnost úmluvy, zveřejní se na oficiálních internetových stránkách Mezinárodní rady pro obiloviny. </w:t>
      </w:r>
    </w:p>
    <w:p w:rsidR="0084330F" w:rsidRPr="006A7C0E" w:rsidRDefault="0084330F" w:rsidP="0010030D">
      <w:pPr>
        <w:rPr>
          <w:noProof/>
        </w:rPr>
      </w:pPr>
    </w:p>
    <w:p w:rsidR="0084330F" w:rsidRPr="006A7C0E" w:rsidRDefault="0084330F" w:rsidP="0010030D">
      <w:pPr>
        <w:rPr>
          <w:noProof/>
        </w:rPr>
      </w:pPr>
    </w:p>
    <w:p w:rsidR="0084330F" w:rsidRPr="006A7C0E" w:rsidRDefault="0084330F" w:rsidP="0010030D">
      <w:pPr>
        <w:rPr>
          <w:noProof/>
        </w:rPr>
        <w:sectPr w:rsidR="0084330F" w:rsidRPr="006A7C0E" w:rsidSect="005D2203">
          <w:headerReference w:type="even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C90F13" w:rsidRDefault="00EB483A">
      <w:pPr>
        <w:pStyle w:val="Rfrenceinterinstitutionnelle"/>
        <w:rPr>
          <w:noProof/>
        </w:rPr>
      </w:pPr>
      <w:r>
        <w:rPr>
          <w:noProof/>
        </w:rPr>
        <w:t>2025/0087 (NLE)</w:t>
      </w:r>
    </w:p>
    <w:p w:rsidR="00A93BF2" w:rsidRPr="006A7C0E" w:rsidRDefault="006A7C0E" w:rsidP="006A7C0E">
      <w:pPr>
        <w:pStyle w:val="Statut"/>
        <w:rPr>
          <w:noProof/>
        </w:rPr>
      </w:pPr>
      <w:r w:rsidRPr="006A7C0E">
        <w:rPr>
          <w:noProof/>
        </w:rPr>
        <w:t>Návrh</w:t>
      </w:r>
    </w:p>
    <w:p w:rsidR="00A93BF2" w:rsidRPr="006A7C0E" w:rsidRDefault="006A7C0E" w:rsidP="006A7C0E">
      <w:pPr>
        <w:pStyle w:val="Typedudocument"/>
        <w:rPr>
          <w:noProof/>
        </w:rPr>
      </w:pPr>
      <w:r w:rsidRPr="006A7C0E">
        <w:rPr>
          <w:noProof/>
        </w:rPr>
        <w:t>ROZHODNUTÍ RADY</w:t>
      </w:r>
    </w:p>
    <w:p w:rsidR="00A93BF2" w:rsidRPr="006A7C0E" w:rsidRDefault="006A7C0E" w:rsidP="006A7C0E">
      <w:pPr>
        <w:pStyle w:val="Titreobjet"/>
        <w:rPr>
          <w:noProof/>
        </w:rPr>
      </w:pPr>
      <w:r w:rsidRPr="006A7C0E">
        <w:rPr>
          <w:noProof/>
        </w:rPr>
        <w:t>o postoji, který má být zaujat jménem Evropské unie v Mezinárodní radě pro obiloviny k prodloužení platnosti Úmluvy o obchodu s obilovinami z roku 1995</w:t>
      </w:r>
    </w:p>
    <w:p w:rsidR="00A93BF2" w:rsidRPr="006A7C0E" w:rsidRDefault="00A93BF2" w:rsidP="0010030D">
      <w:pPr>
        <w:pStyle w:val="Institutionquiagit"/>
        <w:rPr>
          <w:noProof/>
        </w:rPr>
      </w:pPr>
      <w:r w:rsidRPr="006A7C0E">
        <w:rPr>
          <w:noProof/>
        </w:rPr>
        <w:t>RADA EVROPSKÉ UNIE,</w:t>
      </w:r>
    </w:p>
    <w:p w:rsidR="00A93BF2" w:rsidRPr="006A7C0E" w:rsidRDefault="00A93BF2" w:rsidP="0010030D">
      <w:pPr>
        <w:rPr>
          <w:noProof/>
        </w:rPr>
      </w:pPr>
      <w:r w:rsidRPr="006A7C0E">
        <w:rPr>
          <w:noProof/>
        </w:rPr>
        <w:t>s ohledem na Smlouvu o fungování Evropské unie, a zejména na čl. 207 odst. 4 první pododstavec ve spojení s čl. 218 odst. 9 této smlouvy,</w:t>
      </w:r>
    </w:p>
    <w:p w:rsidR="00A93BF2" w:rsidRPr="006A7C0E" w:rsidRDefault="00A93BF2" w:rsidP="0010030D">
      <w:pPr>
        <w:rPr>
          <w:noProof/>
        </w:rPr>
      </w:pPr>
      <w:r w:rsidRPr="006A7C0E">
        <w:rPr>
          <w:noProof/>
        </w:rPr>
        <w:t>s ohledem na návrh Evropské komise,</w:t>
      </w:r>
    </w:p>
    <w:p w:rsidR="00A93BF2" w:rsidRPr="006A7C0E" w:rsidRDefault="00A93BF2" w:rsidP="0010030D">
      <w:pPr>
        <w:rPr>
          <w:noProof/>
        </w:rPr>
      </w:pPr>
      <w:r w:rsidRPr="006A7C0E">
        <w:rPr>
          <w:noProof/>
        </w:rPr>
        <w:t>vzhledem k těmto důvodům:</w:t>
      </w:r>
    </w:p>
    <w:p w:rsidR="00FF2D02" w:rsidRPr="006A7C0E" w:rsidRDefault="00426077" w:rsidP="00426077">
      <w:pPr>
        <w:pStyle w:val="ManualConsidrant"/>
        <w:rPr>
          <w:noProof/>
        </w:rPr>
      </w:pPr>
      <w:r w:rsidRPr="00426077">
        <w:rPr>
          <w:noProof/>
        </w:rPr>
        <w:t>(1)</w:t>
      </w:r>
      <w:r w:rsidRPr="00426077">
        <w:rPr>
          <w:noProof/>
        </w:rPr>
        <w:tab/>
      </w:r>
      <w:r w:rsidR="635724BD" w:rsidRPr="006A7C0E">
        <w:rPr>
          <w:noProof/>
        </w:rPr>
        <w:t>Úmluva o obchodu s obilovinami z roku 1995 (dále jen „úmluva“) byla uzavřena Unií rozhodnutím Rady (EU) 96/88/ES</w:t>
      </w:r>
      <w:r w:rsidR="00001419" w:rsidRPr="006A7C0E">
        <w:rPr>
          <w:rStyle w:val="FootnoteReference"/>
          <w:iCs/>
          <w:noProof/>
        </w:rPr>
        <w:footnoteReference w:id="2"/>
      </w:r>
      <w:r w:rsidR="635724BD" w:rsidRPr="006A7C0E">
        <w:rPr>
          <w:noProof/>
        </w:rPr>
        <w:t xml:space="preserve"> a vstoupila v platnost dne 1. července 1995. Úmluva byla uzavřena na dobu tří let.</w:t>
      </w:r>
      <w:r w:rsidR="007A5E85" w:rsidRPr="006A7C0E">
        <w:rPr>
          <w:rStyle w:val="FootnoteReference"/>
          <w:noProof/>
        </w:rPr>
        <w:footnoteReference w:id="3"/>
      </w:r>
    </w:p>
    <w:p w:rsidR="00A93BF2" w:rsidRPr="006A7C0E" w:rsidRDefault="00426077" w:rsidP="00426077">
      <w:pPr>
        <w:pStyle w:val="ManualConsidrant"/>
        <w:rPr>
          <w:noProof/>
        </w:rPr>
      </w:pPr>
      <w:r w:rsidRPr="00426077">
        <w:rPr>
          <w:noProof/>
        </w:rPr>
        <w:t>(2)</w:t>
      </w:r>
      <w:r w:rsidRPr="00426077">
        <w:rPr>
          <w:noProof/>
        </w:rPr>
        <w:tab/>
      </w:r>
      <w:r w:rsidR="3191433F" w:rsidRPr="006A7C0E">
        <w:rPr>
          <w:noProof/>
        </w:rPr>
        <w:t>Podle článku 33 úmluvy může Mezinárodní rada pro obiloviny prodloužit úmluvu na další období, a to pokaždé nanejvýš o dva roky. Od uzavření úmluvy byla její platnost pravidelně prodlužována na další dvouletá období. Platnost úmluvy byla naposledy prodloužena dne 14. června 2023</w:t>
      </w:r>
      <w:r w:rsidR="3191433F" w:rsidRPr="006A7C0E">
        <w:rPr>
          <w:noProof/>
          <w:vertAlign w:val="superscript"/>
        </w:rPr>
        <w:t>2</w:t>
      </w:r>
      <w:r w:rsidR="3191433F" w:rsidRPr="006A7C0E">
        <w:rPr>
          <w:noProof/>
        </w:rPr>
        <w:t xml:space="preserve"> rozhodnutím Mezinárodní rady pro obiloviny a úmluva zůstává v platnosti do 30. června 2025.</w:t>
      </w:r>
    </w:p>
    <w:p w:rsidR="00A93BF2" w:rsidRPr="006A7C0E" w:rsidRDefault="00426077" w:rsidP="00426077">
      <w:pPr>
        <w:pStyle w:val="ManualConsidrant"/>
        <w:rPr>
          <w:noProof/>
        </w:rPr>
      </w:pPr>
      <w:r w:rsidRPr="00426077">
        <w:rPr>
          <w:noProof/>
        </w:rPr>
        <w:t>(3)</w:t>
      </w:r>
      <w:r w:rsidRPr="00426077">
        <w:rPr>
          <w:noProof/>
        </w:rPr>
        <w:tab/>
      </w:r>
      <w:r w:rsidR="00A93BF2" w:rsidRPr="006A7C0E">
        <w:rPr>
          <w:noProof/>
        </w:rPr>
        <w:t>Na svém 62. zasedání, které se má konat 12. června 2025, má Mezinárodní rada pro obiloviny přijmout rozhodnutí o prodloužení platnosti úmluvy na další, nejvýše dvouleté období od 1. července 2025 do 30. června 2027.</w:t>
      </w:r>
    </w:p>
    <w:p w:rsidR="00A93BF2" w:rsidRPr="006A7C0E" w:rsidRDefault="00426077" w:rsidP="00426077">
      <w:pPr>
        <w:pStyle w:val="ManualConsidrant"/>
        <w:rPr>
          <w:noProof/>
        </w:rPr>
      </w:pPr>
      <w:r w:rsidRPr="00426077">
        <w:rPr>
          <w:noProof/>
        </w:rPr>
        <w:t>(4)</w:t>
      </w:r>
      <w:r w:rsidRPr="00426077">
        <w:rPr>
          <w:noProof/>
        </w:rPr>
        <w:tab/>
      </w:r>
      <w:r w:rsidR="00A93BF2" w:rsidRPr="006A7C0E">
        <w:rPr>
          <w:noProof/>
        </w:rPr>
        <w:t>Je vhodné stanovit postoj, který má být na 62. zasedání Mezinárodní rady pro obiloviny zaujat jménem Unie k prodloužení platnosti úmluvy.</w:t>
      </w:r>
    </w:p>
    <w:p w:rsidR="004F6A93" w:rsidRPr="006A7C0E" w:rsidRDefault="00426077" w:rsidP="00426077">
      <w:pPr>
        <w:pStyle w:val="ManualConsidrant"/>
        <w:rPr>
          <w:noProof/>
        </w:rPr>
      </w:pPr>
      <w:r w:rsidRPr="00426077">
        <w:rPr>
          <w:noProof/>
        </w:rPr>
        <w:t>(5)</w:t>
      </w:r>
      <w:r w:rsidRPr="00426077">
        <w:rPr>
          <w:noProof/>
        </w:rPr>
        <w:tab/>
      </w:r>
      <w:r w:rsidR="00B036BE" w:rsidRPr="006A7C0E">
        <w:rPr>
          <w:noProof/>
        </w:rPr>
        <w:t>Unie je hlavním pěstitelem obilovin a největším vývozcem pšenice a ječmenu a zároveň jedním z největších dovozců kukuřice. Unie byla vždy aktivním členem Mezinárodní rady pro obiloviny, která hraje významnou úlohu při stabilizaci světových trhů s obilovinami a zlepšení zabezpečení potravin. Prodloužení platnosti úmluvy je proto v zájmu Unie,</w:t>
      </w:r>
    </w:p>
    <w:p w:rsidR="00A93BF2" w:rsidRPr="006A7C0E" w:rsidRDefault="00A93BF2" w:rsidP="0010030D">
      <w:pPr>
        <w:pStyle w:val="Formuledadoption"/>
        <w:rPr>
          <w:noProof/>
        </w:rPr>
      </w:pPr>
      <w:r w:rsidRPr="006A7C0E">
        <w:rPr>
          <w:noProof/>
        </w:rPr>
        <w:t>PŘIJALA TOTO ROZHODNUTÍ:</w:t>
      </w:r>
    </w:p>
    <w:p w:rsidR="00A93BF2" w:rsidRPr="006A7C0E" w:rsidRDefault="00A93BF2" w:rsidP="0010030D">
      <w:pPr>
        <w:pStyle w:val="Titrearticle"/>
        <w:rPr>
          <w:noProof/>
        </w:rPr>
      </w:pPr>
      <w:r w:rsidRPr="006A7C0E">
        <w:rPr>
          <w:noProof/>
        </w:rPr>
        <w:t>Článek 1</w:t>
      </w:r>
    </w:p>
    <w:p w:rsidR="00A93BF2" w:rsidRPr="006A7C0E" w:rsidRDefault="004F6A93" w:rsidP="0010030D">
      <w:pPr>
        <w:rPr>
          <w:noProof/>
        </w:rPr>
      </w:pPr>
      <w:r w:rsidRPr="006A7C0E">
        <w:rPr>
          <w:noProof/>
        </w:rPr>
        <w:t>Postoj, který má být jménem Unie zaujat na 62. zasedání Mezinárodní rady pro obiloviny, je hlasovat pro prodloužení platnosti Úmluvy o obchodu s obilovinami z roku 1995 na další, nejvýše dvouleté období od 1. července 2025 do 30. června 2027.</w:t>
      </w:r>
    </w:p>
    <w:p w:rsidR="00A93BF2" w:rsidRPr="006A7C0E" w:rsidRDefault="00A93BF2" w:rsidP="004B0234">
      <w:pPr>
        <w:pStyle w:val="Titrearticle"/>
        <w:rPr>
          <w:noProof/>
        </w:rPr>
      </w:pPr>
      <w:r w:rsidRPr="006A7C0E">
        <w:rPr>
          <w:noProof/>
        </w:rPr>
        <w:t>Článek 2</w:t>
      </w:r>
    </w:p>
    <w:p w:rsidR="00A93BF2" w:rsidRPr="006A7C0E" w:rsidRDefault="00A93BF2" w:rsidP="004B0234">
      <w:pPr>
        <w:keepNext/>
        <w:keepLines/>
        <w:rPr>
          <w:noProof/>
        </w:rPr>
      </w:pPr>
      <w:r w:rsidRPr="006A7C0E">
        <w:rPr>
          <w:noProof/>
        </w:rPr>
        <w:t>Toto rozhodnutí je určeno Komisi.</w:t>
      </w:r>
    </w:p>
    <w:p w:rsidR="00A93BF2" w:rsidRPr="006A7C0E" w:rsidRDefault="006A7C0E" w:rsidP="004B0234">
      <w:pPr>
        <w:pStyle w:val="Fait"/>
        <w:rPr>
          <w:noProof/>
        </w:rPr>
      </w:pPr>
      <w:r>
        <w:rPr>
          <w:noProof/>
        </w:rPr>
        <w:t>V Bruselu dne</w:t>
      </w:r>
    </w:p>
    <w:p w:rsidR="00A93BF2" w:rsidRPr="006A7C0E" w:rsidRDefault="00A93BF2" w:rsidP="004B0234">
      <w:pPr>
        <w:pStyle w:val="Institutionquisigne"/>
        <w:rPr>
          <w:noProof/>
        </w:rPr>
      </w:pPr>
      <w:r w:rsidRPr="006A7C0E">
        <w:rPr>
          <w:noProof/>
        </w:rPr>
        <w:tab/>
        <w:t>Za Radu</w:t>
      </w:r>
    </w:p>
    <w:p w:rsidR="00C64B40" w:rsidRPr="006A7C0E" w:rsidRDefault="00A93BF2" w:rsidP="004B0234">
      <w:pPr>
        <w:pStyle w:val="Personnequisigne"/>
        <w:keepNext/>
        <w:rPr>
          <w:noProof/>
        </w:rPr>
      </w:pPr>
      <w:r w:rsidRPr="006A7C0E">
        <w:rPr>
          <w:noProof/>
        </w:rPr>
        <w:tab/>
        <w:t>předseda/předsedkyně</w:t>
      </w:r>
    </w:p>
    <w:p w:rsidR="00C64B40" w:rsidRPr="006A7C0E" w:rsidRDefault="00C64B40" w:rsidP="004B0234">
      <w:pPr>
        <w:keepNext/>
        <w:spacing w:before="0" w:after="200" w:line="276" w:lineRule="auto"/>
        <w:jc w:val="left"/>
        <w:rPr>
          <w:i/>
          <w:noProof/>
        </w:rPr>
      </w:pPr>
      <w:r w:rsidRPr="006A7C0E">
        <w:rPr>
          <w:noProof/>
        </w:rPr>
        <w:br w:type="page"/>
      </w:r>
    </w:p>
    <w:p w:rsidR="00C64B40" w:rsidRPr="006A7C0E" w:rsidRDefault="00C64B40" w:rsidP="004B0234">
      <w:pPr>
        <w:pStyle w:val="Personnequisigne"/>
        <w:keepNext/>
        <w:rPr>
          <w:noProof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3884"/>
        <w:gridCol w:w="1417"/>
        <w:gridCol w:w="1276"/>
        <w:gridCol w:w="283"/>
        <w:gridCol w:w="851"/>
        <w:gridCol w:w="850"/>
      </w:tblGrid>
      <w:tr w:rsidR="00156A44" w:rsidRPr="006A7C0E" w:rsidTr="00F252A0">
        <w:trPr>
          <w:trHeight w:val="355"/>
        </w:trPr>
        <w:tc>
          <w:tcPr>
            <w:tcW w:w="7144" w:type="dxa"/>
            <w:gridSpan w:val="4"/>
            <w:vMerge w:val="restart"/>
          </w:tcPr>
          <w:p w:rsidR="00156A44" w:rsidRPr="006A7C0E" w:rsidRDefault="00156A44" w:rsidP="004B0234">
            <w:pPr>
              <w:pStyle w:val="Fichefinanciretitretable"/>
              <w:keepNext/>
              <w:rPr>
                <w:noProof/>
              </w:rPr>
            </w:pPr>
            <w:r w:rsidRPr="006A7C0E">
              <w:rPr>
                <w:noProof/>
              </w:rPr>
              <w:t>FINANČNÍ VÝKAZ</w:t>
            </w:r>
          </w:p>
        </w:tc>
        <w:tc>
          <w:tcPr>
            <w:tcW w:w="1984" w:type="dxa"/>
            <w:gridSpan w:val="3"/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FinancSt/10/</w:t>
            </w:r>
            <w:r w:rsidRPr="006A7C0E">
              <w:rPr>
                <w:noProof/>
              </w:rPr>
              <w:br/>
              <w:t>PS/nd/</w:t>
            </w:r>
            <w:hyperlink r:id="rId23" w:history="1">
              <w:r w:rsidRPr="006A7C0E">
                <w:rPr>
                  <w:rStyle w:val="Hyperlink"/>
                  <w:noProof/>
                </w:rPr>
                <w:t>Ares(2025)1094676</w:t>
              </w:r>
            </w:hyperlink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</w:tr>
      <w:tr w:rsidR="00156A44" w:rsidRPr="006A7C0E" w:rsidTr="00F252A0">
        <w:trPr>
          <w:trHeight w:val="355"/>
        </w:trPr>
        <w:tc>
          <w:tcPr>
            <w:tcW w:w="7144" w:type="dxa"/>
            <w:gridSpan w:val="4"/>
            <w:vMerge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itretable"/>
              <w:keepNext/>
              <w:rPr>
                <w:noProof/>
              </w:rPr>
            </w:pPr>
          </w:p>
        </w:tc>
        <w:tc>
          <w:tcPr>
            <w:tcW w:w="1984" w:type="dxa"/>
            <w:gridSpan w:val="3"/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6.221.2025.1</w:t>
            </w:r>
          </w:p>
        </w:tc>
      </w:tr>
      <w:tr w:rsidR="00156A44" w:rsidRPr="006A7C0E" w:rsidTr="00F252A0">
        <w:tc>
          <w:tcPr>
            <w:tcW w:w="7144" w:type="dxa"/>
            <w:gridSpan w:val="4"/>
            <w:tcBorders>
              <w:top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  <w:tc>
          <w:tcPr>
            <w:tcW w:w="1984" w:type="dxa"/>
            <w:gridSpan w:val="3"/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DATUM: 24. 2. 2025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1.</w:t>
            </w:r>
          </w:p>
        </w:tc>
        <w:tc>
          <w:tcPr>
            <w:tcW w:w="6577" w:type="dxa"/>
            <w:gridSpan w:val="3"/>
            <w:tcBorders>
              <w:left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ROZPOČTOVÁ POLOŽKA: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14 20 03 06 Mezinárodní organizace a dohody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  <w:tc>
          <w:tcPr>
            <w:tcW w:w="1984" w:type="dxa"/>
            <w:gridSpan w:val="3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PROSTŘEDKY: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B2025 5 277 000 EUR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2.</w:t>
            </w:r>
          </w:p>
        </w:tc>
        <w:tc>
          <w:tcPr>
            <w:tcW w:w="8561" w:type="dxa"/>
            <w:gridSpan w:val="6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NÁZEV:</w:t>
            </w:r>
          </w:p>
          <w:p w:rsidR="00156A44" w:rsidRPr="006A7C0E" w:rsidRDefault="00156A44" w:rsidP="004B0234">
            <w:pPr>
              <w:pStyle w:val="Fichefinanciretextetable"/>
              <w:keepNext/>
              <w:spacing w:after="120"/>
              <w:rPr>
                <w:noProof/>
              </w:rPr>
            </w:pPr>
            <w:r w:rsidRPr="006A7C0E">
              <w:rPr>
                <w:noProof/>
              </w:rPr>
              <w:t>Návrh rozhodnutí Rady o postoji, který má být zaujat jménem Evropské unie v Mezinárodní radě pro obiloviny k prodloužení platnosti Úmluvy o obchodu s obilovinami z roku 1995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3.</w:t>
            </w:r>
          </w:p>
        </w:tc>
        <w:tc>
          <w:tcPr>
            <w:tcW w:w="8561" w:type="dxa"/>
            <w:gridSpan w:val="6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after="120"/>
              <w:rPr>
                <w:noProof/>
              </w:rPr>
            </w:pPr>
            <w:r w:rsidRPr="006A7C0E">
              <w:rPr>
                <w:noProof/>
              </w:rPr>
              <w:t>PRÁVNÍ ZÁKLAD: Právním základem navrhovaného rozhodnutí by měl být čl. 207 odst. 4. první pododstavec SFEU ve spojení s čl. 218 odst. 9 SFEU.</w:t>
            </w:r>
          </w:p>
        </w:tc>
      </w:tr>
      <w:tr w:rsidR="00156A44" w:rsidRPr="006A7C0E" w:rsidTr="00F252A0">
        <w:tc>
          <w:tcPr>
            <w:tcW w:w="567" w:type="dxa"/>
            <w:tcBorders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4.</w:t>
            </w:r>
          </w:p>
        </w:tc>
        <w:tc>
          <w:tcPr>
            <w:tcW w:w="8561" w:type="dxa"/>
            <w:gridSpan w:val="6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CÍLE: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Prodloužení platnosti stávající Úmluvy o obchodu s obilovinami o další dva roky (1. 7. 2025 až 30. 6. 2027).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5.</w:t>
            </w:r>
          </w:p>
        </w:tc>
        <w:tc>
          <w:tcPr>
            <w:tcW w:w="3884" w:type="dxa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FINANČNÍ DOPADY</w:t>
            </w:r>
          </w:p>
        </w:tc>
        <w:tc>
          <w:tcPr>
            <w:tcW w:w="1417" w:type="dxa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OBDOBÍ 12 MĚSÍCŮ</w:t>
            </w:r>
            <w:r w:rsidRPr="006A7C0E">
              <w:rPr>
                <w:noProof/>
              </w:rPr>
              <w:br/>
            </w:r>
            <w:r w:rsidRPr="006A7C0E">
              <w:rPr>
                <w:noProof/>
              </w:rPr>
              <w:br/>
            </w:r>
            <w:r w:rsidRPr="006A7C0E">
              <w:rPr>
                <w:noProof/>
              </w:rPr>
              <w:br/>
              <w:t>(v milionech EUR)</w:t>
            </w:r>
          </w:p>
        </w:tc>
        <w:tc>
          <w:tcPr>
            <w:tcW w:w="1559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BĚŽNÝ FINANČNÍ ROK</w:t>
            </w:r>
          </w:p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2025</w:t>
            </w:r>
          </w:p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(v milionech EUR)</w:t>
            </w:r>
          </w:p>
        </w:tc>
        <w:tc>
          <w:tcPr>
            <w:tcW w:w="1701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NÁSLEDUJÍCÍ FINANČNÍ ROK</w:t>
            </w:r>
          </w:p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NR2026</w:t>
            </w:r>
          </w:p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(v milionech EUR)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5,0</w:t>
            </w:r>
          </w:p>
        </w:tc>
        <w:tc>
          <w:tcPr>
            <w:tcW w:w="3884" w:type="dxa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VÝDAJE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—</w:t>
            </w:r>
            <w:r w:rsidRPr="006A7C0E">
              <w:rPr>
                <w:noProof/>
              </w:rPr>
              <w:tab/>
              <w:t>FINANCOVANÉ Z ROZPOČTU EU</w:t>
            </w:r>
            <w:r w:rsidRPr="006A7C0E">
              <w:rPr>
                <w:noProof/>
              </w:rPr>
              <w:br/>
              <w:t>(NÁHRADY/INTERVENCE)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—</w:t>
            </w:r>
            <w:r w:rsidRPr="006A7C0E">
              <w:rPr>
                <w:noProof/>
              </w:rPr>
              <w:tab/>
              <w:t>VNITROSTÁTNÍCH ORGÁNŮ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—</w:t>
            </w:r>
            <w:r w:rsidRPr="006A7C0E">
              <w:rPr>
                <w:noProof/>
              </w:rPr>
              <w:tab/>
              <w:t>JINÝCH SUBJEKTŮ</w:t>
            </w:r>
          </w:p>
        </w:tc>
        <w:tc>
          <w:tcPr>
            <w:tcW w:w="1417" w:type="dxa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559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4,2</w:t>
            </w:r>
          </w:p>
        </w:tc>
        <w:tc>
          <w:tcPr>
            <w:tcW w:w="1701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4,45</w:t>
            </w:r>
          </w:p>
        </w:tc>
      </w:tr>
      <w:tr w:rsidR="00156A44" w:rsidRPr="006A7C0E" w:rsidTr="00F252A0">
        <w:tc>
          <w:tcPr>
            <w:tcW w:w="567" w:type="dxa"/>
            <w:tcBorders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5.1</w:t>
            </w:r>
          </w:p>
        </w:tc>
        <w:tc>
          <w:tcPr>
            <w:tcW w:w="3884" w:type="dxa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PŘÍJMY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—</w:t>
            </w:r>
            <w:r w:rsidRPr="006A7C0E">
              <w:rPr>
                <w:noProof/>
              </w:rPr>
              <w:tab/>
              <w:t xml:space="preserve">VLASTNÍ ZDROJE EU (DÁVKY/CLA) </w:t>
            </w:r>
            <w:r w:rsidRPr="006A7C0E">
              <w:rPr>
                <w:noProof/>
              </w:rPr>
              <w:br/>
              <w:t>(DÁVKY/CLA)</w:t>
            </w:r>
          </w:p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—</w:t>
            </w:r>
            <w:r w:rsidRPr="006A7C0E">
              <w:rPr>
                <w:noProof/>
              </w:rPr>
              <w:tab/>
              <w:t>VNITROSTÁTNÍ</w:t>
            </w:r>
          </w:p>
        </w:tc>
        <w:tc>
          <w:tcPr>
            <w:tcW w:w="1417" w:type="dxa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559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701" w:type="dxa"/>
            <w:gridSpan w:val="2"/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  <w:tc>
          <w:tcPr>
            <w:tcW w:w="3884" w:type="dxa"/>
            <w:tcBorders>
              <w:left w:val="nil"/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2025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5.0.1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ODHADOVANÉ VÝDAJE</w:t>
            </w:r>
          </w:p>
        </w:tc>
        <w:tc>
          <w:tcPr>
            <w:tcW w:w="1417" w:type="dxa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—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top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5.1.1</w:t>
            </w:r>
          </w:p>
        </w:tc>
        <w:tc>
          <w:tcPr>
            <w:tcW w:w="3884" w:type="dxa"/>
            <w:tcBorders>
              <w:top w:val="nil"/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ODHADOVANÉ PŘÍJMY</w:t>
            </w:r>
          </w:p>
        </w:tc>
        <w:tc>
          <w:tcPr>
            <w:tcW w:w="1417" w:type="dxa"/>
            <w:tcBorders>
              <w:top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</w:p>
        </w:tc>
      </w:tr>
      <w:tr w:rsidR="00156A44" w:rsidRPr="006A7C0E" w:rsidTr="00F252A0">
        <w:tc>
          <w:tcPr>
            <w:tcW w:w="567" w:type="dxa"/>
            <w:tcBorders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5,2</w:t>
            </w:r>
          </w:p>
        </w:tc>
        <w:tc>
          <w:tcPr>
            <w:tcW w:w="8561" w:type="dxa"/>
            <w:gridSpan w:val="6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before="60" w:after="60"/>
              <w:rPr>
                <w:noProof/>
              </w:rPr>
            </w:pPr>
            <w:r w:rsidRPr="006A7C0E">
              <w:rPr>
                <w:noProof/>
              </w:rPr>
              <w:t>METODA VÝPOČTU: Na základě předpokladů týkajících se odhadovaného počtu hlasů EU (mění se každý rok) a na základě odhadované částky, jež má být uhrazena za jeden hlas v GBP.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6.0</w:t>
            </w:r>
          </w:p>
        </w:tc>
        <w:tc>
          <w:tcPr>
            <w:tcW w:w="7711" w:type="dxa"/>
            <w:gridSpan w:val="5"/>
            <w:tcBorders>
              <w:left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before="60" w:after="60"/>
              <w:rPr>
                <w:noProof/>
              </w:rPr>
            </w:pPr>
            <w:r w:rsidRPr="006A7C0E">
              <w:rPr>
                <w:noProof/>
              </w:rPr>
              <w:t>MŮŽE BÝT PROJEKT FINANCOVÁN Z PROSTŘEDKŮ UVEDENÝCH V PŘÍSLUŠNÉ KAPITOLE STÁVAJÍCÍHO ROZPOČTU?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 xml:space="preserve">ANO 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6.1</w:t>
            </w:r>
          </w:p>
        </w:tc>
        <w:tc>
          <w:tcPr>
            <w:tcW w:w="7711" w:type="dxa"/>
            <w:gridSpan w:val="5"/>
            <w:tcBorders>
              <w:left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before="60" w:after="60"/>
              <w:rPr>
                <w:noProof/>
              </w:rPr>
            </w:pPr>
            <w:r w:rsidRPr="006A7C0E">
              <w:rPr>
                <w:noProof/>
              </w:rPr>
              <w:t>MŮŽE BÝT PROJEKT FINANCOVÁN PŘEVODEM MEZI KAPITOLAMI STÁVAJÍCÍHO ROZPOČTU?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—</w:t>
            </w:r>
          </w:p>
        </w:tc>
      </w:tr>
      <w:tr w:rsidR="00156A44" w:rsidRPr="006A7C0E" w:rsidTr="00F252A0">
        <w:tc>
          <w:tcPr>
            <w:tcW w:w="567" w:type="dxa"/>
            <w:tcBorders>
              <w:bottom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6.2</w:t>
            </w:r>
          </w:p>
        </w:tc>
        <w:tc>
          <w:tcPr>
            <w:tcW w:w="7711" w:type="dxa"/>
            <w:gridSpan w:val="5"/>
            <w:tcBorders>
              <w:left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before="60" w:after="60"/>
              <w:rPr>
                <w:noProof/>
              </w:rPr>
            </w:pPr>
            <w:r w:rsidRPr="006A7C0E">
              <w:rPr>
                <w:noProof/>
              </w:rPr>
              <w:t>BUDE POTŘEBA DODATEČNÝ ROZPOČET?</w:t>
            </w: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>—</w:t>
            </w:r>
          </w:p>
        </w:tc>
      </w:tr>
      <w:tr w:rsidR="00156A44" w:rsidRPr="006A7C0E" w:rsidTr="00F252A0">
        <w:tc>
          <w:tcPr>
            <w:tcW w:w="567" w:type="dxa"/>
            <w:tcBorders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6.3</w:t>
            </w:r>
          </w:p>
        </w:tc>
        <w:tc>
          <w:tcPr>
            <w:tcW w:w="7711" w:type="dxa"/>
            <w:gridSpan w:val="5"/>
            <w:tcBorders>
              <w:left w:val="nil"/>
              <w:righ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spacing w:before="60" w:after="60"/>
              <w:rPr>
                <w:noProof/>
              </w:rPr>
            </w:pPr>
            <w:r w:rsidRPr="006A7C0E">
              <w:rPr>
                <w:noProof/>
              </w:rPr>
              <w:t>BUDE POTŘEBA ZAČLENIT PROSTŘEDKY DO BUDOUCÍCH ROZPOČTŮ?</w:t>
            </w:r>
          </w:p>
        </w:tc>
        <w:tc>
          <w:tcPr>
            <w:tcW w:w="850" w:type="dxa"/>
            <w:tcBorders>
              <w:left w:val="nil"/>
            </w:tcBorders>
          </w:tcPr>
          <w:p w:rsidR="00156A44" w:rsidRPr="006A7C0E" w:rsidRDefault="00156A44" w:rsidP="004B0234">
            <w:pPr>
              <w:pStyle w:val="Fichefinanciretextetable"/>
              <w:keepNext/>
              <w:jc w:val="center"/>
              <w:rPr>
                <w:noProof/>
              </w:rPr>
            </w:pPr>
            <w:r w:rsidRPr="006A7C0E">
              <w:rPr>
                <w:noProof/>
              </w:rPr>
              <w:t xml:space="preserve">ANO </w:t>
            </w:r>
          </w:p>
        </w:tc>
      </w:tr>
      <w:tr w:rsidR="00156A44" w:rsidRPr="006A7C0E" w:rsidTr="00F252A0">
        <w:tc>
          <w:tcPr>
            <w:tcW w:w="9128" w:type="dxa"/>
            <w:gridSpan w:val="7"/>
          </w:tcPr>
          <w:p w:rsidR="00156A44" w:rsidRPr="006A7C0E" w:rsidRDefault="00156A44" w:rsidP="004B0234">
            <w:pPr>
              <w:pStyle w:val="Fichefinanciretextetable"/>
              <w:keepNext/>
              <w:rPr>
                <w:noProof/>
              </w:rPr>
            </w:pPr>
            <w:r w:rsidRPr="006A7C0E">
              <w:rPr>
                <w:noProof/>
              </w:rPr>
              <w:t>POZNÁMKY:</w:t>
            </w:r>
          </w:p>
          <w:p w:rsidR="00156A44" w:rsidRPr="006A7C0E" w:rsidRDefault="00156A44" w:rsidP="004B0234">
            <w:pPr>
              <w:keepNext/>
              <w:autoSpaceDE w:val="0"/>
              <w:autoSpaceDN w:val="0"/>
              <w:adjustRightInd w:val="0"/>
              <w:rPr>
                <w:noProof/>
                <w:sz w:val="20"/>
              </w:rPr>
            </w:pPr>
            <w:r w:rsidRPr="006A7C0E">
              <w:rPr>
                <w:noProof/>
                <w:sz w:val="20"/>
              </w:rPr>
              <w:t>Částky vztahující se k rokům 2026 a 2027 závisí na dostupnosti rozpočtu.</w:t>
            </w:r>
          </w:p>
          <w:p w:rsidR="00156A44" w:rsidRPr="006A7C0E" w:rsidRDefault="00156A44" w:rsidP="004B0234">
            <w:pPr>
              <w:keepNext/>
              <w:autoSpaceDE w:val="0"/>
              <w:autoSpaceDN w:val="0"/>
              <w:adjustRightInd w:val="0"/>
              <w:rPr>
                <w:noProof/>
                <w:sz w:val="20"/>
              </w:rPr>
            </w:pPr>
            <w:r w:rsidRPr="006A7C0E">
              <w:rPr>
                <w:noProof/>
                <w:sz w:val="20"/>
              </w:rPr>
              <w:t xml:space="preserve">Roční příspěvek EU se platí v GBP. Částka, která bude skutečně vyplacena, se může lišit v závislosti na konečném počtu hlasů, které budou EU přiřazeny, na částce, jež má být uhrazena za jeden hlas, a na směnném kurzu EUR/GBP. </w:t>
            </w:r>
          </w:p>
          <w:p w:rsidR="00156A44" w:rsidRPr="006A7C0E" w:rsidRDefault="00156A44" w:rsidP="00F252A0">
            <w:pPr>
              <w:autoSpaceDE w:val="0"/>
              <w:autoSpaceDN w:val="0"/>
              <w:adjustRightInd w:val="0"/>
              <w:rPr>
                <w:noProof/>
              </w:rPr>
            </w:pPr>
            <w:r w:rsidRPr="006A7C0E">
              <w:rPr>
                <w:noProof/>
                <w:sz w:val="20"/>
              </w:rPr>
              <w:t>Pokud přetrvá vysoce inflační prostředí, může se částka na roky 2025/26 a 2026/27 mírně zvýšit.</w:t>
            </w:r>
          </w:p>
        </w:tc>
      </w:tr>
    </w:tbl>
    <w:p w:rsidR="00A93BF2" w:rsidRPr="006A7C0E" w:rsidRDefault="00A93BF2" w:rsidP="000365D9">
      <w:pPr>
        <w:rPr>
          <w:noProof/>
        </w:rPr>
      </w:pPr>
    </w:p>
    <w:sectPr w:rsidR="00A93BF2" w:rsidRPr="006A7C0E" w:rsidSect="005D2203">
      <w:footnotePr>
        <w:numRestart w:val="eachSect"/>
      </w:footnotePr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D3" w:rsidRDefault="00555DD3" w:rsidP="00A93BF2">
      <w:pPr>
        <w:spacing w:before="0" w:after="0"/>
      </w:pPr>
      <w:r>
        <w:separator/>
      </w:r>
    </w:p>
  </w:endnote>
  <w:endnote w:type="continuationSeparator" w:id="0">
    <w:p w:rsidR="00555DD3" w:rsidRDefault="00555DD3" w:rsidP="00A93BF2">
      <w:pPr>
        <w:spacing w:before="0" w:after="0"/>
      </w:pPr>
      <w:r>
        <w:continuationSeparator/>
      </w:r>
    </w:p>
  </w:endnote>
  <w:endnote w:type="continuationNotice" w:id="1">
    <w:p w:rsidR="00555DD3" w:rsidRDefault="00555DD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Footer"/>
      <w:rPr>
        <w:rFonts w:ascii="Arial" w:hAnsi="Arial" w:cs="Arial"/>
        <w:b/>
        <w:sz w:val="48"/>
      </w:rPr>
    </w:pPr>
    <w:r w:rsidRPr="005D2203">
      <w:rPr>
        <w:rFonts w:ascii="Arial" w:hAnsi="Arial" w:cs="Arial"/>
        <w:b/>
        <w:sz w:val="48"/>
      </w:rPr>
      <w:t>CS</w:t>
    </w:r>
    <w:r w:rsidRPr="005D2203">
      <w:rPr>
        <w:rFonts w:ascii="Arial" w:hAnsi="Arial" w:cs="Arial"/>
        <w:b/>
        <w:sz w:val="48"/>
      </w:rPr>
      <w:tab/>
    </w:r>
    <w:r w:rsidRPr="005D2203">
      <w:rPr>
        <w:rFonts w:ascii="Arial" w:hAnsi="Arial" w:cs="Arial"/>
        <w:b/>
        <w:sz w:val="48"/>
      </w:rPr>
      <w:tab/>
    </w:r>
    <w:r w:rsidRPr="005D2203">
      <w:tab/>
    </w:r>
    <w:r w:rsidRPr="005D2203"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Footer"/>
      <w:rPr>
        <w:rFonts w:ascii="Arial" w:hAnsi="Arial" w:cs="Arial"/>
        <w:b/>
        <w:sz w:val="48"/>
      </w:rPr>
    </w:pPr>
    <w:r w:rsidRPr="005D2203">
      <w:rPr>
        <w:rFonts w:ascii="Arial" w:hAnsi="Arial" w:cs="Arial"/>
        <w:b/>
        <w:sz w:val="48"/>
      </w:rPr>
      <w:t>CS</w:t>
    </w:r>
    <w:r w:rsidRPr="005D2203">
      <w:rPr>
        <w:rFonts w:ascii="Arial" w:hAnsi="Arial" w:cs="Arial"/>
        <w:b/>
        <w:sz w:val="48"/>
      </w:rPr>
      <w:tab/>
    </w:r>
    <w:r w:rsidRPr="005D2203">
      <w:rPr>
        <w:rFonts w:ascii="Arial" w:hAnsi="Arial" w:cs="Arial"/>
        <w:b/>
        <w:sz w:val="48"/>
      </w:rPr>
      <w:tab/>
    </w:r>
    <w:r w:rsidRPr="005D2203">
      <w:tab/>
    </w:r>
    <w:r w:rsidRPr="005D2203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Default="005D22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Footer"/>
      <w:rPr>
        <w:rFonts w:ascii="Arial" w:hAnsi="Arial" w:cs="Arial"/>
        <w:b/>
        <w:sz w:val="48"/>
      </w:rPr>
    </w:pPr>
    <w:r w:rsidRPr="005D2203">
      <w:rPr>
        <w:rFonts w:ascii="Arial" w:hAnsi="Arial" w:cs="Arial"/>
        <w:b/>
        <w:sz w:val="48"/>
      </w:rPr>
      <w:t>CS</w:t>
    </w:r>
    <w:r w:rsidRPr="005D2203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4B0234">
      <w:rPr>
        <w:noProof/>
      </w:rPr>
      <w:t>5</w:t>
    </w:r>
    <w:r>
      <w:fldChar w:fldCharType="end"/>
    </w:r>
    <w:r>
      <w:tab/>
    </w:r>
    <w:r w:rsidRPr="005D2203">
      <w:tab/>
    </w:r>
    <w:r w:rsidRPr="005D2203">
      <w:rPr>
        <w:rFonts w:ascii="Arial" w:hAnsi="Arial" w:cs="Arial"/>
        <w:b/>
        <w:sz w:val="48"/>
      </w:rPr>
      <w:t>CS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Default="005D2203" w:rsidP="005D2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D3" w:rsidRDefault="00555DD3" w:rsidP="00A93BF2">
      <w:pPr>
        <w:spacing w:before="0" w:after="0"/>
      </w:pPr>
      <w:r>
        <w:separator/>
      </w:r>
    </w:p>
  </w:footnote>
  <w:footnote w:type="continuationSeparator" w:id="0">
    <w:p w:rsidR="00555DD3" w:rsidRDefault="00555DD3" w:rsidP="00A93BF2">
      <w:pPr>
        <w:spacing w:before="0" w:after="0"/>
      </w:pPr>
      <w:r>
        <w:continuationSeparator/>
      </w:r>
    </w:p>
  </w:footnote>
  <w:footnote w:type="continuationNotice" w:id="1">
    <w:p w:rsidR="00555DD3" w:rsidRDefault="00555DD3">
      <w:pPr>
        <w:spacing w:before="0" w:after="0"/>
      </w:pPr>
    </w:p>
  </w:footnote>
  <w:footnote w:id="2">
    <w:p w:rsidR="00001419" w:rsidRPr="00001419" w:rsidRDefault="00001419">
      <w:pPr>
        <w:pStyle w:val="FootnoteText"/>
      </w:pPr>
      <w:r>
        <w:rPr>
          <w:rStyle w:val="FootnoteReference"/>
        </w:rPr>
        <w:footnoteRef/>
      </w:r>
      <w:r>
        <w:tab/>
        <w:t>Rozhodnutí Rady 96/88/ES ze dne 19. prosince 1995 o schválení Úmluvy o obchodu s obilovinami a Úmluvy o potravinové pomoci, které tvoří Mezinárodní dohodu o obilovinách z roku 1995, Evropským společenstvím (Úř. věst. L 21, 27.1.1996, s. 47).</w:t>
      </w:r>
    </w:p>
  </w:footnote>
  <w:footnote w:id="3">
    <w:p w:rsidR="007A5E85" w:rsidRPr="00262CEE" w:rsidRDefault="007A5E85">
      <w:pPr>
        <w:pStyle w:val="FootnoteText"/>
      </w:pPr>
      <w:r>
        <w:rPr>
          <w:rStyle w:val="FootnoteReference"/>
        </w:rPr>
        <w:footnoteRef/>
      </w:r>
      <w:r>
        <w:rPr>
          <w:vertAlign w:val="superscript"/>
        </w:rPr>
        <w:tab/>
      </w:r>
      <w:r>
        <w:t xml:space="preserve">Rozhodnutí Rady (EU) 2023/991 ze dne 15. května 2023 o postoji, který má být zaujat jménem Evropské unie v Mezinárodní radě pro obiloviny k prodloužení platnosti Úmluvy o obchodu s obilovinami z roku 1995 (Úř. věst. L 135, 23.5.2023, s. 114, ELI: </w:t>
      </w:r>
      <w:hyperlink r:id="rId1" w:history="1">
        <w:r>
          <w:rPr>
            <w:rStyle w:val="Hyperlink"/>
          </w:rPr>
          <w:t>http://data.europa.eu/eli/dec/2023/991/oj</w:t>
        </w:r>
      </w:hyperlink>
      <w:r>
        <w:t>).</w:t>
      </w:r>
    </w:p>
    <w:p w:rsidR="00262CEE" w:rsidRPr="003C134C" w:rsidRDefault="00262CEE">
      <w:pPr>
        <w:pStyle w:val="FootnoteText"/>
      </w:pPr>
      <w:r>
        <w:rPr>
          <w:vertAlign w:val="superscript"/>
        </w:rPr>
        <w:t xml:space="preserve">3  </w:t>
      </w:r>
      <w:r>
        <w:t xml:space="preserve">            Úř. věst. L 21, 27.1.1996, s. 47.</w:t>
      </w:r>
    </w:p>
    <w:p w:rsidR="003C134C" w:rsidRPr="003C134C" w:rsidRDefault="003C134C">
      <w:pPr>
        <w:pStyle w:val="FootnoteText"/>
      </w:pPr>
      <w:r>
        <w:rPr>
          <w:vertAlign w:val="superscript"/>
        </w:rPr>
        <w:t xml:space="preserve">4     </w:t>
      </w:r>
      <w:r>
        <w:t xml:space="preserve">          Mezinárodní rada pro obiloviny funguje na základě rozpočtového roku, kterým je období od 1. července do 30. června.</w:t>
      </w:r>
    </w:p>
    <w:p w:rsidR="003C134C" w:rsidRPr="0024268D" w:rsidRDefault="003C134C">
      <w:pPr>
        <w:pStyle w:val="FootnoteText"/>
      </w:pPr>
      <w:r>
        <w:rPr>
          <w:vertAlign w:val="superscript"/>
        </w:rPr>
        <w:t xml:space="preserve">5  </w:t>
      </w:r>
      <w:r>
        <w:t xml:space="preserve">            Úř. věst. L 21, 27.1.1996, s. 47.</w:t>
      </w:r>
    </w:p>
    <w:p w:rsidR="003C134C" w:rsidRPr="003C134C" w:rsidRDefault="003C134C">
      <w:pPr>
        <w:pStyle w:val="FootnoteText"/>
      </w:pPr>
      <w:r>
        <w:rPr>
          <w:vertAlign w:val="superscript"/>
        </w:rPr>
        <w:t>6</w:t>
      </w:r>
      <w:r>
        <w:tab/>
        <w:t>Rozsudek Soudního dvora ze dne 7. října 2014, Německo v. Rada, C-399/12, ECLI:EU:C:2014:2258, body 63 a 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Pr="005D2203" w:rsidRDefault="005D2203" w:rsidP="005D220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Default="005D220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03" w:rsidRDefault="005D22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0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1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2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0"/>
  </w:num>
  <w:num w:numId="3">
    <w:abstractNumId w:val="8"/>
  </w:num>
  <w:num w:numId="4">
    <w:abstractNumId w:val="17"/>
  </w:num>
  <w:num w:numId="5">
    <w:abstractNumId w:val="16"/>
  </w:num>
  <w:num w:numId="6">
    <w:abstractNumId w:val="27"/>
  </w:num>
  <w:num w:numId="7">
    <w:abstractNumId w:val="24"/>
  </w:num>
  <w:num w:numId="8">
    <w:abstractNumId w:val="28"/>
  </w:num>
  <w:num w:numId="9">
    <w:abstractNumId w:val="29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9"/>
  </w:num>
  <w:num w:numId="15">
    <w:abstractNumId w:val="18"/>
  </w:num>
  <w:num w:numId="16">
    <w:abstractNumId w:val="7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</w:num>
  <w:num w:numId="19">
    <w:abstractNumId w:val="30"/>
    <w:lvlOverride w:ilvl="0">
      <w:startOverride w:val="1"/>
    </w:lvlOverride>
  </w:num>
  <w:num w:numId="20">
    <w:abstractNumId w:val="23"/>
  </w:num>
  <w:num w:numId="21">
    <w:abstractNumId w:val="12"/>
  </w:num>
  <w:num w:numId="22">
    <w:abstractNumId w:val="26"/>
  </w:num>
  <w:num w:numId="23">
    <w:abstractNumId w:val="6"/>
  </w:num>
  <w:num w:numId="24">
    <w:abstractNumId w:val="13"/>
  </w:num>
  <w:num w:numId="25">
    <w:abstractNumId w:val="14"/>
  </w:num>
  <w:num w:numId="26">
    <w:abstractNumId w:val="4"/>
  </w:num>
  <w:num w:numId="27">
    <w:abstractNumId w:val="25"/>
  </w:num>
  <w:num w:numId="28">
    <w:abstractNumId w:val="3"/>
  </w:num>
  <w:num w:numId="29">
    <w:abstractNumId w:val="15"/>
  </w:num>
  <w:num w:numId="30">
    <w:abstractNumId w:val="21"/>
  </w:num>
  <w:num w:numId="31">
    <w:abstractNumId w:val="22"/>
  </w:num>
  <w:num w:numId="32">
    <w:abstractNumId w:val="5"/>
  </w:num>
  <w:num w:numId="33">
    <w:abstractNumId w:val="19"/>
  </w:num>
  <w:num w:numId="34">
    <w:abstractNumId w:val="30"/>
  </w:num>
  <w:num w:numId="35">
    <w:abstractNumId w:val="15"/>
    <w:lvlOverride w:ilvl="0">
      <w:startOverride w:val="1"/>
    </w:lvlOverride>
  </w:num>
  <w:num w:numId="36">
    <w:abstractNumId w:val="23"/>
  </w:num>
  <w:num w:numId="37">
    <w:abstractNumId w:val="12"/>
  </w:num>
  <w:num w:numId="38">
    <w:abstractNumId w:val="26"/>
  </w:num>
  <w:num w:numId="39">
    <w:abstractNumId w:val="6"/>
  </w:num>
  <w:num w:numId="40">
    <w:abstractNumId w:val="13"/>
  </w:num>
  <w:num w:numId="41">
    <w:abstractNumId w:val="14"/>
  </w:num>
  <w:num w:numId="42">
    <w:abstractNumId w:val="4"/>
  </w:num>
  <w:num w:numId="43">
    <w:abstractNumId w:val="25"/>
  </w:num>
  <w:num w:numId="44">
    <w:abstractNumId w:val="3"/>
  </w:num>
  <w:num w:numId="45">
    <w:abstractNumId w:val="15"/>
  </w:num>
  <w:num w:numId="46">
    <w:abstractNumId w:val="21"/>
  </w:num>
  <w:num w:numId="47">
    <w:abstractNumId w:val="22"/>
  </w:num>
  <w:num w:numId="48">
    <w:abstractNumId w:val="5"/>
  </w:num>
  <w:num w:numId="49">
    <w:abstractNumId w:val="19"/>
  </w:num>
  <w:num w:numId="50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5-04-09 10:54:1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9652B083-FC74-4177-A522-3FCCB4E38D00"/>
    <w:docVar w:name="LW_COVERPAGE_TYPE" w:val="1"/>
    <w:docVar w:name="LW_CreatedUtc" w:val="2025-01-28T15:33:47.3362563Z"/>
    <w:docVar w:name="LW_CROSSREFERENCE" w:val="&lt;UNUSED&gt;"/>
    <w:docVar w:name="LW_DocType" w:val="COM"/>
    <w:docVar w:name="LW_EMISSION" w:val="9.4.2025"/>
    <w:docVar w:name="LW_EMISSION_ISODATE" w:val="2025-04-09"/>
    <w:docVar w:name="LW_EMISSION_LOCATION" w:val="BRX"/>
    <w:docVar w:name="LW_EMISSION_PREFIX" w:val="V Bruselu dne "/>
    <w:docVar w:name="LW_EMISSION_SUFFIX" w:val=" "/>
    <w:docVar w:name="LW_ID_DOCMODEL" w:val="SJ-043"/>
    <w:docVar w:name="LW_ID_DOCSIGNATURE" w:val="SJ-019"/>
    <w:docVar w:name="LW_ID_DOCSTRUCTURE" w:val="COM/PL/ORG"/>
    <w:docVar w:name="LW_ID_DOCTYPE" w:val="SJ-043"/>
    <w:docVar w:name="LW_ID_STATUT" w:val="SJ-019"/>
    <w:docVar w:name="LW_INSERT_EXP.MOTIFS.NEW" w:val="1"/>
    <w:docVar w:name="LW_INTERETEEE.CP" w:val="&lt;UNUSED&gt;"/>
    <w:docVar w:name="LW_LANGUE" w:val="CS"/>
    <w:docVar w:name="LW_LEVEL_OF_SENSITIVITY" w:val="Standard treatment"/>
    <w:docVar w:name="LW_NOM.INST" w:val="EVROPSKÁ KOMISE"/>
    <w:docVar w:name="LW_NOM.INST_JOINTDOC" w:val="&lt;EMPTY&gt;"/>
    <w:docVar w:name="LW_PART_NBR" w:val="1"/>
    <w:docVar w:name="LW_PART_NBR_TOTAL" w:val="1"/>
    <w:docVar w:name="LW_REF.II.NEW.CP" w:val="NLE"/>
    <w:docVar w:name="LW_REF.II.NEW.CP_NUMBER" w:val="0087"/>
    <w:docVar w:name="LW_REF.II.NEW.CP_YEAR" w:val="2025"/>
    <w:docVar w:name="LW_REF.INST.NEW" w:val="COM"/>
    <w:docVar w:name="LW_REF.INST.NEW_ADOPTED" w:val="final"/>
    <w:docVar w:name="LW_REF.INST.NEW_TEXT" w:val="(2025) 167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Návrh"/>
    <w:docVar w:name="LW_SUPERTITRE" w:val="&lt;UNUSED&gt;"/>
    <w:docVar w:name="LW_TITRE.OBJ.CP" w:val="o postoji, který má být zaujat jménem Evropské unie v Mezinárodní rad\u283? pro obiloviny k prodlou\u382?ení platnosti Úmluvy o obchodu s obilovinami z roku 1995"/>
    <w:docVar w:name="LW_TYPE.DOC.CP" w:val="ROZHODNUTÍ RADY"/>
    <w:docVar w:name="LwApiVersions" w:val="LW4CoDe 1.24.5.0; LW 9.0, Build 20240221"/>
  </w:docVars>
  <w:rsids>
    <w:rsidRoot w:val="00A93BF2"/>
    <w:rsid w:val="00001419"/>
    <w:rsid w:val="0000171C"/>
    <w:rsid w:val="00005BC6"/>
    <w:rsid w:val="00010744"/>
    <w:rsid w:val="00017CE2"/>
    <w:rsid w:val="000276E3"/>
    <w:rsid w:val="000365D9"/>
    <w:rsid w:val="000369CB"/>
    <w:rsid w:val="000517C5"/>
    <w:rsid w:val="000518A1"/>
    <w:rsid w:val="00061191"/>
    <w:rsid w:val="000823C7"/>
    <w:rsid w:val="000835E0"/>
    <w:rsid w:val="00083F17"/>
    <w:rsid w:val="000942FD"/>
    <w:rsid w:val="000B46A7"/>
    <w:rsid w:val="000B67C8"/>
    <w:rsid w:val="000C1332"/>
    <w:rsid w:val="000D0F3F"/>
    <w:rsid w:val="000D55B5"/>
    <w:rsid w:val="000E2AF2"/>
    <w:rsid w:val="0010030D"/>
    <w:rsid w:val="001030E0"/>
    <w:rsid w:val="00105D00"/>
    <w:rsid w:val="001065F5"/>
    <w:rsid w:val="00106A3B"/>
    <w:rsid w:val="0010774C"/>
    <w:rsid w:val="00110746"/>
    <w:rsid w:val="00112C68"/>
    <w:rsid w:val="00117389"/>
    <w:rsid w:val="001238EF"/>
    <w:rsid w:val="0012535A"/>
    <w:rsid w:val="00135AE8"/>
    <w:rsid w:val="00142389"/>
    <w:rsid w:val="00156A44"/>
    <w:rsid w:val="00170E41"/>
    <w:rsid w:val="00174487"/>
    <w:rsid w:val="00174E92"/>
    <w:rsid w:val="00181C14"/>
    <w:rsid w:val="00182391"/>
    <w:rsid w:val="001823A5"/>
    <w:rsid w:val="001858C7"/>
    <w:rsid w:val="0019099F"/>
    <w:rsid w:val="00192608"/>
    <w:rsid w:val="00197613"/>
    <w:rsid w:val="001A02E4"/>
    <w:rsid w:val="001A34D4"/>
    <w:rsid w:val="001A3A40"/>
    <w:rsid w:val="001B145D"/>
    <w:rsid w:val="001B65A6"/>
    <w:rsid w:val="001C6B17"/>
    <w:rsid w:val="001D3504"/>
    <w:rsid w:val="0020037D"/>
    <w:rsid w:val="00204F03"/>
    <w:rsid w:val="00217EB0"/>
    <w:rsid w:val="0023161B"/>
    <w:rsid w:val="00233DC7"/>
    <w:rsid w:val="0024268D"/>
    <w:rsid w:val="00242C67"/>
    <w:rsid w:val="00247779"/>
    <w:rsid w:val="00256803"/>
    <w:rsid w:val="002625C9"/>
    <w:rsid w:val="00262CEE"/>
    <w:rsid w:val="002803BD"/>
    <w:rsid w:val="0028071E"/>
    <w:rsid w:val="00285BEE"/>
    <w:rsid w:val="00291C68"/>
    <w:rsid w:val="0029533F"/>
    <w:rsid w:val="002B2165"/>
    <w:rsid w:val="002B30AF"/>
    <w:rsid w:val="002C0858"/>
    <w:rsid w:val="002C3E05"/>
    <w:rsid w:val="002E34D3"/>
    <w:rsid w:val="002E481E"/>
    <w:rsid w:val="002E73CA"/>
    <w:rsid w:val="002F242E"/>
    <w:rsid w:val="002F3E8F"/>
    <w:rsid w:val="002F7493"/>
    <w:rsid w:val="003133BA"/>
    <w:rsid w:val="003164B8"/>
    <w:rsid w:val="0033344A"/>
    <w:rsid w:val="0035560B"/>
    <w:rsid w:val="00356E42"/>
    <w:rsid w:val="00375BFB"/>
    <w:rsid w:val="00391E16"/>
    <w:rsid w:val="003A41CC"/>
    <w:rsid w:val="003C134C"/>
    <w:rsid w:val="003D24B0"/>
    <w:rsid w:val="003D308E"/>
    <w:rsid w:val="003D67D7"/>
    <w:rsid w:val="003D709F"/>
    <w:rsid w:val="003E4774"/>
    <w:rsid w:val="003F6C9A"/>
    <w:rsid w:val="00407FDA"/>
    <w:rsid w:val="00415D6F"/>
    <w:rsid w:val="00426077"/>
    <w:rsid w:val="0042648E"/>
    <w:rsid w:val="00432522"/>
    <w:rsid w:val="0043559B"/>
    <w:rsid w:val="00442050"/>
    <w:rsid w:val="0044287B"/>
    <w:rsid w:val="0044591A"/>
    <w:rsid w:val="00445A51"/>
    <w:rsid w:val="00450F51"/>
    <w:rsid w:val="00451A6E"/>
    <w:rsid w:val="0048066A"/>
    <w:rsid w:val="0048503B"/>
    <w:rsid w:val="00485422"/>
    <w:rsid w:val="004936D2"/>
    <w:rsid w:val="00493B3C"/>
    <w:rsid w:val="004A1B54"/>
    <w:rsid w:val="004A3B30"/>
    <w:rsid w:val="004B0234"/>
    <w:rsid w:val="004B21AA"/>
    <w:rsid w:val="004C0E20"/>
    <w:rsid w:val="004D11B6"/>
    <w:rsid w:val="004D26A0"/>
    <w:rsid w:val="004D3F72"/>
    <w:rsid w:val="004D586C"/>
    <w:rsid w:val="004D7817"/>
    <w:rsid w:val="004F28EF"/>
    <w:rsid w:val="004F6A93"/>
    <w:rsid w:val="00502F54"/>
    <w:rsid w:val="00521314"/>
    <w:rsid w:val="00524EA0"/>
    <w:rsid w:val="005264A3"/>
    <w:rsid w:val="00534F49"/>
    <w:rsid w:val="00536E99"/>
    <w:rsid w:val="0053735E"/>
    <w:rsid w:val="00542962"/>
    <w:rsid w:val="0054566D"/>
    <w:rsid w:val="00555DD3"/>
    <w:rsid w:val="005827BF"/>
    <w:rsid w:val="005A1242"/>
    <w:rsid w:val="005A178C"/>
    <w:rsid w:val="005A5949"/>
    <w:rsid w:val="005B1EB6"/>
    <w:rsid w:val="005B3B4B"/>
    <w:rsid w:val="005B591A"/>
    <w:rsid w:val="005C2EF0"/>
    <w:rsid w:val="005D2203"/>
    <w:rsid w:val="005E2A3E"/>
    <w:rsid w:val="005E3596"/>
    <w:rsid w:val="005E40F2"/>
    <w:rsid w:val="005F5AA2"/>
    <w:rsid w:val="00610C5A"/>
    <w:rsid w:val="00620EC3"/>
    <w:rsid w:val="006219ED"/>
    <w:rsid w:val="00623618"/>
    <w:rsid w:val="006252C1"/>
    <w:rsid w:val="006379B4"/>
    <w:rsid w:val="006405C5"/>
    <w:rsid w:val="006441C8"/>
    <w:rsid w:val="0065367C"/>
    <w:rsid w:val="00655C3D"/>
    <w:rsid w:val="00681687"/>
    <w:rsid w:val="00682A23"/>
    <w:rsid w:val="006A425A"/>
    <w:rsid w:val="006A7C0E"/>
    <w:rsid w:val="006D048C"/>
    <w:rsid w:val="006D218C"/>
    <w:rsid w:val="006F5ACD"/>
    <w:rsid w:val="00726A09"/>
    <w:rsid w:val="00730ABC"/>
    <w:rsid w:val="00730B98"/>
    <w:rsid w:val="00735FA5"/>
    <w:rsid w:val="00740969"/>
    <w:rsid w:val="00741BDB"/>
    <w:rsid w:val="00763562"/>
    <w:rsid w:val="00767998"/>
    <w:rsid w:val="007709F7"/>
    <w:rsid w:val="007716ED"/>
    <w:rsid w:val="00773331"/>
    <w:rsid w:val="00774158"/>
    <w:rsid w:val="007831DC"/>
    <w:rsid w:val="007932EF"/>
    <w:rsid w:val="007A4888"/>
    <w:rsid w:val="007A5E7F"/>
    <w:rsid w:val="007A5E85"/>
    <w:rsid w:val="007D6871"/>
    <w:rsid w:val="007E00BD"/>
    <w:rsid w:val="007E05B0"/>
    <w:rsid w:val="007E27A6"/>
    <w:rsid w:val="007E3307"/>
    <w:rsid w:val="0080510B"/>
    <w:rsid w:val="0084330F"/>
    <w:rsid w:val="008478CD"/>
    <w:rsid w:val="00856D25"/>
    <w:rsid w:val="00870AC2"/>
    <w:rsid w:val="00872629"/>
    <w:rsid w:val="00874C55"/>
    <w:rsid w:val="00874D22"/>
    <w:rsid w:val="00881AA6"/>
    <w:rsid w:val="008873AC"/>
    <w:rsid w:val="008A2914"/>
    <w:rsid w:val="008A2F9E"/>
    <w:rsid w:val="008A6E7F"/>
    <w:rsid w:val="008B1727"/>
    <w:rsid w:val="008E0771"/>
    <w:rsid w:val="008E4D8E"/>
    <w:rsid w:val="008F6773"/>
    <w:rsid w:val="00902675"/>
    <w:rsid w:val="00921C35"/>
    <w:rsid w:val="009268DD"/>
    <w:rsid w:val="00926C96"/>
    <w:rsid w:val="009277B2"/>
    <w:rsid w:val="009319C7"/>
    <w:rsid w:val="00932CFA"/>
    <w:rsid w:val="00935790"/>
    <w:rsid w:val="0096176C"/>
    <w:rsid w:val="00973D1D"/>
    <w:rsid w:val="00984B8A"/>
    <w:rsid w:val="00993EE5"/>
    <w:rsid w:val="00994FBF"/>
    <w:rsid w:val="009961A9"/>
    <w:rsid w:val="009A28B7"/>
    <w:rsid w:val="009A6F17"/>
    <w:rsid w:val="009B256B"/>
    <w:rsid w:val="009C2A6F"/>
    <w:rsid w:val="009C3C26"/>
    <w:rsid w:val="009C716A"/>
    <w:rsid w:val="009D0F43"/>
    <w:rsid w:val="00A1038D"/>
    <w:rsid w:val="00A13AF8"/>
    <w:rsid w:val="00A2485A"/>
    <w:rsid w:val="00A2656E"/>
    <w:rsid w:val="00A319B9"/>
    <w:rsid w:val="00A54C7B"/>
    <w:rsid w:val="00A579A4"/>
    <w:rsid w:val="00A739DF"/>
    <w:rsid w:val="00A7547E"/>
    <w:rsid w:val="00A806DD"/>
    <w:rsid w:val="00A80FF9"/>
    <w:rsid w:val="00A8371A"/>
    <w:rsid w:val="00A8735B"/>
    <w:rsid w:val="00A93BF2"/>
    <w:rsid w:val="00AA19E4"/>
    <w:rsid w:val="00AB285E"/>
    <w:rsid w:val="00AB32EC"/>
    <w:rsid w:val="00AB3B30"/>
    <w:rsid w:val="00AB79EA"/>
    <w:rsid w:val="00AC20D1"/>
    <w:rsid w:val="00AD13F8"/>
    <w:rsid w:val="00AD7A09"/>
    <w:rsid w:val="00B01F32"/>
    <w:rsid w:val="00B02311"/>
    <w:rsid w:val="00B036BE"/>
    <w:rsid w:val="00B0608F"/>
    <w:rsid w:val="00B10AA5"/>
    <w:rsid w:val="00B166FC"/>
    <w:rsid w:val="00B3375F"/>
    <w:rsid w:val="00B44023"/>
    <w:rsid w:val="00B546A6"/>
    <w:rsid w:val="00B6133D"/>
    <w:rsid w:val="00B6366E"/>
    <w:rsid w:val="00B857F3"/>
    <w:rsid w:val="00B878C4"/>
    <w:rsid w:val="00B9210A"/>
    <w:rsid w:val="00B96955"/>
    <w:rsid w:val="00BA1E21"/>
    <w:rsid w:val="00BA2A6D"/>
    <w:rsid w:val="00BB676C"/>
    <w:rsid w:val="00BB7BCF"/>
    <w:rsid w:val="00BC3976"/>
    <w:rsid w:val="00BC6E2C"/>
    <w:rsid w:val="00BC7897"/>
    <w:rsid w:val="00BD705F"/>
    <w:rsid w:val="00BE0CC7"/>
    <w:rsid w:val="00C0366A"/>
    <w:rsid w:val="00C116AD"/>
    <w:rsid w:val="00C12301"/>
    <w:rsid w:val="00C12486"/>
    <w:rsid w:val="00C17250"/>
    <w:rsid w:val="00C24EC1"/>
    <w:rsid w:val="00C31D11"/>
    <w:rsid w:val="00C3782D"/>
    <w:rsid w:val="00C45BAC"/>
    <w:rsid w:val="00C511C8"/>
    <w:rsid w:val="00C560D3"/>
    <w:rsid w:val="00C64B40"/>
    <w:rsid w:val="00C76B1D"/>
    <w:rsid w:val="00C84E3D"/>
    <w:rsid w:val="00C90F13"/>
    <w:rsid w:val="00C91EED"/>
    <w:rsid w:val="00CB7003"/>
    <w:rsid w:val="00CC2074"/>
    <w:rsid w:val="00CE7422"/>
    <w:rsid w:val="00D01CAF"/>
    <w:rsid w:val="00D054DC"/>
    <w:rsid w:val="00D17516"/>
    <w:rsid w:val="00D20381"/>
    <w:rsid w:val="00D23EA0"/>
    <w:rsid w:val="00D32EDB"/>
    <w:rsid w:val="00D37D77"/>
    <w:rsid w:val="00D51253"/>
    <w:rsid w:val="00D55282"/>
    <w:rsid w:val="00D875AE"/>
    <w:rsid w:val="00D95E23"/>
    <w:rsid w:val="00D97C13"/>
    <w:rsid w:val="00DB0664"/>
    <w:rsid w:val="00DB41F0"/>
    <w:rsid w:val="00DB73AC"/>
    <w:rsid w:val="00DC205F"/>
    <w:rsid w:val="00DC5196"/>
    <w:rsid w:val="00DD2FF9"/>
    <w:rsid w:val="00DD44C8"/>
    <w:rsid w:val="00DD5DDD"/>
    <w:rsid w:val="00DD691D"/>
    <w:rsid w:val="00DD7AC0"/>
    <w:rsid w:val="00DF6B83"/>
    <w:rsid w:val="00E0011A"/>
    <w:rsid w:val="00E01B4C"/>
    <w:rsid w:val="00E04B08"/>
    <w:rsid w:val="00E127F6"/>
    <w:rsid w:val="00E17DBC"/>
    <w:rsid w:val="00E2494E"/>
    <w:rsid w:val="00E36E64"/>
    <w:rsid w:val="00E625C3"/>
    <w:rsid w:val="00E71A7B"/>
    <w:rsid w:val="00E8152D"/>
    <w:rsid w:val="00E87A4A"/>
    <w:rsid w:val="00EA1C7B"/>
    <w:rsid w:val="00EE6365"/>
    <w:rsid w:val="00EE7A09"/>
    <w:rsid w:val="00EF20B9"/>
    <w:rsid w:val="00F02A97"/>
    <w:rsid w:val="00F2330B"/>
    <w:rsid w:val="00F26ACB"/>
    <w:rsid w:val="00F41550"/>
    <w:rsid w:val="00F73F5F"/>
    <w:rsid w:val="00F8208F"/>
    <w:rsid w:val="00FC38F8"/>
    <w:rsid w:val="00FD3831"/>
    <w:rsid w:val="00FE2705"/>
    <w:rsid w:val="00FF18D4"/>
    <w:rsid w:val="00FF2D02"/>
    <w:rsid w:val="02DD19C6"/>
    <w:rsid w:val="0A677C34"/>
    <w:rsid w:val="12FA1FED"/>
    <w:rsid w:val="1B6537B9"/>
    <w:rsid w:val="1EDE5E2E"/>
    <w:rsid w:val="1F216F90"/>
    <w:rsid w:val="2191CDD7"/>
    <w:rsid w:val="3191433F"/>
    <w:rsid w:val="32452739"/>
    <w:rsid w:val="36F6D138"/>
    <w:rsid w:val="393C11FF"/>
    <w:rsid w:val="49B92305"/>
    <w:rsid w:val="4C30CCC0"/>
    <w:rsid w:val="5F28C26A"/>
    <w:rsid w:val="635724BD"/>
    <w:rsid w:val="69297CB6"/>
    <w:rsid w:val="7D32F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08D35E60-35FE-4368-AD50-7F234955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43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43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43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43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43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43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43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4">
    <w:name w:val="List Bullet 4"/>
    <w:basedOn w:val="Normal"/>
    <w:rsid w:val="00A93BF2"/>
    <w:pPr>
      <w:numPr>
        <w:numId w:val="2"/>
      </w:numPr>
      <w:tabs>
        <w:tab w:val="num" w:pos="360"/>
      </w:tabs>
      <w:ind w:left="0" w:firstLine="0"/>
    </w:pPr>
    <w:rPr>
      <w:rFonts w:eastAsia="Times New Roman"/>
      <w:lang w:eastAsia="de-DE"/>
    </w:rPr>
  </w:style>
  <w:style w:type="paragraph" w:styleId="ListNumber">
    <w:name w:val="List Number"/>
    <w:basedOn w:val="Normal"/>
    <w:rsid w:val="00A93BF2"/>
    <w:pPr>
      <w:numPr>
        <w:numId w:val="6"/>
      </w:numPr>
    </w:pPr>
    <w:rPr>
      <w:rFonts w:eastAsia="Times New Roman"/>
      <w:lang w:eastAsia="de-DE"/>
    </w:rPr>
  </w:style>
  <w:style w:type="paragraph" w:customStyle="1" w:styleId="ListBullet1">
    <w:name w:val="List Bullet 1"/>
    <w:basedOn w:val="Normal"/>
    <w:rsid w:val="00A93BF2"/>
    <w:pPr>
      <w:numPr>
        <w:numId w:val="1"/>
      </w:numPr>
    </w:pPr>
    <w:rPr>
      <w:rFonts w:eastAsia="Times New Roman"/>
      <w:lang w:eastAsia="de-DE"/>
    </w:rPr>
  </w:style>
  <w:style w:type="paragraph" w:customStyle="1" w:styleId="ListDash">
    <w:name w:val="List Dash"/>
    <w:basedOn w:val="Normal"/>
    <w:rsid w:val="00A93BF2"/>
    <w:pPr>
      <w:numPr>
        <w:numId w:val="3"/>
      </w:numPr>
    </w:pPr>
    <w:rPr>
      <w:rFonts w:eastAsia="Times New Roman"/>
      <w:lang w:eastAsia="de-DE"/>
    </w:rPr>
  </w:style>
  <w:style w:type="paragraph" w:customStyle="1" w:styleId="ListDash1">
    <w:name w:val="List Dash 1"/>
    <w:basedOn w:val="Normal"/>
    <w:rsid w:val="00A93BF2"/>
    <w:pPr>
      <w:numPr>
        <w:numId w:val="4"/>
      </w:numPr>
    </w:pPr>
    <w:rPr>
      <w:rFonts w:eastAsia="Times New Roman"/>
      <w:lang w:eastAsia="de-DE"/>
    </w:rPr>
  </w:style>
  <w:style w:type="paragraph" w:customStyle="1" w:styleId="ListDash2">
    <w:name w:val="List Dash 2"/>
    <w:basedOn w:val="Normal"/>
    <w:rsid w:val="00A93BF2"/>
    <w:pPr>
      <w:numPr>
        <w:numId w:val="5"/>
      </w:numPr>
    </w:pPr>
    <w:rPr>
      <w:rFonts w:eastAsia="Times New Roman"/>
      <w:lang w:eastAsia="de-DE"/>
    </w:rPr>
  </w:style>
  <w:style w:type="paragraph" w:customStyle="1" w:styleId="ListNumberLevel2">
    <w:name w:val="List Number (Level 2)"/>
    <w:basedOn w:val="Normal"/>
    <w:rsid w:val="00A93BF2"/>
    <w:pPr>
      <w:numPr>
        <w:ilvl w:val="1"/>
        <w:numId w:val="6"/>
      </w:numPr>
    </w:pPr>
    <w:rPr>
      <w:rFonts w:eastAsia="Times New Roman"/>
      <w:lang w:eastAsia="de-DE"/>
    </w:rPr>
  </w:style>
  <w:style w:type="paragraph" w:customStyle="1" w:styleId="ListNumberLevel3">
    <w:name w:val="List Number (Level 3)"/>
    <w:basedOn w:val="Normal"/>
    <w:rsid w:val="00A93BF2"/>
    <w:pPr>
      <w:numPr>
        <w:ilvl w:val="2"/>
        <w:numId w:val="6"/>
      </w:numPr>
    </w:pPr>
    <w:rPr>
      <w:rFonts w:eastAsia="Times New Roman"/>
      <w:lang w:eastAsia="de-DE"/>
    </w:rPr>
  </w:style>
  <w:style w:type="paragraph" w:customStyle="1" w:styleId="ListNumberLevel4">
    <w:name w:val="List Number (Level 4)"/>
    <w:basedOn w:val="Normal"/>
    <w:rsid w:val="00A93BF2"/>
    <w:pPr>
      <w:numPr>
        <w:ilvl w:val="3"/>
        <w:numId w:val="6"/>
      </w:numPr>
    </w:pPr>
    <w:rPr>
      <w:rFonts w:eastAsia="Times New Roman"/>
      <w:lang w:eastAsia="de-DE"/>
    </w:rPr>
  </w:style>
  <w:style w:type="table" w:styleId="TableGrid">
    <w:name w:val="Table Grid"/>
    <w:basedOn w:val="TableNormal"/>
    <w:rsid w:val="00A93BF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93BF2"/>
    <w:rPr>
      <w:color w:val="0000FF"/>
      <w:u w:val="single"/>
    </w:rPr>
  </w:style>
  <w:style w:type="paragraph" w:styleId="ListBullet">
    <w:name w:val="List Bullet"/>
    <w:basedOn w:val="Normal"/>
    <w:rsid w:val="00A93BF2"/>
    <w:pPr>
      <w:numPr>
        <w:numId w:val="7"/>
      </w:numPr>
    </w:pPr>
    <w:rPr>
      <w:rFonts w:eastAsia="Times New Roman"/>
      <w:lang w:eastAsia="en-GB"/>
    </w:rPr>
  </w:style>
  <w:style w:type="paragraph" w:styleId="ListBullet2">
    <w:name w:val="List Bullet 2"/>
    <w:basedOn w:val="Normal"/>
    <w:rsid w:val="00A93BF2"/>
    <w:pPr>
      <w:numPr>
        <w:numId w:val="8"/>
      </w:numPr>
    </w:pPr>
    <w:rPr>
      <w:rFonts w:eastAsia="Times New Roman"/>
      <w:lang w:eastAsia="en-GB"/>
    </w:rPr>
  </w:style>
  <w:style w:type="paragraph" w:styleId="ListBullet3">
    <w:name w:val="List Bullet 3"/>
    <w:basedOn w:val="Normal"/>
    <w:rsid w:val="00A93BF2"/>
    <w:pPr>
      <w:numPr>
        <w:numId w:val="9"/>
      </w:numPr>
    </w:pPr>
    <w:rPr>
      <w:rFonts w:eastAsia="Times New Roman"/>
      <w:lang w:eastAsia="en-GB"/>
    </w:rPr>
  </w:style>
  <w:style w:type="paragraph" w:styleId="ListNumber2">
    <w:name w:val="List Number 2"/>
    <w:basedOn w:val="Normal"/>
    <w:rsid w:val="00A93BF2"/>
    <w:pPr>
      <w:numPr>
        <w:numId w:val="13"/>
      </w:numPr>
    </w:pPr>
    <w:rPr>
      <w:rFonts w:eastAsia="Times New Roman"/>
      <w:lang w:eastAsia="en-GB"/>
    </w:rPr>
  </w:style>
  <w:style w:type="paragraph" w:styleId="ListNumber3">
    <w:name w:val="List Number 3"/>
    <w:basedOn w:val="Normal"/>
    <w:rsid w:val="00A93BF2"/>
    <w:pPr>
      <w:numPr>
        <w:numId w:val="14"/>
      </w:numPr>
    </w:pPr>
    <w:rPr>
      <w:rFonts w:eastAsia="Times New Roman"/>
      <w:lang w:eastAsia="en-GB"/>
    </w:rPr>
  </w:style>
  <w:style w:type="paragraph" w:styleId="ListNumber4">
    <w:name w:val="List Number 4"/>
    <w:basedOn w:val="Normal"/>
    <w:rsid w:val="00A93BF2"/>
    <w:pPr>
      <w:numPr>
        <w:numId w:val="15"/>
      </w:numPr>
    </w:pPr>
    <w:rPr>
      <w:rFonts w:eastAsia="Times New Roman"/>
      <w:lang w:eastAsia="en-GB"/>
    </w:rPr>
  </w:style>
  <w:style w:type="paragraph" w:customStyle="1" w:styleId="ListDash3">
    <w:name w:val="List Dash 3"/>
    <w:basedOn w:val="Normal"/>
    <w:rsid w:val="00A93BF2"/>
    <w:pPr>
      <w:numPr>
        <w:numId w:val="10"/>
      </w:numPr>
    </w:pPr>
    <w:rPr>
      <w:rFonts w:eastAsia="Times New Roman"/>
      <w:lang w:eastAsia="en-GB"/>
    </w:rPr>
  </w:style>
  <w:style w:type="paragraph" w:customStyle="1" w:styleId="ListDash4">
    <w:name w:val="List Dash 4"/>
    <w:basedOn w:val="Normal"/>
    <w:rsid w:val="00A93BF2"/>
    <w:pPr>
      <w:numPr>
        <w:numId w:val="11"/>
      </w:numPr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A93BF2"/>
    <w:pPr>
      <w:numPr>
        <w:numId w:val="12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93BF2"/>
    <w:pPr>
      <w:numPr>
        <w:ilvl w:val="1"/>
        <w:numId w:val="12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93BF2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93BF2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93BF2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93BF2"/>
    <w:pPr>
      <w:numPr>
        <w:ilvl w:val="2"/>
        <w:numId w:val="12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93BF2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93BF2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93BF2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93BF2"/>
    <w:pPr>
      <w:numPr>
        <w:ilvl w:val="3"/>
        <w:numId w:val="12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93BF2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93BF2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93BF2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fichefinacte">
    <w:name w:val="Annexe titre (fiche fin. act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globale">
    <w:name w:val="Annexe titre (global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Exposdesmotifstitreglobal">
    <w:name w:val="Exposé des motifs titre (global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Langueoriginale">
    <w:name w:val="Langue originale"/>
    <w:basedOn w:val="Normal"/>
    <w:rsid w:val="00A93BF2"/>
    <w:pPr>
      <w:spacing w:before="360"/>
      <w:jc w:val="center"/>
    </w:pPr>
    <w:rPr>
      <w:rFonts w:eastAsia="Times New Roman"/>
      <w:caps/>
      <w:lang w:eastAsia="en-GB"/>
    </w:rPr>
  </w:style>
  <w:style w:type="paragraph" w:customStyle="1" w:styleId="Phrasefinale">
    <w:name w:val="Phrase finale"/>
    <w:basedOn w:val="Normal"/>
    <w:next w:val="Normal"/>
    <w:rsid w:val="00A93BF2"/>
    <w:pPr>
      <w:spacing w:before="360" w:after="0"/>
      <w:jc w:val="center"/>
    </w:pPr>
    <w:rPr>
      <w:rFonts w:eastAsia="Times New Roman"/>
      <w:lang w:eastAsia="en-GB"/>
    </w:rPr>
  </w:style>
  <w:style w:type="paragraph" w:customStyle="1" w:styleId="Prliminairetitre">
    <w:name w:val="Préliminaire titre"/>
    <w:basedOn w:val="Normal"/>
    <w:next w:val="Normal"/>
    <w:rsid w:val="00A93BF2"/>
    <w:pPr>
      <w:spacing w:before="360" w:after="360"/>
      <w:jc w:val="center"/>
    </w:pPr>
    <w:rPr>
      <w:rFonts w:eastAsia="Times New Roman"/>
      <w:b/>
      <w:lang w:eastAsia="en-GB"/>
    </w:rPr>
  </w:style>
  <w:style w:type="paragraph" w:customStyle="1" w:styleId="Prliminairetype">
    <w:name w:val="Préliminaire type"/>
    <w:basedOn w:val="Normal"/>
    <w:next w:val="Normal"/>
    <w:rsid w:val="00A93BF2"/>
    <w:pPr>
      <w:spacing w:before="360" w:after="0"/>
      <w:jc w:val="center"/>
    </w:pPr>
    <w:rPr>
      <w:rFonts w:eastAsia="Times New Roman"/>
      <w:b/>
      <w:lang w:eastAsia="en-GB"/>
    </w:rPr>
  </w:style>
  <w:style w:type="paragraph" w:customStyle="1" w:styleId="Rfrenceinstitutionelle">
    <w:name w:val="Référence institutionelle"/>
    <w:basedOn w:val="Normal"/>
    <w:next w:val="Statut"/>
    <w:rsid w:val="00A93BF2"/>
    <w:pPr>
      <w:spacing w:before="0" w:after="240"/>
      <w:ind w:left="5103"/>
      <w:jc w:val="left"/>
    </w:pPr>
    <w:rPr>
      <w:rFonts w:eastAsia="Times New Roman"/>
      <w:lang w:eastAsia="en-GB"/>
    </w:rPr>
  </w:style>
  <w:style w:type="paragraph" w:customStyle="1" w:styleId="Rfrenceinterinstitutionelle">
    <w:name w:val="Référence interinstitutionelle"/>
    <w:basedOn w:val="Normal"/>
    <w:next w:val="Statut"/>
    <w:rsid w:val="00A93BF2"/>
    <w:pPr>
      <w:spacing w:before="0" w:after="0"/>
      <w:ind w:left="5103"/>
      <w:jc w:val="left"/>
    </w:pPr>
    <w:rPr>
      <w:rFonts w:eastAsia="Times New Roman"/>
      <w:lang w:eastAsia="en-GB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93BF2"/>
    <w:pPr>
      <w:spacing w:before="0" w:after="0"/>
      <w:ind w:left="5103"/>
      <w:jc w:val="left"/>
    </w:pPr>
    <w:rPr>
      <w:rFonts w:eastAsia="Times New Roman"/>
      <w:lang w:eastAsia="en-GB"/>
    </w:rPr>
  </w:style>
  <w:style w:type="paragraph" w:customStyle="1" w:styleId="Sous-titreobjetprliminaire">
    <w:name w:val="Sous-titre objet (préliminaire)"/>
    <w:basedOn w:val="Normal"/>
    <w:rsid w:val="00A93BF2"/>
    <w:pPr>
      <w:spacing w:before="0" w:after="0"/>
      <w:jc w:val="center"/>
    </w:pPr>
    <w:rPr>
      <w:rFonts w:eastAsia="Times New Roman"/>
      <w:b/>
      <w:lang w:eastAsia="en-GB"/>
    </w:rPr>
  </w:style>
  <w:style w:type="paragraph" w:customStyle="1" w:styleId="Statutprliminaire">
    <w:name w:val="Statut (préliminaire)"/>
    <w:basedOn w:val="Normal"/>
    <w:next w:val="Normal"/>
    <w:rsid w:val="00A93BF2"/>
    <w:pPr>
      <w:spacing w:before="360" w:after="0"/>
      <w:jc w:val="center"/>
    </w:pPr>
    <w:rPr>
      <w:rFonts w:eastAsia="Times New Roman"/>
      <w:lang w:eastAsia="en-GB"/>
    </w:rPr>
  </w:style>
  <w:style w:type="paragraph" w:customStyle="1" w:styleId="Titreobjetprliminaire">
    <w:name w:val="Titre objet (préliminaire)"/>
    <w:basedOn w:val="Normal"/>
    <w:next w:val="Normal"/>
    <w:rsid w:val="00A93BF2"/>
    <w:pPr>
      <w:spacing w:before="360" w:after="360"/>
      <w:jc w:val="center"/>
    </w:pPr>
    <w:rPr>
      <w:rFonts w:eastAsia="Times New Roman"/>
      <w:b/>
      <w:lang w:eastAsia="en-GB"/>
    </w:rPr>
  </w:style>
  <w:style w:type="paragraph" w:customStyle="1" w:styleId="Typedudocumentprliminaire">
    <w:name w:val="Type du document (préliminaire)"/>
    <w:basedOn w:val="Normal"/>
    <w:next w:val="Normal"/>
    <w:rsid w:val="00A93BF2"/>
    <w:pPr>
      <w:spacing w:before="360" w:after="0"/>
      <w:jc w:val="center"/>
    </w:pPr>
    <w:rPr>
      <w:rFonts w:eastAsia="Times New Roman"/>
      <w:b/>
      <w:lang w:eastAsia="en-GB"/>
    </w:rPr>
  </w:style>
  <w:style w:type="paragraph" w:customStyle="1" w:styleId="Fichefinancirestandardtitre">
    <w:name w:val="Fiche financière (standard) titre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standardtitreacte">
    <w:name w:val="Fiche financière (standard) titre (act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travailtitre">
    <w:name w:val="Fiche financière (travail) titre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travailtitreacte">
    <w:name w:val="Fiche financière (travail) titre (act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attributiontitre">
    <w:name w:val="Fiche financière (attribution) titre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attributiontitreacte">
    <w:name w:val="Fiche financière (attribution) titre (acte)"/>
    <w:basedOn w:val="Normal"/>
    <w:next w:val="Normal"/>
    <w:rsid w:val="00A93BF2"/>
    <w:pPr>
      <w:jc w:val="center"/>
    </w:pPr>
    <w:rPr>
      <w:rFonts w:eastAsia="Times New Roman"/>
      <w:b/>
      <w:u w:val="single"/>
      <w:lang w:eastAsia="en-GB"/>
    </w:rPr>
  </w:style>
  <w:style w:type="character" w:styleId="CommentReference">
    <w:name w:val="annotation reference"/>
    <w:rsid w:val="00A93B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A93BF2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A93BF2"/>
    <w:rPr>
      <w:rFonts w:ascii="Times New Roman" w:eastAsia="Times New Roman" w:hAnsi="Times New Roman" w:cs="Times New Roman"/>
      <w:sz w:val="20"/>
      <w:szCs w:val="20"/>
      <w:lang w:val="cs-CZ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A93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3BF2"/>
    <w:rPr>
      <w:rFonts w:ascii="Times New Roman" w:eastAsia="Times New Roman" w:hAnsi="Times New Roman" w:cs="Times New Roman"/>
      <w:b/>
      <w:bCs/>
      <w:sz w:val="20"/>
      <w:szCs w:val="20"/>
      <w:lang w:val="cs-CZ" w:eastAsia="en-GB"/>
    </w:rPr>
  </w:style>
  <w:style w:type="paragraph" w:styleId="BalloonText">
    <w:name w:val="Balloon Text"/>
    <w:basedOn w:val="Normal"/>
    <w:link w:val="BalloonTextChar"/>
    <w:rsid w:val="00A93BF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A93BF2"/>
    <w:rPr>
      <w:rFonts w:ascii="Tahoma" w:eastAsia="Times New Roman" w:hAnsi="Tahoma" w:cs="Tahoma"/>
      <w:sz w:val="16"/>
      <w:szCs w:val="16"/>
      <w:lang w:val="cs-CZ" w:eastAsia="en-GB"/>
    </w:rPr>
  </w:style>
  <w:style w:type="paragraph" w:styleId="Caption">
    <w:name w:val="caption"/>
    <w:basedOn w:val="Normal"/>
    <w:next w:val="Normal"/>
    <w:qFormat/>
    <w:rsid w:val="00A93BF2"/>
    <w:rPr>
      <w:rFonts w:eastAsia="Times New Roman"/>
      <w:b/>
      <w:bCs/>
      <w:sz w:val="20"/>
      <w:szCs w:val="20"/>
      <w:lang w:eastAsia="en-GB"/>
    </w:rPr>
  </w:style>
  <w:style w:type="paragraph" w:styleId="TableofFigures">
    <w:name w:val="table of figures"/>
    <w:basedOn w:val="Normal"/>
    <w:next w:val="Normal"/>
    <w:rsid w:val="00A93BF2"/>
    <w:rPr>
      <w:rFonts w:eastAsia="Times New Roman"/>
      <w:lang w:eastAsia="en-GB"/>
    </w:rPr>
  </w:style>
  <w:style w:type="character" w:styleId="PageNumber">
    <w:name w:val="page number"/>
    <w:rsid w:val="00A93BF2"/>
  </w:style>
  <w:style w:type="character" w:customStyle="1" w:styleId="tw4winMark">
    <w:name w:val="tw4winMark"/>
    <w:rsid w:val="00A93BF2"/>
    <w:rPr>
      <w:vanish/>
      <w:color w:val="800080"/>
      <w:vertAlign w:val="subscript"/>
    </w:rPr>
  </w:style>
  <w:style w:type="character" w:styleId="FollowedHyperlink">
    <w:name w:val="FollowedHyperlink"/>
    <w:rsid w:val="00A93BF2"/>
    <w:rPr>
      <w:color w:val="800080"/>
      <w:u w:val="single"/>
    </w:rPr>
  </w:style>
  <w:style w:type="paragraph" w:customStyle="1" w:styleId="Sous-titreobjet">
    <w:name w:val="Sous-titre objet"/>
    <w:basedOn w:val="Normal"/>
    <w:rsid w:val="00A93BF2"/>
    <w:pPr>
      <w:spacing w:before="0" w:after="0"/>
      <w:jc w:val="center"/>
    </w:pPr>
    <w:rPr>
      <w:rFonts w:eastAsia="Times New Roman"/>
      <w:b/>
      <w:lang w:eastAsia="en-GB"/>
    </w:rPr>
  </w:style>
  <w:style w:type="paragraph" w:customStyle="1" w:styleId="Sous-titreobjetPagedecouverture">
    <w:name w:val="Sous-titre objet (Page de couverture)"/>
    <w:basedOn w:val="Sous-titreobjet"/>
    <w:rsid w:val="00A93BF2"/>
  </w:style>
  <w:style w:type="paragraph" w:styleId="Revision">
    <w:name w:val="Revision"/>
    <w:hidden/>
    <w:uiPriority w:val="99"/>
    <w:semiHidden/>
    <w:rsid w:val="00A93BF2"/>
    <w:rPr>
      <w:rFonts w:ascii="Calibri" w:eastAsia="Calibri" w:hAnsi="Calibri" w:cs="Times New Roman"/>
      <w:sz w:val="24"/>
      <w:lang w:eastAsia="en-GB"/>
    </w:rPr>
  </w:style>
  <w:style w:type="paragraph" w:customStyle="1" w:styleId="FooterCoverPage">
    <w:name w:val="Footer Cover Page"/>
    <w:basedOn w:val="Normal"/>
    <w:link w:val="FooterCoverPageChar"/>
    <w:rsid w:val="00A93BF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rFonts w:eastAsia="Calibri"/>
      <w:lang w:eastAsia="en-GB"/>
    </w:rPr>
  </w:style>
  <w:style w:type="character" w:customStyle="1" w:styleId="TOCHeadingChar">
    <w:name w:val="TOC Heading Char"/>
    <w:uiPriority w:val="39"/>
    <w:rsid w:val="00A93BF2"/>
    <w:rPr>
      <w:rFonts w:ascii="Times New Roman" w:hAnsi="Times New Roman" w:cs="Times New Roman"/>
      <w:b/>
      <w:sz w:val="28"/>
      <w:lang w:val="cs-CZ"/>
    </w:rPr>
  </w:style>
  <w:style w:type="character" w:customStyle="1" w:styleId="FooterCoverPageChar">
    <w:name w:val="Footer Cover Page Char"/>
    <w:link w:val="FooterCoverPage"/>
    <w:rsid w:val="00A93BF2"/>
    <w:rPr>
      <w:rFonts w:ascii="Times New Roman" w:eastAsia="Calibri" w:hAnsi="Times New Roman" w:cs="Times New Roman"/>
      <w:sz w:val="24"/>
      <w:lang w:val="cs-CZ" w:eastAsia="en-GB"/>
    </w:rPr>
  </w:style>
  <w:style w:type="paragraph" w:customStyle="1" w:styleId="HeaderCoverPage">
    <w:name w:val="Header Cover Page"/>
    <w:basedOn w:val="Normal"/>
    <w:link w:val="HeaderCoverPageChar"/>
    <w:rsid w:val="00A93BF2"/>
    <w:pPr>
      <w:tabs>
        <w:tab w:val="center" w:pos="4535"/>
        <w:tab w:val="right" w:pos="9071"/>
      </w:tabs>
      <w:spacing w:before="0"/>
    </w:pPr>
    <w:rPr>
      <w:rFonts w:eastAsia="Calibri"/>
      <w:lang w:eastAsia="en-GB"/>
    </w:rPr>
  </w:style>
  <w:style w:type="character" w:customStyle="1" w:styleId="HeaderCoverPageChar">
    <w:name w:val="Header Cover Page Char"/>
    <w:link w:val="HeaderCoverPage"/>
    <w:rsid w:val="00A93BF2"/>
    <w:rPr>
      <w:rFonts w:ascii="Times New Roman" w:eastAsia="Calibri" w:hAnsi="Times New Roman" w:cs="Times New Roman"/>
      <w:sz w:val="24"/>
      <w:lang w:val="cs-CZ" w:eastAsia="en-GB"/>
    </w:rPr>
  </w:style>
  <w:style w:type="character" w:customStyle="1" w:styleId="FooterSensitivityChar">
    <w:name w:val="Footer Sensitivity Char"/>
    <w:rsid w:val="00A93BF2"/>
    <w:rPr>
      <w:rFonts w:ascii="Times New Roman" w:hAnsi="Times New Roman" w:cs="Times New Roman"/>
      <w:b/>
      <w:sz w:val="32"/>
      <w:lang w:val="cs-CZ"/>
    </w:rPr>
  </w:style>
  <w:style w:type="character" w:customStyle="1" w:styleId="HeaderSensitivityChar">
    <w:name w:val="Header Sensitivity Char"/>
    <w:rsid w:val="00A93BF2"/>
    <w:rPr>
      <w:rFonts w:ascii="Times New Roman" w:hAnsi="Times New Roman" w:cs="Times New Roman"/>
      <w:b/>
      <w:sz w:val="32"/>
      <w:lang w:val="cs-CZ"/>
    </w:rPr>
  </w:style>
  <w:style w:type="character" w:customStyle="1" w:styleId="HeaderSensitivityRightChar">
    <w:name w:val="Header Sensitivity Right Char"/>
    <w:rsid w:val="00A93BF2"/>
    <w:rPr>
      <w:rFonts w:ascii="Times New Roman" w:hAnsi="Times New Roman" w:cs="Times New Roman"/>
      <w:sz w:val="28"/>
      <w:lang w:val="cs-CZ"/>
    </w:rPr>
  </w:style>
  <w:style w:type="paragraph" w:customStyle="1" w:styleId="LegalNumPar">
    <w:name w:val="LegalNumPar"/>
    <w:basedOn w:val="Normal"/>
    <w:rsid w:val="00A93BF2"/>
    <w:pPr>
      <w:numPr>
        <w:numId w:val="16"/>
      </w:numPr>
      <w:spacing w:line="360" w:lineRule="auto"/>
    </w:pPr>
    <w:rPr>
      <w:rFonts w:eastAsia="Times New Roman"/>
      <w:lang w:eastAsia="en-GB"/>
    </w:rPr>
  </w:style>
  <w:style w:type="paragraph" w:customStyle="1" w:styleId="LegalNumPar2">
    <w:name w:val="LegalNumPar2"/>
    <w:basedOn w:val="Normal"/>
    <w:rsid w:val="00A93BF2"/>
    <w:pPr>
      <w:numPr>
        <w:ilvl w:val="1"/>
        <w:numId w:val="16"/>
      </w:numPr>
      <w:spacing w:line="360" w:lineRule="auto"/>
    </w:pPr>
    <w:rPr>
      <w:rFonts w:eastAsia="Times New Roman"/>
      <w:lang w:eastAsia="en-GB"/>
    </w:rPr>
  </w:style>
  <w:style w:type="paragraph" w:customStyle="1" w:styleId="LegalNumPar3">
    <w:name w:val="LegalNumPar3"/>
    <w:basedOn w:val="Normal"/>
    <w:rsid w:val="00A93BF2"/>
    <w:pPr>
      <w:numPr>
        <w:ilvl w:val="2"/>
        <w:numId w:val="16"/>
      </w:numPr>
      <w:spacing w:line="360" w:lineRule="auto"/>
    </w:pPr>
    <w:rPr>
      <w:rFonts w:eastAsia="Times New Roman"/>
      <w:lang w:eastAsia="en-GB"/>
    </w:rPr>
  </w:style>
  <w:style w:type="paragraph" w:styleId="ListParagraph">
    <w:name w:val="List Paragraph"/>
    <w:basedOn w:val="Normal"/>
    <w:uiPriority w:val="34"/>
    <w:qFormat/>
    <w:rsid w:val="00A93BF2"/>
    <w:pPr>
      <w:ind w:left="720"/>
      <w:contextualSpacing/>
    </w:pPr>
    <w:rPr>
      <w:rFonts w:eastAsia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3BF2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A93BF2"/>
    <w:rPr>
      <w:b/>
      <w:bCs/>
    </w:rPr>
  </w:style>
  <w:style w:type="character" w:styleId="Emphasis">
    <w:name w:val="Emphasis"/>
    <w:basedOn w:val="DefaultParagraphFont"/>
    <w:qFormat/>
    <w:rsid w:val="00A93BF2"/>
    <w:rPr>
      <w:i/>
      <w:iCs/>
    </w:rPr>
  </w:style>
  <w:style w:type="character" w:customStyle="1" w:styleId="Mention">
    <w:name w:val="Mention"/>
    <w:basedOn w:val="DefaultParagraphFont"/>
    <w:uiPriority w:val="99"/>
    <w:unhideWhenUsed/>
    <w:rsid w:val="00A93BF2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A93BF2"/>
  </w:style>
  <w:style w:type="character" w:customStyle="1" w:styleId="eop">
    <w:name w:val="eop"/>
    <w:basedOn w:val="DefaultParagraphFont"/>
    <w:rsid w:val="00A93BF2"/>
  </w:style>
  <w:style w:type="paragraph" w:customStyle="1" w:styleId="Fichefinanciretextetable">
    <w:name w:val="Fiche financière texte (table)"/>
    <w:basedOn w:val="Normal"/>
    <w:rsid w:val="003D24B0"/>
    <w:pPr>
      <w:spacing w:before="0" w:after="0"/>
      <w:jc w:val="left"/>
    </w:pPr>
    <w:rPr>
      <w:rFonts w:eastAsia="Times New Roman"/>
      <w:sz w:val="20"/>
      <w:szCs w:val="20"/>
      <w:lang w:eastAsia="en-GB"/>
    </w:rPr>
  </w:style>
  <w:style w:type="paragraph" w:customStyle="1" w:styleId="Fichefinanciretitretable">
    <w:name w:val="Fiche financière titre (table)"/>
    <w:basedOn w:val="Normal"/>
    <w:rsid w:val="003D24B0"/>
    <w:pPr>
      <w:jc w:val="center"/>
    </w:pPr>
    <w:rPr>
      <w:rFonts w:eastAsia="Times New Roman"/>
      <w:b/>
      <w:sz w:val="4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D2203"/>
    <w:rPr>
      <w:rFonts w:ascii="Times New Roman" w:hAnsi="Times New Roman" w:cs="Times New Roman"/>
      <w:sz w:val="24"/>
      <w:lang w:val="cs-CZ"/>
    </w:rPr>
  </w:style>
  <w:style w:type="character" w:customStyle="1" w:styleId="FooterChar">
    <w:name w:val="Footer Char"/>
    <w:basedOn w:val="DefaultParagraphFont"/>
    <w:link w:val="Footer"/>
    <w:uiPriority w:val="99"/>
    <w:rsid w:val="005D2203"/>
    <w:rPr>
      <w:rFonts w:ascii="Times New Roman" w:hAnsi="Times New Roman" w:cs="Times New Roman"/>
      <w:sz w:val="24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shd w:val="clear" w:color="auto" w:fill="auto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5D22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5D2203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5D22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36"/>
      </w:numPr>
    </w:pPr>
  </w:style>
  <w:style w:type="paragraph" w:customStyle="1" w:styleId="Tiret1">
    <w:name w:val="Tiret 1"/>
    <w:basedOn w:val="Point1"/>
    <w:pPr>
      <w:numPr>
        <w:numId w:val="37"/>
      </w:numPr>
    </w:pPr>
  </w:style>
  <w:style w:type="paragraph" w:customStyle="1" w:styleId="Tiret2">
    <w:name w:val="Tiret 2"/>
    <w:basedOn w:val="Point2"/>
    <w:pPr>
      <w:numPr>
        <w:numId w:val="38"/>
      </w:numPr>
    </w:pPr>
  </w:style>
  <w:style w:type="paragraph" w:customStyle="1" w:styleId="Tiret3">
    <w:name w:val="Tiret 3"/>
    <w:basedOn w:val="Point3"/>
    <w:pPr>
      <w:numPr>
        <w:numId w:val="39"/>
      </w:numPr>
    </w:pPr>
  </w:style>
  <w:style w:type="paragraph" w:customStyle="1" w:styleId="Tiret4">
    <w:name w:val="Tiret 4"/>
    <w:basedOn w:val="Point4"/>
    <w:pPr>
      <w:numPr>
        <w:numId w:val="40"/>
      </w:numPr>
    </w:pPr>
  </w:style>
  <w:style w:type="paragraph" w:customStyle="1" w:styleId="Tiret5">
    <w:name w:val="Tiret 5"/>
    <w:basedOn w:val="Point5"/>
    <w:pPr>
      <w:numPr>
        <w:numId w:val="41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42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42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42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42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42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42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42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44"/>
      </w:numPr>
    </w:pPr>
  </w:style>
  <w:style w:type="paragraph" w:customStyle="1" w:styleId="Point1number">
    <w:name w:val="Point 1 (number)"/>
    <w:basedOn w:val="Normal"/>
    <w:pPr>
      <w:numPr>
        <w:ilvl w:val="2"/>
        <w:numId w:val="44"/>
      </w:numPr>
    </w:pPr>
  </w:style>
  <w:style w:type="paragraph" w:customStyle="1" w:styleId="Point2number">
    <w:name w:val="Point 2 (number)"/>
    <w:basedOn w:val="Normal"/>
    <w:pPr>
      <w:numPr>
        <w:ilvl w:val="4"/>
        <w:numId w:val="44"/>
      </w:numPr>
    </w:pPr>
  </w:style>
  <w:style w:type="paragraph" w:customStyle="1" w:styleId="Point3number">
    <w:name w:val="Point 3 (number)"/>
    <w:basedOn w:val="Normal"/>
    <w:pPr>
      <w:numPr>
        <w:ilvl w:val="6"/>
        <w:numId w:val="44"/>
      </w:numPr>
    </w:pPr>
  </w:style>
  <w:style w:type="paragraph" w:customStyle="1" w:styleId="Point0letter">
    <w:name w:val="Point 0 (letter)"/>
    <w:basedOn w:val="Normal"/>
    <w:pPr>
      <w:numPr>
        <w:ilvl w:val="1"/>
        <w:numId w:val="44"/>
      </w:numPr>
    </w:pPr>
  </w:style>
  <w:style w:type="paragraph" w:customStyle="1" w:styleId="Point1letter">
    <w:name w:val="Point 1 (letter)"/>
    <w:basedOn w:val="Normal"/>
    <w:pPr>
      <w:numPr>
        <w:ilvl w:val="3"/>
        <w:numId w:val="44"/>
      </w:numPr>
    </w:pPr>
  </w:style>
  <w:style w:type="paragraph" w:customStyle="1" w:styleId="Point2letter">
    <w:name w:val="Point 2 (letter)"/>
    <w:basedOn w:val="Normal"/>
    <w:pPr>
      <w:numPr>
        <w:ilvl w:val="5"/>
        <w:numId w:val="44"/>
      </w:numPr>
    </w:pPr>
  </w:style>
  <w:style w:type="paragraph" w:customStyle="1" w:styleId="Point3letter">
    <w:name w:val="Point 3 (letter)"/>
    <w:basedOn w:val="Normal"/>
    <w:pPr>
      <w:numPr>
        <w:ilvl w:val="7"/>
        <w:numId w:val="44"/>
      </w:numPr>
    </w:pPr>
  </w:style>
  <w:style w:type="paragraph" w:customStyle="1" w:styleId="Point4letter">
    <w:name w:val="Point 4 (letter)"/>
    <w:basedOn w:val="Normal"/>
    <w:pPr>
      <w:numPr>
        <w:ilvl w:val="8"/>
        <w:numId w:val="44"/>
      </w:numPr>
    </w:pPr>
  </w:style>
  <w:style w:type="paragraph" w:customStyle="1" w:styleId="Bullet0">
    <w:name w:val="Bullet 0"/>
    <w:basedOn w:val="Normal"/>
    <w:pPr>
      <w:numPr>
        <w:numId w:val="45"/>
      </w:numPr>
    </w:pPr>
  </w:style>
  <w:style w:type="paragraph" w:customStyle="1" w:styleId="Bullet1">
    <w:name w:val="Bullet 1"/>
    <w:basedOn w:val="Normal"/>
    <w:pPr>
      <w:numPr>
        <w:numId w:val="46"/>
      </w:numPr>
    </w:pPr>
  </w:style>
  <w:style w:type="paragraph" w:customStyle="1" w:styleId="Bullet2">
    <w:name w:val="Bullet 2"/>
    <w:basedOn w:val="Normal"/>
    <w:pPr>
      <w:numPr>
        <w:numId w:val="47"/>
      </w:numPr>
    </w:pPr>
  </w:style>
  <w:style w:type="paragraph" w:customStyle="1" w:styleId="Bullet3">
    <w:name w:val="Bullet 3"/>
    <w:basedOn w:val="Normal"/>
    <w:pPr>
      <w:numPr>
        <w:numId w:val="48"/>
      </w:numPr>
    </w:pPr>
  </w:style>
  <w:style w:type="paragraph" w:customStyle="1" w:styleId="Bullet4">
    <w:name w:val="Bullet 4"/>
    <w:basedOn w:val="Normal"/>
    <w:pPr>
      <w:numPr>
        <w:numId w:val="49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50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D2203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5D2203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5D220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5D2203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ebgate.ec.testa.eu/Ares/document/show.do?documentId=080166e517a5d51a&amp;timestamp=1740387446218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_rels/footnotes.xml.rels><?xml version='1.0' encoding='UTF-8' standalone='yes'?>
<Relationships xmlns="http://schemas.openxmlformats.org/package/2006/relationships"><Relationship Id="rId1" Type="http://schemas.openxmlformats.org/officeDocument/2006/relationships/hyperlink" Target="http://data.europa.eu/eli/dec/2023/991/oj).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Reference xmlns="144c03d0-0f03-451f-9d46-5279004462a4" xsi:nil="true"/>
    <EC_Collab_Status xmlns="144c03d0-0f03-451f-9d46-5279004462a4">Not Started</EC_Collab_Status>
    <_Status xmlns="http://schemas.microsoft.com/sharepoint/v3/fields">Not Started</_Status>
    <EC_Collab_DocumentLanguage xmlns="144c03d0-0f03-451f-9d46-5279004462a4">EN</EC_Collab_DocumentLanguage>
    <lcf76f155ced4ddcb4097134ff3c332f xmlns="f7bb8512-91eb-4bfd-be42-d6f021407e9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144c03d0-0f03-451f-9d46-5279004462a4" xsi:nil="true"/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BAD999D84E12C74482EA5120F5227F6F00217DECAAC21D6B43958DFE68658C192E" ma:contentTypeVersion="27" ma:contentTypeDescription="Create a new document in this library." ma:contentTypeScope="" ma:versionID="e7e27166b6ddd379314dbc4ffb647a9d">
  <xsd:schema xmlns:xsd="http://www.w3.org/2001/XMLSchema" xmlns:xs="http://www.w3.org/2001/XMLSchema" xmlns:p="http://schemas.microsoft.com/office/2006/metadata/properties" xmlns:ns2="http://schemas.microsoft.com/sharepoint/v3/fields" xmlns:ns3="144c03d0-0f03-451f-9d46-5279004462a4" xmlns:ns4="f7bb8512-91eb-4bfd-be42-d6f021407e9a" targetNamespace="http://schemas.microsoft.com/office/2006/metadata/properties" ma:root="true" ma:fieldsID="6ba0d890b3d934a84d947fa41105d8de" ns2:_="" ns3:_="" ns4:_="">
    <xsd:import namespace="http://schemas.microsoft.com/sharepoint/v3/fields"/>
    <xsd:import namespace="144c03d0-0f03-451f-9d46-5279004462a4"/>
    <xsd:import namespace="f7bb8512-91eb-4bfd-be42-d6f021407e9a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SharedWithUsers" minOccurs="0"/>
                <xsd:element ref="ns3:SharedWithDetails" minOccurs="0"/>
                <xsd:element ref="ns3:EC_Collab_Status" minOccurs="0"/>
                <xsd:element ref="ns4:MediaServiceSearchProperties" minOccurs="0"/>
                <xsd:element ref="ns4:lcf76f155ced4ddcb4097134ff3c332f" minOccurs="0"/>
                <xsd:element ref="ns3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 ma:readOnly="false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c03d0-0f03-451f-9d46-5279004462a4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 ma:readOnly="false">
      <xsd:simpleType>
        <xsd:restriction base="dms:Text"/>
      </xsd:simpleType>
    </xsd:element>
    <xsd:element name="EC_Collab_DocumentLanguage" ma:index="14" ma:displayName="Language" ma:default="EN" ma:format="Dropdown" ma:internalName="EC_Collab_DocumentLanguage" ma:readOnly="fals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Collab_Status" ma:index="17" nillable="true" ma:displayName="EC Status" ma:default="Not Started" ma:format="Dropdown" ma:internalName="EC_Collab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  <xsd:element name="TaxCatchAll" ma:index="21" nillable="true" ma:displayName="Taxonomy Catch All Column" ma:hidden="true" ma:list="{51513471-611d-4aba-ae12-e8d0e877eea6}" ma:internalName="TaxCatchAll" ma:showField="CatchAllData" ma:web="144c03d0-0f03-451f-9d46-527900446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b8512-91eb-4bfd-be42-d6f021407e9a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BDDE-8BE7-4168-9D23-D2A2F5C81C63}">
  <ds:schemaRefs>
    <ds:schemaRef ds:uri="http://schemas.microsoft.com/office/2006/documentManagement/types"/>
    <ds:schemaRef ds:uri="http://schemas.microsoft.com/sharepoint/v3/field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7bb8512-91eb-4bfd-be42-d6f021407e9a"/>
    <ds:schemaRef ds:uri="144c03d0-0f03-451f-9d46-5279004462a4"/>
  </ds:schemaRefs>
</ds:datastoreItem>
</file>

<file path=customXml/itemProps2.xml><?xml version="1.0" encoding="utf-8"?>
<ds:datastoreItem xmlns:ds="http://schemas.openxmlformats.org/officeDocument/2006/customXml" ds:itemID="{79996B29-BDCC-485B-8AD0-657EFD2D9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C4CD9-5A2B-4A9F-A07E-20BB6E8C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44c03d0-0f03-451f-9d46-5279004462a4"/>
    <ds:schemaRef ds:uri="f7bb8512-91eb-4bfd-be42-d6f021407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F951CF-F7B6-4869-A5E7-550C60A8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6</TotalTime>
  <Pages>7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34</cp:revision>
  <dcterms:created xsi:type="dcterms:W3CDTF">2025-03-18T16:35:00Z</dcterms:created>
  <dcterms:modified xsi:type="dcterms:W3CDTF">2025-04-09T08:54:00Z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8.0.25.0</vt:lpwstr>
  </property>
  <property fmtid="{D5CDD505-2E9C-101B-9397-08002B2CF9AE}" pid="4" name="Last edited using">
    <vt:lpwstr>LW 9.1, Build 20240808</vt:lpwstr>
  </property>
  <property fmtid="{D5CDD505-2E9C-101B-9397-08002B2CF9AE}" pid="5" name="Created using">
    <vt:lpwstr>LW 9.1, Build 20240808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SJ-043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2025-01-28T15:39:56Z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31759a29-e370-43df-8786-2b7ff5f4fc86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ContentTypeId">
    <vt:lpwstr>0x010100BAD999D84E12C74482EA5120F5227F6F00217DECAAC21D6B43958DFE68658C192E</vt:lpwstr>
  </property>
  <property fmtid="{D5CDD505-2E9C-101B-9397-08002B2CF9AE}" pid="18" name="MediaServiceImageTags">
    <vt:lpwstr/>
  </property>
  <property fmtid="{D5CDD505-2E9C-101B-9397-08002B2CF9AE}" pid="19" name="DQCStatus">
    <vt:lpwstr>Green (DQC version 03)</vt:lpwstr>
  </property>
  <property name="OP_sanitized" fmtid="{D5CDD505-2E9C-101B-9397-08002B2CF9AE}" pid="20">
    <vt:lpwstr>True</vt:lpwstr>
  </property>
</Properties>
</file>