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14B" w:rsidRPr="006F560B" w:rsidRDefault="00D607CC" w:rsidP="00D607CC"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A274CC71-29B0-4B0D-9F6C-0B975DDC3C48" style="width:455.25pt;height:355.5pt">
            <v:imagedata r:id="rId10" o:title=""/>
          </v:shape>
        </w:pict>
      </w:r>
    </w:p>
    <w:p w:rsidR="001B0304" w:rsidRPr="006F560B" w:rsidRDefault="001B0304" w:rsidP="001B0304">
      <w:pPr>
        <w:rPr>
          <w:noProof/>
        </w:rPr>
        <w:sectPr w:rsidR="001B0304" w:rsidRPr="006F560B" w:rsidSect="00D607CC">
          <w:footerReference w:type="even" r:id="rId11"/>
          <w:footerReference w:type="default" r:id="rId12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:rsidR="0085414B" w:rsidRPr="006F560B" w:rsidRDefault="0085414B" w:rsidP="00A147AC">
      <w:pPr>
        <w:pStyle w:val="Exposdesmotifstitre"/>
        <w:rPr>
          <w:noProof/>
        </w:rPr>
      </w:pPr>
      <w:bookmarkStart w:id="0" w:name="_GoBack"/>
      <w:bookmarkEnd w:id="0"/>
      <w:r w:rsidRPr="006F560B">
        <w:rPr>
          <w:noProof/>
        </w:rPr>
        <w:lastRenderedPageBreak/>
        <w:t>DŮVODOVÁ ZPRÁVA</w:t>
      </w:r>
    </w:p>
    <w:p w:rsidR="0085414B" w:rsidRPr="006F560B" w:rsidRDefault="0085414B" w:rsidP="00A147AC">
      <w:pPr>
        <w:pStyle w:val="ManualHeading1"/>
        <w:rPr>
          <w:noProof/>
        </w:rPr>
      </w:pPr>
      <w:r w:rsidRPr="006F560B">
        <w:rPr>
          <w:noProof/>
        </w:rPr>
        <w:t>1.</w:t>
      </w:r>
      <w:r w:rsidRPr="006F560B">
        <w:rPr>
          <w:noProof/>
        </w:rPr>
        <w:tab/>
        <w:t>SOUVISLOSTI NÁVRHU</w:t>
      </w:r>
    </w:p>
    <w:p w:rsidR="00163B5D" w:rsidRPr="006F560B" w:rsidRDefault="00163B5D" w:rsidP="00163B5D">
      <w:pPr>
        <w:pStyle w:val="ManualHeading2"/>
        <w:rPr>
          <w:noProof/>
        </w:rPr>
      </w:pPr>
      <w:bookmarkStart w:id="1" w:name="_Hlk101503899"/>
      <w:r w:rsidRPr="006F560B">
        <w:rPr>
          <w:noProof/>
        </w:rPr>
        <w:t>•</w:t>
      </w:r>
      <w:r w:rsidRPr="006F560B">
        <w:rPr>
          <w:noProof/>
        </w:rPr>
        <w:tab/>
        <w:t>Odůvodnění a cíle návrhu</w:t>
      </w:r>
    </w:p>
    <w:p w:rsidR="00884969" w:rsidRPr="006F560B" w:rsidRDefault="694E4328" w:rsidP="3B63E6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Nevyprovokovaná a neodůvodněná totální invaze na Ukrajinu, kterou Rusko zahájilo dne 24. února 2022, má výrazně negativní dopad na schopnost Ukrajiny obchodovat se zbytkem světa. V této obtížné situaci Evropská rada ve svých závěrech ze dne 27. října 2023 a 15. prosince 2023 zdůraznila (a dne 19. prosince 2024 znovu potvrdila), že Ukrajině bude i nadále poskytovat významnou politickou a hospodářskou podporu tak dlouho, jak bude třeba.</w:t>
      </w:r>
    </w:p>
    <w:p w:rsidR="00F828E9" w:rsidRPr="006F560B" w:rsidRDefault="694E4328" w:rsidP="3B63E6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Ukrajina požádala Unii, aby jí co nejvíce usnadnila udržet si obchodní postavení vůči zbytku světa a dále prohloubit její obchodní vztahy s Unií. Opatření přijatá za tímto účelem zahrnovala liberalizaci přístupu na trh pro ukrajinský vývoz prostřednictvím nařízení Evropského parlamentu a Rady (EU) 2022/870 ze dne 30. května 2022</w:t>
      </w:r>
      <w:r w:rsidR="00F828E9" w:rsidRPr="006F560B">
        <w:rPr>
          <w:rStyle w:val="FootnoteReference"/>
          <w:noProof/>
        </w:rPr>
        <w:footnoteReference w:id="2"/>
      </w:r>
      <w:r w:rsidRPr="006F560B">
        <w:rPr>
          <w:noProof/>
        </w:rPr>
        <w:t xml:space="preserve"> a nařízení Evropského parlamentu a Rady (EU) 2023/1077 ze dne 31. května 2023</w:t>
      </w:r>
      <w:r w:rsidR="00F828E9" w:rsidRPr="006F560B">
        <w:rPr>
          <w:rStyle w:val="FootnoteReference"/>
          <w:noProof/>
        </w:rPr>
        <w:footnoteReference w:id="3"/>
      </w:r>
      <w:r w:rsidRPr="006F560B">
        <w:rPr>
          <w:noProof/>
        </w:rPr>
        <w:t xml:space="preserve"> o dočasných opatřeních pro liberalizaci obchodu, která doplňují obchodní koncese použitelné pro ukrajinské produkty podle dohody o přidružení EU–Ukrajina. Nařízení (EU) 2024/1392 vstoupilo v platnost dne 6. června 2024 a zůstane v platnosti do 5. června 2025</w:t>
      </w:r>
      <w:r w:rsidR="00F828E9" w:rsidRPr="006F560B">
        <w:rPr>
          <w:rStyle w:val="FootnoteReference"/>
          <w:noProof/>
        </w:rPr>
        <w:footnoteReference w:id="4"/>
      </w:r>
      <w:r w:rsidRPr="006F560B">
        <w:rPr>
          <w:noProof/>
        </w:rPr>
        <w:t xml:space="preserve">. Tato opatření zvýšila flexibilitu a jistotu pro ukrajinské výrobce. </w:t>
      </w:r>
    </w:p>
    <w:p w:rsidR="00F828E9" w:rsidRPr="006F560B" w:rsidRDefault="00F828E9" w:rsidP="00B81B54">
      <w:pPr>
        <w:rPr>
          <w:noProof/>
        </w:rPr>
      </w:pPr>
      <w:r w:rsidRPr="006F560B">
        <w:rPr>
          <w:noProof/>
        </w:rPr>
        <w:t>Ukrajina je stále významným vývozcem železa a oceli, a to navzdory skutečnosti, že válka způsobila zničení nebo obsazení mnoha výrobních zařízení. Je proto i nadále nezbytné zachovat pozastavení uplatňování nařízení (EU) 2015/478 o společných pravidlech dovozu</w:t>
      </w:r>
      <w:r w:rsidR="00886316" w:rsidRPr="006F560B">
        <w:rPr>
          <w:rStyle w:val="FootnoteReference"/>
          <w:noProof/>
        </w:rPr>
        <w:footnoteReference w:id="5"/>
      </w:r>
      <w:r w:rsidRPr="006F560B">
        <w:rPr>
          <w:noProof/>
        </w:rPr>
        <w:t xml:space="preserve">. Toto pozastavení je a zůstalo by právním základem pro pozastavení uplatňování stávajícího ochranného opatření Unie týkajícího se výrobků z oceli (ve vztahu k tomuto dovozu z Ukrajiny) v rámci podpory Unie. </w:t>
      </w:r>
    </w:p>
    <w:p w:rsidR="3B63E65D" w:rsidRPr="006F560B" w:rsidRDefault="5893E3F4" w:rsidP="3B63E6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Za tímto účelem je nezbytné pozastavit uplatňování článků 2, 4 až 7, 9 až 17 a 19 až 21 nařízení (EU) 2015/478 o společných pravidlech, pokud jde o dovoz z Ukrajiny.</w:t>
      </w:r>
      <w:bookmarkStart w:id="2" w:name="_Hlk188452421"/>
      <w:bookmarkEnd w:id="2"/>
    </w:p>
    <w:p w:rsidR="00163B5D" w:rsidRPr="006F560B" w:rsidRDefault="694E4328" w:rsidP="3B63E6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 xml:space="preserve">Vzhledem k této potřebě nadále hospodářsky podporovat Ukrajinu navrhuje Komise přijmout nařízení Evropského parlamentu a Rady, kterým se pozastavuje uplatňování článků 2, 4 až 7, 9 až 17 a 19 až 21 nařízení (EU) 2015/478 o společných pravidlech dovozu, pokud jde o dovoz pocházející z Ukrajiny. 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Soulad s platnými předpisy v této oblasti politiky</w:t>
      </w:r>
    </w:p>
    <w:p w:rsidR="00163B5D" w:rsidRPr="006F560B" w:rsidRDefault="00163B5D" w:rsidP="3B63E6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Pozastavení uplatňování nařízení (EU) 2015/478 o společných pravidlech dovozu by bylo v souladu s pevnou podporou EU pro Ukrajinu prostřednictvím mezinárodního obchodu v souvislosti s útočnou válkou Ruska proti Ukrajině.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Soulad s ostatními politikami Unie</w:t>
      </w:r>
    </w:p>
    <w:p w:rsidR="00886316" w:rsidRPr="006F560B" w:rsidRDefault="00163B5D" w:rsidP="00163B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Unie důrazně odsoudila útočnou válku Ruska proti Ukrajině a v této mimořádné situaci podnikla bezprecedentní kroky na podporu Ukrajiny. Tyto kroky zahrnují finanční pomoc (včetně makrofinanční pomoci na opatření v mimořádné situaci a obnovu), dodávky vojenského vybavení, přijetí rozsáhlých sankcí vůči Rusku a Bělorusku a zintenzivnění spolupráce v rámci dohody o přidružení. Kromě toho byl Ukrajině v červnu 2022 udělen status kandidátské země EU a v prosinci 2023 byla zahájena přístupová jednání.</w:t>
      </w:r>
    </w:p>
    <w:p w:rsidR="00163B5D" w:rsidRPr="006F560B" w:rsidRDefault="00163B5D" w:rsidP="00163B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Navrhované nařízení by tedy bylo v souladu s povinností Unie podle čl. 21 odst. 3 Smlouvy o Evropské unii (dále jen „Smlouva o EU“), tj. dbát na soudržnost mezi jednotlivými oblastmi její vnější činnosti, a na tuto povinnost by navazovalo. Bylo by rovněž v souladu s čl. 207 odst. 1 Smlouvy o fungování Evropské unie, který vyžaduje, aby společná obchodní politika byla prováděna v rámci zásad a cílů vnější činnosti Unie.</w:t>
      </w:r>
    </w:p>
    <w:p w:rsidR="00163B5D" w:rsidRPr="006F560B" w:rsidRDefault="00163B5D" w:rsidP="00163B5D">
      <w:pPr>
        <w:pStyle w:val="ManualHeading1"/>
        <w:rPr>
          <w:noProof/>
        </w:rPr>
      </w:pPr>
      <w:r w:rsidRPr="006F560B">
        <w:rPr>
          <w:noProof/>
        </w:rPr>
        <w:t>2.</w:t>
      </w:r>
      <w:r w:rsidRPr="006F560B">
        <w:rPr>
          <w:noProof/>
        </w:rPr>
        <w:tab/>
        <w:t>PRÁVNÍ ZÁKLAD, SUBSIDIARITA A PROPORCIONALITA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Právní základ</w:t>
      </w:r>
    </w:p>
    <w:p w:rsidR="00163B5D" w:rsidRPr="006F560B" w:rsidRDefault="00163B5D" w:rsidP="00163B5D">
      <w:pPr>
        <w:rPr>
          <w:noProof/>
        </w:rPr>
      </w:pPr>
      <w:r w:rsidRPr="006F560B">
        <w:rPr>
          <w:noProof/>
        </w:rPr>
        <w:t>Právním základem návrhu je čl. 207 odst. 2 Smlouvy o fungování EU.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 xml:space="preserve">Subsidiarita (v případě nevýlučné pravomoci) </w:t>
      </w:r>
    </w:p>
    <w:p w:rsidR="00163B5D" w:rsidRPr="006F560B" w:rsidRDefault="0023583F" w:rsidP="00163B5D">
      <w:pPr>
        <w:rPr>
          <w:noProof/>
        </w:rPr>
      </w:pPr>
      <w:r w:rsidRPr="006F560B">
        <w:rPr>
          <w:noProof/>
        </w:rPr>
        <w:t>Zásada subsidiarity se nepoužije, protože v souladu s čl. 3 odst. 1 písm. e) Smlouvy o fungování EU je společná obchodní politika ve výlučné pravomoci Unie.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Proporcionalita</w:t>
      </w:r>
    </w:p>
    <w:p w:rsidR="00163B5D" w:rsidRPr="006F560B" w:rsidRDefault="00163B5D" w:rsidP="00163B5D">
      <w:pPr>
        <w:rPr>
          <w:noProof/>
        </w:rPr>
      </w:pPr>
      <w:r w:rsidRPr="006F560B">
        <w:rPr>
          <w:noProof/>
        </w:rPr>
        <w:t>Tento návrh je nezbytný pro dosažení cíle, kterým je hospodářská podpora Ukrajiny v jejích současných obtížích, a to i v oblasti obchodu s Unií.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Volba nástroje</w:t>
      </w:r>
    </w:p>
    <w:p w:rsidR="00163B5D" w:rsidRPr="006F560B" w:rsidRDefault="00163B5D" w:rsidP="00163B5D">
      <w:pPr>
        <w:rPr>
          <w:noProof/>
        </w:rPr>
      </w:pPr>
      <w:r w:rsidRPr="006F560B">
        <w:rPr>
          <w:noProof/>
        </w:rPr>
        <w:t xml:space="preserve">Tento návrh je v souladu s čl. 207 odst. 2 Smlouvy o fungování EU, který stanoví opatření společné obchodní politiky. </w:t>
      </w:r>
    </w:p>
    <w:p w:rsidR="00163B5D" w:rsidRPr="006F560B" w:rsidRDefault="00163B5D" w:rsidP="00163B5D">
      <w:pPr>
        <w:pStyle w:val="ManualHeading1"/>
        <w:rPr>
          <w:noProof/>
        </w:rPr>
      </w:pPr>
      <w:r w:rsidRPr="006F560B">
        <w:rPr>
          <w:noProof/>
        </w:rPr>
        <w:t>3.</w:t>
      </w:r>
      <w:r w:rsidRPr="006F560B">
        <w:rPr>
          <w:noProof/>
        </w:rPr>
        <w:tab/>
        <w:t xml:space="preserve">VÝSLEDKY HODNOCENÍ </w:t>
      </w:r>
      <w:r w:rsidRPr="006F560B">
        <w:rPr>
          <w:i/>
          <w:noProof/>
        </w:rPr>
        <w:t>EX POST</w:t>
      </w:r>
      <w:r w:rsidRPr="006F560B">
        <w:rPr>
          <w:noProof/>
        </w:rPr>
        <w:t>, KONZULTACÍ SE ZÚČASTNĚNÝMI STRANAMI A POSOUZENÍ DOPADŮ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 xml:space="preserve">Hodnocení </w:t>
      </w:r>
      <w:r w:rsidRPr="006F560B">
        <w:rPr>
          <w:i/>
          <w:noProof/>
        </w:rPr>
        <w:t>ex post</w:t>
      </w:r>
      <w:r w:rsidRPr="006F560B">
        <w:rPr>
          <w:noProof/>
        </w:rPr>
        <w:t xml:space="preserve"> / kontroly účelnosti platných právních předpisů</w:t>
      </w:r>
    </w:p>
    <w:p w:rsidR="00163B5D" w:rsidRPr="006F560B" w:rsidRDefault="00163B5D" w:rsidP="00163B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Nevztahuje se na tento návrh.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Konzultace se zúčastněnými stranami</w:t>
      </w:r>
    </w:p>
    <w:p w:rsidR="00163B5D" w:rsidRPr="006F560B" w:rsidRDefault="00163B5D" w:rsidP="00163B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Nevztahuje se na tento návrh.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Sběr a využití výsledků odborných konzultací</w:t>
      </w:r>
    </w:p>
    <w:p w:rsidR="00163B5D" w:rsidRPr="006F560B" w:rsidRDefault="00163B5D" w:rsidP="00163B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Nevztahuje se na tento návrh.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Posouzení dopadů</w:t>
      </w:r>
    </w:p>
    <w:p w:rsidR="00163B5D" w:rsidRPr="006F560B" w:rsidRDefault="00163B5D" w:rsidP="00163B5D">
      <w:pPr>
        <w:keepNext/>
        <w:tabs>
          <w:tab w:val="left" w:pos="850"/>
        </w:tabs>
        <w:outlineLvl w:val="1"/>
        <w:rPr>
          <w:noProof/>
        </w:rPr>
      </w:pPr>
      <w:r w:rsidRPr="006F560B">
        <w:rPr>
          <w:noProof/>
        </w:rPr>
        <w:t xml:space="preserve">Aby se zajistilo pokračování opatření pro liberalizaci obchodu pro Ukrajinu po skončení platnosti nařízení (EU) 2024/1392 dne 5. června 2025, je nutné, aby navrhované nařízení vstoupilo v platnost dne 6. června 2025. Tato naléhavá potřeba znamená, že na provedení posouzení dopadů nebyl dostatek času. Ustanovení dohody o přidružení týkající se obchodu a obchodních záležitostí však byla předmětem posouzení dopadů na udržitelnost, které zadalo Generální ředitelství pro obchod Evropské komise v roce 2007 a které se stalo podkladem pro jednání o prohloubené a komplexní zóně volného obchodu. Uvedená studie potvrdila, že provádění ustanovení týkajících se obchodu a obchodních záležitostí by mělo pozitivní hospodářský dopad na EU i na Ukrajinu. 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Účelnost právních předpisů a zjednodušení</w:t>
      </w:r>
    </w:p>
    <w:p w:rsidR="00163B5D" w:rsidRPr="006F560B" w:rsidRDefault="00163B5D" w:rsidP="00163B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 xml:space="preserve">Opatření nezvyšuje administrativní zátěž pro podniky. 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Základní práva</w:t>
      </w:r>
    </w:p>
    <w:p w:rsidR="00163B5D" w:rsidRPr="006F560B" w:rsidRDefault="00163B5D" w:rsidP="00163B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 xml:space="preserve">Uvedená opatření se řídí týmiž základními zásadami, jež jsou zakotveny v dohodě o přidružení mezi EU a Ukrajinou. Článek 2 dohody o přidružení s Ukrajinou zejména stanoví, že základními prvky této dohody jsou i) dodržování demokratických zásad, lidských práv a základních svobod a ii) dodržování zásady právního státu. </w:t>
      </w:r>
    </w:p>
    <w:p w:rsidR="00163B5D" w:rsidRPr="006F560B" w:rsidRDefault="00163B5D" w:rsidP="7ECA3943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 xml:space="preserve">Opatření pro liberalizaci obchodu by byla rovněž v souladu s Listinou základních práv Evropské unie ze tří níže uvedených důvodů. Za prvé, jejich přímý účinek spočívá v tom, že dovoz z Ukrajiny může podléhat menším omezením, než by tomu bylo v případě, že by se na dovoz z Ukrajiny vztahovala kontrolní a ochranná opatření. Za druhé Unie by tímto způsobem neporušila svou povinnost chránit základní práva podle Listiny, protože ochrana jakýchkoliv dotčených základních práv je v případě potřeby i nadále možná jinými prostředky. Za třetí, pokud jde o nerovné zacházení s dovozci nebo uživateli produktů pocházejících z Ukrajiny (ve srovnání se zacházením s dovozci nebo uživateli produktů pocházejících z jiných třetích zemí, které nejsou osvobozeny od kontrolních a ochranných opatření), toto nerovné zacházení se uplatňuje i v jiných případech, kdy dvoustranné obchodní dohody Unie osvobozují dovoz od ochranných opatření a představují legitimní výkon (včetně uplatnění náležitého právního základu) společné obchodní politiky Unie za účelem užší hospodářské integrace. </w:t>
      </w:r>
    </w:p>
    <w:p w:rsidR="00163B5D" w:rsidRPr="006F560B" w:rsidRDefault="00163B5D" w:rsidP="00163B5D">
      <w:pPr>
        <w:pStyle w:val="ManualHeading1"/>
        <w:rPr>
          <w:noProof/>
        </w:rPr>
      </w:pPr>
      <w:r w:rsidRPr="006F560B">
        <w:rPr>
          <w:noProof/>
        </w:rPr>
        <w:t>4.</w:t>
      </w:r>
      <w:r w:rsidRPr="006F560B">
        <w:rPr>
          <w:noProof/>
        </w:rPr>
        <w:tab/>
        <w:t>ROZPOČTOVÉ DŮSLEDKY</w:t>
      </w:r>
    </w:p>
    <w:p w:rsidR="00163B5D" w:rsidRPr="006F560B" w:rsidRDefault="00886316" w:rsidP="00163B5D">
      <w:pPr>
        <w:rPr>
          <w:noProof/>
          <w:sz w:val="22"/>
        </w:rPr>
      </w:pPr>
      <w:r w:rsidRPr="006F560B">
        <w:rPr>
          <w:noProof/>
        </w:rPr>
        <w:t>Nevztahuje se na tento návrh.</w:t>
      </w:r>
    </w:p>
    <w:p w:rsidR="00163B5D" w:rsidRPr="006F560B" w:rsidRDefault="00163B5D" w:rsidP="00163B5D">
      <w:pPr>
        <w:pStyle w:val="ManualHeading1"/>
        <w:rPr>
          <w:noProof/>
        </w:rPr>
      </w:pPr>
      <w:r w:rsidRPr="006F560B">
        <w:rPr>
          <w:noProof/>
        </w:rPr>
        <w:t>5.</w:t>
      </w:r>
      <w:r w:rsidRPr="006F560B">
        <w:rPr>
          <w:noProof/>
        </w:rPr>
        <w:tab/>
        <w:t>OSTATNÍ PRVKY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Plány provádění a způsoby monitorování, hodnocení a podávání zpráv</w:t>
      </w:r>
    </w:p>
    <w:p w:rsidR="00163B5D" w:rsidRPr="006F560B" w:rsidRDefault="00886316" w:rsidP="00163B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Nevztahuje se na tento návrh.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Informativní dokumenty (u směrnic)</w:t>
      </w:r>
    </w:p>
    <w:p w:rsidR="00163B5D" w:rsidRPr="006F560B" w:rsidRDefault="00163B5D" w:rsidP="00163B5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Nevztahuje se na tento návrh.</w:t>
      </w:r>
    </w:p>
    <w:p w:rsidR="00163B5D" w:rsidRPr="006F560B" w:rsidRDefault="00163B5D" w:rsidP="00163B5D">
      <w:pPr>
        <w:pStyle w:val="ManualHeading2"/>
        <w:rPr>
          <w:noProof/>
        </w:rPr>
      </w:pPr>
      <w:r w:rsidRPr="006F560B">
        <w:rPr>
          <w:noProof/>
        </w:rPr>
        <w:t>•</w:t>
      </w:r>
      <w:r w:rsidRPr="006F560B">
        <w:rPr>
          <w:noProof/>
        </w:rPr>
        <w:tab/>
        <w:t>Podrobné vysvětlení konkrétních ustanovení návrhu</w:t>
      </w:r>
    </w:p>
    <w:p w:rsidR="002A5CF9" w:rsidRPr="006F560B" w:rsidRDefault="004C4A78" w:rsidP="7ECA3943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F560B">
        <w:rPr>
          <w:noProof/>
        </w:rPr>
        <w:t>Vzhledem k hospodářské situaci na Ukrajině má toto navrhované nařízení chránit podmínky přístupu na trh pro dovoz z Ukrajiny pozastavením uplatňování některých ustanovení o kontrolních a ochranných opatřeních stanovených v nařízení (EU) 2015/478 o společných pravidlech dovozu.</w:t>
      </w:r>
    </w:p>
    <w:p w:rsidR="0085414B" w:rsidRPr="006F560B" w:rsidRDefault="0085414B" w:rsidP="00A147AC">
      <w:pPr>
        <w:rPr>
          <w:noProof/>
        </w:rPr>
        <w:sectPr w:rsidR="0085414B" w:rsidRPr="006F560B" w:rsidSect="00D607CC">
          <w:headerReference w:type="even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/>
          <w:pgMar w:top="1134" w:right="1417" w:bottom="1134" w:left="1417" w:header="709" w:footer="709" w:gutter="0"/>
          <w:cols w:space="708"/>
          <w:docGrid w:linePitch="360"/>
        </w:sectPr>
      </w:pPr>
    </w:p>
    <w:p w:rsidR="00FD72DD" w:rsidRDefault="00B77827">
      <w:pPr>
        <w:pStyle w:val="Rfrenceinterinstitutionnelle"/>
        <w:rPr>
          <w:noProof/>
        </w:rPr>
      </w:pPr>
      <w:r>
        <w:rPr>
          <w:noProof/>
        </w:rPr>
        <w:t>2025/0056 (COD)</w:t>
      </w:r>
    </w:p>
    <w:p w:rsidR="0085414B" w:rsidRPr="006F560B" w:rsidRDefault="006F560B" w:rsidP="006F560B">
      <w:pPr>
        <w:pStyle w:val="Statut"/>
        <w:rPr>
          <w:noProof/>
        </w:rPr>
      </w:pPr>
      <w:r w:rsidRPr="006F560B">
        <w:rPr>
          <w:noProof/>
        </w:rPr>
        <w:t>Návrh</w:t>
      </w:r>
    </w:p>
    <w:p w:rsidR="0085414B" w:rsidRPr="006F560B" w:rsidRDefault="006F560B" w:rsidP="006F560B">
      <w:pPr>
        <w:pStyle w:val="Typedudocument"/>
        <w:rPr>
          <w:noProof/>
        </w:rPr>
      </w:pPr>
      <w:r w:rsidRPr="006F560B">
        <w:rPr>
          <w:noProof/>
        </w:rPr>
        <w:t>NAŘÍZENÍ EVROPSKÉHO PARLAMENTU A RADY,</w:t>
      </w:r>
    </w:p>
    <w:p w:rsidR="00561945" w:rsidRPr="006F560B" w:rsidRDefault="006F560B" w:rsidP="006F560B">
      <w:pPr>
        <w:pStyle w:val="Titreobjet"/>
        <w:rPr>
          <w:noProof/>
        </w:rPr>
      </w:pPr>
      <w:r w:rsidRPr="006F560B">
        <w:rPr>
          <w:noProof/>
        </w:rPr>
        <w:t>kterým se pozastavuje uplatňování některých částí nařízení (EU) 2015/478, pokud jde o dovoz ukrajinských produktů do Evropské unie</w:t>
      </w:r>
    </w:p>
    <w:p w:rsidR="00B529D9" w:rsidRPr="006F560B" w:rsidRDefault="0085414B" w:rsidP="00B529D9">
      <w:pPr>
        <w:pStyle w:val="Institutionquiagit"/>
        <w:rPr>
          <w:noProof/>
        </w:rPr>
      </w:pPr>
      <w:r w:rsidRPr="006F560B">
        <w:rPr>
          <w:noProof/>
        </w:rPr>
        <w:t>EVROPSKÝ PARLAMENT A RADA EVROPSKÉ UNIE,</w:t>
      </w:r>
    </w:p>
    <w:p w:rsidR="00B529D9" w:rsidRPr="006F560B" w:rsidRDefault="00B529D9" w:rsidP="00B529D9">
      <w:pPr>
        <w:rPr>
          <w:noProof/>
        </w:rPr>
      </w:pPr>
      <w:r w:rsidRPr="006F560B">
        <w:rPr>
          <w:noProof/>
        </w:rPr>
        <w:t>s ohledem na Smlouvu o fungování Evropské unie, a zejména na čl. 207 odst. 2 této smlouvy,</w:t>
      </w:r>
    </w:p>
    <w:p w:rsidR="00B529D9" w:rsidRPr="006F560B" w:rsidRDefault="00B529D9" w:rsidP="00B529D9">
      <w:pPr>
        <w:rPr>
          <w:noProof/>
        </w:rPr>
      </w:pPr>
      <w:r w:rsidRPr="006F560B">
        <w:rPr>
          <w:noProof/>
        </w:rPr>
        <w:t>s ohledem na návrh Evropské komise,</w:t>
      </w:r>
    </w:p>
    <w:p w:rsidR="00B529D9" w:rsidRPr="006F560B" w:rsidRDefault="00B529D9" w:rsidP="00B529D9">
      <w:pPr>
        <w:rPr>
          <w:noProof/>
        </w:rPr>
      </w:pPr>
      <w:r w:rsidRPr="006F560B">
        <w:rPr>
          <w:noProof/>
        </w:rPr>
        <w:t>po postoupení návrhu legislativního aktu vnitrostátním parlamentům,</w:t>
      </w:r>
    </w:p>
    <w:p w:rsidR="00B529D9" w:rsidRPr="006F560B" w:rsidRDefault="00B529D9" w:rsidP="00B529D9">
      <w:pPr>
        <w:rPr>
          <w:noProof/>
        </w:rPr>
      </w:pPr>
      <w:r w:rsidRPr="006F560B">
        <w:rPr>
          <w:noProof/>
        </w:rPr>
        <w:t>v souladu s řádným legislativním postupem</w:t>
      </w:r>
      <w:r w:rsidRPr="006F560B">
        <w:rPr>
          <w:rStyle w:val="FootnoteReference"/>
          <w:noProof/>
        </w:rPr>
        <w:footnoteReference w:id="6"/>
      </w:r>
      <w:r w:rsidRPr="006F560B">
        <w:rPr>
          <w:noProof/>
        </w:rPr>
        <w:t>,</w:t>
      </w:r>
    </w:p>
    <w:p w:rsidR="00B529D9" w:rsidRPr="006F560B" w:rsidRDefault="00B529D9" w:rsidP="00B529D9">
      <w:pPr>
        <w:rPr>
          <w:noProof/>
        </w:rPr>
      </w:pPr>
      <w:r w:rsidRPr="006F560B">
        <w:rPr>
          <w:noProof/>
        </w:rPr>
        <w:t>vzhledem k těmto důvodům:</w:t>
      </w:r>
    </w:p>
    <w:p w:rsidR="00B529D9" w:rsidRPr="006F560B" w:rsidRDefault="00B529D9" w:rsidP="00B529D9">
      <w:pPr>
        <w:pStyle w:val="ManualConsidrant"/>
        <w:rPr>
          <w:noProof/>
        </w:rPr>
      </w:pPr>
      <w:r w:rsidRPr="006F560B">
        <w:rPr>
          <w:noProof/>
        </w:rPr>
        <w:t>(1)</w:t>
      </w:r>
      <w:r w:rsidRPr="006F560B">
        <w:rPr>
          <w:noProof/>
        </w:rPr>
        <w:tab/>
        <w:t>Dohoda o přidružení mezi Evropskou unií a Evropským společenstvím pro atomovou energii a jejich členskými státy na jedné straně a Ukrajinou na straně druhé (dále jen „dohoda o přidružení“)</w:t>
      </w:r>
      <w:r w:rsidRPr="006F560B">
        <w:rPr>
          <w:rStyle w:val="FootnoteReference"/>
          <w:noProof/>
        </w:rPr>
        <w:footnoteReference w:id="7"/>
      </w:r>
      <w:r w:rsidRPr="006F560B">
        <w:rPr>
          <w:noProof/>
        </w:rPr>
        <w:t xml:space="preserve"> tvoří základ vztahů mezi Unií a Ukrajinou. V souladu s rozhodnutím Rady 2014/668/EU</w:t>
      </w:r>
      <w:r w:rsidRPr="006F560B">
        <w:rPr>
          <w:rStyle w:val="FootnoteReference"/>
          <w:noProof/>
        </w:rPr>
        <w:footnoteReference w:id="8"/>
      </w:r>
      <w:r w:rsidRPr="006F560B">
        <w:rPr>
          <w:noProof/>
        </w:rPr>
        <w:t xml:space="preserve"> se hlava IV dohody o přidružení, která se týká obchodu a obchodních záležitostí, začala prozatímně provádět dne 1. ledna 2016 a po ratifikaci všemi členskými státy vstoupila v platnost dne 1. září 2017.</w:t>
      </w:r>
    </w:p>
    <w:p w:rsidR="00B529D9" w:rsidRPr="006F560B" w:rsidRDefault="00B529D9" w:rsidP="00B529D9">
      <w:pPr>
        <w:pStyle w:val="ManualConsidrant"/>
        <w:rPr>
          <w:noProof/>
        </w:rPr>
      </w:pPr>
      <w:r w:rsidRPr="006F560B">
        <w:rPr>
          <w:noProof/>
        </w:rPr>
        <w:t>(2)</w:t>
      </w:r>
      <w:r w:rsidRPr="006F560B">
        <w:rPr>
          <w:noProof/>
        </w:rPr>
        <w:tab/>
        <w:t>Dohoda o přidružení ambiciózním a inovativním způsobem posiluje a rozšiřuje vztahy mezi stranami s cílem usnadnit postupnou hospodářskou integraci a dosáhnout jí, a to v souladu s právy a povinnostmi vyplývajícími z členství stran ve Světové obchodní organizaci.</w:t>
      </w:r>
    </w:p>
    <w:p w:rsidR="00B529D9" w:rsidRPr="006F560B" w:rsidRDefault="00B529D9" w:rsidP="00B529D9">
      <w:pPr>
        <w:pStyle w:val="ManualConsidrant"/>
        <w:rPr>
          <w:noProof/>
        </w:rPr>
      </w:pPr>
      <w:r w:rsidRPr="006F560B">
        <w:rPr>
          <w:noProof/>
        </w:rPr>
        <w:t>(3)</w:t>
      </w:r>
      <w:r w:rsidRPr="006F560B">
        <w:rPr>
          <w:noProof/>
        </w:rPr>
        <w:tab/>
        <w:t>Nařízení Evropského parlamentu a Rady (EU) 2015/478 ze dne 11. března 2015</w:t>
      </w:r>
      <w:r w:rsidR="00C45C2B" w:rsidRPr="006F560B">
        <w:rPr>
          <w:rStyle w:val="FootnoteReference"/>
          <w:noProof/>
        </w:rPr>
        <w:footnoteReference w:id="9"/>
      </w:r>
      <w:r w:rsidRPr="006F560B">
        <w:rPr>
          <w:noProof/>
        </w:rPr>
        <w:t xml:space="preserve"> stanoví společná pravidla pro dovoz pocházející z většiny třetích zemí, včetně Ukrajiny. Obsahuje rovněž ustanovení o kontrolních a ochranných opatřeních.</w:t>
      </w:r>
    </w:p>
    <w:p w:rsidR="00A62A07" w:rsidRPr="006F560B" w:rsidRDefault="00B529D9" w:rsidP="3B63E65D">
      <w:pPr>
        <w:pStyle w:val="ManualConsidrant"/>
        <w:rPr>
          <w:noProof/>
        </w:rPr>
      </w:pPr>
      <w:r w:rsidRPr="006F560B">
        <w:rPr>
          <w:noProof/>
        </w:rPr>
        <w:t>(4)</w:t>
      </w:r>
      <w:r w:rsidRPr="006F560B">
        <w:rPr>
          <w:noProof/>
        </w:rPr>
        <w:tab/>
        <w:t xml:space="preserve">Nevyprovokovaná a neodůvodněná totální invaze Ruska na Ukrajinu má ode dne dne 24. února 2022 výrazně negativní dopad na schopnost Ukrajiny obchodovat se zbytkem světa. Tak tomu je například v případě železa a oceli z důvodu obsazení nebo zničení zařízení na výrobu železa a oceli. Tak tomu je i v případě jiných segmentů ukrajinského hospodářství. </w:t>
      </w:r>
    </w:p>
    <w:p w:rsidR="009B1949" w:rsidRPr="006F560B" w:rsidRDefault="00B529D9" w:rsidP="009B1949">
      <w:pPr>
        <w:pStyle w:val="ManualConsidrant"/>
        <w:rPr>
          <w:noProof/>
        </w:rPr>
      </w:pPr>
      <w:r w:rsidRPr="006F560B">
        <w:rPr>
          <w:noProof/>
        </w:rPr>
        <w:t>(5)</w:t>
      </w:r>
      <w:r w:rsidRPr="006F560B">
        <w:rPr>
          <w:noProof/>
        </w:rPr>
        <w:tab/>
        <w:t xml:space="preserve">Za těchto okolností a za účelem zmírnění negativního hospodářského dopadu útočné války Ruska proti Ukrajině je vhodné ve prospěch Ukrajiny osvobodit dovoz z Ukrajiny do Unie od kontrolních a ochranných opatření Unie. Za tímto účelem je nezbytné pozastavit uplatňování některých ustanovení nařízení (EU) 2015/478 o společných pravidlech, pokud jde o dovoz z Ukrajiny. </w:t>
      </w:r>
    </w:p>
    <w:p w:rsidR="000B464C" w:rsidRPr="006F560B" w:rsidRDefault="00B529D9" w:rsidP="4D58D7A3">
      <w:pPr>
        <w:pStyle w:val="ManualConsidrant"/>
        <w:rPr>
          <w:noProof/>
        </w:rPr>
      </w:pPr>
      <w:r w:rsidRPr="006F560B">
        <w:rPr>
          <w:noProof/>
        </w:rPr>
        <w:t>(6)</w:t>
      </w:r>
      <w:r w:rsidRPr="006F560B">
        <w:rPr>
          <w:noProof/>
        </w:rPr>
        <w:tab/>
        <w:t>Komise by měla mít možnost dočasně pozastavit uplatňování tohoto nařízení, pokud jde o konkrétní produkt, a to prostřednictvím prováděcího aktu. Tyto pravomoci by měly být prováděny v souladu s nařízením Evropského parlamentu a Rady (EU) č. 182/2011</w:t>
      </w:r>
      <w:r w:rsidR="000B464C" w:rsidRPr="006F560B">
        <w:rPr>
          <w:rStyle w:val="FootnoteReference"/>
          <w:noProof/>
        </w:rPr>
        <w:footnoteReference w:id="10"/>
      </w:r>
      <w:r w:rsidRPr="006F560B">
        <w:rPr>
          <w:noProof/>
        </w:rPr>
        <w:t>. Doba trvání tohoto pozastavení by měla být dostatečně dlouhá, aby Komise mohla předložit návrh a aby Parlament a Rada mohly přijmout nařízení o pozastavení, změně nebo ukončení tohoto nařízení.</w:t>
      </w:r>
    </w:p>
    <w:p w:rsidR="13496541" w:rsidRPr="006F560B" w:rsidRDefault="13496541" w:rsidP="18BE9D93">
      <w:pPr>
        <w:pStyle w:val="ManualConsidrant"/>
        <w:rPr>
          <w:noProof/>
        </w:rPr>
      </w:pPr>
      <w:r w:rsidRPr="006F560B">
        <w:rPr>
          <w:noProof/>
        </w:rPr>
        <w:t>(7)</w:t>
      </w:r>
      <w:r w:rsidRPr="006F560B">
        <w:rPr>
          <w:noProof/>
        </w:rPr>
        <w:tab/>
        <w:t xml:space="preserve">Toto nařízení by se mělo použít po dobu tří let a jeho použitelnost by měla být automaticky prodloužena o další tři roky, pokud Evropský parlament nebo Rada nevysloví proti tomuto prodloužení námitku tři měsíce před datem skončení jeho platnosti. </w:t>
      </w:r>
    </w:p>
    <w:p w:rsidR="000316FE" w:rsidRPr="006F560B" w:rsidRDefault="00B529D9" w:rsidP="009B1949">
      <w:pPr>
        <w:pStyle w:val="ManualConsidrant"/>
        <w:rPr>
          <w:noProof/>
        </w:rPr>
      </w:pPr>
      <w:r w:rsidRPr="006F560B">
        <w:rPr>
          <w:noProof/>
        </w:rPr>
        <w:t>(8)</w:t>
      </w:r>
      <w:r w:rsidRPr="006F560B">
        <w:rPr>
          <w:noProof/>
        </w:rPr>
        <w:tab/>
        <w:t>Vzhledem k tomu, že platnost nařízení Evropského parlamentu a Rady (EU) 2024/1392</w:t>
      </w:r>
      <w:r w:rsidR="0034741D" w:rsidRPr="006F560B">
        <w:rPr>
          <w:rStyle w:val="FootnoteReference"/>
          <w:noProof/>
        </w:rPr>
        <w:footnoteReference w:id="11"/>
      </w:r>
      <w:r w:rsidRPr="006F560B">
        <w:rPr>
          <w:noProof/>
        </w:rPr>
        <w:t>, které mimo jiné nyní stanoví účinky rovnocenné účinkům tohoto nařízení, skončí dne 5. června 2025, toto nařízení by mělo vstoupit v platnost dne 6. června 2025,</w:t>
      </w:r>
    </w:p>
    <w:p w:rsidR="00B529D9" w:rsidRPr="006F560B" w:rsidRDefault="00B529D9" w:rsidP="00B529D9">
      <w:pPr>
        <w:pStyle w:val="Formuledadoption"/>
        <w:rPr>
          <w:noProof/>
        </w:rPr>
      </w:pPr>
      <w:r w:rsidRPr="006F560B">
        <w:rPr>
          <w:noProof/>
        </w:rPr>
        <w:t>PŘIJALY TOTO NAŘÍZENÍ:</w:t>
      </w:r>
    </w:p>
    <w:p w:rsidR="00B529D9" w:rsidRPr="006F560B" w:rsidRDefault="00B529D9" w:rsidP="00B529D9">
      <w:pPr>
        <w:pStyle w:val="Titrearticle"/>
        <w:rPr>
          <w:noProof/>
        </w:rPr>
      </w:pPr>
      <w:r w:rsidRPr="006F560B">
        <w:rPr>
          <w:noProof/>
        </w:rPr>
        <w:t>Článek 1</w:t>
      </w:r>
      <w:r w:rsidRPr="006F560B">
        <w:rPr>
          <w:noProof/>
        </w:rPr>
        <w:br/>
        <w:t>Opatření pro liberalizaci obchodu</w:t>
      </w:r>
    </w:p>
    <w:p w:rsidR="0034741D" w:rsidRPr="006F560B" w:rsidRDefault="0034741D" w:rsidP="0034741D">
      <w:pPr>
        <w:rPr>
          <w:noProof/>
        </w:rPr>
      </w:pPr>
      <w:r w:rsidRPr="006F560B">
        <w:rPr>
          <w:noProof/>
        </w:rPr>
        <w:t xml:space="preserve">Uplatňování článku 2, článků 4 až 7, článků 9 až 17 a článků 19 až 21 nařízení (EU) 2015/478 o společných pravidlech dovozu se pozastavuje, pokud jde o dovoz z Ukrajiny do Unie. </w:t>
      </w:r>
    </w:p>
    <w:p w:rsidR="00B529D9" w:rsidRPr="006F560B" w:rsidRDefault="00B529D9" w:rsidP="00B529D9">
      <w:pPr>
        <w:pStyle w:val="Titrearticle"/>
        <w:rPr>
          <w:noProof/>
        </w:rPr>
      </w:pPr>
      <w:r w:rsidRPr="006F560B">
        <w:rPr>
          <w:noProof/>
        </w:rPr>
        <w:t>Článek 2</w:t>
      </w:r>
      <w:r w:rsidRPr="006F560B">
        <w:rPr>
          <w:noProof/>
        </w:rPr>
        <w:br/>
        <w:t>Dočasné pozastavení</w:t>
      </w:r>
    </w:p>
    <w:p w:rsidR="000B22C2" w:rsidRPr="006F560B" w:rsidRDefault="00F723F7" w:rsidP="003D4C8B">
      <w:pPr>
        <w:rPr>
          <w:i/>
          <w:noProof/>
        </w:rPr>
      </w:pPr>
      <w:r w:rsidRPr="006F560B">
        <w:rPr>
          <w:noProof/>
        </w:rPr>
        <w:t>Komisi je svěřena pravomoc přijmout prováděcí akt za účelem pozastavení uplatňování tohoto nařízení ve vztahu ke konkrétnímu produktu na dobu, která v zásadě nepřesáhne dvanáct měsíců, pokud se dovoz tohoto produktu pocházející z Ukrajiny zvýší na úroveň, která významně přispívá k vážné újmě nebo hrozbě vážné újmy výrobnímu odvětví Unie, které vyrábí obdobný nebo přímo konkurující produkt. Tento prováděcí akt se přijme přezkumným postupem podle čl. 3 odst. 2.</w:t>
      </w:r>
    </w:p>
    <w:p w:rsidR="005857A9" w:rsidRPr="006F560B" w:rsidRDefault="00B529D9" w:rsidP="005857A9">
      <w:pPr>
        <w:pStyle w:val="Titrearticle"/>
        <w:spacing w:before="0" w:after="0"/>
        <w:rPr>
          <w:noProof/>
        </w:rPr>
      </w:pPr>
      <w:r w:rsidRPr="006F560B">
        <w:rPr>
          <w:noProof/>
        </w:rPr>
        <w:t>Článek 3</w:t>
      </w:r>
    </w:p>
    <w:p w:rsidR="005857A9" w:rsidRPr="006F560B" w:rsidRDefault="005857A9" w:rsidP="005857A9">
      <w:pPr>
        <w:pStyle w:val="Titrearticle"/>
        <w:spacing w:before="0"/>
        <w:rPr>
          <w:noProof/>
        </w:rPr>
      </w:pPr>
      <w:r w:rsidRPr="006F560B">
        <w:rPr>
          <w:noProof/>
        </w:rPr>
        <w:t>Postup projednávání ve výboru</w:t>
      </w:r>
    </w:p>
    <w:p w:rsidR="005857A9" w:rsidRPr="006F560B" w:rsidRDefault="007F267E" w:rsidP="007F267E">
      <w:pPr>
        <w:pStyle w:val="ManualNumPar1"/>
        <w:rPr>
          <w:noProof/>
        </w:rPr>
      </w:pPr>
      <w:r w:rsidRPr="007F267E">
        <w:rPr>
          <w:noProof/>
        </w:rPr>
        <w:t>1.</w:t>
      </w:r>
      <w:r w:rsidRPr="007F267E">
        <w:rPr>
          <w:noProof/>
        </w:rPr>
        <w:tab/>
      </w:r>
      <w:r w:rsidR="005857A9" w:rsidRPr="006F560B">
        <w:rPr>
          <w:noProof/>
        </w:rPr>
        <w:t>Komisi je s ohledem na článek 4 tohoto nařízení nápomocen Výbor pro ochranná opatření. Tento výbor je výborem ve smyslu nařízení (EU) č. 182/2011.</w:t>
      </w:r>
    </w:p>
    <w:p w:rsidR="005857A9" w:rsidRPr="006F560B" w:rsidRDefault="007F267E" w:rsidP="007F267E">
      <w:pPr>
        <w:pStyle w:val="ManualNumPar1"/>
        <w:rPr>
          <w:noProof/>
        </w:rPr>
      </w:pPr>
      <w:r w:rsidRPr="007F267E">
        <w:rPr>
          <w:noProof/>
        </w:rPr>
        <w:t>2.</w:t>
      </w:r>
      <w:r w:rsidRPr="007F267E">
        <w:rPr>
          <w:noProof/>
        </w:rPr>
        <w:tab/>
      </w:r>
      <w:r w:rsidR="005857A9" w:rsidRPr="006F560B">
        <w:rPr>
          <w:noProof/>
        </w:rPr>
        <w:t>Odkazuje-li se na tento odstavec, použije se článek 5 nařízení (EU) č. 182/2011.</w:t>
      </w:r>
    </w:p>
    <w:p w:rsidR="005857A9" w:rsidRPr="006F560B" w:rsidRDefault="005857A9" w:rsidP="005857A9">
      <w:pPr>
        <w:pStyle w:val="Titrearticle"/>
        <w:spacing w:after="0"/>
        <w:rPr>
          <w:noProof/>
        </w:rPr>
      </w:pPr>
      <w:r w:rsidRPr="006F560B">
        <w:rPr>
          <w:noProof/>
        </w:rPr>
        <w:t>Článek 4</w:t>
      </w:r>
    </w:p>
    <w:p w:rsidR="00B529D9" w:rsidRPr="006F560B" w:rsidRDefault="00B529D9" w:rsidP="005857A9">
      <w:pPr>
        <w:pStyle w:val="Titrearticle"/>
        <w:spacing w:before="0"/>
        <w:rPr>
          <w:noProof/>
        </w:rPr>
      </w:pPr>
      <w:r w:rsidRPr="006F560B">
        <w:rPr>
          <w:noProof/>
        </w:rPr>
        <w:t>Vstup v platnost a použitelnost</w:t>
      </w:r>
    </w:p>
    <w:p w:rsidR="001C649C" w:rsidRPr="006F560B" w:rsidRDefault="00B529D9" w:rsidP="000B22C2">
      <w:pPr>
        <w:rPr>
          <w:noProof/>
        </w:rPr>
      </w:pPr>
      <w:r w:rsidRPr="006F560B">
        <w:rPr>
          <w:noProof/>
        </w:rPr>
        <w:t xml:space="preserve">Toto nařízení vstupuje v platnost dne 6. června 2025. </w:t>
      </w:r>
    </w:p>
    <w:p w:rsidR="001C649C" w:rsidRPr="006F560B" w:rsidRDefault="001C649C" w:rsidP="000B22C2">
      <w:pPr>
        <w:rPr>
          <w:noProof/>
        </w:rPr>
      </w:pPr>
      <w:r w:rsidRPr="006F560B">
        <w:rPr>
          <w:noProof/>
        </w:rPr>
        <w:t xml:space="preserve">Použije se během počátečního období tří let. </w:t>
      </w:r>
    </w:p>
    <w:p w:rsidR="000B22C2" w:rsidRPr="006F560B" w:rsidRDefault="001C649C" w:rsidP="000B22C2">
      <w:pPr>
        <w:rPr>
          <w:noProof/>
        </w:rPr>
      </w:pPr>
      <w:r w:rsidRPr="006F560B">
        <w:rPr>
          <w:noProof/>
        </w:rPr>
        <w:t>Jeho uplatňování se automaticky prodlužuje o další období tří let, pokud Evropský parlament nebo Rada nevysloví proti tomuto prodloužení námitku nejpozději tři měsíce před koncem každého z těchto období.</w:t>
      </w:r>
    </w:p>
    <w:p w:rsidR="0085414B" w:rsidRPr="006F560B" w:rsidRDefault="0085414B" w:rsidP="00E61698">
      <w:pPr>
        <w:pStyle w:val="Applicationdirecte"/>
        <w:rPr>
          <w:noProof/>
        </w:rPr>
      </w:pPr>
      <w:r w:rsidRPr="006F560B">
        <w:rPr>
          <w:noProof/>
        </w:rPr>
        <w:t>Toto nařízení je závazné v celém rozsahu a přímo použitelné ve všech členských státech.</w:t>
      </w:r>
    </w:p>
    <w:p w:rsidR="0085414B" w:rsidRPr="006F560B" w:rsidRDefault="006F560B" w:rsidP="005D61B9">
      <w:pPr>
        <w:pStyle w:val="Fait"/>
        <w:rPr>
          <w:noProof/>
        </w:rPr>
      </w:pPr>
      <w:r>
        <w:rPr>
          <w:noProof/>
        </w:rPr>
        <w:t>V Bruselu dne</w:t>
      </w:r>
    </w:p>
    <w:p w:rsidR="0085414B" w:rsidRPr="006F560B" w:rsidRDefault="0085414B" w:rsidP="005D61B9">
      <w:pPr>
        <w:pStyle w:val="Institutionquisigne"/>
        <w:rPr>
          <w:noProof/>
        </w:rPr>
      </w:pPr>
      <w:r w:rsidRPr="006F560B">
        <w:rPr>
          <w:noProof/>
        </w:rPr>
        <w:t>Za Evropský parlament</w:t>
      </w:r>
      <w:r w:rsidRPr="006F560B">
        <w:rPr>
          <w:noProof/>
        </w:rPr>
        <w:tab/>
        <w:t>Za Radu</w:t>
      </w:r>
    </w:p>
    <w:p w:rsidR="000E6559" w:rsidRPr="006F560B" w:rsidRDefault="0085414B" w:rsidP="0085414B">
      <w:pPr>
        <w:pStyle w:val="Personnequisigne"/>
        <w:rPr>
          <w:noProof/>
        </w:rPr>
      </w:pPr>
      <w:r w:rsidRPr="006F560B">
        <w:rPr>
          <w:noProof/>
        </w:rPr>
        <w:t>předseda/předsedkyně</w:t>
      </w:r>
      <w:r w:rsidRPr="006F560B">
        <w:rPr>
          <w:noProof/>
        </w:rPr>
        <w:tab/>
        <w:t>předseda/předsedkyně</w:t>
      </w:r>
      <w:bookmarkEnd w:id="1"/>
    </w:p>
    <w:p w:rsidR="000E6559" w:rsidRPr="006F560B" w:rsidRDefault="000E6559" w:rsidP="000E6559">
      <w:pPr>
        <w:pStyle w:val="Fichefinanciretitre"/>
        <w:rPr>
          <w:noProof/>
        </w:rPr>
      </w:pPr>
      <w:r w:rsidRPr="006F560B">
        <w:rPr>
          <w:noProof/>
        </w:rPr>
        <w:br w:type="page"/>
        <w:t>LEGISLATIVNÍ FINANČNÍ VÝKAZ PRO NÁVRH S ROZPOČTOVÝM DOPADEM VÝLUČNĚ NA STRANĚ PŘÍJMŮ</w:t>
      </w:r>
    </w:p>
    <w:p w:rsidR="000E6559" w:rsidRPr="006F560B" w:rsidRDefault="000E6559" w:rsidP="000E6559">
      <w:pPr>
        <w:pStyle w:val="ManualHeading1"/>
        <w:rPr>
          <w:noProof/>
        </w:rPr>
      </w:pPr>
      <w:r w:rsidRPr="006F560B">
        <w:rPr>
          <w:noProof/>
        </w:rPr>
        <w:t>1.</w:t>
      </w:r>
      <w:r w:rsidRPr="006F560B">
        <w:rPr>
          <w:noProof/>
        </w:rPr>
        <w:tab/>
        <w:t>NÁZEV NÁVRHU:</w:t>
      </w:r>
    </w:p>
    <w:p w:rsidR="00DC7FDF" w:rsidRPr="006F560B" w:rsidRDefault="000E6559" w:rsidP="00254C44">
      <w:pPr>
        <w:rPr>
          <w:b/>
          <w:noProof/>
        </w:rPr>
      </w:pPr>
      <w:r w:rsidRPr="006F560B">
        <w:rPr>
          <w:noProof/>
        </w:rPr>
        <w:t>Návrh nařízení Evropského parlamentu a Rady, kterým se pozastavuje uplatňování některých částí nařízení (EU) 2015/478, pokud jde o dovoz ukrajinských produktů do Evropské unie</w:t>
      </w:r>
    </w:p>
    <w:p w:rsidR="000E6559" w:rsidRPr="006F560B" w:rsidRDefault="000E6559" w:rsidP="000E6559">
      <w:pPr>
        <w:pStyle w:val="ManualHeading1"/>
        <w:rPr>
          <w:noProof/>
        </w:rPr>
      </w:pPr>
      <w:r w:rsidRPr="006F560B">
        <w:rPr>
          <w:noProof/>
        </w:rPr>
        <w:t>2.</w:t>
      </w:r>
      <w:r w:rsidRPr="006F560B">
        <w:rPr>
          <w:noProof/>
        </w:rPr>
        <w:tab/>
        <w:t>ROZPOČTOVÉ POLOŽKY:</w:t>
      </w:r>
    </w:p>
    <w:p w:rsidR="000E6559" w:rsidRPr="006F560B" w:rsidRDefault="000E6559" w:rsidP="000E6559">
      <w:pPr>
        <w:pStyle w:val="Text1"/>
        <w:rPr>
          <w:noProof/>
        </w:rPr>
      </w:pPr>
      <w:r w:rsidRPr="006F560B">
        <w:rPr>
          <w:noProof/>
        </w:rPr>
        <w:t>Kapitola 12 článek 120.</w:t>
      </w:r>
    </w:p>
    <w:p w:rsidR="000E6559" w:rsidRPr="006F560B" w:rsidRDefault="000E6559" w:rsidP="000E6559">
      <w:pPr>
        <w:pStyle w:val="ManualHeading1"/>
        <w:rPr>
          <w:noProof/>
        </w:rPr>
      </w:pPr>
      <w:r w:rsidRPr="006F560B">
        <w:rPr>
          <w:noProof/>
        </w:rPr>
        <w:t>3.</w:t>
      </w:r>
      <w:r w:rsidRPr="006F560B">
        <w:rPr>
          <w:noProof/>
        </w:rPr>
        <w:tab/>
        <w:t xml:space="preserve">FINANČNÍ DOPAD </w:t>
      </w:r>
    </w:p>
    <w:p w:rsidR="000E6559" w:rsidRPr="006F560B" w:rsidRDefault="00EC0913" w:rsidP="00EC0913">
      <w:pPr>
        <w:pStyle w:val="Text1"/>
        <w:rPr>
          <w:noProof/>
        </w:rPr>
      </w:pPr>
      <w:r w:rsidRPr="006F560B">
        <w:rPr>
          <w:rFonts w:ascii="Segoe UI Symbol" w:hAnsi="Segoe UI Symbol"/>
          <w:noProof/>
        </w:rPr>
        <w:t>☒</w:t>
      </w:r>
      <w:r w:rsidRPr="006F560B">
        <w:rPr>
          <w:noProof/>
        </w:rPr>
        <w:tab/>
        <w:t>Návrh nemá žádné finanční dopady</w:t>
      </w:r>
    </w:p>
    <w:p w:rsidR="000E6559" w:rsidRPr="006F560B" w:rsidRDefault="00616566" w:rsidP="00616566">
      <w:pPr>
        <w:pStyle w:val="Text1"/>
        <w:rPr>
          <w:noProof/>
        </w:rPr>
      </w:pPr>
      <w:r w:rsidRPr="006F560B">
        <w:rPr>
          <w:noProof/>
        </w:rPr>
        <w:sym w:font="Wingdings" w:char="F0A8"/>
      </w:r>
      <w:r w:rsidRPr="006F560B">
        <w:rPr>
          <w:noProof/>
        </w:rPr>
        <w:tab/>
        <w:t>Návrh nemá finanční dopad na výdaje, má však finanční dopad na příjmy s následujícím účinkem:</w:t>
      </w:r>
    </w:p>
    <w:tbl>
      <w:tblPr>
        <w:tblW w:w="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41"/>
        <w:gridCol w:w="2551"/>
        <w:gridCol w:w="3402"/>
      </w:tblGrid>
      <w:tr w:rsidR="000E6559" w:rsidRPr="006F560B" w:rsidTr="3B63E65D">
        <w:trPr>
          <w:gridAfter w:val="1"/>
          <w:wAfter w:w="3402" w:type="dxa"/>
          <w:cantSplit/>
          <w:trHeight w:val="408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59" w:rsidRPr="006F560B" w:rsidRDefault="000E6559">
            <w:pPr>
              <w:spacing w:line="276" w:lineRule="auto"/>
              <w:rPr>
                <w:noProof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59" w:rsidRPr="006F560B" w:rsidRDefault="000E6559">
            <w:pPr>
              <w:spacing w:line="276" w:lineRule="auto"/>
              <w:rPr>
                <w:noProof/>
                <w:sz w:val="18"/>
              </w:rPr>
            </w:pPr>
          </w:p>
        </w:tc>
      </w:tr>
      <w:tr w:rsidR="000E6559" w:rsidRPr="006F560B" w:rsidTr="3B63E65D">
        <w:trPr>
          <w:trHeight w:val="85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59" w:rsidRPr="006F560B" w:rsidRDefault="000E6559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6F560B">
              <w:rPr>
                <w:noProof/>
                <w:color w:val="000000"/>
              </w:rPr>
              <w:t>Rozpočtová položka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59" w:rsidRPr="006F560B" w:rsidRDefault="000E6559">
            <w:pPr>
              <w:spacing w:line="276" w:lineRule="auto"/>
              <w:jc w:val="center"/>
              <w:rPr>
                <w:i/>
                <w:noProof/>
              </w:rPr>
            </w:pPr>
            <w:r w:rsidRPr="006F560B">
              <w:rPr>
                <w:noProof/>
                <w:color w:val="000000"/>
              </w:rPr>
              <w:t>Příjmy</w:t>
            </w:r>
            <w:r w:rsidRPr="006F560B">
              <w:rPr>
                <w:i/>
                <w:noProof/>
              </w:rPr>
              <w:t xml:space="preserve"> </w:t>
            </w:r>
          </w:p>
          <w:p w:rsidR="000E6559" w:rsidRPr="006F560B" w:rsidRDefault="000E6559">
            <w:pPr>
              <w:spacing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59" w:rsidRPr="006F560B" w:rsidRDefault="000E6559">
            <w:pPr>
              <w:spacing w:line="276" w:lineRule="auto"/>
              <w:jc w:val="center"/>
              <w:rPr>
                <w:noProof/>
              </w:rPr>
            </w:pPr>
            <w:r w:rsidRPr="006F560B">
              <w:rPr>
                <w:noProof/>
              </w:rPr>
              <w:t>Období: část roku 2024 – část roku 2025*</w:t>
            </w:r>
          </w:p>
          <w:p w:rsidR="000E6559" w:rsidRPr="006F560B" w:rsidRDefault="000E6559">
            <w:pPr>
              <w:spacing w:line="276" w:lineRule="auto"/>
              <w:jc w:val="center"/>
              <w:rPr>
                <w:noProof/>
              </w:rPr>
            </w:pPr>
            <w:r w:rsidRPr="006F560B">
              <w:rPr>
                <w:noProof/>
              </w:rPr>
              <w:t>(v milionech EUR, zaokrouhleno na jedno desetinné místo)</w:t>
            </w:r>
          </w:p>
        </w:tc>
      </w:tr>
      <w:tr w:rsidR="000E6559" w:rsidRPr="006F560B" w:rsidTr="3B63E65D">
        <w:trPr>
          <w:trHeight w:val="591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59" w:rsidRPr="006F560B" w:rsidRDefault="0041381A" w:rsidP="3B63E65D">
            <w:pPr>
              <w:spacing w:line="276" w:lineRule="auto"/>
              <w:jc w:val="center"/>
              <w:rPr>
                <w:rStyle w:val="FootnoteReference"/>
                <w:noProof/>
              </w:rPr>
            </w:pPr>
            <w:r w:rsidRPr="006F560B">
              <w:rPr>
                <w:noProof/>
              </w:rPr>
              <w:t xml:space="preserve">Kapitola 12 článek 120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59" w:rsidRPr="006F560B" w:rsidRDefault="199008F6" w:rsidP="3B63E65D">
            <w:pPr>
              <w:spacing w:line="276" w:lineRule="auto"/>
              <w:jc w:val="center"/>
              <w:rPr>
                <w:noProof/>
              </w:rPr>
            </w:pPr>
            <w:r w:rsidRPr="006F560B">
              <w:rPr>
                <w:noProof/>
              </w:rPr>
              <w:t>Žádný dopad na vlastní zdroje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59" w:rsidRPr="006F560B" w:rsidRDefault="001E2430">
            <w:pPr>
              <w:spacing w:line="276" w:lineRule="auto"/>
              <w:jc w:val="center"/>
              <w:rPr>
                <w:noProof/>
              </w:rPr>
            </w:pPr>
            <w:r w:rsidRPr="006F560B">
              <w:rPr>
                <w:noProof/>
              </w:rPr>
              <w:t>nepoužije se</w:t>
            </w:r>
          </w:p>
        </w:tc>
      </w:tr>
      <w:tr w:rsidR="000E6559" w:rsidRPr="006F560B" w:rsidTr="3B63E65D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59" w:rsidRPr="006F560B" w:rsidRDefault="000E6559">
            <w:pPr>
              <w:spacing w:line="276" w:lineRule="auto"/>
              <w:jc w:val="center"/>
              <w:rPr>
                <w:b/>
                <w:noProof/>
              </w:rPr>
            </w:pPr>
            <w:r w:rsidRPr="006F560B">
              <w:rPr>
                <w:b/>
                <w:noProof/>
              </w:rPr>
              <w:t xml:space="preserve">Celkem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59" w:rsidRPr="006F560B" w:rsidRDefault="000E6559">
            <w:pPr>
              <w:spacing w:line="276" w:lineRule="auto"/>
              <w:jc w:val="center"/>
              <w:rPr>
                <w:b/>
                <w:i/>
                <w:noProof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59" w:rsidRPr="006F560B" w:rsidRDefault="000E6559">
            <w:pPr>
              <w:spacing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0E6559" w:rsidRPr="006F560B" w:rsidRDefault="000E6559" w:rsidP="000E6559">
      <w:pPr>
        <w:pStyle w:val="Text2"/>
        <w:rPr>
          <w:noProof/>
        </w:rPr>
      </w:pPr>
      <w:r w:rsidRPr="006F560B">
        <w:rPr>
          <w:noProof/>
        </w:rPr>
        <w:t>* Období jednoho roku od vstupu tohoto nařízení v platnost</w:t>
      </w:r>
    </w:p>
    <w:p w:rsidR="000E6559" w:rsidRPr="006F560B" w:rsidRDefault="000E6559" w:rsidP="000E6559">
      <w:pPr>
        <w:pStyle w:val="ManualHeading1"/>
        <w:rPr>
          <w:noProof/>
        </w:rPr>
      </w:pPr>
      <w:r w:rsidRPr="006F560B">
        <w:rPr>
          <w:noProof/>
        </w:rPr>
        <w:t>4.</w:t>
      </w:r>
      <w:r w:rsidRPr="006F560B">
        <w:rPr>
          <w:noProof/>
        </w:rPr>
        <w:tab/>
        <w:t>OPATŘENÍ PROTI PODVODŮM</w:t>
      </w:r>
    </w:p>
    <w:p w:rsidR="003D372A" w:rsidRPr="006F560B" w:rsidRDefault="000E6559" w:rsidP="000E6559">
      <w:pPr>
        <w:rPr>
          <w:noProof/>
        </w:rPr>
      </w:pPr>
      <w:r w:rsidRPr="006F560B">
        <w:rPr>
          <w:noProof/>
        </w:rPr>
        <w:t>S cílem předcházet podvodům by nárok na výhody plynoucí z obchodních opatření zavedených navrhovaným nařízením měl být podmíněn tím, že i) Ukrajina bude dodržovat veškeré příslušné podmínky pro získání výhod plynoucích z dohody o přidružení (včetně pravidel původu dotčených produktů a souvisejících postupů) a ii) Ukrajina naváže úzkou administrativní spolupráci s Unií (jak je stanoveno v dohodě o přidružení).</w:t>
      </w:r>
    </w:p>
    <w:sectPr w:rsidR="003D372A" w:rsidRPr="006F560B" w:rsidSect="00D607CC">
      <w:footnotePr>
        <w:numRestart w:val="eachSect"/>
      </w:footnotePr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F61" w:rsidRDefault="00791F61" w:rsidP="0085414B">
      <w:pPr>
        <w:spacing w:before="0" w:after="0"/>
      </w:pPr>
      <w:r>
        <w:separator/>
      </w:r>
    </w:p>
  </w:endnote>
  <w:endnote w:type="continuationSeparator" w:id="0">
    <w:p w:rsidR="00791F61" w:rsidRDefault="00791F61" w:rsidP="0085414B">
      <w:pPr>
        <w:spacing w:before="0" w:after="0"/>
      </w:pPr>
      <w:r>
        <w:continuationSeparator/>
      </w:r>
    </w:p>
  </w:endnote>
  <w:endnote w:type="continuationNotice" w:id="1">
    <w:p w:rsidR="00791F61" w:rsidRDefault="00791F6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CC" w:rsidRPr="00D607CC" w:rsidRDefault="00D607CC" w:rsidP="00D607CC">
    <w:pPr>
      <w:pStyle w:val="Footer"/>
      <w:rPr>
        <w:rFonts w:ascii="Arial" w:hAnsi="Arial" w:cs="Arial"/>
        <w:b/>
        <w:sz w:val="48"/>
      </w:rPr>
    </w:pPr>
    <w:r w:rsidRPr="00D607CC">
      <w:rPr>
        <w:rFonts w:ascii="Arial" w:hAnsi="Arial" w:cs="Arial"/>
        <w:b/>
        <w:sz w:val="48"/>
      </w:rPr>
      <w:t>CS</w:t>
    </w:r>
    <w:r w:rsidRPr="00D607CC">
      <w:rPr>
        <w:rFonts w:ascii="Arial" w:hAnsi="Arial" w:cs="Arial"/>
        <w:b/>
        <w:sz w:val="48"/>
      </w:rPr>
      <w:tab/>
    </w:r>
    <w:r w:rsidRPr="00D607CC">
      <w:rPr>
        <w:rFonts w:ascii="Arial" w:hAnsi="Arial" w:cs="Arial"/>
        <w:b/>
        <w:sz w:val="48"/>
      </w:rPr>
      <w:tab/>
    </w:r>
    <w:r w:rsidRPr="00D607CC">
      <w:tab/>
    </w:r>
    <w:r w:rsidRPr="00D607CC">
      <w:rPr>
        <w:rFonts w:ascii="Arial" w:hAnsi="Arial" w:cs="Arial"/>
        <w:b/>
        <w:sz w:val="48"/>
      </w:rPr>
      <w:t>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CC" w:rsidRPr="00D607CC" w:rsidRDefault="00D607CC" w:rsidP="00D607CC">
    <w:pPr>
      <w:pStyle w:val="Footer"/>
      <w:rPr>
        <w:rFonts w:ascii="Arial" w:hAnsi="Arial" w:cs="Arial"/>
        <w:b/>
        <w:sz w:val="48"/>
      </w:rPr>
    </w:pPr>
    <w:r w:rsidRPr="00D607CC">
      <w:rPr>
        <w:rFonts w:ascii="Arial" w:hAnsi="Arial" w:cs="Arial"/>
        <w:b/>
        <w:sz w:val="48"/>
      </w:rPr>
      <w:t>CS</w:t>
    </w:r>
    <w:r w:rsidRPr="00D607CC">
      <w:rPr>
        <w:rFonts w:ascii="Arial" w:hAnsi="Arial" w:cs="Arial"/>
        <w:b/>
        <w:sz w:val="48"/>
      </w:rPr>
      <w:tab/>
    </w:r>
    <w:r w:rsidRPr="00D607CC">
      <w:rPr>
        <w:rFonts w:ascii="Arial" w:hAnsi="Arial" w:cs="Arial"/>
        <w:b/>
        <w:sz w:val="48"/>
      </w:rPr>
      <w:tab/>
    </w:r>
    <w:r w:rsidRPr="00D607CC">
      <w:tab/>
    </w:r>
    <w:r w:rsidRPr="00D607CC">
      <w:rPr>
        <w:rFonts w:ascii="Arial" w:hAnsi="Arial" w:cs="Arial"/>
        <w:b/>
        <w:sz w:val="48"/>
      </w:rPr>
      <w:t>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CC" w:rsidRDefault="00D607C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CC" w:rsidRPr="00D607CC" w:rsidRDefault="00D607CC" w:rsidP="00D607CC">
    <w:pPr>
      <w:pStyle w:val="Footer"/>
      <w:rPr>
        <w:rFonts w:ascii="Arial" w:hAnsi="Arial" w:cs="Arial"/>
        <w:b/>
        <w:sz w:val="48"/>
      </w:rPr>
    </w:pPr>
    <w:r w:rsidRPr="00D607CC">
      <w:rPr>
        <w:rFonts w:ascii="Arial" w:hAnsi="Arial" w:cs="Arial"/>
        <w:b/>
        <w:sz w:val="48"/>
      </w:rPr>
      <w:t>CS</w:t>
    </w:r>
    <w:r w:rsidRPr="00D607CC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5D61B9">
      <w:rPr>
        <w:noProof/>
      </w:rPr>
      <w:t>6</w:t>
    </w:r>
    <w:r>
      <w:fldChar w:fldCharType="end"/>
    </w:r>
    <w:r>
      <w:tab/>
    </w:r>
    <w:r w:rsidRPr="00D607CC">
      <w:tab/>
    </w:r>
    <w:r w:rsidRPr="00D607CC">
      <w:rPr>
        <w:rFonts w:ascii="Arial" w:hAnsi="Arial" w:cs="Arial"/>
        <w:b/>
        <w:sz w:val="48"/>
      </w:rPr>
      <w:t>CS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CC" w:rsidRDefault="00D607CC" w:rsidP="00D60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F61" w:rsidRDefault="00791F61" w:rsidP="0085414B">
      <w:pPr>
        <w:spacing w:before="0" w:after="0"/>
      </w:pPr>
      <w:r>
        <w:separator/>
      </w:r>
    </w:p>
  </w:footnote>
  <w:footnote w:type="continuationSeparator" w:id="0">
    <w:p w:rsidR="00791F61" w:rsidRDefault="00791F61" w:rsidP="0085414B">
      <w:pPr>
        <w:spacing w:before="0" w:after="0"/>
      </w:pPr>
      <w:r>
        <w:continuationSeparator/>
      </w:r>
    </w:p>
  </w:footnote>
  <w:footnote w:type="continuationNotice" w:id="1">
    <w:p w:rsidR="00791F61" w:rsidRDefault="00791F61">
      <w:pPr>
        <w:spacing w:before="0" w:after="0"/>
      </w:pPr>
    </w:p>
  </w:footnote>
  <w:footnote w:id="2">
    <w:p w:rsidR="00F828E9" w:rsidRPr="002020FF" w:rsidRDefault="00F828E9" w:rsidP="005067E6">
      <w:pPr>
        <w:pStyle w:val="FootnoteText"/>
      </w:pPr>
      <w:r>
        <w:rPr>
          <w:rStyle w:val="FootnoteReference"/>
        </w:rPr>
        <w:footnoteRef/>
      </w:r>
      <w:r>
        <w:tab/>
        <w:t>Nařízení Evropského parlamentu a Rady (EU) 2022/870 ze dne 30. května 2022 o dočasných opatřeních pro liberalizaci obchodu, která doplňují obchodní koncese použitelné pro ukrajinské produkty podle Dohody o přidružení mezi Evropskou unií a Evropským společenstvím pro atomovou energii a jejich členskými státy na straně jedné a Ukrajinou na straně druhé (Úř. věst. L 152, 3.6.2022, s. 103).</w:t>
      </w:r>
    </w:p>
  </w:footnote>
  <w:footnote w:id="3">
    <w:p w:rsidR="00F828E9" w:rsidRPr="00F70B40" w:rsidRDefault="00F828E9" w:rsidP="005067E6">
      <w:pPr>
        <w:pStyle w:val="FootnoteText"/>
      </w:pPr>
      <w:r>
        <w:rPr>
          <w:rStyle w:val="FootnoteReference"/>
        </w:rPr>
        <w:footnoteRef/>
      </w:r>
      <w:r>
        <w:tab/>
        <w:t>Nařízení Evropského parlamentu a Rady (EU) 2023/1077 ze dne 31. května 2023 o dočasných opatřeních pro liberalizaci obchodu, která doplňují obchodní koncese použitelné pro ukrajinské produkty podle Dohody o přidružení mezi Evropskou unií a Evropským společenstvím pro atomovou energii a jejich členskými státy na straně jedné a Ukrajinou na straně druhé (Úř. věst. L 144, 5.6.2023, s. 1).</w:t>
      </w:r>
    </w:p>
  </w:footnote>
  <w:footnote w:id="4">
    <w:p w:rsidR="00F828E9" w:rsidRPr="00884969" w:rsidRDefault="00F828E9" w:rsidP="005067E6">
      <w:pPr>
        <w:pStyle w:val="FootnoteText"/>
      </w:pPr>
      <w:r>
        <w:rPr>
          <w:rStyle w:val="FootnoteReference"/>
        </w:rPr>
        <w:footnoteRef/>
      </w:r>
      <w:r>
        <w:tab/>
        <w:t xml:space="preserve">Nařízení Evropského parlamentu a Rady (EU) 2024/1392 ze dne 14. května 2024 o dočasných opatřeních pro liberalizaci obchodu, která doplňují obchodní koncese použitelné pro ukrajinské produkty podle Dohody o přidružení mezi Evropskou unií a Evropským společenstvím pro atomovou energii a jejich členskými státy na straně jedné a Ukrajinou na straně druhé, ELI: </w:t>
      </w:r>
      <w:hyperlink r:id="rId1" w:history="1">
        <w:r>
          <w:rPr>
            <w:rStyle w:val="Hyperlink"/>
          </w:rPr>
          <w:t>http://data.europa.eu/eli/reg/2024/1392/oj</w:t>
        </w:r>
      </w:hyperlink>
      <w:r>
        <w:t>.</w:t>
      </w:r>
    </w:p>
  </w:footnote>
  <w:footnote w:id="5">
    <w:p w:rsidR="00886316" w:rsidRPr="00C44650" w:rsidRDefault="00886316" w:rsidP="005067E6">
      <w:pPr>
        <w:pStyle w:val="FootnoteText"/>
      </w:pPr>
      <w:r>
        <w:rPr>
          <w:rStyle w:val="FootnoteReference"/>
        </w:rPr>
        <w:footnoteRef/>
      </w:r>
      <w:r>
        <w:tab/>
        <w:t>Nařízení Evropského parlamentu a Rady (EU) 2015/478 ze dne 11. března 2015 o společných pravidlech dovozu (Úř. věst. L 83, 27.3.2015, s. 16).</w:t>
      </w:r>
    </w:p>
  </w:footnote>
  <w:footnote w:id="6">
    <w:p w:rsidR="00B529D9" w:rsidRPr="00837C16" w:rsidRDefault="00B529D9" w:rsidP="005067E6">
      <w:pPr>
        <w:pStyle w:val="FootnoteText"/>
      </w:pPr>
      <w:r>
        <w:rPr>
          <w:rStyle w:val="FootnoteReference"/>
        </w:rPr>
        <w:footnoteRef/>
      </w:r>
      <w:r>
        <w:tab/>
        <w:t>Postoj Evropského parlamentu (dosud nezveřejněný v Úředním věstníku) a postoj Rady (dosud nezveřejněný v Úředním věstníku).</w:t>
      </w:r>
    </w:p>
  </w:footnote>
  <w:footnote w:id="7">
    <w:p w:rsidR="00B529D9" w:rsidRPr="00837C16" w:rsidRDefault="00B529D9" w:rsidP="005067E6">
      <w:pPr>
        <w:pStyle w:val="FootnoteText"/>
      </w:pPr>
      <w:r>
        <w:rPr>
          <w:rStyle w:val="FootnoteReference"/>
        </w:rPr>
        <w:footnoteRef/>
      </w:r>
      <w:r>
        <w:tab/>
        <w:t>Úř. věst. L 161, 29.5.2014, s. 3.</w:t>
      </w:r>
    </w:p>
  </w:footnote>
  <w:footnote w:id="8">
    <w:p w:rsidR="00B529D9" w:rsidRPr="00837C16" w:rsidRDefault="00B529D9" w:rsidP="005067E6">
      <w:pPr>
        <w:pStyle w:val="FootnoteText"/>
      </w:pPr>
      <w:r>
        <w:rPr>
          <w:rStyle w:val="FootnoteReference"/>
        </w:rPr>
        <w:footnoteRef/>
      </w:r>
      <w:r>
        <w:tab/>
        <w:t>Rozhodnutí Rady 2014/668/EU ze dne 23. června 2014 o podpisu jménem Evropské unie a prozatímním provádění Dohody o přidružení mezi Evropskou unií a Evropským společenstvím pro atomovou energii a jejich členskými státy na jedné straně a Ukrajinou na straně druhé, pokud jde o hlavu III (s výjimkou ustanovení o zacházení s pracovníky, kteří jsou státními příslušníky třetích zemí a jsou legálně zaměstnáni na území druhé strany) a hlavy IV, V, VI a VII dohody a související přílohy a protokoly (Úř. věst. L 278, 20.9.2014, s. 1).</w:t>
      </w:r>
    </w:p>
  </w:footnote>
  <w:footnote w:id="9">
    <w:p w:rsidR="00C45C2B" w:rsidRPr="00C44650" w:rsidRDefault="00C45C2B" w:rsidP="005067E6">
      <w:pPr>
        <w:pStyle w:val="FootnoteText"/>
      </w:pPr>
      <w:r>
        <w:rPr>
          <w:rStyle w:val="FootnoteReference"/>
        </w:rPr>
        <w:footnoteRef/>
      </w:r>
      <w:r>
        <w:tab/>
        <w:t>Nařízení Evropského parlamentu a Rady (EU) 2015/478 ze dne 11. března 2015 o společných pravidlech dovozu (Úř. věst. L 83, 27.3.2015, s. 16).</w:t>
      </w:r>
    </w:p>
  </w:footnote>
  <w:footnote w:id="10">
    <w:p w:rsidR="000B464C" w:rsidRPr="00837C16" w:rsidRDefault="000B464C" w:rsidP="005067E6">
      <w:pPr>
        <w:pStyle w:val="FootnoteText"/>
      </w:pPr>
      <w:r>
        <w:rPr>
          <w:rStyle w:val="FootnoteReference"/>
        </w:rPr>
        <w:footnoteRef/>
      </w:r>
      <w:r>
        <w:tab/>
        <w:t>Nařízení Evropského parlamentu a Rady (EU) č. 182/2011 ze dne 16. února 2011, kterým se stanoví pravidla a obecné zásady způsobu, jakým členské státy kontrolují Komisi při výkonu prováděcích pravomocí (Úř. věst. L 55, 28.2.2011, s. 13).</w:t>
      </w:r>
    </w:p>
  </w:footnote>
  <w:footnote w:id="11">
    <w:p w:rsidR="0034741D" w:rsidRPr="00D601FC" w:rsidRDefault="0034741D" w:rsidP="005067E6">
      <w:pPr>
        <w:pStyle w:val="FootnoteText"/>
        <w:jc w:val="left"/>
      </w:pPr>
      <w:r>
        <w:rPr>
          <w:rStyle w:val="FootnoteReference"/>
        </w:rPr>
        <w:footnoteRef/>
      </w:r>
      <w:r>
        <w:tab/>
        <w:t xml:space="preserve">Nařízení Evropského parlamentu a Rady (EU) 2024/1392 ze dne 14. května 2024 o dočasných opatřeních pro liberalizaci obchodu, která doplňují obchodní koncese použitelné pro ukrajinské produkty podle Dohody o přidružení mezi Evropskou unií a Evropským společenstvím pro atomovou energii a jejich členskými státy na straně jedné a Ukrajinou na straně druhé, ELI: </w:t>
      </w:r>
      <w:hyperlink r:id="rId2" w:history="1">
        <w:r>
          <w:rPr>
            <w:rStyle w:val="Hyperlink"/>
          </w:rPr>
          <w:t>http://data.europa.eu/eli/reg/2024/1392/oj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CC" w:rsidRDefault="00D607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CC" w:rsidRDefault="00D607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9DACE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6ECB32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DA5814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E1B47B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62034A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3E69A4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6F6C3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CC3254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7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8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2"/>
  </w:num>
  <w:num w:numId="12">
    <w:abstractNumId w:val="21"/>
  </w:num>
  <w:num w:numId="13">
    <w:abstractNumId w:val="11"/>
  </w:num>
  <w:num w:numId="14">
    <w:abstractNumId w:val="13"/>
  </w:num>
  <w:num w:numId="15">
    <w:abstractNumId w:val="14"/>
  </w:num>
  <w:num w:numId="16">
    <w:abstractNumId w:val="9"/>
  </w:num>
  <w:num w:numId="17">
    <w:abstractNumId w:val="20"/>
  </w:num>
  <w:num w:numId="18">
    <w:abstractNumId w:val="8"/>
  </w:num>
  <w:num w:numId="19">
    <w:abstractNumId w:val="15"/>
  </w:num>
  <w:num w:numId="20">
    <w:abstractNumId w:val="17"/>
  </w:num>
  <w:num w:numId="21">
    <w:abstractNumId w:val="18"/>
  </w:num>
  <w:num w:numId="22">
    <w:abstractNumId w:val="10"/>
  </w:num>
  <w:num w:numId="23">
    <w:abstractNumId w:val="16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DateAndTime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QCDateTime" w:val="2025-03-11 08:36:40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A274CC71-29B0-4B0D-9F6C-0B975DDC3C48"/>
    <w:docVar w:name="LW_COVERPAGE_TYPE" w:val="1"/>
    <w:docVar w:name="LW_CROSSREFERENCE" w:val="&lt;UNUSED&gt;"/>
    <w:docVar w:name="LW_DocType" w:val="COM"/>
    <w:docVar w:name="LW_EMISSION" w:val="7.3.2025"/>
    <w:docVar w:name="LW_EMISSION_ISODATE" w:val="2025-03-07"/>
    <w:docVar w:name="LW_EMISSION_LOCATION" w:val="BRX"/>
    <w:docVar w:name="LW_EMISSION_PREFIX" w:val="V Bruselu dne "/>
    <w:docVar w:name="LW_EMISSION_SUFFIX" w:val=" "/>
    <w:docVar w:name="LW_ID_DOCMODEL" w:val="SJ-023"/>
    <w:docVar w:name="LW_ID_DOCSIGNATURE" w:val="SJ-023"/>
    <w:docVar w:name="LW_ID_DOCSTRUCTURE" w:val="COM/PL/ORG"/>
    <w:docVar w:name="LW_ID_DOCTYPE" w:val="SJ-023"/>
    <w:docVar w:name="LW_ID_EXP.MOTIFS.NEW" w:val="EM_PL_"/>
    <w:docVar w:name="LW_ID_STATUT" w:val="SJ-023"/>
    <w:docVar w:name="LW_INTERETEEE.CP" w:val="&lt;UNUSED&gt;"/>
    <w:docVar w:name="LW_LANGUE" w:val="CS"/>
    <w:docVar w:name="LW_LEVEL_OF_SENSITIVITY" w:val="Standard treatment"/>
    <w:docVar w:name="LW_NOM.INST" w:val="EVROPSKÁ KOMISE"/>
    <w:docVar w:name="LW_NOM.INST_JOINTDOC" w:val="&lt;EMPTY&gt;"/>
    <w:docVar w:name="LW_PART_NBR" w:val="1"/>
    <w:docVar w:name="LW_PART_NBR_TOTAL" w:val="1"/>
    <w:docVar w:name="LW_REF.II.NEW.CP" w:val="COD"/>
    <w:docVar w:name="LW_REF.II.NEW.CP_NUMBER" w:val="0056"/>
    <w:docVar w:name="LW_REF.II.NEW.CP_YEAR" w:val="2025"/>
    <w:docVar w:name="LW_REF.INST.NEW" w:val="COM"/>
    <w:docVar w:name="LW_REF.INST.NEW_ADOPTED" w:val="final"/>
    <w:docVar w:name="LW_REF.INST.NEW_TEXT" w:val="(2025) 107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TATUT.CP" w:val="Návrh"/>
    <w:docVar w:name="LW_SUPERTITRE" w:val="&lt;UNUSED&gt;"/>
    <w:docVar w:name="LW_TITRE.OBJ.CP" w:val="kterým se pozastavuje uplat\u328?ování n\u283?kterých \u269?ástí na\u345?ízení (EU) 2015/478, pokud jde o dovoz ukrajinských produkt\u367? do Evropské unie"/>
    <w:docVar w:name="LW_TYPE.DOC.CP" w:val="NA\u344?ÍZENÍ EVROPSKÉHO PARLAMENTU A RADY,"/>
    <w:docVar w:name="LwApiVersions" w:val="LW4CoDe 1.24.5.0; LW 9.0, Build 20240221"/>
  </w:docVars>
  <w:rsids>
    <w:rsidRoot w:val="0085414B"/>
    <w:rsid w:val="000014C4"/>
    <w:rsid w:val="000016F1"/>
    <w:rsid w:val="00002792"/>
    <w:rsid w:val="00002F9A"/>
    <w:rsid w:val="00003429"/>
    <w:rsid w:val="00004DE2"/>
    <w:rsid w:val="00005A93"/>
    <w:rsid w:val="00005AFE"/>
    <w:rsid w:val="00007437"/>
    <w:rsid w:val="00007AA5"/>
    <w:rsid w:val="00010883"/>
    <w:rsid w:val="000120C0"/>
    <w:rsid w:val="000132D2"/>
    <w:rsid w:val="00014604"/>
    <w:rsid w:val="000156D4"/>
    <w:rsid w:val="00015FBC"/>
    <w:rsid w:val="00017085"/>
    <w:rsid w:val="00021BDC"/>
    <w:rsid w:val="0002461C"/>
    <w:rsid w:val="00024B45"/>
    <w:rsid w:val="00025AEA"/>
    <w:rsid w:val="00027D1B"/>
    <w:rsid w:val="000314AD"/>
    <w:rsid w:val="000316FE"/>
    <w:rsid w:val="00031F95"/>
    <w:rsid w:val="00032288"/>
    <w:rsid w:val="000368E8"/>
    <w:rsid w:val="00036D8F"/>
    <w:rsid w:val="00036EF2"/>
    <w:rsid w:val="000407B7"/>
    <w:rsid w:val="000409B7"/>
    <w:rsid w:val="00040AD3"/>
    <w:rsid w:val="000417A8"/>
    <w:rsid w:val="00041E89"/>
    <w:rsid w:val="00042020"/>
    <w:rsid w:val="000424F0"/>
    <w:rsid w:val="00042568"/>
    <w:rsid w:val="00043A71"/>
    <w:rsid w:val="0004595F"/>
    <w:rsid w:val="00046519"/>
    <w:rsid w:val="0004741F"/>
    <w:rsid w:val="00050BF7"/>
    <w:rsid w:val="00050D9E"/>
    <w:rsid w:val="000513C4"/>
    <w:rsid w:val="0005163D"/>
    <w:rsid w:val="00051AEF"/>
    <w:rsid w:val="00051F37"/>
    <w:rsid w:val="000524D5"/>
    <w:rsid w:val="00052D48"/>
    <w:rsid w:val="0005335F"/>
    <w:rsid w:val="00053519"/>
    <w:rsid w:val="000557FB"/>
    <w:rsid w:val="0005592C"/>
    <w:rsid w:val="00055ED8"/>
    <w:rsid w:val="00056592"/>
    <w:rsid w:val="0005693E"/>
    <w:rsid w:val="000615F5"/>
    <w:rsid w:val="000618C0"/>
    <w:rsid w:val="00062894"/>
    <w:rsid w:val="0006296F"/>
    <w:rsid w:val="00063826"/>
    <w:rsid w:val="0006422C"/>
    <w:rsid w:val="000647CB"/>
    <w:rsid w:val="000649E3"/>
    <w:rsid w:val="00066408"/>
    <w:rsid w:val="0007005A"/>
    <w:rsid w:val="00071CA7"/>
    <w:rsid w:val="00071FF4"/>
    <w:rsid w:val="0007223D"/>
    <w:rsid w:val="000747C7"/>
    <w:rsid w:val="000751FC"/>
    <w:rsid w:val="000762B7"/>
    <w:rsid w:val="0007753A"/>
    <w:rsid w:val="00077655"/>
    <w:rsid w:val="00077F5D"/>
    <w:rsid w:val="00080069"/>
    <w:rsid w:val="000812F8"/>
    <w:rsid w:val="00081322"/>
    <w:rsid w:val="00081A42"/>
    <w:rsid w:val="00081F9B"/>
    <w:rsid w:val="00082B8E"/>
    <w:rsid w:val="00082D26"/>
    <w:rsid w:val="00083464"/>
    <w:rsid w:val="00085B30"/>
    <w:rsid w:val="00085C7C"/>
    <w:rsid w:val="000866E2"/>
    <w:rsid w:val="0009127A"/>
    <w:rsid w:val="00091DF8"/>
    <w:rsid w:val="00093486"/>
    <w:rsid w:val="00093E30"/>
    <w:rsid w:val="000945C1"/>
    <w:rsid w:val="00094A2D"/>
    <w:rsid w:val="00096780"/>
    <w:rsid w:val="00096C45"/>
    <w:rsid w:val="000976A5"/>
    <w:rsid w:val="0009776F"/>
    <w:rsid w:val="000A08FD"/>
    <w:rsid w:val="000A1D67"/>
    <w:rsid w:val="000A3440"/>
    <w:rsid w:val="000A3524"/>
    <w:rsid w:val="000A3BD9"/>
    <w:rsid w:val="000A4D88"/>
    <w:rsid w:val="000A594C"/>
    <w:rsid w:val="000A5985"/>
    <w:rsid w:val="000A62D6"/>
    <w:rsid w:val="000A7663"/>
    <w:rsid w:val="000A7ECD"/>
    <w:rsid w:val="000B0609"/>
    <w:rsid w:val="000B0B29"/>
    <w:rsid w:val="000B0BED"/>
    <w:rsid w:val="000B0F88"/>
    <w:rsid w:val="000B100D"/>
    <w:rsid w:val="000B192A"/>
    <w:rsid w:val="000B22C2"/>
    <w:rsid w:val="000B2553"/>
    <w:rsid w:val="000B29C5"/>
    <w:rsid w:val="000B2FA3"/>
    <w:rsid w:val="000B2FAE"/>
    <w:rsid w:val="000B3225"/>
    <w:rsid w:val="000B464C"/>
    <w:rsid w:val="000B57E2"/>
    <w:rsid w:val="000B700C"/>
    <w:rsid w:val="000B7750"/>
    <w:rsid w:val="000B7A7D"/>
    <w:rsid w:val="000B7E8B"/>
    <w:rsid w:val="000C07CD"/>
    <w:rsid w:val="000C2B98"/>
    <w:rsid w:val="000C2C0E"/>
    <w:rsid w:val="000C33E6"/>
    <w:rsid w:val="000C42B1"/>
    <w:rsid w:val="000C63EF"/>
    <w:rsid w:val="000C6687"/>
    <w:rsid w:val="000C750B"/>
    <w:rsid w:val="000C79DF"/>
    <w:rsid w:val="000D0167"/>
    <w:rsid w:val="000D0310"/>
    <w:rsid w:val="000D04A8"/>
    <w:rsid w:val="000D0688"/>
    <w:rsid w:val="000D0957"/>
    <w:rsid w:val="000D1CEC"/>
    <w:rsid w:val="000D22C0"/>
    <w:rsid w:val="000D29DF"/>
    <w:rsid w:val="000D2FF5"/>
    <w:rsid w:val="000D3374"/>
    <w:rsid w:val="000D37E5"/>
    <w:rsid w:val="000D404C"/>
    <w:rsid w:val="000D5241"/>
    <w:rsid w:val="000D52D8"/>
    <w:rsid w:val="000D5692"/>
    <w:rsid w:val="000D66BE"/>
    <w:rsid w:val="000D7511"/>
    <w:rsid w:val="000E101A"/>
    <w:rsid w:val="000E1DB0"/>
    <w:rsid w:val="000E23A7"/>
    <w:rsid w:val="000E35D4"/>
    <w:rsid w:val="000E374D"/>
    <w:rsid w:val="000E446F"/>
    <w:rsid w:val="000E51AD"/>
    <w:rsid w:val="000E58F7"/>
    <w:rsid w:val="000E6559"/>
    <w:rsid w:val="000E70C8"/>
    <w:rsid w:val="000F0A5D"/>
    <w:rsid w:val="000F119B"/>
    <w:rsid w:val="000F13E7"/>
    <w:rsid w:val="000F416E"/>
    <w:rsid w:val="000F6407"/>
    <w:rsid w:val="000F6B8E"/>
    <w:rsid w:val="000F7564"/>
    <w:rsid w:val="000F7D88"/>
    <w:rsid w:val="00100EA7"/>
    <w:rsid w:val="00102272"/>
    <w:rsid w:val="001024B4"/>
    <w:rsid w:val="001027B8"/>
    <w:rsid w:val="00102B67"/>
    <w:rsid w:val="001036DE"/>
    <w:rsid w:val="0010438D"/>
    <w:rsid w:val="00104C2B"/>
    <w:rsid w:val="00105919"/>
    <w:rsid w:val="00106B34"/>
    <w:rsid w:val="00106EC0"/>
    <w:rsid w:val="00110063"/>
    <w:rsid w:val="0011114D"/>
    <w:rsid w:val="001115C7"/>
    <w:rsid w:val="00112A46"/>
    <w:rsid w:val="00113A17"/>
    <w:rsid w:val="00113C1F"/>
    <w:rsid w:val="0011421D"/>
    <w:rsid w:val="00114666"/>
    <w:rsid w:val="0011485F"/>
    <w:rsid w:val="0011589C"/>
    <w:rsid w:val="00116370"/>
    <w:rsid w:val="00116F56"/>
    <w:rsid w:val="00117849"/>
    <w:rsid w:val="00117D45"/>
    <w:rsid w:val="00121AEE"/>
    <w:rsid w:val="00124023"/>
    <w:rsid w:val="00124274"/>
    <w:rsid w:val="00124600"/>
    <w:rsid w:val="00124ACA"/>
    <w:rsid w:val="00124F00"/>
    <w:rsid w:val="00124FF9"/>
    <w:rsid w:val="001254B6"/>
    <w:rsid w:val="0012550E"/>
    <w:rsid w:val="00127C33"/>
    <w:rsid w:val="001311BC"/>
    <w:rsid w:val="00131313"/>
    <w:rsid w:val="00131B0A"/>
    <w:rsid w:val="00131C56"/>
    <w:rsid w:val="00132246"/>
    <w:rsid w:val="001328EB"/>
    <w:rsid w:val="00133707"/>
    <w:rsid w:val="00133E28"/>
    <w:rsid w:val="00134832"/>
    <w:rsid w:val="001354E5"/>
    <w:rsid w:val="00135E95"/>
    <w:rsid w:val="00136762"/>
    <w:rsid w:val="00136820"/>
    <w:rsid w:val="001373AA"/>
    <w:rsid w:val="00137416"/>
    <w:rsid w:val="0014091F"/>
    <w:rsid w:val="00141010"/>
    <w:rsid w:val="00141357"/>
    <w:rsid w:val="00141FC0"/>
    <w:rsid w:val="001421AE"/>
    <w:rsid w:val="00143AC6"/>
    <w:rsid w:val="00143C34"/>
    <w:rsid w:val="0014463D"/>
    <w:rsid w:val="00146D5C"/>
    <w:rsid w:val="00150530"/>
    <w:rsid w:val="00150544"/>
    <w:rsid w:val="00150875"/>
    <w:rsid w:val="00150E32"/>
    <w:rsid w:val="00151185"/>
    <w:rsid w:val="00152894"/>
    <w:rsid w:val="00152AA7"/>
    <w:rsid w:val="00152D6C"/>
    <w:rsid w:val="00153776"/>
    <w:rsid w:val="001538E8"/>
    <w:rsid w:val="00154238"/>
    <w:rsid w:val="00156F48"/>
    <w:rsid w:val="00157DD9"/>
    <w:rsid w:val="00157E01"/>
    <w:rsid w:val="00160897"/>
    <w:rsid w:val="001617D2"/>
    <w:rsid w:val="00163395"/>
    <w:rsid w:val="00163B5D"/>
    <w:rsid w:val="00163E76"/>
    <w:rsid w:val="0016422F"/>
    <w:rsid w:val="0016464C"/>
    <w:rsid w:val="001656DD"/>
    <w:rsid w:val="001670CD"/>
    <w:rsid w:val="001712DB"/>
    <w:rsid w:val="00173D07"/>
    <w:rsid w:val="00173F20"/>
    <w:rsid w:val="00173FF6"/>
    <w:rsid w:val="00174CA8"/>
    <w:rsid w:val="00175425"/>
    <w:rsid w:val="00175A0D"/>
    <w:rsid w:val="00177A50"/>
    <w:rsid w:val="00180803"/>
    <w:rsid w:val="00180BF2"/>
    <w:rsid w:val="00181122"/>
    <w:rsid w:val="0018228D"/>
    <w:rsid w:val="0018377F"/>
    <w:rsid w:val="00183C39"/>
    <w:rsid w:val="001849FB"/>
    <w:rsid w:val="0018579D"/>
    <w:rsid w:val="00186BBC"/>
    <w:rsid w:val="00186D6F"/>
    <w:rsid w:val="0019069E"/>
    <w:rsid w:val="00190E2E"/>
    <w:rsid w:val="00191166"/>
    <w:rsid w:val="001937AC"/>
    <w:rsid w:val="00193F01"/>
    <w:rsid w:val="0019439A"/>
    <w:rsid w:val="0019483D"/>
    <w:rsid w:val="00194A99"/>
    <w:rsid w:val="00195308"/>
    <w:rsid w:val="00195AEA"/>
    <w:rsid w:val="001961BD"/>
    <w:rsid w:val="00196CA1"/>
    <w:rsid w:val="00197D64"/>
    <w:rsid w:val="001A1BBB"/>
    <w:rsid w:val="001A1F97"/>
    <w:rsid w:val="001A234A"/>
    <w:rsid w:val="001A33E7"/>
    <w:rsid w:val="001A4873"/>
    <w:rsid w:val="001A4B7C"/>
    <w:rsid w:val="001A5C47"/>
    <w:rsid w:val="001A6D95"/>
    <w:rsid w:val="001A70A1"/>
    <w:rsid w:val="001B01B4"/>
    <w:rsid w:val="001B0304"/>
    <w:rsid w:val="001B2897"/>
    <w:rsid w:val="001B38F2"/>
    <w:rsid w:val="001B48D2"/>
    <w:rsid w:val="001B4E09"/>
    <w:rsid w:val="001B776B"/>
    <w:rsid w:val="001C037F"/>
    <w:rsid w:val="001C0756"/>
    <w:rsid w:val="001C0C00"/>
    <w:rsid w:val="001C0D3E"/>
    <w:rsid w:val="001C0EED"/>
    <w:rsid w:val="001C1C98"/>
    <w:rsid w:val="001C3783"/>
    <w:rsid w:val="001C3BB2"/>
    <w:rsid w:val="001C5710"/>
    <w:rsid w:val="001C649C"/>
    <w:rsid w:val="001D10E8"/>
    <w:rsid w:val="001D1350"/>
    <w:rsid w:val="001D1FE3"/>
    <w:rsid w:val="001D3C44"/>
    <w:rsid w:val="001D4FFF"/>
    <w:rsid w:val="001D5778"/>
    <w:rsid w:val="001D5FD7"/>
    <w:rsid w:val="001E00DB"/>
    <w:rsid w:val="001E0E24"/>
    <w:rsid w:val="001E1667"/>
    <w:rsid w:val="001E2430"/>
    <w:rsid w:val="001E32B3"/>
    <w:rsid w:val="001E40A9"/>
    <w:rsid w:val="001E4851"/>
    <w:rsid w:val="001E4DBA"/>
    <w:rsid w:val="001E5D9C"/>
    <w:rsid w:val="001E6539"/>
    <w:rsid w:val="001E6998"/>
    <w:rsid w:val="001E77DF"/>
    <w:rsid w:val="001F02F1"/>
    <w:rsid w:val="001F4EBF"/>
    <w:rsid w:val="001F503B"/>
    <w:rsid w:val="001F6AC0"/>
    <w:rsid w:val="002006CD"/>
    <w:rsid w:val="00200CC8"/>
    <w:rsid w:val="002013A3"/>
    <w:rsid w:val="002020FF"/>
    <w:rsid w:val="0020331A"/>
    <w:rsid w:val="002047BD"/>
    <w:rsid w:val="00204D15"/>
    <w:rsid w:val="00205B1A"/>
    <w:rsid w:val="0020613F"/>
    <w:rsid w:val="00206161"/>
    <w:rsid w:val="00206D3E"/>
    <w:rsid w:val="00207045"/>
    <w:rsid w:val="00211874"/>
    <w:rsid w:val="0021209B"/>
    <w:rsid w:val="00212862"/>
    <w:rsid w:val="00216E9F"/>
    <w:rsid w:val="002170FA"/>
    <w:rsid w:val="00223FA3"/>
    <w:rsid w:val="002240B4"/>
    <w:rsid w:val="002240C3"/>
    <w:rsid w:val="002255E3"/>
    <w:rsid w:val="00225EF9"/>
    <w:rsid w:val="00226E72"/>
    <w:rsid w:val="0022745E"/>
    <w:rsid w:val="002278C9"/>
    <w:rsid w:val="00234314"/>
    <w:rsid w:val="0023583F"/>
    <w:rsid w:val="002363E6"/>
    <w:rsid w:val="00237F8F"/>
    <w:rsid w:val="002416CD"/>
    <w:rsid w:val="0024284A"/>
    <w:rsid w:val="002428BD"/>
    <w:rsid w:val="00243094"/>
    <w:rsid w:val="002438AF"/>
    <w:rsid w:val="00243FD1"/>
    <w:rsid w:val="00244A6B"/>
    <w:rsid w:val="00245952"/>
    <w:rsid w:val="00245E6B"/>
    <w:rsid w:val="00247219"/>
    <w:rsid w:val="00247502"/>
    <w:rsid w:val="00250262"/>
    <w:rsid w:val="00253117"/>
    <w:rsid w:val="0025320C"/>
    <w:rsid w:val="002541D7"/>
    <w:rsid w:val="00254C44"/>
    <w:rsid w:val="00255E93"/>
    <w:rsid w:val="0025621F"/>
    <w:rsid w:val="00257126"/>
    <w:rsid w:val="00260484"/>
    <w:rsid w:val="002634BB"/>
    <w:rsid w:val="00264C0B"/>
    <w:rsid w:val="00265E08"/>
    <w:rsid w:val="00265E68"/>
    <w:rsid w:val="002676FC"/>
    <w:rsid w:val="0027004E"/>
    <w:rsid w:val="00270AA7"/>
    <w:rsid w:val="00270F70"/>
    <w:rsid w:val="0027159A"/>
    <w:rsid w:val="002715A2"/>
    <w:rsid w:val="00271AB0"/>
    <w:rsid w:val="00272A48"/>
    <w:rsid w:val="00272D82"/>
    <w:rsid w:val="00273CD0"/>
    <w:rsid w:val="002757A9"/>
    <w:rsid w:val="002764FE"/>
    <w:rsid w:val="00276AAE"/>
    <w:rsid w:val="00277D6A"/>
    <w:rsid w:val="00280A69"/>
    <w:rsid w:val="0028100A"/>
    <w:rsid w:val="002819B2"/>
    <w:rsid w:val="00281C6F"/>
    <w:rsid w:val="00282791"/>
    <w:rsid w:val="00283843"/>
    <w:rsid w:val="00284043"/>
    <w:rsid w:val="00284518"/>
    <w:rsid w:val="00284DC7"/>
    <w:rsid w:val="00286DAC"/>
    <w:rsid w:val="00286DB8"/>
    <w:rsid w:val="00286E44"/>
    <w:rsid w:val="00287304"/>
    <w:rsid w:val="00287786"/>
    <w:rsid w:val="00290BD1"/>
    <w:rsid w:val="002920D7"/>
    <w:rsid w:val="002933F9"/>
    <w:rsid w:val="00293EA8"/>
    <w:rsid w:val="00294305"/>
    <w:rsid w:val="00294D5C"/>
    <w:rsid w:val="002977D6"/>
    <w:rsid w:val="00297B84"/>
    <w:rsid w:val="002A1700"/>
    <w:rsid w:val="002A17E7"/>
    <w:rsid w:val="002A1A08"/>
    <w:rsid w:val="002A1C49"/>
    <w:rsid w:val="002A2314"/>
    <w:rsid w:val="002A24BA"/>
    <w:rsid w:val="002A2638"/>
    <w:rsid w:val="002A2833"/>
    <w:rsid w:val="002A57C5"/>
    <w:rsid w:val="002A5CF9"/>
    <w:rsid w:val="002A6BCD"/>
    <w:rsid w:val="002A6D98"/>
    <w:rsid w:val="002A715F"/>
    <w:rsid w:val="002A7945"/>
    <w:rsid w:val="002A7A46"/>
    <w:rsid w:val="002A7D48"/>
    <w:rsid w:val="002B013E"/>
    <w:rsid w:val="002B0383"/>
    <w:rsid w:val="002B0691"/>
    <w:rsid w:val="002B06C2"/>
    <w:rsid w:val="002B079D"/>
    <w:rsid w:val="002B21FB"/>
    <w:rsid w:val="002B4DB9"/>
    <w:rsid w:val="002B51B6"/>
    <w:rsid w:val="002B6396"/>
    <w:rsid w:val="002B72F0"/>
    <w:rsid w:val="002B79C7"/>
    <w:rsid w:val="002C1D17"/>
    <w:rsid w:val="002C1D7B"/>
    <w:rsid w:val="002C3384"/>
    <w:rsid w:val="002C56E5"/>
    <w:rsid w:val="002C5A0F"/>
    <w:rsid w:val="002C60A7"/>
    <w:rsid w:val="002C643D"/>
    <w:rsid w:val="002C714E"/>
    <w:rsid w:val="002C745A"/>
    <w:rsid w:val="002D3348"/>
    <w:rsid w:val="002D46DA"/>
    <w:rsid w:val="002E011C"/>
    <w:rsid w:val="002E189B"/>
    <w:rsid w:val="002E2485"/>
    <w:rsid w:val="002E285C"/>
    <w:rsid w:val="002E33A0"/>
    <w:rsid w:val="002E3B66"/>
    <w:rsid w:val="002E5433"/>
    <w:rsid w:val="002E573E"/>
    <w:rsid w:val="002E6D70"/>
    <w:rsid w:val="002E73C5"/>
    <w:rsid w:val="002E7692"/>
    <w:rsid w:val="002F1624"/>
    <w:rsid w:val="002F2120"/>
    <w:rsid w:val="002F2F8B"/>
    <w:rsid w:val="002F38AE"/>
    <w:rsid w:val="002F447B"/>
    <w:rsid w:val="002F4613"/>
    <w:rsid w:val="002F5FE1"/>
    <w:rsid w:val="002F68DD"/>
    <w:rsid w:val="002F7ECB"/>
    <w:rsid w:val="00300B58"/>
    <w:rsid w:val="003015BF"/>
    <w:rsid w:val="00302296"/>
    <w:rsid w:val="00302B67"/>
    <w:rsid w:val="00302EA1"/>
    <w:rsid w:val="0030336F"/>
    <w:rsid w:val="0030349D"/>
    <w:rsid w:val="003038B1"/>
    <w:rsid w:val="00304297"/>
    <w:rsid w:val="00304541"/>
    <w:rsid w:val="00304A70"/>
    <w:rsid w:val="00305142"/>
    <w:rsid w:val="00305DF9"/>
    <w:rsid w:val="0030633B"/>
    <w:rsid w:val="00306877"/>
    <w:rsid w:val="00307979"/>
    <w:rsid w:val="00310221"/>
    <w:rsid w:val="003107FC"/>
    <w:rsid w:val="003112A0"/>
    <w:rsid w:val="003116A6"/>
    <w:rsid w:val="0031172A"/>
    <w:rsid w:val="00311D9B"/>
    <w:rsid w:val="00311EEB"/>
    <w:rsid w:val="00312386"/>
    <w:rsid w:val="00312E02"/>
    <w:rsid w:val="0031311B"/>
    <w:rsid w:val="003132F8"/>
    <w:rsid w:val="00314A34"/>
    <w:rsid w:val="003155B6"/>
    <w:rsid w:val="00315D1A"/>
    <w:rsid w:val="0031674B"/>
    <w:rsid w:val="003169DA"/>
    <w:rsid w:val="00317BA4"/>
    <w:rsid w:val="0032014C"/>
    <w:rsid w:val="00322486"/>
    <w:rsid w:val="0032381F"/>
    <w:rsid w:val="003238B9"/>
    <w:rsid w:val="00323B25"/>
    <w:rsid w:val="0032561F"/>
    <w:rsid w:val="003259B8"/>
    <w:rsid w:val="00326CC6"/>
    <w:rsid w:val="00330BBB"/>
    <w:rsid w:val="00331037"/>
    <w:rsid w:val="00333829"/>
    <w:rsid w:val="003343C1"/>
    <w:rsid w:val="00334982"/>
    <w:rsid w:val="00334C20"/>
    <w:rsid w:val="00335FBD"/>
    <w:rsid w:val="00336127"/>
    <w:rsid w:val="00336284"/>
    <w:rsid w:val="00336B27"/>
    <w:rsid w:val="00337066"/>
    <w:rsid w:val="0033734A"/>
    <w:rsid w:val="0034068B"/>
    <w:rsid w:val="003419F2"/>
    <w:rsid w:val="00341E24"/>
    <w:rsid w:val="00342486"/>
    <w:rsid w:val="00342D5D"/>
    <w:rsid w:val="00343920"/>
    <w:rsid w:val="00344332"/>
    <w:rsid w:val="00344605"/>
    <w:rsid w:val="00344A24"/>
    <w:rsid w:val="003450ED"/>
    <w:rsid w:val="0034525C"/>
    <w:rsid w:val="00345710"/>
    <w:rsid w:val="003459DF"/>
    <w:rsid w:val="00346708"/>
    <w:rsid w:val="0034741D"/>
    <w:rsid w:val="00347C3E"/>
    <w:rsid w:val="0035043F"/>
    <w:rsid w:val="00351D5E"/>
    <w:rsid w:val="00352B2E"/>
    <w:rsid w:val="00352E4A"/>
    <w:rsid w:val="003537BB"/>
    <w:rsid w:val="003541EC"/>
    <w:rsid w:val="00356C3E"/>
    <w:rsid w:val="003635F6"/>
    <w:rsid w:val="00364D25"/>
    <w:rsid w:val="00365CFF"/>
    <w:rsid w:val="00366360"/>
    <w:rsid w:val="00366607"/>
    <w:rsid w:val="00366811"/>
    <w:rsid w:val="00366D14"/>
    <w:rsid w:val="00366D2A"/>
    <w:rsid w:val="003705D9"/>
    <w:rsid w:val="003711D2"/>
    <w:rsid w:val="00371497"/>
    <w:rsid w:val="0037199B"/>
    <w:rsid w:val="00371C2F"/>
    <w:rsid w:val="00372B1D"/>
    <w:rsid w:val="00373460"/>
    <w:rsid w:val="00373534"/>
    <w:rsid w:val="003757E0"/>
    <w:rsid w:val="003757E7"/>
    <w:rsid w:val="003764C2"/>
    <w:rsid w:val="00376583"/>
    <w:rsid w:val="00376A1F"/>
    <w:rsid w:val="00377363"/>
    <w:rsid w:val="0038014A"/>
    <w:rsid w:val="00380599"/>
    <w:rsid w:val="00380D89"/>
    <w:rsid w:val="00381BF3"/>
    <w:rsid w:val="00383691"/>
    <w:rsid w:val="00384086"/>
    <w:rsid w:val="00384624"/>
    <w:rsid w:val="0038500D"/>
    <w:rsid w:val="003853F8"/>
    <w:rsid w:val="00385C79"/>
    <w:rsid w:val="00385CC6"/>
    <w:rsid w:val="00385E7B"/>
    <w:rsid w:val="003864C5"/>
    <w:rsid w:val="00386A66"/>
    <w:rsid w:val="00386C28"/>
    <w:rsid w:val="00387337"/>
    <w:rsid w:val="003876D0"/>
    <w:rsid w:val="00387A3C"/>
    <w:rsid w:val="0039006B"/>
    <w:rsid w:val="003902C8"/>
    <w:rsid w:val="0039260F"/>
    <w:rsid w:val="00392D6D"/>
    <w:rsid w:val="00392F62"/>
    <w:rsid w:val="003955AE"/>
    <w:rsid w:val="00396297"/>
    <w:rsid w:val="00396ACD"/>
    <w:rsid w:val="00396BE1"/>
    <w:rsid w:val="00397657"/>
    <w:rsid w:val="003A03C7"/>
    <w:rsid w:val="003A0A29"/>
    <w:rsid w:val="003A10A7"/>
    <w:rsid w:val="003A10B7"/>
    <w:rsid w:val="003A12DF"/>
    <w:rsid w:val="003A2489"/>
    <w:rsid w:val="003A27DA"/>
    <w:rsid w:val="003A2C3A"/>
    <w:rsid w:val="003A335E"/>
    <w:rsid w:val="003A38D7"/>
    <w:rsid w:val="003A3DA0"/>
    <w:rsid w:val="003A44B4"/>
    <w:rsid w:val="003A4667"/>
    <w:rsid w:val="003A4C38"/>
    <w:rsid w:val="003A5C9A"/>
    <w:rsid w:val="003A5D7B"/>
    <w:rsid w:val="003A6125"/>
    <w:rsid w:val="003A6379"/>
    <w:rsid w:val="003A744E"/>
    <w:rsid w:val="003B02C6"/>
    <w:rsid w:val="003B15BB"/>
    <w:rsid w:val="003B1E87"/>
    <w:rsid w:val="003B2366"/>
    <w:rsid w:val="003B308F"/>
    <w:rsid w:val="003B3DE9"/>
    <w:rsid w:val="003B4E4D"/>
    <w:rsid w:val="003B54D7"/>
    <w:rsid w:val="003B5E41"/>
    <w:rsid w:val="003B5E52"/>
    <w:rsid w:val="003B6CDE"/>
    <w:rsid w:val="003B73E0"/>
    <w:rsid w:val="003C0677"/>
    <w:rsid w:val="003C0B30"/>
    <w:rsid w:val="003C0F54"/>
    <w:rsid w:val="003C1DB0"/>
    <w:rsid w:val="003C32CF"/>
    <w:rsid w:val="003C49EB"/>
    <w:rsid w:val="003C4CC4"/>
    <w:rsid w:val="003C5C46"/>
    <w:rsid w:val="003C5F52"/>
    <w:rsid w:val="003C6599"/>
    <w:rsid w:val="003D1698"/>
    <w:rsid w:val="003D17D8"/>
    <w:rsid w:val="003D23AD"/>
    <w:rsid w:val="003D26EE"/>
    <w:rsid w:val="003D372A"/>
    <w:rsid w:val="003D3823"/>
    <w:rsid w:val="003D4C8B"/>
    <w:rsid w:val="003D552F"/>
    <w:rsid w:val="003D57C9"/>
    <w:rsid w:val="003D76B6"/>
    <w:rsid w:val="003E0274"/>
    <w:rsid w:val="003E0AF7"/>
    <w:rsid w:val="003E0F14"/>
    <w:rsid w:val="003E2545"/>
    <w:rsid w:val="003E40B8"/>
    <w:rsid w:val="003E467B"/>
    <w:rsid w:val="003E4D25"/>
    <w:rsid w:val="003E5609"/>
    <w:rsid w:val="003E608C"/>
    <w:rsid w:val="003E68F2"/>
    <w:rsid w:val="003E6A5D"/>
    <w:rsid w:val="003F0120"/>
    <w:rsid w:val="003F0227"/>
    <w:rsid w:val="003F0900"/>
    <w:rsid w:val="003F0944"/>
    <w:rsid w:val="003F296C"/>
    <w:rsid w:val="003F3A70"/>
    <w:rsid w:val="003F73E7"/>
    <w:rsid w:val="00400B09"/>
    <w:rsid w:val="004014CD"/>
    <w:rsid w:val="00402CBE"/>
    <w:rsid w:val="00402F3A"/>
    <w:rsid w:val="00405BF0"/>
    <w:rsid w:val="00405DE1"/>
    <w:rsid w:val="00406E0C"/>
    <w:rsid w:val="00407F64"/>
    <w:rsid w:val="004108CA"/>
    <w:rsid w:val="00411E39"/>
    <w:rsid w:val="004121BD"/>
    <w:rsid w:val="00412535"/>
    <w:rsid w:val="0041381A"/>
    <w:rsid w:val="00413C2C"/>
    <w:rsid w:val="00413FF5"/>
    <w:rsid w:val="00414638"/>
    <w:rsid w:val="0041711B"/>
    <w:rsid w:val="004175A6"/>
    <w:rsid w:val="00417A87"/>
    <w:rsid w:val="00417BCA"/>
    <w:rsid w:val="0042063A"/>
    <w:rsid w:val="00420A5F"/>
    <w:rsid w:val="00420FE9"/>
    <w:rsid w:val="004211F8"/>
    <w:rsid w:val="0042186B"/>
    <w:rsid w:val="004231FB"/>
    <w:rsid w:val="004234C0"/>
    <w:rsid w:val="00423787"/>
    <w:rsid w:val="00424710"/>
    <w:rsid w:val="0042544A"/>
    <w:rsid w:val="00427632"/>
    <w:rsid w:val="004276A5"/>
    <w:rsid w:val="00427A21"/>
    <w:rsid w:val="00431212"/>
    <w:rsid w:val="00431895"/>
    <w:rsid w:val="0043210C"/>
    <w:rsid w:val="00432F6D"/>
    <w:rsid w:val="00433338"/>
    <w:rsid w:val="00433822"/>
    <w:rsid w:val="00433DD1"/>
    <w:rsid w:val="004348DC"/>
    <w:rsid w:val="00435344"/>
    <w:rsid w:val="00436325"/>
    <w:rsid w:val="0043663D"/>
    <w:rsid w:val="00437161"/>
    <w:rsid w:val="00437190"/>
    <w:rsid w:val="00437AA5"/>
    <w:rsid w:val="00437AD0"/>
    <w:rsid w:val="004400F6"/>
    <w:rsid w:val="00440BE2"/>
    <w:rsid w:val="00440DC8"/>
    <w:rsid w:val="00441C81"/>
    <w:rsid w:val="00442A28"/>
    <w:rsid w:val="00442C4D"/>
    <w:rsid w:val="00447ADB"/>
    <w:rsid w:val="00447B62"/>
    <w:rsid w:val="004500BD"/>
    <w:rsid w:val="004514AE"/>
    <w:rsid w:val="004527E9"/>
    <w:rsid w:val="00453458"/>
    <w:rsid w:val="00454182"/>
    <w:rsid w:val="00455631"/>
    <w:rsid w:val="004561EF"/>
    <w:rsid w:val="00456FF7"/>
    <w:rsid w:val="0045723A"/>
    <w:rsid w:val="004577AF"/>
    <w:rsid w:val="00460C62"/>
    <w:rsid w:val="00462023"/>
    <w:rsid w:val="00462CF0"/>
    <w:rsid w:val="00463199"/>
    <w:rsid w:val="00463832"/>
    <w:rsid w:val="00463CF0"/>
    <w:rsid w:val="00465B5A"/>
    <w:rsid w:val="00466792"/>
    <w:rsid w:val="004673A6"/>
    <w:rsid w:val="004679E5"/>
    <w:rsid w:val="00467BBC"/>
    <w:rsid w:val="00467CC0"/>
    <w:rsid w:val="00470DC8"/>
    <w:rsid w:val="004731E6"/>
    <w:rsid w:val="00473C2D"/>
    <w:rsid w:val="00474CA8"/>
    <w:rsid w:val="00476648"/>
    <w:rsid w:val="004767ED"/>
    <w:rsid w:val="00477FDF"/>
    <w:rsid w:val="00480FD6"/>
    <w:rsid w:val="00481592"/>
    <w:rsid w:val="00482456"/>
    <w:rsid w:val="00482F02"/>
    <w:rsid w:val="00483195"/>
    <w:rsid w:val="00483828"/>
    <w:rsid w:val="00483CBB"/>
    <w:rsid w:val="00484379"/>
    <w:rsid w:val="00484FB7"/>
    <w:rsid w:val="00485AE3"/>
    <w:rsid w:val="00486A85"/>
    <w:rsid w:val="00486CE3"/>
    <w:rsid w:val="004875E4"/>
    <w:rsid w:val="00487723"/>
    <w:rsid w:val="00487978"/>
    <w:rsid w:val="00492396"/>
    <w:rsid w:val="00492547"/>
    <w:rsid w:val="00492895"/>
    <w:rsid w:val="004945E9"/>
    <w:rsid w:val="00494CD8"/>
    <w:rsid w:val="0049546C"/>
    <w:rsid w:val="00495545"/>
    <w:rsid w:val="00495CA7"/>
    <w:rsid w:val="00495CD7"/>
    <w:rsid w:val="00495D67"/>
    <w:rsid w:val="004A004B"/>
    <w:rsid w:val="004A0E13"/>
    <w:rsid w:val="004A1D86"/>
    <w:rsid w:val="004A3038"/>
    <w:rsid w:val="004A495B"/>
    <w:rsid w:val="004A5002"/>
    <w:rsid w:val="004A5586"/>
    <w:rsid w:val="004A595A"/>
    <w:rsid w:val="004A5A5B"/>
    <w:rsid w:val="004A5F81"/>
    <w:rsid w:val="004A784A"/>
    <w:rsid w:val="004A7DAE"/>
    <w:rsid w:val="004B077D"/>
    <w:rsid w:val="004B329E"/>
    <w:rsid w:val="004B32A8"/>
    <w:rsid w:val="004B70CC"/>
    <w:rsid w:val="004C0778"/>
    <w:rsid w:val="004C0BE2"/>
    <w:rsid w:val="004C25EB"/>
    <w:rsid w:val="004C2828"/>
    <w:rsid w:val="004C3692"/>
    <w:rsid w:val="004C448D"/>
    <w:rsid w:val="004C468C"/>
    <w:rsid w:val="004C4A78"/>
    <w:rsid w:val="004C4B91"/>
    <w:rsid w:val="004C50DF"/>
    <w:rsid w:val="004C51E6"/>
    <w:rsid w:val="004C543A"/>
    <w:rsid w:val="004C5761"/>
    <w:rsid w:val="004C6BB9"/>
    <w:rsid w:val="004C71ED"/>
    <w:rsid w:val="004C76F2"/>
    <w:rsid w:val="004D0F32"/>
    <w:rsid w:val="004D18F2"/>
    <w:rsid w:val="004D29BD"/>
    <w:rsid w:val="004D479D"/>
    <w:rsid w:val="004D555D"/>
    <w:rsid w:val="004D599B"/>
    <w:rsid w:val="004D5B49"/>
    <w:rsid w:val="004D6D09"/>
    <w:rsid w:val="004D6F7E"/>
    <w:rsid w:val="004E0E23"/>
    <w:rsid w:val="004E1949"/>
    <w:rsid w:val="004E19F9"/>
    <w:rsid w:val="004E202F"/>
    <w:rsid w:val="004E2244"/>
    <w:rsid w:val="004E4A2A"/>
    <w:rsid w:val="004E531C"/>
    <w:rsid w:val="004E55C5"/>
    <w:rsid w:val="004E63E4"/>
    <w:rsid w:val="004E69C4"/>
    <w:rsid w:val="004E74CC"/>
    <w:rsid w:val="004F0083"/>
    <w:rsid w:val="004F206F"/>
    <w:rsid w:val="004F2E85"/>
    <w:rsid w:val="004F3BE1"/>
    <w:rsid w:val="004F44A3"/>
    <w:rsid w:val="004F4730"/>
    <w:rsid w:val="004F4F0F"/>
    <w:rsid w:val="004F5680"/>
    <w:rsid w:val="004F5BAA"/>
    <w:rsid w:val="004F7CF7"/>
    <w:rsid w:val="004F7E64"/>
    <w:rsid w:val="005003CD"/>
    <w:rsid w:val="00500796"/>
    <w:rsid w:val="00500930"/>
    <w:rsid w:val="00501316"/>
    <w:rsid w:val="00501403"/>
    <w:rsid w:val="005016F4"/>
    <w:rsid w:val="00501CC5"/>
    <w:rsid w:val="00501E16"/>
    <w:rsid w:val="005026D4"/>
    <w:rsid w:val="00502F9B"/>
    <w:rsid w:val="00503998"/>
    <w:rsid w:val="00503FB0"/>
    <w:rsid w:val="00504130"/>
    <w:rsid w:val="00504A57"/>
    <w:rsid w:val="005054CB"/>
    <w:rsid w:val="005061F6"/>
    <w:rsid w:val="005067E6"/>
    <w:rsid w:val="00507109"/>
    <w:rsid w:val="00507E3E"/>
    <w:rsid w:val="0051071F"/>
    <w:rsid w:val="00510875"/>
    <w:rsid w:val="0051090F"/>
    <w:rsid w:val="0051153D"/>
    <w:rsid w:val="005128F6"/>
    <w:rsid w:val="00513046"/>
    <w:rsid w:val="00516B82"/>
    <w:rsid w:val="005170BA"/>
    <w:rsid w:val="00517169"/>
    <w:rsid w:val="00517205"/>
    <w:rsid w:val="005206D4"/>
    <w:rsid w:val="00520844"/>
    <w:rsid w:val="005211D5"/>
    <w:rsid w:val="00523434"/>
    <w:rsid w:val="005245A5"/>
    <w:rsid w:val="00525811"/>
    <w:rsid w:val="0052712D"/>
    <w:rsid w:val="0052750D"/>
    <w:rsid w:val="0052764B"/>
    <w:rsid w:val="005276A6"/>
    <w:rsid w:val="005302A9"/>
    <w:rsid w:val="00530814"/>
    <w:rsid w:val="00531266"/>
    <w:rsid w:val="00533F87"/>
    <w:rsid w:val="00534BA6"/>
    <w:rsid w:val="00534CEC"/>
    <w:rsid w:val="00535CA7"/>
    <w:rsid w:val="00536005"/>
    <w:rsid w:val="00536583"/>
    <w:rsid w:val="00536DA2"/>
    <w:rsid w:val="005402E3"/>
    <w:rsid w:val="005410D1"/>
    <w:rsid w:val="00542487"/>
    <w:rsid w:val="00543B80"/>
    <w:rsid w:val="00543FC1"/>
    <w:rsid w:val="00544F06"/>
    <w:rsid w:val="005450ED"/>
    <w:rsid w:val="00546DD7"/>
    <w:rsid w:val="005477B1"/>
    <w:rsid w:val="005509FC"/>
    <w:rsid w:val="005514CB"/>
    <w:rsid w:val="00551B18"/>
    <w:rsid w:val="00551E11"/>
    <w:rsid w:val="005524C0"/>
    <w:rsid w:val="00552ED2"/>
    <w:rsid w:val="005545F1"/>
    <w:rsid w:val="005573D5"/>
    <w:rsid w:val="00561350"/>
    <w:rsid w:val="00561945"/>
    <w:rsid w:val="00562AA2"/>
    <w:rsid w:val="00563107"/>
    <w:rsid w:val="00563F8A"/>
    <w:rsid w:val="00564276"/>
    <w:rsid w:val="0056669F"/>
    <w:rsid w:val="00570646"/>
    <w:rsid w:val="0057112F"/>
    <w:rsid w:val="005717A2"/>
    <w:rsid w:val="00571B50"/>
    <w:rsid w:val="00572FFB"/>
    <w:rsid w:val="0057446D"/>
    <w:rsid w:val="005746CE"/>
    <w:rsid w:val="00575A84"/>
    <w:rsid w:val="0057657A"/>
    <w:rsid w:val="00576590"/>
    <w:rsid w:val="005769BE"/>
    <w:rsid w:val="00577845"/>
    <w:rsid w:val="00577B48"/>
    <w:rsid w:val="00577FD9"/>
    <w:rsid w:val="005812AC"/>
    <w:rsid w:val="005817E3"/>
    <w:rsid w:val="00582810"/>
    <w:rsid w:val="00582FAD"/>
    <w:rsid w:val="00582FB6"/>
    <w:rsid w:val="005857A9"/>
    <w:rsid w:val="005860DF"/>
    <w:rsid w:val="005873B7"/>
    <w:rsid w:val="005877E0"/>
    <w:rsid w:val="00587A19"/>
    <w:rsid w:val="00587A2A"/>
    <w:rsid w:val="0058AEB7"/>
    <w:rsid w:val="0059082C"/>
    <w:rsid w:val="00590A36"/>
    <w:rsid w:val="00591D0D"/>
    <w:rsid w:val="00592616"/>
    <w:rsid w:val="00592D99"/>
    <w:rsid w:val="00593404"/>
    <w:rsid w:val="00593846"/>
    <w:rsid w:val="005954B0"/>
    <w:rsid w:val="00595540"/>
    <w:rsid w:val="00595701"/>
    <w:rsid w:val="005972BE"/>
    <w:rsid w:val="005A033C"/>
    <w:rsid w:val="005A1388"/>
    <w:rsid w:val="005A1801"/>
    <w:rsid w:val="005A1B96"/>
    <w:rsid w:val="005A3070"/>
    <w:rsid w:val="005A3FCB"/>
    <w:rsid w:val="005A4910"/>
    <w:rsid w:val="005A5D1C"/>
    <w:rsid w:val="005B059F"/>
    <w:rsid w:val="005B0AB8"/>
    <w:rsid w:val="005B1448"/>
    <w:rsid w:val="005B1562"/>
    <w:rsid w:val="005B20BE"/>
    <w:rsid w:val="005B20FA"/>
    <w:rsid w:val="005B2FBD"/>
    <w:rsid w:val="005B3000"/>
    <w:rsid w:val="005B343E"/>
    <w:rsid w:val="005B3513"/>
    <w:rsid w:val="005B3F20"/>
    <w:rsid w:val="005B425B"/>
    <w:rsid w:val="005B4D71"/>
    <w:rsid w:val="005B5523"/>
    <w:rsid w:val="005B5CE0"/>
    <w:rsid w:val="005B5FA6"/>
    <w:rsid w:val="005B6B22"/>
    <w:rsid w:val="005B6E60"/>
    <w:rsid w:val="005C0481"/>
    <w:rsid w:val="005C11F4"/>
    <w:rsid w:val="005C205B"/>
    <w:rsid w:val="005C2F83"/>
    <w:rsid w:val="005C311A"/>
    <w:rsid w:val="005C3545"/>
    <w:rsid w:val="005C4774"/>
    <w:rsid w:val="005C4D5C"/>
    <w:rsid w:val="005C5915"/>
    <w:rsid w:val="005D1D38"/>
    <w:rsid w:val="005D27C4"/>
    <w:rsid w:val="005D2F22"/>
    <w:rsid w:val="005D30D8"/>
    <w:rsid w:val="005D351B"/>
    <w:rsid w:val="005D4637"/>
    <w:rsid w:val="005D4F9C"/>
    <w:rsid w:val="005D5D05"/>
    <w:rsid w:val="005D61B9"/>
    <w:rsid w:val="005D734F"/>
    <w:rsid w:val="005D7D5E"/>
    <w:rsid w:val="005E2070"/>
    <w:rsid w:val="005E2902"/>
    <w:rsid w:val="005E52AB"/>
    <w:rsid w:val="005E6936"/>
    <w:rsid w:val="005E7206"/>
    <w:rsid w:val="005E7BE0"/>
    <w:rsid w:val="005F07AA"/>
    <w:rsid w:val="005F0AC0"/>
    <w:rsid w:val="005F2377"/>
    <w:rsid w:val="005F2573"/>
    <w:rsid w:val="005F25EA"/>
    <w:rsid w:val="005F366F"/>
    <w:rsid w:val="005F403E"/>
    <w:rsid w:val="005F5CFD"/>
    <w:rsid w:val="005F63D0"/>
    <w:rsid w:val="005F65EA"/>
    <w:rsid w:val="005F7CCC"/>
    <w:rsid w:val="005F7ECB"/>
    <w:rsid w:val="006003E0"/>
    <w:rsid w:val="0060197B"/>
    <w:rsid w:val="0060301F"/>
    <w:rsid w:val="00603170"/>
    <w:rsid w:val="00604524"/>
    <w:rsid w:val="00604B2B"/>
    <w:rsid w:val="0060525B"/>
    <w:rsid w:val="00605742"/>
    <w:rsid w:val="00605FBF"/>
    <w:rsid w:val="00606190"/>
    <w:rsid w:val="00607EEA"/>
    <w:rsid w:val="00612CC2"/>
    <w:rsid w:val="00613D95"/>
    <w:rsid w:val="00615EFF"/>
    <w:rsid w:val="0061646D"/>
    <w:rsid w:val="00616566"/>
    <w:rsid w:val="0061687A"/>
    <w:rsid w:val="0061788F"/>
    <w:rsid w:val="0061789E"/>
    <w:rsid w:val="00617F04"/>
    <w:rsid w:val="006200D3"/>
    <w:rsid w:val="0062200A"/>
    <w:rsid w:val="006223BB"/>
    <w:rsid w:val="0062350C"/>
    <w:rsid w:val="0062612A"/>
    <w:rsid w:val="00626D85"/>
    <w:rsid w:val="00627A48"/>
    <w:rsid w:val="00630209"/>
    <w:rsid w:val="0063110C"/>
    <w:rsid w:val="006311BC"/>
    <w:rsid w:val="00631876"/>
    <w:rsid w:val="00631E95"/>
    <w:rsid w:val="00632D52"/>
    <w:rsid w:val="00633F3B"/>
    <w:rsid w:val="00634264"/>
    <w:rsid w:val="0063514A"/>
    <w:rsid w:val="0063604F"/>
    <w:rsid w:val="00636555"/>
    <w:rsid w:val="006379E4"/>
    <w:rsid w:val="00641BDC"/>
    <w:rsid w:val="00641C84"/>
    <w:rsid w:val="006429D8"/>
    <w:rsid w:val="00644C10"/>
    <w:rsid w:val="0064500D"/>
    <w:rsid w:val="006470AF"/>
    <w:rsid w:val="0064719C"/>
    <w:rsid w:val="00650D37"/>
    <w:rsid w:val="0065171F"/>
    <w:rsid w:val="00651E40"/>
    <w:rsid w:val="00651FDD"/>
    <w:rsid w:val="00652090"/>
    <w:rsid w:val="006521B3"/>
    <w:rsid w:val="00653701"/>
    <w:rsid w:val="006556D9"/>
    <w:rsid w:val="00655E71"/>
    <w:rsid w:val="0065771E"/>
    <w:rsid w:val="00657AB9"/>
    <w:rsid w:val="0066192E"/>
    <w:rsid w:val="00663A8F"/>
    <w:rsid w:val="006653FF"/>
    <w:rsid w:val="006654AB"/>
    <w:rsid w:val="00665543"/>
    <w:rsid w:val="00665EAF"/>
    <w:rsid w:val="00666584"/>
    <w:rsid w:val="00666985"/>
    <w:rsid w:val="0066711C"/>
    <w:rsid w:val="006701BE"/>
    <w:rsid w:val="0067178E"/>
    <w:rsid w:val="00672B45"/>
    <w:rsid w:val="00672E4C"/>
    <w:rsid w:val="00673ACA"/>
    <w:rsid w:val="00674B5C"/>
    <w:rsid w:val="006753BF"/>
    <w:rsid w:val="0067559E"/>
    <w:rsid w:val="0067634F"/>
    <w:rsid w:val="00676AA7"/>
    <w:rsid w:val="006770AB"/>
    <w:rsid w:val="006770EA"/>
    <w:rsid w:val="00677712"/>
    <w:rsid w:val="006812AD"/>
    <w:rsid w:val="006815FF"/>
    <w:rsid w:val="00684599"/>
    <w:rsid w:val="00685FF8"/>
    <w:rsid w:val="00686298"/>
    <w:rsid w:val="00686D7A"/>
    <w:rsid w:val="00690DDC"/>
    <w:rsid w:val="00691720"/>
    <w:rsid w:val="00691BF7"/>
    <w:rsid w:val="00692C32"/>
    <w:rsid w:val="006935BD"/>
    <w:rsid w:val="00694369"/>
    <w:rsid w:val="0069475F"/>
    <w:rsid w:val="0069487E"/>
    <w:rsid w:val="006950BB"/>
    <w:rsid w:val="00696EDF"/>
    <w:rsid w:val="006972B9"/>
    <w:rsid w:val="006975EC"/>
    <w:rsid w:val="00697E57"/>
    <w:rsid w:val="006A0B08"/>
    <w:rsid w:val="006A107B"/>
    <w:rsid w:val="006A1E3B"/>
    <w:rsid w:val="006A219C"/>
    <w:rsid w:val="006A334F"/>
    <w:rsid w:val="006A3385"/>
    <w:rsid w:val="006A33BE"/>
    <w:rsid w:val="006A4633"/>
    <w:rsid w:val="006A522D"/>
    <w:rsid w:val="006A6427"/>
    <w:rsid w:val="006A6625"/>
    <w:rsid w:val="006A7F31"/>
    <w:rsid w:val="006A7F85"/>
    <w:rsid w:val="006B068B"/>
    <w:rsid w:val="006B0719"/>
    <w:rsid w:val="006B0E65"/>
    <w:rsid w:val="006B27FA"/>
    <w:rsid w:val="006B340E"/>
    <w:rsid w:val="006B35CE"/>
    <w:rsid w:val="006B3D80"/>
    <w:rsid w:val="006B57BC"/>
    <w:rsid w:val="006B6185"/>
    <w:rsid w:val="006B6B74"/>
    <w:rsid w:val="006B6CCD"/>
    <w:rsid w:val="006B71D2"/>
    <w:rsid w:val="006B7B11"/>
    <w:rsid w:val="006B7DAA"/>
    <w:rsid w:val="006C0BA9"/>
    <w:rsid w:val="006C147E"/>
    <w:rsid w:val="006C289E"/>
    <w:rsid w:val="006C2F7B"/>
    <w:rsid w:val="006C3C78"/>
    <w:rsid w:val="006C5039"/>
    <w:rsid w:val="006C628F"/>
    <w:rsid w:val="006C6A46"/>
    <w:rsid w:val="006D01A1"/>
    <w:rsid w:val="006D0F5C"/>
    <w:rsid w:val="006D15A3"/>
    <w:rsid w:val="006D176F"/>
    <w:rsid w:val="006D221C"/>
    <w:rsid w:val="006D26AB"/>
    <w:rsid w:val="006D2C65"/>
    <w:rsid w:val="006D3B17"/>
    <w:rsid w:val="006D4CB3"/>
    <w:rsid w:val="006D4F99"/>
    <w:rsid w:val="006D6549"/>
    <w:rsid w:val="006D7898"/>
    <w:rsid w:val="006E113F"/>
    <w:rsid w:val="006E1BAA"/>
    <w:rsid w:val="006E2A5D"/>
    <w:rsid w:val="006E3AB3"/>
    <w:rsid w:val="006E411C"/>
    <w:rsid w:val="006E592F"/>
    <w:rsid w:val="006E77FF"/>
    <w:rsid w:val="006F0C27"/>
    <w:rsid w:val="006F3EB3"/>
    <w:rsid w:val="006F4155"/>
    <w:rsid w:val="006F49DD"/>
    <w:rsid w:val="006F560B"/>
    <w:rsid w:val="006F6613"/>
    <w:rsid w:val="006F6E57"/>
    <w:rsid w:val="006F77E4"/>
    <w:rsid w:val="006F7EFE"/>
    <w:rsid w:val="00701570"/>
    <w:rsid w:val="00702406"/>
    <w:rsid w:val="0070267E"/>
    <w:rsid w:val="00702FB4"/>
    <w:rsid w:val="0070307B"/>
    <w:rsid w:val="007040BF"/>
    <w:rsid w:val="007050A7"/>
    <w:rsid w:val="0070585E"/>
    <w:rsid w:val="00705963"/>
    <w:rsid w:val="007061C7"/>
    <w:rsid w:val="0070638E"/>
    <w:rsid w:val="00707757"/>
    <w:rsid w:val="0071174C"/>
    <w:rsid w:val="00711AA7"/>
    <w:rsid w:val="0071255E"/>
    <w:rsid w:val="00712B87"/>
    <w:rsid w:val="007134FB"/>
    <w:rsid w:val="00713673"/>
    <w:rsid w:val="007137B9"/>
    <w:rsid w:val="00714539"/>
    <w:rsid w:val="00715BFC"/>
    <w:rsid w:val="00715C1A"/>
    <w:rsid w:val="007171B2"/>
    <w:rsid w:val="00720F9B"/>
    <w:rsid w:val="0072166F"/>
    <w:rsid w:val="0072205C"/>
    <w:rsid w:val="00722127"/>
    <w:rsid w:val="00724D7B"/>
    <w:rsid w:val="00726753"/>
    <w:rsid w:val="00726ED3"/>
    <w:rsid w:val="007273FB"/>
    <w:rsid w:val="00727A68"/>
    <w:rsid w:val="00727E29"/>
    <w:rsid w:val="007329B1"/>
    <w:rsid w:val="00734ED8"/>
    <w:rsid w:val="007354AD"/>
    <w:rsid w:val="0073614E"/>
    <w:rsid w:val="00736174"/>
    <w:rsid w:val="00737052"/>
    <w:rsid w:val="007379FE"/>
    <w:rsid w:val="0074052F"/>
    <w:rsid w:val="00740A82"/>
    <w:rsid w:val="0074283F"/>
    <w:rsid w:val="00742E14"/>
    <w:rsid w:val="00742E4F"/>
    <w:rsid w:val="007435AB"/>
    <w:rsid w:val="00744CAF"/>
    <w:rsid w:val="00744E7F"/>
    <w:rsid w:val="00745420"/>
    <w:rsid w:val="007464E4"/>
    <w:rsid w:val="0075082F"/>
    <w:rsid w:val="00750B95"/>
    <w:rsid w:val="00752F0B"/>
    <w:rsid w:val="007531F7"/>
    <w:rsid w:val="00754BFA"/>
    <w:rsid w:val="00755486"/>
    <w:rsid w:val="0075556C"/>
    <w:rsid w:val="0075563B"/>
    <w:rsid w:val="00755CC2"/>
    <w:rsid w:val="00755DF3"/>
    <w:rsid w:val="00756E76"/>
    <w:rsid w:val="00760608"/>
    <w:rsid w:val="007608EC"/>
    <w:rsid w:val="0076185A"/>
    <w:rsid w:val="007619C0"/>
    <w:rsid w:val="007631BF"/>
    <w:rsid w:val="00763894"/>
    <w:rsid w:val="00764045"/>
    <w:rsid w:val="00764BC6"/>
    <w:rsid w:val="00765635"/>
    <w:rsid w:val="0076598D"/>
    <w:rsid w:val="007703AF"/>
    <w:rsid w:val="007726CF"/>
    <w:rsid w:val="007732BE"/>
    <w:rsid w:val="00775B39"/>
    <w:rsid w:val="00776F02"/>
    <w:rsid w:val="00781331"/>
    <w:rsid w:val="007826EB"/>
    <w:rsid w:val="00782CCE"/>
    <w:rsid w:val="007836CD"/>
    <w:rsid w:val="00783790"/>
    <w:rsid w:val="00784265"/>
    <w:rsid w:val="00785409"/>
    <w:rsid w:val="007856FA"/>
    <w:rsid w:val="00785D49"/>
    <w:rsid w:val="007868D6"/>
    <w:rsid w:val="0079082B"/>
    <w:rsid w:val="00791A47"/>
    <w:rsid w:val="00791F61"/>
    <w:rsid w:val="00792683"/>
    <w:rsid w:val="00792BF5"/>
    <w:rsid w:val="00794433"/>
    <w:rsid w:val="00794912"/>
    <w:rsid w:val="0079537D"/>
    <w:rsid w:val="0079575B"/>
    <w:rsid w:val="00795F13"/>
    <w:rsid w:val="00796081"/>
    <w:rsid w:val="007972DD"/>
    <w:rsid w:val="007975E8"/>
    <w:rsid w:val="007A081F"/>
    <w:rsid w:val="007A0C00"/>
    <w:rsid w:val="007A295C"/>
    <w:rsid w:val="007A2AE1"/>
    <w:rsid w:val="007A3746"/>
    <w:rsid w:val="007A3798"/>
    <w:rsid w:val="007A3BA8"/>
    <w:rsid w:val="007A46C6"/>
    <w:rsid w:val="007A5925"/>
    <w:rsid w:val="007A5C60"/>
    <w:rsid w:val="007A64E8"/>
    <w:rsid w:val="007A70D5"/>
    <w:rsid w:val="007B04CB"/>
    <w:rsid w:val="007B084A"/>
    <w:rsid w:val="007B1D71"/>
    <w:rsid w:val="007B28A7"/>
    <w:rsid w:val="007B29BE"/>
    <w:rsid w:val="007B3286"/>
    <w:rsid w:val="007B3AB4"/>
    <w:rsid w:val="007B40FC"/>
    <w:rsid w:val="007B484D"/>
    <w:rsid w:val="007B59E3"/>
    <w:rsid w:val="007B5CC9"/>
    <w:rsid w:val="007B5EBF"/>
    <w:rsid w:val="007B622A"/>
    <w:rsid w:val="007B6B1F"/>
    <w:rsid w:val="007B6F41"/>
    <w:rsid w:val="007B710F"/>
    <w:rsid w:val="007B7D1D"/>
    <w:rsid w:val="007C0369"/>
    <w:rsid w:val="007C048A"/>
    <w:rsid w:val="007C0690"/>
    <w:rsid w:val="007C0F16"/>
    <w:rsid w:val="007C394A"/>
    <w:rsid w:val="007C408E"/>
    <w:rsid w:val="007C41AC"/>
    <w:rsid w:val="007C5272"/>
    <w:rsid w:val="007C55A5"/>
    <w:rsid w:val="007C5E80"/>
    <w:rsid w:val="007C645E"/>
    <w:rsid w:val="007C6E21"/>
    <w:rsid w:val="007D03D1"/>
    <w:rsid w:val="007D05F2"/>
    <w:rsid w:val="007D0861"/>
    <w:rsid w:val="007D0FF2"/>
    <w:rsid w:val="007D130C"/>
    <w:rsid w:val="007D30E2"/>
    <w:rsid w:val="007D31C3"/>
    <w:rsid w:val="007D3C10"/>
    <w:rsid w:val="007D4857"/>
    <w:rsid w:val="007D4F46"/>
    <w:rsid w:val="007D521F"/>
    <w:rsid w:val="007D70DA"/>
    <w:rsid w:val="007D7308"/>
    <w:rsid w:val="007D746A"/>
    <w:rsid w:val="007E010B"/>
    <w:rsid w:val="007E02E1"/>
    <w:rsid w:val="007E074B"/>
    <w:rsid w:val="007E43E9"/>
    <w:rsid w:val="007E4478"/>
    <w:rsid w:val="007E5161"/>
    <w:rsid w:val="007E52E9"/>
    <w:rsid w:val="007E6398"/>
    <w:rsid w:val="007E7309"/>
    <w:rsid w:val="007E7466"/>
    <w:rsid w:val="007F0314"/>
    <w:rsid w:val="007F05F0"/>
    <w:rsid w:val="007F062C"/>
    <w:rsid w:val="007F13F7"/>
    <w:rsid w:val="007F267E"/>
    <w:rsid w:val="007F2A67"/>
    <w:rsid w:val="007F2FAC"/>
    <w:rsid w:val="007F303B"/>
    <w:rsid w:val="007F3046"/>
    <w:rsid w:val="007F32EC"/>
    <w:rsid w:val="007F342F"/>
    <w:rsid w:val="007F4C64"/>
    <w:rsid w:val="007F5D4E"/>
    <w:rsid w:val="007F6B6F"/>
    <w:rsid w:val="007F7D42"/>
    <w:rsid w:val="00800E59"/>
    <w:rsid w:val="00801565"/>
    <w:rsid w:val="0080196B"/>
    <w:rsid w:val="008023DB"/>
    <w:rsid w:val="008025EA"/>
    <w:rsid w:val="008028ED"/>
    <w:rsid w:val="00802FC2"/>
    <w:rsid w:val="00803E5B"/>
    <w:rsid w:val="008047D2"/>
    <w:rsid w:val="00804C47"/>
    <w:rsid w:val="0080678F"/>
    <w:rsid w:val="008067D8"/>
    <w:rsid w:val="00807237"/>
    <w:rsid w:val="0081001C"/>
    <w:rsid w:val="00810126"/>
    <w:rsid w:val="00810D54"/>
    <w:rsid w:val="00812ACA"/>
    <w:rsid w:val="00813620"/>
    <w:rsid w:val="00813E17"/>
    <w:rsid w:val="0081438A"/>
    <w:rsid w:val="00814638"/>
    <w:rsid w:val="00814778"/>
    <w:rsid w:val="008148BA"/>
    <w:rsid w:val="008151A8"/>
    <w:rsid w:val="00815722"/>
    <w:rsid w:val="00815ADC"/>
    <w:rsid w:val="00820334"/>
    <w:rsid w:val="00820AC9"/>
    <w:rsid w:val="00822DBB"/>
    <w:rsid w:val="00823526"/>
    <w:rsid w:val="00824112"/>
    <w:rsid w:val="0082591C"/>
    <w:rsid w:val="00826E7F"/>
    <w:rsid w:val="00827178"/>
    <w:rsid w:val="00827BEC"/>
    <w:rsid w:val="00830A05"/>
    <w:rsid w:val="00830BF5"/>
    <w:rsid w:val="008328A2"/>
    <w:rsid w:val="00833AEB"/>
    <w:rsid w:val="00833B33"/>
    <w:rsid w:val="008351FE"/>
    <w:rsid w:val="0083524D"/>
    <w:rsid w:val="008352B1"/>
    <w:rsid w:val="0083544D"/>
    <w:rsid w:val="00837A55"/>
    <w:rsid w:val="00842557"/>
    <w:rsid w:val="00843472"/>
    <w:rsid w:val="0084359C"/>
    <w:rsid w:val="008440AD"/>
    <w:rsid w:val="008440D0"/>
    <w:rsid w:val="008448D5"/>
    <w:rsid w:val="00844955"/>
    <w:rsid w:val="00845974"/>
    <w:rsid w:val="008462EC"/>
    <w:rsid w:val="008474F3"/>
    <w:rsid w:val="0084759F"/>
    <w:rsid w:val="00850307"/>
    <w:rsid w:val="008506DD"/>
    <w:rsid w:val="00850D1A"/>
    <w:rsid w:val="008525D5"/>
    <w:rsid w:val="008525ED"/>
    <w:rsid w:val="008526F9"/>
    <w:rsid w:val="0085414B"/>
    <w:rsid w:val="008549B8"/>
    <w:rsid w:val="00855497"/>
    <w:rsid w:val="00855D82"/>
    <w:rsid w:val="00855F8B"/>
    <w:rsid w:val="00856635"/>
    <w:rsid w:val="00857C68"/>
    <w:rsid w:val="00857F5D"/>
    <w:rsid w:val="00860A41"/>
    <w:rsid w:val="00860AC3"/>
    <w:rsid w:val="008610BF"/>
    <w:rsid w:val="00861552"/>
    <w:rsid w:val="00862A63"/>
    <w:rsid w:val="00862AE6"/>
    <w:rsid w:val="00864270"/>
    <w:rsid w:val="00865D32"/>
    <w:rsid w:val="008665C2"/>
    <w:rsid w:val="0086785D"/>
    <w:rsid w:val="0087158E"/>
    <w:rsid w:val="00871C88"/>
    <w:rsid w:val="0087272D"/>
    <w:rsid w:val="008750DD"/>
    <w:rsid w:val="008754D8"/>
    <w:rsid w:val="0087690B"/>
    <w:rsid w:val="008773C4"/>
    <w:rsid w:val="00877E76"/>
    <w:rsid w:val="008810B8"/>
    <w:rsid w:val="008810D6"/>
    <w:rsid w:val="00881617"/>
    <w:rsid w:val="008816B5"/>
    <w:rsid w:val="008820C0"/>
    <w:rsid w:val="00884969"/>
    <w:rsid w:val="00884CA5"/>
    <w:rsid w:val="0088502B"/>
    <w:rsid w:val="00885BE9"/>
    <w:rsid w:val="00886316"/>
    <w:rsid w:val="008877FD"/>
    <w:rsid w:val="00887FA3"/>
    <w:rsid w:val="00890139"/>
    <w:rsid w:val="0089037F"/>
    <w:rsid w:val="0089183E"/>
    <w:rsid w:val="00892CF2"/>
    <w:rsid w:val="00895146"/>
    <w:rsid w:val="00895B76"/>
    <w:rsid w:val="0089670D"/>
    <w:rsid w:val="008A098F"/>
    <w:rsid w:val="008A160B"/>
    <w:rsid w:val="008A1CA8"/>
    <w:rsid w:val="008A1DCE"/>
    <w:rsid w:val="008A2A3A"/>
    <w:rsid w:val="008A2A83"/>
    <w:rsid w:val="008A2B86"/>
    <w:rsid w:val="008A353D"/>
    <w:rsid w:val="008A42DA"/>
    <w:rsid w:val="008A5DC5"/>
    <w:rsid w:val="008A6177"/>
    <w:rsid w:val="008A6912"/>
    <w:rsid w:val="008A79D2"/>
    <w:rsid w:val="008B021B"/>
    <w:rsid w:val="008B1769"/>
    <w:rsid w:val="008B1834"/>
    <w:rsid w:val="008B5FD2"/>
    <w:rsid w:val="008B6DEC"/>
    <w:rsid w:val="008B73D0"/>
    <w:rsid w:val="008B77FA"/>
    <w:rsid w:val="008B7FF3"/>
    <w:rsid w:val="008C1995"/>
    <w:rsid w:val="008C288C"/>
    <w:rsid w:val="008C3337"/>
    <w:rsid w:val="008C38ED"/>
    <w:rsid w:val="008C49C0"/>
    <w:rsid w:val="008C4ACF"/>
    <w:rsid w:val="008C4FFA"/>
    <w:rsid w:val="008C63C2"/>
    <w:rsid w:val="008C6514"/>
    <w:rsid w:val="008C66ED"/>
    <w:rsid w:val="008C6BEB"/>
    <w:rsid w:val="008C7092"/>
    <w:rsid w:val="008C7425"/>
    <w:rsid w:val="008C7FD9"/>
    <w:rsid w:val="008D0F98"/>
    <w:rsid w:val="008D169B"/>
    <w:rsid w:val="008D2A73"/>
    <w:rsid w:val="008D307E"/>
    <w:rsid w:val="008D4B4C"/>
    <w:rsid w:val="008D5996"/>
    <w:rsid w:val="008D5FEB"/>
    <w:rsid w:val="008D6056"/>
    <w:rsid w:val="008D654D"/>
    <w:rsid w:val="008D6C29"/>
    <w:rsid w:val="008D6D6E"/>
    <w:rsid w:val="008D7350"/>
    <w:rsid w:val="008D7943"/>
    <w:rsid w:val="008E0419"/>
    <w:rsid w:val="008E2694"/>
    <w:rsid w:val="008E2A2E"/>
    <w:rsid w:val="008E3270"/>
    <w:rsid w:val="008E32B2"/>
    <w:rsid w:val="008E39D6"/>
    <w:rsid w:val="008E510C"/>
    <w:rsid w:val="008E6AFE"/>
    <w:rsid w:val="008E7B0F"/>
    <w:rsid w:val="008F0231"/>
    <w:rsid w:val="008F04BA"/>
    <w:rsid w:val="008F16A8"/>
    <w:rsid w:val="008F1934"/>
    <w:rsid w:val="008F2490"/>
    <w:rsid w:val="008F3274"/>
    <w:rsid w:val="008F3C74"/>
    <w:rsid w:val="008F67B1"/>
    <w:rsid w:val="008F6D5C"/>
    <w:rsid w:val="008F71EB"/>
    <w:rsid w:val="008F7CA9"/>
    <w:rsid w:val="009001A3"/>
    <w:rsid w:val="00900F85"/>
    <w:rsid w:val="00901645"/>
    <w:rsid w:val="0090271C"/>
    <w:rsid w:val="00902ADA"/>
    <w:rsid w:val="0090458E"/>
    <w:rsid w:val="009045C9"/>
    <w:rsid w:val="00904C59"/>
    <w:rsid w:val="00905887"/>
    <w:rsid w:val="009069D0"/>
    <w:rsid w:val="00906E7C"/>
    <w:rsid w:val="00907CDE"/>
    <w:rsid w:val="009105E3"/>
    <w:rsid w:val="0091078D"/>
    <w:rsid w:val="009108E3"/>
    <w:rsid w:val="009112BC"/>
    <w:rsid w:val="00913542"/>
    <w:rsid w:val="009138AB"/>
    <w:rsid w:val="0091453A"/>
    <w:rsid w:val="00915DB6"/>
    <w:rsid w:val="00916400"/>
    <w:rsid w:val="0091706B"/>
    <w:rsid w:val="00917AB5"/>
    <w:rsid w:val="00920369"/>
    <w:rsid w:val="00920500"/>
    <w:rsid w:val="009215EF"/>
    <w:rsid w:val="00921675"/>
    <w:rsid w:val="00921849"/>
    <w:rsid w:val="00921DBC"/>
    <w:rsid w:val="00923C2F"/>
    <w:rsid w:val="00924352"/>
    <w:rsid w:val="009327C2"/>
    <w:rsid w:val="00932D0F"/>
    <w:rsid w:val="00933A26"/>
    <w:rsid w:val="00934022"/>
    <w:rsid w:val="0093460E"/>
    <w:rsid w:val="00935818"/>
    <w:rsid w:val="00937AA8"/>
    <w:rsid w:val="00940731"/>
    <w:rsid w:val="00941367"/>
    <w:rsid w:val="00941649"/>
    <w:rsid w:val="0094267E"/>
    <w:rsid w:val="009429B4"/>
    <w:rsid w:val="00944282"/>
    <w:rsid w:val="00944995"/>
    <w:rsid w:val="00944DC5"/>
    <w:rsid w:val="009457F1"/>
    <w:rsid w:val="00945F8F"/>
    <w:rsid w:val="00947AD8"/>
    <w:rsid w:val="00950F56"/>
    <w:rsid w:val="009516BC"/>
    <w:rsid w:val="00952D2A"/>
    <w:rsid w:val="00953462"/>
    <w:rsid w:val="00954301"/>
    <w:rsid w:val="00954FFB"/>
    <w:rsid w:val="00956C56"/>
    <w:rsid w:val="00957245"/>
    <w:rsid w:val="009576EE"/>
    <w:rsid w:val="00960F43"/>
    <w:rsid w:val="009610B0"/>
    <w:rsid w:val="00961433"/>
    <w:rsid w:val="00961453"/>
    <w:rsid w:val="00963C65"/>
    <w:rsid w:val="00963D17"/>
    <w:rsid w:val="00964496"/>
    <w:rsid w:val="00964E56"/>
    <w:rsid w:val="00965D76"/>
    <w:rsid w:val="00965FA1"/>
    <w:rsid w:val="009661B4"/>
    <w:rsid w:val="0096641E"/>
    <w:rsid w:val="00967272"/>
    <w:rsid w:val="009678B8"/>
    <w:rsid w:val="00967E72"/>
    <w:rsid w:val="0097081A"/>
    <w:rsid w:val="00971555"/>
    <w:rsid w:val="00971622"/>
    <w:rsid w:val="009729FB"/>
    <w:rsid w:val="00972B74"/>
    <w:rsid w:val="00973EE2"/>
    <w:rsid w:val="009759AD"/>
    <w:rsid w:val="00976D39"/>
    <w:rsid w:val="00976D50"/>
    <w:rsid w:val="00977821"/>
    <w:rsid w:val="00977C0D"/>
    <w:rsid w:val="00980BC6"/>
    <w:rsid w:val="00980BFA"/>
    <w:rsid w:val="00982090"/>
    <w:rsid w:val="00982BA9"/>
    <w:rsid w:val="00984740"/>
    <w:rsid w:val="0098584F"/>
    <w:rsid w:val="00985F93"/>
    <w:rsid w:val="00986067"/>
    <w:rsid w:val="009869BA"/>
    <w:rsid w:val="009869D2"/>
    <w:rsid w:val="00986DD3"/>
    <w:rsid w:val="009870EE"/>
    <w:rsid w:val="009917F9"/>
    <w:rsid w:val="00993726"/>
    <w:rsid w:val="009937A7"/>
    <w:rsid w:val="00994229"/>
    <w:rsid w:val="009957C5"/>
    <w:rsid w:val="00995F09"/>
    <w:rsid w:val="00997AFD"/>
    <w:rsid w:val="009A0595"/>
    <w:rsid w:val="009A10C9"/>
    <w:rsid w:val="009A1C6A"/>
    <w:rsid w:val="009A27E4"/>
    <w:rsid w:val="009A4126"/>
    <w:rsid w:val="009A45D4"/>
    <w:rsid w:val="009A4D99"/>
    <w:rsid w:val="009A4F3A"/>
    <w:rsid w:val="009A51C1"/>
    <w:rsid w:val="009A5B9A"/>
    <w:rsid w:val="009B1949"/>
    <w:rsid w:val="009B1E43"/>
    <w:rsid w:val="009B1E61"/>
    <w:rsid w:val="009B2860"/>
    <w:rsid w:val="009B30C9"/>
    <w:rsid w:val="009B3401"/>
    <w:rsid w:val="009B414D"/>
    <w:rsid w:val="009B5234"/>
    <w:rsid w:val="009B53AD"/>
    <w:rsid w:val="009B7840"/>
    <w:rsid w:val="009B7ED1"/>
    <w:rsid w:val="009C1185"/>
    <w:rsid w:val="009C11A3"/>
    <w:rsid w:val="009C12B3"/>
    <w:rsid w:val="009C3C04"/>
    <w:rsid w:val="009C49B2"/>
    <w:rsid w:val="009C4A01"/>
    <w:rsid w:val="009C5F93"/>
    <w:rsid w:val="009C6419"/>
    <w:rsid w:val="009C7C9D"/>
    <w:rsid w:val="009D0762"/>
    <w:rsid w:val="009D1625"/>
    <w:rsid w:val="009D1812"/>
    <w:rsid w:val="009D19AA"/>
    <w:rsid w:val="009D233C"/>
    <w:rsid w:val="009D2823"/>
    <w:rsid w:val="009D29F6"/>
    <w:rsid w:val="009D3B80"/>
    <w:rsid w:val="009D3D5A"/>
    <w:rsid w:val="009D44BC"/>
    <w:rsid w:val="009D4BDC"/>
    <w:rsid w:val="009D4F21"/>
    <w:rsid w:val="009D50D2"/>
    <w:rsid w:val="009D527A"/>
    <w:rsid w:val="009D5CAD"/>
    <w:rsid w:val="009D5E00"/>
    <w:rsid w:val="009D5E20"/>
    <w:rsid w:val="009D759D"/>
    <w:rsid w:val="009E02E9"/>
    <w:rsid w:val="009E07BC"/>
    <w:rsid w:val="009E0E7D"/>
    <w:rsid w:val="009E15C7"/>
    <w:rsid w:val="009E2A20"/>
    <w:rsid w:val="009E2EE0"/>
    <w:rsid w:val="009E2F7F"/>
    <w:rsid w:val="009E3463"/>
    <w:rsid w:val="009E3519"/>
    <w:rsid w:val="009E362F"/>
    <w:rsid w:val="009E3FC6"/>
    <w:rsid w:val="009E64C1"/>
    <w:rsid w:val="009E6532"/>
    <w:rsid w:val="009F04E4"/>
    <w:rsid w:val="009F1A4E"/>
    <w:rsid w:val="009F2D8A"/>
    <w:rsid w:val="009F3F4B"/>
    <w:rsid w:val="009F5831"/>
    <w:rsid w:val="009F5DF5"/>
    <w:rsid w:val="009F64D8"/>
    <w:rsid w:val="00A01537"/>
    <w:rsid w:val="00A0160B"/>
    <w:rsid w:val="00A02A46"/>
    <w:rsid w:val="00A034CF"/>
    <w:rsid w:val="00A036CF"/>
    <w:rsid w:val="00A0459D"/>
    <w:rsid w:val="00A04D5B"/>
    <w:rsid w:val="00A0509E"/>
    <w:rsid w:val="00A05EBA"/>
    <w:rsid w:val="00A10D22"/>
    <w:rsid w:val="00A117BE"/>
    <w:rsid w:val="00A12C59"/>
    <w:rsid w:val="00A147AC"/>
    <w:rsid w:val="00A160B3"/>
    <w:rsid w:val="00A168FE"/>
    <w:rsid w:val="00A17257"/>
    <w:rsid w:val="00A172AB"/>
    <w:rsid w:val="00A17F4C"/>
    <w:rsid w:val="00A20617"/>
    <w:rsid w:val="00A20C9E"/>
    <w:rsid w:val="00A20D1B"/>
    <w:rsid w:val="00A2185D"/>
    <w:rsid w:val="00A221E1"/>
    <w:rsid w:val="00A23603"/>
    <w:rsid w:val="00A23BDA"/>
    <w:rsid w:val="00A23FDF"/>
    <w:rsid w:val="00A2477B"/>
    <w:rsid w:val="00A24BF5"/>
    <w:rsid w:val="00A25C3E"/>
    <w:rsid w:val="00A26535"/>
    <w:rsid w:val="00A26843"/>
    <w:rsid w:val="00A27D21"/>
    <w:rsid w:val="00A27FB3"/>
    <w:rsid w:val="00A3001A"/>
    <w:rsid w:val="00A3077B"/>
    <w:rsid w:val="00A30AD4"/>
    <w:rsid w:val="00A30F56"/>
    <w:rsid w:val="00A315D9"/>
    <w:rsid w:val="00A325F9"/>
    <w:rsid w:val="00A3343E"/>
    <w:rsid w:val="00A34BCE"/>
    <w:rsid w:val="00A34CDE"/>
    <w:rsid w:val="00A35E30"/>
    <w:rsid w:val="00A36B4D"/>
    <w:rsid w:val="00A40C10"/>
    <w:rsid w:val="00A4119D"/>
    <w:rsid w:val="00A4123F"/>
    <w:rsid w:val="00A41CE4"/>
    <w:rsid w:val="00A41D98"/>
    <w:rsid w:val="00A422A4"/>
    <w:rsid w:val="00A438D6"/>
    <w:rsid w:val="00A4467A"/>
    <w:rsid w:val="00A46EB3"/>
    <w:rsid w:val="00A4738C"/>
    <w:rsid w:val="00A47D77"/>
    <w:rsid w:val="00A5181C"/>
    <w:rsid w:val="00A525A9"/>
    <w:rsid w:val="00A535A5"/>
    <w:rsid w:val="00A53CBA"/>
    <w:rsid w:val="00A565C7"/>
    <w:rsid w:val="00A57ED2"/>
    <w:rsid w:val="00A60B5C"/>
    <w:rsid w:val="00A61FDE"/>
    <w:rsid w:val="00A62A07"/>
    <w:rsid w:val="00A6350F"/>
    <w:rsid w:val="00A63CC3"/>
    <w:rsid w:val="00A643AE"/>
    <w:rsid w:val="00A6483A"/>
    <w:rsid w:val="00A650BF"/>
    <w:rsid w:val="00A6514C"/>
    <w:rsid w:val="00A66522"/>
    <w:rsid w:val="00A67B6F"/>
    <w:rsid w:val="00A67BBE"/>
    <w:rsid w:val="00A700EB"/>
    <w:rsid w:val="00A70207"/>
    <w:rsid w:val="00A70886"/>
    <w:rsid w:val="00A70CD5"/>
    <w:rsid w:val="00A7145A"/>
    <w:rsid w:val="00A72130"/>
    <w:rsid w:val="00A729A1"/>
    <w:rsid w:val="00A72F14"/>
    <w:rsid w:val="00A738A0"/>
    <w:rsid w:val="00A75B62"/>
    <w:rsid w:val="00A7780B"/>
    <w:rsid w:val="00A77FC9"/>
    <w:rsid w:val="00A801AE"/>
    <w:rsid w:val="00A80434"/>
    <w:rsid w:val="00A85204"/>
    <w:rsid w:val="00A86D54"/>
    <w:rsid w:val="00A879B5"/>
    <w:rsid w:val="00A903E4"/>
    <w:rsid w:val="00A90E86"/>
    <w:rsid w:val="00A91358"/>
    <w:rsid w:val="00A91806"/>
    <w:rsid w:val="00A91F33"/>
    <w:rsid w:val="00A931E0"/>
    <w:rsid w:val="00A9436C"/>
    <w:rsid w:val="00A966D0"/>
    <w:rsid w:val="00AA058F"/>
    <w:rsid w:val="00AA112F"/>
    <w:rsid w:val="00AA278A"/>
    <w:rsid w:val="00AA398D"/>
    <w:rsid w:val="00AA3EB1"/>
    <w:rsid w:val="00AA4706"/>
    <w:rsid w:val="00AA4ED9"/>
    <w:rsid w:val="00AA5F09"/>
    <w:rsid w:val="00AA714D"/>
    <w:rsid w:val="00AB0C87"/>
    <w:rsid w:val="00AB0F41"/>
    <w:rsid w:val="00AB1EEF"/>
    <w:rsid w:val="00AB26E7"/>
    <w:rsid w:val="00AB31A4"/>
    <w:rsid w:val="00AB337A"/>
    <w:rsid w:val="00AB34C2"/>
    <w:rsid w:val="00AB3E75"/>
    <w:rsid w:val="00AB64E1"/>
    <w:rsid w:val="00AB684F"/>
    <w:rsid w:val="00AB6D6A"/>
    <w:rsid w:val="00AB7164"/>
    <w:rsid w:val="00AB752F"/>
    <w:rsid w:val="00AC04E7"/>
    <w:rsid w:val="00AC0EC7"/>
    <w:rsid w:val="00AC16B5"/>
    <w:rsid w:val="00AC1733"/>
    <w:rsid w:val="00AC1FAF"/>
    <w:rsid w:val="00AC1FBC"/>
    <w:rsid w:val="00AC3B9B"/>
    <w:rsid w:val="00AC4340"/>
    <w:rsid w:val="00AC44FD"/>
    <w:rsid w:val="00AC549F"/>
    <w:rsid w:val="00AC58EA"/>
    <w:rsid w:val="00AC5DAF"/>
    <w:rsid w:val="00AC653C"/>
    <w:rsid w:val="00AC7061"/>
    <w:rsid w:val="00AD015B"/>
    <w:rsid w:val="00AD038E"/>
    <w:rsid w:val="00AD08FA"/>
    <w:rsid w:val="00AD1876"/>
    <w:rsid w:val="00AD240A"/>
    <w:rsid w:val="00AD2DE9"/>
    <w:rsid w:val="00AD4736"/>
    <w:rsid w:val="00AD5391"/>
    <w:rsid w:val="00AD5769"/>
    <w:rsid w:val="00AD7A9D"/>
    <w:rsid w:val="00AE2F50"/>
    <w:rsid w:val="00AE3093"/>
    <w:rsid w:val="00AE4AF3"/>
    <w:rsid w:val="00AE5FDD"/>
    <w:rsid w:val="00AE641D"/>
    <w:rsid w:val="00AE6D5E"/>
    <w:rsid w:val="00AE7080"/>
    <w:rsid w:val="00AE7169"/>
    <w:rsid w:val="00AF0419"/>
    <w:rsid w:val="00AF301B"/>
    <w:rsid w:val="00AF33AD"/>
    <w:rsid w:val="00AF3A38"/>
    <w:rsid w:val="00AF3E7F"/>
    <w:rsid w:val="00AF4C51"/>
    <w:rsid w:val="00AF5A96"/>
    <w:rsid w:val="00AF5B63"/>
    <w:rsid w:val="00B00993"/>
    <w:rsid w:val="00B02B0C"/>
    <w:rsid w:val="00B0420E"/>
    <w:rsid w:val="00B06AFA"/>
    <w:rsid w:val="00B0706E"/>
    <w:rsid w:val="00B0716F"/>
    <w:rsid w:val="00B075C9"/>
    <w:rsid w:val="00B07734"/>
    <w:rsid w:val="00B07B2B"/>
    <w:rsid w:val="00B07FB4"/>
    <w:rsid w:val="00B10197"/>
    <w:rsid w:val="00B10272"/>
    <w:rsid w:val="00B103BE"/>
    <w:rsid w:val="00B10C41"/>
    <w:rsid w:val="00B12252"/>
    <w:rsid w:val="00B12908"/>
    <w:rsid w:val="00B13921"/>
    <w:rsid w:val="00B144B7"/>
    <w:rsid w:val="00B14CA1"/>
    <w:rsid w:val="00B16FB9"/>
    <w:rsid w:val="00B17EAE"/>
    <w:rsid w:val="00B21CCC"/>
    <w:rsid w:val="00B23A91"/>
    <w:rsid w:val="00B24068"/>
    <w:rsid w:val="00B24349"/>
    <w:rsid w:val="00B243BD"/>
    <w:rsid w:val="00B26173"/>
    <w:rsid w:val="00B26816"/>
    <w:rsid w:val="00B26858"/>
    <w:rsid w:val="00B270DB"/>
    <w:rsid w:val="00B27455"/>
    <w:rsid w:val="00B277E4"/>
    <w:rsid w:val="00B30985"/>
    <w:rsid w:val="00B32404"/>
    <w:rsid w:val="00B32EE9"/>
    <w:rsid w:val="00B330CF"/>
    <w:rsid w:val="00B33E5E"/>
    <w:rsid w:val="00B33EB6"/>
    <w:rsid w:val="00B352F9"/>
    <w:rsid w:val="00B40A72"/>
    <w:rsid w:val="00B40BBD"/>
    <w:rsid w:val="00B411C6"/>
    <w:rsid w:val="00B41300"/>
    <w:rsid w:val="00B42F59"/>
    <w:rsid w:val="00B43034"/>
    <w:rsid w:val="00B43EFF"/>
    <w:rsid w:val="00B464FA"/>
    <w:rsid w:val="00B467FF"/>
    <w:rsid w:val="00B47E09"/>
    <w:rsid w:val="00B5044E"/>
    <w:rsid w:val="00B50C92"/>
    <w:rsid w:val="00B5166D"/>
    <w:rsid w:val="00B529D9"/>
    <w:rsid w:val="00B52A38"/>
    <w:rsid w:val="00B52A96"/>
    <w:rsid w:val="00B52EAC"/>
    <w:rsid w:val="00B54EA3"/>
    <w:rsid w:val="00B551BE"/>
    <w:rsid w:val="00B57D6D"/>
    <w:rsid w:val="00B60744"/>
    <w:rsid w:val="00B617D0"/>
    <w:rsid w:val="00B61883"/>
    <w:rsid w:val="00B61995"/>
    <w:rsid w:val="00B637D2"/>
    <w:rsid w:val="00B65008"/>
    <w:rsid w:val="00B704B3"/>
    <w:rsid w:val="00B71028"/>
    <w:rsid w:val="00B7321E"/>
    <w:rsid w:val="00B73638"/>
    <w:rsid w:val="00B77827"/>
    <w:rsid w:val="00B77FD8"/>
    <w:rsid w:val="00B80D1B"/>
    <w:rsid w:val="00B81697"/>
    <w:rsid w:val="00B81B54"/>
    <w:rsid w:val="00B82F78"/>
    <w:rsid w:val="00B83CFA"/>
    <w:rsid w:val="00B84B1F"/>
    <w:rsid w:val="00B84DF3"/>
    <w:rsid w:val="00B862C3"/>
    <w:rsid w:val="00B87D72"/>
    <w:rsid w:val="00B900F4"/>
    <w:rsid w:val="00B91111"/>
    <w:rsid w:val="00B915CA"/>
    <w:rsid w:val="00B918C5"/>
    <w:rsid w:val="00B927D7"/>
    <w:rsid w:val="00B94189"/>
    <w:rsid w:val="00B94624"/>
    <w:rsid w:val="00B9523F"/>
    <w:rsid w:val="00B977C4"/>
    <w:rsid w:val="00B97944"/>
    <w:rsid w:val="00BA0D73"/>
    <w:rsid w:val="00BA5122"/>
    <w:rsid w:val="00BA64C3"/>
    <w:rsid w:val="00BA76E1"/>
    <w:rsid w:val="00BA7AB2"/>
    <w:rsid w:val="00BA7B93"/>
    <w:rsid w:val="00BB05AF"/>
    <w:rsid w:val="00BB126C"/>
    <w:rsid w:val="00BB2404"/>
    <w:rsid w:val="00BB253F"/>
    <w:rsid w:val="00BB3A16"/>
    <w:rsid w:val="00BB404C"/>
    <w:rsid w:val="00BB572A"/>
    <w:rsid w:val="00BB5FA3"/>
    <w:rsid w:val="00BB6F05"/>
    <w:rsid w:val="00BC0283"/>
    <w:rsid w:val="00BC2E0E"/>
    <w:rsid w:val="00BC38E8"/>
    <w:rsid w:val="00BC3A24"/>
    <w:rsid w:val="00BC3E44"/>
    <w:rsid w:val="00BC3EA7"/>
    <w:rsid w:val="00BC4988"/>
    <w:rsid w:val="00BC58A1"/>
    <w:rsid w:val="00BC5B62"/>
    <w:rsid w:val="00BC5CF6"/>
    <w:rsid w:val="00BC5F14"/>
    <w:rsid w:val="00BC7D00"/>
    <w:rsid w:val="00BC7E60"/>
    <w:rsid w:val="00BD008E"/>
    <w:rsid w:val="00BD1DD5"/>
    <w:rsid w:val="00BD29F3"/>
    <w:rsid w:val="00BD3CC6"/>
    <w:rsid w:val="00BD4615"/>
    <w:rsid w:val="00BD7748"/>
    <w:rsid w:val="00BD7AB0"/>
    <w:rsid w:val="00BD7FF1"/>
    <w:rsid w:val="00BE33F1"/>
    <w:rsid w:val="00BE3987"/>
    <w:rsid w:val="00BE4791"/>
    <w:rsid w:val="00BE4894"/>
    <w:rsid w:val="00BE50F0"/>
    <w:rsid w:val="00BE6195"/>
    <w:rsid w:val="00BE61E3"/>
    <w:rsid w:val="00BE6964"/>
    <w:rsid w:val="00BE6E2C"/>
    <w:rsid w:val="00BE7B32"/>
    <w:rsid w:val="00BF095B"/>
    <w:rsid w:val="00BF0C11"/>
    <w:rsid w:val="00BF20CC"/>
    <w:rsid w:val="00BF2183"/>
    <w:rsid w:val="00BF2277"/>
    <w:rsid w:val="00BF277C"/>
    <w:rsid w:val="00BF42C5"/>
    <w:rsid w:val="00BF5154"/>
    <w:rsid w:val="00BF5B2B"/>
    <w:rsid w:val="00C02AE1"/>
    <w:rsid w:val="00C02F51"/>
    <w:rsid w:val="00C037DD"/>
    <w:rsid w:val="00C04680"/>
    <w:rsid w:val="00C04A89"/>
    <w:rsid w:val="00C077CA"/>
    <w:rsid w:val="00C102B6"/>
    <w:rsid w:val="00C142EB"/>
    <w:rsid w:val="00C150A6"/>
    <w:rsid w:val="00C1558A"/>
    <w:rsid w:val="00C155F4"/>
    <w:rsid w:val="00C17522"/>
    <w:rsid w:val="00C201B6"/>
    <w:rsid w:val="00C20B4C"/>
    <w:rsid w:val="00C20ECB"/>
    <w:rsid w:val="00C2179D"/>
    <w:rsid w:val="00C23B81"/>
    <w:rsid w:val="00C2435D"/>
    <w:rsid w:val="00C24EC1"/>
    <w:rsid w:val="00C2567B"/>
    <w:rsid w:val="00C26AD2"/>
    <w:rsid w:val="00C2742F"/>
    <w:rsid w:val="00C27C41"/>
    <w:rsid w:val="00C305CE"/>
    <w:rsid w:val="00C30884"/>
    <w:rsid w:val="00C30AE2"/>
    <w:rsid w:val="00C311ED"/>
    <w:rsid w:val="00C31610"/>
    <w:rsid w:val="00C316D8"/>
    <w:rsid w:val="00C31B9C"/>
    <w:rsid w:val="00C323CC"/>
    <w:rsid w:val="00C3346E"/>
    <w:rsid w:val="00C33519"/>
    <w:rsid w:val="00C3445A"/>
    <w:rsid w:val="00C34B99"/>
    <w:rsid w:val="00C34F46"/>
    <w:rsid w:val="00C360B1"/>
    <w:rsid w:val="00C3731E"/>
    <w:rsid w:val="00C3731F"/>
    <w:rsid w:val="00C373A1"/>
    <w:rsid w:val="00C378D9"/>
    <w:rsid w:val="00C40AC5"/>
    <w:rsid w:val="00C42DC8"/>
    <w:rsid w:val="00C44650"/>
    <w:rsid w:val="00C457A3"/>
    <w:rsid w:val="00C45830"/>
    <w:rsid w:val="00C45C2B"/>
    <w:rsid w:val="00C463E2"/>
    <w:rsid w:val="00C46743"/>
    <w:rsid w:val="00C46A49"/>
    <w:rsid w:val="00C471F5"/>
    <w:rsid w:val="00C47B9D"/>
    <w:rsid w:val="00C50222"/>
    <w:rsid w:val="00C5063E"/>
    <w:rsid w:val="00C51B45"/>
    <w:rsid w:val="00C51EFD"/>
    <w:rsid w:val="00C52933"/>
    <w:rsid w:val="00C5487E"/>
    <w:rsid w:val="00C5538F"/>
    <w:rsid w:val="00C5628D"/>
    <w:rsid w:val="00C57F47"/>
    <w:rsid w:val="00C60CCB"/>
    <w:rsid w:val="00C61012"/>
    <w:rsid w:val="00C616F0"/>
    <w:rsid w:val="00C6204A"/>
    <w:rsid w:val="00C6247D"/>
    <w:rsid w:val="00C6290C"/>
    <w:rsid w:val="00C62FED"/>
    <w:rsid w:val="00C64CBA"/>
    <w:rsid w:val="00C65F92"/>
    <w:rsid w:val="00C664D5"/>
    <w:rsid w:val="00C71A66"/>
    <w:rsid w:val="00C7267F"/>
    <w:rsid w:val="00C72B1C"/>
    <w:rsid w:val="00C7446E"/>
    <w:rsid w:val="00C75203"/>
    <w:rsid w:val="00C763B1"/>
    <w:rsid w:val="00C768D5"/>
    <w:rsid w:val="00C76DFA"/>
    <w:rsid w:val="00C8212F"/>
    <w:rsid w:val="00C84DF7"/>
    <w:rsid w:val="00C84E6C"/>
    <w:rsid w:val="00C85BED"/>
    <w:rsid w:val="00C86632"/>
    <w:rsid w:val="00C86A54"/>
    <w:rsid w:val="00C876F2"/>
    <w:rsid w:val="00C87C7C"/>
    <w:rsid w:val="00C90DBE"/>
    <w:rsid w:val="00C91594"/>
    <w:rsid w:val="00C94564"/>
    <w:rsid w:val="00C949D1"/>
    <w:rsid w:val="00C94BBD"/>
    <w:rsid w:val="00C94CE8"/>
    <w:rsid w:val="00C97440"/>
    <w:rsid w:val="00C97B86"/>
    <w:rsid w:val="00CA04BC"/>
    <w:rsid w:val="00CA1772"/>
    <w:rsid w:val="00CA26B8"/>
    <w:rsid w:val="00CA2897"/>
    <w:rsid w:val="00CA28D5"/>
    <w:rsid w:val="00CA2F11"/>
    <w:rsid w:val="00CA3009"/>
    <w:rsid w:val="00CA38ED"/>
    <w:rsid w:val="00CA45A6"/>
    <w:rsid w:val="00CA519A"/>
    <w:rsid w:val="00CA616A"/>
    <w:rsid w:val="00CA661B"/>
    <w:rsid w:val="00CA6F43"/>
    <w:rsid w:val="00CA71E7"/>
    <w:rsid w:val="00CA7FC9"/>
    <w:rsid w:val="00CB2149"/>
    <w:rsid w:val="00CB46E8"/>
    <w:rsid w:val="00CB5613"/>
    <w:rsid w:val="00CB612A"/>
    <w:rsid w:val="00CB61DA"/>
    <w:rsid w:val="00CB6514"/>
    <w:rsid w:val="00CB7741"/>
    <w:rsid w:val="00CB7B14"/>
    <w:rsid w:val="00CC00E4"/>
    <w:rsid w:val="00CC04E9"/>
    <w:rsid w:val="00CC0AA4"/>
    <w:rsid w:val="00CC10E3"/>
    <w:rsid w:val="00CC117F"/>
    <w:rsid w:val="00CC2359"/>
    <w:rsid w:val="00CC4545"/>
    <w:rsid w:val="00CC5FB9"/>
    <w:rsid w:val="00CC5FDB"/>
    <w:rsid w:val="00CC6AA3"/>
    <w:rsid w:val="00CD019E"/>
    <w:rsid w:val="00CD1BFD"/>
    <w:rsid w:val="00CD315F"/>
    <w:rsid w:val="00CD4D4B"/>
    <w:rsid w:val="00CE0034"/>
    <w:rsid w:val="00CE0FB5"/>
    <w:rsid w:val="00CE11CC"/>
    <w:rsid w:val="00CE1D53"/>
    <w:rsid w:val="00CE30FF"/>
    <w:rsid w:val="00CE319E"/>
    <w:rsid w:val="00CE3430"/>
    <w:rsid w:val="00CE38C9"/>
    <w:rsid w:val="00CE55E3"/>
    <w:rsid w:val="00CE5D18"/>
    <w:rsid w:val="00CE6899"/>
    <w:rsid w:val="00CE691B"/>
    <w:rsid w:val="00CE7F24"/>
    <w:rsid w:val="00CF0631"/>
    <w:rsid w:val="00CF0D30"/>
    <w:rsid w:val="00CF0E8C"/>
    <w:rsid w:val="00CF0FC6"/>
    <w:rsid w:val="00CF13A9"/>
    <w:rsid w:val="00CF338B"/>
    <w:rsid w:val="00CF44E2"/>
    <w:rsid w:val="00CF69A3"/>
    <w:rsid w:val="00D0094F"/>
    <w:rsid w:val="00D01D4C"/>
    <w:rsid w:val="00D01FC4"/>
    <w:rsid w:val="00D02446"/>
    <w:rsid w:val="00D03135"/>
    <w:rsid w:val="00D034D2"/>
    <w:rsid w:val="00D03609"/>
    <w:rsid w:val="00D0389B"/>
    <w:rsid w:val="00D03A21"/>
    <w:rsid w:val="00D03BBC"/>
    <w:rsid w:val="00D03D14"/>
    <w:rsid w:val="00D0417D"/>
    <w:rsid w:val="00D0516C"/>
    <w:rsid w:val="00D06211"/>
    <w:rsid w:val="00D0688E"/>
    <w:rsid w:val="00D06DEE"/>
    <w:rsid w:val="00D06FE2"/>
    <w:rsid w:val="00D07C11"/>
    <w:rsid w:val="00D10C3B"/>
    <w:rsid w:val="00D124F0"/>
    <w:rsid w:val="00D13E6C"/>
    <w:rsid w:val="00D1571B"/>
    <w:rsid w:val="00D16551"/>
    <w:rsid w:val="00D171B8"/>
    <w:rsid w:val="00D1741F"/>
    <w:rsid w:val="00D206AD"/>
    <w:rsid w:val="00D238E7"/>
    <w:rsid w:val="00D23A81"/>
    <w:rsid w:val="00D245EF"/>
    <w:rsid w:val="00D24E25"/>
    <w:rsid w:val="00D25B49"/>
    <w:rsid w:val="00D26A8D"/>
    <w:rsid w:val="00D27CF3"/>
    <w:rsid w:val="00D30628"/>
    <w:rsid w:val="00D3070A"/>
    <w:rsid w:val="00D31C0A"/>
    <w:rsid w:val="00D32132"/>
    <w:rsid w:val="00D32402"/>
    <w:rsid w:val="00D3284B"/>
    <w:rsid w:val="00D32D3C"/>
    <w:rsid w:val="00D33428"/>
    <w:rsid w:val="00D33516"/>
    <w:rsid w:val="00D33828"/>
    <w:rsid w:val="00D33BDF"/>
    <w:rsid w:val="00D33D06"/>
    <w:rsid w:val="00D34C9A"/>
    <w:rsid w:val="00D35B3E"/>
    <w:rsid w:val="00D36135"/>
    <w:rsid w:val="00D370D8"/>
    <w:rsid w:val="00D37635"/>
    <w:rsid w:val="00D37906"/>
    <w:rsid w:val="00D37C50"/>
    <w:rsid w:val="00D40ECE"/>
    <w:rsid w:val="00D41E36"/>
    <w:rsid w:val="00D423DA"/>
    <w:rsid w:val="00D429E6"/>
    <w:rsid w:val="00D43ED1"/>
    <w:rsid w:val="00D440E1"/>
    <w:rsid w:val="00D449B9"/>
    <w:rsid w:val="00D44D96"/>
    <w:rsid w:val="00D4502C"/>
    <w:rsid w:val="00D45595"/>
    <w:rsid w:val="00D45725"/>
    <w:rsid w:val="00D457D8"/>
    <w:rsid w:val="00D4728A"/>
    <w:rsid w:val="00D47C66"/>
    <w:rsid w:val="00D508C3"/>
    <w:rsid w:val="00D50D6A"/>
    <w:rsid w:val="00D50DD4"/>
    <w:rsid w:val="00D51082"/>
    <w:rsid w:val="00D5220C"/>
    <w:rsid w:val="00D526AC"/>
    <w:rsid w:val="00D53407"/>
    <w:rsid w:val="00D5390D"/>
    <w:rsid w:val="00D54B58"/>
    <w:rsid w:val="00D5535B"/>
    <w:rsid w:val="00D57220"/>
    <w:rsid w:val="00D57DB3"/>
    <w:rsid w:val="00D60493"/>
    <w:rsid w:val="00D607CC"/>
    <w:rsid w:val="00D6098C"/>
    <w:rsid w:val="00D61AD9"/>
    <w:rsid w:val="00D62950"/>
    <w:rsid w:val="00D62EB6"/>
    <w:rsid w:val="00D637F3"/>
    <w:rsid w:val="00D63A0B"/>
    <w:rsid w:val="00D66425"/>
    <w:rsid w:val="00D66432"/>
    <w:rsid w:val="00D67CEB"/>
    <w:rsid w:val="00D67E32"/>
    <w:rsid w:val="00D70E75"/>
    <w:rsid w:val="00D7188F"/>
    <w:rsid w:val="00D71C23"/>
    <w:rsid w:val="00D74874"/>
    <w:rsid w:val="00D77B21"/>
    <w:rsid w:val="00D8110E"/>
    <w:rsid w:val="00D8163E"/>
    <w:rsid w:val="00D821BE"/>
    <w:rsid w:val="00D825BE"/>
    <w:rsid w:val="00D828F7"/>
    <w:rsid w:val="00D82F52"/>
    <w:rsid w:val="00D839B9"/>
    <w:rsid w:val="00D840F5"/>
    <w:rsid w:val="00D8421F"/>
    <w:rsid w:val="00D84533"/>
    <w:rsid w:val="00D84678"/>
    <w:rsid w:val="00D85BC3"/>
    <w:rsid w:val="00D860A8"/>
    <w:rsid w:val="00D86185"/>
    <w:rsid w:val="00D86B4D"/>
    <w:rsid w:val="00D87137"/>
    <w:rsid w:val="00D87256"/>
    <w:rsid w:val="00D87F1A"/>
    <w:rsid w:val="00D91688"/>
    <w:rsid w:val="00D928B0"/>
    <w:rsid w:val="00D931FC"/>
    <w:rsid w:val="00D94DBE"/>
    <w:rsid w:val="00D96DE7"/>
    <w:rsid w:val="00D978D3"/>
    <w:rsid w:val="00DA056B"/>
    <w:rsid w:val="00DA0718"/>
    <w:rsid w:val="00DA0C3C"/>
    <w:rsid w:val="00DA0E63"/>
    <w:rsid w:val="00DA15A5"/>
    <w:rsid w:val="00DA1BE3"/>
    <w:rsid w:val="00DA1EBF"/>
    <w:rsid w:val="00DA1F52"/>
    <w:rsid w:val="00DA207D"/>
    <w:rsid w:val="00DA2311"/>
    <w:rsid w:val="00DA2634"/>
    <w:rsid w:val="00DA2862"/>
    <w:rsid w:val="00DA3183"/>
    <w:rsid w:val="00DA3C0D"/>
    <w:rsid w:val="00DA4907"/>
    <w:rsid w:val="00DA6937"/>
    <w:rsid w:val="00DA6A14"/>
    <w:rsid w:val="00DA753E"/>
    <w:rsid w:val="00DB04D0"/>
    <w:rsid w:val="00DB0F48"/>
    <w:rsid w:val="00DB1430"/>
    <w:rsid w:val="00DB1F34"/>
    <w:rsid w:val="00DB216E"/>
    <w:rsid w:val="00DB23B3"/>
    <w:rsid w:val="00DB26C1"/>
    <w:rsid w:val="00DB3795"/>
    <w:rsid w:val="00DB42EB"/>
    <w:rsid w:val="00DB4535"/>
    <w:rsid w:val="00DB4B20"/>
    <w:rsid w:val="00DB6629"/>
    <w:rsid w:val="00DB7551"/>
    <w:rsid w:val="00DB7A73"/>
    <w:rsid w:val="00DB7B28"/>
    <w:rsid w:val="00DC2277"/>
    <w:rsid w:val="00DC248E"/>
    <w:rsid w:val="00DC3EE7"/>
    <w:rsid w:val="00DC56E3"/>
    <w:rsid w:val="00DC5F80"/>
    <w:rsid w:val="00DC7681"/>
    <w:rsid w:val="00DC769F"/>
    <w:rsid w:val="00DC7789"/>
    <w:rsid w:val="00DC7FAF"/>
    <w:rsid w:val="00DC7FDF"/>
    <w:rsid w:val="00DC7FE5"/>
    <w:rsid w:val="00DD0177"/>
    <w:rsid w:val="00DD1E83"/>
    <w:rsid w:val="00DD1F59"/>
    <w:rsid w:val="00DD2A9A"/>
    <w:rsid w:val="00DD2B34"/>
    <w:rsid w:val="00DD32CB"/>
    <w:rsid w:val="00DD58E5"/>
    <w:rsid w:val="00DD6641"/>
    <w:rsid w:val="00DD7560"/>
    <w:rsid w:val="00DE0D4D"/>
    <w:rsid w:val="00DE0F6A"/>
    <w:rsid w:val="00DE38B6"/>
    <w:rsid w:val="00DE40DE"/>
    <w:rsid w:val="00DE4906"/>
    <w:rsid w:val="00DE4D9C"/>
    <w:rsid w:val="00DE5234"/>
    <w:rsid w:val="00DE57B7"/>
    <w:rsid w:val="00DE7670"/>
    <w:rsid w:val="00DF0F72"/>
    <w:rsid w:val="00DF12EE"/>
    <w:rsid w:val="00DF147C"/>
    <w:rsid w:val="00DF1737"/>
    <w:rsid w:val="00DF1A65"/>
    <w:rsid w:val="00DF3670"/>
    <w:rsid w:val="00DF4026"/>
    <w:rsid w:val="00DF4243"/>
    <w:rsid w:val="00DF439B"/>
    <w:rsid w:val="00DF4A62"/>
    <w:rsid w:val="00DF525A"/>
    <w:rsid w:val="00DF539C"/>
    <w:rsid w:val="00DF5A49"/>
    <w:rsid w:val="00DF7437"/>
    <w:rsid w:val="00E00643"/>
    <w:rsid w:val="00E00D77"/>
    <w:rsid w:val="00E00EE3"/>
    <w:rsid w:val="00E00FC9"/>
    <w:rsid w:val="00E01375"/>
    <w:rsid w:val="00E01542"/>
    <w:rsid w:val="00E01AAC"/>
    <w:rsid w:val="00E024CE"/>
    <w:rsid w:val="00E028D6"/>
    <w:rsid w:val="00E03B67"/>
    <w:rsid w:val="00E03EFA"/>
    <w:rsid w:val="00E04C10"/>
    <w:rsid w:val="00E04DE1"/>
    <w:rsid w:val="00E064B9"/>
    <w:rsid w:val="00E0688B"/>
    <w:rsid w:val="00E069BA"/>
    <w:rsid w:val="00E07235"/>
    <w:rsid w:val="00E10157"/>
    <w:rsid w:val="00E12C38"/>
    <w:rsid w:val="00E12F03"/>
    <w:rsid w:val="00E13769"/>
    <w:rsid w:val="00E13998"/>
    <w:rsid w:val="00E14594"/>
    <w:rsid w:val="00E15710"/>
    <w:rsid w:val="00E16061"/>
    <w:rsid w:val="00E16282"/>
    <w:rsid w:val="00E179E0"/>
    <w:rsid w:val="00E210E1"/>
    <w:rsid w:val="00E22ABD"/>
    <w:rsid w:val="00E22B26"/>
    <w:rsid w:val="00E236A2"/>
    <w:rsid w:val="00E249F7"/>
    <w:rsid w:val="00E25219"/>
    <w:rsid w:val="00E25DF1"/>
    <w:rsid w:val="00E263E3"/>
    <w:rsid w:val="00E26BA2"/>
    <w:rsid w:val="00E275A9"/>
    <w:rsid w:val="00E2774B"/>
    <w:rsid w:val="00E307E1"/>
    <w:rsid w:val="00E30BEB"/>
    <w:rsid w:val="00E316AE"/>
    <w:rsid w:val="00E33C9F"/>
    <w:rsid w:val="00E34BC2"/>
    <w:rsid w:val="00E35D90"/>
    <w:rsid w:val="00E36098"/>
    <w:rsid w:val="00E36382"/>
    <w:rsid w:val="00E36807"/>
    <w:rsid w:val="00E36A87"/>
    <w:rsid w:val="00E3799F"/>
    <w:rsid w:val="00E37E43"/>
    <w:rsid w:val="00E40E57"/>
    <w:rsid w:val="00E41416"/>
    <w:rsid w:val="00E41F10"/>
    <w:rsid w:val="00E4291D"/>
    <w:rsid w:val="00E429C0"/>
    <w:rsid w:val="00E452EF"/>
    <w:rsid w:val="00E4729C"/>
    <w:rsid w:val="00E472BA"/>
    <w:rsid w:val="00E47BAA"/>
    <w:rsid w:val="00E47C10"/>
    <w:rsid w:val="00E50D54"/>
    <w:rsid w:val="00E50DBC"/>
    <w:rsid w:val="00E5168D"/>
    <w:rsid w:val="00E5293D"/>
    <w:rsid w:val="00E52F3D"/>
    <w:rsid w:val="00E52F7B"/>
    <w:rsid w:val="00E56893"/>
    <w:rsid w:val="00E60124"/>
    <w:rsid w:val="00E606BF"/>
    <w:rsid w:val="00E61698"/>
    <w:rsid w:val="00E63D26"/>
    <w:rsid w:val="00E64C68"/>
    <w:rsid w:val="00E65708"/>
    <w:rsid w:val="00E669A3"/>
    <w:rsid w:val="00E66FD1"/>
    <w:rsid w:val="00E676A0"/>
    <w:rsid w:val="00E7002B"/>
    <w:rsid w:val="00E701BC"/>
    <w:rsid w:val="00E72BEB"/>
    <w:rsid w:val="00E76493"/>
    <w:rsid w:val="00E76565"/>
    <w:rsid w:val="00E765A7"/>
    <w:rsid w:val="00E76A78"/>
    <w:rsid w:val="00E77428"/>
    <w:rsid w:val="00E80260"/>
    <w:rsid w:val="00E81B0F"/>
    <w:rsid w:val="00E828BF"/>
    <w:rsid w:val="00E83D11"/>
    <w:rsid w:val="00E84974"/>
    <w:rsid w:val="00E84C82"/>
    <w:rsid w:val="00E859B8"/>
    <w:rsid w:val="00E869CB"/>
    <w:rsid w:val="00E87A7D"/>
    <w:rsid w:val="00E87F44"/>
    <w:rsid w:val="00E87F9C"/>
    <w:rsid w:val="00E903B6"/>
    <w:rsid w:val="00E90A3B"/>
    <w:rsid w:val="00E91E78"/>
    <w:rsid w:val="00E92A7F"/>
    <w:rsid w:val="00E93FEE"/>
    <w:rsid w:val="00E94C16"/>
    <w:rsid w:val="00E94E8E"/>
    <w:rsid w:val="00E95676"/>
    <w:rsid w:val="00E960C7"/>
    <w:rsid w:val="00E967E7"/>
    <w:rsid w:val="00E9707D"/>
    <w:rsid w:val="00E979AB"/>
    <w:rsid w:val="00E97C5D"/>
    <w:rsid w:val="00EA021E"/>
    <w:rsid w:val="00EA0FE7"/>
    <w:rsid w:val="00EA11CE"/>
    <w:rsid w:val="00EA1887"/>
    <w:rsid w:val="00EA429D"/>
    <w:rsid w:val="00EA5ABD"/>
    <w:rsid w:val="00EB26B8"/>
    <w:rsid w:val="00EB2FBB"/>
    <w:rsid w:val="00EB4E86"/>
    <w:rsid w:val="00EB4F3C"/>
    <w:rsid w:val="00EB6193"/>
    <w:rsid w:val="00EB68C4"/>
    <w:rsid w:val="00EB711E"/>
    <w:rsid w:val="00EC0913"/>
    <w:rsid w:val="00EC10BF"/>
    <w:rsid w:val="00EC1475"/>
    <w:rsid w:val="00EC38BE"/>
    <w:rsid w:val="00EC39BC"/>
    <w:rsid w:val="00EC5095"/>
    <w:rsid w:val="00EC7CE4"/>
    <w:rsid w:val="00EC7E9F"/>
    <w:rsid w:val="00ED07D2"/>
    <w:rsid w:val="00ED28E5"/>
    <w:rsid w:val="00ED3EA7"/>
    <w:rsid w:val="00ED40DC"/>
    <w:rsid w:val="00ED4E8A"/>
    <w:rsid w:val="00ED5059"/>
    <w:rsid w:val="00ED52C9"/>
    <w:rsid w:val="00ED5666"/>
    <w:rsid w:val="00ED5C8C"/>
    <w:rsid w:val="00ED737F"/>
    <w:rsid w:val="00ED7869"/>
    <w:rsid w:val="00ED7DC6"/>
    <w:rsid w:val="00EE03F1"/>
    <w:rsid w:val="00EE0908"/>
    <w:rsid w:val="00EE140B"/>
    <w:rsid w:val="00EE2D99"/>
    <w:rsid w:val="00EE45F6"/>
    <w:rsid w:val="00EE4C21"/>
    <w:rsid w:val="00EE7667"/>
    <w:rsid w:val="00EEE06F"/>
    <w:rsid w:val="00EF2142"/>
    <w:rsid w:val="00EF3329"/>
    <w:rsid w:val="00EF4B04"/>
    <w:rsid w:val="00EF521E"/>
    <w:rsid w:val="00EF6ABD"/>
    <w:rsid w:val="00EF7487"/>
    <w:rsid w:val="00EF7885"/>
    <w:rsid w:val="00F001A1"/>
    <w:rsid w:val="00F0025D"/>
    <w:rsid w:val="00F00F69"/>
    <w:rsid w:val="00F01812"/>
    <w:rsid w:val="00F03724"/>
    <w:rsid w:val="00F0380C"/>
    <w:rsid w:val="00F04A03"/>
    <w:rsid w:val="00F059B0"/>
    <w:rsid w:val="00F05B2D"/>
    <w:rsid w:val="00F06912"/>
    <w:rsid w:val="00F06B07"/>
    <w:rsid w:val="00F114E4"/>
    <w:rsid w:val="00F11F20"/>
    <w:rsid w:val="00F12193"/>
    <w:rsid w:val="00F144C4"/>
    <w:rsid w:val="00F15191"/>
    <w:rsid w:val="00F15956"/>
    <w:rsid w:val="00F15D36"/>
    <w:rsid w:val="00F15FA0"/>
    <w:rsid w:val="00F1785B"/>
    <w:rsid w:val="00F20104"/>
    <w:rsid w:val="00F20B06"/>
    <w:rsid w:val="00F2143D"/>
    <w:rsid w:val="00F22EE9"/>
    <w:rsid w:val="00F232DE"/>
    <w:rsid w:val="00F2369C"/>
    <w:rsid w:val="00F2471C"/>
    <w:rsid w:val="00F252C7"/>
    <w:rsid w:val="00F25906"/>
    <w:rsid w:val="00F2623C"/>
    <w:rsid w:val="00F27C8D"/>
    <w:rsid w:val="00F31198"/>
    <w:rsid w:val="00F31A57"/>
    <w:rsid w:val="00F3203F"/>
    <w:rsid w:val="00F32A19"/>
    <w:rsid w:val="00F32B68"/>
    <w:rsid w:val="00F33EA9"/>
    <w:rsid w:val="00F34CBD"/>
    <w:rsid w:val="00F3542D"/>
    <w:rsid w:val="00F357B3"/>
    <w:rsid w:val="00F369A9"/>
    <w:rsid w:val="00F36FBE"/>
    <w:rsid w:val="00F37412"/>
    <w:rsid w:val="00F40D72"/>
    <w:rsid w:val="00F40E6D"/>
    <w:rsid w:val="00F41A1E"/>
    <w:rsid w:val="00F44629"/>
    <w:rsid w:val="00F44DB4"/>
    <w:rsid w:val="00F45527"/>
    <w:rsid w:val="00F471F4"/>
    <w:rsid w:val="00F47258"/>
    <w:rsid w:val="00F5065A"/>
    <w:rsid w:val="00F53EE9"/>
    <w:rsid w:val="00F54863"/>
    <w:rsid w:val="00F5500C"/>
    <w:rsid w:val="00F5543C"/>
    <w:rsid w:val="00F5623D"/>
    <w:rsid w:val="00F56A07"/>
    <w:rsid w:val="00F603D5"/>
    <w:rsid w:val="00F60BBA"/>
    <w:rsid w:val="00F61DC3"/>
    <w:rsid w:val="00F6233D"/>
    <w:rsid w:val="00F6494F"/>
    <w:rsid w:val="00F65085"/>
    <w:rsid w:val="00F65E10"/>
    <w:rsid w:val="00F66551"/>
    <w:rsid w:val="00F67971"/>
    <w:rsid w:val="00F67FF2"/>
    <w:rsid w:val="00F70B40"/>
    <w:rsid w:val="00F7152D"/>
    <w:rsid w:val="00F7176A"/>
    <w:rsid w:val="00F71B56"/>
    <w:rsid w:val="00F7216B"/>
    <w:rsid w:val="00F723F7"/>
    <w:rsid w:val="00F72D56"/>
    <w:rsid w:val="00F72EC6"/>
    <w:rsid w:val="00F73FB2"/>
    <w:rsid w:val="00F742A3"/>
    <w:rsid w:val="00F74CD5"/>
    <w:rsid w:val="00F7557A"/>
    <w:rsid w:val="00F7659E"/>
    <w:rsid w:val="00F76D7E"/>
    <w:rsid w:val="00F775A2"/>
    <w:rsid w:val="00F81F6B"/>
    <w:rsid w:val="00F8236F"/>
    <w:rsid w:val="00F8237B"/>
    <w:rsid w:val="00F82482"/>
    <w:rsid w:val="00F828E9"/>
    <w:rsid w:val="00F82C50"/>
    <w:rsid w:val="00F82F2B"/>
    <w:rsid w:val="00F85A5A"/>
    <w:rsid w:val="00F85A75"/>
    <w:rsid w:val="00F879E7"/>
    <w:rsid w:val="00F9030D"/>
    <w:rsid w:val="00F91155"/>
    <w:rsid w:val="00F9216C"/>
    <w:rsid w:val="00F92723"/>
    <w:rsid w:val="00F927B0"/>
    <w:rsid w:val="00F929AB"/>
    <w:rsid w:val="00F92F54"/>
    <w:rsid w:val="00F93475"/>
    <w:rsid w:val="00F93956"/>
    <w:rsid w:val="00F9508F"/>
    <w:rsid w:val="00F957E6"/>
    <w:rsid w:val="00F958CB"/>
    <w:rsid w:val="00F96BFE"/>
    <w:rsid w:val="00FA0006"/>
    <w:rsid w:val="00FA14D2"/>
    <w:rsid w:val="00FA1DE2"/>
    <w:rsid w:val="00FA2AF8"/>
    <w:rsid w:val="00FA35F4"/>
    <w:rsid w:val="00FA36E0"/>
    <w:rsid w:val="00FA37A5"/>
    <w:rsid w:val="00FA39AF"/>
    <w:rsid w:val="00FA3A6D"/>
    <w:rsid w:val="00FA4F98"/>
    <w:rsid w:val="00FA5A0E"/>
    <w:rsid w:val="00FA5E45"/>
    <w:rsid w:val="00FA68C5"/>
    <w:rsid w:val="00FA699A"/>
    <w:rsid w:val="00FB0AD8"/>
    <w:rsid w:val="00FB23CA"/>
    <w:rsid w:val="00FB2B89"/>
    <w:rsid w:val="00FB3C96"/>
    <w:rsid w:val="00FB3D19"/>
    <w:rsid w:val="00FB53A9"/>
    <w:rsid w:val="00FB565B"/>
    <w:rsid w:val="00FB56C0"/>
    <w:rsid w:val="00FB7968"/>
    <w:rsid w:val="00FC003C"/>
    <w:rsid w:val="00FC05A6"/>
    <w:rsid w:val="00FC202B"/>
    <w:rsid w:val="00FC2083"/>
    <w:rsid w:val="00FC2396"/>
    <w:rsid w:val="00FC2D28"/>
    <w:rsid w:val="00FC6533"/>
    <w:rsid w:val="00FC717C"/>
    <w:rsid w:val="00FD098C"/>
    <w:rsid w:val="00FD1A1D"/>
    <w:rsid w:val="00FD2330"/>
    <w:rsid w:val="00FD36B5"/>
    <w:rsid w:val="00FD72DD"/>
    <w:rsid w:val="00FE032D"/>
    <w:rsid w:val="00FE2BA0"/>
    <w:rsid w:val="00FE2BFD"/>
    <w:rsid w:val="00FE3B39"/>
    <w:rsid w:val="00FE3C7B"/>
    <w:rsid w:val="00FE40F5"/>
    <w:rsid w:val="00FE4743"/>
    <w:rsid w:val="00FE6340"/>
    <w:rsid w:val="00FE6544"/>
    <w:rsid w:val="00FF0D77"/>
    <w:rsid w:val="00FF11D8"/>
    <w:rsid w:val="00FF1D53"/>
    <w:rsid w:val="00FF282B"/>
    <w:rsid w:val="00FF2EBC"/>
    <w:rsid w:val="00FF3024"/>
    <w:rsid w:val="00FF331E"/>
    <w:rsid w:val="00FF348F"/>
    <w:rsid w:val="00FF3ACB"/>
    <w:rsid w:val="00FF6254"/>
    <w:rsid w:val="00FF71FA"/>
    <w:rsid w:val="00FF7253"/>
    <w:rsid w:val="00FF7D31"/>
    <w:rsid w:val="00FF7D5C"/>
    <w:rsid w:val="015F51DB"/>
    <w:rsid w:val="016C9EE7"/>
    <w:rsid w:val="01C86FAA"/>
    <w:rsid w:val="025BE520"/>
    <w:rsid w:val="0293F620"/>
    <w:rsid w:val="03597926"/>
    <w:rsid w:val="03A14D8D"/>
    <w:rsid w:val="04449486"/>
    <w:rsid w:val="0472BC50"/>
    <w:rsid w:val="04AC95FB"/>
    <w:rsid w:val="04D7E60B"/>
    <w:rsid w:val="0500E431"/>
    <w:rsid w:val="054F761B"/>
    <w:rsid w:val="05E6C022"/>
    <w:rsid w:val="060BA0AE"/>
    <w:rsid w:val="0611B299"/>
    <w:rsid w:val="06C5D5C6"/>
    <w:rsid w:val="06FC6D2F"/>
    <w:rsid w:val="07E5E6D1"/>
    <w:rsid w:val="083DADF3"/>
    <w:rsid w:val="084CD484"/>
    <w:rsid w:val="099401C9"/>
    <w:rsid w:val="0B1F42FF"/>
    <w:rsid w:val="0B779AA6"/>
    <w:rsid w:val="0B8DD606"/>
    <w:rsid w:val="0BC03FD3"/>
    <w:rsid w:val="0C003B01"/>
    <w:rsid w:val="0C15E75C"/>
    <w:rsid w:val="0C28881E"/>
    <w:rsid w:val="0C5FA8CB"/>
    <w:rsid w:val="0D9B342A"/>
    <w:rsid w:val="0DB5ECF3"/>
    <w:rsid w:val="0DD33DF0"/>
    <w:rsid w:val="0DE1B3A2"/>
    <w:rsid w:val="0DFAD3C5"/>
    <w:rsid w:val="0E162DD5"/>
    <w:rsid w:val="0E6C1505"/>
    <w:rsid w:val="0ED5C652"/>
    <w:rsid w:val="0F439BA1"/>
    <w:rsid w:val="0F9DF5AD"/>
    <w:rsid w:val="100C6EFE"/>
    <w:rsid w:val="1012E6CC"/>
    <w:rsid w:val="10745540"/>
    <w:rsid w:val="10A0AE19"/>
    <w:rsid w:val="10B06872"/>
    <w:rsid w:val="10B14438"/>
    <w:rsid w:val="10E3EE70"/>
    <w:rsid w:val="10F4A3AE"/>
    <w:rsid w:val="10F9AFE3"/>
    <w:rsid w:val="111689E3"/>
    <w:rsid w:val="111FABD9"/>
    <w:rsid w:val="11546DF6"/>
    <w:rsid w:val="120AB3B1"/>
    <w:rsid w:val="1226A7EA"/>
    <w:rsid w:val="1235944C"/>
    <w:rsid w:val="12D293E9"/>
    <w:rsid w:val="130F3BFE"/>
    <w:rsid w:val="13496541"/>
    <w:rsid w:val="1356AA07"/>
    <w:rsid w:val="1377114D"/>
    <w:rsid w:val="13A87498"/>
    <w:rsid w:val="13FE4600"/>
    <w:rsid w:val="140FF83F"/>
    <w:rsid w:val="142A79A4"/>
    <w:rsid w:val="14383212"/>
    <w:rsid w:val="145CDBDF"/>
    <w:rsid w:val="1482B00B"/>
    <w:rsid w:val="1487635D"/>
    <w:rsid w:val="14987822"/>
    <w:rsid w:val="149C6794"/>
    <w:rsid w:val="14A5459A"/>
    <w:rsid w:val="14A7530C"/>
    <w:rsid w:val="14BD281B"/>
    <w:rsid w:val="14E2E049"/>
    <w:rsid w:val="1532347A"/>
    <w:rsid w:val="15398BA0"/>
    <w:rsid w:val="15723C60"/>
    <w:rsid w:val="15837571"/>
    <w:rsid w:val="15A73C67"/>
    <w:rsid w:val="15C776A9"/>
    <w:rsid w:val="160A780C"/>
    <w:rsid w:val="161BE56F"/>
    <w:rsid w:val="16316BA0"/>
    <w:rsid w:val="1643D36B"/>
    <w:rsid w:val="166E4C45"/>
    <w:rsid w:val="1691A7BA"/>
    <w:rsid w:val="17112FB3"/>
    <w:rsid w:val="17530E6A"/>
    <w:rsid w:val="175A4976"/>
    <w:rsid w:val="175CDE5B"/>
    <w:rsid w:val="176CB5D9"/>
    <w:rsid w:val="178B4F7B"/>
    <w:rsid w:val="178C99CA"/>
    <w:rsid w:val="17CFBB60"/>
    <w:rsid w:val="17D643AB"/>
    <w:rsid w:val="182014A3"/>
    <w:rsid w:val="18BE9D93"/>
    <w:rsid w:val="18CA3088"/>
    <w:rsid w:val="1908752E"/>
    <w:rsid w:val="19338676"/>
    <w:rsid w:val="199008F6"/>
    <w:rsid w:val="19BAC83E"/>
    <w:rsid w:val="19D5EFF3"/>
    <w:rsid w:val="1A71F49E"/>
    <w:rsid w:val="1AA90405"/>
    <w:rsid w:val="1AAC4D65"/>
    <w:rsid w:val="1AC39262"/>
    <w:rsid w:val="1B4733CB"/>
    <w:rsid w:val="1B66CED4"/>
    <w:rsid w:val="1BE13397"/>
    <w:rsid w:val="1BF86DC0"/>
    <w:rsid w:val="1C02FCAD"/>
    <w:rsid w:val="1C11E996"/>
    <w:rsid w:val="1C3FAC95"/>
    <w:rsid w:val="1C663B1C"/>
    <w:rsid w:val="1C7DA5D1"/>
    <w:rsid w:val="1CBAE878"/>
    <w:rsid w:val="1D11209E"/>
    <w:rsid w:val="1D41544C"/>
    <w:rsid w:val="1DE95709"/>
    <w:rsid w:val="1DFE0C3F"/>
    <w:rsid w:val="1E9EFC63"/>
    <w:rsid w:val="1F00BB4D"/>
    <w:rsid w:val="1F30C6EC"/>
    <w:rsid w:val="1F322537"/>
    <w:rsid w:val="1F565EDD"/>
    <w:rsid w:val="1FAB4D97"/>
    <w:rsid w:val="1FBCAA79"/>
    <w:rsid w:val="1FC41915"/>
    <w:rsid w:val="1FF3797A"/>
    <w:rsid w:val="20090726"/>
    <w:rsid w:val="204E3947"/>
    <w:rsid w:val="206F8EAA"/>
    <w:rsid w:val="212782C2"/>
    <w:rsid w:val="214B4319"/>
    <w:rsid w:val="21B23750"/>
    <w:rsid w:val="22112E07"/>
    <w:rsid w:val="221809E0"/>
    <w:rsid w:val="2219FA39"/>
    <w:rsid w:val="223C17E7"/>
    <w:rsid w:val="226F1A18"/>
    <w:rsid w:val="22A94B74"/>
    <w:rsid w:val="22D06B94"/>
    <w:rsid w:val="232769BD"/>
    <w:rsid w:val="23B3CF1C"/>
    <w:rsid w:val="23F75096"/>
    <w:rsid w:val="24407204"/>
    <w:rsid w:val="2446131B"/>
    <w:rsid w:val="244B291D"/>
    <w:rsid w:val="24F839F2"/>
    <w:rsid w:val="25D20CD3"/>
    <w:rsid w:val="25E44C51"/>
    <w:rsid w:val="2653526C"/>
    <w:rsid w:val="26A70443"/>
    <w:rsid w:val="26D1551C"/>
    <w:rsid w:val="2708EFDD"/>
    <w:rsid w:val="27483119"/>
    <w:rsid w:val="285278B2"/>
    <w:rsid w:val="287AF2A9"/>
    <w:rsid w:val="287BCC9B"/>
    <w:rsid w:val="287ED0AA"/>
    <w:rsid w:val="28868014"/>
    <w:rsid w:val="28C71EDA"/>
    <w:rsid w:val="28F4981F"/>
    <w:rsid w:val="294EB93A"/>
    <w:rsid w:val="295338F1"/>
    <w:rsid w:val="297FD6BA"/>
    <w:rsid w:val="29A7E0BE"/>
    <w:rsid w:val="2A0790AE"/>
    <w:rsid w:val="2A789A82"/>
    <w:rsid w:val="2A9666D6"/>
    <w:rsid w:val="2AD5A016"/>
    <w:rsid w:val="2B1CE19E"/>
    <w:rsid w:val="2B5D61C5"/>
    <w:rsid w:val="2B774925"/>
    <w:rsid w:val="2CCE74A2"/>
    <w:rsid w:val="2D8F88C4"/>
    <w:rsid w:val="2DE3ACAE"/>
    <w:rsid w:val="2DFD0F93"/>
    <w:rsid w:val="2E270611"/>
    <w:rsid w:val="2E5C5068"/>
    <w:rsid w:val="2F4D74F8"/>
    <w:rsid w:val="2F54A869"/>
    <w:rsid w:val="2FC02A64"/>
    <w:rsid w:val="300B1B2A"/>
    <w:rsid w:val="305176DF"/>
    <w:rsid w:val="305B4FB0"/>
    <w:rsid w:val="30643531"/>
    <w:rsid w:val="3069426F"/>
    <w:rsid w:val="30A17A89"/>
    <w:rsid w:val="30B4427E"/>
    <w:rsid w:val="30D598EC"/>
    <w:rsid w:val="316650D7"/>
    <w:rsid w:val="322DE6E4"/>
    <w:rsid w:val="3312168C"/>
    <w:rsid w:val="338C0882"/>
    <w:rsid w:val="338CE01E"/>
    <w:rsid w:val="338E43E9"/>
    <w:rsid w:val="33AB4A02"/>
    <w:rsid w:val="33BF2F1F"/>
    <w:rsid w:val="3440BC44"/>
    <w:rsid w:val="347CBAB8"/>
    <w:rsid w:val="348253C2"/>
    <w:rsid w:val="34852A40"/>
    <w:rsid w:val="34B62157"/>
    <w:rsid w:val="35674400"/>
    <w:rsid w:val="35762417"/>
    <w:rsid w:val="35C70422"/>
    <w:rsid w:val="35CD85C4"/>
    <w:rsid w:val="35FD7E3B"/>
    <w:rsid w:val="36841008"/>
    <w:rsid w:val="369E00E7"/>
    <w:rsid w:val="36B30D43"/>
    <w:rsid w:val="3724228B"/>
    <w:rsid w:val="372A7D1F"/>
    <w:rsid w:val="373C1BAD"/>
    <w:rsid w:val="3756E9B9"/>
    <w:rsid w:val="376E1FA1"/>
    <w:rsid w:val="379C59FA"/>
    <w:rsid w:val="37FB56A4"/>
    <w:rsid w:val="37FD04B2"/>
    <w:rsid w:val="37FFC0BE"/>
    <w:rsid w:val="380F0357"/>
    <w:rsid w:val="38351867"/>
    <w:rsid w:val="3861C72D"/>
    <w:rsid w:val="387C3EFC"/>
    <w:rsid w:val="38A1D38D"/>
    <w:rsid w:val="390354EF"/>
    <w:rsid w:val="393CA2C5"/>
    <w:rsid w:val="394767BF"/>
    <w:rsid w:val="39533E9E"/>
    <w:rsid w:val="3A157DAE"/>
    <w:rsid w:val="3B63E65D"/>
    <w:rsid w:val="3B9B02C1"/>
    <w:rsid w:val="3BAD26B7"/>
    <w:rsid w:val="3BAE9AB2"/>
    <w:rsid w:val="3BD6EDA1"/>
    <w:rsid w:val="3BEE862C"/>
    <w:rsid w:val="3C3457E8"/>
    <w:rsid w:val="3C806302"/>
    <w:rsid w:val="3DB2D93A"/>
    <w:rsid w:val="3DCDA4CB"/>
    <w:rsid w:val="3DD5739F"/>
    <w:rsid w:val="3DF295D9"/>
    <w:rsid w:val="3E430B37"/>
    <w:rsid w:val="3E5C4063"/>
    <w:rsid w:val="3E6698F7"/>
    <w:rsid w:val="3E673CA2"/>
    <w:rsid w:val="3E8B675E"/>
    <w:rsid w:val="3EC0149C"/>
    <w:rsid w:val="3EC7A853"/>
    <w:rsid w:val="3ECC0DB1"/>
    <w:rsid w:val="3F76D70E"/>
    <w:rsid w:val="3FCA1E90"/>
    <w:rsid w:val="402D8418"/>
    <w:rsid w:val="40E47923"/>
    <w:rsid w:val="4134D696"/>
    <w:rsid w:val="41FE9305"/>
    <w:rsid w:val="42CB912C"/>
    <w:rsid w:val="42FC98A4"/>
    <w:rsid w:val="43DA7909"/>
    <w:rsid w:val="440B6C50"/>
    <w:rsid w:val="4448953A"/>
    <w:rsid w:val="44567EFF"/>
    <w:rsid w:val="446099A0"/>
    <w:rsid w:val="449131F3"/>
    <w:rsid w:val="44F3062A"/>
    <w:rsid w:val="459F96D6"/>
    <w:rsid w:val="464FDE80"/>
    <w:rsid w:val="4686642F"/>
    <w:rsid w:val="47057F64"/>
    <w:rsid w:val="4714B9F7"/>
    <w:rsid w:val="4762BAFE"/>
    <w:rsid w:val="47704E4F"/>
    <w:rsid w:val="478E7229"/>
    <w:rsid w:val="47BD43E5"/>
    <w:rsid w:val="485C8158"/>
    <w:rsid w:val="48CD0934"/>
    <w:rsid w:val="48DE6C2B"/>
    <w:rsid w:val="49AA13E5"/>
    <w:rsid w:val="49B36881"/>
    <w:rsid w:val="49BC4814"/>
    <w:rsid w:val="49EF5AE2"/>
    <w:rsid w:val="4A192392"/>
    <w:rsid w:val="4A7C105D"/>
    <w:rsid w:val="4A8A5741"/>
    <w:rsid w:val="4A9533D6"/>
    <w:rsid w:val="4AB61184"/>
    <w:rsid w:val="4AD195E5"/>
    <w:rsid w:val="4BDBB7FC"/>
    <w:rsid w:val="4BE94C4D"/>
    <w:rsid w:val="4BF39A7A"/>
    <w:rsid w:val="4C4232DF"/>
    <w:rsid w:val="4C4A8B47"/>
    <w:rsid w:val="4C5C7D88"/>
    <w:rsid w:val="4CACE2A3"/>
    <w:rsid w:val="4CEE6C80"/>
    <w:rsid w:val="4D2158A0"/>
    <w:rsid w:val="4D58D7A3"/>
    <w:rsid w:val="4E1B8D44"/>
    <w:rsid w:val="4E333ED1"/>
    <w:rsid w:val="4EB085C5"/>
    <w:rsid w:val="4F83F841"/>
    <w:rsid w:val="4FF63E63"/>
    <w:rsid w:val="5055CFC9"/>
    <w:rsid w:val="5064E01E"/>
    <w:rsid w:val="509FC48A"/>
    <w:rsid w:val="50D79761"/>
    <w:rsid w:val="50E2584D"/>
    <w:rsid w:val="51037E89"/>
    <w:rsid w:val="51998D52"/>
    <w:rsid w:val="51CDEAE7"/>
    <w:rsid w:val="51F1A3BD"/>
    <w:rsid w:val="52138479"/>
    <w:rsid w:val="522E54B8"/>
    <w:rsid w:val="52675DE3"/>
    <w:rsid w:val="52A453E2"/>
    <w:rsid w:val="52F12B59"/>
    <w:rsid w:val="536B76B1"/>
    <w:rsid w:val="53709F27"/>
    <w:rsid w:val="53735692"/>
    <w:rsid w:val="53C190AE"/>
    <w:rsid w:val="53E5F3AA"/>
    <w:rsid w:val="5438B957"/>
    <w:rsid w:val="545BEA98"/>
    <w:rsid w:val="54803D29"/>
    <w:rsid w:val="54B59440"/>
    <w:rsid w:val="5511079F"/>
    <w:rsid w:val="555B15FE"/>
    <w:rsid w:val="55D153D3"/>
    <w:rsid w:val="55FC9F38"/>
    <w:rsid w:val="56A18F6E"/>
    <w:rsid w:val="56D351B2"/>
    <w:rsid w:val="56D98E5C"/>
    <w:rsid w:val="56E06734"/>
    <w:rsid w:val="56EE2F2D"/>
    <w:rsid w:val="57CB96B9"/>
    <w:rsid w:val="57D2F51C"/>
    <w:rsid w:val="585BD96E"/>
    <w:rsid w:val="5893E3F4"/>
    <w:rsid w:val="58AC0B82"/>
    <w:rsid w:val="5939F5BC"/>
    <w:rsid w:val="5959501B"/>
    <w:rsid w:val="595F16D2"/>
    <w:rsid w:val="599FA791"/>
    <w:rsid w:val="5A129DA7"/>
    <w:rsid w:val="5A7E664E"/>
    <w:rsid w:val="5A97D77D"/>
    <w:rsid w:val="5AA4B2E5"/>
    <w:rsid w:val="5AE36AA2"/>
    <w:rsid w:val="5B406F98"/>
    <w:rsid w:val="5BC10DE9"/>
    <w:rsid w:val="5BCA9794"/>
    <w:rsid w:val="5C04857E"/>
    <w:rsid w:val="5C4980FC"/>
    <w:rsid w:val="5C6F1BAA"/>
    <w:rsid w:val="5CB50B27"/>
    <w:rsid w:val="5CC2397E"/>
    <w:rsid w:val="5D4A3622"/>
    <w:rsid w:val="5D4DEE4C"/>
    <w:rsid w:val="5D5621C7"/>
    <w:rsid w:val="5D8E970F"/>
    <w:rsid w:val="5E496441"/>
    <w:rsid w:val="5F23C338"/>
    <w:rsid w:val="5F27B66C"/>
    <w:rsid w:val="5F507E04"/>
    <w:rsid w:val="5F5346F5"/>
    <w:rsid w:val="5FFE9BD2"/>
    <w:rsid w:val="603F7B82"/>
    <w:rsid w:val="603FE2B3"/>
    <w:rsid w:val="6073FC93"/>
    <w:rsid w:val="6087E0CC"/>
    <w:rsid w:val="609D8BCF"/>
    <w:rsid w:val="60B09AAE"/>
    <w:rsid w:val="60DBFB27"/>
    <w:rsid w:val="60F69432"/>
    <w:rsid w:val="615DAE6C"/>
    <w:rsid w:val="6172A6D6"/>
    <w:rsid w:val="61A0D482"/>
    <w:rsid w:val="6200E9AB"/>
    <w:rsid w:val="62364FE6"/>
    <w:rsid w:val="623ADC53"/>
    <w:rsid w:val="627A93AF"/>
    <w:rsid w:val="627FE658"/>
    <w:rsid w:val="628A3A9F"/>
    <w:rsid w:val="628B76AE"/>
    <w:rsid w:val="63035DE9"/>
    <w:rsid w:val="63683245"/>
    <w:rsid w:val="637075CE"/>
    <w:rsid w:val="638F497C"/>
    <w:rsid w:val="639AE7F1"/>
    <w:rsid w:val="63A17C83"/>
    <w:rsid w:val="63BDA092"/>
    <w:rsid w:val="63F1331E"/>
    <w:rsid w:val="64013024"/>
    <w:rsid w:val="6481FD12"/>
    <w:rsid w:val="64E5EA4E"/>
    <w:rsid w:val="64F5ED21"/>
    <w:rsid w:val="6533C6A1"/>
    <w:rsid w:val="65388630"/>
    <w:rsid w:val="655ECA5A"/>
    <w:rsid w:val="656A7C09"/>
    <w:rsid w:val="657A38D8"/>
    <w:rsid w:val="6583AE4A"/>
    <w:rsid w:val="65BFB4D8"/>
    <w:rsid w:val="65E7C004"/>
    <w:rsid w:val="65E82BAB"/>
    <w:rsid w:val="660D1ECF"/>
    <w:rsid w:val="6697A12E"/>
    <w:rsid w:val="67284DBE"/>
    <w:rsid w:val="6741122D"/>
    <w:rsid w:val="6743B848"/>
    <w:rsid w:val="677B3874"/>
    <w:rsid w:val="6791694A"/>
    <w:rsid w:val="67E72F5B"/>
    <w:rsid w:val="68AD7A6F"/>
    <w:rsid w:val="68AE3E37"/>
    <w:rsid w:val="68B8902A"/>
    <w:rsid w:val="68D06DDA"/>
    <w:rsid w:val="69065DF1"/>
    <w:rsid w:val="694E4328"/>
    <w:rsid w:val="699402C8"/>
    <w:rsid w:val="69CC6110"/>
    <w:rsid w:val="6A06558A"/>
    <w:rsid w:val="6A6DB0BD"/>
    <w:rsid w:val="6ABBF649"/>
    <w:rsid w:val="6B6402FC"/>
    <w:rsid w:val="6BD259F9"/>
    <w:rsid w:val="6C61B165"/>
    <w:rsid w:val="6C94B8F8"/>
    <w:rsid w:val="6D37255E"/>
    <w:rsid w:val="6D3C8165"/>
    <w:rsid w:val="6D4DF2C9"/>
    <w:rsid w:val="6D67E545"/>
    <w:rsid w:val="6D8CE782"/>
    <w:rsid w:val="6DD0EC88"/>
    <w:rsid w:val="6E1FCC94"/>
    <w:rsid w:val="6E32C9BC"/>
    <w:rsid w:val="6E4E41A9"/>
    <w:rsid w:val="6E5DED8E"/>
    <w:rsid w:val="6E71C138"/>
    <w:rsid w:val="6E7CF94D"/>
    <w:rsid w:val="6F0A2D38"/>
    <w:rsid w:val="6F14F9F9"/>
    <w:rsid w:val="6F5D484D"/>
    <w:rsid w:val="6F5FACC4"/>
    <w:rsid w:val="70AB971D"/>
    <w:rsid w:val="711523D4"/>
    <w:rsid w:val="7118A87F"/>
    <w:rsid w:val="7191810D"/>
    <w:rsid w:val="71E7F03C"/>
    <w:rsid w:val="71F0DAEA"/>
    <w:rsid w:val="7209C8B4"/>
    <w:rsid w:val="722230EF"/>
    <w:rsid w:val="72E69110"/>
    <w:rsid w:val="72F36901"/>
    <w:rsid w:val="730B27E7"/>
    <w:rsid w:val="734404AA"/>
    <w:rsid w:val="7378D566"/>
    <w:rsid w:val="74205C18"/>
    <w:rsid w:val="742A4D51"/>
    <w:rsid w:val="749121DA"/>
    <w:rsid w:val="7508FB96"/>
    <w:rsid w:val="752710E4"/>
    <w:rsid w:val="754D785C"/>
    <w:rsid w:val="75AAAAB9"/>
    <w:rsid w:val="75C94FF7"/>
    <w:rsid w:val="7657630F"/>
    <w:rsid w:val="767812D5"/>
    <w:rsid w:val="76A94C70"/>
    <w:rsid w:val="76DBD998"/>
    <w:rsid w:val="778418C8"/>
    <w:rsid w:val="77CF79AD"/>
    <w:rsid w:val="7827492B"/>
    <w:rsid w:val="783F8817"/>
    <w:rsid w:val="7878DE69"/>
    <w:rsid w:val="78AEBD50"/>
    <w:rsid w:val="78EBECB8"/>
    <w:rsid w:val="79179E86"/>
    <w:rsid w:val="798FF97C"/>
    <w:rsid w:val="79E42EB1"/>
    <w:rsid w:val="7A219378"/>
    <w:rsid w:val="7AF00D2E"/>
    <w:rsid w:val="7B607733"/>
    <w:rsid w:val="7B83B8E3"/>
    <w:rsid w:val="7B8EA66F"/>
    <w:rsid w:val="7C16599F"/>
    <w:rsid w:val="7C1CF398"/>
    <w:rsid w:val="7C310CA0"/>
    <w:rsid w:val="7C513609"/>
    <w:rsid w:val="7C762C53"/>
    <w:rsid w:val="7D1E5958"/>
    <w:rsid w:val="7D2882D9"/>
    <w:rsid w:val="7D9A1FCB"/>
    <w:rsid w:val="7E08E875"/>
    <w:rsid w:val="7EB779F0"/>
    <w:rsid w:val="7ECA3943"/>
    <w:rsid w:val="7F58324B"/>
    <w:rsid w:val="7F818A2B"/>
    <w:rsid w:val="7FEA8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214523C2-B0B3-4CA7-B8EB-763988EF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cs-CZ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17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17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17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17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17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17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17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-art">
    <w:name w:val="sti-art"/>
    <w:basedOn w:val="Normal"/>
    <w:rsid w:val="00E90A3B"/>
    <w:pPr>
      <w:spacing w:before="100" w:beforeAutospacing="1" w:after="100" w:afterAutospacing="1"/>
      <w:jc w:val="left"/>
    </w:pPr>
    <w:rPr>
      <w:rFonts w:eastAsia="Times New Roman"/>
      <w:szCs w:val="24"/>
      <w:lang w:eastAsia="en-IE"/>
    </w:rPr>
  </w:style>
  <w:style w:type="paragraph" w:customStyle="1" w:styleId="Normal1">
    <w:name w:val="Normal1"/>
    <w:basedOn w:val="Normal"/>
    <w:rsid w:val="00E90A3B"/>
    <w:pPr>
      <w:spacing w:before="100" w:beforeAutospacing="1" w:after="100" w:afterAutospacing="1"/>
      <w:jc w:val="left"/>
    </w:pPr>
    <w:rPr>
      <w:rFonts w:eastAsia="Times New Roman"/>
      <w:szCs w:val="24"/>
      <w:lang w:eastAsia="en-IE"/>
    </w:rPr>
  </w:style>
  <w:style w:type="paragraph" w:customStyle="1" w:styleId="ti-art">
    <w:name w:val="ti-art"/>
    <w:basedOn w:val="Normal"/>
    <w:rsid w:val="00E90A3B"/>
    <w:pPr>
      <w:spacing w:before="100" w:beforeAutospacing="1" w:after="100" w:afterAutospacing="1"/>
      <w:jc w:val="left"/>
    </w:pPr>
    <w:rPr>
      <w:rFonts w:eastAsia="Times New Roman"/>
      <w:szCs w:val="24"/>
      <w:lang w:eastAsia="en-IE"/>
    </w:rPr>
  </w:style>
  <w:style w:type="character" w:customStyle="1" w:styleId="italic">
    <w:name w:val="italic"/>
    <w:basedOn w:val="DefaultParagraphFont"/>
    <w:rsid w:val="00E90A3B"/>
  </w:style>
  <w:style w:type="character" w:styleId="Hyperlink">
    <w:name w:val="Hyperlink"/>
    <w:basedOn w:val="DefaultParagraphFont"/>
    <w:uiPriority w:val="99"/>
    <w:unhideWhenUsed/>
    <w:rsid w:val="00E90A3B"/>
    <w:rPr>
      <w:color w:val="0000FF"/>
      <w:u w:val="single"/>
    </w:rPr>
  </w:style>
  <w:style w:type="character" w:customStyle="1" w:styleId="super">
    <w:name w:val="super"/>
    <w:basedOn w:val="DefaultParagraphFont"/>
    <w:rsid w:val="00E90A3B"/>
  </w:style>
  <w:style w:type="paragraph" w:styleId="ListParagraph">
    <w:name w:val="List Paragraph"/>
    <w:basedOn w:val="Normal"/>
    <w:uiPriority w:val="34"/>
    <w:qFormat/>
    <w:rsid w:val="00571B5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3131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E0A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31313"/>
    <w:rPr>
      <w:rFonts w:ascii="Times New Roman" w:hAnsi="Times New Roman" w:cs="Times New Roman"/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3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313"/>
    <w:rPr>
      <w:rFonts w:ascii="Times New Roman" w:hAnsi="Times New Roman" w:cs="Times New Roman"/>
      <w:b/>
      <w:bCs/>
      <w:sz w:val="20"/>
      <w:szCs w:val="20"/>
      <w:lang w:val="cs-CZ"/>
    </w:rPr>
  </w:style>
  <w:style w:type="paragraph" w:customStyle="1" w:styleId="oj-ti-art">
    <w:name w:val="oj-ti-art"/>
    <w:basedOn w:val="Normal"/>
    <w:rsid w:val="00BB253F"/>
    <w:pPr>
      <w:spacing w:before="100" w:beforeAutospacing="1" w:after="100" w:afterAutospacing="1"/>
      <w:jc w:val="left"/>
    </w:pPr>
    <w:rPr>
      <w:rFonts w:eastAsia="Times New Roman"/>
      <w:szCs w:val="24"/>
      <w:lang w:eastAsia="en-IE"/>
    </w:rPr>
  </w:style>
  <w:style w:type="paragraph" w:customStyle="1" w:styleId="oj-normal">
    <w:name w:val="oj-normal"/>
    <w:basedOn w:val="Normal"/>
    <w:rsid w:val="00BB253F"/>
    <w:pPr>
      <w:spacing w:before="100" w:beforeAutospacing="1" w:after="100" w:afterAutospacing="1"/>
      <w:jc w:val="left"/>
    </w:pPr>
    <w:rPr>
      <w:rFonts w:eastAsia="Times New Roman"/>
      <w:szCs w:val="24"/>
      <w:lang w:eastAsia="en-IE"/>
    </w:rPr>
  </w:style>
  <w:style w:type="paragraph" w:styleId="ListBullet">
    <w:name w:val="List Bullet"/>
    <w:basedOn w:val="Normal"/>
    <w:uiPriority w:val="99"/>
    <w:semiHidden/>
    <w:unhideWhenUsed/>
    <w:rsid w:val="00ED7DC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D7DC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D7DC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D7DC6"/>
    <w:pPr>
      <w:numPr>
        <w:numId w:val="4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7D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DC6"/>
    <w:rPr>
      <w:rFonts w:ascii="Segoe UI" w:hAnsi="Segoe UI" w:cs="Segoe UI"/>
      <w:sz w:val="18"/>
      <w:szCs w:val="18"/>
      <w:lang w:val="cs-CZ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1733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AC1733"/>
    <w:pPr>
      <w:spacing w:after="0"/>
    </w:pPr>
  </w:style>
  <w:style w:type="paragraph" w:styleId="ListNumber">
    <w:name w:val="List Number"/>
    <w:basedOn w:val="Normal"/>
    <w:uiPriority w:val="99"/>
    <w:semiHidden/>
    <w:unhideWhenUsed/>
    <w:rsid w:val="00AC1733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C173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C1733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C1733"/>
    <w:pPr>
      <w:numPr>
        <w:numId w:val="8"/>
      </w:numPr>
      <w:contextualSpacing/>
    </w:pPr>
  </w:style>
  <w:style w:type="paragraph" w:styleId="Revision">
    <w:name w:val="Revision"/>
    <w:hidden/>
    <w:uiPriority w:val="99"/>
    <w:semiHidden/>
    <w:rsid w:val="004F7E6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5F52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AC5DAF"/>
  </w:style>
  <w:style w:type="character" w:styleId="Emphasis">
    <w:name w:val="Emphasis"/>
    <w:basedOn w:val="DefaultParagraphFont"/>
    <w:uiPriority w:val="20"/>
    <w:qFormat/>
    <w:rsid w:val="0021209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F331E"/>
    <w:rPr>
      <w:color w:val="800080" w:themeColor="followedHyperlink"/>
      <w:u w:val="single"/>
    </w:rPr>
  </w:style>
  <w:style w:type="character" w:customStyle="1" w:styleId="Mention">
    <w:name w:val="Mention"/>
    <w:basedOn w:val="DefaultParagraphFont"/>
    <w:uiPriority w:val="99"/>
    <w:unhideWhenUsed/>
    <w:rsid w:val="0087272D"/>
    <w:rPr>
      <w:color w:val="2B579A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759F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D607CC"/>
    <w:rPr>
      <w:rFonts w:ascii="Times New Roman" w:hAnsi="Times New Roman" w:cs="Times New Roman"/>
      <w:sz w:val="24"/>
      <w:lang w:val="cs-CZ"/>
    </w:rPr>
  </w:style>
  <w:style w:type="character" w:customStyle="1" w:styleId="FooterChar">
    <w:name w:val="Footer Char"/>
    <w:basedOn w:val="DefaultParagraphFont"/>
    <w:link w:val="Footer"/>
    <w:uiPriority w:val="99"/>
    <w:rsid w:val="00D607CC"/>
    <w:rPr>
      <w:rFonts w:ascii="Times New Roman" w:hAnsi="Times New Roman" w:cs="Times New Roman"/>
      <w:sz w:val="24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lang w:val="cs-CZ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D607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D607CC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D607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10"/>
      </w:numPr>
    </w:pPr>
  </w:style>
  <w:style w:type="paragraph" w:customStyle="1" w:styleId="Tiret1">
    <w:name w:val="Tiret 1"/>
    <w:basedOn w:val="Point1"/>
    <w:pPr>
      <w:numPr>
        <w:numId w:val="11"/>
      </w:numPr>
    </w:pPr>
  </w:style>
  <w:style w:type="paragraph" w:customStyle="1" w:styleId="Tiret2">
    <w:name w:val="Tiret 2"/>
    <w:basedOn w:val="Point2"/>
    <w:pPr>
      <w:numPr>
        <w:numId w:val="12"/>
      </w:numPr>
    </w:pPr>
  </w:style>
  <w:style w:type="paragraph" w:customStyle="1" w:styleId="Tiret3">
    <w:name w:val="Tiret 3"/>
    <w:basedOn w:val="Point3"/>
    <w:pPr>
      <w:numPr>
        <w:numId w:val="13"/>
      </w:numPr>
    </w:pPr>
  </w:style>
  <w:style w:type="paragraph" w:customStyle="1" w:styleId="Tiret4">
    <w:name w:val="Tiret 4"/>
    <w:basedOn w:val="Point4"/>
    <w:pPr>
      <w:numPr>
        <w:numId w:val="14"/>
      </w:numPr>
    </w:pPr>
  </w:style>
  <w:style w:type="paragraph" w:customStyle="1" w:styleId="Tiret5">
    <w:name w:val="Tiret 5"/>
    <w:basedOn w:val="Point5"/>
    <w:pPr>
      <w:numPr>
        <w:numId w:val="15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6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6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6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6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16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16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16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18"/>
      </w:numPr>
    </w:pPr>
  </w:style>
  <w:style w:type="paragraph" w:customStyle="1" w:styleId="Point1number">
    <w:name w:val="Point 1 (number)"/>
    <w:basedOn w:val="Normal"/>
    <w:pPr>
      <w:numPr>
        <w:ilvl w:val="2"/>
        <w:numId w:val="18"/>
      </w:numPr>
    </w:pPr>
  </w:style>
  <w:style w:type="paragraph" w:customStyle="1" w:styleId="Point2number">
    <w:name w:val="Point 2 (number)"/>
    <w:basedOn w:val="Normal"/>
    <w:pPr>
      <w:numPr>
        <w:ilvl w:val="4"/>
        <w:numId w:val="18"/>
      </w:numPr>
    </w:pPr>
  </w:style>
  <w:style w:type="paragraph" w:customStyle="1" w:styleId="Point3number">
    <w:name w:val="Point 3 (number)"/>
    <w:basedOn w:val="Normal"/>
    <w:pPr>
      <w:numPr>
        <w:ilvl w:val="6"/>
        <w:numId w:val="18"/>
      </w:numPr>
    </w:pPr>
  </w:style>
  <w:style w:type="paragraph" w:customStyle="1" w:styleId="Point0letter">
    <w:name w:val="Point 0 (letter)"/>
    <w:basedOn w:val="Normal"/>
    <w:pPr>
      <w:numPr>
        <w:ilvl w:val="1"/>
        <w:numId w:val="18"/>
      </w:numPr>
    </w:pPr>
  </w:style>
  <w:style w:type="paragraph" w:customStyle="1" w:styleId="Point1letter">
    <w:name w:val="Point 1 (letter)"/>
    <w:basedOn w:val="Normal"/>
    <w:pPr>
      <w:numPr>
        <w:ilvl w:val="3"/>
        <w:numId w:val="18"/>
      </w:numPr>
    </w:pPr>
  </w:style>
  <w:style w:type="paragraph" w:customStyle="1" w:styleId="Point2letter">
    <w:name w:val="Point 2 (letter)"/>
    <w:basedOn w:val="Normal"/>
    <w:pPr>
      <w:numPr>
        <w:ilvl w:val="5"/>
        <w:numId w:val="18"/>
      </w:numPr>
    </w:pPr>
  </w:style>
  <w:style w:type="paragraph" w:customStyle="1" w:styleId="Point3letter">
    <w:name w:val="Point 3 (letter)"/>
    <w:basedOn w:val="Normal"/>
    <w:pPr>
      <w:numPr>
        <w:ilvl w:val="7"/>
        <w:numId w:val="18"/>
      </w:numPr>
    </w:pPr>
  </w:style>
  <w:style w:type="paragraph" w:customStyle="1" w:styleId="Point4letter">
    <w:name w:val="Point 4 (letter)"/>
    <w:basedOn w:val="Normal"/>
    <w:pPr>
      <w:numPr>
        <w:ilvl w:val="8"/>
        <w:numId w:val="18"/>
      </w:numPr>
    </w:pPr>
  </w:style>
  <w:style w:type="paragraph" w:customStyle="1" w:styleId="Bullet0">
    <w:name w:val="Bullet 0"/>
    <w:basedOn w:val="Normal"/>
    <w:pPr>
      <w:numPr>
        <w:numId w:val="19"/>
      </w:numPr>
    </w:pPr>
  </w:style>
  <w:style w:type="paragraph" w:customStyle="1" w:styleId="Bullet1">
    <w:name w:val="Bullet 1"/>
    <w:basedOn w:val="Normal"/>
    <w:pPr>
      <w:numPr>
        <w:numId w:val="20"/>
      </w:numPr>
    </w:pPr>
  </w:style>
  <w:style w:type="paragraph" w:customStyle="1" w:styleId="Bullet2">
    <w:name w:val="Bullet 2"/>
    <w:basedOn w:val="Normal"/>
    <w:pPr>
      <w:numPr>
        <w:numId w:val="21"/>
      </w:numPr>
    </w:pPr>
  </w:style>
  <w:style w:type="paragraph" w:customStyle="1" w:styleId="Bullet3">
    <w:name w:val="Bullet 3"/>
    <w:basedOn w:val="Normal"/>
    <w:pPr>
      <w:numPr>
        <w:numId w:val="22"/>
      </w:numPr>
    </w:pPr>
  </w:style>
  <w:style w:type="paragraph" w:customStyle="1" w:styleId="Bullet4">
    <w:name w:val="Bullet 4"/>
    <w:basedOn w:val="Normal"/>
    <w:pPr>
      <w:numPr>
        <w:numId w:val="23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4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607CC"/>
    <w:pPr>
      <w:tabs>
        <w:tab w:val="center" w:pos="4535"/>
        <w:tab w:val="right" w:pos="9071"/>
      </w:tabs>
      <w:spacing w:before="0"/>
    </w:pPr>
  </w:style>
  <w:style w:type="paragraph" w:customStyle="1" w:styleId="HeaderLandscape">
    <w:name w:val="HeaderLandscape"/>
    <w:basedOn w:val="Normal"/>
    <w:rsid w:val="00D607CC"/>
    <w:pPr>
      <w:tabs>
        <w:tab w:val="center" w:pos="7285"/>
        <w:tab w:val="right" w:pos="14003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D607CC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customStyle="1" w:styleId="FooterLandscape">
    <w:name w:val="FooterLandscape"/>
    <w:basedOn w:val="Normal"/>
    <w:rsid w:val="00D607CC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4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notes.xml.rels><?xml version='1.0' encoding='UTF-8' standalone='yes'?>
<Relationships xmlns="http://schemas.openxmlformats.org/package/2006/relationships"><Relationship Id="rId2" Type="http://schemas.openxmlformats.org/officeDocument/2006/relationships/hyperlink" Target="http://data.europa.eu/eli/reg/2024/1392/oj" TargetMode="External"/><Relationship Id="rId1" Type="http://schemas.openxmlformats.org/officeDocument/2006/relationships/hyperlink" Target="http://data.europa.eu/eli/reg/2024/1392/oj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322858357ED4DB8ACEC003F271AA8" ma:contentTypeVersion="16" ma:contentTypeDescription="Create a new document." ma:contentTypeScope="" ma:versionID="159efb259b73cfba5195d5b9ec0ff28f">
  <xsd:schema xmlns:xsd="http://www.w3.org/2001/XMLSchema" xmlns:xs="http://www.w3.org/2001/XMLSchema" xmlns:p="http://schemas.microsoft.com/office/2006/metadata/properties" xmlns:ns2="bf5373a9-3ae6-4627-894d-852f27c3d4f0" xmlns:ns3="3b32b93a-a41f-449a-9492-9bc9f41ec6d7" targetNamespace="http://schemas.microsoft.com/office/2006/metadata/properties" ma:root="true" ma:fieldsID="0714391db37317330fe04c9d20c44dec" ns2:_="" ns3:_="">
    <xsd:import namespace="bf5373a9-3ae6-4627-894d-852f27c3d4f0"/>
    <xsd:import namespace="3b32b93a-a41f-449a-9492-9bc9f41ec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373a9-3ae6-4627-894d-852f27c3d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2b93a-a41f-449a-9492-9bc9f41ec6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e0aa601-896c-4231-9ada-b91350ff9040}" ma:internalName="TaxCatchAll" ma:showField="CatchAllData" ma:web="3b32b93a-a41f-449a-9492-9bc9f41ec6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D5804-FA1D-4608-91B3-BFD72A1CE1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D1BB7-B6FB-471F-A3A8-0514DC98B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373a9-3ae6-4627-894d-852f27c3d4f0"/>
    <ds:schemaRef ds:uri="3b32b93a-a41f-449a-9492-9bc9f41ec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77589-340C-467A-965D-27EB87AF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46</TotalTime>
  <Pages>8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60</cp:revision>
  <dcterms:created xsi:type="dcterms:W3CDTF">2025-03-03T13:25:00Z</dcterms:created>
  <dcterms:modified xsi:type="dcterms:W3CDTF">2025-03-11T07:36:00Z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2024-01-27T17:25:45Z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a8564e86-62f9-4b72-857c-499ec15afb12</vt:lpwstr>
  </property>
  <property fmtid="{D5CDD505-2E9C-101B-9397-08002B2CF9AE}" pid="8" name="MSIP_Label_6bd9ddd1-4d20-43f6-abfa-fc3c07406f94_ContentBits">
    <vt:lpwstr>0</vt:lpwstr>
  </property>
  <property fmtid="{D5CDD505-2E9C-101B-9397-08002B2CF9AE}" pid="9" name="Level of sensitivity">
    <vt:lpwstr>Standard treatment</vt:lpwstr>
  </property>
  <property fmtid="{D5CDD505-2E9C-101B-9397-08002B2CF9AE}" pid="10" name="Category">
    <vt:lpwstr>COM/PL/ORG</vt:lpwstr>
  </property>
  <property fmtid="{D5CDD505-2E9C-101B-9397-08002B2CF9AE}" pid="11" name="Last edited using">
    <vt:lpwstr>LW 9.1, Build 20240808</vt:lpwstr>
  </property>
  <property fmtid="{D5CDD505-2E9C-101B-9397-08002B2CF9AE}" pid="12" name="Part">
    <vt:lpwstr>1</vt:lpwstr>
  </property>
  <property fmtid="{D5CDD505-2E9C-101B-9397-08002B2CF9AE}" pid="13" name="Total parts">
    <vt:lpwstr>1</vt:lpwstr>
  </property>
  <property fmtid="{D5CDD505-2E9C-101B-9397-08002B2CF9AE}" pid="14" name="LWTemplateID">
    <vt:lpwstr>SJ-023</vt:lpwstr>
  </property>
  <property fmtid="{D5CDD505-2E9C-101B-9397-08002B2CF9AE}" pid="15" name="DQCStatus">
    <vt:lpwstr>Green (DQC version 03)</vt:lpwstr>
  </property>
  <property name="OP_sanitized" fmtid="{D5CDD505-2E9C-101B-9397-08002B2CF9AE}" pid="16">
    <vt:lpwstr>True</vt:lpwstr>
  </property>
</Properties>
</file>