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C827E" w14:textId="0DDB4815" w:rsidR="007E2797" w:rsidRDefault="000617BD" w:rsidP="000617BD">
      <w:pPr>
        <w:pStyle w:val="Pagedecouverture"/>
        <w:rPr>
          <w:noProof/>
        </w:rPr>
      </w:pPr>
      <w:bookmarkStart w:id="0" w:name="LW_BM_COVERPAGE"/>
      <w:r>
        <w:rPr>
          <w:noProof/>
        </w:rPr>
        <w:pict w14:anchorId="7847B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E0CD0D4-4DBB-4830-969A-9ECE5E951C05" style="width:455.25pt;height:271.5pt">
            <v:imagedata r:id="rId11" o:title=""/>
          </v:shape>
        </w:pict>
      </w:r>
    </w:p>
    <w:bookmarkEnd w:id="0"/>
    <w:p w14:paraId="56E3A4F8" w14:textId="039F3523" w:rsidR="007E2797" w:rsidRDefault="007E2797" w:rsidP="007E2797">
      <w:pPr>
        <w:rPr>
          <w:noProof/>
        </w:rPr>
        <w:sectPr w:rsidR="007E2797" w:rsidSect="000617BD">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1EEC30C7" w14:textId="661816E3" w:rsidR="00EF6D73" w:rsidRPr="00EF6D73" w:rsidRDefault="00EF6D73" w:rsidP="00EF6D73">
      <w:pPr>
        <w:pStyle w:val="Typedudocument"/>
        <w:rPr>
          <w:noProof/>
        </w:rPr>
      </w:pPr>
      <w:bookmarkStart w:id="1" w:name="_GoBack"/>
      <w:bookmarkEnd w:id="1"/>
      <w:r w:rsidRPr="00EF6D73">
        <w:rPr>
          <w:noProof/>
        </w:rPr>
        <w:lastRenderedPageBreak/>
        <w:t>SDĚLENÍ KOMISE</w:t>
      </w:r>
    </w:p>
    <w:p w14:paraId="229A10A1" w14:textId="0B7CAD09" w:rsidR="00EF6D73" w:rsidRPr="00EF6D73" w:rsidRDefault="00EF6D73" w:rsidP="00EF6D73">
      <w:pPr>
        <w:pStyle w:val="Titreobjet"/>
        <w:rPr>
          <w:noProof/>
        </w:rPr>
      </w:pPr>
      <w:r w:rsidRPr="00EF6D73">
        <w:rPr>
          <w:noProof/>
        </w:rPr>
        <w:t>(První) pracovní plán podle nařízení o stavebních výrobcích na období 2026–2029</w:t>
      </w:r>
    </w:p>
    <w:p w14:paraId="5C00E463" w14:textId="0BC86A13" w:rsidR="00D76193" w:rsidRPr="007E2797" w:rsidRDefault="00D76193" w:rsidP="00DF24CD">
      <w:pPr>
        <w:pStyle w:val="Heading1"/>
        <w:rPr>
          <w:noProof/>
        </w:rPr>
      </w:pPr>
      <w:r>
        <w:rPr>
          <w:noProof/>
        </w:rPr>
        <w:t>Úvod</w:t>
      </w:r>
    </w:p>
    <w:p w14:paraId="29468814" w14:textId="77CDA9E6" w:rsidR="00D76193" w:rsidRPr="007E2797" w:rsidRDefault="00D76193" w:rsidP="00C5300B">
      <w:pPr>
        <w:pStyle w:val="Heading2"/>
        <w:rPr>
          <w:noProof/>
        </w:rPr>
      </w:pPr>
      <w:r>
        <w:rPr>
          <w:noProof/>
        </w:rPr>
        <w:t>Jednotný trh se stavebními výrobky</w:t>
      </w:r>
    </w:p>
    <w:p w14:paraId="33F9CA3D" w14:textId="24857F2B" w:rsidR="00801E5B" w:rsidRPr="007E2797" w:rsidRDefault="00801E5B" w:rsidP="007E2797">
      <w:pPr>
        <w:spacing w:after="120"/>
        <w:jc w:val="both"/>
        <w:rPr>
          <w:rFonts w:ascii="Times New Roman" w:hAnsi="Times New Roman" w:cs="Times New Roman"/>
          <w:noProof/>
          <w:sz w:val="24"/>
          <w:szCs w:val="24"/>
        </w:rPr>
      </w:pPr>
      <w:r>
        <w:rPr>
          <w:rFonts w:ascii="Times New Roman" w:hAnsi="Times New Roman"/>
          <w:noProof/>
          <w:sz w:val="24"/>
        </w:rPr>
        <w:t>Nařízení o stavebních výrobcích</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stanoví harmonizovaná pravidla pro uvádění stavebních výrobků na trh v EU. Toto nařízení zajišťuje hladké fungování jednotného trhu a volný pohyb stavebních výrobků v EU. Dosahuje toho především prostřednictvím harmonizovaných technických specifikací, které stanoví společný technický jazyk pro posuzování a sdělování vlastností stavebních výrobků (vlastnosti, jako jsou např. reakce na oheň, tepelná vodivost nebo zvuková izolace). Používání norem je závazné poté, co se stanou závaznými prostřednictvím prováděcího aktu. Nařízení o stavebních výrobcích zajišťuje, že odborníci, orgány veřejné správy a spotřebitelé mají k dispozici spolehlivé informace, aby mohli porovnávat vlastnosti stavebních výrobků od různých výrobců v různých členských státech EU</w:t>
      </w:r>
      <w:r>
        <w:rPr>
          <w:rStyle w:val="FootnoteReference"/>
          <w:rFonts w:ascii="Times New Roman" w:hAnsi="Times New Roman" w:cs="Times New Roman"/>
          <w:noProof/>
          <w:sz w:val="24"/>
          <w:szCs w:val="24"/>
        </w:rPr>
        <w:footnoteReference w:id="3"/>
      </w:r>
      <w:r>
        <w:rPr>
          <w:noProof/>
        </w:rPr>
        <w:t>.</w:t>
      </w:r>
    </w:p>
    <w:p w14:paraId="542555EC" w14:textId="47C5B9D8" w:rsidR="00EE6C3E" w:rsidRPr="007E2797" w:rsidRDefault="00BA1509" w:rsidP="007E2797">
      <w:pPr>
        <w:jc w:val="both"/>
        <w:rPr>
          <w:rFonts w:ascii="Times New Roman" w:hAnsi="Times New Roman" w:cs="Times New Roman"/>
          <w:noProof/>
          <w:sz w:val="24"/>
          <w:szCs w:val="24"/>
        </w:rPr>
      </w:pPr>
      <w:r>
        <w:rPr>
          <w:rFonts w:ascii="Times New Roman" w:hAnsi="Times New Roman"/>
          <w:noProof/>
          <w:sz w:val="24"/>
        </w:rPr>
        <w:t xml:space="preserve">V souladu s čl. 4 odst. 2 nařízení o stavebních výrobcích „sestaví Komise pracovní plán pro vypracování harmonizovaných technických specifikací pro skupiny výrobků uvedené v příloze VII, a to i pokud jde o požadavky na výrobek, jakož i o základní informace o výrobku, návod k použití a bezpečnostní informace, a to na období nejméně tří let“. Za tímto účelem Komise v první polovině roku 2025 vedla konzultace s expertní skupinou pro </w:t>
      </w:r>
      <w:r>
        <w:rPr>
          <w:rFonts w:ascii="Times New Roman" w:hAnsi="Times New Roman"/>
          <w:i/>
          <w:noProof/>
          <w:sz w:val="24"/>
        </w:rPr>
        <w:t>acquis</w:t>
      </w:r>
      <w:r>
        <w:rPr>
          <w:rFonts w:ascii="Times New Roman" w:hAnsi="Times New Roman"/>
          <w:noProof/>
          <w:sz w:val="24"/>
        </w:rPr>
        <w:t xml:space="preserve"> podle nařízení o stavebních výrobcích (dále jen „expertní skupina pro CPR </w:t>
      </w:r>
      <w:r>
        <w:rPr>
          <w:rFonts w:ascii="Times New Roman" w:hAnsi="Times New Roman"/>
          <w:i/>
          <w:noProof/>
          <w:sz w:val="24"/>
        </w:rPr>
        <w:t>acquis</w:t>
      </w:r>
      <w:r>
        <w:rPr>
          <w:rFonts w:ascii="Times New Roman" w:hAnsi="Times New Roman"/>
          <w:noProof/>
          <w:sz w:val="24"/>
        </w:rPr>
        <w:t>“)</w:t>
      </w:r>
      <w:r>
        <w:rPr>
          <w:rStyle w:val="FootnoteReference"/>
          <w:rFonts w:ascii="Times New Roman" w:hAnsi="Times New Roman" w:cs="Times New Roman"/>
          <w:noProof/>
          <w:sz w:val="24"/>
          <w:szCs w:val="24"/>
        </w:rPr>
        <w:footnoteReference w:id="4"/>
      </w:r>
      <w:r>
        <w:rPr>
          <w:rFonts w:ascii="Times New Roman" w:hAnsi="Times New Roman"/>
          <w:noProof/>
          <w:sz w:val="24"/>
        </w:rPr>
        <w:t xml:space="preserve">. </w:t>
      </w:r>
    </w:p>
    <w:p w14:paraId="33C9E412" w14:textId="1B1E8537" w:rsidR="00EE6C3E" w:rsidRPr="007E2797" w:rsidRDefault="004E083E" w:rsidP="007E2797">
      <w:pPr>
        <w:jc w:val="both"/>
        <w:rPr>
          <w:rFonts w:ascii="Times New Roman" w:hAnsi="Times New Roman" w:cs="Times New Roman"/>
          <w:noProof/>
          <w:sz w:val="24"/>
          <w:szCs w:val="24"/>
        </w:rPr>
      </w:pPr>
      <w:r>
        <w:rPr>
          <w:rFonts w:ascii="Times New Roman" w:hAnsi="Times New Roman"/>
          <w:noProof/>
          <w:sz w:val="24"/>
        </w:rPr>
        <w:t xml:space="preserve">Komise má povinnost zveřejnit první pracovní plán nejpozději 8. ledna 2026. Vztahuje se na roky 2026 až 2029. Vzhledem k tomu, že Komise musí pracovní plán obnovovat a aktualizovat nejméně každé tři roky, bude příští pracovní plán zveřejněn nejpozději do konce roku 2028. </w:t>
      </w:r>
    </w:p>
    <w:p w14:paraId="0DEBADFD" w14:textId="2AF365A2" w:rsidR="00CA1222" w:rsidRPr="007E2797" w:rsidRDefault="00CA1222" w:rsidP="007E2797">
      <w:pPr>
        <w:jc w:val="both"/>
        <w:rPr>
          <w:rFonts w:ascii="Times New Roman" w:hAnsi="Times New Roman" w:cs="Times New Roman"/>
          <w:noProof/>
          <w:sz w:val="24"/>
          <w:szCs w:val="24"/>
        </w:rPr>
      </w:pPr>
      <w:r>
        <w:rPr>
          <w:rFonts w:ascii="Times New Roman" w:hAnsi="Times New Roman"/>
          <w:noProof/>
          <w:sz w:val="24"/>
        </w:rPr>
        <w:t xml:space="preserve">Komise bude koncem každého roku informovat Evropský parlament a členské státy o pokroku dosaženém při provádění pracovního plánu – poprvé na konci roku 2026. </w:t>
      </w:r>
    </w:p>
    <w:p w14:paraId="4717A455" w14:textId="66543989" w:rsidR="000402F3" w:rsidRPr="007E2797" w:rsidRDefault="000402F3" w:rsidP="007E2797">
      <w:pPr>
        <w:spacing w:after="120"/>
        <w:jc w:val="both"/>
        <w:rPr>
          <w:rFonts w:ascii="Times New Roman" w:hAnsi="Times New Roman" w:cs="Times New Roman"/>
          <w:noProof/>
          <w:sz w:val="24"/>
          <w:szCs w:val="24"/>
        </w:rPr>
      </w:pPr>
      <w:r>
        <w:rPr>
          <w:rFonts w:ascii="Times New Roman" w:hAnsi="Times New Roman"/>
          <w:noProof/>
          <w:sz w:val="24"/>
        </w:rPr>
        <w:t>Tento pracovní plán rovněž přispěje k cílům nedávno přijatého Kompasu konkurenceschopnosti</w:t>
      </w:r>
      <w:r>
        <w:rPr>
          <w:rStyle w:val="FootnoteReference"/>
          <w:rFonts w:ascii="Times New Roman" w:hAnsi="Times New Roman" w:cs="Times New Roman"/>
          <w:noProof/>
          <w:sz w:val="24"/>
          <w:szCs w:val="24"/>
        </w:rPr>
        <w:footnoteReference w:id="5"/>
      </w:r>
      <w:r>
        <w:rPr>
          <w:rFonts w:ascii="Times New Roman" w:hAnsi="Times New Roman"/>
          <w:noProof/>
          <w:sz w:val="24"/>
        </w:rPr>
        <w:t>, neboť pomůže odstranit rozdíl v inovacích a podpořit konkurenceschopnost, dekarbonizaci a hospodářskou bezpečnost EU. Kromě toho může pomoci rozvíjet přední trhy pro udržitelné a oběhové výrobky v souladu s nedávno přijatou Dohodou o čistém průmyslu</w:t>
      </w:r>
      <w:r>
        <w:rPr>
          <w:rStyle w:val="FootnoteReference"/>
          <w:rFonts w:ascii="Times New Roman" w:hAnsi="Times New Roman" w:cs="Times New Roman"/>
          <w:noProof/>
          <w:sz w:val="24"/>
          <w:szCs w:val="24"/>
        </w:rPr>
        <w:footnoteReference w:id="6"/>
      </w:r>
      <w:r>
        <w:rPr>
          <w:rStyle w:val="FootnoteReference"/>
          <w:rFonts w:ascii="Times New Roman" w:hAnsi="Times New Roman" w:cs="Times New Roman"/>
          <w:noProof/>
          <w:sz w:val="24"/>
          <w:szCs w:val="24"/>
        </w:rPr>
        <w:t>,</w:t>
      </w:r>
      <w:r>
        <w:rPr>
          <w:rFonts w:ascii="Times New Roman" w:hAnsi="Times New Roman"/>
          <w:noProof/>
          <w:sz w:val="24"/>
        </w:rPr>
        <w:t>, Akčním plánem pro ocel a kovy</w:t>
      </w:r>
      <w:r>
        <w:rPr>
          <w:rFonts w:ascii="Times New Roman" w:hAnsi="Times New Roman" w:cs="Times New Roman"/>
          <w:noProof/>
          <w:sz w:val="24"/>
          <w:szCs w:val="24"/>
          <w:vertAlign w:val="superscript"/>
        </w:rPr>
        <w:footnoteReference w:id="7"/>
      </w:r>
      <w:r>
        <w:rPr>
          <w:rFonts w:ascii="Times New Roman" w:hAnsi="Times New Roman"/>
          <w:noProof/>
          <w:sz w:val="24"/>
        </w:rPr>
        <w:t>, směrnicí o energetické náročnosti budov</w:t>
      </w:r>
      <w:r>
        <w:rPr>
          <w:rStyle w:val="FootnoteReference"/>
          <w:rFonts w:ascii="Times New Roman" w:hAnsi="Times New Roman" w:cs="Times New Roman"/>
          <w:noProof/>
          <w:sz w:val="24"/>
          <w:szCs w:val="24"/>
        </w:rPr>
        <w:footnoteReference w:id="8"/>
      </w:r>
      <w:r>
        <w:rPr>
          <w:rFonts w:ascii="Times New Roman" w:hAnsi="Times New Roman"/>
          <w:noProof/>
          <w:sz w:val="24"/>
        </w:rPr>
        <w:t xml:space="preserve"> a Strategií EU pro biohospodářství z roku 2025</w:t>
      </w:r>
      <w:r>
        <w:rPr>
          <w:rStyle w:val="FootnoteReference"/>
          <w:rFonts w:ascii="Times New Roman" w:hAnsi="Times New Roman" w:cs="Times New Roman"/>
          <w:noProof/>
          <w:sz w:val="24"/>
          <w:szCs w:val="24"/>
        </w:rPr>
        <w:footnoteReference w:id="9"/>
      </w:r>
      <w:r>
        <w:rPr>
          <w:rFonts w:ascii="Times New Roman" w:hAnsi="Times New Roman"/>
          <w:noProof/>
          <w:sz w:val="24"/>
        </w:rPr>
        <w:t>. Komise plánuje přijmout akt o oběhovém hospodářství, který má zvýšit nabídku vysoce kvalitních druhotných surovin a poptávku po nich, a akt o akcelerátoru průmyslu</w:t>
      </w:r>
      <w:r>
        <w:rPr>
          <w:rStyle w:val="FootnoteReference"/>
          <w:rFonts w:ascii="Times New Roman" w:hAnsi="Times New Roman" w:cs="Times New Roman"/>
          <w:noProof/>
          <w:sz w:val="24"/>
          <w:szCs w:val="24"/>
        </w:rPr>
        <w:footnoteReference w:id="10"/>
      </w:r>
      <w:r>
        <w:rPr>
          <w:rFonts w:ascii="Times New Roman" w:hAnsi="Times New Roman"/>
          <w:noProof/>
          <w:sz w:val="24"/>
        </w:rPr>
        <w:t xml:space="preserve">, který má tyto iniciativy doplnit. </w:t>
      </w:r>
    </w:p>
    <w:p w14:paraId="71082505" w14:textId="6754B9A6" w:rsidR="000402F3" w:rsidRPr="008260CB" w:rsidRDefault="000402F3" w:rsidP="007E2797">
      <w:pPr>
        <w:spacing w:after="120"/>
        <w:jc w:val="both"/>
        <w:rPr>
          <w:rFonts w:ascii="Times New Roman" w:hAnsi="Times New Roman" w:cs="Times New Roman"/>
          <w:noProof/>
          <w:sz w:val="24"/>
          <w:szCs w:val="24"/>
        </w:rPr>
      </w:pPr>
      <w:r>
        <w:rPr>
          <w:rFonts w:ascii="Times New Roman" w:hAnsi="Times New Roman"/>
          <w:noProof/>
          <w:sz w:val="24"/>
        </w:rPr>
        <w:t>Nařízení o stavebních výrobcích je klíčovým příspěvkem k ambicím Dohody o čistém průmyslu, podle níž se má EU do roku 2030 stát světovým lídrem v oblasti oběhového hospodářství. Přijetí harmonizovaných technických specifikací podle nařízení o stavebních výrobcích – doplněných opatřeními na podporu oběhovosti odvětví stavebnictví v připravovaném aktu o oběhovém hospodářství – bude mít zásadní význam pro zvýšení konkurenceschopnosti a oběhovosti našich ekonomik, neboť zajistí úplné a spolehlivé regulační prostředí a podpoří přední trhy pro udržitelné a oběhové výrobky. Stručně řečeno, nařízení o stavebních výrobcích významně přispěje k našemu cíli, kterým je čisté a dekarbonizované hospodářství EU účinně využívající zdroje.</w:t>
      </w:r>
    </w:p>
    <w:p w14:paraId="3E080ACB" w14:textId="1067616C" w:rsidR="00F42AE6" w:rsidRPr="007E2797" w:rsidRDefault="00F42AE6" w:rsidP="007E2797">
      <w:pPr>
        <w:spacing w:after="120"/>
        <w:jc w:val="both"/>
        <w:rPr>
          <w:rFonts w:ascii="Times New Roman" w:hAnsi="Times New Roman" w:cs="Times New Roman"/>
          <w:noProof/>
          <w:sz w:val="24"/>
          <w:szCs w:val="24"/>
        </w:rPr>
      </w:pPr>
      <w:r>
        <w:rPr>
          <w:rFonts w:ascii="Times New Roman" w:hAnsi="Times New Roman"/>
          <w:noProof/>
          <w:sz w:val="24"/>
        </w:rPr>
        <w:t>Nařízení o stavebních výrobcích bude rovněž klíčovým prvkem Evropské strategie pro bytovou výstavbu</w:t>
      </w:r>
      <w:r>
        <w:rPr>
          <w:rStyle w:val="FootnoteReference"/>
          <w:rFonts w:ascii="Times New Roman" w:hAnsi="Times New Roman" w:cs="Times New Roman"/>
          <w:noProof/>
          <w:sz w:val="24"/>
          <w:szCs w:val="24"/>
        </w:rPr>
        <w:footnoteReference w:id="11"/>
      </w:r>
      <w:r>
        <w:rPr>
          <w:rFonts w:ascii="Times New Roman" w:hAnsi="Times New Roman"/>
          <w:noProof/>
          <w:sz w:val="24"/>
        </w:rPr>
        <w:t>, neboť usnadní inovace a zvýší konkurenceschopnost tohoto odvětví. Prostřednictvím vývoje nových harmonizovaných norem, aktualizace stávajících norem v souladu se současným stavem techniky a vypracování evropských dokumentů pro posuzování pro inovativní výrobky může nařízení o stavebních výrobcích podpořit rychlejší zavádění výroby mimo staveniště, což zvýší produktivitu celého ekosystému stavebnictví a pomůže řešit nedostatek bydlení zkrácením doby výstavby. Zavedení digitálního pasu výrobku podpoří digitalizaci stavebního ekosystému.</w:t>
      </w:r>
    </w:p>
    <w:p w14:paraId="2E4BB1CC" w14:textId="4F0AB733" w:rsidR="00B832F9" w:rsidRPr="007E2797" w:rsidRDefault="00B832F9" w:rsidP="00C5300B">
      <w:pPr>
        <w:pStyle w:val="Heading2"/>
        <w:rPr>
          <w:noProof/>
        </w:rPr>
      </w:pPr>
      <w:r>
        <w:rPr>
          <w:noProof/>
        </w:rPr>
        <w:t xml:space="preserve">Proces týkající se </w:t>
      </w:r>
      <w:r>
        <w:rPr>
          <w:i/>
          <w:noProof/>
        </w:rPr>
        <w:t>acquis</w:t>
      </w:r>
      <w:r>
        <w:rPr>
          <w:noProof/>
        </w:rPr>
        <w:t xml:space="preserve"> podle nařízení o stavebních výrobcích</w:t>
      </w:r>
    </w:p>
    <w:p w14:paraId="27E0DDA2" w14:textId="3E6F03B2" w:rsidR="00B832F9" w:rsidRPr="00590675" w:rsidRDefault="000077B2" w:rsidP="00674054">
      <w:pPr>
        <w:rPr>
          <w:rFonts w:ascii="Times New Roman" w:hAnsi="Times New Roman" w:cs="Times New Roman"/>
          <w:noProof/>
          <w:sz w:val="24"/>
          <w:szCs w:val="24"/>
        </w:rPr>
      </w:pPr>
      <w:r>
        <w:rPr>
          <w:rFonts w:ascii="Times New Roman" w:hAnsi="Times New Roman"/>
          <w:noProof/>
          <w:sz w:val="24"/>
        </w:rPr>
        <w:t xml:space="preserve">V roce 2020 Komise zahájila tzv. proces týkající se </w:t>
      </w:r>
      <w:r>
        <w:rPr>
          <w:rFonts w:ascii="Times New Roman" w:hAnsi="Times New Roman"/>
          <w:i/>
          <w:noProof/>
          <w:sz w:val="24"/>
        </w:rPr>
        <w:t>acquis</w:t>
      </w:r>
      <w:r>
        <w:rPr>
          <w:rFonts w:ascii="Times New Roman" w:hAnsi="Times New Roman"/>
          <w:noProof/>
          <w:sz w:val="24"/>
        </w:rPr>
        <w:t xml:space="preserve"> podle nařízení o stavebních výrobcích z roku 2011 (dále jen „proces CPR </w:t>
      </w:r>
      <w:r>
        <w:rPr>
          <w:rFonts w:ascii="Times New Roman" w:hAnsi="Times New Roman"/>
          <w:i/>
          <w:noProof/>
          <w:sz w:val="24"/>
        </w:rPr>
        <w:t>acquis</w:t>
      </w:r>
      <w:r>
        <w:rPr>
          <w:rFonts w:ascii="Times New Roman" w:hAnsi="Times New Roman"/>
          <w:noProof/>
          <w:sz w:val="24"/>
        </w:rPr>
        <w:t>“)</w:t>
      </w:r>
      <w:r>
        <w:rPr>
          <w:rStyle w:val="FootnoteReference"/>
          <w:rFonts w:ascii="Times New Roman" w:hAnsi="Times New Roman" w:cs="Times New Roman"/>
          <w:noProof/>
          <w:sz w:val="24"/>
          <w:szCs w:val="24"/>
        </w:rPr>
        <w:footnoteReference w:id="12"/>
      </w:r>
      <w:r>
        <w:rPr>
          <w:rFonts w:ascii="Times New Roman" w:hAnsi="Times New Roman"/>
          <w:noProof/>
          <w:sz w:val="24"/>
        </w:rPr>
        <w:t xml:space="preserve">, jehož cílem je shromáždit od zúčastněných stran a členských států informace o technických a regulačních potřebách za účelem vytvoření podrobných žádostí o normalizaci, aktů v přenesené pravomoci, požadavků na výrobky a informací o výrobcích. To umožní aktualizovat všechny stávající harmonizované normy podle nařízení o stavebních výrobcích a rozšířit jejich oblast působnosti na nové výrobky. </w:t>
      </w:r>
    </w:p>
    <w:p w14:paraId="2F6C4DB6" w14:textId="347989E0" w:rsidR="00E459F3" w:rsidRPr="00590675" w:rsidRDefault="00E459F3" w:rsidP="00674054">
      <w:pPr>
        <w:rPr>
          <w:rFonts w:ascii="Times New Roman" w:hAnsi="Times New Roman" w:cs="Times New Roman"/>
          <w:noProof/>
          <w:sz w:val="24"/>
          <w:szCs w:val="24"/>
        </w:rPr>
      </w:pPr>
      <w:r>
        <w:rPr>
          <w:rFonts w:ascii="Times New Roman" w:hAnsi="Times New Roman"/>
          <w:noProof/>
          <w:sz w:val="24"/>
        </w:rPr>
        <w:t>V roce 2021 Komise zřídila expertní skupinu pro CPR</w:t>
      </w:r>
      <w:r>
        <w:rPr>
          <w:rFonts w:ascii="Times New Roman" w:hAnsi="Times New Roman"/>
          <w:i/>
          <w:noProof/>
          <w:sz w:val="24"/>
        </w:rPr>
        <w:t xml:space="preserve"> acquis</w:t>
      </w:r>
      <w:r>
        <w:rPr>
          <w:rFonts w:ascii="Times New Roman" w:hAnsi="Times New Roman"/>
          <w:noProof/>
          <w:sz w:val="24"/>
        </w:rPr>
        <w:t xml:space="preserve"> a několik podskupin s cílem strukturovat práci na procesu CPR </w:t>
      </w:r>
      <w:r>
        <w:rPr>
          <w:rFonts w:ascii="Times New Roman" w:hAnsi="Times New Roman"/>
          <w:i/>
          <w:noProof/>
          <w:sz w:val="24"/>
        </w:rPr>
        <w:t>acquis</w:t>
      </w:r>
      <w:r>
        <w:rPr>
          <w:rFonts w:ascii="Times New Roman" w:hAnsi="Times New Roman"/>
          <w:noProof/>
          <w:sz w:val="24"/>
        </w:rPr>
        <w:t xml:space="preserve">. Každá podskupina pracuje na jedné skupině nebo více skupinách výrobků, které jsou nyní stanoveny v příloze VII nařízení o stavebních výrobcích. Kromě toho byly zavedeny tři horizontální podskupiny (pro environmentální udržitelnost, požární bezpečnost a nebezpečné látky). </w:t>
      </w:r>
    </w:p>
    <w:p w14:paraId="2858B28A" w14:textId="59E76382" w:rsidR="00E4161C" w:rsidRPr="00590675" w:rsidRDefault="00235983" w:rsidP="00674054">
      <w:pPr>
        <w:rPr>
          <w:rFonts w:ascii="Times New Roman" w:hAnsi="Times New Roman" w:cs="Times New Roman"/>
          <w:noProof/>
          <w:sz w:val="24"/>
          <w:szCs w:val="24"/>
        </w:rPr>
      </w:pPr>
      <w:r>
        <w:rPr>
          <w:rFonts w:ascii="Times New Roman" w:hAnsi="Times New Roman"/>
          <w:noProof/>
          <w:sz w:val="24"/>
        </w:rPr>
        <w:t>Článek 4 nařízení o stavebních výrobcích tento proces formalizuje a definuje úkoly Komise a povinnosti členských států a dalších zúčastněných stran v tomto procesu. Struktura expertní skupiny byla na jaře 2025 uvedena do souladu s novým nařízením. Evropská sdružení a nevládní organizace jsou vyzývány, aby požádaly o členství v expertní skupině nebo v jedné či několika podskupinách</w:t>
      </w:r>
      <w:r>
        <w:rPr>
          <w:rStyle w:val="FootnoteReference"/>
          <w:rFonts w:ascii="Times New Roman" w:hAnsi="Times New Roman" w:cs="Times New Roman"/>
          <w:noProof/>
          <w:sz w:val="24"/>
          <w:szCs w:val="24"/>
        </w:rPr>
        <w:footnoteReference w:id="13"/>
      </w:r>
      <w:r>
        <w:rPr>
          <w:rFonts w:ascii="Times New Roman" w:hAnsi="Times New Roman"/>
          <w:noProof/>
          <w:sz w:val="24"/>
        </w:rPr>
        <w:t xml:space="preserve">, a přispívaly tak k této práci. </w:t>
      </w:r>
    </w:p>
    <w:p w14:paraId="4C377580" w14:textId="091603AD" w:rsidR="001947CC" w:rsidRDefault="00DF24CD" w:rsidP="00C13D1C">
      <w:pPr>
        <w:jc w:val="center"/>
        <w:rPr>
          <w:noProof/>
        </w:rPr>
      </w:pPr>
      <w:r w:rsidRPr="00DF24CD">
        <w:rPr>
          <w:noProof/>
          <w:lang w:val="en-GB" w:eastAsia="en-GB"/>
        </w:rPr>
        <w:drawing>
          <wp:inline distT="0" distB="0" distL="0" distR="0" wp14:anchorId="1BA992B5" wp14:editId="296D2A6C">
            <wp:extent cx="5943600" cy="2781935"/>
            <wp:effectExtent l="0" t="0" r="0" b="0"/>
            <wp:docPr id="90990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781935"/>
                    </a:xfrm>
                    <a:prstGeom prst="rect">
                      <a:avLst/>
                    </a:prstGeom>
                    <a:noFill/>
                    <a:ln>
                      <a:noFill/>
                    </a:ln>
                  </pic:spPr>
                </pic:pic>
              </a:graphicData>
            </a:graphic>
          </wp:inline>
        </w:drawing>
      </w:r>
    </w:p>
    <w:p w14:paraId="43CE7B4F" w14:textId="0D4AC8C4" w:rsidR="00E06E82" w:rsidRPr="00590675" w:rsidRDefault="00E06E82" w:rsidP="002B393B">
      <w:pPr>
        <w:pStyle w:val="Caption"/>
        <w:jc w:val="center"/>
        <w:rPr>
          <w:rFonts w:ascii="Times New Roman" w:hAnsi="Times New Roman" w:cs="Times New Roman"/>
          <w:b/>
          <w:bCs/>
          <w:i w:val="0"/>
          <w:iCs w:val="0"/>
          <w:noProof/>
          <w:color w:val="auto"/>
          <w:sz w:val="20"/>
          <w:szCs w:val="20"/>
        </w:rPr>
      </w:pPr>
      <w:r>
        <w:rPr>
          <w:rFonts w:ascii="Times New Roman" w:hAnsi="Times New Roman"/>
          <w:b/>
          <w:i w:val="0"/>
          <w:noProof/>
          <w:color w:val="auto"/>
          <w:sz w:val="20"/>
        </w:rPr>
        <w:t xml:space="preserve">Graf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Figure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1</w:t>
      </w:r>
      <w:r>
        <w:rPr>
          <w:rFonts w:ascii="Times New Roman" w:hAnsi="Times New Roman" w:cs="Times New Roman"/>
          <w:b/>
          <w:i w:val="0"/>
          <w:noProof/>
          <w:color w:val="auto"/>
          <w:sz w:val="20"/>
        </w:rPr>
        <w:fldChar w:fldCharType="end"/>
      </w:r>
      <w:r>
        <w:rPr>
          <w:rFonts w:ascii="Times New Roman" w:hAnsi="Times New Roman"/>
          <w:b/>
          <w:i w:val="0"/>
          <w:noProof/>
          <w:color w:val="auto"/>
          <w:sz w:val="20"/>
        </w:rPr>
        <w:t xml:space="preserve">: Struktura expertní skupiny pro CPR </w:t>
      </w:r>
      <w:r>
        <w:rPr>
          <w:rFonts w:ascii="Times New Roman" w:hAnsi="Times New Roman"/>
          <w:b/>
          <w:noProof/>
          <w:color w:val="auto"/>
          <w:sz w:val="20"/>
        </w:rPr>
        <w:t>acquis</w:t>
      </w:r>
      <w:r>
        <w:rPr>
          <w:rFonts w:ascii="Times New Roman" w:hAnsi="Times New Roman"/>
          <w:b/>
          <w:i w:val="0"/>
          <w:noProof/>
          <w:color w:val="auto"/>
          <w:sz w:val="20"/>
        </w:rPr>
        <w:t xml:space="preserve"> a jejích podskupin</w:t>
      </w:r>
    </w:p>
    <w:p w14:paraId="500B216D" w14:textId="0B694BC1" w:rsidR="00354C44" w:rsidRPr="00DD4746" w:rsidRDefault="00354C44" w:rsidP="00C5300B">
      <w:pPr>
        <w:pStyle w:val="Heading2"/>
        <w:rPr>
          <w:noProof/>
        </w:rPr>
      </w:pPr>
      <w:r>
        <w:rPr>
          <w:noProof/>
        </w:rPr>
        <w:t xml:space="preserve">Milníky procesu CPR </w:t>
      </w:r>
      <w:r>
        <w:rPr>
          <w:i/>
          <w:noProof/>
        </w:rPr>
        <w:t>acquis</w:t>
      </w:r>
    </w:p>
    <w:p w14:paraId="03059BB0" w14:textId="6C5BA0CB" w:rsidR="008E17EA" w:rsidRPr="00DD4746" w:rsidRDefault="006A1F65" w:rsidP="00DD4746">
      <w:pPr>
        <w:jc w:val="both"/>
        <w:rPr>
          <w:rFonts w:ascii="Times New Roman" w:hAnsi="Times New Roman" w:cs="Times New Roman"/>
          <w:noProof/>
          <w:sz w:val="24"/>
          <w:szCs w:val="24"/>
        </w:rPr>
      </w:pPr>
      <w:r>
        <w:rPr>
          <w:rFonts w:ascii="Times New Roman" w:hAnsi="Times New Roman"/>
          <w:noProof/>
          <w:sz w:val="24"/>
        </w:rPr>
        <w:t>Práce na konkrétní skupině výrobků probíhají podle předem stanovených milníků, přičemž konečným výsledkem je vstup harmonizovaných technických specifikací (harmonizovaných norem a doprovodných aktů v přenesené pravomoci) v platnost. Další pracovní cyklus v konkrétní skupině výrobků bude zahájen, jakmile členské státy a další příslušné zúčastněné strany zjistí, že je třeba příslušné harmonizované technické specifikace aktualizovat. Odborníci v normalizačních organizacích obvykle začínají konzultovat potřebu revizí norem pět let poté, co normy předložili Komisi</w:t>
      </w:r>
      <w:r>
        <w:rPr>
          <w:rStyle w:val="FootnoteReference"/>
          <w:rFonts w:ascii="Times New Roman" w:hAnsi="Times New Roman" w:cs="Times New Roman"/>
          <w:noProof/>
          <w:sz w:val="24"/>
          <w:szCs w:val="24"/>
        </w:rPr>
        <w:footnoteReference w:id="14"/>
      </w:r>
      <w:r>
        <w:rPr>
          <w:rFonts w:ascii="Times New Roman" w:hAnsi="Times New Roman"/>
          <w:noProof/>
          <w:sz w:val="24"/>
        </w:rPr>
        <w:t xml:space="preserve">. Po těchto konzultacích bude Komise rovněž konzultovat s příslušnými podskupinami expertní skupiny pro CPR </w:t>
      </w:r>
      <w:r>
        <w:rPr>
          <w:rFonts w:ascii="Times New Roman" w:hAnsi="Times New Roman"/>
          <w:i/>
          <w:noProof/>
          <w:sz w:val="24"/>
        </w:rPr>
        <w:t>acquis</w:t>
      </w:r>
      <w:r>
        <w:rPr>
          <w:rFonts w:ascii="Times New Roman" w:hAnsi="Times New Roman"/>
          <w:noProof/>
          <w:sz w:val="24"/>
        </w:rPr>
        <w:t>.</w:t>
      </w:r>
    </w:p>
    <w:p w14:paraId="7A2A9EF7" w14:textId="71F1987F" w:rsidR="00374007" w:rsidRDefault="00DF24CD" w:rsidP="005C2ACD">
      <w:pPr>
        <w:jc w:val="center"/>
        <w:rPr>
          <w:noProof/>
        </w:rPr>
      </w:pPr>
      <w:r w:rsidRPr="00DF24CD">
        <w:rPr>
          <w:noProof/>
          <w:lang w:val="en-GB" w:eastAsia="en-GB"/>
        </w:rPr>
        <w:drawing>
          <wp:inline distT="0" distB="0" distL="0" distR="0" wp14:anchorId="5C743D7E" wp14:editId="450F6861">
            <wp:extent cx="5943600" cy="2610485"/>
            <wp:effectExtent l="0" t="0" r="0" b="0"/>
            <wp:docPr id="413758539" name="Picture 1"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58539" name="Picture 1" descr="A close-up of a diagram&#10;&#10;AI-generated content may be incorrect."/>
                    <pic:cNvPicPr/>
                  </pic:nvPicPr>
                  <pic:blipFill>
                    <a:blip r:embed="rId19"/>
                    <a:stretch>
                      <a:fillRect/>
                    </a:stretch>
                  </pic:blipFill>
                  <pic:spPr>
                    <a:xfrm>
                      <a:off x="0" y="0"/>
                      <a:ext cx="5943600" cy="2610485"/>
                    </a:xfrm>
                    <a:prstGeom prst="rect">
                      <a:avLst/>
                    </a:prstGeom>
                  </pic:spPr>
                </pic:pic>
              </a:graphicData>
            </a:graphic>
          </wp:inline>
        </w:drawing>
      </w:r>
    </w:p>
    <w:p w14:paraId="3CE67F76" w14:textId="6CDEF13B" w:rsidR="00374007" w:rsidRPr="00194E91" w:rsidRDefault="00374007" w:rsidP="002B393B">
      <w:pPr>
        <w:pStyle w:val="Caption"/>
        <w:jc w:val="center"/>
        <w:rPr>
          <w:rFonts w:ascii="Times New Roman" w:hAnsi="Times New Roman" w:cs="Times New Roman"/>
          <w:b/>
          <w:bCs/>
          <w:i w:val="0"/>
          <w:iCs w:val="0"/>
          <w:noProof/>
          <w:color w:val="auto"/>
          <w:sz w:val="20"/>
          <w:szCs w:val="20"/>
        </w:rPr>
      </w:pPr>
      <w:r>
        <w:rPr>
          <w:rFonts w:ascii="Times New Roman" w:hAnsi="Times New Roman"/>
          <w:b/>
          <w:i w:val="0"/>
          <w:noProof/>
          <w:color w:val="auto"/>
          <w:sz w:val="20"/>
        </w:rPr>
        <w:t xml:space="preserve">Graf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Figure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2</w:t>
      </w:r>
      <w:r>
        <w:rPr>
          <w:rFonts w:ascii="Times New Roman" w:hAnsi="Times New Roman" w:cs="Times New Roman"/>
          <w:b/>
          <w:i w:val="0"/>
          <w:noProof/>
          <w:color w:val="auto"/>
          <w:sz w:val="20"/>
        </w:rPr>
        <w:fldChar w:fldCharType="end"/>
      </w:r>
      <w:r>
        <w:rPr>
          <w:rFonts w:ascii="Times New Roman" w:hAnsi="Times New Roman"/>
          <w:b/>
          <w:i w:val="0"/>
          <w:noProof/>
          <w:color w:val="auto"/>
          <w:sz w:val="20"/>
        </w:rPr>
        <w:t xml:space="preserve">: Milníky procesu CPR </w:t>
      </w:r>
      <w:r>
        <w:rPr>
          <w:rFonts w:ascii="Times New Roman" w:hAnsi="Times New Roman"/>
          <w:b/>
          <w:noProof/>
          <w:color w:val="auto"/>
          <w:sz w:val="20"/>
        </w:rPr>
        <w:t>acquis</w:t>
      </w:r>
    </w:p>
    <w:p w14:paraId="187A7A07" w14:textId="504705F0" w:rsidR="0026287A" w:rsidRPr="00DD4746" w:rsidRDefault="0026287A" w:rsidP="00DD4746">
      <w:pPr>
        <w:pStyle w:val="Heading3"/>
        <w:rPr>
          <w:noProof/>
        </w:rPr>
      </w:pPr>
      <w:r>
        <w:rPr>
          <w:noProof/>
        </w:rPr>
        <w:t>Milník 0</w:t>
      </w:r>
    </w:p>
    <w:p w14:paraId="44C10EBC" w14:textId="77777777" w:rsidR="0043474E" w:rsidRPr="00194E91" w:rsidRDefault="0026287A" w:rsidP="00194E91">
      <w:pPr>
        <w:jc w:val="both"/>
        <w:rPr>
          <w:rFonts w:ascii="Times New Roman" w:hAnsi="Times New Roman" w:cs="Times New Roman"/>
          <w:noProof/>
          <w:sz w:val="24"/>
          <w:szCs w:val="24"/>
        </w:rPr>
      </w:pPr>
      <w:r>
        <w:rPr>
          <w:rFonts w:ascii="Times New Roman" w:hAnsi="Times New Roman"/>
          <w:noProof/>
          <w:sz w:val="24"/>
        </w:rPr>
        <w:t>Tento milník je nepovinný a týká se vývoje metod posuzování.</w:t>
      </w:r>
    </w:p>
    <w:p w14:paraId="0738009B" w14:textId="23A76364" w:rsidR="007B1CCA" w:rsidRPr="00194E91" w:rsidRDefault="0026287A" w:rsidP="00194E91">
      <w:pPr>
        <w:jc w:val="both"/>
        <w:rPr>
          <w:rFonts w:ascii="Times New Roman" w:hAnsi="Times New Roman" w:cs="Times New Roman"/>
          <w:noProof/>
          <w:sz w:val="24"/>
          <w:szCs w:val="24"/>
        </w:rPr>
      </w:pPr>
      <w:r>
        <w:rPr>
          <w:rFonts w:ascii="Times New Roman" w:hAnsi="Times New Roman"/>
          <w:noProof/>
          <w:sz w:val="24"/>
        </w:rPr>
        <w:t xml:space="preserve">Pokud neexistuje (aktuální) evropská metoda posuzování důležitých základních charakteristik nebo požadavků na výrobky a její/jejich vývoj nebo aktualizace bude vyžadovat určitý čas a další zdroje nad rámec těch, které jsou obvykle potřebné, lze pozdější práci na CPR </w:t>
      </w:r>
      <w:r>
        <w:rPr>
          <w:rFonts w:ascii="Times New Roman" w:hAnsi="Times New Roman"/>
          <w:i/>
          <w:noProof/>
          <w:sz w:val="24"/>
        </w:rPr>
        <w:t>acquis</w:t>
      </w:r>
      <w:r>
        <w:rPr>
          <w:rFonts w:ascii="Times New Roman" w:hAnsi="Times New Roman"/>
          <w:noProof/>
          <w:sz w:val="24"/>
        </w:rPr>
        <w:t xml:space="preserve"> urychlit zahájením projektu v rámci otevřené výzvy EISMEA nebo jiných finančních nástrojů za účelem jeho/jejich vývoje nebo aktualizace. </w:t>
      </w:r>
    </w:p>
    <w:p w14:paraId="52FC4378" w14:textId="02A0D644" w:rsidR="0026287A" w:rsidRPr="00194E91" w:rsidRDefault="0026287A" w:rsidP="00194E91">
      <w:pPr>
        <w:jc w:val="both"/>
        <w:rPr>
          <w:rFonts w:ascii="Times New Roman" w:hAnsi="Times New Roman" w:cs="Times New Roman"/>
          <w:noProof/>
          <w:sz w:val="24"/>
          <w:szCs w:val="24"/>
        </w:rPr>
      </w:pPr>
      <w:r>
        <w:rPr>
          <w:rFonts w:ascii="Times New Roman" w:hAnsi="Times New Roman"/>
          <w:noProof/>
          <w:sz w:val="24"/>
        </w:rPr>
        <w:t xml:space="preserve">Milník 0 může být zahájen před rozhodnutím expertní skupiny pro CPR </w:t>
      </w:r>
      <w:r>
        <w:rPr>
          <w:rFonts w:ascii="Times New Roman" w:hAnsi="Times New Roman"/>
          <w:i/>
          <w:noProof/>
          <w:sz w:val="24"/>
        </w:rPr>
        <w:t>acquis</w:t>
      </w:r>
      <w:r>
        <w:rPr>
          <w:rFonts w:ascii="Times New Roman" w:hAnsi="Times New Roman"/>
          <w:noProof/>
          <w:sz w:val="24"/>
        </w:rPr>
        <w:t xml:space="preserve"> o oficiálním zahájení práce v příslušné podskupině. </w:t>
      </w:r>
    </w:p>
    <w:p w14:paraId="417033D7" w14:textId="39A6D0B2" w:rsidR="00C73820" w:rsidRPr="00194E91" w:rsidRDefault="002770DE" w:rsidP="000A24A6">
      <w:pPr>
        <w:pStyle w:val="Heading3"/>
        <w:rPr>
          <w:noProof/>
        </w:rPr>
      </w:pPr>
      <w:r>
        <w:rPr>
          <w:noProof/>
        </w:rPr>
        <w:t xml:space="preserve">Zahájení práce v podskupině: </w:t>
      </w:r>
    </w:p>
    <w:p w14:paraId="2F9EE799" w14:textId="1FEFF2B8" w:rsidR="006C29D6" w:rsidRPr="00194E91" w:rsidRDefault="002770DE" w:rsidP="00194E91">
      <w:pPr>
        <w:jc w:val="both"/>
        <w:rPr>
          <w:rFonts w:ascii="Times New Roman" w:hAnsi="Times New Roman" w:cs="Times New Roman"/>
          <w:noProof/>
          <w:sz w:val="24"/>
          <w:szCs w:val="24"/>
        </w:rPr>
      </w:pPr>
      <w:r>
        <w:rPr>
          <w:rFonts w:ascii="Times New Roman" w:hAnsi="Times New Roman"/>
          <w:noProof/>
          <w:sz w:val="24"/>
        </w:rPr>
        <w:t xml:space="preserve">Komise se dohodne s členskými státy a ostatními členy expertní skupiny pro CPR </w:t>
      </w:r>
      <w:r>
        <w:rPr>
          <w:rFonts w:ascii="Times New Roman" w:hAnsi="Times New Roman"/>
          <w:i/>
          <w:noProof/>
          <w:sz w:val="24"/>
        </w:rPr>
        <w:t>acquis</w:t>
      </w:r>
      <w:r>
        <w:rPr>
          <w:rFonts w:ascii="Times New Roman" w:hAnsi="Times New Roman"/>
          <w:noProof/>
          <w:sz w:val="24"/>
        </w:rPr>
        <w:t xml:space="preserve">, že zahájí pracovní cyklus týkající se skupiny výrobků v příslušné podskupině expertní skupiny pro CPR </w:t>
      </w:r>
      <w:r>
        <w:rPr>
          <w:rFonts w:ascii="Times New Roman" w:hAnsi="Times New Roman"/>
          <w:i/>
          <w:noProof/>
          <w:sz w:val="24"/>
        </w:rPr>
        <w:t>acquis</w:t>
      </w:r>
      <w:r>
        <w:rPr>
          <w:rFonts w:ascii="Times New Roman" w:hAnsi="Times New Roman"/>
          <w:noProof/>
          <w:sz w:val="24"/>
        </w:rPr>
        <w:t xml:space="preserve"> v době stanovené v pracovním plánu. </w:t>
      </w:r>
    </w:p>
    <w:p w14:paraId="1E294DAA" w14:textId="5E7ADD5E" w:rsidR="003621CD" w:rsidRPr="00194E91" w:rsidRDefault="00102E09" w:rsidP="00194E91">
      <w:pPr>
        <w:jc w:val="both"/>
        <w:rPr>
          <w:rFonts w:ascii="Times New Roman" w:hAnsi="Times New Roman" w:cs="Times New Roman"/>
          <w:noProof/>
          <w:sz w:val="24"/>
          <w:szCs w:val="24"/>
        </w:rPr>
      </w:pPr>
      <w:r>
        <w:rPr>
          <w:rFonts w:ascii="Times New Roman" w:hAnsi="Times New Roman"/>
          <w:noProof/>
          <w:sz w:val="24"/>
        </w:rPr>
        <w:t xml:space="preserve">Prvním krokem je stanovení pracovního programu podskupiny: členové podskupiny se dohodnou na konkrétních výstupech a orientačním harmonogramu vypracování technického obsahu žádosti o normalizaci a doprovodných aktů v přenesené pravomoci. </w:t>
      </w:r>
    </w:p>
    <w:p w14:paraId="73CAD1F1" w14:textId="131102A6" w:rsidR="00C23B60" w:rsidRPr="00194E91" w:rsidRDefault="009F62A1" w:rsidP="000A24A6">
      <w:pPr>
        <w:pStyle w:val="Heading3"/>
        <w:rPr>
          <w:noProof/>
        </w:rPr>
      </w:pPr>
      <w:r>
        <w:rPr>
          <w:noProof/>
        </w:rPr>
        <w:t>Milník I</w:t>
      </w:r>
    </w:p>
    <w:p w14:paraId="25238302" w14:textId="52F17BB7" w:rsidR="009F62A1" w:rsidRPr="00194E91" w:rsidRDefault="006D01DC" w:rsidP="00194E91">
      <w:pPr>
        <w:jc w:val="both"/>
        <w:rPr>
          <w:rFonts w:ascii="Times New Roman" w:hAnsi="Times New Roman" w:cs="Times New Roman"/>
          <w:noProof/>
          <w:sz w:val="24"/>
          <w:szCs w:val="24"/>
        </w:rPr>
      </w:pPr>
      <w:r>
        <w:rPr>
          <w:rFonts w:ascii="Times New Roman" w:hAnsi="Times New Roman"/>
          <w:noProof/>
          <w:sz w:val="24"/>
        </w:rPr>
        <w:t xml:space="preserve">V milníku I jde o vymezení rozsahu skupiny výrobků. Podskupina nejprve rozhodne, které výrobky včetně kterých materiálů a zamýšlených použití v rámci skupiny výrobků by měly být zahrnuty do rozsahu práce v tomto pracovním cyklu (např. nemusí být harmonizovány všechny myslitelné výrobky, nemusí být aktualizovány všechny stávající harmonizované normy současně). Toto rozhodnutí musí schválit expertní skupina pro CPR </w:t>
      </w:r>
      <w:r>
        <w:rPr>
          <w:rFonts w:ascii="Times New Roman" w:hAnsi="Times New Roman"/>
          <w:i/>
          <w:noProof/>
          <w:sz w:val="24"/>
        </w:rPr>
        <w:t>acquis</w:t>
      </w:r>
      <w:r>
        <w:rPr>
          <w:rFonts w:ascii="Times New Roman" w:hAnsi="Times New Roman"/>
          <w:noProof/>
          <w:sz w:val="24"/>
        </w:rPr>
        <w:t xml:space="preserve">. </w:t>
      </w:r>
    </w:p>
    <w:p w14:paraId="4D62923F" w14:textId="77777777" w:rsidR="009330E4" w:rsidRPr="00194E91" w:rsidRDefault="009F62A1" w:rsidP="000A24A6">
      <w:pPr>
        <w:pStyle w:val="Heading3"/>
        <w:rPr>
          <w:noProof/>
        </w:rPr>
      </w:pPr>
      <w:r>
        <w:rPr>
          <w:noProof/>
        </w:rPr>
        <w:t>Milník II</w:t>
      </w:r>
    </w:p>
    <w:p w14:paraId="7D495161" w14:textId="4C674A48" w:rsidR="009F62A1" w:rsidRPr="00194E91" w:rsidRDefault="00693568" w:rsidP="00194E91">
      <w:pPr>
        <w:jc w:val="both"/>
        <w:rPr>
          <w:rFonts w:ascii="Times New Roman" w:hAnsi="Times New Roman" w:cs="Times New Roman"/>
          <w:noProof/>
          <w:sz w:val="24"/>
          <w:szCs w:val="24"/>
        </w:rPr>
      </w:pPr>
      <w:r>
        <w:rPr>
          <w:rFonts w:ascii="Times New Roman" w:hAnsi="Times New Roman"/>
          <w:noProof/>
          <w:sz w:val="24"/>
        </w:rPr>
        <w:t>V milníku II jde o vytvoření technických komisí podskupiny (je-li to relevantní). Pokud je definovaný rozsah v rámci milníku I široký a zahrnuje různorodé výrobky, mohou účastníci podskupiny rozdělit práci do několika technických komisí (pracovních skupin v rámci podskupiny).</w:t>
      </w:r>
    </w:p>
    <w:p w14:paraId="6F532665" w14:textId="3199937C" w:rsidR="009330E4" w:rsidRPr="00DD4746" w:rsidRDefault="00EE48CA" w:rsidP="004D187D">
      <w:pPr>
        <w:pStyle w:val="Heading3"/>
        <w:rPr>
          <w:noProof/>
        </w:rPr>
      </w:pPr>
      <w:r>
        <w:rPr>
          <w:noProof/>
        </w:rPr>
        <w:t>Milník III</w:t>
      </w:r>
    </w:p>
    <w:p w14:paraId="24D38674" w14:textId="340E9B2C" w:rsidR="00055D38" w:rsidRPr="00DD4746" w:rsidRDefault="00693568" w:rsidP="00DD4746">
      <w:pPr>
        <w:jc w:val="both"/>
        <w:rPr>
          <w:rFonts w:ascii="Times New Roman" w:hAnsi="Times New Roman" w:cs="Times New Roman"/>
          <w:noProof/>
          <w:sz w:val="24"/>
          <w:szCs w:val="24"/>
        </w:rPr>
      </w:pPr>
      <w:r>
        <w:rPr>
          <w:rFonts w:ascii="Times New Roman" w:hAnsi="Times New Roman"/>
          <w:noProof/>
          <w:sz w:val="24"/>
        </w:rPr>
        <w:t>V milníku III jde o vypracování technického obsahu (struktura harmonizovaných technických specifikací na vysoké úrovni) pro žádost o normalizaci a doprovodné akty v přenesené pravomoci. Jedná se o nejdůležitější milník, kde se odehrává hlavní práce. Na základě regulačních potřeb členských států, priorit Komise (např. souvisejících s Dohodou o čistém průmyslu nebo aktem o oběhovém hospodářství), podnětů průmyslu, spotřebitelů a dalších zúčastněných stran podskupina shromažďuje následující a usiluje o dosažení příslušné dohody:</w:t>
      </w:r>
    </w:p>
    <w:p w14:paraId="372A28BC" w14:textId="46EAB7DF" w:rsidR="009926EB" w:rsidRPr="00DD4746" w:rsidRDefault="009926EB" w:rsidP="00DF24CD">
      <w:pPr>
        <w:pStyle w:val="Point0letter"/>
        <w:rPr>
          <w:noProof/>
        </w:rPr>
      </w:pPr>
      <w:r>
        <w:rPr>
          <w:noProof/>
        </w:rPr>
        <w:t>základní požadavky na stavby (příloha I nařízení o stavebních výrobcích):</w:t>
      </w:r>
    </w:p>
    <w:p w14:paraId="67698478" w14:textId="3ED5CAA2" w:rsidR="009926EB" w:rsidRPr="00194E91" w:rsidRDefault="009926EB" w:rsidP="00DF24CD">
      <w:pPr>
        <w:pStyle w:val="Point3number"/>
        <w:ind w:left="1418"/>
        <w:rPr>
          <w:noProof/>
        </w:rPr>
      </w:pPr>
      <w:r>
        <w:rPr>
          <w:noProof/>
        </w:rPr>
        <w:t>základní charakteristiky, včetně určení prahových hodnot a tříd vlastností, metody posuzování;</w:t>
      </w:r>
    </w:p>
    <w:p w14:paraId="560BD712" w14:textId="59605C9A" w:rsidR="009926EB" w:rsidRPr="00194E91" w:rsidRDefault="009926EB" w:rsidP="000A24A6">
      <w:pPr>
        <w:pStyle w:val="Point3number"/>
        <w:ind w:left="1418"/>
        <w:rPr>
          <w:noProof/>
        </w:rPr>
      </w:pPr>
      <w:r>
        <w:rPr>
          <w:noProof/>
        </w:rPr>
        <w:t>dokumentace výrobku a/nebo výpočet pro vyjádření konstrukčních vlastností (je-li to relevantní);</w:t>
      </w:r>
    </w:p>
    <w:p w14:paraId="1F46A176" w14:textId="0B0201A4" w:rsidR="009926EB" w:rsidRPr="00194E91" w:rsidRDefault="009926EB" w:rsidP="000A24A6">
      <w:pPr>
        <w:pStyle w:val="Point3number"/>
        <w:ind w:left="1418"/>
        <w:rPr>
          <w:noProof/>
        </w:rPr>
      </w:pPr>
      <w:r>
        <w:rPr>
          <w:noProof/>
        </w:rPr>
        <w:t>ustanovení o posuzování a ověřování a kontroly řízení výroby;</w:t>
      </w:r>
    </w:p>
    <w:p w14:paraId="73ACF020" w14:textId="200EBA28" w:rsidR="009926EB" w:rsidRPr="00194E91" w:rsidRDefault="003448DA" w:rsidP="000A24A6">
      <w:pPr>
        <w:pStyle w:val="Point3number"/>
        <w:ind w:left="1418"/>
        <w:rPr>
          <w:noProof/>
        </w:rPr>
      </w:pPr>
      <w:r>
        <w:rPr>
          <w:noProof/>
        </w:rPr>
        <w:t>nesrovnalosti ve vnitrostátních stavebních předpisech nebo jejich nesoulad;</w:t>
      </w:r>
    </w:p>
    <w:p w14:paraId="4C84E7AC" w14:textId="4779AFEA" w:rsidR="009926EB" w:rsidRPr="00194E91" w:rsidRDefault="009926EB" w:rsidP="00194E91">
      <w:pPr>
        <w:pStyle w:val="Point0letter"/>
        <w:rPr>
          <w:noProof/>
        </w:rPr>
      </w:pPr>
      <w:r>
        <w:rPr>
          <w:noProof/>
        </w:rPr>
        <w:t>předem stanovené základní environmentální charakteristiky (příloha II nařízení o stavebních výrobcích);</w:t>
      </w:r>
    </w:p>
    <w:p w14:paraId="21B888A1" w14:textId="225E8F75" w:rsidR="009926EB" w:rsidRPr="00194E91" w:rsidRDefault="009926EB" w:rsidP="00194E91">
      <w:pPr>
        <w:pStyle w:val="Point0letter"/>
        <w:rPr>
          <w:noProof/>
        </w:rPr>
      </w:pPr>
      <w:r>
        <w:rPr>
          <w:noProof/>
        </w:rPr>
        <w:t>základní informace o výrobku, návod k použití a bezpečnostní informace (příloha IV nařízení o stavebních výrobcích);</w:t>
      </w:r>
    </w:p>
    <w:p w14:paraId="3F5E457B" w14:textId="1E91CF9A" w:rsidR="009926EB" w:rsidRPr="00194E91" w:rsidRDefault="009926EB" w:rsidP="00194E91">
      <w:pPr>
        <w:pStyle w:val="Point0letter"/>
        <w:rPr>
          <w:noProof/>
        </w:rPr>
      </w:pPr>
      <w:r>
        <w:rPr>
          <w:noProof/>
        </w:rPr>
        <w:t>požadavky na výrobky (příloha III nařízení o stavebních výrobcích):</w:t>
      </w:r>
    </w:p>
    <w:p w14:paraId="1E9C53FB" w14:textId="17188F99" w:rsidR="009926EB" w:rsidRPr="00194E91" w:rsidRDefault="009926EB" w:rsidP="000A24A6">
      <w:pPr>
        <w:pStyle w:val="Point3number"/>
        <w:ind w:left="1418"/>
        <w:rPr>
          <w:noProof/>
        </w:rPr>
      </w:pPr>
      <w:r>
        <w:rPr>
          <w:noProof/>
        </w:rPr>
        <w:t>požadavky zajišťující odpovídající fungování a vlastnosti výrobků;</w:t>
      </w:r>
    </w:p>
    <w:p w14:paraId="6E4E84EB" w14:textId="20B2411D" w:rsidR="009926EB" w:rsidRPr="00194E91" w:rsidRDefault="00355E60" w:rsidP="000A24A6">
      <w:pPr>
        <w:pStyle w:val="Point3number"/>
        <w:ind w:left="1418"/>
        <w:rPr>
          <w:noProof/>
        </w:rPr>
      </w:pPr>
      <w:r>
        <w:rPr>
          <w:noProof/>
        </w:rPr>
        <w:t>požadavky na bezpečnost výrobku;</w:t>
      </w:r>
    </w:p>
    <w:p w14:paraId="554E292D" w14:textId="7178C58E" w:rsidR="009926EB" w:rsidRPr="00194E91" w:rsidRDefault="00355E60" w:rsidP="000A24A6">
      <w:pPr>
        <w:pStyle w:val="Point3number"/>
        <w:ind w:left="1418"/>
        <w:rPr>
          <w:noProof/>
        </w:rPr>
      </w:pPr>
      <w:r>
        <w:rPr>
          <w:noProof/>
        </w:rPr>
        <w:t>požadavky na environmentální aspekty výrobku;</w:t>
      </w:r>
    </w:p>
    <w:p w14:paraId="328E7C4A" w14:textId="37C347B8" w:rsidR="009926EB" w:rsidRPr="00194E91" w:rsidRDefault="009926EB" w:rsidP="00194E91">
      <w:pPr>
        <w:pStyle w:val="Point0letter"/>
        <w:rPr>
          <w:noProof/>
        </w:rPr>
      </w:pPr>
      <w:r>
        <w:rPr>
          <w:noProof/>
        </w:rPr>
        <w:t>použitelné systémy posuzování a ověřování (příloha IX nařízení o stavebních výrobcích).</w:t>
      </w:r>
    </w:p>
    <w:p w14:paraId="4C67256D" w14:textId="3AF0CFCF" w:rsidR="00B62699" w:rsidRPr="00DD4746" w:rsidRDefault="59F514CE" w:rsidP="00DD4746">
      <w:pPr>
        <w:jc w:val="both"/>
        <w:rPr>
          <w:rFonts w:ascii="Times New Roman" w:hAnsi="Times New Roman" w:cs="Times New Roman"/>
          <w:noProof/>
          <w:sz w:val="24"/>
          <w:szCs w:val="24"/>
        </w:rPr>
      </w:pPr>
      <w:r>
        <w:rPr>
          <w:rFonts w:ascii="Times New Roman" w:hAnsi="Times New Roman"/>
          <w:noProof/>
          <w:sz w:val="24"/>
        </w:rPr>
        <w:t xml:space="preserve">Podskupina ověří, zda výsledek práce dostatečně odráží vnitrostátní regulační potřeby. Výsledek milníku III bude předložen expertní skupině pro CPR </w:t>
      </w:r>
      <w:r>
        <w:rPr>
          <w:rFonts w:ascii="Times New Roman" w:hAnsi="Times New Roman"/>
          <w:i/>
          <w:noProof/>
          <w:sz w:val="24"/>
        </w:rPr>
        <w:t>acquis</w:t>
      </w:r>
      <w:r>
        <w:rPr>
          <w:rFonts w:ascii="Times New Roman" w:hAnsi="Times New Roman"/>
          <w:noProof/>
          <w:sz w:val="24"/>
        </w:rPr>
        <w:t xml:space="preserve">. </w:t>
      </w:r>
    </w:p>
    <w:p w14:paraId="2C265518" w14:textId="43611D6D" w:rsidR="00276B16" w:rsidRPr="00DD4746" w:rsidRDefault="002649F4" w:rsidP="004D187D">
      <w:pPr>
        <w:pStyle w:val="Heading3"/>
        <w:rPr>
          <w:noProof/>
        </w:rPr>
      </w:pPr>
      <w:r>
        <w:rPr>
          <w:noProof/>
        </w:rPr>
        <w:t xml:space="preserve">Milník IV </w:t>
      </w:r>
    </w:p>
    <w:p w14:paraId="3AEC2834" w14:textId="0C6741E9" w:rsidR="00CF5BAE" w:rsidRPr="00DD4746" w:rsidRDefault="00EC325F" w:rsidP="00DD4746">
      <w:pPr>
        <w:jc w:val="both"/>
        <w:rPr>
          <w:rFonts w:ascii="Times New Roman" w:hAnsi="Times New Roman" w:cs="Times New Roman"/>
          <w:noProof/>
          <w:sz w:val="24"/>
          <w:szCs w:val="24"/>
        </w:rPr>
      </w:pPr>
      <w:r>
        <w:rPr>
          <w:rFonts w:ascii="Times New Roman" w:hAnsi="Times New Roman"/>
          <w:noProof/>
          <w:sz w:val="24"/>
        </w:rPr>
        <w:t>V milníku IV jde o závěrečný proces přijetí žádosti o normalizaci, pokud jde o harmonizované normy pro vlastnosti a dalších právních aktů, které s nimi souvisejí (např. třídy, prahové hodnoty, povinná prohlášení nebo označení).</w:t>
      </w:r>
    </w:p>
    <w:p w14:paraId="419710F1" w14:textId="09BAFFBB" w:rsidR="002649F4" w:rsidRPr="00DD4746" w:rsidRDefault="007672E6" w:rsidP="00DD4746">
      <w:pPr>
        <w:jc w:val="both"/>
        <w:rPr>
          <w:rFonts w:ascii="Times New Roman" w:hAnsi="Times New Roman" w:cs="Times New Roman"/>
          <w:noProof/>
          <w:sz w:val="24"/>
          <w:szCs w:val="24"/>
        </w:rPr>
      </w:pPr>
      <w:r>
        <w:rPr>
          <w:rFonts w:ascii="Times New Roman" w:hAnsi="Times New Roman"/>
          <w:noProof/>
          <w:sz w:val="24"/>
        </w:rPr>
        <w:t xml:space="preserve">Po schválení milníku III expertní skupinou pro CPR </w:t>
      </w:r>
      <w:r>
        <w:rPr>
          <w:rFonts w:ascii="Times New Roman" w:hAnsi="Times New Roman"/>
          <w:i/>
          <w:noProof/>
          <w:sz w:val="24"/>
        </w:rPr>
        <w:t>acquis</w:t>
      </w:r>
      <w:r>
        <w:rPr>
          <w:rFonts w:ascii="Times New Roman" w:hAnsi="Times New Roman"/>
          <w:noProof/>
          <w:sz w:val="24"/>
        </w:rPr>
        <w:t xml:space="preserve"> vypracuje Komise návrh příslušné žádosti o normalizaci (prováděcí akt s přezkumným postupem podle nařízení o normalizaci)</w:t>
      </w:r>
      <w:r>
        <w:rPr>
          <w:rStyle w:val="FootnoteReference"/>
          <w:rFonts w:ascii="Times New Roman" w:hAnsi="Times New Roman" w:cs="Times New Roman"/>
          <w:noProof/>
          <w:sz w:val="24"/>
          <w:szCs w:val="24"/>
        </w:rPr>
        <w:footnoteReference w:id="15"/>
      </w:r>
      <w:r>
        <w:rPr>
          <w:rFonts w:ascii="Times New Roman" w:hAnsi="Times New Roman"/>
          <w:noProof/>
          <w:sz w:val="24"/>
        </w:rPr>
        <w:t xml:space="preserve"> na základě dokumentu milníku III. Po konzultaci s expertní skupinou pro CPR </w:t>
      </w:r>
      <w:r>
        <w:rPr>
          <w:rFonts w:ascii="Times New Roman" w:hAnsi="Times New Roman"/>
          <w:i/>
          <w:noProof/>
          <w:sz w:val="24"/>
        </w:rPr>
        <w:t>acquis</w:t>
      </w:r>
      <w:r>
        <w:rPr>
          <w:rFonts w:ascii="Times New Roman" w:hAnsi="Times New Roman"/>
          <w:noProof/>
          <w:sz w:val="24"/>
        </w:rPr>
        <w:t xml:space="preserve"> Komise formálně předloží žádost o normalizaci Výboru pro normy</w:t>
      </w:r>
      <w:r>
        <w:rPr>
          <w:rFonts w:ascii="Times New Roman" w:hAnsi="Times New Roman" w:cs="Times New Roman"/>
          <w:noProof/>
          <w:sz w:val="24"/>
          <w:szCs w:val="24"/>
          <w:vertAlign w:val="superscript"/>
        </w:rPr>
        <w:footnoteReference w:id="16"/>
      </w:r>
      <w:r>
        <w:rPr>
          <w:rFonts w:ascii="Times New Roman" w:hAnsi="Times New Roman"/>
          <w:noProof/>
          <w:sz w:val="24"/>
        </w:rPr>
        <w:t xml:space="preserve"> a po kladném hlasování členských států ji přijme. </w:t>
      </w:r>
    </w:p>
    <w:p w14:paraId="3E7DDBB4" w14:textId="34BAD7DD" w:rsidR="00FB36E5" w:rsidRPr="00DD4746" w:rsidRDefault="00FB36E5" w:rsidP="00DD4746">
      <w:pPr>
        <w:jc w:val="both"/>
        <w:rPr>
          <w:rFonts w:ascii="Times New Roman" w:hAnsi="Times New Roman" w:cs="Times New Roman"/>
          <w:noProof/>
          <w:sz w:val="24"/>
          <w:szCs w:val="24"/>
        </w:rPr>
      </w:pPr>
      <w:r>
        <w:rPr>
          <w:rFonts w:ascii="Times New Roman" w:hAnsi="Times New Roman"/>
          <w:noProof/>
          <w:sz w:val="24"/>
        </w:rPr>
        <w:t xml:space="preserve">V rámci milníku III může být rovněž identifikována potřeba stanovit požadavky na výrobek. V takovém případě Komise přijme akt v přenesené pravomoci, kterým stanoví požadavky na výrobek, poté co učiní příslušnou harmonizovanou normu pro vlastnosti závaznou (viz oddíl </w:t>
      </w:r>
      <w:r>
        <w:rPr>
          <w:rFonts w:ascii="Times New Roman" w:hAnsi="Times New Roman" w:cs="Times New Roman"/>
          <w:noProof/>
          <w:sz w:val="24"/>
        </w:rPr>
        <w:fldChar w:fldCharType="begin"/>
      </w:r>
      <w:r>
        <w:rPr>
          <w:rFonts w:ascii="Times New Roman" w:hAnsi="Times New Roman" w:cs="Times New Roman"/>
          <w:noProof/>
          <w:sz w:val="24"/>
        </w:rPr>
        <w:instrText xml:space="preserve"> REF _Ref208567217 \r \h  \* MERGEFORMAT </w:instrText>
      </w:r>
      <w:r>
        <w:rPr>
          <w:rFonts w:ascii="Times New Roman" w:hAnsi="Times New Roman" w:cs="Times New Roman"/>
          <w:noProof/>
          <w:sz w:val="24"/>
        </w:rPr>
      </w:r>
      <w:r>
        <w:rPr>
          <w:rFonts w:ascii="Times New Roman" w:hAnsi="Times New Roman" w:cs="Times New Roman"/>
          <w:noProof/>
          <w:sz w:val="24"/>
        </w:rPr>
        <w:fldChar w:fldCharType="separate"/>
      </w:r>
      <w:r>
        <w:rPr>
          <w:rFonts w:ascii="Times New Roman" w:hAnsi="Times New Roman" w:cs="Times New Roman"/>
          <w:noProof/>
          <w:sz w:val="24"/>
        </w:rPr>
        <w:t>1.3.8</w:t>
      </w:r>
      <w:r>
        <w:rPr>
          <w:rFonts w:ascii="Times New Roman" w:hAnsi="Times New Roman" w:cs="Times New Roman"/>
          <w:noProof/>
          <w:sz w:val="24"/>
        </w:rPr>
        <w:fldChar w:fldCharType="end"/>
      </w:r>
      <w:r>
        <w:rPr>
          <w:rFonts w:ascii="Times New Roman" w:hAnsi="Times New Roman"/>
          <w:noProof/>
          <w:sz w:val="24"/>
        </w:rPr>
        <w:t>), a v případě potřeby vydá samostatnou žádost o normalizaci, pokud jde o vypracování (dobrovolných) harmonizovaných norem, aby byl založen předpoklad shody s požadavky na výrobek.</w:t>
      </w:r>
    </w:p>
    <w:p w14:paraId="4E991356" w14:textId="65F15B6F" w:rsidR="00BB73BB" w:rsidRPr="00DD4746" w:rsidRDefault="00BB73BB" w:rsidP="00BB73BB">
      <w:pPr>
        <w:pStyle w:val="Heading3"/>
        <w:rPr>
          <w:noProof/>
        </w:rPr>
      </w:pPr>
      <w:r>
        <w:rPr>
          <w:noProof/>
        </w:rPr>
        <w:t>Vypracování harmonizované normy pro vlastnosti</w:t>
      </w:r>
    </w:p>
    <w:p w14:paraId="4E249AB5" w14:textId="18400663" w:rsidR="00ED3927" w:rsidRPr="00DD4746" w:rsidRDefault="008C79BA" w:rsidP="00DD4746">
      <w:pPr>
        <w:jc w:val="both"/>
        <w:rPr>
          <w:rFonts w:ascii="Times New Roman" w:hAnsi="Times New Roman" w:cs="Times New Roman"/>
          <w:noProof/>
          <w:sz w:val="24"/>
          <w:szCs w:val="24"/>
        </w:rPr>
      </w:pPr>
      <w:r>
        <w:rPr>
          <w:rFonts w:ascii="Times New Roman" w:hAnsi="Times New Roman"/>
          <w:noProof/>
          <w:sz w:val="24"/>
        </w:rPr>
        <w:t xml:space="preserve">Přijaté žádosti o normalizaci se předloží k přijetí příslušné normalizační organizaci (obvykle CEN, ale v případě elektrických výrobků, jako jsou kabely, to může být i CENELEC). Normalizační organizace normy přijme, připraví, zveřejní a předloží Komisi ke kontrole. Pro zajištění včasného vypracování se práce řídí lhůtami definovanými v žádosti o normalizaci. </w:t>
      </w:r>
    </w:p>
    <w:p w14:paraId="638E55E1" w14:textId="2B5CA802" w:rsidR="00274CDD" w:rsidRPr="00DD4746" w:rsidRDefault="00274CDD" w:rsidP="00274CDD">
      <w:pPr>
        <w:pStyle w:val="Heading3"/>
        <w:rPr>
          <w:noProof/>
        </w:rPr>
      </w:pPr>
      <w:bookmarkStart w:id="2" w:name="_Ref208567217"/>
      <w:r>
        <w:rPr>
          <w:noProof/>
        </w:rPr>
        <w:t>Zavedení závazné normy</w:t>
      </w:r>
      <w:bookmarkEnd w:id="2"/>
    </w:p>
    <w:p w14:paraId="3AC127C3" w14:textId="3DB780F0" w:rsidR="00451A4D" w:rsidRPr="00DD4746" w:rsidRDefault="00747690" w:rsidP="00DD4746">
      <w:pPr>
        <w:jc w:val="both"/>
        <w:rPr>
          <w:rFonts w:ascii="Times New Roman" w:hAnsi="Times New Roman" w:cs="Times New Roman"/>
          <w:noProof/>
          <w:sz w:val="24"/>
          <w:szCs w:val="24"/>
        </w:rPr>
      </w:pPr>
      <w:r>
        <w:rPr>
          <w:rFonts w:ascii="Times New Roman" w:hAnsi="Times New Roman"/>
          <w:noProof/>
          <w:sz w:val="24"/>
        </w:rPr>
        <w:t>Komise zkontroluje, zda jsou normy v souladu se žádostí o normalizaci a ve shodě s evropským právním rámcem, a poté přijme poradním postupem prováděcí akt, který učiní normu závaznou. Současně Komise přijme akt v přenesené pravomoci, kterým schválí příslušné třídy, prahové hodnoty a povinná prohlášení obsažené v normách, které vstoupí v platnost současně s prováděcím aktem.</w:t>
      </w:r>
    </w:p>
    <w:p w14:paraId="57C42EEC" w14:textId="77777777" w:rsidR="00626BE3" w:rsidRPr="00DD4746" w:rsidRDefault="00626BE3" w:rsidP="00C5300B">
      <w:pPr>
        <w:pStyle w:val="Heading2"/>
        <w:rPr>
          <w:noProof/>
        </w:rPr>
      </w:pPr>
      <w:bookmarkStart w:id="3" w:name="_Ref207212189"/>
      <w:r>
        <w:rPr>
          <w:noProof/>
        </w:rPr>
        <w:t>Práce na CPR</w:t>
      </w:r>
      <w:r>
        <w:rPr>
          <w:i/>
          <w:noProof/>
        </w:rPr>
        <w:t xml:space="preserve"> acquis</w:t>
      </w:r>
      <w:r>
        <w:rPr>
          <w:noProof/>
        </w:rPr>
        <w:t xml:space="preserve"> u skupin výrobků v období 2020–2025</w:t>
      </w:r>
      <w:bookmarkEnd w:id="3"/>
    </w:p>
    <w:p w14:paraId="40051B9B" w14:textId="53B2183F" w:rsidR="003B25E3" w:rsidRPr="00194E91" w:rsidRDefault="00626BE3" w:rsidP="00194E91">
      <w:pPr>
        <w:jc w:val="both"/>
        <w:rPr>
          <w:rFonts w:ascii="Times New Roman" w:hAnsi="Times New Roman" w:cs="Times New Roman"/>
          <w:noProof/>
          <w:sz w:val="24"/>
          <w:szCs w:val="24"/>
        </w:rPr>
      </w:pPr>
      <w:r>
        <w:rPr>
          <w:rFonts w:ascii="Times New Roman" w:hAnsi="Times New Roman"/>
          <w:noProof/>
          <w:sz w:val="24"/>
        </w:rPr>
        <w:t>Od roku 2020 do prvního čtvrtletí roku 2025 byla zahájena práce ve čtrnácti podskupinách zabývajících se skupinami výrobků. Bylo rozhodnuto sloučit pracovní činnosti zabývající se výrobky a prvky z konstrukčního dřeva a doplňky (skupina výrobků 13) a panely a prvky na bázi dřeva (skupina výrobků 14). Na základě této práce Komise dosud přijala tři žádosti o normalizaci týkající se 21 harmonizovaných norem, čtyř podpůrných norem a jedné technické zprávy (první dvě stále podle nařízení o stavebních výrobcích z roku 2011):</w:t>
      </w:r>
    </w:p>
    <w:p w14:paraId="29A8CADB" w14:textId="62E14FCF" w:rsidR="00626BE3" w:rsidRPr="00194E91" w:rsidRDefault="003B25E3"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Prefabrikované výrobky z obyčejného/lehkého betonu a autoklávovaného pórobetonu (skupina výrobků 1)</w:t>
      </w:r>
      <w:r>
        <w:rPr>
          <w:rStyle w:val="FootnoteReference"/>
          <w:rFonts w:ascii="Times New Roman" w:hAnsi="Times New Roman" w:cs="Times New Roman"/>
          <w:noProof/>
          <w:sz w:val="24"/>
          <w:szCs w:val="24"/>
        </w:rPr>
        <w:footnoteReference w:id="17"/>
      </w:r>
    </w:p>
    <w:p w14:paraId="108C12BF" w14:textId="3A34B2F9" w:rsidR="003B25E3" w:rsidRPr="00194E91" w:rsidRDefault="00296E01"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Konstrukční kovové výrobky a doplňky (skupina výrobků 20)</w:t>
      </w:r>
      <w:r>
        <w:rPr>
          <w:rStyle w:val="FootnoteReference"/>
          <w:rFonts w:ascii="Times New Roman" w:hAnsi="Times New Roman" w:cs="Times New Roman"/>
          <w:noProof/>
          <w:sz w:val="24"/>
          <w:szCs w:val="24"/>
        </w:rPr>
        <w:footnoteReference w:id="18"/>
      </w:r>
    </w:p>
    <w:p w14:paraId="3C1C5C03" w14:textId="3CD058D3" w:rsidR="00296E01" w:rsidRPr="00194E91" w:rsidRDefault="00296E01"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Cement, stavební vápna a jiná hydraulická pojiva (skupina výrobků 15)</w:t>
      </w:r>
      <w:r>
        <w:rPr>
          <w:rStyle w:val="FootnoteReference"/>
          <w:rFonts w:ascii="Times New Roman" w:hAnsi="Times New Roman" w:cs="Times New Roman"/>
          <w:noProof/>
          <w:sz w:val="24"/>
          <w:szCs w:val="24"/>
        </w:rPr>
        <w:footnoteReference w:id="19"/>
      </w:r>
    </w:p>
    <w:p w14:paraId="38856A47" w14:textId="725913BB" w:rsidR="00503AF2" w:rsidRPr="00194E91" w:rsidRDefault="001528DD" w:rsidP="00194E91">
      <w:pPr>
        <w:jc w:val="both"/>
        <w:rPr>
          <w:rFonts w:ascii="Times New Roman" w:hAnsi="Times New Roman" w:cs="Times New Roman"/>
          <w:noProof/>
          <w:sz w:val="24"/>
          <w:szCs w:val="24"/>
        </w:rPr>
      </w:pPr>
      <w:r>
        <w:rPr>
          <w:rFonts w:ascii="Times New Roman" w:hAnsi="Times New Roman"/>
          <w:noProof/>
          <w:sz w:val="24"/>
        </w:rPr>
        <w:t>V současné době se připravují další čtyři žádosti o normalizaci:</w:t>
      </w:r>
    </w:p>
    <w:p w14:paraId="1E66CAA7" w14:textId="77777777" w:rsidR="00503AF2" w:rsidRPr="00194E91" w:rsidRDefault="00503AF2"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Výztužná a předpínací betonářská ocel (a doplňky) – předpínací sestavy (skupina výrobků 16)</w:t>
      </w:r>
    </w:p>
    <w:p w14:paraId="5D0EE620" w14:textId="7EBB9F1C" w:rsidR="007647E8" w:rsidRPr="00194E91" w:rsidRDefault="002A3643"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Dveře, okna, okenice, vrata a příslušné stavební kování (skupina výrobků 2)</w:t>
      </w:r>
    </w:p>
    <w:p w14:paraId="7614F337" w14:textId="53855729" w:rsidR="001528DD" w:rsidRPr="00194E91" w:rsidRDefault="001528DD"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Tepelněizolační výrobky – kompozitní izolační sestavy nebo systémy (skupina výrobků 4)</w:t>
      </w:r>
    </w:p>
    <w:p w14:paraId="51666539" w14:textId="4385D33E" w:rsidR="002514D2" w:rsidRPr="00194E91" w:rsidRDefault="002514D2" w:rsidP="006D2C33">
      <w:pPr>
        <w:pStyle w:val="ListParagraph"/>
        <w:numPr>
          <w:ilvl w:val="0"/>
          <w:numId w:val="20"/>
        </w:numPr>
        <w:jc w:val="both"/>
        <w:rPr>
          <w:rFonts w:ascii="Times New Roman" w:hAnsi="Times New Roman" w:cs="Times New Roman"/>
          <w:noProof/>
          <w:sz w:val="24"/>
          <w:szCs w:val="24"/>
        </w:rPr>
      </w:pPr>
      <w:r>
        <w:rPr>
          <w:rFonts w:ascii="Times New Roman" w:hAnsi="Times New Roman"/>
          <w:noProof/>
          <w:sz w:val="24"/>
        </w:rPr>
        <w:t>Výrobky z plochého skla, profilovaného skla a skleněných tvárnic (skupina výrobků 30).</w:t>
      </w:r>
    </w:p>
    <w:p w14:paraId="7871EDE0" w14:textId="26351D8E" w:rsidR="00D94C8A" w:rsidRPr="00DD4746" w:rsidRDefault="00D94C8A" w:rsidP="00C5300B">
      <w:pPr>
        <w:pStyle w:val="Heading1"/>
        <w:rPr>
          <w:noProof/>
        </w:rPr>
      </w:pPr>
      <w:r>
        <w:rPr>
          <w:noProof/>
        </w:rPr>
        <w:t>Metodika a stanovení priorit pro pracovní plán podle nařízení o stavebních výrobcích</w:t>
      </w:r>
    </w:p>
    <w:p w14:paraId="31F8050A" w14:textId="00079723" w:rsidR="00694AF7" w:rsidRPr="00194E91" w:rsidRDefault="00694AF7" w:rsidP="00194E91">
      <w:pPr>
        <w:jc w:val="both"/>
        <w:rPr>
          <w:rFonts w:ascii="Times New Roman" w:hAnsi="Times New Roman" w:cs="Times New Roman"/>
          <w:noProof/>
          <w:sz w:val="24"/>
          <w:szCs w:val="24"/>
        </w:rPr>
      </w:pPr>
      <w:r>
        <w:rPr>
          <w:rFonts w:ascii="Times New Roman" w:hAnsi="Times New Roman"/>
          <w:noProof/>
          <w:sz w:val="24"/>
        </w:rPr>
        <w:t>V ustanovení čl. 4 odst. 2 nařízení o stavebních výrobcích se uvádí, že „Komise stanoví seznam priorit pracovního plánu na základě transparentní a vyvážené metodiky, kterou spolu s pracovním plánem zveřejní. Tato metodika zohlední alespoň regulační potřeby členských států, otázky bezpečnosti stavebních prací a výrobků a cíle Unie v oblasti klimatu a oběhového hospodářství.“</w:t>
      </w:r>
    </w:p>
    <w:p w14:paraId="080E7CCA" w14:textId="78F79BC5" w:rsidR="005C3B05" w:rsidRPr="00194E91" w:rsidRDefault="005C3B05" w:rsidP="00194E91">
      <w:pPr>
        <w:pStyle w:val="Text1"/>
        <w:ind w:left="0"/>
        <w:rPr>
          <w:noProof/>
          <w:szCs w:val="24"/>
        </w:rPr>
      </w:pPr>
      <w:r>
        <w:rPr>
          <w:noProof/>
        </w:rPr>
        <w:t>Pracovní plán podle nařízení o stavebních výrobcích se řídí podobným přístupem jako pracovní plán</w:t>
      </w:r>
      <w:r>
        <w:rPr>
          <w:rStyle w:val="FootnoteReference"/>
          <w:noProof/>
          <w:szCs w:val="24"/>
        </w:rPr>
        <w:footnoteReference w:id="20"/>
      </w:r>
      <w:r>
        <w:rPr>
          <w:noProof/>
        </w:rPr>
        <w:t xml:space="preserve"> podle nařízení o ekodesignu udržitelných výrobků</w:t>
      </w:r>
      <w:r>
        <w:rPr>
          <w:rStyle w:val="FootnoteReference"/>
          <w:noProof/>
          <w:szCs w:val="24"/>
        </w:rPr>
        <w:footnoteReference w:id="21"/>
      </w:r>
      <w:r>
        <w:rPr>
          <w:noProof/>
        </w:rPr>
        <w:t xml:space="preserve">. Hlavní rozdíl je však v obsahu: Pracovní plán podle nařízení o stavebních výrobcích stanoví především časový harmonogram vypracování nových harmonizovaných technických specifikací pro všechny skupiny výrobků uvedené v příloze VII nařízení o stavebních výrobcích. Teprve během práce v konkrétních podskupinách expertní skupiny pro CPR </w:t>
      </w:r>
      <w:r>
        <w:rPr>
          <w:i/>
          <w:noProof/>
        </w:rPr>
        <w:t>acquis</w:t>
      </w:r>
      <w:r>
        <w:rPr>
          <w:noProof/>
        </w:rPr>
        <w:t xml:space="preserve"> týkající se příslušných skupin výrobků bude určeno a rozhodnuto, které výrobky, základní charakteristiky, třídy, prahové hodnoty, požadavky na výrobky, označení, informace o výrobcích atd. by měly být regulovány.  </w:t>
      </w:r>
    </w:p>
    <w:p w14:paraId="2ED5F952" w14:textId="77777777" w:rsidR="005C3B05" w:rsidRPr="00194E91" w:rsidRDefault="005C3B05" w:rsidP="00194E91">
      <w:pPr>
        <w:pStyle w:val="Text1"/>
        <w:ind w:left="0"/>
        <w:rPr>
          <w:noProof/>
          <w:szCs w:val="24"/>
        </w:rPr>
      </w:pPr>
      <w:r>
        <w:rPr>
          <w:noProof/>
        </w:rPr>
        <w:t xml:space="preserve">Požadovaná transparentní a vyvážená metodika se proto zaměřuje především na správné pořadí skupin výrobků, v nichž by měly být vypracovány nebo aktualizovány harmonizované technické specifikace. </w:t>
      </w:r>
    </w:p>
    <w:p w14:paraId="50A49E7C" w14:textId="1E0803C6" w:rsidR="007F45CD" w:rsidRPr="00194E91" w:rsidRDefault="00852368" w:rsidP="00194E91">
      <w:pPr>
        <w:jc w:val="both"/>
        <w:rPr>
          <w:rFonts w:ascii="Times New Roman" w:hAnsi="Times New Roman" w:cs="Times New Roman"/>
          <w:noProof/>
          <w:sz w:val="24"/>
          <w:szCs w:val="24"/>
        </w:rPr>
      </w:pPr>
      <w:r>
        <w:rPr>
          <w:rFonts w:ascii="Times New Roman" w:hAnsi="Times New Roman"/>
          <w:noProof/>
          <w:sz w:val="24"/>
        </w:rPr>
        <w:t>Hlavní součástí této metodiky je způsob, jak stanovit pořadí priorit pro zahájení práce následných podskupin. Výchozím bodem je pořadí stanovené v roce 2020</w:t>
      </w:r>
      <w:r>
        <w:rPr>
          <w:rStyle w:val="FootnoteReference"/>
          <w:rFonts w:ascii="Times New Roman" w:hAnsi="Times New Roman" w:cs="Times New Roman"/>
          <w:noProof/>
          <w:sz w:val="24"/>
          <w:szCs w:val="24"/>
        </w:rPr>
        <w:footnoteReference w:id="22"/>
      </w:r>
      <w:r>
        <w:rPr>
          <w:noProof/>
        </w:rPr>
        <w:t>.</w:t>
      </w:r>
      <w:r>
        <w:rPr>
          <w:rFonts w:ascii="Times New Roman" w:hAnsi="Times New Roman"/>
          <w:noProof/>
          <w:sz w:val="24"/>
        </w:rPr>
        <w:t xml:space="preserve"> To vycházelo z konzultací s členskými státy o jejich prioritách pro CPR </w:t>
      </w:r>
      <w:r>
        <w:rPr>
          <w:rFonts w:ascii="Times New Roman" w:hAnsi="Times New Roman"/>
          <w:i/>
          <w:noProof/>
          <w:sz w:val="24"/>
        </w:rPr>
        <w:t>acquis</w:t>
      </w:r>
      <w:r>
        <w:rPr>
          <w:rFonts w:ascii="Times New Roman" w:hAnsi="Times New Roman"/>
          <w:noProof/>
          <w:sz w:val="24"/>
        </w:rPr>
        <w:t xml:space="preserve"> podle nařízení o stavebních výrobcích z roku 2011. Členské státy byly požádány, aby uvedly pořadí, v jakém by měly být zahájeny práce na 34 skupinách výrobků. Výsledkem této konzultace je pořadí priorit</w:t>
      </w:r>
      <w:r>
        <w:rPr>
          <w:noProof/>
        </w:rPr>
        <w:t xml:space="preserve"> </w:t>
      </w:r>
      <w:r>
        <w:rPr>
          <w:rFonts w:ascii="Times New Roman" w:hAnsi="Times New Roman" w:cs="Times New Roman"/>
          <w:noProof/>
          <w:sz w:val="24"/>
        </w:rPr>
        <w:fldChar w:fldCharType="begin"/>
      </w:r>
      <w:r>
        <w:rPr>
          <w:rFonts w:ascii="Times New Roman" w:hAnsi="Times New Roman" w:cs="Times New Roman"/>
          <w:noProof/>
          <w:sz w:val="24"/>
        </w:rPr>
        <w:instrText xml:space="preserve"> REF _Ref156912439 \h  \* MERGEFORMAT </w:instrText>
      </w:r>
      <w:r>
        <w:rPr>
          <w:rFonts w:ascii="Times New Roman" w:hAnsi="Times New Roman" w:cs="Times New Roman"/>
          <w:noProof/>
          <w:sz w:val="24"/>
        </w:rPr>
      </w:r>
      <w:r>
        <w:rPr>
          <w:rFonts w:ascii="Times New Roman" w:hAnsi="Times New Roman" w:cs="Times New Roman"/>
          <w:noProof/>
          <w:sz w:val="24"/>
        </w:rPr>
        <w:fldChar w:fldCharType="end"/>
      </w:r>
      <w:r>
        <w:rPr>
          <w:rFonts w:ascii="Times New Roman" w:hAnsi="Times New Roman"/>
          <w:noProof/>
          <w:sz w:val="24"/>
        </w:rPr>
        <w:t xml:space="preserve"> na základě těchto osmi kritérií</w:t>
      </w:r>
      <w:r>
        <w:rPr>
          <w:rStyle w:val="FootnoteReference"/>
          <w:rFonts w:ascii="Times New Roman" w:hAnsi="Times New Roman" w:cs="Times New Roman"/>
          <w:noProof/>
          <w:sz w:val="24"/>
          <w:szCs w:val="24"/>
        </w:rPr>
        <w:footnoteReference w:id="23"/>
      </w:r>
      <w:r>
        <w:rPr>
          <w:noProof/>
        </w:rPr>
        <w:t>:</w:t>
      </w:r>
    </w:p>
    <w:p w14:paraId="5660D4E3" w14:textId="77777777" w:rsidR="007F45CD" w:rsidRPr="00194E91" w:rsidRDefault="007F45CD" w:rsidP="008269F8">
      <w:pPr>
        <w:pStyle w:val="Point0letter"/>
        <w:numPr>
          <w:ilvl w:val="1"/>
          <w:numId w:val="23"/>
        </w:numPr>
        <w:rPr>
          <w:noProof/>
        </w:rPr>
      </w:pPr>
      <w:r>
        <w:rPr>
          <w:noProof/>
        </w:rPr>
        <w:t>regulační potřeby členských států;</w:t>
      </w:r>
    </w:p>
    <w:p w14:paraId="5BD3DA23" w14:textId="77777777" w:rsidR="007F45CD" w:rsidRPr="00194E91" w:rsidRDefault="007F45CD" w:rsidP="008269F8">
      <w:pPr>
        <w:pStyle w:val="Point0letter"/>
        <w:numPr>
          <w:ilvl w:val="1"/>
          <w:numId w:val="23"/>
        </w:numPr>
        <w:rPr>
          <w:noProof/>
        </w:rPr>
      </w:pPr>
      <w:r>
        <w:rPr>
          <w:noProof/>
        </w:rPr>
        <w:t>bezpečnostní otázky související se základními požadavky na stavební práce;</w:t>
      </w:r>
    </w:p>
    <w:p w14:paraId="69644A1A" w14:textId="77777777" w:rsidR="007F45CD" w:rsidRPr="00194E91" w:rsidRDefault="007F45CD" w:rsidP="008269F8">
      <w:pPr>
        <w:pStyle w:val="Point0letter"/>
        <w:numPr>
          <w:ilvl w:val="1"/>
          <w:numId w:val="23"/>
        </w:numPr>
        <w:rPr>
          <w:noProof/>
        </w:rPr>
      </w:pPr>
      <w:r>
        <w:rPr>
          <w:noProof/>
        </w:rPr>
        <w:t>inherentní bezpečnostní otázky týkající se stavebních výrobků;</w:t>
      </w:r>
    </w:p>
    <w:p w14:paraId="477BBC09" w14:textId="77777777" w:rsidR="007F45CD" w:rsidRPr="00194E91" w:rsidRDefault="007F45CD" w:rsidP="008269F8">
      <w:pPr>
        <w:pStyle w:val="Point0letter"/>
        <w:numPr>
          <w:ilvl w:val="1"/>
          <w:numId w:val="23"/>
        </w:numPr>
        <w:rPr>
          <w:noProof/>
        </w:rPr>
      </w:pPr>
      <w:r>
        <w:rPr>
          <w:noProof/>
        </w:rPr>
        <w:t>environmentální otázky včetně energie a udržitelnosti;</w:t>
      </w:r>
    </w:p>
    <w:p w14:paraId="70E97105" w14:textId="77777777" w:rsidR="007F45CD" w:rsidRPr="00194E91" w:rsidRDefault="007F45CD" w:rsidP="008269F8">
      <w:pPr>
        <w:pStyle w:val="Point0letter"/>
        <w:numPr>
          <w:ilvl w:val="1"/>
          <w:numId w:val="23"/>
        </w:numPr>
        <w:rPr>
          <w:noProof/>
        </w:rPr>
      </w:pPr>
      <w:r>
        <w:rPr>
          <w:noProof/>
        </w:rPr>
        <w:t>objem trhu EU;</w:t>
      </w:r>
    </w:p>
    <w:p w14:paraId="46A1BF28" w14:textId="77777777" w:rsidR="007F45CD" w:rsidRPr="00194E91" w:rsidRDefault="007F45CD" w:rsidP="008269F8">
      <w:pPr>
        <w:pStyle w:val="Point0letter"/>
        <w:numPr>
          <w:ilvl w:val="1"/>
          <w:numId w:val="23"/>
        </w:numPr>
        <w:rPr>
          <w:noProof/>
        </w:rPr>
      </w:pPr>
      <w:r>
        <w:rPr>
          <w:noProof/>
        </w:rPr>
        <w:t>přeshraniční obchod;</w:t>
      </w:r>
    </w:p>
    <w:p w14:paraId="462F4290" w14:textId="77777777" w:rsidR="007F45CD" w:rsidRPr="00194E91" w:rsidRDefault="007F45CD" w:rsidP="008269F8">
      <w:pPr>
        <w:pStyle w:val="Point0letter"/>
        <w:numPr>
          <w:ilvl w:val="1"/>
          <w:numId w:val="23"/>
        </w:numPr>
        <w:rPr>
          <w:noProof/>
        </w:rPr>
      </w:pPr>
      <w:r>
        <w:rPr>
          <w:noProof/>
        </w:rPr>
        <w:t>potenciální přeshraniční obchod a</w:t>
      </w:r>
    </w:p>
    <w:p w14:paraId="1E1970C5" w14:textId="77777777" w:rsidR="007F45CD" w:rsidRPr="00194E91" w:rsidRDefault="007F45CD" w:rsidP="005F7DA2">
      <w:pPr>
        <w:pStyle w:val="Point0letter"/>
        <w:numPr>
          <w:ilvl w:val="1"/>
          <w:numId w:val="23"/>
        </w:numPr>
        <w:spacing w:after="240"/>
        <w:ind w:left="357" w:hanging="357"/>
        <w:rPr>
          <w:noProof/>
        </w:rPr>
      </w:pPr>
      <w:r>
        <w:rPr>
          <w:noProof/>
        </w:rPr>
        <w:t>neúplnost nebo neexistence harmonizovaných norem.</w:t>
      </w:r>
    </w:p>
    <w:p w14:paraId="14416C48" w14:textId="35BCF304" w:rsidR="002457B2" w:rsidRPr="00194E91" w:rsidRDefault="002457B2" w:rsidP="002457B2">
      <w:pPr>
        <w:pStyle w:val="Caption"/>
        <w:keepNext/>
        <w:jc w:val="center"/>
        <w:rPr>
          <w:rFonts w:ascii="Times New Roman" w:hAnsi="Times New Roman" w:cs="Times New Roman"/>
          <w:b/>
          <w:bCs/>
          <w:i w:val="0"/>
          <w:iCs w:val="0"/>
          <w:noProof/>
          <w:color w:val="auto"/>
          <w:sz w:val="20"/>
          <w:szCs w:val="20"/>
        </w:rPr>
      </w:pPr>
      <w:bookmarkStart w:id="4" w:name="_Ref156912439"/>
      <w:r>
        <w:rPr>
          <w:rFonts w:ascii="Times New Roman" w:hAnsi="Times New Roman"/>
          <w:b/>
          <w:i w:val="0"/>
          <w:noProof/>
          <w:color w:val="auto"/>
          <w:sz w:val="20"/>
        </w:rPr>
        <w:t xml:space="preserve">Tabulka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1</w:t>
      </w:r>
      <w:r>
        <w:rPr>
          <w:rFonts w:ascii="Times New Roman" w:hAnsi="Times New Roman" w:cs="Times New Roman"/>
          <w:b/>
          <w:i w:val="0"/>
          <w:noProof/>
          <w:color w:val="auto"/>
          <w:sz w:val="20"/>
        </w:rPr>
        <w:fldChar w:fldCharType="end"/>
      </w:r>
      <w:bookmarkEnd w:id="4"/>
      <w:r>
        <w:rPr>
          <w:rFonts w:ascii="Times New Roman" w:hAnsi="Times New Roman"/>
          <w:b/>
          <w:i w:val="0"/>
          <w:noProof/>
          <w:color w:val="auto"/>
          <w:sz w:val="20"/>
        </w:rPr>
        <w:t xml:space="preserve"> – Původní seznam priorit, skupiny výrobků a pověření</w:t>
      </w:r>
      <w:r>
        <w:rPr>
          <w:rStyle w:val="FootnoteReference"/>
          <w:rFonts w:ascii="Times New Roman" w:hAnsi="Times New Roman" w:cs="Times New Roman"/>
          <w:b/>
          <w:bCs/>
          <w:i w:val="0"/>
          <w:iCs w:val="0"/>
          <w:noProof/>
          <w:color w:val="auto"/>
          <w:sz w:val="20"/>
          <w:szCs w:val="20"/>
        </w:rPr>
        <w:footnoteReference w:id="24"/>
      </w:r>
    </w:p>
    <w:tbl>
      <w:tblPr>
        <w:tblStyle w:val="TableGrid"/>
        <w:tblW w:w="0" w:type="auto"/>
        <w:tblLayout w:type="fixed"/>
        <w:tblLook w:val="04A0" w:firstRow="1" w:lastRow="0" w:firstColumn="1" w:lastColumn="0" w:noHBand="0" w:noVBand="1"/>
      </w:tblPr>
      <w:tblGrid>
        <w:gridCol w:w="993"/>
        <w:gridCol w:w="962"/>
        <w:gridCol w:w="4566"/>
        <w:gridCol w:w="2124"/>
        <w:gridCol w:w="715"/>
      </w:tblGrid>
      <w:tr w:rsidR="00C95F37" w:rsidRPr="00427899" w14:paraId="42DBD5E8" w14:textId="77777777" w:rsidTr="00E061B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93" w:type="dxa"/>
            <w:noWrap/>
            <w:hideMark/>
          </w:tcPr>
          <w:p w14:paraId="2CE3CF70" w14:textId="12871E62" w:rsidR="002457B2" w:rsidRPr="00427899" w:rsidRDefault="00D82957">
            <w:pPr>
              <w:spacing w:before="0" w:after="0"/>
              <w:jc w:val="center"/>
              <w:rPr>
                <w:rFonts w:ascii="Aptos Narrow" w:eastAsia="Times New Roman" w:hAnsi="Aptos Narrow" w:cs="Times New Roman"/>
                <w:noProof/>
                <w:color w:val="000000"/>
              </w:rPr>
            </w:pPr>
            <w:bookmarkStart w:id="5" w:name="_Product_requirements"/>
            <w:bookmarkStart w:id="6" w:name="_General_product_information,"/>
            <w:bookmarkStart w:id="7" w:name="_Annex_A_-"/>
            <w:bookmarkStart w:id="8" w:name="_Annex_B_-"/>
            <w:bookmarkStart w:id="9" w:name="_Annex_C_-"/>
            <w:bookmarkStart w:id="10" w:name="_Annex_D_-"/>
            <w:bookmarkEnd w:id="5"/>
            <w:bookmarkEnd w:id="6"/>
            <w:bookmarkEnd w:id="7"/>
            <w:bookmarkEnd w:id="8"/>
            <w:bookmarkEnd w:id="9"/>
            <w:bookmarkEnd w:id="10"/>
            <w:r>
              <w:rPr>
                <w:rFonts w:ascii="Aptos Narrow" w:hAnsi="Aptos Narrow"/>
                <w:noProof/>
                <w:color w:val="000000"/>
              </w:rPr>
              <w:t>Priorita 2020</w:t>
            </w:r>
          </w:p>
        </w:tc>
        <w:tc>
          <w:tcPr>
            <w:tcW w:w="962" w:type="dxa"/>
            <w:shd w:val="clear" w:color="auto" w:fill="034EA2" w:themeFill="text2"/>
            <w:noWrap/>
            <w:hideMark/>
          </w:tcPr>
          <w:p w14:paraId="3A99C7E4" w14:textId="3651766E" w:rsidR="002457B2" w:rsidRPr="00427899" w:rsidRDefault="00D82957">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Číslo skupiny výrobků</w:t>
            </w:r>
          </w:p>
        </w:tc>
        <w:tc>
          <w:tcPr>
            <w:tcW w:w="4566" w:type="dxa"/>
            <w:shd w:val="clear" w:color="auto" w:fill="034EA2" w:themeFill="text2"/>
            <w:noWrap/>
            <w:hideMark/>
          </w:tcPr>
          <w:p w14:paraId="38964541" w14:textId="77777777" w:rsidR="002457B2" w:rsidRPr="00427899" w:rsidRDefault="002457B2">
            <w:pPr>
              <w:spacing w:before="0"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Skupina výrobků</w:t>
            </w:r>
          </w:p>
        </w:tc>
        <w:tc>
          <w:tcPr>
            <w:tcW w:w="2124" w:type="dxa"/>
            <w:shd w:val="clear" w:color="auto" w:fill="034EA2" w:themeFill="text2"/>
          </w:tcPr>
          <w:p w14:paraId="77EB96C4" w14:textId="53EA354B" w:rsidR="002457B2" w:rsidRPr="00427899" w:rsidRDefault="00B0782C">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Původní mandát pro vypracování normy</w:t>
            </w:r>
          </w:p>
        </w:tc>
        <w:tc>
          <w:tcPr>
            <w:tcW w:w="715" w:type="dxa"/>
            <w:shd w:val="clear" w:color="auto" w:fill="034EA2" w:themeFill="text2"/>
            <w:noWrap/>
            <w:hideMark/>
          </w:tcPr>
          <w:p w14:paraId="2403DA56" w14:textId="77777777" w:rsidR="002457B2" w:rsidRPr="00427899" w:rsidRDefault="002457B2">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rPr>
              <w:t>Písmenný kód</w:t>
            </w:r>
          </w:p>
        </w:tc>
      </w:tr>
      <w:tr w:rsidR="00C35BE6" w:rsidRPr="00427899" w14:paraId="4C3B3D66"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6A9F5C2"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01</w:t>
            </w:r>
          </w:p>
        </w:tc>
        <w:tc>
          <w:tcPr>
            <w:tcW w:w="962" w:type="dxa"/>
            <w:noWrap/>
            <w:hideMark/>
          </w:tcPr>
          <w:p w14:paraId="4145CA1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4566" w:type="dxa"/>
            <w:noWrap/>
            <w:hideMark/>
          </w:tcPr>
          <w:p w14:paraId="2D670AE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Prefabrikované výrobky z obyčejného/lehkého betonu a autoklávovaného pórobetonu</w:t>
            </w:r>
          </w:p>
        </w:tc>
        <w:tc>
          <w:tcPr>
            <w:tcW w:w="2124" w:type="dxa"/>
          </w:tcPr>
          <w:p w14:paraId="651945DC"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M100 Prefabrikované výrobky z betonu</w:t>
            </w:r>
          </w:p>
        </w:tc>
        <w:tc>
          <w:tcPr>
            <w:tcW w:w="715" w:type="dxa"/>
            <w:noWrap/>
            <w:hideMark/>
          </w:tcPr>
          <w:p w14:paraId="1599E6E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PCP</w:t>
            </w:r>
          </w:p>
        </w:tc>
      </w:tr>
      <w:tr w:rsidR="00C95F37" w:rsidRPr="00427899" w14:paraId="59681B2C"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17AF4EF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02</w:t>
            </w:r>
          </w:p>
        </w:tc>
        <w:tc>
          <w:tcPr>
            <w:tcW w:w="962" w:type="dxa"/>
            <w:shd w:val="clear" w:color="auto" w:fill="DBDBDB" w:themeFill="text1" w:themeFillTint="33"/>
            <w:noWrap/>
            <w:hideMark/>
          </w:tcPr>
          <w:p w14:paraId="3B753C90"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4566" w:type="dxa"/>
            <w:shd w:val="clear" w:color="auto" w:fill="DBDBDB" w:themeFill="text1" w:themeFillTint="33"/>
            <w:noWrap/>
            <w:hideMark/>
          </w:tcPr>
          <w:p w14:paraId="1BA12A32"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Konstrukční kovové výrobky a doplňky</w:t>
            </w:r>
          </w:p>
        </w:tc>
        <w:tc>
          <w:tcPr>
            <w:tcW w:w="2124" w:type="dxa"/>
            <w:shd w:val="clear" w:color="auto" w:fill="DBDBDB" w:themeFill="text1" w:themeFillTint="33"/>
          </w:tcPr>
          <w:p w14:paraId="10DC7764"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M120 Konstrukční kovové výrobky</w:t>
            </w:r>
          </w:p>
        </w:tc>
        <w:tc>
          <w:tcPr>
            <w:tcW w:w="715" w:type="dxa"/>
            <w:shd w:val="clear" w:color="auto" w:fill="DBDBDB" w:themeFill="text1" w:themeFillTint="33"/>
            <w:noWrap/>
            <w:hideMark/>
          </w:tcPr>
          <w:p w14:paraId="74DCE5C8"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r>
      <w:tr w:rsidR="00C35BE6" w:rsidRPr="00427899" w14:paraId="24D1035D"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9E7480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03</w:t>
            </w:r>
          </w:p>
        </w:tc>
        <w:tc>
          <w:tcPr>
            <w:tcW w:w="962" w:type="dxa"/>
            <w:noWrap/>
            <w:hideMark/>
          </w:tcPr>
          <w:p w14:paraId="08C2A3E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4566" w:type="dxa"/>
            <w:noWrap/>
            <w:hideMark/>
          </w:tcPr>
          <w:p w14:paraId="2E16EF0C"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Výztužná a předpínací betonářská ocel (a doplňky) – předpínací sestavy</w:t>
            </w:r>
          </w:p>
        </w:tc>
        <w:tc>
          <w:tcPr>
            <w:tcW w:w="2124" w:type="dxa"/>
          </w:tcPr>
          <w:p w14:paraId="40DD6B3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M115 Výztužná ocel</w:t>
            </w:r>
          </w:p>
        </w:tc>
        <w:tc>
          <w:tcPr>
            <w:tcW w:w="715" w:type="dxa"/>
            <w:noWrap/>
            <w:hideMark/>
          </w:tcPr>
          <w:p w14:paraId="0965E36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r>
      <w:tr w:rsidR="00C95F37" w:rsidRPr="00427899" w14:paraId="038B80F7"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017ADBAF"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04</w:t>
            </w:r>
          </w:p>
        </w:tc>
        <w:tc>
          <w:tcPr>
            <w:tcW w:w="962" w:type="dxa"/>
            <w:shd w:val="clear" w:color="auto" w:fill="DBDBDB" w:themeFill="text1" w:themeFillTint="33"/>
            <w:noWrap/>
            <w:hideMark/>
          </w:tcPr>
          <w:p w14:paraId="614A745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4566" w:type="dxa"/>
            <w:shd w:val="clear" w:color="auto" w:fill="DBDBDB" w:themeFill="text1" w:themeFillTint="33"/>
            <w:noWrap/>
            <w:hideMark/>
          </w:tcPr>
          <w:p w14:paraId="005DBDB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Dveře, okna, okenice, vrata a příslušné stavební kování</w:t>
            </w:r>
          </w:p>
        </w:tc>
        <w:tc>
          <w:tcPr>
            <w:tcW w:w="2124" w:type="dxa"/>
            <w:shd w:val="clear" w:color="auto" w:fill="DBDBDB" w:themeFill="text1" w:themeFillTint="33"/>
          </w:tcPr>
          <w:p w14:paraId="2743FCCF"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M101 Dveře, okna</w:t>
            </w:r>
          </w:p>
        </w:tc>
        <w:tc>
          <w:tcPr>
            <w:tcW w:w="715" w:type="dxa"/>
            <w:shd w:val="clear" w:color="auto" w:fill="DBDBDB" w:themeFill="text1" w:themeFillTint="33"/>
            <w:noWrap/>
            <w:hideMark/>
          </w:tcPr>
          <w:p w14:paraId="7646572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r>
      <w:tr w:rsidR="00C35BE6" w:rsidRPr="00427899" w14:paraId="4C7B6B2A"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9DF43F2"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05</w:t>
            </w:r>
          </w:p>
        </w:tc>
        <w:tc>
          <w:tcPr>
            <w:tcW w:w="962" w:type="dxa"/>
            <w:noWrap/>
            <w:hideMark/>
          </w:tcPr>
          <w:p w14:paraId="253E67F1"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4566" w:type="dxa"/>
            <w:noWrap/>
            <w:hideMark/>
          </w:tcPr>
          <w:p w14:paraId="662657E6"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Cement, stavební vápna a jiná hydraulická pojiva</w:t>
            </w:r>
          </w:p>
        </w:tc>
        <w:tc>
          <w:tcPr>
            <w:tcW w:w="2124" w:type="dxa"/>
          </w:tcPr>
          <w:p w14:paraId="6806FA1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M114 Cement</w:t>
            </w:r>
          </w:p>
        </w:tc>
        <w:tc>
          <w:tcPr>
            <w:tcW w:w="715" w:type="dxa"/>
            <w:noWrap/>
            <w:hideMark/>
          </w:tcPr>
          <w:p w14:paraId="6EB5B8B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r>
      <w:tr w:rsidR="00C95F37" w:rsidRPr="00427899" w14:paraId="065FECF3"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35CB16A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06</w:t>
            </w:r>
          </w:p>
        </w:tc>
        <w:tc>
          <w:tcPr>
            <w:tcW w:w="962" w:type="dxa"/>
            <w:shd w:val="clear" w:color="auto" w:fill="DBDBDB" w:themeFill="text1" w:themeFillTint="33"/>
            <w:noWrap/>
            <w:hideMark/>
          </w:tcPr>
          <w:p w14:paraId="4B31E4A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566" w:type="dxa"/>
            <w:shd w:val="clear" w:color="auto" w:fill="DBDBDB" w:themeFill="text1" w:themeFillTint="33"/>
            <w:noWrap/>
            <w:hideMark/>
          </w:tcPr>
          <w:p w14:paraId="541ECE6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Tepelněizolační výrobky [ – kompozitní izolační sestavy nebo systémy]</w:t>
            </w:r>
          </w:p>
        </w:tc>
        <w:tc>
          <w:tcPr>
            <w:tcW w:w="2124" w:type="dxa"/>
            <w:shd w:val="clear" w:color="auto" w:fill="DBDBDB" w:themeFill="text1" w:themeFillTint="33"/>
          </w:tcPr>
          <w:p w14:paraId="3CE08A6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M103 Tepelněizolační výrobky</w:t>
            </w:r>
          </w:p>
        </w:tc>
        <w:tc>
          <w:tcPr>
            <w:tcW w:w="715" w:type="dxa"/>
            <w:shd w:val="clear" w:color="auto" w:fill="DBDBDB" w:themeFill="text1" w:themeFillTint="33"/>
            <w:noWrap/>
            <w:hideMark/>
          </w:tcPr>
          <w:p w14:paraId="0D29599F"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r>
      <w:tr w:rsidR="00C35BE6" w:rsidRPr="00427899" w14:paraId="6CE57CA5"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911E4F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07</w:t>
            </w:r>
          </w:p>
        </w:tc>
        <w:tc>
          <w:tcPr>
            <w:tcW w:w="962" w:type="dxa"/>
            <w:noWrap/>
            <w:hideMark/>
          </w:tcPr>
          <w:p w14:paraId="2E8ABF63"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4566" w:type="dxa"/>
            <w:noWrap/>
            <w:hideMark/>
          </w:tcPr>
          <w:p w14:paraId="1BDD0E0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a prvky z konstrukčního dřeva a doplňky</w:t>
            </w:r>
          </w:p>
        </w:tc>
        <w:tc>
          <w:tcPr>
            <w:tcW w:w="2124" w:type="dxa"/>
          </w:tcPr>
          <w:p w14:paraId="0A6F42C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M112 Výrobky z konstrukčního dřeva a doplňky</w:t>
            </w:r>
          </w:p>
        </w:tc>
        <w:tc>
          <w:tcPr>
            <w:tcW w:w="715" w:type="dxa"/>
            <w:noWrap/>
            <w:hideMark/>
          </w:tcPr>
          <w:p w14:paraId="6961ED9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r>
      <w:tr w:rsidR="00C95F37" w:rsidRPr="00427899" w14:paraId="3FCF6023"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3AEBB34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08</w:t>
            </w:r>
          </w:p>
        </w:tc>
        <w:tc>
          <w:tcPr>
            <w:tcW w:w="962" w:type="dxa"/>
            <w:shd w:val="clear" w:color="auto" w:fill="DBDBDB" w:themeFill="text1" w:themeFillTint="33"/>
            <w:noWrap/>
            <w:hideMark/>
          </w:tcPr>
          <w:p w14:paraId="7F48EBC6"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4566" w:type="dxa"/>
            <w:shd w:val="clear" w:color="auto" w:fill="DBDBDB" w:themeFill="text1" w:themeFillTint="33"/>
            <w:noWrap/>
            <w:hideMark/>
          </w:tcPr>
          <w:p w14:paraId="2B8A145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beton, malty a injektážní malty</w:t>
            </w:r>
          </w:p>
        </w:tc>
        <w:tc>
          <w:tcPr>
            <w:tcW w:w="2124" w:type="dxa"/>
            <w:shd w:val="clear" w:color="auto" w:fill="DBDBDB" w:themeFill="text1" w:themeFillTint="33"/>
          </w:tcPr>
          <w:p w14:paraId="6B3B7944"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M128 Beton, malty a injektážní malty</w:t>
            </w:r>
          </w:p>
        </w:tc>
        <w:tc>
          <w:tcPr>
            <w:tcW w:w="715" w:type="dxa"/>
            <w:shd w:val="clear" w:color="auto" w:fill="DBDBDB" w:themeFill="text1" w:themeFillTint="33"/>
            <w:noWrap/>
            <w:hideMark/>
          </w:tcPr>
          <w:p w14:paraId="63A804D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r>
      <w:tr w:rsidR="00C35BE6" w:rsidRPr="00427899" w14:paraId="2E967EA9"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1A7EDFE"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09</w:t>
            </w:r>
          </w:p>
        </w:tc>
        <w:tc>
          <w:tcPr>
            <w:tcW w:w="962" w:type="dxa"/>
            <w:noWrap/>
            <w:hideMark/>
          </w:tcPr>
          <w:p w14:paraId="7261E37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4566" w:type="dxa"/>
            <w:noWrap/>
            <w:hideMark/>
          </w:tcPr>
          <w:p w14:paraId="306137C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Zdivo a související výrobky – zdicí prvky, malty a doplňky</w:t>
            </w:r>
          </w:p>
        </w:tc>
        <w:tc>
          <w:tcPr>
            <w:tcW w:w="2124" w:type="dxa"/>
          </w:tcPr>
          <w:p w14:paraId="1CA5D9C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M116 Zdivo</w:t>
            </w:r>
          </w:p>
        </w:tc>
        <w:tc>
          <w:tcPr>
            <w:tcW w:w="715" w:type="dxa"/>
            <w:noWrap/>
            <w:hideMark/>
          </w:tcPr>
          <w:p w14:paraId="21A0BD9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r>
      <w:tr w:rsidR="00C95F37" w:rsidRPr="00427899" w14:paraId="45614016"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5E85D85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10</w:t>
            </w:r>
          </w:p>
        </w:tc>
        <w:tc>
          <w:tcPr>
            <w:tcW w:w="962" w:type="dxa"/>
            <w:shd w:val="clear" w:color="auto" w:fill="DBDBDB" w:themeFill="text1" w:themeFillTint="33"/>
            <w:noWrap/>
            <w:hideMark/>
          </w:tcPr>
          <w:p w14:paraId="4FC924E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4566" w:type="dxa"/>
            <w:shd w:val="clear" w:color="auto" w:fill="DBDBDB" w:themeFill="text1" w:themeFillTint="33"/>
            <w:noWrap/>
            <w:hideMark/>
          </w:tcPr>
          <w:p w14:paraId="7299543B"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Kamenivo</w:t>
            </w:r>
          </w:p>
        </w:tc>
        <w:tc>
          <w:tcPr>
            <w:tcW w:w="2124" w:type="dxa"/>
            <w:shd w:val="clear" w:color="auto" w:fill="DBDBDB" w:themeFill="text1" w:themeFillTint="33"/>
          </w:tcPr>
          <w:p w14:paraId="7F4162F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M125 Kamenivo</w:t>
            </w:r>
          </w:p>
        </w:tc>
        <w:tc>
          <w:tcPr>
            <w:tcW w:w="715" w:type="dxa"/>
            <w:shd w:val="clear" w:color="auto" w:fill="DBDBDB" w:themeFill="text1" w:themeFillTint="33"/>
            <w:noWrap/>
            <w:hideMark/>
          </w:tcPr>
          <w:p w14:paraId="0A7F014B"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r>
      <w:tr w:rsidR="00C35BE6" w:rsidRPr="00427899" w14:paraId="4DD65333"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EE45B6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11</w:t>
            </w:r>
          </w:p>
        </w:tc>
        <w:tc>
          <w:tcPr>
            <w:tcW w:w="962" w:type="dxa"/>
            <w:noWrap/>
            <w:hideMark/>
          </w:tcPr>
          <w:p w14:paraId="5993E007"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4566" w:type="dxa"/>
            <w:noWrap/>
            <w:hideMark/>
          </w:tcPr>
          <w:p w14:paraId="1906435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Stabilní zařízení pro hašení požáru (výrobky pro požární poplach/detekci, stabilní výrobky pro hašení požáru, řízení požáru a kouře a pro potlačování výbuchu)</w:t>
            </w:r>
          </w:p>
        </w:tc>
        <w:tc>
          <w:tcPr>
            <w:tcW w:w="2124" w:type="dxa"/>
          </w:tcPr>
          <w:p w14:paraId="20511494"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M109 Stabilní zařízení pro hašení požáru</w:t>
            </w:r>
          </w:p>
        </w:tc>
        <w:tc>
          <w:tcPr>
            <w:tcW w:w="715" w:type="dxa"/>
            <w:noWrap/>
            <w:hideMark/>
          </w:tcPr>
          <w:p w14:paraId="618F344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r>
      <w:tr w:rsidR="00C95F37" w:rsidRPr="00427899" w14:paraId="037B230A"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3242B49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12</w:t>
            </w:r>
          </w:p>
        </w:tc>
        <w:tc>
          <w:tcPr>
            <w:tcW w:w="962" w:type="dxa"/>
            <w:shd w:val="clear" w:color="auto" w:fill="DBDBDB" w:themeFill="text1" w:themeFillTint="33"/>
            <w:noWrap/>
            <w:hideMark/>
          </w:tcPr>
          <w:p w14:paraId="44165E91"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4566" w:type="dxa"/>
            <w:shd w:val="clear" w:color="auto" w:fill="DBDBDB" w:themeFill="text1" w:themeFillTint="33"/>
            <w:noWrap/>
            <w:hideMark/>
          </w:tcPr>
          <w:p w14:paraId="2936C17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konstrukce vozovek</w:t>
            </w:r>
          </w:p>
        </w:tc>
        <w:tc>
          <w:tcPr>
            <w:tcW w:w="2124" w:type="dxa"/>
            <w:shd w:val="clear" w:color="auto" w:fill="DBDBDB" w:themeFill="text1" w:themeFillTint="33"/>
          </w:tcPr>
          <w:p w14:paraId="34A97F9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M124 Výrobky pro konstrukce vozovek</w:t>
            </w:r>
          </w:p>
        </w:tc>
        <w:tc>
          <w:tcPr>
            <w:tcW w:w="715" w:type="dxa"/>
            <w:shd w:val="clear" w:color="auto" w:fill="DBDBDB" w:themeFill="text1" w:themeFillTint="33"/>
            <w:noWrap/>
            <w:hideMark/>
          </w:tcPr>
          <w:p w14:paraId="6590EA58"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r>
      <w:tr w:rsidR="00C35BE6" w:rsidRPr="00427899" w14:paraId="1E1DEF37"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5FBEDC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13</w:t>
            </w:r>
          </w:p>
        </w:tc>
        <w:tc>
          <w:tcPr>
            <w:tcW w:w="962" w:type="dxa"/>
            <w:noWrap/>
            <w:hideMark/>
          </w:tcPr>
          <w:p w14:paraId="4CDDDF8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4566" w:type="dxa"/>
            <w:noWrap/>
            <w:hideMark/>
          </w:tcPr>
          <w:p w14:paraId="76D44D7F"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Podlahoviny</w:t>
            </w:r>
          </w:p>
        </w:tc>
        <w:tc>
          <w:tcPr>
            <w:tcW w:w="2124" w:type="dxa"/>
          </w:tcPr>
          <w:p w14:paraId="49AE0815"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M119 Podlahoviny</w:t>
            </w:r>
          </w:p>
        </w:tc>
        <w:tc>
          <w:tcPr>
            <w:tcW w:w="715" w:type="dxa"/>
            <w:noWrap/>
            <w:hideMark/>
          </w:tcPr>
          <w:p w14:paraId="3478ECB7"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r>
      <w:tr w:rsidR="00C95F37" w:rsidRPr="00427899" w14:paraId="782B1B45"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tcPr>
          <w:p w14:paraId="7D6ED670"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14</w:t>
            </w:r>
          </w:p>
        </w:tc>
        <w:tc>
          <w:tcPr>
            <w:tcW w:w="962" w:type="dxa"/>
            <w:shd w:val="clear" w:color="auto" w:fill="DBDBDB" w:themeFill="text1" w:themeFillTint="33"/>
            <w:noWrap/>
          </w:tcPr>
          <w:p w14:paraId="20256F24"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566" w:type="dxa"/>
            <w:shd w:val="clear" w:color="auto" w:fill="DBDBDB" w:themeFill="text1" w:themeFillTint="33"/>
            <w:noWrap/>
          </w:tcPr>
          <w:p w14:paraId="572573A5"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[Tepelněizolační výrobky] – kompozitní izolační sestavy nebo systémy</w:t>
            </w:r>
          </w:p>
        </w:tc>
        <w:tc>
          <w:tcPr>
            <w:tcW w:w="2124" w:type="dxa"/>
            <w:shd w:val="clear" w:color="auto" w:fill="DBDBDB" w:themeFill="text1" w:themeFillTint="33"/>
          </w:tcPr>
          <w:p w14:paraId="52D26A4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M489 ETICS</w:t>
            </w:r>
          </w:p>
        </w:tc>
        <w:tc>
          <w:tcPr>
            <w:tcW w:w="715" w:type="dxa"/>
            <w:shd w:val="clear" w:color="auto" w:fill="DBDBDB" w:themeFill="text1" w:themeFillTint="33"/>
            <w:noWrap/>
          </w:tcPr>
          <w:p w14:paraId="6D44818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23543BB"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8C21B7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15</w:t>
            </w:r>
          </w:p>
        </w:tc>
        <w:tc>
          <w:tcPr>
            <w:tcW w:w="962" w:type="dxa"/>
            <w:noWrap/>
            <w:hideMark/>
          </w:tcPr>
          <w:p w14:paraId="39A50970"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4566" w:type="dxa"/>
            <w:noWrap/>
            <w:hideMark/>
          </w:tcPr>
          <w:p w14:paraId="0B67D9A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Lehké obvodové pláště / opláštění / konstrukční těsněné zasklení</w:t>
            </w:r>
          </w:p>
        </w:tc>
        <w:tc>
          <w:tcPr>
            <w:tcW w:w="2124" w:type="dxa"/>
          </w:tcPr>
          <w:p w14:paraId="2A162FA4"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M108 Lehké obvodové pláště</w:t>
            </w:r>
          </w:p>
        </w:tc>
        <w:tc>
          <w:tcPr>
            <w:tcW w:w="715" w:type="dxa"/>
            <w:noWrap/>
            <w:hideMark/>
          </w:tcPr>
          <w:p w14:paraId="302E7B1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r>
      <w:tr w:rsidR="00C95F37" w:rsidRPr="00427899" w14:paraId="230CF3E5"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507401A6"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16</w:t>
            </w:r>
          </w:p>
        </w:tc>
        <w:tc>
          <w:tcPr>
            <w:tcW w:w="962" w:type="dxa"/>
            <w:shd w:val="clear" w:color="auto" w:fill="DBDBDB" w:themeFill="text1" w:themeFillTint="33"/>
            <w:noWrap/>
            <w:hideMark/>
          </w:tcPr>
          <w:p w14:paraId="0D70174D"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14</w:t>
            </w:r>
          </w:p>
        </w:tc>
        <w:tc>
          <w:tcPr>
            <w:tcW w:w="4566" w:type="dxa"/>
            <w:shd w:val="clear" w:color="auto" w:fill="DBDBDB" w:themeFill="text1" w:themeFillTint="33"/>
            <w:noWrap/>
            <w:hideMark/>
          </w:tcPr>
          <w:p w14:paraId="203A8ED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Panely a prvky na bázi dřeva</w:t>
            </w:r>
          </w:p>
        </w:tc>
        <w:tc>
          <w:tcPr>
            <w:tcW w:w="2124" w:type="dxa"/>
            <w:shd w:val="clear" w:color="auto" w:fill="DBDBDB" w:themeFill="text1" w:themeFillTint="33"/>
          </w:tcPr>
          <w:p w14:paraId="01875602"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M113 Panely na bázi dřeva</w:t>
            </w:r>
          </w:p>
        </w:tc>
        <w:tc>
          <w:tcPr>
            <w:tcW w:w="715" w:type="dxa"/>
            <w:shd w:val="clear" w:color="auto" w:fill="DBDBDB" w:themeFill="text1" w:themeFillTint="33"/>
            <w:noWrap/>
            <w:hideMark/>
          </w:tcPr>
          <w:p w14:paraId="3FFB342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r>
      <w:tr w:rsidR="00C35BE6" w:rsidRPr="00427899" w14:paraId="0AA7CCAA"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42F565D1"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17</w:t>
            </w:r>
          </w:p>
        </w:tc>
        <w:tc>
          <w:tcPr>
            <w:tcW w:w="962" w:type="dxa"/>
            <w:noWrap/>
            <w:hideMark/>
          </w:tcPr>
          <w:p w14:paraId="5B4FE3A8"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4566" w:type="dxa"/>
            <w:noWrap/>
            <w:hideMark/>
          </w:tcPr>
          <w:p w14:paraId="22DD90F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ložiska – čepy pro konstrukční spoje</w:t>
            </w:r>
          </w:p>
        </w:tc>
        <w:tc>
          <w:tcPr>
            <w:tcW w:w="2124" w:type="dxa"/>
          </w:tcPr>
          <w:p w14:paraId="290FA4B5"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M104 Stavební ložiska</w:t>
            </w:r>
          </w:p>
        </w:tc>
        <w:tc>
          <w:tcPr>
            <w:tcW w:w="715" w:type="dxa"/>
            <w:noWrap/>
            <w:hideMark/>
          </w:tcPr>
          <w:p w14:paraId="582E7E15"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r>
      <w:tr w:rsidR="00C95F37" w:rsidRPr="00427899" w14:paraId="65C6DFF1"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626351D9"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18</w:t>
            </w:r>
          </w:p>
        </w:tc>
        <w:tc>
          <w:tcPr>
            <w:tcW w:w="962" w:type="dxa"/>
            <w:shd w:val="clear" w:color="auto" w:fill="DBDBDB" w:themeFill="text1" w:themeFillTint="33"/>
            <w:noWrap/>
            <w:hideMark/>
          </w:tcPr>
          <w:p w14:paraId="1747E599"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4566" w:type="dxa"/>
            <w:shd w:val="clear" w:color="auto" w:fill="DBDBDB" w:themeFill="text1" w:themeFillTint="33"/>
            <w:noWrap/>
            <w:hideMark/>
          </w:tcPr>
          <w:p w14:paraId="3C3FEA6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sestavy, jednotky, prefabrikované prvky</w:t>
            </w:r>
          </w:p>
        </w:tc>
        <w:tc>
          <w:tcPr>
            <w:tcW w:w="2124" w:type="dxa"/>
            <w:shd w:val="clear" w:color="auto" w:fill="DBDBDB" w:themeFill="text1" w:themeFillTint="33"/>
          </w:tcPr>
          <w:p w14:paraId="7B10911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Sestavy a sestavené výrobky výše uvedených skupin</w:t>
            </w:r>
          </w:p>
        </w:tc>
        <w:tc>
          <w:tcPr>
            <w:tcW w:w="715" w:type="dxa"/>
            <w:shd w:val="clear" w:color="auto" w:fill="DBDBDB" w:themeFill="text1" w:themeFillTint="33"/>
            <w:noWrap/>
            <w:hideMark/>
          </w:tcPr>
          <w:p w14:paraId="459AFC1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r>
      <w:tr w:rsidR="00C35BE6" w:rsidRPr="00427899" w14:paraId="6319E4D1"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98A009D"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19</w:t>
            </w:r>
          </w:p>
        </w:tc>
        <w:tc>
          <w:tcPr>
            <w:tcW w:w="962" w:type="dxa"/>
            <w:noWrap/>
            <w:hideMark/>
          </w:tcPr>
          <w:p w14:paraId="5E46354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4566" w:type="dxa"/>
            <w:noWrap/>
            <w:hideMark/>
          </w:tcPr>
          <w:p w14:paraId="46764E50"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Vnitřní a vnější povrchové úpravy stěn a stropů – sestavy vnitřních příček</w:t>
            </w:r>
          </w:p>
        </w:tc>
        <w:tc>
          <w:tcPr>
            <w:tcW w:w="2124" w:type="dxa"/>
          </w:tcPr>
          <w:p w14:paraId="43A7406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M121 Povrchové úpravy stěn a stropů</w:t>
            </w:r>
          </w:p>
        </w:tc>
        <w:tc>
          <w:tcPr>
            <w:tcW w:w="715" w:type="dxa"/>
            <w:noWrap/>
            <w:hideMark/>
          </w:tcPr>
          <w:p w14:paraId="025DC9F8"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r>
      <w:tr w:rsidR="00C95F37" w:rsidRPr="00427899" w14:paraId="5539F391"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736C08D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20</w:t>
            </w:r>
          </w:p>
        </w:tc>
        <w:tc>
          <w:tcPr>
            <w:tcW w:w="962" w:type="dxa"/>
            <w:shd w:val="clear" w:color="auto" w:fill="DBDBDB" w:themeFill="text1" w:themeFillTint="33"/>
            <w:noWrap/>
            <w:hideMark/>
          </w:tcPr>
          <w:p w14:paraId="129BBB3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4566" w:type="dxa"/>
            <w:shd w:val="clear" w:color="auto" w:fill="DBDBDB" w:themeFill="text1" w:themeFillTint="33"/>
            <w:noWrap/>
            <w:hideMark/>
          </w:tcPr>
          <w:p w14:paraId="7B6A96F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Zařízení pro vytápění vnitřních prostor</w:t>
            </w:r>
          </w:p>
        </w:tc>
        <w:tc>
          <w:tcPr>
            <w:tcW w:w="2124" w:type="dxa"/>
            <w:shd w:val="clear" w:color="auto" w:fill="DBDBDB" w:themeFill="text1" w:themeFillTint="33"/>
          </w:tcPr>
          <w:p w14:paraId="432EFF2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M129 Zařízení pro vytápění vnitřních prostor</w:t>
            </w:r>
          </w:p>
        </w:tc>
        <w:tc>
          <w:tcPr>
            <w:tcW w:w="715" w:type="dxa"/>
            <w:shd w:val="clear" w:color="auto" w:fill="DBDBDB" w:themeFill="text1" w:themeFillTint="33"/>
            <w:noWrap/>
            <w:hideMark/>
          </w:tcPr>
          <w:p w14:paraId="7CFEC78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r>
      <w:tr w:rsidR="00C35BE6" w:rsidRPr="00427899" w14:paraId="364EFBA4"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B41D406"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21</w:t>
            </w:r>
          </w:p>
        </w:tc>
        <w:tc>
          <w:tcPr>
            <w:tcW w:w="962" w:type="dxa"/>
            <w:noWrap/>
            <w:hideMark/>
          </w:tcPr>
          <w:p w14:paraId="176FB58F"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4566" w:type="dxa"/>
            <w:noWrap/>
            <w:hideMark/>
          </w:tcPr>
          <w:p w14:paraId="3394FE7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Střešní krytiny, střešní světlíky, střešní okna a doplňkové výrobky – střešní sestavy</w:t>
            </w:r>
          </w:p>
        </w:tc>
        <w:tc>
          <w:tcPr>
            <w:tcW w:w="2124" w:type="dxa"/>
          </w:tcPr>
          <w:p w14:paraId="75F250E6"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M122 Střešní krytiny</w:t>
            </w:r>
          </w:p>
        </w:tc>
        <w:tc>
          <w:tcPr>
            <w:tcW w:w="715" w:type="dxa"/>
            <w:noWrap/>
            <w:hideMark/>
          </w:tcPr>
          <w:p w14:paraId="6C168090"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r>
      <w:tr w:rsidR="00C95F37" w:rsidRPr="00427899" w14:paraId="3C4858C3"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0F1888A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22</w:t>
            </w:r>
          </w:p>
        </w:tc>
        <w:tc>
          <w:tcPr>
            <w:tcW w:w="962" w:type="dxa"/>
            <w:shd w:val="clear" w:color="auto" w:fill="DBDBDB" w:themeFill="text1" w:themeFillTint="33"/>
            <w:noWrap/>
            <w:hideMark/>
          </w:tcPr>
          <w:p w14:paraId="3B3EA8B0"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4566" w:type="dxa"/>
            <w:shd w:val="clear" w:color="auto" w:fill="DBDBDB" w:themeFill="text1" w:themeFillTint="33"/>
            <w:noWrap/>
            <w:hideMark/>
          </w:tcPr>
          <w:p w14:paraId="6DDA28BF"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komunikací: silniční vybavení</w:t>
            </w:r>
          </w:p>
        </w:tc>
        <w:tc>
          <w:tcPr>
            <w:tcW w:w="2124" w:type="dxa"/>
            <w:shd w:val="clear" w:color="auto" w:fill="DBDBDB" w:themeFill="text1" w:themeFillTint="33"/>
          </w:tcPr>
          <w:p w14:paraId="655A2C2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M111 Vybavení komunikací</w:t>
            </w:r>
          </w:p>
        </w:tc>
        <w:tc>
          <w:tcPr>
            <w:tcW w:w="715" w:type="dxa"/>
            <w:shd w:val="clear" w:color="auto" w:fill="DBDBDB" w:themeFill="text1" w:themeFillTint="33"/>
            <w:noWrap/>
            <w:hideMark/>
          </w:tcPr>
          <w:p w14:paraId="4F5CF5A3"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r>
      <w:tr w:rsidR="00C35BE6" w:rsidRPr="00427899" w14:paraId="17C6D40F"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E8215EB"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23</w:t>
            </w:r>
          </w:p>
        </w:tc>
        <w:tc>
          <w:tcPr>
            <w:tcW w:w="962" w:type="dxa"/>
            <w:noWrap/>
            <w:hideMark/>
          </w:tcPr>
          <w:p w14:paraId="1F8FB37C"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4566" w:type="dxa"/>
            <w:noWrap/>
            <w:hideMark/>
          </w:tcPr>
          <w:p w14:paraId="66E5711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kanalizační systémy</w:t>
            </w:r>
          </w:p>
        </w:tc>
        <w:tc>
          <w:tcPr>
            <w:tcW w:w="2124" w:type="dxa"/>
          </w:tcPr>
          <w:p w14:paraId="0B305F6B"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M118 Likvidace odpadních vod</w:t>
            </w:r>
          </w:p>
        </w:tc>
        <w:tc>
          <w:tcPr>
            <w:tcW w:w="715" w:type="dxa"/>
            <w:noWrap/>
            <w:hideMark/>
          </w:tcPr>
          <w:p w14:paraId="59C93A1A"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r>
      <w:tr w:rsidR="00C95F37" w:rsidRPr="00427899" w14:paraId="39358E17"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41C20A68"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24</w:t>
            </w:r>
          </w:p>
        </w:tc>
        <w:tc>
          <w:tcPr>
            <w:tcW w:w="962" w:type="dxa"/>
            <w:shd w:val="clear" w:color="auto" w:fill="DBDBDB" w:themeFill="text1" w:themeFillTint="33"/>
            <w:noWrap/>
            <w:hideMark/>
          </w:tcPr>
          <w:p w14:paraId="4C161225"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4566" w:type="dxa"/>
            <w:shd w:val="clear" w:color="auto" w:fill="DBDBDB" w:themeFill="text1" w:themeFillTint="33"/>
            <w:noWrap/>
            <w:hideMark/>
          </w:tcPr>
          <w:p w14:paraId="05C2F18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adheziva</w:t>
            </w:r>
          </w:p>
        </w:tc>
        <w:tc>
          <w:tcPr>
            <w:tcW w:w="2124" w:type="dxa"/>
            <w:shd w:val="clear" w:color="auto" w:fill="DBDBDB" w:themeFill="text1" w:themeFillTint="33"/>
          </w:tcPr>
          <w:p w14:paraId="22B8AAF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M127 Adheziva</w:t>
            </w:r>
          </w:p>
        </w:tc>
        <w:tc>
          <w:tcPr>
            <w:tcW w:w="715" w:type="dxa"/>
            <w:shd w:val="clear" w:color="auto" w:fill="DBDBDB" w:themeFill="text1" w:themeFillTint="33"/>
            <w:noWrap/>
            <w:hideMark/>
          </w:tcPr>
          <w:p w14:paraId="2182FD21"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r>
      <w:tr w:rsidR="00C35BE6" w:rsidRPr="00427899" w14:paraId="3639E12C"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5698DD8C"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25</w:t>
            </w:r>
          </w:p>
        </w:tc>
        <w:tc>
          <w:tcPr>
            <w:tcW w:w="962" w:type="dxa"/>
            <w:noWrap/>
            <w:hideMark/>
          </w:tcPr>
          <w:p w14:paraId="417831DB"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4566" w:type="dxa"/>
            <w:noWrap/>
            <w:hideMark/>
          </w:tcPr>
          <w:p w14:paraId="3B1D6AE9"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ze sádry</w:t>
            </w:r>
          </w:p>
        </w:tc>
        <w:tc>
          <w:tcPr>
            <w:tcW w:w="2124" w:type="dxa"/>
          </w:tcPr>
          <w:p w14:paraId="729B4A01"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M106 Sádra</w:t>
            </w:r>
          </w:p>
        </w:tc>
        <w:tc>
          <w:tcPr>
            <w:tcW w:w="715" w:type="dxa"/>
            <w:noWrap/>
            <w:hideMark/>
          </w:tcPr>
          <w:p w14:paraId="4A72EEA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r>
      <w:tr w:rsidR="00C95F37" w:rsidRPr="00427899" w14:paraId="5AF67CD7"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6580156C"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26</w:t>
            </w:r>
          </w:p>
        </w:tc>
        <w:tc>
          <w:tcPr>
            <w:tcW w:w="962" w:type="dxa"/>
            <w:shd w:val="clear" w:color="auto" w:fill="DBDBDB" w:themeFill="text1" w:themeFillTint="33"/>
            <w:noWrap/>
            <w:hideMark/>
          </w:tcPr>
          <w:p w14:paraId="7DC2B22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4566" w:type="dxa"/>
            <w:shd w:val="clear" w:color="auto" w:fill="DBDBDB" w:themeFill="text1" w:themeFillTint="33"/>
            <w:noWrap/>
            <w:hideMark/>
          </w:tcPr>
          <w:p w14:paraId="3139DE9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Připevňovací prostředky</w:t>
            </w:r>
          </w:p>
        </w:tc>
        <w:tc>
          <w:tcPr>
            <w:tcW w:w="2124" w:type="dxa"/>
            <w:shd w:val="clear" w:color="auto" w:fill="DBDBDB" w:themeFill="text1" w:themeFillTint="33"/>
          </w:tcPr>
          <w:p w14:paraId="141DC923"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715" w:type="dxa"/>
            <w:shd w:val="clear" w:color="auto" w:fill="DBDBDB" w:themeFill="text1" w:themeFillTint="33"/>
            <w:noWrap/>
            <w:hideMark/>
          </w:tcPr>
          <w:p w14:paraId="55B9FB9C"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r>
      <w:tr w:rsidR="00C35BE6" w:rsidRPr="00427899" w14:paraId="03966DE4"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D2036E5"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27</w:t>
            </w:r>
          </w:p>
        </w:tc>
        <w:tc>
          <w:tcPr>
            <w:tcW w:w="962" w:type="dxa"/>
            <w:noWrap/>
            <w:hideMark/>
          </w:tcPr>
          <w:p w14:paraId="17E6D386"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4566" w:type="dxa"/>
            <w:noWrap/>
            <w:hideMark/>
          </w:tcPr>
          <w:p w14:paraId="0D4D777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Fólie, včetně litých a sestav (hydroizolační nebo parotěsné)</w:t>
            </w:r>
          </w:p>
        </w:tc>
        <w:tc>
          <w:tcPr>
            <w:tcW w:w="2124" w:type="dxa"/>
          </w:tcPr>
          <w:p w14:paraId="6FED34D8"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M102 Fólie</w:t>
            </w:r>
          </w:p>
        </w:tc>
        <w:tc>
          <w:tcPr>
            <w:tcW w:w="715" w:type="dxa"/>
            <w:noWrap/>
            <w:hideMark/>
          </w:tcPr>
          <w:p w14:paraId="7A11452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r>
      <w:tr w:rsidR="00C95F37" w:rsidRPr="00427899" w14:paraId="085946E3"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3D02886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28</w:t>
            </w:r>
          </w:p>
        </w:tc>
        <w:tc>
          <w:tcPr>
            <w:tcW w:w="962" w:type="dxa"/>
            <w:shd w:val="clear" w:color="auto" w:fill="DBDBDB" w:themeFill="text1" w:themeFillTint="33"/>
            <w:noWrap/>
            <w:hideMark/>
          </w:tcPr>
          <w:p w14:paraId="25371F86"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4566" w:type="dxa"/>
            <w:shd w:val="clear" w:color="auto" w:fill="DBDBDB" w:themeFill="text1" w:themeFillTint="33"/>
            <w:noWrap/>
            <w:hideMark/>
          </w:tcPr>
          <w:p w14:paraId="4EC11E3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 plochého skla, profilovaného skla a skleněných tvárnic</w:t>
            </w:r>
          </w:p>
        </w:tc>
        <w:tc>
          <w:tcPr>
            <w:tcW w:w="2124" w:type="dxa"/>
            <w:shd w:val="clear" w:color="auto" w:fill="DBDBDB" w:themeFill="text1" w:themeFillTint="33"/>
          </w:tcPr>
          <w:p w14:paraId="61AFEE5A"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M135 Sklo</w:t>
            </w:r>
          </w:p>
        </w:tc>
        <w:tc>
          <w:tcPr>
            <w:tcW w:w="715" w:type="dxa"/>
            <w:shd w:val="clear" w:color="auto" w:fill="DBDBDB" w:themeFill="text1" w:themeFillTint="33"/>
            <w:noWrap/>
            <w:hideMark/>
          </w:tcPr>
          <w:p w14:paraId="3557E782"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r>
      <w:tr w:rsidR="00C35BE6" w:rsidRPr="00427899" w14:paraId="15CD765A"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6401321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29</w:t>
            </w:r>
          </w:p>
        </w:tc>
        <w:tc>
          <w:tcPr>
            <w:tcW w:w="962" w:type="dxa"/>
            <w:noWrap/>
            <w:hideMark/>
          </w:tcPr>
          <w:p w14:paraId="1CEB0B46"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4566" w:type="dxa"/>
            <w:noWrap/>
            <w:hideMark/>
          </w:tcPr>
          <w:p w14:paraId="001C466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Geotextilie, geomembrány a související výrobky</w:t>
            </w:r>
          </w:p>
        </w:tc>
        <w:tc>
          <w:tcPr>
            <w:tcW w:w="2124" w:type="dxa"/>
          </w:tcPr>
          <w:p w14:paraId="57C5022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M107 Geotextilie</w:t>
            </w:r>
          </w:p>
        </w:tc>
        <w:tc>
          <w:tcPr>
            <w:tcW w:w="715" w:type="dxa"/>
            <w:noWrap/>
            <w:hideMark/>
          </w:tcPr>
          <w:p w14:paraId="3BF0893B"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r>
      <w:tr w:rsidR="00C95F37" w:rsidRPr="00427899" w14:paraId="726F353C"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06420CFA"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30</w:t>
            </w:r>
          </w:p>
        </w:tc>
        <w:tc>
          <w:tcPr>
            <w:tcW w:w="962" w:type="dxa"/>
            <w:shd w:val="clear" w:color="auto" w:fill="DBDBDB" w:themeFill="text1" w:themeFillTint="33"/>
            <w:noWrap/>
            <w:hideMark/>
          </w:tcPr>
          <w:p w14:paraId="2EF881B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4566" w:type="dxa"/>
            <w:shd w:val="clear" w:color="auto" w:fill="DBDBDB" w:themeFill="text1" w:themeFillTint="33"/>
            <w:noWrap/>
            <w:hideMark/>
          </w:tcPr>
          <w:p w14:paraId="0E958B2C"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pro hygienické prostory</w:t>
            </w:r>
          </w:p>
        </w:tc>
        <w:tc>
          <w:tcPr>
            <w:tcW w:w="2124" w:type="dxa"/>
            <w:shd w:val="clear" w:color="auto" w:fill="DBDBDB" w:themeFill="text1" w:themeFillTint="33"/>
          </w:tcPr>
          <w:p w14:paraId="1A08DF3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M110 Vybavení pro hygienické prostory</w:t>
            </w:r>
          </w:p>
        </w:tc>
        <w:tc>
          <w:tcPr>
            <w:tcW w:w="715" w:type="dxa"/>
            <w:shd w:val="clear" w:color="auto" w:fill="DBDBDB" w:themeFill="text1" w:themeFillTint="33"/>
            <w:noWrap/>
            <w:hideMark/>
          </w:tcPr>
          <w:p w14:paraId="61681EB7"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r>
      <w:tr w:rsidR="00C35BE6" w:rsidRPr="00427899" w14:paraId="48912601"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F5A281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31</w:t>
            </w:r>
          </w:p>
        </w:tc>
        <w:tc>
          <w:tcPr>
            <w:tcW w:w="962" w:type="dxa"/>
            <w:noWrap/>
            <w:hideMark/>
          </w:tcPr>
          <w:p w14:paraId="30C01C52"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4566" w:type="dxa"/>
            <w:noWrap/>
            <w:hideMark/>
          </w:tcPr>
          <w:p w14:paraId="550B5133"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Trubky, nádrže a doplňky, které nejsou v kontaktu s vodou určenou k lidské spotřebě</w:t>
            </w:r>
          </w:p>
        </w:tc>
        <w:tc>
          <w:tcPr>
            <w:tcW w:w="2124" w:type="dxa"/>
          </w:tcPr>
          <w:p w14:paraId="2E370272"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M131 Trubky a nádrže, které nejsou v kontaktu s pitnou vodou</w:t>
            </w:r>
          </w:p>
        </w:tc>
        <w:tc>
          <w:tcPr>
            <w:tcW w:w="715" w:type="dxa"/>
            <w:noWrap/>
            <w:hideMark/>
          </w:tcPr>
          <w:p w14:paraId="0F659EFE"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r>
      <w:tr w:rsidR="00C95F37" w:rsidRPr="00427899" w14:paraId="5AA17424"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036BC2E4"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32</w:t>
            </w:r>
          </w:p>
        </w:tc>
        <w:tc>
          <w:tcPr>
            <w:tcW w:w="962" w:type="dxa"/>
            <w:shd w:val="clear" w:color="auto" w:fill="DBDBDB" w:themeFill="text1" w:themeFillTint="33"/>
            <w:noWrap/>
            <w:hideMark/>
          </w:tcPr>
          <w:p w14:paraId="58206617"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4566" w:type="dxa"/>
            <w:shd w:val="clear" w:color="auto" w:fill="DBDBDB" w:themeFill="text1" w:themeFillTint="33"/>
            <w:noWrap/>
            <w:hideMark/>
          </w:tcPr>
          <w:p w14:paraId="6DF9623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Elektrické, ovládací a komunikační kabely</w:t>
            </w:r>
          </w:p>
        </w:tc>
        <w:tc>
          <w:tcPr>
            <w:tcW w:w="2124" w:type="dxa"/>
            <w:shd w:val="clear" w:color="auto" w:fill="DBDBDB" w:themeFill="text1" w:themeFillTint="33"/>
          </w:tcPr>
          <w:p w14:paraId="13399400"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M443 Elektrické, ovládací a komunikační kabely</w:t>
            </w:r>
          </w:p>
        </w:tc>
        <w:tc>
          <w:tcPr>
            <w:tcW w:w="715" w:type="dxa"/>
            <w:shd w:val="clear" w:color="auto" w:fill="DBDBDB" w:themeFill="text1" w:themeFillTint="33"/>
            <w:noWrap/>
            <w:hideMark/>
          </w:tcPr>
          <w:p w14:paraId="22EF8A82"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r>
      <w:tr w:rsidR="00C35BE6" w:rsidRPr="00427899" w14:paraId="6499D349"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7EF17DE3"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33</w:t>
            </w:r>
          </w:p>
        </w:tc>
        <w:tc>
          <w:tcPr>
            <w:tcW w:w="962" w:type="dxa"/>
            <w:noWrap/>
            <w:hideMark/>
          </w:tcPr>
          <w:p w14:paraId="1177747D"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4566" w:type="dxa"/>
            <w:noWrap/>
            <w:hideMark/>
          </w:tcPr>
          <w:p w14:paraId="2EBC9F2D"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Komíny, kouřovody a specifické výrobky</w:t>
            </w:r>
          </w:p>
        </w:tc>
        <w:tc>
          <w:tcPr>
            <w:tcW w:w="2124" w:type="dxa"/>
          </w:tcPr>
          <w:p w14:paraId="15334AEE"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M105 Komíny</w:t>
            </w:r>
          </w:p>
        </w:tc>
        <w:tc>
          <w:tcPr>
            <w:tcW w:w="715" w:type="dxa"/>
            <w:noWrap/>
            <w:hideMark/>
          </w:tcPr>
          <w:p w14:paraId="6BCE4E2C"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r>
      <w:tr w:rsidR="00C95F37" w:rsidRPr="00427899" w14:paraId="6A17E93E"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7C4B8789"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34</w:t>
            </w:r>
          </w:p>
        </w:tc>
        <w:tc>
          <w:tcPr>
            <w:tcW w:w="962" w:type="dxa"/>
            <w:shd w:val="clear" w:color="auto" w:fill="DBDBDB" w:themeFill="text1" w:themeFillTint="33"/>
            <w:noWrap/>
            <w:hideMark/>
          </w:tcPr>
          <w:p w14:paraId="789B81CF"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4566" w:type="dxa"/>
            <w:shd w:val="clear" w:color="auto" w:fill="DBDBDB" w:themeFill="text1" w:themeFillTint="33"/>
            <w:noWrap/>
            <w:hideMark/>
          </w:tcPr>
          <w:p w14:paraId="00CFE9E6"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Těsnění pro spoje</w:t>
            </w:r>
          </w:p>
        </w:tc>
        <w:tc>
          <w:tcPr>
            <w:tcW w:w="2124" w:type="dxa"/>
            <w:shd w:val="clear" w:color="auto" w:fill="DBDBDB" w:themeFill="text1" w:themeFillTint="33"/>
          </w:tcPr>
          <w:p w14:paraId="434CCE3B"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M474 Těsnicí materiály pro nenosné použití ve spojích v budovách a nášlapných površích</w:t>
            </w:r>
          </w:p>
        </w:tc>
        <w:tc>
          <w:tcPr>
            <w:tcW w:w="715" w:type="dxa"/>
            <w:shd w:val="clear" w:color="auto" w:fill="DBDBDB" w:themeFill="text1" w:themeFillTint="33"/>
            <w:noWrap/>
            <w:hideMark/>
          </w:tcPr>
          <w:p w14:paraId="749097AE"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r>
      <w:tr w:rsidR="00C35BE6" w:rsidRPr="00427899" w14:paraId="33262BC1"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25BD341"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Nepoužije se.</w:t>
            </w:r>
          </w:p>
        </w:tc>
        <w:tc>
          <w:tcPr>
            <w:tcW w:w="962" w:type="dxa"/>
            <w:noWrap/>
            <w:hideMark/>
          </w:tcPr>
          <w:p w14:paraId="07C43564"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4566" w:type="dxa"/>
            <w:noWrap/>
            <w:hideMark/>
          </w:tcPr>
          <w:p w14:paraId="0D40E977"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výrobky, které jsou v kontaktu s vodou určenou k lidské spotřebě</w:t>
            </w:r>
          </w:p>
        </w:tc>
        <w:tc>
          <w:tcPr>
            <w:tcW w:w="2124" w:type="dxa"/>
          </w:tcPr>
          <w:p w14:paraId="0E492D2F"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715" w:type="dxa"/>
            <w:noWrap/>
            <w:hideMark/>
          </w:tcPr>
          <w:p w14:paraId="28572B55"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r>
      <w:tr w:rsidR="00C95F37" w:rsidRPr="00427899" w14:paraId="4D03F2AC" w14:textId="77777777" w:rsidTr="00E061B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DBDBDB" w:themeFill="text1" w:themeFillTint="33"/>
            <w:noWrap/>
            <w:hideMark/>
          </w:tcPr>
          <w:p w14:paraId="5A6956B7"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Nepoužije se.</w:t>
            </w:r>
          </w:p>
        </w:tc>
        <w:tc>
          <w:tcPr>
            <w:tcW w:w="962" w:type="dxa"/>
            <w:shd w:val="clear" w:color="auto" w:fill="DBDBDB" w:themeFill="text1" w:themeFillTint="33"/>
            <w:noWrap/>
            <w:hideMark/>
          </w:tcPr>
          <w:p w14:paraId="16308EE3"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35</w:t>
            </w:r>
          </w:p>
        </w:tc>
        <w:tc>
          <w:tcPr>
            <w:tcW w:w="4566" w:type="dxa"/>
            <w:shd w:val="clear" w:color="auto" w:fill="DBDBDB" w:themeFill="text1" w:themeFillTint="33"/>
            <w:noWrap/>
            <w:hideMark/>
          </w:tcPr>
          <w:p w14:paraId="5FE65D39"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požární přepážky, požární těsnění a výrobky pro požární ochranu, výrobky pro zpomalování hoření – Výrobky pro zpomalování hoření</w:t>
            </w:r>
          </w:p>
        </w:tc>
        <w:tc>
          <w:tcPr>
            <w:tcW w:w="2124" w:type="dxa"/>
            <w:shd w:val="clear" w:color="auto" w:fill="DBDBDB" w:themeFill="text1" w:themeFillTint="33"/>
          </w:tcPr>
          <w:p w14:paraId="23934DD8" w14:textId="77777777" w:rsidR="002457B2" w:rsidRPr="00427899" w:rsidRDefault="002457B2">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715" w:type="dxa"/>
            <w:shd w:val="clear" w:color="auto" w:fill="DBDBDB" w:themeFill="text1" w:themeFillTint="33"/>
            <w:noWrap/>
            <w:hideMark/>
          </w:tcPr>
          <w:p w14:paraId="651E0DCA" w14:textId="77777777" w:rsidR="002457B2" w:rsidRPr="00427899" w:rsidRDefault="002457B2">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r>
      <w:tr w:rsidR="00C35BE6" w:rsidRPr="00427899" w14:paraId="4A1B6C56" w14:textId="77777777" w:rsidTr="00E061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B8186BA" w14:textId="77777777" w:rsidR="002457B2" w:rsidRPr="00427899" w:rsidRDefault="002457B2">
            <w:pPr>
              <w:spacing w:before="0" w:after="0"/>
              <w:jc w:val="center"/>
              <w:rPr>
                <w:rFonts w:ascii="Aptos Narrow" w:eastAsia="Times New Roman" w:hAnsi="Aptos Narrow" w:cs="Times New Roman"/>
                <w:noProof/>
                <w:color w:val="000000"/>
              </w:rPr>
            </w:pPr>
            <w:r>
              <w:rPr>
                <w:rFonts w:ascii="Aptos Narrow" w:hAnsi="Aptos Narrow"/>
                <w:noProof/>
                <w:color w:val="000000"/>
              </w:rPr>
              <w:t>Nepoužije se.</w:t>
            </w:r>
          </w:p>
        </w:tc>
        <w:tc>
          <w:tcPr>
            <w:tcW w:w="962" w:type="dxa"/>
            <w:noWrap/>
            <w:hideMark/>
          </w:tcPr>
          <w:p w14:paraId="231A6A09"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36</w:t>
            </w:r>
          </w:p>
        </w:tc>
        <w:tc>
          <w:tcPr>
            <w:tcW w:w="4566" w:type="dxa"/>
            <w:noWrap/>
            <w:hideMark/>
          </w:tcPr>
          <w:p w14:paraId="4762944A"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Trvale instalované žebříky</w:t>
            </w:r>
          </w:p>
        </w:tc>
        <w:tc>
          <w:tcPr>
            <w:tcW w:w="2124" w:type="dxa"/>
          </w:tcPr>
          <w:p w14:paraId="2BDFBD7D" w14:textId="77777777" w:rsidR="002457B2" w:rsidRPr="00427899" w:rsidRDefault="002457B2">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715" w:type="dxa"/>
            <w:noWrap/>
            <w:hideMark/>
          </w:tcPr>
          <w:p w14:paraId="41753FBF" w14:textId="77777777" w:rsidR="002457B2" w:rsidRPr="00427899" w:rsidRDefault="002457B2">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LAD</w:t>
            </w:r>
          </w:p>
        </w:tc>
      </w:tr>
    </w:tbl>
    <w:p w14:paraId="2A42C434" w14:textId="672499DC" w:rsidR="006A0B6D" w:rsidRPr="009E1F70" w:rsidRDefault="15DF28F3" w:rsidP="00C5300B">
      <w:pPr>
        <w:spacing w:before="240"/>
        <w:jc w:val="both"/>
        <w:rPr>
          <w:rFonts w:ascii="Times New Roman" w:hAnsi="Times New Roman" w:cs="Times New Roman"/>
          <w:noProof/>
          <w:sz w:val="24"/>
          <w:szCs w:val="24"/>
        </w:rPr>
      </w:pPr>
      <w:r>
        <w:rPr>
          <w:rFonts w:ascii="Times New Roman" w:hAnsi="Times New Roman"/>
          <w:noProof/>
          <w:sz w:val="24"/>
        </w:rPr>
        <w:t xml:space="preserve">Vzhledem k tomu, že práce zahájené v rámci nařízení o stavebních výrobcích z roku 2011 stále pokračují, navrhla Komise expertní skupině pro CPR </w:t>
      </w:r>
      <w:r>
        <w:rPr>
          <w:rFonts w:ascii="Times New Roman" w:hAnsi="Times New Roman"/>
          <w:i/>
          <w:noProof/>
          <w:sz w:val="24"/>
        </w:rPr>
        <w:t xml:space="preserve">acquis </w:t>
      </w:r>
      <w:r>
        <w:rPr>
          <w:rFonts w:ascii="Times New Roman" w:hAnsi="Times New Roman"/>
          <w:noProof/>
          <w:sz w:val="24"/>
        </w:rPr>
        <w:t>na začátku roku 2025, aby do značné míry zachovala pořadí stanovené v roce 2020, neboť stále odráží regulační potřeby členských států, otázky bezpečnosti související se stavebními pracemi a výrobky a cíle Unie v oblasti klimatu a oběhového hospodářství</w:t>
      </w:r>
      <w:r>
        <w:rPr>
          <w:rStyle w:val="FootnoteReference"/>
          <w:rFonts w:ascii="Times New Roman" w:hAnsi="Times New Roman" w:cs="Times New Roman"/>
          <w:noProof/>
          <w:sz w:val="24"/>
          <w:szCs w:val="24"/>
        </w:rPr>
        <w:footnoteReference w:id="25"/>
      </w:r>
      <w:r>
        <w:rPr>
          <w:rFonts w:ascii="Times New Roman" w:hAnsi="Times New Roman"/>
          <w:noProof/>
          <w:sz w:val="24"/>
        </w:rPr>
        <w:t>. Komise navrhla dříve zavedené pořadí mírně aktualizovat s cílem:</w:t>
      </w:r>
    </w:p>
    <w:p w14:paraId="5E6DD163" w14:textId="66A2B1C8" w:rsidR="006A0B6D" w:rsidRPr="006D2C33" w:rsidRDefault="00670493" w:rsidP="006D2C33">
      <w:pPr>
        <w:pStyle w:val="Point3number"/>
        <w:numPr>
          <w:ilvl w:val="6"/>
          <w:numId w:val="22"/>
        </w:numPr>
        <w:tabs>
          <w:tab w:val="num" w:pos="1080"/>
        </w:tabs>
        <w:rPr>
          <w:noProof/>
        </w:rPr>
      </w:pPr>
      <w:r>
        <w:rPr>
          <w:noProof/>
        </w:rPr>
        <w:t>provést úpravu podle změn priorit členských států, pokud jde o jejich regulační potřeby;</w:t>
      </w:r>
    </w:p>
    <w:p w14:paraId="36069C48" w14:textId="03500BB7" w:rsidR="006A0B6D" w:rsidRPr="006D2C33" w:rsidRDefault="007D75C9" w:rsidP="006D2C33">
      <w:pPr>
        <w:pStyle w:val="Point3number"/>
        <w:numPr>
          <w:ilvl w:val="6"/>
          <w:numId w:val="22"/>
        </w:numPr>
        <w:tabs>
          <w:tab w:val="num" w:pos="1080"/>
        </w:tabs>
        <w:rPr>
          <w:noProof/>
        </w:rPr>
      </w:pPr>
      <w:r>
        <w:rPr>
          <w:noProof/>
        </w:rPr>
        <w:t>uvážit současné priority Komise, zejména v souvislosti s Evropským plánem dostupného bydlení, Evropskou strategií pro bytovou výstavbu, Dohodou o čistém průmyslu, aktem o oběhovém hospodářství a Strategií EU pro biohospodářství, a způsoby, jak mohou být tyto iniciativy doplněny nařízením o stavebních výrobcích;</w:t>
      </w:r>
    </w:p>
    <w:p w14:paraId="36A63D6A" w14:textId="30DE2121" w:rsidR="006A0B6D" w:rsidRPr="006D2C33" w:rsidRDefault="006A0B6D" w:rsidP="006D2C33">
      <w:pPr>
        <w:pStyle w:val="Point3number"/>
        <w:numPr>
          <w:ilvl w:val="6"/>
          <w:numId w:val="22"/>
        </w:numPr>
        <w:tabs>
          <w:tab w:val="num" w:pos="1080"/>
        </w:tabs>
        <w:rPr>
          <w:noProof/>
        </w:rPr>
      </w:pPr>
      <w:r>
        <w:rPr>
          <w:noProof/>
        </w:rPr>
        <w:t>zajistit, aby oblast působnosti nařízení o stavebních výrobcích byla plně zohledněna zahrnutím všech skupin výrobků uvedených v příloze VII;</w:t>
      </w:r>
    </w:p>
    <w:p w14:paraId="228EDB62" w14:textId="55A57D34" w:rsidR="006A0B6D" w:rsidRPr="006D2C33" w:rsidRDefault="006A0B6D" w:rsidP="006D2C33">
      <w:pPr>
        <w:pStyle w:val="Point3number"/>
        <w:numPr>
          <w:ilvl w:val="6"/>
          <w:numId w:val="22"/>
        </w:numPr>
        <w:tabs>
          <w:tab w:val="num" w:pos="1080"/>
        </w:tabs>
        <w:rPr>
          <w:noProof/>
        </w:rPr>
      </w:pPr>
      <w:r>
        <w:rPr>
          <w:noProof/>
        </w:rPr>
        <w:t xml:space="preserve">synchronizovat prováděcí činnosti související s nařízením o ekodesignu udržitelných výrobků s prací na CPR </w:t>
      </w:r>
      <w:r>
        <w:rPr>
          <w:i/>
          <w:noProof/>
        </w:rPr>
        <w:t>acquis</w:t>
      </w:r>
      <w:r>
        <w:rPr>
          <w:noProof/>
        </w:rPr>
        <w:t xml:space="preserve"> a zajistit, aby práce na (podobných) výrobcích, na které se vztahují obě nařízení, probíhaly současně;</w:t>
      </w:r>
    </w:p>
    <w:p w14:paraId="2531D0C7" w14:textId="349CA98D" w:rsidR="00590EEF" w:rsidRPr="006D2C33" w:rsidRDefault="006A0B6D" w:rsidP="006D2C33">
      <w:pPr>
        <w:pStyle w:val="Point3number"/>
        <w:numPr>
          <w:ilvl w:val="6"/>
          <w:numId w:val="22"/>
        </w:numPr>
        <w:tabs>
          <w:tab w:val="num" w:pos="1080"/>
        </w:tabs>
        <w:rPr>
          <w:noProof/>
        </w:rPr>
      </w:pPr>
      <w:r>
        <w:rPr>
          <w:noProof/>
        </w:rPr>
        <w:t>zefektivnit činnosti, pokud lze práci na dvou skupinách výrobků spojit do jedné podskupiny.</w:t>
      </w:r>
    </w:p>
    <w:p w14:paraId="52E1A760" w14:textId="4899A1EE" w:rsidR="000A788F" w:rsidRPr="009E1F70" w:rsidRDefault="174BDCB5" w:rsidP="005F7DA2">
      <w:pPr>
        <w:spacing w:before="240"/>
        <w:jc w:val="both"/>
        <w:rPr>
          <w:rFonts w:ascii="Times New Roman" w:hAnsi="Times New Roman" w:cs="Times New Roman"/>
          <w:noProof/>
          <w:sz w:val="24"/>
          <w:szCs w:val="24"/>
        </w:rPr>
      </w:pPr>
      <w:r>
        <w:rPr>
          <w:rFonts w:ascii="Times New Roman" w:hAnsi="Times New Roman"/>
          <w:noProof/>
          <w:sz w:val="24"/>
        </w:rPr>
        <w:t xml:space="preserve">Konzultace s expertní skupinou pro CPR </w:t>
      </w:r>
      <w:r>
        <w:rPr>
          <w:rFonts w:ascii="Times New Roman" w:hAnsi="Times New Roman"/>
          <w:i/>
          <w:noProof/>
          <w:sz w:val="24"/>
        </w:rPr>
        <w:t>acquis</w:t>
      </w:r>
      <w:r>
        <w:rPr>
          <w:rFonts w:ascii="Times New Roman" w:hAnsi="Times New Roman"/>
          <w:noProof/>
          <w:sz w:val="24"/>
        </w:rPr>
        <w:t xml:space="preserve"> vedla k následujícímu pořadí pro zahájení práce v konkrétních podskupinách. </w:t>
      </w:r>
    </w:p>
    <w:p w14:paraId="2A0D381E" w14:textId="23F3E42D" w:rsidR="0019125A" w:rsidRPr="009E1F70" w:rsidRDefault="00E76A02" w:rsidP="0019125A">
      <w:pPr>
        <w:pStyle w:val="Caption"/>
        <w:keepNext/>
        <w:jc w:val="center"/>
        <w:rPr>
          <w:rFonts w:ascii="Times New Roman" w:hAnsi="Times New Roman" w:cs="Times New Roman"/>
          <w:b/>
          <w:bCs/>
          <w:i w:val="0"/>
          <w:iCs w:val="0"/>
          <w:noProof/>
          <w:color w:val="auto"/>
          <w:sz w:val="20"/>
          <w:szCs w:val="20"/>
        </w:rPr>
      </w:pPr>
      <w:r>
        <w:rPr>
          <w:rFonts w:ascii="Times New Roman" w:hAnsi="Times New Roman"/>
          <w:b/>
          <w:i w:val="0"/>
          <w:noProof/>
          <w:color w:val="auto"/>
          <w:sz w:val="20"/>
        </w:rPr>
        <w:t xml:space="preserve">Tabulka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separate"/>
      </w:r>
      <w:r>
        <w:rPr>
          <w:rFonts w:ascii="Times New Roman" w:hAnsi="Times New Roman" w:cs="Times New Roman"/>
          <w:b/>
          <w:i w:val="0"/>
          <w:noProof/>
          <w:color w:val="auto"/>
          <w:sz w:val="20"/>
        </w:rPr>
        <w:t>2</w:t>
      </w:r>
      <w:r>
        <w:rPr>
          <w:rFonts w:ascii="Times New Roman" w:hAnsi="Times New Roman" w:cs="Times New Roman"/>
          <w:b/>
          <w:i w:val="0"/>
          <w:noProof/>
          <w:color w:val="auto"/>
          <w:sz w:val="20"/>
        </w:rPr>
        <w:fldChar w:fldCharType="end"/>
      </w:r>
      <w:r>
        <w:rPr>
          <w:rFonts w:ascii="Times New Roman" w:hAnsi="Times New Roman"/>
          <w:b/>
          <w:i w:val="0"/>
          <w:noProof/>
          <w:color w:val="auto"/>
          <w:sz w:val="20"/>
        </w:rPr>
        <w:t xml:space="preserve"> </w:t>
      </w:r>
      <w:r>
        <w:rPr>
          <w:rFonts w:ascii="Times New Roman" w:hAnsi="Times New Roman" w:cs="Times New Roman"/>
          <w:b/>
          <w:i w:val="0"/>
          <w:noProof/>
          <w:color w:val="auto"/>
          <w:sz w:val="20"/>
        </w:rPr>
        <w:fldChar w:fldCharType="begin"/>
      </w:r>
      <w:r>
        <w:rPr>
          <w:rFonts w:ascii="Times New Roman" w:hAnsi="Times New Roman" w:cs="Times New Roman"/>
          <w:b/>
          <w:i w:val="0"/>
          <w:noProof/>
          <w:color w:val="auto"/>
          <w:sz w:val="20"/>
        </w:rPr>
        <w:instrText>SEQ Table \* ARABIC</w:instrText>
      </w:r>
      <w:r>
        <w:rPr>
          <w:rFonts w:ascii="Times New Roman" w:hAnsi="Times New Roman" w:cs="Times New Roman"/>
          <w:b/>
          <w:i w:val="0"/>
          <w:noProof/>
          <w:color w:val="auto"/>
          <w:sz w:val="20"/>
        </w:rPr>
        <w:fldChar w:fldCharType="end"/>
      </w:r>
      <w:r>
        <w:rPr>
          <w:noProof/>
        </w:rPr>
        <w:t>–</w:t>
      </w:r>
      <w:r>
        <w:rPr>
          <w:rFonts w:ascii="Times New Roman" w:hAnsi="Times New Roman"/>
          <w:b/>
          <w:i w:val="0"/>
          <w:noProof/>
          <w:color w:val="auto"/>
          <w:sz w:val="20"/>
        </w:rPr>
        <w:t xml:space="preserve"> Nový seznam priorit pro skupiny výrobků </w:t>
      </w:r>
    </w:p>
    <w:tbl>
      <w:tblPr>
        <w:tblStyle w:val="TableGrid"/>
        <w:tblW w:w="0" w:type="auto"/>
        <w:tblLayout w:type="fixed"/>
        <w:tblLook w:val="04A0" w:firstRow="1" w:lastRow="0" w:firstColumn="1" w:lastColumn="0" w:noHBand="0" w:noVBand="1"/>
      </w:tblPr>
      <w:tblGrid>
        <w:gridCol w:w="1173"/>
        <w:gridCol w:w="1026"/>
        <w:gridCol w:w="1062"/>
        <w:gridCol w:w="4110"/>
        <w:gridCol w:w="851"/>
        <w:gridCol w:w="1138"/>
      </w:tblGrid>
      <w:tr w:rsidR="00786B25" w:rsidRPr="00427899" w14:paraId="29A43F36" w14:textId="77777777" w:rsidTr="00794F8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173" w:type="dxa"/>
          </w:tcPr>
          <w:p w14:paraId="22414207" w14:textId="15A5FC6E" w:rsidR="00C71DF6" w:rsidRPr="00832A60" w:rsidRDefault="00C71DF6">
            <w:pPr>
              <w:spacing w:before="0" w:after="0"/>
              <w:jc w:val="center"/>
              <w:rPr>
                <w:rFonts w:ascii="Aptos Narrow" w:eastAsia="Times New Roman" w:hAnsi="Aptos Narrow" w:cs="Times New Roman"/>
                <w:noProof/>
                <w:color w:val="000000"/>
              </w:rPr>
            </w:pPr>
            <w:r>
              <w:rPr>
                <w:rFonts w:ascii="Aptos Narrow" w:hAnsi="Aptos Narrow"/>
                <w:noProof/>
                <w:color w:val="000000"/>
              </w:rPr>
              <w:t>Nová priorita/</w:t>
            </w:r>
            <w:r>
              <w:rPr>
                <w:noProof/>
              </w:rPr>
              <w:t xml:space="preserve"> </w:t>
            </w:r>
            <w:r>
              <w:rPr>
                <w:noProof/>
              </w:rPr>
              <w:br/>
            </w:r>
            <w:r>
              <w:rPr>
                <w:rFonts w:ascii="Aptos Narrow" w:hAnsi="Aptos Narrow"/>
                <w:noProof/>
                <w:color w:val="000000"/>
              </w:rPr>
              <w:t>status</w:t>
            </w:r>
          </w:p>
        </w:tc>
        <w:tc>
          <w:tcPr>
            <w:tcW w:w="1026" w:type="dxa"/>
            <w:shd w:val="clear" w:color="auto" w:fill="034EA2" w:themeFill="text2"/>
            <w:noWrap/>
            <w:hideMark/>
          </w:tcPr>
          <w:p w14:paraId="3C8EC76F" w14:textId="6D58D11A" w:rsidR="00C71DF6" w:rsidRPr="00427899"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Priorita 2020</w:t>
            </w:r>
          </w:p>
        </w:tc>
        <w:tc>
          <w:tcPr>
            <w:tcW w:w="1062" w:type="dxa"/>
            <w:shd w:val="clear" w:color="auto" w:fill="034EA2" w:themeFill="text2"/>
            <w:noWrap/>
            <w:hideMark/>
          </w:tcPr>
          <w:p w14:paraId="4C85B7D7" w14:textId="7CA406C9" w:rsidR="00C71DF6" w:rsidRPr="00427899"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Č. skupiny výrobků</w:t>
            </w:r>
          </w:p>
        </w:tc>
        <w:tc>
          <w:tcPr>
            <w:tcW w:w="4110" w:type="dxa"/>
            <w:shd w:val="clear" w:color="auto" w:fill="034EA2" w:themeFill="text2"/>
            <w:noWrap/>
            <w:hideMark/>
          </w:tcPr>
          <w:p w14:paraId="40EA926A" w14:textId="77777777" w:rsidR="00C71DF6" w:rsidRPr="00427899" w:rsidRDefault="00C71DF6">
            <w:pPr>
              <w:spacing w:before="0"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Skupina výrobků</w:t>
            </w:r>
          </w:p>
        </w:tc>
        <w:tc>
          <w:tcPr>
            <w:tcW w:w="851" w:type="dxa"/>
            <w:shd w:val="clear" w:color="auto" w:fill="034EA2" w:themeFill="text2"/>
          </w:tcPr>
          <w:p w14:paraId="01FFC826" w14:textId="77777777" w:rsidR="00C71DF6" w:rsidRDefault="00C71DF6">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Písmenný kód</w:t>
            </w:r>
          </w:p>
        </w:tc>
        <w:tc>
          <w:tcPr>
            <w:tcW w:w="1138" w:type="dxa"/>
            <w:shd w:val="clear" w:color="auto" w:fill="034EA2" w:themeFill="text2"/>
          </w:tcPr>
          <w:p w14:paraId="4CAE12E6" w14:textId="1105A7D7" w:rsidR="00C71DF6" w:rsidRPr="00427899" w:rsidRDefault="00C71DF6" w:rsidP="006E51E0">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 xml:space="preserve">Práce na CPR </w:t>
            </w:r>
            <w:r>
              <w:rPr>
                <w:rFonts w:ascii="Aptos Narrow" w:hAnsi="Aptos Narrow"/>
                <w:i/>
                <w:noProof/>
              </w:rPr>
              <w:t>acquis</w:t>
            </w:r>
            <w:r>
              <w:rPr>
                <w:rFonts w:ascii="Aptos Narrow" w:hAnsi="Aptos Narrow"/>
                <w:noProof/>
              </w:rPr>
              <w:t xml:space="preserve"> byly zahájeny</w:t>
            </w:r>
          </w:p>
        </w:tc>
      </w:tr>
      <w:tr w:rsidR="00D72D26" w:rsidRPr="00427899" w14:paraId="672DCFBE"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26529DC" w14:textId="3B3C2624"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SReq. přijata</w:t>
            </w:r>
            <w:r>
              <w:rPr>
                <w:rStyle w:val="FootnoteReference"/>
                <w:rFonts w:ascii="Aptos Narrow" w:eastAsia="Times New Roman" w:hAnsi="Aptos Narrow" w:cs="Times New Roman"/>
                <w:b/>
                <w:noProof/>
                <w:color w:val="034EA2" w:themeColor="text2"/>
                <w:lang w:eastAsia="en-IE"/>
              </w:rPr>
              <w:footnoteReference w:id="26"/>
            </w:r>
          </w:p>
        </w:tc>
        <w:tc>
          <w:tcPr>
            <w:tcW w:w="1026" w:type="dxa"/>
            <w:noWrap/>
          </w:tcPr>
          <w:p w14:paraId="5E03B603" w14:textId="79FC1809" w:rsidR="00C71DF6" w:rsidRPr="00427899" w:rsidRDefault="00A94BC8"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1062" w:type="dxa"/>
            <w:noWrap/>
          </w:tcPr>
          <w:p w14:paraId="4F6A69CE" w14:textId="65C8DC04"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01</w:t>
            </w:r>
          </w:p>
        </w:tc>
        <w:tc>
          <w:tcPr>
            <w:tcW w:w="4110" w:type="dxa"/>
            <w:noWrap/>
          </w:tcPr>
          <w:p w14:paraId="4069E013" w14:textId="13EB8C17" w:rsidR="00C71DF6" w:rsidRPr="00427899" w:rsidRDefault="00C71DF6"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Prefabrikované výrobky z obyčejného/lehkého betonu a autoklávovaného pórobetonu</w:t>
            </w:r>
          </w:p>
        </w:tc>
        <w:tc>
          <w:tcPr>
            <w:tcW w:w="851" w:type="dxa"/>
          </w:tcPr>
          <w:p w14:paraId="38C60362" w14:textId="70F67250"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PCP</w:t>
            </w:r>
          </w:p>
        </w:tc>
        <w:tc>
          <w:tcPr>
            <w:tcW w:w="1138" w:type="dxa"/>
          </w:tcPr>
          <w:p w14:paraId="1F7C8F36" w14:textId="4B3FE5AA" w:rsidR="00C71DF6" w:rsidRDefault="00C71DF6"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650264C5"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6387972B" w14:textId="6DC38A37"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SReq. přijata</w:t>
            </w:r>
          </w:p>
        </w:tc>
        <w:tc>
          <w:tcPr>
            <w:tcW w:w="1026" w:type="dxa"/>
            <w:shd w:val="clear" w:color="auto" w:fill="DBDBDB" w:themeFill="text1" w:themeFillTint="33"/>
            <w:noWrap/>
          </w:tcPr>
          <w:p w14:paraId="63BF4315" w14:textId="5A6940C6" w:rsidR="00C71DF6" w:rsidRPr="00427899" w:rsidRDefault="00A94BC8"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1062" w:type="dxa"/>
            <w:shd w:val="clear" w:color="auto" w:fill="DBDBDB" w:themeFill="text1" w:themeFillTint="33"/>
            <w:noWrap/>
          </w:tcPr>
          <w:p w14:paraId="3B7D5D23" w14:textId="65AD83BE"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4110" w:type="dxa"/>
            <w:shd w:val="clear" w:color="auto" w:fill="DBDBDB" w:themeFill="text1" w:themeFillTint="33"/>
            <w:noWrap/>
          </w:tcPr>
          <w:p w14:paraId="536ADFC1" w14:textId="4E6A0B1F" w:rsidR="00C71DF6" w:rsidRPr="00427899" w:rsidRDefault="00C71DF6"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Konstrukční kovové výrobky a doplňky</w:t>
            </w:r>
          </w:p>
        </w:tc>
        <w:tc>
          <w:tcPr>
            <w:tcW w:w="851" w:type="dxa"/>
            <w:shd w:val="clear" w:color="auto" w:fill="DBDBDB" w:themeFill="text1" w:themeFillTint="33"/>
          </w:tcPr>
          <w:p w14:paraId="4616D95D" w14:textId="398C52A9"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c>
          <w:tcPr>
            <w:tcW w:w="1138" w:type="dxa"/>
            <w:shd w:val="clear" w:color="auto" w:fill="DBDBDB" w:themeFill="text1" w:themeFillTint="33"/>
          </w:tcPr>
          <w:p w14:paraId="759D8DFD" w14:textId="6D5A7DDA" w:rsidR="00C71DF6" w:rsidRDefault="00C71DF6"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7E2A31AA"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8098E9A" w14:textId="01B784D6" w:rsidR="00C71DF6" w:rsidRPr="00832A60" w:rsidRDefault="008D54BA"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SReq. přijata</w:t>
            </w:r>
          </w:p>
        </w:tc>
        <w:tc>
          <w:tcPr>
            <w:tcW w:w="1026" w:type="dxa"/>
            <w:noWrap/>
          </w:tcPr>
          <w:p w14:paraId="21B09D7D" w14:textId="3EE6D292" w:rsidR="00C71DF6" w:rsidRPr="00427899" w:rsidRDefault="00A94BC8"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1062" w:type="dxa"/>
            <w:noWrap/>
          </w:tcPr>
          <w:p w14:paraId="0F967B7C" w14:textId="4CA402F7"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4110" w:type="dxa"/>
            <w:noWrap/>
          </w:tcPr>
          <w:p w14:paraId="1B0C0AEE" w14:textId="55398A03" w:rsidR="00C71DF6" w:rsidRPr="00427899" w:rsidRDefault="00C71DF6"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Výztužná a předpínací betonářská ocel (a doplňky) – předpínací sestavy</w:t>
            </w:r>
          </w:p>
        </w:tc>
        <w:tc>
          <w:tcPr>
            <w:tcW w:w="851" w:type="dxa"/>
          </w:tcPr>
          <w:p w14:paraId="380C1FDB" w14:textId="574BF0F0" w:rsidR="00C71DF6" w:rsidRPr="00427899" w:rsidRDefault="00C71DF6" w:rsidP="003015DB">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c>
          <w:tcPr>
            <w:tcW w:w="1138" w:type="dxa"/>
          </w:tcPr>
          <w:p w14:paraId="442EF4C4" w14:textId="439AFEE5" w:rsidR="00C71DF6" w:rsidRDefault="00C71DF6"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592B828D"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33C034D4" w14:textId="39C4C470" w:rsidR="00C71DF6" w:rsidRPr="00832A60" w:rsidRDefault="00F84240" w:rsidP="003015DB">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Příprava SReq.</w:t>
            </w:r>
          </w:p>
        </w:tc>
        <w:tc>
          <w:tcPr>
            <w:tcW w:w="1026" w:type="dxa"/>
            <w:shd w:val="clear" w:color="auto" w:fill="DBDBDB" w:themeFill="text1" w:themeFillTint="33"/>
            <w:noWrap/>
          </w:tcPr>
          <w:p w14:paraId="6FB77C69" w14:textId="15460499" w:rsidR="00C71DF6" w:rsidRPr="00427899" w:rsidRDefault="00A94BC8"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1062" w:type="dxa"/>
            <w:shd w:val="clear" w:color="auto" w:fill="DBDBDB" w:themeFill="text1" w:themeFillTint="33"/>
            <w:noWrap/>
          </w:tcPr>
          <w:p w14:paraId="6D2CA85A" w14:textId="4B1289A2"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02</w:t>
            </w:r>
          </w:p>
        </w:tc>
        <w:tc>
          <w:tcPr>
            <w:tcW w:w="4110" w:type="dxa"/>
            <w:shd w:val="clear" w:color="auto" w:fill="DBDBDB" w:themeFill="text1" w:themeFillTint="33"/>
            <w:noWrap/>
          </w:tcPr>
          <w:p w14:paraId="65436739" w14:textId="1B70888F" w:rsidR="00C71DF6" w:rsidRPr="00427899" w:rsidRDefault="00C71DF6"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Dveře, okna, okenice, vrata a příslušné stavební kování</w:t>
            </w:r>
          </w:p>
        </w:tc>
        <w:tc>
          <w:tcPr>
            <w:tcW w:w="851" w:type="dxa"/>
            <w:shd w:val="clear" w:color="auto" w:fill="DBDBDB" w:themeFill="text1" w:themeFillTint="33"/>
          </w:tcPr>
          <w:p w14:paraId="65DBF083" w14:textId="17671556" w:rsidR="00C71DF6" w:rsidRPr="00427899" w:rsidRDefault="00C71DF6" w:rsidP="003015DB">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c>
          <w:tcPr>
            <w:tcW w:w="1138" w:type="dxa"/>
            <w:shd w:val="clear" w:color="auto" w:fill="DBDBDB" w:themeFill="text1" w:themeFillTint="33"/>
          </w:tcPr>
          <w:p w14:paraId="41A6C6A1" w14:textId="2C3163D8" w:rsidR="00C71DF6" w:rsidRDefault="00C71DF6"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10A4C000"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53C3E5A" w14:textId="08A180E1"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SReq. přijata</w:t>
            </w:r>
          </w:p>
        </w:tc>
        <w:tc>
          <w:tcPr>
            <w:tcW w:w="1026" w:type="dxa"/>
            <w:noWrap/>
          </w:tcPr>
          <w:p w14:paraId="2330E873" w14:textId="24EA2E8F"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1062" w:type="dxa"/>
            <w:noWrap/>
          </w:tcPr>
          <w:p w14:paraId="26525108" w14:textId="2136E5C5"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4110" w:type="dxa"/>
            <w:noWrap/>
          </w:tcPr>
          <w:p w14:paraId="3EFB5DCC" w14:textId="473385E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Cement, stavební vápna a jiná hydraulická pojiva</w:t>
            </w:r>
          </w:p>
        </w:tc>
        <w:tc>
          <w:tcPr>
            <w:tcW w:w="851" w:type="dxa"/>
          </w:tcPr>
          <w:p w14:paraId="4C4A364C" w14:textId="68AA382A"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c>
          <w:tcPr>
            <w:tcW w:w="1138" w:type="dxa"/>
          </w:tcPr>
          <w:p w14:paraId="5611DD9F" w14:textId="7DD02856" w:rsidR="00F84240"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0F5D8B30"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1B6672BB" w14:textId="2B2201E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Příprava SReq.</w:t>
            </w:r>
          </w:p>
        </w:tc>
        <w:tc>
          <w:tcPr>
            <w:tcW w:w="1026" w:type="dxa"/>
            <w:shd w:val="clear" w:color="auto" w:fill="DBDBDB" w:themeFill="text1" w:themeFillTint="33"/>
            <w:noWrap/>
          </w:tcPr>
          <w:p w14:paraId="444C2249" w14:textId="3BCF84A8"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1062" w:type="dxa"/>
            <w:shd w:val="clear" w:color="auto" w:fill="DBDBDB" w:themeFill="text1" w:themeFillTint="33"/>
            <w:noWrap/>
          </w:tcPr>
          <w:p w14:paraId="37CC26C2" w14:textId="4CDE747E"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04</w:t>
            </w:r>
          </w:p>
        </w:tc>
        <w:tc>
          <w:tcPr>
            <w:tcW w:w="4110" w:type="dxa"/>
            <w:shd w:val="clear" w:color="auto" w:fill="DBDBDB" w:themeFill="text1" w:themeFillTint="33"/>
            <w:noWrap/>
          </w:tcPr>
          <w:p w14:paraId="2DF7AAF5" w14:textId="33743122"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Tepelněizolační výrobky – kompozitní izolační sestavy nebo systémy</w:t>
            </w:r>
          </w:p>
        </w:tc>
        <w:tc>
          <w:tcPr>
            <w:tcW w:w="851" w:type="dxa"/>
            <w:shd w:val="clear" w:color="auto" w:fill="DBDBDB" w:themeFill="text1" w:themeFillTint="33"/>
          </w:tcPr>
          <w:p w14:paraId="1166419D" w14:textId="60D5CB1E"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c>
          <w:tcPr>
            <w:tcW w:w="1138" w:type="dxa"/>
            <w:shd w:val="clear" w:color="auto" w:fill="DBDBDB" w:themeFill="text1" w:themeFillTint="33"/>
          </w:tcPr>
          <w:p w14:paraId="1AEFD7E3" w14:textId="35A86766" w:rsidR="00F84240"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75C28955"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12B15A53" w14:textId="64B09199"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Příprava SReq.</w:t>
            </w:r>
          </w:p>
        </w:tc>
        <w:tc>
          <w:tcPr>
            <w:tcW w:w="1026" w:type="dxa"/>
            <w:noWrap/>
          </w:tcPr>
          <w:p w14:paraId="38E2EA3C" w14:textId="15A661C8"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1062" w:type="dxa"/>
            <w:noWrap/>
          </w:tcPr>
          <w:p w14:paraId="7440CF98" w14:textId="4D727EF1"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4110" w:type="dxa"/>
            <w:noWrap/>
          </w:tcPr>
          <w:p w14:paraId="7568E537" w14:textId="0C00689A"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 plochého skla, profilovaného skla a skleněných tvárnic</w:t>
            </w:r>
          </w:p>
        </w:tc>
        <w:tc>
          <w:tcPr>
            <w:tcW w:w="851" w:type="dxa"/>
          </w:tcPr>
          <w:p w14:paraId="542E5781" w14:textId="62CF189F"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c>
          <w:tcPr>
            <w:tcW w:w="1138" w:type="dxa"/>
          </w:tcPr>
          <w:p w14:paraId="10DFD8B1" w14:textId="18938D26" w:rsidR="00F84240"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786B25" w:rsidRPr="00427899" w14:paraId="14D4BCC4"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shd w:val="clear" w:color="auto" w:fill="DBDBDB" w:themeFill="text1" w:themeFillTint="33"/>
          </w:tcPr>
          <w:p w14:paraId="1D19B583"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01</w:t>
            </w:r>
          </w:p>
        </w:tc>
        <w:tc>
          <w:tcPr>
            <w:tcW w:w="1026" w:type="dxa"/>
            <w:shd w:val="clear" w:color="auto" w:fill="DBDBDB" w:themeFill="text1" w:themeFillTint="33"/>
            <w:noWrap/>
            <w:hideMark/>
          </w:tcPr>
          <w:p w14:paraId="7E55339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1062" w:type="dxa"/>
            <w:shd w:val="clear" w:color="auto" w:fill="DBDBDB" w:themeFill="text1" w:themeFillTint="33"/>
            <w:noWrap/>
            <w:hideMark/>
          </w:tcPr>
          <w:p w14:paraId="25A8E8E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4110" w:type="dxa"/>
            <w:shd w:val="clear" w:color="auto" w:fill="DBDBDB" w:themeFill="text1" w:themeFillTint="33"/>
            <w:noWrap/>
            <w:hideMark/>
          </w:tcPr>
          <w:p w14:paraId="5BFB6624"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a prvky z konstrukčního dřeva a doplňky</w:t>
            </w:r>
          </w:p>
        </w:tc>
        <w:tc>
          <w:tcPr>
            <w:tcW w:w="851" w:type="dxa"/>
            <w:shd w:val="clear" w:color="auto" w:fill="DBDBDB" w:themeFill="text1" w:themeFillTint="33"/>
          </w:tcPr>
          <w:p w14:paraId="568A61D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c>
          <w:tcPr>
            <w:tcW w:w="1138" w:type="dxa"/>
            <w:shd w:val="clear" w:color="auto" w:fill="DBDBDB" w:themeFill="text1" w:themeFillTint="33"/>
          </w:tcPr>
          <w:p w14:paraId="15D7A0F7"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733E11D5"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tcPr>
          <w:p w14:paraId="405A5F81"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noWrap/>
            <w:hideMark/>
          </w:tcPr>
          <w:p w14:paraId="660EA975"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16</w:t>
            </w:r>
          </w:p>
        </w:tc>
        <w:tc>
          <w:tcPr>
            <w:tcW w:w="1062" w:type="dxa"/>
            <w:noWrap/>
            <w:hideMark/>
          </w:tcPr>
          <w:p w14:paraId="5B87E64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14</w:t>
            </w:r>
          </w:p>
        </w:tc>
        <w:tc>
          <w:tcPr>
            <w:tcW w:w="4110" w:type="dxa"/>
            <w:noWrap/>
            <w:hideMark/>
          </w:tcPr>
          <w:p w14:paraId="079A773C"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Panely a prvky na bázi dřeva</w:t>
            </w:r>
          </w:p>
        </w:tc>
        <w:tc>
          <w:tcPr>
            <w:tcW w:w="851" w:type="dxa"/>
          </w:tcPr>
          <w:p w14:paraId="4BDCDDD0"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c>
          <w:tcPr>
            <w:tcW w:w="1138" w:type="dxa"/>
          </w:tcPr>
          <w:p w14:paraId="7336440F"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786B25" w:rsidRPr="00427899" w14:paraId="2CF8BD8C"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F3EFFA2"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02</w:t>
            </w:r>
          </w:p>
        </w:tc>
        <w:tc>
          <w:tcPr>
            <w:tcW w:w="1026" w:type="dxa"/>
            <w:shd w:val="clear" w:color="auto" w:fill="DBDBDB" w:themeFill="text1" w:themeFillTint="33"/>
            <w:noWrap/>
            <w:hideMark/>
          </w:tcPr>
          <w:p w14:paraId="1EE1A90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1062" w:type="dxa"/>
            <w:shd w:val="clear" w:color="auto" w:fill="DBDBDB" w:themeFill="text1" w:themeFillTint="33"/>
            <w:noWrap/>
            <w:hideMark/>
          </w:tcPr>
          <w:p w14:paraId="521DDD0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4110" w:type="dxa"/>
            <w:shd w:val="clear" w:color="auto" w:fill="DBDBDB" w:themeFill="text1" w:themeFillTint="33"/>
            <w:noWrap/>
            <w:hideMark/>
          </w:tcPr>
          <w:p w14:paraId="5EB49EC5"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beton, malty a injektážní malty</w:t>
            </w:r>
          </w:p>
        </w:tc>
        <w:tc>
          <w:tcPr>
            <w:tcW w:w="851" w:type="dxa"/>
            <w:shd w:val="clear" w:color="auto" w:fill="DBDBDB" w:themeFill="text1" w:themeFillTint="33"/>
          </w:tcPr>
          <w:p w14:paraId="523BCDD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c>
          <w:tcPr>
            <w:tcW w:w="1138" w:type="dxa"/>
            <w:shd w:val="clear" w:color="auto" w:fill="DBDBDB" w:themeFill="text1" w:themeFillTint="33"/>
          </w:tcPr>
          <w:p w14:paraId="5B55C9D7"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52CD66F8"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5D8C614D"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03</w:t>
            </w:r>
          </w:p>
        </w:tc>
        <w:tc>
          <w:tcPr>
            <w:tcW w:w="1026" w:type="dxa"/>
            <w:noWrap/>
            <w:hideMark/>
          </w:tcPr>
          <w:p w14:paraId="6D7D9EB6"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1062" w:type="dxa"/>
            <w:noWrap/>
            <w:hideMark/>
          </w:tcPr>
          <w:p w14:paraId="073EA0D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4110" w:type="dxa"/>
            <w:noWrap/>
            <w:hideMark/>
          </w:tcPr>
          <w:p w14:paraId="08ADCB67"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Zdivo a související výrobky – zdicí prvky, malty a doplňky</w:t>
            </w:r>
          </w:p>
        </w:tc>
        <w:tc>
          <w:tcPr>
            <w:tcW w:w="851" w:type="dxa"/>
          </w:tcPr>
          <w:p w14:paraId="0E60D9BB"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c>
          <w:tcPr>
            <w:tcW w:w="1138" w:type="dxa"/>
          </w:tcPr>
          <w:p w14:paraId="348D8DF6"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786B25" w:rsidRPr="00427899" w14:paraId="7B0448DD"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CF42A70"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04</w:t>
            </w:r>
          </w:p>
        </w:tc>
        <w:tc>
          <w:tcPr>
            <w:tcW w:w="1026" w:type="dxa"/>
            <w:shd w:val="clear" w:color="auto" w:fill="DBDBDB" w:themeFill="text1" w:themeFillTint="33"/>
            <w:noWrap/>
            <w:hideMark/>
          </w:tcPr>
          <w:p w14:paraId="2E0CC53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1062" w:type="dxa"/>
            <w:shd w:val="clear" w:color="auto" w:fill="DBDBDB" w:themeFill="text1" w:themeFillTint="33"/>
            <w:noWrap/>
            <w:hideMark/>
          </w:tcPr>
          <w:p w14:paraId="3AF656C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4110" w:type="dxa"/>
            <w:shd w:val="clear" w:color="auto" w:fill="DBDBDB" w:themeFill="text1" w:themeFillTint="33"/>
            <w:noWrap/>
            <w:hideMark/>
          </w:tcPr>
          <w:p w14:paraId="176BBF93"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Kamenivo</w:t>
            </w:r>
          </w:p>
        </w:tc>
        <w:tc>
          <w:tcPr>
            <w:tcW w:w="851" w:type="dxa"/>
            <w:shd w:val="clear" w:color="auto" w:fill="DBDBDB" w:themeFill="text1" w:themeFillTint="33"/>
          </w:tcPr>
          <w:p w14:paraId="1BA1357C"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c>
          <w:tcPr>
            <w:tcW w:w="1138" w:type="dxa"/>
            <w:shd w:val="clear" w:color="auto" w:fill="DBDBDB" w:themeFill="text1" w:themeFillTint="33"/>
          </w:tcPr>
          <w:p w14:paraId="128D89A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D72D26" w:rsidRPr="00427899" w14:paraId="50C15A06"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E6C3B9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05</w:t>
            </w:r>
          </w:p>
        </w:tc>
        <w:tc>
          <w:tcPr>
            <w:tcW w:w="1026" w:type="dxa"/>
            <w:noWrap/>
            <w:hideMark/>
          </w:tcPr>
          <w:p w14:paraId="49382DF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15</w:t>
            </w:r>
          </w:p>
        </w:tc>
        <w:tc>
          <w:tcPr>
            <w:tcW w:w="1062" w:type="dxa"/>
            <w:noWrap/>
            <w:hideMark/>
          </w:tcPr>
          <w:p w14:paraId="0B48F3B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09</w:t>
            </w:r>
          </w:p>
        </w:tc>
        <w:tc>
          <w:tcPr>
            <w:tcW w:w="4110" w:type="dxa"/>
            <w:noWrap/>
            <w:hideMark/>
          </w:tcPr>
          <w:p w14:paraId="08B98A4C"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Lehké obvodové pláště / opláštění / konstrukční těsněné zasklení</w:t>
            </w:r>
          </w:p>
        </w:tc>
        <w:tc>
          <w:tcPr>
            <w:tcW w:w="851" w:type="dxa"/>
          </w:tcPr>
          <w:p w14:paraId="50FB338A"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c>
          <w:tcPr>
            <w:tcW w:w="1138" w:type="dxa"/>
          </w:tcPr>
          <w:p w14:paraId="4FF51C3C" w14:textId="6EBD7EAF" w:rsidR="00F84240" w:rsidRPr="00427899" w:rsidRDefault="0018611F"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p>
        </w:tc>
      </w:tr>
      <w:tr w:rsidR="00786B25" w:rsidRPr="00427899" w14:paraId="42B5540D"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24A7825B"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06</w:t>
            </w:r>
          </w:p>
        </w:tc>
        <w:tc>
          <w:tcPr>
            <w:tcW w:w="1026" w:type="dxa"/>
            <w:shd w:val="clear" w:color="auto" w:fill="DBDBDB" w:themeFill="text1" w:themeFillTint="33"/>
            <w:noWrap/>
            <w:hideMark/>
          </w:tcPr>
          <w:p w14:paraId="49409F4C"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1062" w:type="dxa"/>
            <w:shd w:val="clear" w:color="auto" w:fill="DBDBDB" w:themeFill="text1" w:themeFillTint="33"/>
            <w:noWrap/>
            <w:hideMark/>
          </w:tcPr>
          <w:p w14:paraId="4F2BEFF7"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10</w:t>
            </w:r>
          </w:p>
        </w:tc>
        <w:tc>
          <w:tcPr>
            <w:tcW w:w="4110" w:type="dxa"/>
            <w:shd w:val="clear" w:color="auto" w:fill="DBDBDB" w:themeFill="text1" w:themeFillTint="33"/>
            <w:noWrap/>
            <w:hideMark/>
          </w:tcPr>
          <w:p w14:paraId="63A1A9E6"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Stabilní zařízení pro hašení požáru (výrobky pro požární poplach/detekci, stabilní výrobky pro hašení požáru, řízení požáru a kouře a pro potlačování výbuchu)</w:t>
            </w:r>
          </w:p>
        </w:tc>
        <w:tc>
          <w:tcPr>
            <w:tcW w:w="851" w:type="dxa"/>
            <w:shd w:val="clear" w:color="auto" w:fill="DBDBDB" w:themeFill="text1" w:themeFillTint="33"/>
          </w:tcPr>
          <w:p w14:paraId="4BFFCE3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c>
          <w:tcPr>
            <w:tcW w:w="1138" w:type="dxa"/>
            <w:shd w:val="clear" w:color="auto" w:fill="DBDBDB" w:themeFill="text1" w:themeFillTint="33"/>
          </w:tcPr>
          <w:p w14:paraId="2F97293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6CA0823E"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4166617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07</w:t>
            </w:r>
          </w:p>
        </w:tc>
        <w:tc>
          <w:tcPr>
            <w:tcW w:w="1026" w:type="dxa"/>
            <w:noWrap/>
            <w:hideMark/>
          </w:tcPr>
          <w:p w14:paraId="0FB718C3"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1062" w:type="dxa"/>
            <w:noWrap/>
            <w:hideMark/>
          </w:tcPr>
          <w:p w14:paraId="7E3D993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4110" w:type="dxa"/>
            <w:noWrap/>
            <w:hideMark/>
          </w:tcPr>
          <w:p w14:paraId="1C2C1C3E"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konstrukce vozovek</w:t>
            </w:r>
          </w:p>
        </w:tc>
        <w:tc>
          <w:tcPr>
            <w:tcW w:w="851" w:type="dxa"/>
          </w:tcPr>
          <w:p w14:paraId="634425C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c>
          <w:tcPr>
            <w:tcW w:w="1138" w:type="dxa"/>
          </w:tcPr>
          <w:p w14:paraId="486B1AEA"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036FDBBE"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64B17C08"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08</w:t>
            </w:r>
          </w:p>
        </w:tc>
        <w:tc>
          <w:tcPr>
            <w:tcW w:w="1026" w:type="dxa"/>
            <w:shd w:val="clear" w:color="auto" w:fill="DBDBDB" w:themeFill="text1" w:themeFillTint="33"/>
            <w:noWrap/>
            <w:hideMark/>
          </w:tcPr>
          <w:p w14:paraId="07F0345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13</w:t>
            </w:r>
          </w:p>
        </w:tc>
        <w:tc>
          <w:tcPr>
            <w:tcW w:w="1062" w:type="dxa"/>
            <w:shd w:val="clear" w:color="auto" w:fill="DBDBDB" w:themeFill="text1" w:themeFillTint="33"/>
            <w:noWrap/>
            <w:hideMark/>
          </w:tcPr>
          <w:p w14:paraId="2513F97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4110" w:type="dxa"/>
            <w:shd w:val="clear" w:color="auto" w:fill="DBDBDB" w:themeFill="text1" w:themeFillTint="33"/>
            <w:noWrap/>
            <w:hideMark/>
          </w:tcPr>
          <w:p w14:paraId="0A56359B" w14:textId="77777777" w:rsidR="00F84240" w:rsidRPr="00427899" w:rsidRDefault="00F84240" w:rsidP="002D6DD5">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Podlahoviny</w:t>
            </w:r>
          </w:p>
        </w:tc>
        <w:tc>
          <w:tcPr>
            <w:tcW w:w="851" w:type="dxa"/>
            <w:shd w:val="clear" w:color="auto" w:fill="DBDBDB" w:themeFill="text1" w:themeFillTint="33"/>
          </w:tcPr>
          <w:p w14:paraId="285339F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c>
          <w:tcPr>
            <w:tcW w:w="1138" w:type="dxa"/>
            <w:shd w:val="clear" w:color="auto" w:fill="DBDBDB" w:themeFill="text1" w:themeFillTint="33"/>
          </w:tcPr>
          <w:p w14:paraId="1BE2F36D"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61A5F05F"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tcPr>
          <w:p w14:paraId="754DB9D9"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09</w:t>
            </w:r>
          </w:p>
        </w:tc>
        <w:tc>
          <w:tcPr>
            <w:tcW w:w="1026" w:type="dxa"/>
            <w:noWrap/>
            <w:hideMark/>
          </w:tcPr>
          <w:p w14:paraId="41DFB20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1062" w:type="dxa"/>
            <w:noWrap/>
            <w:hideMark/>
          </w:tcPr>
          <w:p w14:paraId="3DBD2AC8"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4110" w:type="dxa"/>
            <w:noWrap/>
            <w:hideMark/>
          </w:tcPr>
          <w:p w14:paraId="1D1F00A4" w14:textId="77777777" w:rsidR="00F84240" w:rsidRPr="00427899" w:rsidRDefault="00F84240" w:rsidP="002D6DD5">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sestavy, jednotky, prefabrikované prvky</w:t>
            </w:r>
          </w:p>
        </w:tc>
        <w:tc>
          <w:tcPr>
            <w:tcW w:w="851" w:type="dxa"/>
          </w:tcPr>
          <w:p w14:paraId="4968601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c>
          <w:tcPr>
            <w:tcW w:w="1138" w:type="dxa"/>
          </w:tcPr>
          <w:p w14:paraId="443ACA90"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0892282E"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shd w:val="clear" w:color="auto" w:fill="DBDBDB" w:themeFill="text1" w:themeFillTint="33"/>
          </w:tcPr>
          <w:p w14:paraId="36034FB8"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shd w:val="clear" w:color="auto" w:fill="DBDBDB" w:themeFill="text1" w:themeFillTint="33"/>
            <w:noWrap/>
            <w:hideMark/>
          </w:tcPr>
          <w:p w14:paraId="38160C34"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1062" w:type="dxa"/>
            <w:shd w:val="clear" w:color="auto" w:fill="DBDBDB" w:themeFill="text1" w:themeFillTint="33"/>
            <w:noWrap/>
            <w:hideMark/>
          </w:tcPr>
          <w:p w14:paraId="40DEEFD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36</w:t>
            </w:r>
          </w:p>
        </w:tc>
        <w:tc>
          <w:tcPr>
            <w:tcW w:w="4110" w:type="dxa"/>
            <w:shd w:val="clear" w:color="auto" w:fill="DBDBDB" w:themeFill="text1" w:themeFillTint="33"/>
            <w:noWrap/>
            <w:hideMark/>
          </w:tcPr>
          <w:p w14:paraId="43A514B4"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Trvale instalované žebříky</w:t>
            </w:r>
          </w:p>
        </w:tc>
        <w:tc>
          <w:tcPr>
            <w:tcW w:w="851" w:type="dxa"/>
            <w:shd w:val="clear" w:color="auto" w:fill="DBDBDB" w:themeFill="text1" w:themeFillTint="33"/>
          </w:tcPr>
          <w:p w14:paraId="2F181D4D"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LAD</w:t>
            </w:r>
          </w:p>
        </w:tc>
        <w:tc>
          <w:tcPr>
            <w:tcW w:w="1138" w:type="dxa"/>
            <w:shd w:val="clear" w:color="auto" w:fill="DBDBDB" w:themeFill="text1" w:themeFillTint="33"/>
          </w:tcPr>
          <w:p w14:paraId="4B28D9A1"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5AB2F164"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6A1C27D4"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10</w:t>
            </w:r>
          </w:p>
        </w:tc>
        <w:tc>
          <w:tcPr>
            <w:tcW w:w="1026" w:type="dxa"/>
            <w:noWrap/>
            <w:hideMark/>
          </w:tcPr>
          <w:p w14:paraId="5530D5EB"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19</w:t>
            </w:r>
          </w:p>
        </w:tc>
        <w:tc>
          <w:tcPr>
            <w:tcW w:w="1062" w:type="dxa"/>
            <w:noWrap/>
            <w:hideMark/>
          </w:tcPr>
          <w:p w14:paraId="4D8B736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4110" w:type="dxa"/>
            <w:noWrap/>
            <w:hideMark/>
          </w:tcPr>
          <w:p w14:paraId="79D75137"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Vnitřní a vnější povrchové úpravy stěn a stropů – sestavy vnitřních příček</w:t>
            </w:r>
          </w:p>
        </w:tc>
        <w:tc>
          <w:tcPr>
            <w:tcW w:w="851" w:type="dxa"/>
          </w:tcPr>
          <w:p w14:paraId="5453B586"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c>
          <w:tcPr>
            <w:tcW w:w="1138" w:type="dxa"/>
          </w:tcPr>
          <w:p w14:paraId="2A67A9FA"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7BBDE6F3"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4F4AE960" w14:textId="149C8D45" w:rsidR="00F8424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11</w:t>
            </w:r>
          </w:p>
        </w:tc>
        <w:tc>
          <w:tcPr>
            <w:tcW w:w="1026" w:type="dxa"/>
            <w:shd w:val="clear" w:color="auto" w:fill="DBDBDB" w:themeFill="text1" w:themeFillTint="33"/>
            <w:noWrap/>
          </w:tcPr>
          <w:p w14:paraId="07E7F31A" w14:textId="2B05CBE6"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1062" w:type="dxa"/>
            <w:shd w:val="clear" w:color="auto" w:fill="DBDBDB" w:themeFill="text1" w:themeFillTint="33"/>
            <w:noWrap/>
          </w:tcPr>
          <w:p w14:paraId="6865DD26" w14:textId="186C0AA1"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07</w:t>
            </w:r>
          </w:p>
        </w:tc>
        <w:tc>
          <w:tcPr>
            <w:tcW w:w="4110" w:type="dxa"/>
            <w:shd w:val="clear" w:color="auto" w:fill="DBDBDB" w:themeFill="text1" w:themeFillTint="33"/>
            <w:noWrap/>
          </w:tcPr>
          <w:p w14:paraId="26E1D731" w14:textId="03E06E53" w:rsidR="00F84240" w:rsidRPr="00427899" w:rsidRDefault="00F84240" w:rsidP="0099364A">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ze sádry</w:t>
            </w:r>
          </w:p>
        </w:tc>
        <w:tc>
          <w:tcPr>
            <w:tcW w:w="851" w:type="dxa"/>
            <w:shd w:val="clear" w:color="auto" w:fill="DBDBDB" w:themeFill="text1" w:themeFillTint="33"/>
          </w:tcPr>
          <w:p w14:paraId="41094B37" w14:textId="53F52398"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c>
          <w:tcPr>
            <w:tcW w:w="1138" w:type="dxa"/>
            <w:shd w:val="clear" w:color="auto" w:fill="DBDBDB" w:themeFill="text1" w:themeFillTint="33"/>
          </w:tcPr>
          <w:p w14:paraId="1C9763B6" w14:textId="7E6355F5" w:rsidR="00F84240" w:rsidRPr="00223DF8"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21E5CCEF"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1DE36232" w14:textId="0722643D"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12</w:t>
            </w:r>
          </w:p>
        </w:tc>
        <w:tc>
          <w:tcPr>
            <w:tcW w:w="1026" w:type="dxa"/>
            <w:noWrap/>
            <w:hideMark/>
          </w:tcPr>
          <w:p w14:paraId="373ADBFA"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17</w:t>
            </w:r>
          </w:p>
        </w:tc>
        <w:tc>
          <w:tcPr>
            <w:tcW w:w="1062" w:type="dxa"/>
            <w:noWrap/>
            <w:hideMark/>
          </w:tcPr>
          <w:p w14:paraId="6815C80E"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05</w:t>
            </w:r>
          </w:p>
        </w:tc>
        <w:tc>
          <w:tcPr>
            <w:tcW w:w="4110" w:type="dxa"/>
            <w:noWrap/>
            <w:hideMark/>
          </w:tcPr>
          <w:p w14:paraId="26A8B0CE"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ložiska – čepy pro konstrukční spoje</w:t>
            </w:r>
          </w:p>
        </w:tc>
        <w:tc>
          <w:tcPr>
            <w:tcW w:w="851" w:type="dxa"/>
          </w:tcPr>
          <w:p w14:paraId="3093A20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c>
          <w:tcPr>
            <w:tcW w:w="1138" w:type="dxa"/>
          </w:tcPr>
          <w:p w14:paraId="2ABAF208"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2D0EB61F"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07F3BF19" w14:textId="4FED8D91"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13</w:t>
            </w:r>
          </w:p>
        </w:tc>
        <w:tc>
          <w:tcPr>
            <w:tcW w:w="1026" w:type="dxa"/>
            <w:shd w:val="clear" w:color="auto" w:fill="DBDBDB" w:themeFill="text1" w:themeFillTint="33"/>
            <w:noWrap/>
            <w:hideMark/>
          </w:tcPr>
          <w:p w14:paraId="2CF6E67E"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w:t>
            </w:r>
          </w:p>
        </w:tc>
        <w:tc>
          <w:tcPr>
            <w:tcW w:w="1062" w:type="dxa"/>
            <w:shd w:val="clear" w:color="auto" w:fill="DBDBDB" w:themeFill="text1" w:themeFillTint="33"/>
            <w:noWrap/>
            <w:hideMark/>
          </w:tcPr>
          <w:p w14:paraId="16F5436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4110" w:type="dxa"/>
            <w:shd w:val="clear" w:color="auto" w:fill="DBDBDB" w:themeFill="text1" w:themeFillTint="33"/>
            <w:noWrap/>
            <w:hideMark/>
          </w:tcPr>
          <w:p w14:paraId="5A274871"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Zařízení pro vytápění vnitřních prostor</w:t>
            </w:r>
          </w:p>
        </w:tc>
        <w:tc>
          <w:tcPr>
            <w:tcW w:w="851" w:type="dxa"/>
            <w:shd w:val="clear" w:color="auto" w:fill="DBDBDB" w:themeFill="text1" w:themeFillTint="33"/>
          </w:tcPr>
          <w:p w14:paraId="3012ED38"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c>
          <w:tcPr>
            <w:tcW w:w="1138" w:type="dxa"/>
            <w:shd w:val="clear" w:color="auto" w:fill="DBDBDB" w:themeFill="text1" w:themeFillTint="33"/>
          </w:tcPr>
          <w:p w14:paraId="612352D6" w14:textId="6934290C"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3B297FC2"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286D7BC2" w14:textId="7202478F"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14</w:t>
            </w:r>
          </w:p>
        </w:tc>
        <w:tc>
          <w:tcPr>
            <w:tcW w:w="1026" w:type="dxa"/>
            <w:noWrap/>
            <w:hideMark/>
          </w:tcPr>
          <w:p w14:paraId="0B3199A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21</w:t>
            </w:r>
          </w:p>
        </w:tc>
        <w:tc>
          <w:tcPr>
            <w:tcW w:w="1062" w:type="dxa"/>
            <w:noWrap/>
            <w:hideMark/>
          </w:tcPr>
          <w:p w14:paraId="08E106F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4110" w:type="dxa"/>
            <w:noWrap/>
            <w:hideMark/>
          </w:tcPr>
          <w:p w14:paraId="3BD432E1"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Střešní krytiny, střešní světlíky, střešní okna a doplňkové výrobky – střešní sestavy</w:t>
            </w:r>
          </w:p>
        </w:tc>
        <w:tc>
          <w:tcPr>
            <w:tcW w:w="851" w:type="dxa"/>
          </w:tcPr>
          <w:p w14:paraId="56B0A7B8"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c>
          <w:tcPr>
            <w:tcW w:w="1138" w:type="dxa"/>
          </w:tcPr>
          <w:p w14:paraId="521F30B5"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5CC81E89"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42170DBE" w14:textId="399CB2DA"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15</w:t>
            </w:r>
          </w:p>
        </w:tc>
        <w:tc>
          <w:tcPr>
            <w:tcW w:w="1026" w:type="dxa"/>
            <w:shd w:val="clear" w:color="auto" w:fill="DBDBDB" w:themeFill="text1" w:themeFillTint="33"/>
            <w:noWrap/>
            <w:hideMark/>
          </w:tcPr>
          <w:p w14:paraId="09770AD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22</w:t>
            </w:r>
          </w:p>
        </w:tc>
        <w:tc>
          <w:tcPr>
            <w:tcW w:w="1062" w:type="dxa"/>
            <w:shd w:val="clear" w:color="auto" w:fill="DBDBDB" w:themeFill="text1" w:themeFillTint="33"/>
            <w:noWrap/>
            <w:hideMark/>
          </w:tcPr>
          <w:p w14:paraId="36E6B0C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12</w:t>
            </w:r>
          </w:p>
        </w:tc>
        <w:tc>
          <w:tcPr>
            <w:tcW w:w="4110" w:type="dxa"/>
            <w:shd w:val="clear" w:color="auto" w:fill="DBDBDB" w:themeFill="text1" w:themeFillTint="33"/>
            <w:noWrap/>
            <w:hideMark/>
          </w:tcPr>
          <w:p w14:paraId="4B183BEC"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komunikací: silniční vybavení</w:t>
            </w:r>
          </w:p>
        </w:tc>
        <w:tc>
          <w:tcPr>
            <w:tcW w:w="851" w:type="dxa"/>
            <w:shd w:val="clear" w:color="auto" w:fill="DBDBDB" w:themeFill="text1" w:themeFillTint="33"/>
          </w:tcPr>
          <w:p w14:paraId="7BBFBC13"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c>
          <w:tcPr>
            <w:tcW w:w="1138" w:type="dxa"/>
            <w:shd w:val="clear" w:color="auto" w:fill="DBDBDB" w:themeFill="text1" w:themeFillTint="33"/>
          </w:tcPr>
          <w:p w14:paraId="059F21F6"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459F15DF"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04484E82" w14:textId="727D03D5"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16</w:t>
            </w:r>
          </w:p>
        </w:tc>
        <w:tc>
          <w:tcPr>
            <w:tcW w:w="1026" w:type="dxa"/>
            <w:noWrap/>
            <w:hideMark/>
          </w:tcPr>
          <w:p w14:paraId="64F8717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23</w:t>
            </w:r>
          </w:p>
        </w:tc>
        <w:tc>
          <w:tcPr>
            <w:tcW w:w="1062" w:type="dxa"/>
            <w:noWrap/>
            <w:hideMark/>
          </w:tcPr>
          <w:p w14:paraId="2A25004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18</w:t>
            </w:r>
          </w:p>
        </w:tc>
        <w:tc>
          <w:tcPr>
            <w:tcW w:w="4110" w:type="dxa"/>
            <w:noWrap/>
            <w:hideMark/>
          </w:tcPr>
          <w:p w14:paraId="6889544D"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kanalizační systémy</w:t>
            </w:r>
          </w:p>
        </w:tc>
        <w:tc>
          <w:tcPr>
            <w:tcW w:w="851" w:type="dxa"/>
          </w:tcPr>
          <w:p w14:paraId="7773EF00"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c>
          <w:tcPr>
            <w:tcW w:w="1138" w:type="dxa"/>
          </w:tcPr>
          <w:p w14:paraId="35A4DBD2"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3B43221B"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val="restart"/>
            <w:shd w:val="clear" w:color="auto" w:fill="DBDBDB" w:themeFill="text1" w:themeFillTint="33"/>
          </w:tcPr>
          <w:p w14:paraId="0316D6B8" w14:textId="0E9E635E" w:rsidR="00F84240" w:rsidRPr="00991C43"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17</w:t>
            </w:r>
          </w:p>
        </w:tc>
        <w:tc>
          <w:tcPr>
            <w:tcW w:w="1026" w:type="dxa"/>
            <w:shd w:val="clear" w:color="auto" w:fill="DBDBDB" w:themeFill="text1" w:themeFillTint="33"/>
            <w:noWrap/>
            <w:hideMark/>
          </w:tcPr>
          <w:p w14:paraId="1E3807FE"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24</w:t>
            </w:r>
          </w:p>
        </w:tc>
        <w:tc>
          <w:tcPr>
            <w:tcW w:w="1062" w:type="dxa"/>
            <w:shd w:val="clear" w:color="auto" w:fill="DBDBDB" w:themeFill="text1" w:themeFillTint="33"/>
            <w:noWrap/>
            <w:hideMark/>
          </w:tcPr>
          <w:p w14:paraId="66976920"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25</w:t>
            </w:r>
          </w:p>
        </w:tc>
        <w:tc>
          <w:tcPr>
            <w:tcW w:w="4110" w:type="dxa"/>
            <w:shd w:val="clear" w:color="auto" w:fill="DBDBDB" w:themeFill="text1" w:themeFillTint="33"/>
            <w:noWrap/>
            <w:hideMark/>
          </w:tcPr>
          <w:p w14:paraId="59A8D6E7"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adheziva</w:t>
            </w:r>
          </w:p>
        </w:tc>
        <w:tc>
          <w:tcPr>
            <w:tcW w:w="851" w:type="dxa"/>
            <w:shd w:val="clear" w:color="auto" w:fill="DBDBDB" w:themeFill="text1" w:themeFillTint="33"/>
          </w:tcPr>
          <w:p w14:paraId="3D49336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c>
          <w:tcPr>
            <w:tcW w:w="1138" w:type="dxa"/>
            <w:shd w:val="clear" w:color="auto" w:fill="DBDBDB" w:themeFill="text1" w:themeFillTint="33"/>
          </w:tcPr>
          <w:p w14:paraId="3C470928"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24C3256D"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vMerge/>
          </w:tcPr>
          <w:p w14:paraId="19802BA5" w14:textId="77777777" w:rsidR="00F84240" w:rsidRPr="00832A60" w:rsidRDefault="00F84240" w:rsidP="00F84240">
            <w:pPr>
              <w:spacing w:before="0" w:after="0"/>
              <w:jc w:val="center"/>
              <w:rPr>
                <w:rFonts w:ascii="Aptos Narrow" w:eastAsia="Times New Roman" w:hAnsi="Aptos Narrow" w:cs="Times New Roman"/>
                <w:b/>
                <w:noProof/>
                <w:color w:val="034EA2" w:themeColor="text2"/>
                <w:lang w:eastAsia="en-IE"/>
              </w:rPr>
            </w:pPr>
          </w:p>
        </w:tc>
        <w:tc>
          <w:tcPr>
            <w:tcW w:w="1026" w:type="dxa"/>
            <w:noWrap/>
            <w:hideMark/>
          </w:tcPr>
          <w:p w14:paraId="6517178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34</w:t>
            </w:r>
          </w:p>
        </w:tc>
        <w:tc>
          <w:tcPr>
            <w:tcW w:w="1062" w:type="dxa"/>
            <w:noWrap/>
            <w:hideMark/>
          </w:tcPr>
          <w:p w14:paraId="41EDA367"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4110" w:type="dxa"/>
            <w:noWrap/>
            <w:hideMark/>
          </w:tcPr>
          <w:p w14:paraId="54A283B4"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Těsnění pro spoje</w:t>
            </w:r>
          </w:p>
        </w:tc>
        <w:tc>
          <w:tcPr>
            <w:tcW w:w="851" w:type="dxa"/>
          </w:tcPr>
          <w:p w14:paraId="79A36FB2"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c>
          <w:tcPr>
            <w:tcW w:w="1138" w:type="dxa"/>
          </w:tcPr>
          <w:p w14:paraId="0E0101AB"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68E89E5F"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F6B1D3B"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18</w:t>
            </w:r>
          </w:p>
        </w:tc>
        <w:tc>
          <w:tcPr>
            <w:tcW w:w="1026" w:type="dxa"/>
            <w:shd w:val="clear" w:color="auto" w:fill="DBDBDB" w:themeFill="text1" w:themeFillTint="33"/>
            <w:noWrap/>
            <w:hideMark/>
          </w:tcPr>
          <w:p w14:paraId="4B4D4AC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1062" w:type="dxa"/>
            <w:shd w:val="clear" w:color="auto" w:fill="DBDBDB" w:themeFill="text1" w:themeFillTint="33"/>
            <w:noWrap/>
            <w:hideMark/>
          </w:tcPr>
          <w:p w14:paraId="6F39C4B9"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35</w:t>
            </w:r>
          </w:p>
        </w:tc>
        <w:tc>
          <w:tcPr>
            <w:tcW w:w="4110" w:type="dxa"/>
            <w:shd w:val="clear" w:color="auto" w:fill="DBDBDB" w:themeFill="text1" w:themeFillTint="33"/>
            <w:noWrap/>
            <w:hideMark/>
          </w:tcPr>
          <w:p w14:paraId="163CDBA7"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požární přepážky, požární těsnění a výrobky pro požární ochranu, výrobky pro zpomalování hoření – Výrobky pro zpomalování hoření</w:t>
            </w:r>
          </w:p>
        </w:tc>
        <w:tc>
          <w:tcPr>
            <w:tcW w:w="851" w:type="dxa"/>
            <w:shd w:val="clear" w:color="auto" w:fill="DBDBDB" w:themeFill="text1" w:themeFillTint="33"/>
          </w:tcPr>
          <w:p w14:paraId="37C3659E"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c>
          <w:tcPr>
            <w:tcW w:w="1138" w:type="dxa"/>
            <w:shd w:val="clear" w:color="auto" w:fill="DBDBDB" w:themeFill="text1" w:themeFillTint="33"/>
          </w:tcPr>
          <w:p w14:paraId="5E1E30F8"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551AB0D5"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3F109920"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19</w:t>
            </w:r>
          </w:p>
        </w:tc>
        <w:tc>
          <w:tcPr>
            <w:tcW w:w="1026" w:type="dxa"/>
            <w:noWrap/>
            <w:hideMark/>
          </w:tcPr>
          <w:p w14:paraId="7ACF28B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26</w:t>
            </w:r>
          </w:p>
        </w:tc>
        <w:tc>
          <w:tcPr>
            <w:tcW w:w="1062" w:type="dxa"/>
            <w:noWrap/>
            <w:hideMark/>
          </w:tcPr>
          <w:p w14:paraId="7859778D"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4110" w:type="dxa"/>
            <w:noWrap/>
            <w:hideMark/>
          </w:tcPr>
          <w:p w14:paraId="1B4C474C"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Připevňovací prostředky</w:t>
            </w:r>
          </w:p>
        </w:tc>
        <w:tc>
          <w:tcPr>
            <w:tcW w:w="851" w:type="dxa"/>
          </w:tcPr>
          <w:p w14:paraId="5857F7D0" w14:textId="77777777" w:rsidR="00F84240"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c>
          <w:tcPr>
            <w:tcW w:w="1138" w:type="dxa"/>
          </w:tcPr>
          <w:p w14:paraId="41CAD229"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7CC0435E"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BFEB5AA"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20</w:t>
            </w:r>
          </w:p>
        </w:tc>
        <w:tc>
          <w:tcPr>
            <w:tcW w:w="1026" w:type="dxa"/>
            <w:shd w:val="clear" w:color="auto" w:fill="DBDBDB" w:themeFill="text1" w:themeFillTint="33"/>
            <w:noWrap/>
            <w:hideMark/>
          </w:tcPr>
          <w:p w14:paraId="758C363D"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27</w:t>
            </w:r>
          </w:p>
        </w:tc>
        <w:tc>
          <w:tcPr>
            <w:tcW w:w="1062" w:type="dxa"/>
            <w:shd w:val="clear" w:color="auto" w:fill="DBDBDB" w:themeFill="text1" w:themeFillTint="33"/>
            <w:noWrap/>
            <w:hideMark/>
          </w:tcPr>
          <w:p w14:paraId="1F09A930"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03</w:t>
            </w:r>
          </w:p>
        </w:tc>
        <w:tc>
          <w:tcPr>
            <w:tcW w:w="4110" w:type="dxa"/>
            <w:shd w:val="clear" w:color="auto" w:fill="DBDBDB" w:themeFill="text1" w:themeFillTint="33"/>
            <w:noWrap/>
            <w:hideMark/>
          </w:tcPr>
          <w:p w14:paraId="50AC66FC"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Fólie, včetně litých a sestav (hydroizolační nebo parotěsné)</w:t>
            </w:r>
          </w:p>
        </w:tc>
        <w:tc>
          <w:tcPr>
            <w:tcW w:w="851" w:type="dxa"/>
            <w:shd w:val="clear" w:color="auto" w:fill="DBDBDB" w:themeFill="text1" w:themeFillTint="33"/>
          </w:tcPr>
          <w:p w14:paraId="00F7B58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c>
          <w:tcPr>
            <w:tcW w:w="1138" w:type="dxa"/>
            <w:shd w:val="clear" w:color="auto" w:fill="DBDBDB" w:themeFill="text1" w:themeFillTint="33"/>
          </w:tcPr>
          <w:p w14:paraId="39FAD52E"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72F6BD9E"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6E56E8C"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21</w:t>
            </w:r>
          </w:p>
        </w:tc>
        <w:tc>
          <w:tcPr>
            <w:tcW w:w="1026" w:type="dxa"/>
            <w:noWrap/>
            <w:hideMark/>
          </w:tcPr>
          <w:p w14:paraId="5ACEE55F"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1062" w:type="dxa"/>
            <w:noWrap/>
            <w:hideMark/>
          </w:tcPr>
          <w:p w14:paraId="4E4258B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08</w:t>
            </w:r>
          </w:p>
        </w:tc>
        <w:tc>
          <w:tcPr>
            <w:tcW w:w="4110" w:type="dxa"/>
            <w:noWrap/>
            <w:hideMark/>
          </w:tcPr>
          <w:p w14:paraId="6252FB5D"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Geotextilie, geomembrány a související výrobky</w:t>
            </w:r>
          </w:p>
        </w:tc>
        <w:tc>
          <w:tcPr>
            <w:tcW w:w="851" w:type="dxa"/>
          </w:tcPr>
          <w:p w14:paraId="2481FB2C"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c>
          <w:tcPr>
            <w:tcW w:w="1138" w:type="dxa"/>
          </w:tcPr>
          <w:p w14:paraId="298D9F67"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0455F254"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7ED543DD"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22</w:t>
            </w:r>
          </w:p>
        </w:tc>
        <w:tc>
          <w:tcPr>
            <w:tcW w:w="1026" w:type="dxa"/>
            <w:shd w:val="clear" w:color="auto" w:fill="DBDBDB" w:themeFill="text1" w:themeFillTint="33"/>
            <w:noWrap/>
            <w:hideMark/>
          </w:tcPr>
          <w:p w14:paraId="5699840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30</w:t>
            </w:r>
          </w:p>
        </w:tc>
        <w:tc>
          <w:tcPr>
            <w:tcW w:w="1062" w:type="dxa"/>
            <w:shd w:val="clear" w:color="auto" w:fill="DBDBDB" w:themeFill="text1" w:themeFillTint="33"/>
            <w:noWrap/>
            <w:hideMark/>
          </w:tcPr>
          <w:p w14:paraId="5A6AB511"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11</w:t>
            </w:r>
          </w:p>
        </w:tc>
        <w:tc>
          <w:tcPr>
            <w:tcW w:w="4110" w:type="dxa"/>
            <w:shd w:val="clear" w:color="auto" w:fill="DBDBDB" w:themeFill="text1" w:themeFillTint="33"/>
            <w:noWrap/>
            <w:hideMark/>
          </w:tcPr>
          <w:p w14:paraId="4AB133AD"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pro hygienické prostory</w:t>
            </w:r>
          </w:p>
        </w:tc>
        <w:tc>
          <w:tcPr>
            <w:tcW w:w="851" w:type="dxa"/>
            <w:shd w:val="clear" w:color="auto" w:fill="DBDBDB" w:themeFill="text1" w:themeFillTint="33"/>
          </w:tcPr>
          <w:p w14:paraId="0B186046"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c>
          <w:tcPr>
            <w:tcW w:w="1138" w:type="dxa"/>
            <w:shd w:val="clear" w:color="auto" w:fill="DBDBDB" w:themeFill="text1" w:themeFillTint="33"/>
          </w:tcPr>
          <w:p w14:paraId="41320A89"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122AE295"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703E2EE5"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23</w:t>
            </w:r>
          </w:p>
        </w:tc>
        <w:tc>
          <w:tcPr>
            <w:tcW w:w="1026" w:type="dxa"/>
            <w:noWrap/>
            <w:hideMark/>
          </w:tcPr>
          <w:p w14:paraId="1C99F1BE"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1062" w:type="dxa"/>
            <w:noWrap/>
            <w:hideMark/>
          </w:tcPr>
          <w:p w14:paraId="58DBC4E3"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28</w:t>
            </w:r>
          </w:p>
        </w:tc>
        <w:tc>
          <w:tcPr>
            <w:tcW w:w="4110" w:type="dxa"/>
            <w:noWrap/>
            <w:hideMark/>
          </w:tcPr>
          <w:p w14:paraId="021D2185"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Trubky, nádrže a doplňky, které nejsou v kontaktu s vodou určenou k lidské spotřebě</w:t>
            </w:r>
          </w:p>
        </w:tc>
        <w:tc>
          <w:tcPr>
            <w:tcW w:w="851" w:type="dxa"/>
          </w:tcPr>
          <w:p w14:paraId="329B91C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c>
          <w:tcPr>
            <w:tcW w:w="1138" w:type="dxa"/>
          </w:tcPr>
          <w:p w14:paraId="153379ED"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786B25" w:rsidRPr="00427899" w14:paraId="1B08455D"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124339BC"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24</w:t>
            </w:r>
          </w:p>
        </w:tc>
        <w:tc>
          <w:tcPr>
            <w:tcW w:w="1026" w:type="dxa"/>
            <w:shd w:val="clear" w:color="auto" w:fill="DBDBDB" w:themeFill="text1" w:themeFillTint="33"/>
            <w:noWrap/>
            <w:hideMark/>
          </w:tcPr>
          <w:p w14:paraId="380A9F57"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1062" w:type="dxa"/>
            <w:shd w:val="clear" w:color="auto" w:fill="DBDBDB" w:themeFill="text1" w:themeFillTint="33"/>
            <w:noWrap/>
            <w:hideMark/>
          </w:tcPr>
          <w:p w14:paraId="0A8F8F5F"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29</w:t>
            </w:r>
          </w:p>
        </w:tc>
        <w:tc>
          <w:tcPr>
            <w:tcW w:w="4110" w:type="dxa"/>
            <w:shd w:val="clear" w:color="auto" w:fill="DBDBDB" w:themeFill="text1" w:themeFillTint="33"/>
            <w:noWrap/>
            <w:hideMark/>
          </w:tcPr>
          <w:p w14:paraId="407BDCEB"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výrobky, které jsou v kontaktu s vodou určenou k lidské spotřebě</w:t>
            </w:r>
          </w:p>
        </w:tc>
        <w:tc>
          <w:tcPr>
            <w:tcW w:w="851" w:type="dxa"/>
            <w:shd w:val="clear" w:color="auto" w:fill="DBDBDB" w:themeFill="text1" w:themeFillTint="33"/>
          </w:tcPr>
          <w:p w14:paraId="6AD7000E" w14:textId="77777777" w:rsidR="00F84240"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c>
          <w:tcPr>
            <w:tcW w:w="1138" w:type="dxa"/>
            <w:shd w:val="clear" w:color="auto" w:fill="DBDBDB" w:themeFill="text1" w:themeFillTint="33"/>
          </w:tcPr>
          <w:p w14:paraId="552A0D60"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51F4A036"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2759B9CF"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25</w:t>
            </w:r>
          </w:p>
        </w:tc>
        <w:tc>
          <w:tcPr>
            <w:tcW w:w="1026" w:type="dxa"/>
            <w:noWrap/>
            <w:hideMark/>
          </w:tcPr>
          <w:p w14:paraId="3839F67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32</w:t>
            </w:r>
          </w:p>
        </w:tc>
        <w:tc>
          <w:tcPr>
            <w:tcW w:w="1062" w:type="dxa"/>
            <w:noWrap/>
            <w:hideMark/>
          </w:tcPr>
          <w:p w14:paraId="22B0286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31</w:t>
            </w:r>
          </w:p>
        </w:tc>
        <w:tc>
          <w:tcPr>
            <w:tcW w:w="4110" w:type="dxa"/>
            <w:noWrap/>
            <w:hideMark/>
          </w:tcPr>
          <w:p w14:paraId="5B0A47EA" w14:textId="77777777"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Elektrické, ovládací a komunikační kabely</w:t>
            </w:r>
          </w:p>
        </w:tc>
        <w:tc>
          <w:tcPr>
            <w:tcW w:w="851" w:type="dxa"/>
          </w:tcPr>
          <w:p w14:paraId="3475AFB4"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c>
          <w:tcPr>
            <w:tcW w:w="1138" w:type="dxa"/>
          </w:tcPr>
          <w:p w14:paraId="21E2621C" w14:textId="77777777" w:rsidR="00F84240" w:rsidRPr="00427899" w:rsidRDefault="00F84240"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2919D1CA" w14:textId="77777777" w:rsidTr="00794F8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shd w:val="clear" w:color="auto" w:fill="DBDBDB" w:themeFill="text1" w:themeFillTint="33"/>
          </w:tcPr>
          <w:p w14:paraId="30B3179A"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26</w:t>
            </w:r>
          </w:p>
        </w:tc>
        <w:tc>
          <w:tcPr>
            <w:tcW w:w="1026" w:type="dxa"/>
            <w:shd w:val="clear" w:color="auto" w:fill="DBDBDB" w:themeFill="text1" w:themeFillTint="33"/>
            <w:noWrap/>
          </w:tcPr>
          <w:p w14:paraId="619D3C92"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1062" w:type="dxa"/>
            <w:shd w:val="clear" w:color="auto" w:fill="DBDBDB" w:themeFill="text1" w:themeFillTint="33"/>
            <w:noWrap/>
          </w:tcPr>
          <w:p w14:paraId="68298DC5"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Nepoužije se.</w:t>
            </w:r>
          </w:p>
        </w:tc>
        <w:tc>
          <w:tcPr>
            <w:tcW w:w="4110" w:type="dxa"/>
            <w:shd w:val="clear" w:color="auto" w:fill="DBDBDB" w:themeFill="text1" w:themeFillTint="33"/>
            <w:noWrap/>
          </w:tcPr>
          <w:p w14:paraId="1D30AB84" w14:textId="77777777" w:rsidR="00F84240" w:rsidRPr="00427899" w:rsidRDefault="00F84240" w:rsidP="00F84240">
            <w:pPr>
              <w:spacing w:before="0" w:after="0"/>
              <w:jc w:val="left"/>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Dekorativní nátěrové hmoty a tapety </w:t>
            </w:r>
          </w:p>
        </w:tc>
        <w:tc>
          <w:tcPr>
            <w:tcW w:w="851" w:type="dxa"/>
            <w:shd w:val="clear" w:color="auto" w:fill="DBDBDB" w:themeFill="text1" w:themeFillTint="33"/>
          </w:tcPr>
          <w:p w14:paraId="6F309E79" w14:textId="77777777" w:rsidR="00F84240" w:rsidRPr="00427899" w:rsidRDefault="00F84240" w:rsidP="00F8424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DPW</w:t>
            </w:r>
          </w:p>
        </w:tc>
        <w:tc>
          <w:tcPr>
            <w:tcW w:w="1138" w:type="dxa"/>
            <w:shd w:val="clear" w:color="auto" w:fill="DBDBDB" w:themeFill="text1" w:themeFillTint="33"/>
          </w:tcPr>
          <w:p w14:paraId="373C78A6" w14:textId="77777777" w:rsidR="00F84240" w:rsidRPr="00427899" w:rsidRDefault="00F84240" w:rsidP="006E51E0">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r>
      <w:tr w:rsidR="00D72D26" w:rsidRPr="00427899" w14:paraId="718EA03A" w14:textId="77777777" w:rsidTr="00794F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3" w:type="dxa"/>
          </w:tcPr>
          <w:p w14:paraId="5E920554" w14:textId="77777777" w:rsidR="00F84240" w:rsidRPr="00832A60" w:rsidRDefault="00F84240" w:rsidP="00F84240">
            <w:pPr>
              <w:spacing w:before="0" w:after="0"/>
              <w:jc w:val="center"/>
              <w:rPr>
                <w:rFonts w:ascii="Aptos Narrow" w:eastAsia="Times New Roman" w:hAnsi="Aptos Narrow" w:cs="Times New Roman"/>
                <w:b/>
                <w:noProof/>
                <w:color w:val="034EA2" w:themeColor="text2"/>
              </w:rPr>
            </w:pPr>
            <w:r>
              <w:rPr>
                <w:rFonts w:ascii="Aptos Narrow" w:hAnsi="Aptos Narrow"/>
                <w:b/>
                <w:noProof/>
                <w:color w:val="034EA2" w:themeColor="text2"/>
              </w:rPr>
              <w:t>27</w:t>
            </w:r>
          </w:p>
        </w:tc>
        <w:tc>
          <w:tcPr>
            <w:tcW w:w="1026" w:type="dxa"/>
            <w:noWrap/>
            <w:hideMark/>
          </w:tcPr>
          <w:p w14:paraId="22E34447"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33</w:t>
            </w:r>
          </w:p>
        </w:tc>
        <w:tc>
          <w:tcPr>
            <w:tcW w:w="1062" w:type="dxa"/>
            <w:noWrap/>
            <w:hideMark/>
          </w:tcPr>
          <w:p w14:paraId="03BF2CB1"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06</w:t>
            </w:r>
          </w:p>
        </w:tc>
        <w:tc>
          <w:tcPr>
            <w:tcW w:w="4110" w:type="dxa"/>
            <w:noWrap/>
            <w:hideMark/>
          </w:tcPr>
          <w:p w14:paraId="58222E0F" w14:textId="02A736B9" w:rsidR="00F84240" w:rsidRPr="00427899" w:rsidRDefault="00F84240" w:rsidP="00F84240">
            <w:pPr>
              <w:spacing w:before="0" w:after="0"/>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Komíny, kouřovody a specifické výrobky</w:t>
            </w:r>
          </w:p>
        </w:tc>
        <w:tc>
          <w:tcPr>
            <w:tcW w:w="851" w:type="dxa"/>
          </w:tcPr>
          <w:p w14:paraId="324DD249" w14:textId="77777777" w:rsidR="00F84240" w:rsidRPr="00427899" w:rsidRDefault="00F84240" w:rsidP="00F8424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138" w:type="dxa"/>
          </w:tcPr>
          <w:p w14:paraId="6E891661" w14:textId="63EB0E0D" w:rsidR="00F84240" w:rsidRPr="00427899" w:rsidRDefault="003126D7" w:rsidP="006E51E0">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Ano</w:t>
            </w:r>
            <w:r>
              <w:rPr>
                <w:rStyle w:val="FootnoteReference"/>
                <w:rFonts w:ascii="Aptos Narrow" w:eastAsia="Times New Roman" w:hAnsi="Aptos Narrow" w:cs="Times New Roman"/>
                <w:noProof/>
                <w:color w:val="000000"/>
                <w:lang w:eastAsia="en-IE"/>
              </w:rPr>
              <w:footnoteReference w:id="27"/>
            </w:r>
          </w:p>
        </w:tc>
      </w:tr>
    </w:tbl>
    <w:p w14:paraId="137B5F92" w14:textId="610200A2" w:rsidR="00684DF1" w:rsidRPr="00DD4746" w:rsidRDefault="00684DF1" w:rsidP="00C5300B">
      <w:pPr>
        <w:pStyle w:val="Heading1"/>
        <w:rPr>
          <w:noProof/>
        </w:rPr>
      </w:pPr>
      <w:r>
        <w:rPr>
          <w:noProof/>
        </w:rPr>
        <w:t>Horizontální opatření</w:t>
      </w:r>
    </w:p>
    <w:p w14:paraId="679805D4" w14:textId="48F4F629" w:rsidR="007B05E9" w:rsidRPr="009E1F70" w:rsidRDefault="007B05E9" w:rsidP="009E1F70">
      <w:pPr>
        <w:jc w:val="both"/>
        <w:rPr>
          <w:rFonts w:ascii="Times New Roman" w:hAnsi="Times New Roman" w:cs="Times New Roman"/>
          <w:noProof/>
          <w:sz w:val="24"/>
          <w:szCs w:val="24"/>
        </w:rPr>
      </w:pPr>
      <w:r>
        <w:rPr>
          <w:rFonts w:ascii="Times New Roman" w:hAnsi="Times New Roman"/>
          <w:noProof/>
          <w:sz w:val="24"/>
        </w:rPr>
        <w:t xml:space="preserve">V kapitolách 3 a 4 jsou popsána konkrétní opatření plánovaná na roky 2026 až 2029. </w:t>
      </w:r>
    </w:p>
    <w:p w14:paraId="7867C119" w14:textId="3F67D218" w:rsidR="00DD4746" w:rsidRPr="00DD4746" w:rsidRDefault="00DD4746" w:rsidP="00DF24CD">
      <w:pPr>
        <w:pStyle w:val="Heading2"/>
        <w:rPr>
          <w:noProof/>
          <w:szCs w:val="24"/>
        </w:rPr>
      </w:pPr>
      <w:r>
        <w:rPr>
          <w:noProof/>
        </w:rPr>
        <w:t>Změna přílohy VII (seznam skupin výrobků)</w:t>
      </w:r>
    </w:p>
    <w:p w14:paraId="740118C3" w14:textId="73F0CFFB" w:rsidR="00250C75" w:rsidRPr="009E1F70" w:rsidRDefault="2B89621A" w:rsidP="009E1F70">
      <w:pPr>
        <w:jc w:val="both"/>
        <w:rPr>
          <w:rFonts w:ascii="Times New Roman" w:hAnsi="Times New Roman" w:cs="Times New Roman"/>
          <w:noProof/>
          <w:sz w:val="24"/>
          <w:szCs w:val="24"/>
        </w:rPr>
      </w:pPr>
      <w:r>
        <w:rPr>
          <w:rFonts w:ascii="Times New Roman" w:hAnsi="Times New Roman"/>
          <w:noProof/>
          <w:sz w:val="24"/>
        </w:rPr>
        <w:t>Komise změní přílohu VII, aby ji přizpůsobila technickému pokroku:</w:t>
      </w:r>
    </w:p>
    <w:p w14:paraId="04BFAE12" w14:textId="545B6AA6" w:rsidR="00250C75" w:rsidRPr="009E1F70" w:rsidRDefault="33B89516"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sz w:val="24"/>
        </w:rPr>
        <w:t xml:space="preserve">To bude zahrnovat sloučení skupin výrobků 34 </w:t>
      </w:r>
      <w:r>
        <w:rPr>
          <w:rFonts w:ascii="Times New Roman" w:hAnsi="Times New Roman"/>
          <w:noProof/>
          <w:color w:val="000000"/>
          <w:sz w:val="24"/>
        </w:rPr>
        <w:t xml:space="preserve">„Stavební sestavy, jednotky, prefabrikované prvky“ a 36 „Trvale instalované žebříky“, protože druhá jmenovaná skupina nepředstavuje samostatnou skupinu výrobků. </w:t>
      </w:r>
    </w:p>
    <w:p w14:paraId="79F2D715" w14:textId="24A03951" w:rsidR="00250C75" w:rsidRPr="009E1F70" w:rsidRDefault="4CC0F5B4"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Kromě toho bude vytvořena nová skupina výrobků s názvem „Dekorativní nátěrové hmoty a tapety“. Tapety jsou v současné době zařazeny do skupiny výrobků 21, ale lépe se hodí do samostatné skupiny spolu s dekorativními nátěry. V případech, kdy jsou nátěrové hmoty upraveny nařízením o ekodesignu udržitelných výrobků, Komise usiluje o doplňkovou regulaci stavebních nátěrových hmot podle regulačního rámce nařízení o stavebních výrobcích. </w:t>
      </w:r>
    </w:p>
    <w:p w14:paraId="1EA9E5E3" w14:textId="3D7525AD" w:rsidR="00247B82" w:rsidRPr="009E1F70" w:rsidRDefault="4A757FFC"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Součástí změny bude také rozšíření názvu skupiny výrobků 27 „Zařízení pro vytápění vnitřních prostor“ na „Zařízení pro vytápění a chlazení“, aby byla zahrnuta všechna zařízení pro vytápění a chlazení, a názvu skupiny výrobků 31 „Elektrické, ovládací a komunikační kabely“ na „Elektrické, ovládací a komunikační kabely, elektrické a elektronické výrobky a příslušenství“. </w:t>
      </w:r>
    </w:p>
    <w:p w14:paraId="1CBA4ED4" w14:textId="0E04D416" w:rsidR="002E3A89" w:rsidRDefault="009F005C" w:rsidP="006D2C33">
      <w:pPr>
        <w:pStyle w:val="ListParagraph"/>
        <w:numPr>
          <w:ilvl w:val="0"/>
          <w:numId w:val="20"/>
        </w:numPr>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A konečně skupina výrobků 22 „Střešní krytiny, střešní světlíky, střešní okna a doplňkové výrobky – střešní sestavy“ bude přejmenována na „Střešní krytiny a doplňkové výrobky – střešní sestavy a fotovoltaické panely“, protože střešní světlíky a střešní okna jsou již zahrnuty ve skupině výrobků 2 „Dveře, okna, okenice, vrata a příslušné stavební kování“ a fotovoltaické panely zatím uvedeny nejsou.</w:t>
      </w:r>
    </w:p>
    <w:p w14:paraId="3A262B45" w14:textId="75A0D05E" w:rsidR="008260CB" w:rsidRPr="009E1F70" w:rsidRDefault="008260CB" w:rsidP="005F7DA2">
      <w:pPr>
        <w:pStyle w:val="ListParagraph"/>
        <w:jc w:val="both"/>
        <w:rPr>
          <w:rFonts w:ascii="Times New Roman" w:eastAsia="Times New Roman" w:hAnsi="Times New Roman" w:cs="Times New Roman"/>
          <w:noProof/>
          <w:color w:val="000000"/>
          <w:sz w:val="24"/>
          <w:szCs w:val="24"/>
          <w:lang w:eastAsia="en-IE"/>
        </w:rPr>
      </w:pPr>
    </w:p>
    <w:p w14:paraId="1B3CBCCD" w14:textId="46A1B24C" w:rsidR="00686ABB" w:rsidRPr="00DD4746" w:rsidRDefault="00686ABB" w:rsidP="00DF24CD">
      <w:pPr>
        <w:pStyle w:val="Heading2"/>
        <w:rPr>
          <w:noProof/>
          <w:szCs w:val="24"/>
        </w:rPr>
      </w:pPr>
      <w:r>
        <w:rPr>
          <w:noProof/>
        </w:rPr>
        <w:t xml:space="preserve">Práce v horizontálních podskupinách (požární bezpečnost, environmentální udržitelnost a nebezpečné látky) </w:t>
      </w:r>
    </w:p>
    <w:p w14:paraId="229C32F4" w14:textId="61482504" w:rsidR="00686ABB" w:rsidRPr="00DD4746" w:rsidRDefault="0097673E" w:rsidP="000A24A6">
      <w:pPr>
        <w:pStyle w:val="Heading3"/>
        <w:rPr>
          <w:noProof/>
        </w:rPr>
      </w:pPr>
      <w:r>
        <w:rPr>
          <w:noProof/>
        </w:rPr>
        <w:t xml:space="preserve">Požární bezpečnost </w:t>
      </w:r>
    </w:p>
    <w:p w14:paraId="268E5494" w14:textId="06C02F75" w:rsidR="009612FF" w:rsidRDefault="009612FF" w:rsidP="009E1F70">
      <w:pPr>
        <w:jc w:val="both"/>
        <w:rPr>
          <w:noProof/>
        </w:rPr>
      </w:pPr>
      <w:r>
        <w:rPr>
          <w:rFonts w:ascii="Times New Roman" w:hAnsi="Times New Roman"/>
          <w:noProof/>
          <w:sz w:val="24"/>
        </w:rPr>
        <w:t>Komise přijme akty v přenesené pravomoci týkající se požární odolnosti stavebních výrobků a jejich reakce na oheň. Kromě toho bude v roce 2026 přezkoumán akt v přenesené pravomoci týkající se vystavení střech a střešních krytin vnějšímu požáru, aby se prozkoumalo, jak mohou případné potřeby u skupiny výrobků 2 „Dveře, okna, okenice, vrata a příslušné stavební kování“ ovlivnit opatření pro zkoušení a klasifikaci (střešní okna a střešní světlíky). Komise zahájí práci na žádosti o normalizaci normy (norem), pokud jde o zkoušení ohnivzdornosti fasád, která má být přijata (které mají být přijaty) v roce 2027. Tato práce bude vycházet z dokončení projektu evropského přístupu k posuzování reakce fasád na oheň</w:t>
      </w:r>
      <w:r>
        <w:rPr>
          <w:rStyle w:val="FootnoteReference"/>
          <w:noProof/>
        </w:rPr>
        <w:footnoteReference w:id="28"/>
      </w:r>
      <w:r>
        <w:rPr>
          <w:noProof/>
        </w:rPr>
        <w:t>.</w:t>
      </w:r>
    </w:p>
    <w:p w14:paraId="7342B65E" w14:textId="3A90203D" w:rsidR="00932477" w:rsidRPr="009E1F70" w:rsidRDefault="0097673E" w:rsidP="000A24A6">
      <w:pPr>
        <w:pStyle w:val="Heading3"/>
        <w:rPr>
          <w:noProof/>
        </w:rPr>
      </w:pPr>
      <w:r>
        <w:rPr>
          <w:noProof/>
        </w:rPr>
        <w:t>Environmentální udržitelnost</w:t>
      </w:r>
    </w:p>
    <w:p w14:paraId="0B319808" w14:textId="3F0E24C5" w:rsidR="00516113" w:rsidRPr="009E1F70" w:rsidRDefault="00F61FF3" w:rsidP="009E1F70">
      <w:pPr>
        <w:jc w:val="both"/>
        <w:rPr>
          <w:rFonts w:ascii="Times New Roman" w:hAnsi="Times New Roman" w:cs="Times New Roman"/>
          <w:noProof/>
          <w:sz w:val="24"/>
          <w:szCs w:val="24"/>
        </w:rPr>
      </w:pPr>
      <w:r>
        <w:rPr>
          <w:rFonts w:ascii="Times New Roman" w:hAnsi="Times New Roman"/>
          <w:noProof/>
          <w:sz w:val="24"/>
        </w:rPr>
        <w:t xml:space="preserve">Podle článku 15 nařízení o stavebních výrobcích musí prohlášení o vlastnostech a shodě zahrnovat vlastnosti environmentální udržitelnosti výrobku během jeho životního cyklu ve vztahu k předem stanoveným základním environmentálním charakteristikám uvedeným v příloze II, jako je potenciál globálního oteplování (celkově, fosilní paliva, biogenní faktory a využívání půdy a změna využívání půdy). Tento přístup zajišťuje rovné podmínky, protože metody posuzování se budou vztahovat na všechny stavební výrobky včetně biologických materiálů. </w:t>
      </w:r>
    </w:p>
    <w:p w14:paraId="4BD40CDF" w14:textId="42DF08EE" w:rsidR="00EB7AD7" w:rsidRPr="009E1F70" w:rsidRDefault="00932477" w:rsidP="009E1F70">
      <w:pPr>
        <w:jc w:val="both"/>
        <w:rPr>
          <w:rFonts w:ascii="Times New Roman" w:hAnsi="Times New Roman" w:cs="Times New Roman"/>
          <w:noProof/>
          <w:sz w:val="24"/>
          <w:szCs w:val="24"/>
        </w:rPr>
      </w:pPr>
      <w:r>
        <w:rPr>
          <w:rFonts w:ascii="Times New Roman" w:hAnsi="Times New Roman"/>
          <w:noProof/>
          <w:sz w:val="24"/>
        </w:rPr>
        <w:t>Komise podporuje vypracování pravidel pro doplňkové kategorie výrobků (c-PCR)</w:t>
      </w:r>
      <w:r>
        <w:rPr>
          <w:rStyle w:val="FootnoteReference"/>
          <w:rFonts w:ascii="Times New Roman" w:hAnsi="Times New Roman" w:cs="Times New Roman"/>
          <w:noProof/>
          <w:sz w:val="24"/>
          <w:szCs w:val="24"/>
        </w:rPr>
        <w:footnoteReference w:id="29"/>
      </w:r>
      <w:r>
        <w:rPr>
          <w:rFonts w:ascii="Times New Roman" w:hAnsi="Times New Roman"/>
          <w:noProof/>
          <w:sz w:val="24"/>
        </w:rPr>
        <w:t>. Tím se urychlí vypracování technického obsahu potřebného k provádění ustanovení nařízení o stavebních výrobcích týkajících se environmentální udržitelnosti a zajistí se konzistentnost a včasné vypracování norem. Práce bude využita v budoucích žádostech o normalizaci a pravidlech pro kategorie výrobků. Konečným cílem je vytvořit konzistentní technický rámec pro posuzování environmentální udržitelnosti stavebních výrobků.</w:t>
      </w:r>
    </w:p>
    <w:p w14:paraId="562C2FBC" w14:textId="7A658553" w:rsidR="00B043D6" w:rsidRDefault="00F838F9" w:rsidP="009E1F70">
      <w:pPr>
        <w:jc w:val="both"/>
        <w:rPr>
          <w:rFonts w:ascii="Times New Roman" w:hAnsi="Times New Roman" w:cs="Times New Roman"/>
          <w:noProof/>
          <w:sz w:val="24"/>
          <w:szCs w:val="24"/>
        </w:rPr>
      </w:pPr>
      <w:r>
        <w:rPr>
          <w:rFonts w:ascii="Times New Roman" w:hAnsi="Times New Roman"/>
          <w:noProof/>
          <w:sz w:val="24"/>
        </w:rPr>
        <w:t xml:space="preserve">Komise vyhlásila výběrové řízení na soubory podkladových dat pro výpočet vlivu na životní prostředí. Cílem projektu je vytvořit evropské soubory podkladových dat pro výrobce. Začne se poskytováním údajů pro první harmonizované normy, které zahrnují environmentální udržitelnost, a v příštích letech se rozšíří na další skupiny výrobků. </w:t>
      </w:r>
    </w:p>
    <w:p w14:paraId="6327D6BD" w14:textId="0D71757A" w:rsidR="00F127C9" w:rsidRPr="009E1F70" w:rsidRDefault="00F127C9" w:rsidP="009E1F70">
      <w:pPr>
        <w:jc w:val="both"/>
        <w:rPr>
          <w:rFonts w:ascii="Times New Roman" w:hAnsi="Times New Roman" w:cs="Times New Roman"/>
          <w:noProof/>
          <w:sz w:val="24"/>
          <w:szCs w:val="24"/>
        </w:rPr>
      </w:pPr>
      <w:r>
        <w:rPr>
          <w:rFonts w:ascii="Times New Roman" w:hAnsi="Times New Roman"/>
          <w:noProof/>
          <w:sz w:val="24"/>
        </w:rPr>
        <w:t>Soubory podkladových dat se mají povinně používat v případech, kdy údaje o konkrétních společnostech, včetně vysoce kvalitních údajů vznikajících při zavádění systému EU pro obchodování s emisemi (ETS) pro velká zařízení, nejsou snadno dostupné nebo je jejich získání nákladné. Aby se předešlo manipulacím při výběru dat (tj. výběru těch dat, která umožňují, aby se výrobek ukázal v nejlepším světle), mají být soubory podkladových dat konzervativní povahy.</w:t>
      </w:r>
    </w:p>
    <w:p w14:paraId="574C7F73" w14:textId="09D53803" w:rsidR="008D5D01" w:rsidRDefault="008D5D01" w:rsidP="009E1F70">
      <w:pPr>
        <w:jc w:val="both"/>
        <w:rPr>
          <w:rFonts w:ascii="Times New Roman" w:hAnsi="Times New Roman" w:cs="Times New Roman"/>
          <w:noProof/>
          <w:sz w:val="24"/>
          <w:szCs w:val="24"/>
        </w:rPr>
      </w:pPr>
      <w:r>
        <w:rPr>
          <w:rFonts w:ascii="Times New Roman" w:hAnsi="Times New Roman"/>
          <w:noProof/>
          <w:sz w:val="24"/>
        </w:rPr>
        <w:t>Podskupina pro environmentální udržitelnost rovněž projednává provádění posouzení environmentální udržitelnosti, zejména pokud jde o homogenní provádění systému posuzování a ověřování 3+ a vypracování pravidel pro budoucí akty v přenesené pravomoci, které se budou zabývat prohlášeními bez zkoušení základních charakteristik týkajících se environmentální udržitelnosti.</w:t>
      </w:r>
    </w:p>
    <w:p w14:paraId="74A724C6" w14:textId="5E22E455" w:rsidR="00F127C9" w:rsidRPr="00F127C9" w:rsidRDefault="00F127C9" w:rsidP="009E1F70">
      <w:pPr>
        <w:jc w:val="both"/>
        <w:rPr>
          <w:rFonts w:ascii="Times New Roman" w:hAnsi="Times New Roman" w:cs="Times New Roman"/>
          <w:noProof/>
          <w:sz w:val="24"/>
          <w:szCs w:val="24"/>
        </w:rPr>
      </w:pPr>
      <w:r>
        <w:rPr>
          <w:rFonts w:ascii="Times New Roman" w:hAnsi="Times New Roman"/>
          <w:noProof/>
          <w:sz w:val="24"/>
        </w:rPr>
        <w:t>Komise přijme akt v přenesené pravomoci, kterým uzná použití údajů ze systému ETS jako vstupních údajů</w:t>
      </w:r>
      <w:r>
        <w:rPr>
          <w:rFonts w:ascii="Times New Roman" w:hAnsi="Times New Roman"/>
          <w:noProof/>
        </w:rPr>
        <w:t xml:space="preserve"> pro </w:t>
      </w:r>
      <w:r>
        <w:rPr>
          <w:rFonts w:ascii="Times New Roman" w:hAnsi="Times New Roman"/>
          <w:noProof/>
          <w:sz w:val="24"/>
        </w:rPr>
        <w:t xml:space="preserve">posouzení environmentální udržitelnosti pro ty skupiny výrobků, u nichž by údaje a metodika systému ETS umožnily pokrýt značnou část emisí během životního cyklu. Tím se zajistí harmonizovaný přístup k příslušným právním předpisům EU a sníží se administrativní zátěž pro výrobce.  </w:t>
      </w:r>
    </w:p>
    <w:p w14:paraId="6350DE29" w14:textId="66DDCC1E" w:rsidR="00EB7AD7" w:rsidRPr="009E1F70" w:rsidRDefault="00EB7AD7" w:rsidP="000A24A6">
      <w:pPr>
        <w:pStyle w:val="Heading3"/>
        <w:rPr>
          <w:noProof/>
        </w:rPr>
      </w:pPr>
      <w:r>
        <w:rPr>
          <w:noProof/>
        </w:rPr>
        <w:t>Nebezpečné látky</w:t>
      </w:r>
    </w:p>
    <w:p w14:paraId="0900EF58" w14:textId="4E14A96C" w:rsidR="000103E9" w:rsidRDefault="25DC207E" w:rsidP="009E1F70">
      <w:pPr>
        <w:spacing w:before="240" w:after="120"/>
        <w:jc w:val="both"/>
        <w:rPr>
          <w:rFonts w:ascii="Times New Roman" w:hAnsi="Times New Roman" w:cs="Times New Roman"/>
          <w:noProof/>
          <w:sz w:val="24"/>
          <w:szCs w:val="24"/>
        </w:rPr>
      </w:pPr>
      <w:r>
        <w:rPr>
          <w:rFonts w:ascii="Times New Roman" w:hAnsi="Times New Roman"/>
          <w:noProof/>
          <w:sz w:val="24"/>
        </w:rPr>
        <w:t>Komise v roce 2026 přijme žádost o normalizaci, aby zahrnula další metody posuzování, které doplňují stávající nástroje pro posuzování jejich obsahu ve stavebních výrobcích nebo jejich emisí z těchto výrobků. Tato práce se zaměří na přidání dalších látek a materiálů (např. mikroplastů) a metod posuzování (v zájmu doplnění/zpřesnění stávajících metod pro emise / obsah nebezpečných látek) za účelem přizpůsobení novým právním předpisům EU i vnitrostátním požadavkům.</w:t>
      </w:r>
    </w:p>
    <w:p w14:paraId="34A08450" w14:textId="77777777" w:rsidR="008260CB" w:rsidRPr="009E1F70" w:rsidRDefault="008260CB" w:rsidP="009E1F70">
      <w:pPr>
        <w:spacing w:before="240" w:after="120"/>
        <w:jc w:val="both"/>
        <w:rPr>
          <w:rFonts w:ascii="Times New Roman" w:hAnsi="Times New Roman" w:cs="Times New Roman"/>
          <w:noProof/>
          <w:sz w:val="24"/>
          <w:szCs w:val="24"/>
        </w:rPr>
      </w:pPr>
    </w:p>
    <w:p w14:paraId="2754A566" w14:textId="3557B60A" w:rsidR="00684DF1" w:rsidRPr="009E1F70" w:rsidRDefault="00C761AC" w:rsidP="00DF24CD">
      <w:pPr>
        <w:pStyle w:val="Heading2"/>
        <w:rPr>
          <w:noProof/>
          <w:szCs w:val="24"/>
        </w:rPr>
      </w:pPr>
      <w:r>
        <w:rPr>
          <w:noProof/>
        </w:rPr>
        <w:t xml:space="preserve">Digitální pas výrobku – informace o všech částech hodnotového řetězce </w:t>
      </w:r>
    </w:p>
    <w:p w14:paraId="7559F7DE" w14:textId="3CF40164" w:rsidR="00684DF1" w:rsidRDefault="00684DF1" w:rsidP="009E1F70">
      <w:pPr>
        <w:spacing w:before="240" w:after="120"/>
        <w:jc w:val="both"/>
        <w:rPr>
          <w:rFonts w:ascii="Times New Roman" w:hAnsi="Times New Roman" w:cs="Times New Roman"/>
          <w:noProof/>
          <w:sz w:val="24"/>
          <w:szCs w:val="24"/>
        </w:rPr>
      </w:pPr>
      <w:r>
        <w:rPr>
          <w:rFonts w:ascii="Times New Roman" w:hAnsi="Times New Roman"/>
          <w:noProof/>
          <w:sz w:val="24"/>
        </w:rPr>
        <w:t>Klíčovým pilířem nařízení o stavebních výrobcích je digitální pas výrobku. Každý výrobek regulovaný harmonizovanými technickými specifikacemi nebo evropskými dokumenty pro posuzování podle nařízení o stavebních výrobcích (nikoliv podle nařízení o stavebních výrobcích z roku 2011) bude mít digitální pas výrobku, jakmile bude digitální pas uveden do provozu a stane se povinným na základě aktu v přenesené pravomoci. Digitální pas výrobku bude podnikům, spotřebitelům a orgánům veřejné správy poskytovat přístup k údajům na základě otevřených a nechráněných mezinárodních norem. Komise zahájila proces normalizace s cílem stanovit pravidla pro nosiče dat, infrastrukturu a interoperabilitu dat, která jsou nezbytná pro rozvoj systému pasů výrobků. Digitální pas výrobku zajistí po uvedení výrobku na trh sledovatelnost v celém hodnotovém řetězci. To bude důležitým příspěvkem k ucelené digitalizaci stavebního ekosystému. Bude to podporovat provádění směrnice o energetické náročnosti budov</w:t>
      </w:r>
      <w:r>
        <w:rPr>
          <w:rStyle w:val="FootnoteReference"/>
          <w:rFonts w:ascii="Times New Roman" w:hAnsi="Times New Roman" w:cs="Times New Roman"/>
          <w:noProof/>
          <w:sz w:val="24"/>
          <w:szCs w:val="24"/>
        </w:rPr>
        <w:footnoteReference w:id="30"/>
      </w:r>
      <w:r>
        <w:rPr>
          <w:rFonts w:ascii="Times New Roman" w:hAnsi="Times New Roman"/>
          <w:noProof/>
          <w:sz w:val="24"/>
        </w:rPr>
        <w:t xml:space="preserve">, používání digitálních deníků budov a informačního modelování staveb. V pasu budou uvedeny informace o základních charakteristikách a materiálech a informace o tom, jak lze výrobek bezpečně používat, opravovat, znovu používat, recyklovat a likvidovat. To usnadní řízení celého životního cyklu výrobku. </w:t>
      </w:r>
    </w:p>
    <w:p w14:paraId="77E52800" w14:textId="77777777" w:rsidR="008260CB" w:rsidRPr="009E1F70" w:rsidRDefault="008260CB" w:rsidP="009E1F70">
      <w:pPr>
        <w:spacing w:before="240" w:after="120"/>
        <w:jc w:val="both"/>
        <w:rPr>
          <w:rFonts w:ascii="Times New Roman" w:eastAsiaTheme="majorEastAsia" w:hAnsi="Times New Roman" w:cs="Times New Roman"/>
          <w:noProof/>
          <w:sz w:val="24"/>
          <w:szCs w:val="24"/>
        </w:rPr>
      </w:pPr>
    </w:p>
    <w:p w14:paraId="1786FA3C" w14:textId="77E62753" w:rsidR="00684DF1" w:rsidRPr="009E1F70" w:rsidRDefault="00684DF1" w:rsidP="00DF24CD">
      <w:pPr>
        <w:pStyle w:val="Heading2"/>
        <w:rPr>
          <w:noProof/>
          <w:szCs w:val="24"/>
        </w:rPr>
      </w:pPr>
      <w:r>
        <w:rPr>
          <w:noProof/>
        </w:rPr>
        <w:t>Posílení postavení spotřebitelů a odborníků: základní informace o výrobku, návod k použití, bezpečnostní informace a informativní označení</w:t>
      </w:r>
    </w:p>
    <w:p w14:paraId="27866E01" w14:textId="6F3FEE18" w:rsidR="00D74785" w:rsidRPr="009E1F70" w:rsidRDefault="0EEA698B" w:rsidP="00684DF1">
      <w:pPr>
        <w:pStyle w:val="Text1"/>
        <w:ind w:left="0"/>
        <w:rPr>
          <w:noProof/>
          <w:szCs w:val="24"/>
        </w:rPr>
      </w:pPr>
      <w:r>
        <w:rPr>
          <w:noProof/>
        </w:rPr>
        <w:t xml:space="preserve">Nařízení o stavebních výrobcích se výrazně zaměřuje na informace o výrobku. Příloha IV definuje obsah informací o výrobku. Komise v žádostech o normalizaci požádá normalizační organizace o vypracování pokynů pro výrobce, jak tyto právní povinnosti plnit. </w:t>
      </w:r>
    </w:p>
    <w:p w14:paraId="50BC5B3D" w14:textId="0B221345" w:rsidR="00684DF1" w:rsidRPr="009E1F70" w:rsidRDefault="7C94BCFE" w:rsidP="00AC0A47">
      <w:pPr>
        <w:pStyle w:val="Text1"/>
        <w:ind w:left="0"/>
        <w:rPr>
          <w:noProof/>
          <w:color w:val="4D4D4D" w:themeColor="text1"/>
          <w:szCs w:val="24"/>
        </w:rPr>
      </w:pPr>
      <w:r>
        <w:rPr>
          <w:noProof/>
        </w:rPr>
        <w:t xml:space="preserve">Pro výrobky, které si vybírají spotřebitelé, je v nařízení o stavebních výrobcích stanoveno, že lze zavést povinné označování environmentální udržitelnosti, které spotřebitelům pomůže při informovaném rozhodování a podnítí změnu chování. To může pomoci uvolnit přínosy nařízení o stavebních výrobcích pro udržitelnost životního prostředí nad úroveň, které lze dosáhnout regulací minimální výkonnosti. </w:t>
      </w:r>
    </w:p>
    <w:p w14:paraId="61D7DE9C" w14:textId="77777777" w:rsidR="00213656" w:rsidRDefault="46AFE7FC" w:rsidP="295E7731">
      <w:pPr>
        <w:pStyle w:val="Text1"/>
        <w:ind w:left="0"/>
        <w:rPr>
          <w:noProof/>
          <w:szCs w:val="24"/>
        </w:rPr>
      </w:pPr>
      <w:r>
        <w:rPr>
          <w:noProof/>
        </w:rPr>
        <w:t xml:space="preserve">V budoucnu budou tyto informace zpravidla uvedeny v digitálním pasu výrobku. Některé výrobky mohou být rovněž označeny štítkem podle nařízení o ekodesignu udržitelných výrobků a/nebo jinými štítky, které se řídí zvláštními právními předpisy EU. Tyto štítky budou poskytovat jasné a důvěryhodné informace o příslušných vlastnostech výrobku nebo jeho výkonnosti, jako je uhlíková stopa, biologický obsah, spotřeba vody, trvanlivost, opravitelnost nebo recyklovatelnost. </w:t>
      </w:r>
      <w:bookmarkStart w:id="11" w:name="_Hlk194701308"/>
    </w:p>
    <w:p w14:paraId="65050BA6" w14:textId="76DD67A5" w:rsidR="00684DF1" w:rsidRPr="009E1F70" w:rsidRDefault="00213656" w:rsidP="295E7731">
      <w:pPr>
        <w:pStyle w:val="Text1"/>
        <w:ind w:left="0"/>
        <w:rPr>
          <w:noProof/>
          <w:szCs w:val="24"/>
        </w:rPr>
      </w:pPr>
      <w:r>
        <w:rPr>
          <w:noProof/>
        </w:rPr>
        <w:t xml:space="preserve">Úkolem podskupin pro CPR </w:t>
      </w:r>
      <w:r>
        <w:rPr>
          <w:i/>
          <w:noProof/>
        </w:rPr>
        <w:t>acquis</w:t>
      </w:r>
      <w:r>
        <w:rPr>
          <w:noProof/>
        </w:rPr>
        <w:t xml:space="preserve"> v rámci jejich práce na skupinách výrobků a horizontální podskupiny pro environmentální udržitelnost bude určit stavební výrobky, pro které by taková označení měla být zavedena. Při tomto posuzování budou podskupiny brát v úvahu stávající označení vycházející z právních předpisů EU, aby se předešlo překrývání a matoucím sdělením pro spotřebitele.</w:t>
      </w:r>
    </w:p>
    <w:p w14:paraId="4D922395" w14:textId="576599AD" w:rsidR="00702540" w:rsidRDefault="7DD42C3D" w:rsidP="00684DF1">
      <w:pPr>
        <w:pStyle w:val="Text1"/>
        <w:ind w:left="0"/>
        <w:rPr>
          <w:rFonts w:ascii="Arial" w:hAnsi="Arial" w:cs="Arial"/>
          <w:noProof/>
          <w:sz w:val="22"/>
        </w:rPr>
      </w:pPr>
      <w:r>
        <w:rPr>
          <w:noProof/>
        </w:rPr>
        <w:t>V rámci Dohody o čistém průmyslu bylo oznámeno zavedení povinného označování cementu (uvedení potenciálu globálního oteplování), až budou nové normy pro cement závazné</w:t>
      </w:r>
      <w:r>
        <w:rPr>
          <w:rStyle w:val="FootnoteReference"/>
          <w:rFonts w:ascii="Arial" w:hAnsi="Arial" w:cs="Arial"/>
          <w:noProof/>
          <w:sz w:val="22"/>
          <w:lang w:val="en-US"/>
        </w:rPr>
        <w:footnoteReference w:id="31"/>
      </w:r>
      <w:r>
        <w:rPr>
          <w:noProof/>
        </w:rPr>
        <w:t>.</w:t>
      </w:r>
      <w:r>
        <w:rPr>
          <w:rFonts w:ascii="Arial" w:hAnsi="Arial"/>
          <w:noProof/>
          <w:sz w:val="22"/>
        </w:rPr>
        <w:t xml:space="preserve"> </w:t>
      </w:r>
    </w:p>
    <w:p w14:paraId="7F2C297C" w14:textId="77777777" w:rsidR="008260CB" w:rsidRDefault="008260CB" w:rsidP="00684DF1">
      <w:pPr>
        <w:pStyle w:val="Text1"/>
        <w:ind w:left="0"/>
        <w:rPr>
          <w:rFonts w:ascii="Arial" w:hAnsi="Arial" w:cs="Arial"/>
          <w:noProof/>
          <w:sz w:val="22"/>
          <w:lang w:val="en-US"/>
        </w:rPr>
      </w:pPr>
    </w:p>
    <w:bookmarkEnd w:id="11"/>
    <w:p w14:paraId="0D9CCD01" w14:textId="09D8BDB5" w:rsidR="00684DF1" w:rsidRPr="009E1F70" w:rsidRDefault="00D31688" w:rsidP="00DF24CD">
      <w:pPr>
        <w:pStyle w:val="Heading2"/>
        <w:rPr>
          <w:noProof/>
          <w:szCs w:val="24"/>
        </w:rPr>
      </w:pPr>
      <w:r>
        <w:rPr>
          <w:noProof/>
        </w:rPr>
        <w:t>Zelené veřejné zakázky</w:t>
      </w:r>
    </w:p>
    <w:p w14:paraId="6B91CFEF" w14:textId="7B49CF7C" w:rsidR="006579B4" w:rsidRPr="009E1F70" w:rsidRDefault="00684DF1" w:rsidP="009E1F70">
      <w:pPr>
        <w:jc w:val="both"/>
        <w:rPr>
          <w:rFonts w:ascii="Times New Roman" w:hAnsi="Times New Roman" w:cs="Times New Roman"/>
          <w:noProof/>
          <w:sz w:val="24"/>
          <w:szCs w:val="24"/>
        </w:rPr>
      </w:pPr>
      <w:r>
        <w:rPr>
          <w:rFonts w:ascii="Times New Roman" w:hAnsi="Times New Roman"/>
          <w:noProof/>
          <w:sz w:val="24"/>
        </w:rPr>
        <w:t xml:space="preserve">Nařízení o stavebních výrobcích umožňuje přijímat akty v přenesené pravomoci, které stanoví závazné minimální požadavky na environmentální udržitelnost stavebních výrobků v rámci postupů zadávání veřejných zakázek, kdykoli jsou výrobky regulované harmonizovanými normami pro veřejné zadavatele relevantní a je pro ně ekonomicky proveditelné nakupovat nejlepší výrobky z hlediska environmentální udržitelnosti. Tato opatření mají podpořit vytváření předních trhů, stimulovat investice a pomoci průmyslu EU zlepšit svou konkurenceschopnost v souladu s cíli Dohody o čistém průmyslu. Komise zahájí první posouzení dopadů do konce roku 2026. </w:t>
      </w:r>
    </w:p>
    <w:p w14:paraId="1C9EF7EB" w14:textId="04D6AD8F" w:rsidR="009C4B85" w:rsidRDefault="007F6D26" w:rsidP="009E1F70">
      <w:pPr>
        <w:jc w:val="both"/>
        <w:rPr>
          <w:rFonts w:ascii="Times New Roman" w:hAnsi="Times New Roman" w:cs="Times New Roman"/>
          <w:noProof/>
          <w:sz w:val="24"/>
          <w:szCs w:val="24"/>
        </w:rPr>
      </w:pPr>
      <w:r>
        <w:rPr>
          <w:rFonts w:ascii="Times New Roman" w:hAnsi="Times New Roman"/>
          <w:noProof/>
          <w:sz w:val="24"/>
        </w:rPr>
        <w:t>Případná opatření budou muset zohlednit revizi právního rámce pro zadávání veřejných zakázek a připravovaný akt o akcelerátoru průmyslu.</w:t>
      </w:r>
    </w:p>
    <w:p w14:paraId="6E7475A9" w14:textId="77777777" w:rsidR="008260CB" w:rsidRPr="009E1F70" w:rsidRDefault="008260CB" w:rsidP="009E1F70">
      <w:pPr>
        <w:jc w:val="both"/>
        <w:rPr>
          <w:rFonts w:ascii="Times New Roman" w:hAnsi="Times New Roman" w:cs="Times New Roman"/>
          <w:noProof/>
          <w:sz w:val="24"/>
          <w:szCs w:val="24"/>
        </w:rPr>
      </w:pPr>
    </w:p>
    <w:p w14:paraId="6AFF1D3D" w14:textId="7DB3AF31" w:rsidR="002B46BE" w:rsidRPr="009E1F70" w:rsidRDefault="00AD4F75" w:rsidP="00C5300B">
      <w:pPr>
        <w:pStyle w:val="Heading1"/>
        <w:rPr>
          <w:noProof/>
        </w:rPr>
      </w:pPr>
      <w:r>
        <w:rPr>
          <w:noProof/>
        </w:rPr>
        <w:t xml:space="preserve">Opatření týkající se skupin výrobků </w:t>
      </w:r>
    </w:p>
    <w:p w14:paraId="53DC4262" w14:textId="2193245B" w:rsidR="00665DF0" w:rsidRPr="009E1F70" w:rsidRDefault="007877CA" w:rsidP="009E1F70">
      <w:pPr>
        <w:jc w:val="both"/>
        <w:rPr>
          <w:rFonts w:ascii="Times New Roman" w:hAnsi="Times New Roman" w:cs="Times New Roman"/>
          <w:noProof/>
          <w:sz w:val="24"/>
          <w:szCs w:val="24"/>
        </w:rPr>
      </w:pPr>
      <w:r>
        <w:rPr>
          <w:rFonts w:ascii="Times New Roman" w:hAnsi="Times New Roman"/>
          <w:noProof/>
          <w:sz w:val="24"/>
        </w:rPr>
        <w:t xml:space="preserve">Těžiště práce se týká skupin výrobků. Následující tabulka 3 uvádí všechny plánované a probíhající činnosti v období pracovního plánu 2026–2029 týkající se všech skupin výrobků seřazených podle pořadí uvedeného v tabulce 2. Skupiny výrobků jsou uspořádány podle (předpokládaného) zahájení práce na </w:t>
      </w:r>
      <w:r>
        <w:rPr>
          <w:rFonts w:ascii="Times New Roman" w:hAnsi="Times New Roman"/>
          <w:i/>
          <w:noProof/>
          <w:sz w:val="24"/>
        </w:rPr>
        <w:t>acquis</w:t>
      </w:r>
      <w:r>
        <w:rPr>
          <w:rFonts w:ascii="Times New Roman" w:hAnsi="Times New Roman"/>
          <w:noProof/>
          <w:sz w:val="24"/>
        </w:rPr>
        <w:t xml:space="preserve">. Všechna data jsou orientační. </w:t>
      </w:r>
    </w:p>
    <w:p w14:paraId="62147035" w14:textId="528166F7" w:rsidR="00F6295C" w:rsidRPr="009E1F70" w:rsidRDefault="003F2B02" w:rsidP="009E1F70">
      <w:pPr>
        <w:spacing w:before="0" w:after="160"/>
        <w:jc w:val="both"/>
        <w:rPr>
          <w:rFonts w:ascii="Times New Roman" w:hAnsi="Times New Roman" w:cs="Times New Roman"/>
          <w:noProof/>
          <w:sz w:val="24"/>
          <w:szCs w:val="24"/>
        </w:rPr>
      </w:pPr>
      <w:r>
        <w:rPr>
          <w:rFonts w:ascii="Times New Roman" w:hAnsi="Times New Roman"/>
          <w:noProof/>
          <w:sz w:val="24"/>
        </w:rPr>
        <w:t xml:space="preserve">Vysvětlivky k tabulce: </w:t>
      </w:r>
    </w:p>
    <w:p w14:paraId="6892BEF0" w14:textId="3996F1E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 xml:space="preserve">Kód skupiny výrobků – třípísmenný kód přidělený v CPR </w:t>
      </w:r>
      <w:r>
        <w:rPr>
          <w:rFonts w:ascii="Times New Roman" w:hAnsi="Times New Roman"/>
          <w:i/>
          <w:noProof/>
          <w:sz w:val="24"/>
        </w:rPr>
        <w:t>acquis.</w:t>
      </w:r>
    </w:p>
    <w:p w14:paraId="60B3DE98"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Milník I – vypracování dokumentu v rámci milníku I: výrobky, které mají být zahrnuty.</w:t>
      </w:r>
    </w:p>
    <w:p w14:paraId="6F6F4C26"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Milník III – vypracování dokumentu v rámci milníku III: základní charakteristiky, třídy, prahové hodnoty, základní informace o výrobku, návod k použití a bezpečnostní informace a předběžný obsah požadavků na výrobek (je-li to relevantní).</w:t>
      </w:r>
    </w:p>
    <w:p w14:paraId="1BC95354"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Žádost o normalizaci – návrh žádosti o normalizaci předložený k hlasování Výboru pro normy.</w:t>
      </w:r>
    </w:p>
    <w:p w14:paraId="158E8B5E"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Termín vypracování norem – předpokládané vypracování prvních norem zahrnutých do žádosti o normalizaci, konkrétní termíny pro jednotlivé výstupy budou projednány.</w:t>
      </w:r>
    </w:p>
    <w:p w14:paraId="1885646D"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Zavedení závazné normy a přijetí aktu v přenesené pravomoci – datum přijetí prováděcího aktu, kterým se normy stávají povinnými, a aktu v přenesené pravomoci, kterým se stanoví třídy, prahové hodnoty, povinné prohlášení atd. v souvislosti s nimi.</w:t>
      </w:r>
    </w:p>
    <w:p w14:paraId="506A63D1" w14:textId="77777777"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Požadavky na výrobky podle aktu v přenesené pravomoci – datum přijetí aktu v přenesené pravomoci, kterým se stanoví požadavky na výrobky. Poté může následovat samostatná žádost o normalizaci za účelem vypracování dobrovolných harmonizovaných norem, které zakládají předpoklad shody s požadavky.</w:t>
      </w:r>
    </w:p>
    <w:p w14:paraId="1C8427F0" w14:textId="2DB52E3A" w:rsidR="00E63AD4" w:rsidRPr="009E1F70" w:rsidRDefault="00E63AD4" w:rsidP="006D2C33">
      <w:pPr>
        <w:pStyle w:val="ListParagraph"/>
        <w:numPr>
          <w:ilvl w:val="0"/>
          <w:numId w:val="21"/>
        </w:numPr>
        <w:jc w:val="both"/>
        <w:rPr>
          <w:rFonts w:ascii="Times New Roman" w:hAnsi="Times New Roman" w:cs="Times New Roman"/>
          <w:noProof/>
          <w:sz w:val="24"/>
          <w:szCs w:val="24"/>
        </w:rPr>
      </w:pPr>
      <w:r>
        <w:rPr>
          <w:rFonts w:ascii="Times New Roman" w:hAnsi="Times New Roman"/>
          <w:noProof/>
          <w:sz w:val="24"/>
        </w:rPr>
        <w:t>Doplňující informace – další relevantní informace, které je třeba vzít v úvahu, například přípravné práce v rámci milníku 0 zahájené v některých skupinách.</w:t>
      </w:r>
    </w:p>
    <w:p w14:paraId="43364857" w14:textId="77777777" w:rsidR="005A38FE" w:rsidRDefault="005A38FE" w:rsidP="001D62BB">
      <w:pPr>
        <w:rPr>
          <w:noProof/>
        </w:rPr>
      </w:pPr>
    </w:p>
    <w:p w14:paraId="30E26418" w14:textId="77777777" w:rsidR="00E63AD4" w:rsidRDefault="00E63AD4" w:rsidP="001D62BB">
      <w:pPr>
        <w:rPr>
          <w:noProof/>
        </w:rPr>
        <w:sectPr w:rsidR="00E63AD4" w:rsidSect="008269F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483" w:gutter="0"/>
          <w:pgNumType w:start="1"/>
          <w:cols w:space="720"/>
          <w:titlePg/>
          <w:docGrid w:linePitch="360"/>
        </w:sectPr>
      </w:pPr>
    </w:p>
    <w:p w14:paraId="0C94F598" w14:textId="59CD5F7B" w:rsidR="009F3156" w:rsidRPr="009E1F70" w:rsidRDefault="00062E84" w:rsidP="004D187D">
      <w:pPr>
        <w:pStyle w:val="Caption"/>
        <w:rPr>
          <w:rFonts w:ascii="Times New Roman" w:hAnsi="Times New Roman" w:cs="Times New Roman"/>
          <w:b/>
          <w:bCs/>
          <w:i w:val="0"/>
          <w:iCs w:val="0"/>
          <w:noProof/>
          <w:color w:val="auto"/>
          <w:sz w:val="20"/>
          <w:szCs w:val="20"/>
        </w:rPr>
      </w:pPr>
      <w:r>
        <w:rPr>
          <w:rFonts w:ascii="Times New Roman" w:hAnsi="Times New Roman"/>
          <w:b/>
          <w:i w:val="0"/>
          <w:noProof/>
          <w:color w:val="auto"/>
          <w:sz w:val="20"/>
        </w:rPr>
        <w:t xml:space="preserve">Tabulka 3: Opatření týkající se skupin výrobků </w:t>
      </w:r>
    </w:p>
    <w:tbl>
      <w:tblPr>
        <w:tblStyle w:val="TableGrid"/>
        <w:tblW w:w="14715" w:type="dxa"/>
        <w:tblLayout w:type="fixed"/>
        <w:tblLook w:val="04A0" w:firstRow="1" w:lastRow="0" w:firstColumn="1" w:lastColumn="0" w:noHBand="0" w:noVBand="1"/>
      </w:tblPr>
      <w:tblGrid>
        <w:gridCol w:w="1339"/>
        <w:gridCol w:w="2778"/>
        <w:gridCol w:w="1020"/>
        <w:gridCol w:w="1020"/>
        <w:gridCol w:w="1020"/>
        <w:gridCol w:w="1020"/>
        <w:gridCol w:w="1020"/>
        <w:gridCol w:w="1020"/>
        <w:gridCol w:w="1020"/>
        <w:gridCol w:w="3458"/>
      </w:tblGrid>
      <w:tr w:rsidR="00C95F37" w14:paraId="0B06A386" w14:textId="23B88EF6" w:rsidTr="00354C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339" w:type="dxa"/>
            <w:noWrap/>
            <w:hideMark/>
          </w:tcPr>
          <w:p w14:paraId="080E1D4D" w14:textId="1C0F1135" w:rsidR="000C2404" w:rsidRPr="00427899" w:rsidRDefault="007D5D16" w:rsidP="004D187D">
            <w:pPr>
              <w:spacing w:before="0" w:after="0"/>
              <w:jc w:val="center"/>
              <w:rPr>
                <w:rFonts w:ascii="Aptos Narrow" w:eastAsia="Times New Roman" w:hAnsi="Aptos Narrow" w:cs="Times New Roman"/>
                <w:noProof/>
              </w:rPr>
            </w:pPr>
            <w:r>
              <w:rPr>
                <w:rFonts w:ascii="Aptos Narrow" w:hAnsi="Aptos Narrow"/>
                <w:noProof/>
              </w:rPr>
              <w:t>Č. skupiny výrobků v</w:t>
            </w:r>
            <w:r w:rsidR="00AE2F33">
              <w:rPr>
                <w:rFonts w:ascii="Aptos Narrow" w:hAnsi="Aptos Narrow"/>
                <w:noProof/>
                <w:color w:val="000000"/>
              </w:rPr>
              <w:t> </w:t>
            </w:r>
            <w:r>
              <w:rPr>
                <w:rFonts w:ascii="Aptos Narrow" w:hAnsi="Aptos Narrow"/>
                <w:noProof/>
              </w:rPr>
              <w:t>příloze VII</w:t>
            </w:r>
          </w:p>
        </w:tc>
        <w:tc>
          <w:tcPr>
            <w:tcW w:w="2778" w:type="dxa"/>
            <w:shd w:val="clear" w:color="auto" w:fill="034EA2" w:themeFill="text2"/>
            <w:noWrap/>
            <w:hideMark/>
          </w:tcPr>
          <w:p w14:paraId="2086DA15" w14:textId="358D0E10" w:rsidR="000C2404" w:rsidRPr="00427899" w:rsidRDefault="000C2404" w:rsidP="004D187D">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Skupina výrobků</w:t>
            </w:r>
          </w:p>
        </w:tc>
        <w:tc>
          <w:tcPr>
            <w:tcW w:w="1020" w:type="dxa"/>
            <w:shd w:val="clear" w:color="auto" w:fill="034EA2" w:themeFill="text2"/>
          </w:tcPr>
          <w:p w14:paraId="70691990" w14:textId="7F614277"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Kód</w:t>
            </w:r>
          </w:p>
        </w:tc>
        <w:tc>
          <w:tcPr>
            <w:tcW w:w="1020" w:type="dxa"/>
            <w:shd w:val="clear" w:color="auto" w:fill="034EA2" w:themeFill="text2"/>
          </w:tcPr>
          <w:p w14:paraId="4723EECA" w14:textId="19AC3423" w:rsidR="000C2404" w:rsidRPr="00427899"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Milník I</w:t>
            </w:r>
          </w:p>
        </w:tc>
        <w:tc>
          <w:tcPr>
            <w:tcW w:w="1020" w:type="dxa"/>
            <w:shd w:val="clear" w:color="auto" w:fill="034EA2" w:themeFill="text2"/>
          </w:tcPr>
          <w:p w14:paraId="0EE31A8C" w14:textId="637F0445"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Milník III</w:t>
            </w:r>
          </w:p>
        </w:tc>
        <w:tc>
          <w:tcPr>
            <w:tcW w:w="1020" w:type="dxa"/>
            <w:shd w:val="clear" w:color="auto" w:fill="034EA2" w:themeFill="text2"/>
          </w:tcPr>
          <w:p w14:paraId="07A347FF" w14:textId="1074379C" w:rsidR="000C2404" w:rsidRDefault="00D2159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Požadavky na normalizaci</w:t>
            </w:r>
          </w:p>
        </w:tc>
        <w:tc>
          <w:tcPr>
            <w:tcW w:w="1020" w:type="dxa"/>
            <w:shd w:val="clear" w:color="auto" w:fill="034EA2" w:themeFill="text2"/>
          </w:tcPr>
          <w:p w14:paraId="0C110EA5" w14:textId="77777777"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Termín</w:t>
            </w:r>
          </w:p>
          <w:p w14:paraId="53901CF3" w14:textId="2657D3A9"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vypracování norem</w:t>
            </w:r>
          </w:p>
        </w:tc>
        <w:tc>
          <w:tcPr>
            <w:tcW w:w="1020" w:type="dxa"/>
            <w:shd w:val="clear" w:color="auto" w:fill="034EA2" w:themeFill="text2"/>
          </w:tcPr>
          <w:p w14:paraId="2F7F76E8" w14:textId="11AE697A"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Zavedení závazné normy a přijetí aktu v přenesené pravomoci</w:t>
            </w:r>
          </w:p>
        </w:tc>
        <w:tc>
          <w:tcPr>
            <w:tcW w:w="1020" w:type="dxa"/>
            <w:shd w:val="clear" w:color="auto" w:fill="034EA2" w:themeFill="text2"/>
          </w:tcPr>
          <w:p w14:paraId="7F71A984" w14:textId="3F7EF760"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Požadavky na výrobek podle aktu v přenesené pravomoci</w:t>
            </w:r>
          </w:p>
        </w:tc>
        <w:tc>
          <w:tcPr>
            <w:tcW w:w="3458" w:type="dxa"/>
            <w:shd w:val="clear" w:color="auto" w:fill="034EA2" w:themeFill="text2"/>
          </w:tcPr>
          <w:p w14:paraId="7A512B56" w14:textId="771F2316" w:rsidR="000C2404" w:rsidRDefault="000C2404" w:rsidP="00CD0531">
            <w:pPr>
              <w:spacing w:before="0"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noProof/>
              </w:rPr>
            </w:pPr>
            <w:r>
              <w:rPr>
                <w:rFonts w:ascii="Aptos Narrow" w:hAnsi="Aptos Narrow"/>
                <w:noProof/>
              </w:rPr>
              <w:t>Další informace</w:t>
            </w:r>
          </w:p>
        </w:tc>
      </w:tr>
      <w:tr w:rsidR="00C35BE6" w:rsidRPr="00427899" w14:paraId="4A65E46E"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150125F" w14:textId="7777777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w:t>
            </w:r>
          </w:p>
        </w:tc>
        <w:tc>
          <w:tcPr>
            <w:tcW w:w="2778" w:type="dxa"/>
            <w:noWrap/>
          </w:tcPr>
          <w:p w14:paraId="47DD6FB9" w14:textId="421A420F"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Prefabrikované výrobky z obyčejného/lehkého betonu a autoklávovaného pórobetonu</w:t>
            </w:r>
          </w:p>
        </w:tc>
        <w:tc>
          <w:tcPr>
            <w:tcW w:w="1020" w:type="dxa"/>
          </w:tcPr>
          <w:p w14:paraId="1513E24D" w14:textId="77777777"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PCR</w:t>
            </w:r>
          </w:p>
        </w:tc>
        <w:tc>
          <w:tcPr>
            <w:tcW w:w="1020" w:type="dxa"/>
          </w:tcPr>
          <w:p w14:paraId="36DD7280" w14:textId="70D569C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0700BB6C" w14:textId="6832500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687E59C3" w14:textId="75F65AA7"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2025</w:t>
            </w:r>
          </w:p>
        </w:tc>
        <w:tc>
          <w:tcPr>
            <w:tcW w:w="1020" w:type="dxa"/>
          </w:tcPr>
          <w:p w14:paraId="52466FB2" w14:textId="73A7EAB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2025</w:t>
            </w:r>
          </w:p>
        </w:tc>
        <w:tc>
          <w:tcPr>
            <w:tcW w:w="1020" w:type="dxa"/>
          </w:tcPr>
          <w:p w14:paraId="7337E20B" w14:textId="31A7EA7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2025</w:t>
            </w:r>
          </w:p>
        </w:tc>
        <w:tc>
          <w:tcPr>
            <w:tcW w:w="1020" w:type="dxa"/>
          </w:tcPr>
          <w:p w14:paraId="6A2F0B53" w14:textId="747E080F" w:rsidR="000C2404" w:rsidRDefault="0045329B"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c>
          <w:tcPr>
            <w:tcW w:w="3458" w:type="dxa"/>
          </w:tcPr>
          <w:p w14:paraId="6FDCB7B1" w14:textId="37E03CC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Citace podle CPR z roku 2011.</w:t>
            </w:r>
          </w:p>
        </w:tc>
      </w:tr>
      <w:tr w:rsidR="00C95F37" w:rsidRPr="00427899" w14:paraId="3465DDED"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83F8826" w14:textId="7777777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20</w:t>
            </w:r>
          </w:p>
        </w:tc>
        <w:tc>
          <w:tcPr>
            <w:tcW w:w="2778" w:type="dxa"/>
            <w:shd w:val="clear" w:color="auto" w:fill="DBDBDB" w:themeFill="text1" w:themeFillTint="33"/>
            <w:noWrap/>
          </w:tcPr>
          <w:p w14:paraId="7856F836" w14:textId="33BEB9C6"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Konstrukční kovové výrobky a doplňky</w:t>
            </w:r>
          </w:p>
        </w:tc>
        <w:tc>
          <w:tcPr>
            <w:tcW w:w="1020" w:type="dxa"/>
            <w:shd w:val="clear" w:color="auto" w:fill="DBDBDB" w:themeFill="text1" w:themeFillTint="33"/>
          </w:tcPr>
          <w:p w14:paraId="3B7D2ABA" w14:textId="5D303B85"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SMP</w:t>
            </w:r>
          </w:p>
        </w:tc>
        <w:tc>
          <w:tcPr>
            <w:tcW w:w="1020" w:type="dxa"/>
            <w:shd w:val="clear" w:color="auto" w:fill="DBDBDB" w:themeFill="text1" w:themeFillTint="33"/>
          </w:tcPr>
          <w:p w14:paraId="4BDCE5D4" w14:textId="7511F01D"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7A55E080" w14:textId="4C358571"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7469E20F" w14:textId="3BD520BE"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2025</w:t>
            </w:r>
          </w:p>
        </w:tc>
        <w:tc>
          <w:tcPr>
            <w:tcW w:w="1020" w:type="dxa"/>
            <w:shd w:val="clear" w:color="auto" w:fill="DBDBDB" w:themeFill="text1" w:themeFillTint="33"/>
          </w:tcPr>
          <w:p w14:paraId="1D1256CF" w14:textId="4B08819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2025</w:t>
            </w:r>
          </w:p>
        </w:tc>
        <w:tc>
          <w:tcPr>
            <w:tcW w:w="1020" w:type="dxa"/>
            <w:shd w:val="clear" w:color="auto" w:fill="DBDBDB" w:themeFill="text1" w:themeFillTint="33"/>
          </w:tcPr>
          <w:p w14:paraId="6398F254" w14:textId="7E58EBB1"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shd w:val="clear" w:color="auto" w:fill="DBDBDB" w:themeFill="text1" w:themeFillTint="33"/>
          </w:tcPr>
          <w:p w14:paraId="53C67C4D" w14:textId="4CC80AA8" w:rsidR="000C2404" w:rsidRDefault="0045329B"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c>
          <w:tcPr>
            <w:tcW w:w="3458" w:type="dxa"/>
            <w:shd w:val="clear" w:color="auto" w:fill="DBDBDB" w:themeFill="text1" w:themeFillTint="33"/>
          </w:tcPr>
          <w:p w14:paraId="672AF60C" w14:textId="3E337C9F"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Citace podle CPR z roku 2011; pro nevypracované nebo nevyhovující normy bude ve 2. čtvrtletí 2026 podána nová žádost SReq. podle nařízení o stavebních výrobcích s termínem vypracování</w:t>
            </w:r>
            <w:r>
              <w:rPr>
                <w:noProof/>
              </w:rPr>
              <w:t xml:space="preserve"> </w:t>
            </w:r>
            <w:r>
              <w:rPr>
                <w:rFonts w:ascii="Aptos Narrow" w:hAnsi="Aptos Narrow"/>
                <w:noProof/>
                <w:color w:val="000000"/>
              </w:rPr>
              <w:t>ve 3. čtvrtletí 2027.</w:t>
            </w:r>
          </w:p>
        </w:tc>
      </w:tr>
      <w:tr w:rsidR="00C35BE6" w:rsidRPr="00427899" w14:paraId="689AFEF3" w14:textId="1A0E126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916410B" w14:textId="234D1C92" w:rsidR="000C2404" w:rsidRPr="009D582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w:t>
            </w:r>
          </w:p>
        </w:tc>
        <w:tc>
          <w:tcPr>
            <w:tcW w:w="2778" w:type="dxa"/>
            <w:noWrap/>
          </w:tcPr>
          <w:p w14:paraId="25CA065C" w14:textId="3CA9AC07"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Dveře, okna, okenice, vrata a příslušné stavební kování</w:t>
            </w:r>
          </w:p>
        </w:tc>
        <w:tc>
          <w:tcPr>
            <w:tcW w:w="1020" w:type="dxa"/>
          </w:tcPr>
          <w:p w14:paraId="5262B636" w14:textId="1DEB6320"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DWS</w:t>
            </w:r>
          </w:p>
        </w:tc>
        <w:tc>
          <w:tcPr>
            <w:tcW w:w="1020" w:type="dxa"/>
          </w:tcPr>
          <w:p w14:paraId="2FF517B3" w14:textId="31E029F1"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2DAECC9D" w14:textId="73BC1EF2"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6DAB9F6A" w14:textId="3FB8C01C"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2026</w:t>
            </w:r>
          </w:p>
        </w:tc>
        <w:tc>
          <w:tcPr>
            <w:tcW w:w="1020" w:type="dxa"/>
          </w:tcPr>
          <w:p w14:paraId="26FA03F3" w14:textId="73112B73"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409B8245" w14:textId="5618677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720090F2" w14:textId="09D618C1"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3458" w:type="dxa"/>
          </w:tcPr>
          <w:p w14:paraId="28E4AE52" w14:textId="30BCBCEB" w:rsidR="000C2404" w:rsidRDefault="7C5244F3"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Byly určeny požadavky na výrobky pro stavební kování, které budou stanoveny aktem v přenesené pravomoci. Týká se to požadavků na únikové cesty.</w:t>
            </w:r>
          </w:p>
        </w:tc>
      </w:tr>
      <w:tr w:rsidR="00C95F37" w:rsidRPr="00427899" w14:paraId="189BF1CE"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25E91148" w14:textId="0484A433"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16</w:t>
            </w:r>
          </w:p>
        </w:tc>
        <w:tc>
          <w:tcPr>
            <w:tcW w:w="2778" w:type="dxa"/>
            <w:shd w:val="clear" w:color="auto" w:fill="DBDBDB" w:themeFill="text1" w:themeFillTint="33"/>
            <w:noWrap/>
          </w:tcPr>
          <w:p w14:paraId="7948CA53" w14:textId="37D682E8"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Výztužná a předpínací betonářská ocel (a doplňky) – předpínací sestavy</w:t>
            </w:r>
          </w:p>
        </w:tc>
        <w:tc>
          <w:tcPr>
            <w:tcW w:w="1020" w:type="dxa"/>
            <w:shd w:val="clear" w:color="auto" w:fill="DBDBDB" w:themeFill="text1" w:themeFillTint="33"/>
          </w:tcPr>
          <w:p w14:paraId="7886C3D1" w14:textId="411158C9"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RPS</w:t>
            </w:r>
          </w:p>
        </w:tc>
        <w:tc>
          <w:tcPr>
            <w:tcW w:w="1020" w:type="dxa"/>
            <w:shd w:val="clear" w:color="auto" w:fill="DBDBDB" w:themeFill="text1" w:themeFillTint="33"/>
          </w:tcPr>
          <w:p w14:paraId="651317E5" w14:textId="40D400A8" w:rsidR="000C2404" w:rsidRPr="00550C9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071284FC" w14:textId="2029F856" w:rsidR="000C2404" w:rsidRDefault="00FC30B5"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2025</w:t>
            </w:r>
          </w:p>
        </w:tc>
        <w:tc>
          <w:tcPr>
            <w:tcW w:w="1020" w:type="dxa"/>
            <w:shd w:val="clear" w:color="auto" w:fill="DBDBDB" w:themeFill="text1" w:themeFillTint="33"/>
          </w:tcPr>
          <w:p w14:paraId="60E6D1EC" w14:textId="37EC80B6"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shd w:val="clear" w:color="auto" w:fill="DBDBDB" w:themeFill="text1" w:themeFillTint="33"/>
          </w:tcPr>
          <w:p w14:paraId="07EFB1E2" w14:textId="0528C3C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36127920" w14:textId="07EB562E"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3D7AC5DD" w14:textId="2E1D450A"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projednává se</w:t>
            </w:r>
          </w:p>
        </w:tc>
        <w:tc>
          <w:tcPr>
            <w:tcW w:w="3458" w:type="dxa"/>
            <w:shd w:val="clear" w:color="auto" w:fill="DBDBDB" w:themeFill="text1" w:themeFillTint="33"/>
          </w:tcPr>
          <w:p w14:paraId="2888867B"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4D7E00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60B64CA2" w14:textId="5B70718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15</w:t>
            </w:r>
          </w:p>
        </w:tc>
        <w:tc>
          <w:tcPr>
            <w:tcW w:w="2778" w:type="dxa"/>
            <w:noWrap/>
          </w:tcPr>
          <w:p w14:paraId="4CA6C768" w14:textId="3C583B8D"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Cement, stavební vápna a jiná hydraulická pojiva</w:t>
            </w:r>
          </w:p>
        </w:tc>
        <w:tc>
          <w:tcPr>
            <w:tcW w:w="1020" w:type="dxa"/>
          </w:tcPr>
          <w:p w14:paraId="353CB17B" w14:textId="1EBE910A"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CEM</w:t>
            </w:r>
          </w:p>
        </w:tc>
        <w:tc>
          <w:tcPr>
            <w:tcW w:w="1020" w:type="dxa"/>
          </w:tcPr>
          <w:p w14:paraId="74718735" w14:textId="15D26EEC" w:rsidR="000C2404" w:rsidRPr="00550C9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51996519" w14:textId="4C353BE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7329DEF3" w14:textId="142E5C58"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2025</w:t>
            </w:r>
          </w:p>
        </w:tc>
        <w:tc>
          <w:tcPr>
            <w:tcW w:w="1020" w:type="dxa"/>
          </w:tcPr>
          <w:p w14:paraId="4432B9B6" w14:textId="7AFDEDB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2027</w:t>
            </w:r>
          </w:p>
        </w:tc>
        <w:tc>
          <w:tcPr>
            <w:tcW w:w="1020" w:type="dxa"/>
          </w:tcPr>
          <w:p w14:paraId="0B979A7A" w14:textId="560C633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2027</w:t>
            </w:r>
          </w:p>
        </w:tc>
        <w:tc>
          <w:tcPr>
            <w:tcW w:w="1020" w:type="dxa"/>
          </w:tcPr>
          <w:p w14:paraId="71564A3A" w14:textId="7B121FAE" w:rsidR="000C2404" w:rsidRDefault="0045329B"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ne</w:t>
            </w:r>
          </w:p>
        </w:tc>
        <w:tc>
          <w:tcPr>
            <w:tcW w:w="3458" w:type="dxa"/>
          </w:tcPr>
          <w:p w14:paraId="3226DD2F" w14:textId="2DBEB172"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Komise požádá o vypracování evropských dokumentů pro posuzování pro inovativní a alkalicky aktivované cementy </w:t>
            </w:r>
            <w:r>
              <w:rPr>
                <w:noProof/>
              </w:rPr>
              <w:t xml:space="preserve">– </w:t>
            </w:r>
            <w:r>
              <w:rPr>
                <w:noProof/>
              </w:rPr>
              <w:br/>
            </w:r>
            <w:r>
              <w:rPr>
                <w:rFonts w:ascii="Aptos Narrow" w:hAnsi="Aptos Narrow"/>
                <w:noProof/>
                <w:color w:val="000000"/>
              </w:rPr>
              <w:t>1. čtvrtletí 2026.</w:t>
            </w:r>
          </w:p>
          <w:p w14:paraId="425D000E" w14:textId="3F50493C"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Žádost o normalizaci pro alkalicky aktivovaný cement</w:t>
            </w:r>
            <w:r>
              <w:rPr>
                <w:noProof/>
              </w:rPr>
              <w:t xml:space="preserve"> –</w:t>
            </w:r>
            <w:r>
              <w:rPr>
                <w:noProof/>
              </w:rPr>
              <w:br/>
            </w:r>
            <w:r>
              <w:rPr>
                <w:rFonts w:ascii="Aptos Narrow" w:hAnsi="Aptos Narrow"/>
                <w:noProof/>
                <w:color w:val="000000"/>
              </w:rPr>
              <w:t>4. čtvrtletí 2027.</w:t>
            </w:r>
          </w:p>
        </w:tc>
      </w:tr>
      <w:tr w:rsidR="00C95F37" w:rsidRPr="00427899" w14:paraId="6B5D6E28"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02FE2A9F" w14:textId="03C16919"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4</w:t>
            </w:r>
          </w:p>
        </w:tc>
        <w:tc>
          <w:tcPr>
            <w:tcW w:w="2778" w:type="dxa"/>
            <w:shd w:val="clear" w:color="auto" w:fill="DBDBDB" w:themeFill="text1" w:themeFillTint="33"/>
            <w:noWrap/>
          </w:tcPr>
          <w:p w14:paraId="6BB5C50A" w14:textId="0BC69641"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Tepelněizolační výrobky – kompozitní izolační sestavy nebo systémy</w:t>
            </w:r>
          </w:p>
        </w:tc>
        <w:tc>
          <w:tcPr>
            <w:tcW w:w="1020" w:type="dxa"/>
            <w:shd w:val="clear" w:color="auto" w:fill="DBDBDB" w:themeFill="text1" w:themeFillTint="33"/>
          </w:tcPr>
          <w:p w14:paraId="37550214" w14:textId="7D6692EE"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TIP</w:t>
            </w:r>
          </w:p>
        </w:tc>
        <w:tc>
          <w:tcPr>
            <w:tcW w:w="1020" w:type="dxa"/>
            <w:shd w:val="clear" w:color="auto" w:fill="DBDBDB" w:themeFill="text1" w:themeFillTint="33"/>
          </w:tcPr>
          <w:p w14:paraId="533D83F8" w14:textId="2C71600A"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40482A68" w14:textId="06F6D1F8"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shd w:val="clear" w:color="auto" w:fill="DBDBDB" w:themeFill="text1" w:themeFillTint="33"/>
          </w:tcPr>
          <w:p w14:paraId="4E7253F3" w14:textId="4059636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shd w:val="clear" w:color="auto" w:fill="DBDBDB" w:themeFill="text1" w:themeFillTint="33"/>
          </w:tcPr>
          <w:p w14:paraId="40F4BC47" w14:textId="48C9F50B"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05A5B2D2" w14:textId="0F44F72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6495EB3D" w14:textId="4A1057D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projednává se</w:t>
            </w:r>
          </w:p>
        </w:tc>
        <w:tc>
          <w:tcPr>
            <w:tcW w:w="3458" w:type="dxa"/>
            <w:shd w:val="clear" w:color="auto" w:fill="DBDBDB" w:themeFill="text1" w:themeFillTint="33"/>
          </w:tcPr>
          <w:p w14:paraId="79FC9E9A"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7C9255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E4C27B9" w14:textId="2DE99802"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30</w:t>
            </w:r>
          </w:p>
        </w:tc>
        <w:tc>
          <w:tcPr>
            <w:tcW w:w="2778" w:type="dxa"/>
            <w:noWrap/>
          </w:tcPr>
          <w:p w14:paraId="0A9CB343" w14:textId="0E64A2FC"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 plochého skla, profilovaného skla a skleněných tvárnic</w:t>
            </w:r>
          </w:p>
        </w:tc>
        <w:tc>
          <w:tcPr>
            <w:tcW w:w="1020" w:type="dxa"/>
          </w:tcPr>
          <w:p w14:paraId="3895B6A8" w14:textId="654755C1"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GLA</w:t>
            </w:r>
          </w:p>
        </w:tc>
        <w:tc>
          <w:tcPr>
            <w:tcW w:w="1020" w:type="dxa"/>
          </w:tcPr>
          <w:p w14:paraId="628D100A" w14:textId="704904B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tcPr>
          <w:p w14:paraId="07FF56B2" w14:textId="40D1C1C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tcPr>
          <w:p w14:paraId="0C4CBF1E" w14:textId="12BA168A"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2026</w:t>
            </w:r>
          </w:p>
        </w:tc>
        <w:tc>
          <w:tcPr>
            <w:tcW w:w="1020" w:type="dxa"/>
          </w:tcPr>
          <w:p w14:paraId="17499815" w14:textId="3C468F3C" w:rsidR="000C2404" w:rsidRPr="004D187D"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2D23114C" w14:textId="79F1D7D2"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01AD089B" w14:textId="4DF18A2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3458" w:type="dxa"/>
          </w:tcPr>
          <w:p w14:paraId="58AD34A3" w14:textId="33BE94D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Byly určeny požadavky na výrobky, které budou stanoveny aktem v přenesené pravomoci.</w:t>
            </w:r>
          </w:p>
        </w:tc>
      </w:tr>
      <w:tr w:rsidR="00C95F37" w:rsidRPr="00427899" w14:paraId="6D09D200"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D9090DF" w14:textId="757959D8"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6</w:t>
            </w:r>
          </w:p>
        </w:tc>
        <w:tc>
          <w:tcPr>
            <w:tcW w:w="2778" w:type="dxa"/>
            <w:shd w:val="clear" w:color="auto" w:fill="DBDBDB" w:themeFill="text1" w:themeFillTint="33"/>
            <w:noWrap/>
          </w:tcPr>
          <w:p w14:paraId="0E12B167" w14:textId="729B6E7A"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Komíny, kouřovody a specifické výrobky</w:t>
            </w:r>
          </w:p>
        </w:tc>
        <w:tc>
          <w:tcPr>
            <w:tcW w:w="1020" w:type="dxa"/>
            <w:shd w:val="clear" w:color="auto" w:fill="DBDBDB" w:themeFill="text1" w:themeFillTint="33"/>
          </w:tcPr>
          <w:p w14:paraId="7E2C6F97" w14:textId="3471DAD7"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020" w:type="dxa"/>
            <w:shd w:val="clear" w:color="auto" w:fill="DBDBDB" w:themeFill="text1" w:themeFillTint="33"/>
          </w:tcPr>
          <w:p w14:paraId="09C1F662" w14:textId="464CCAC3"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34050426" w14:textId="45D56B92"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shd w:val="clear" w:color="auto" w:fill="DBDBDB" w:themeFill="text1" w:themeFillTint="33"/>
          </w:tcPr>
          <w:p w14:paraId="45E1395A" w14:textId="15F6B185"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shd w:val="clear" w:color="auto" w:fill="DBDBDB" w:themeFill="text1" w:themeFillTint="33"/>
          </w:tcPr>
          <w:p w14:paraId="2F6B92F9" w14:textId="0B0B6C3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22A4D454" w14:textId="5043377F"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736CDB03" w14:textId="24ACEA7D"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115D142" w14:textId="3DB4E1D9"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Volně stojící komíny vyloučeny.</w:t>
            </w:r>
          </w:p>
        </w:tc>
      </w:tr>
      <w:tr w:rsidR="00C35BE6" w:rsidRPr="00427899" w14:paraId="538E5269"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1F5749F" w14:textId="4B789A7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13</w:t>
            </w:r>
          </w:p>
        </w:tc>
        <w:tc>
          <w:tcPr>
            <w:tcW w:w="2778" w:type="dxa"/>
            <w:noWrap/>
          </w:tcPr>
          <w:p w14:paraId="4087B98D" w14:textId="25AC6A28" w:rsidR="000C2404" w:rsidRPr="00950FF3"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a prvky z konstrukčního dřeva a doplňky</w:t>
            </w:r>
          </w:p>
        </w:tc>
        <w:tc>
          <w:tcPr>
            <w:tcW w:w="1020" w:type="dxa"/>
          </w:tcPr>
          <w:p w14:paraId="31E61C22" w14:textId="170CF413" w:rsidR="000C2404" w:rsidRPr="00427899"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STP</w:t>
            </w:r>
          </w:p>
        </w:tc>
        <w:tc>
          <w:tcPr>
            <w:tcW w:w="1020" w:type="dxa"/>
            <w:vMerge w:val="restart"/>
          </w:tcPr>
          <w:p w14:paraId="63D220E3" w14:textId="5765DC8D"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vMerge w:val="restart"/>
          </w:tcPr>
          <w:p w14:paraId="3C5EB398" w14:textId="040AE4F0"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2026</w:t>
            </w:r>
          </w:p>
        </w:tc>
        <w:tc>
          <w:tcPr>
            <w:tcW w:w="1020" w:type="dxa"/>
            <w:vMerge w:val="restart"/>
          </w:tcPr>
          <w:p w14:paraId="2FF5B92F" w14:textId="361AC75B"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vMerge w:val="restart"/>
          </w:tcPr>
          <w:p w14:paraId="0743E6D3" w14:textId="79CAF6A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vMerge w:val="restart"/>
          </w:tcPr>
          <w:p w14:paraId="74B1C6A5" w14:textId="7A650795"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vMerge w:val="restart"/>
          </w:tcPr>
          <w:p w14:paraId="3B3E185E" w14:textId="18AC81E6"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val="restart"/>
          </w:tcPr>
          <w:p w14:paraId="0F448AD2" w14:textId="05371AFE" w:rsidR="000C2404" w:rsidRDefault="000C2404" w:rsidP="00CD0531">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65E68E6C"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9C269F6" w14:textId="6CCBCAA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14</w:t>
            </w:r>
          </w:p>
        </w:tc>
        <w:tc>
          <w:tcPr>
            <w:tcW w:w="2778" w:type="dxa"/>
            <w:shd w:val="clear" w:color="auto" w:fill="DBDBDB" w:themeFill="text1" w:themeFillTint="33"/>
            <w:noWrap/>
          </w:tcPr>
          <w:p w14:paraId="1267EBB8" w14:textId="10E0D1D9" w:rsidR="000C2404" w:rsidRPr="00950FF3"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 xml:space="preserve">Panely a prvky na bázi dřeva </w:t>
            </w:r>
          </w:p>
        </w:tc>
        <w:tc>
          <w:tcPr>
            <w:tcW w:w="1020" w:type="dxa"/>
            <w:shd w:val="clear" w:color="auto" w:fill="DBDBDB" w:themeFill="text1" w:themeFillTint="33"/>
          </w:tcPr>
          <w:p w14:paraId="37CAB428" w14:textId="7DBC8498" w:rsidR="000C2404" w:rsidRPr="00427899"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WBP</w:t>
            </w:r>
          </w:p>
        </w:tc>
        <w:tc>
          <w:tcPr>
            <w:tcW w:w="1020" w:type="dxa"/>
            <w:vMerge/>
            <w:shd w:val="clear" w:color="auto" w:fill="DBDBDB" w:themeFill="text1" w:themeFillTint="33"/>
          </w:tcPr>
          <w:p w14:paraId="766E32DA" w14:textId="77777777"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79F0E7A"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ABCD65B" w14:textId="1CFBEC25"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4931DCF7"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B069F24"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381898DF"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shd w:val="clear" w:color="auto" w:fill="DBDBDB" w:themeFill="text1" w:themeFillTint="33"/>
          </w:tcPr>
          <w:p w14:paraId="7CA1CA9B" w14:textId="77777777" w:rsidR="000C2404" w:rsidRDefault="000C2404" w:rsidP="00CD0531">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208DB376"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60150CD" w14:textId="612B7F8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26</w:t>
            </w:r>
          </w:p>
        </w:tc>
        <w:tc>
          <w:tcPr>
            <w:tcW w:w="2778" w:type="dxa"/>
            <w:noWrap/>
          </w:tcPr>
          <w:p w14:paraId="7B8583F6" w14:textId="72EF2328" w:rsidR="000C2404" w:rsidRPr="00950FF3"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beton, malty a injektážní malty</w:t>
            </w:r>
          </w:p>
        </w:tc>
        <w:tc>
          <w:tcPr>
            <w:tcW w:w="1020" w:type="dxa"/>
          </w:tcPr>
          <w:p w14:paraId="4C247D1C" w14:textId="07921AB2" w:rsidR="000C2404" w:rsidRPr="00427899"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CMG</w:t>
            </w:r>
          </w:p>
        </w:tc>
        <w:tc>
          <w:tcPr>
            <w:tcW w:w="1020" w:type="dxa"/>
          </w:tcPr>
          <w:p w14:paraId="2EE0880B" w14:textId="31E252AD"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tcPr>
          <w:p w14:paraId="6CF508AD" w14:textId="211E5D5E"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2026</w:t>
            </w:r>
          </w:p>
        </w:tc>
        <w:tc>
          <w:tcPr>
            <w:tcW w:w="1020" w:type="dxa"/>
          </w:tcPr>
          <w:p w14:paraId="727DCEB7" w14:textId="25EBA023"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2026</w:t>
            </w:r>
          </w:p>
        </w:tc>
        <w:tc>
          <w:tcPr>
            <w:tcW w:w="1020" w:type="dxa"/>
          </w:tcPr>
          <w:p w14:paraId="08D0CACF" w14:textId="528A8CDD"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55EA2C6A" w14:textId="284AE835"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1898676" w14:textId="2D0008C8"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76CFE4E9" w14:textId="77777777" w:rsidR="000C2404" w:rsidRDefault="000C2404" w:rsidP="00D017C5">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2E0D2BE"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5224C758" w14:textId="5CC843DE"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17</w:t>
            </w:r>
          </w:p>
        </w:tc>
        <w:tc>
          <w:tcPr>
            <w:tcW w:w="2778" w:type="dxa"/>
            <w:shd w:val="clear" w:color="auto" w:fill="DBDBDB" w:themeFill="text1" w:themeFillTint="33"/>
            <w:noWrap/>
          </w:tcPr>
          <w:p w14:paraId="68006EA8" w14:textId="2ABE7AA6" w:rsidR="000C2404" w:rsidRPr="00950FF3"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Zdivo a související výrobky – zdicí prvky, malty a doplňky</w:t>
            </w:r>
          </w:p>
        </w:tc>
        <w:tc>
          <w:tcPr>
            <w:tcW w:w="1020" w:type="dxa"/>
            <w:shd w:val="clear" w:color="auto" w:fill="DBDBDB" w:themeFill="text1" w:themeFillTint="33"/>
          </w:tcPr>
          <w:p w14:paraId="73A20E40" w14:textId="5E44DCAD" w:rsidR="000C2404" w:rsidRPr="00427899"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MAS</w:t>
            </w:r>
          </w:p>
        </w:tc>
        <w:tc>
          <w:tcPr>
            <w:tcW w:w="1020" w:type="dxa"/>
            <w:shd w:val="clear" w:color="auto" w:fill="DBDBDB" w:themeFill="text1" w:themeFillTint="33"/>
          </w:tcPr>
          <w:p w14:paraId="2B09AAAE" w14:textId="2B1495E4"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shd w:val="clear" w:color="auto" w:fill="DBDBDB" w:themeFill="text1" w:themeFillTint="33"/>
          </w:tcPr>
          <w:p w14:paraId="5820546A" w14:textId="27841A36"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shd w:val="clear" w:color="auto" w:fill="DBDBDB" w:themeFill="text1" w:themeFillTint="33"/>
          </w:tcPr>
          <w:p w14:paraId="0AAF76F6" w14:textId="4E778082"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2027</w:t>
            </w:r>
          </w:p>
        </w:tc>
        <w:tc>
          <w:tcPr>
            <w:tcW w:w="1020" w:type="dxa"/>
            <w:shd w:val="clear" w:color="auto" w:fill="DBDBDB" w:themeFill="text1" w:themeFillTint="33"/>
          </w:tcPr>
          <w:p w14:paraId="048703C4" w14:textId="76FC200C"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458C2FFE" w14:textId="2CCAC8F6"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DF3AF68" w14:textId="755DAB48"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2CE5B1C0" w14:textId="77777777" w:rsidR="000C2404" w:rsidRDefault="000C2404" w:rsidP="00D017C5">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1569C9B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B0E5636" w14:textId="09E0961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24</w:t>
            </w:r>
          </w:p>
        </w:tc>
        <w:tc>
          <w:tcPr>
            <w:tcW w:w="2778" w:type="dxa"/>
            <w:noWrap/>
          </w:tcPr>
          <w:p w14:paraId="300E196E" w14:textId="6D9A4D18" w:rsidR="000C2404" w:rsidRPr="00950FF3"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Kamenivo</w:t>
            </w:r>
          </w:p>
        </w:tc>
        <w:tc>
          <w:tcPr>
            <w:tcW w:w="1020" w:type="dxa"/>
          </w:tcPr>
          <w:p w14:paraId="27F25333" w14:textId="1FA49D4A" w:rsidR="000C2404" w:rsidRPr="00427899"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AGG</w:t>
            </w:r>
          </w:p>
        </w:tc>
        <w:tc>
          <w:tcPr>
            <w:tcW w:w="1020" w:type="dxa"/>
          </w:tcPr>
          <w:p w14:paraId="166E94E3" w14:textId="3F3C3A41"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probíhá</w:t>
            </w:r>
          </w:p>
        </w:tc>
        <w:tc>
          <w:tcPr>
            <w:tcW w:w="1020" w:type="dxa"/>
          </w:tcPr>
          <w:p w14:paraId="209F6C91" w14:textId="00D4D7E8"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tcPr>
          <w:p w14:paraId="796B3A1C" w14:textId="19BF67D5"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2027</w:t>
            </w:r>
          </w:p>
        </w:tc>
        <w:tc>
          <w:tcPr>
            <w:tcW w:w="1020" w:type="dxa"/>
          </w:tcPr>
          <w:p w14:paraId="6BAE475F" w14:textId="7B31B861" w:rsidR="000C2404" w:rsidRDefault="00327A8A"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41F2E8A2" w14:textId="02C1A117"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A7484A1" w14:textId="2580E610"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2B527546" w14:textId="77777777" w:rsidR="000C2404" w:rsidRDefault="000C2404" w:rsidP="00047F3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6495DEC6"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1904CAC" w14:textId="07EA75D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9</w:t>
            </w:r>
          </w:p>
        </w:tc>
        <w:tc>
          <w:tcPr>
            <w:tcW w:w="2778" w:type="dxa"/>
            <w:shd w:val="clear" w:color="auto" w:fill="DBDBDB" w:themeFill="text1" w:themeFillTint="33"/>
            <w:noWrap/>
          </w:tcPr>
          <w:p w14:paraId="07DA3549" w14:textId="4F4EA484"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Lehké obvodové pláště / opláštění / konstrukční těsněné zasklení</w:t>
            </w:r>
          </w:p>
        </w:tc>
        <w:tc>
          <w:tcPr>
            <w:tcW w:w="1020" w:type="dxa"/>
            <w:shd w:val="clear" w:color="auto" w:fill="DBDBDB" w:themeFill="text1" w:themeFillTint="33"/>
          </w:tcPr>
          <w:p w14:paraId="593AD9FB" w14:textId="0C35EF2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CWP</w:t>
            </w:r>
          </w:p>
        </w:tc>
        <w:tc>
          <w:tcPr>
            <w:tcW w:w="1020" w:type="dxa"/>
            <w:shd w:val="clear" w:color="auto" w:fill="DBDBDB" w:themeFill="text1" w:themeFillTint="33"/>
          </w:tcPr>
          <w:p w14:paraId="41C94F52" w14:textId="019792FF"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dokončeno</w:t>
            </w:r>
          </w:p>
        </w:tc>
        <w:tc>
          <w:tcPr>
            <w:tcW w:w="1020" w:type="dxa"/>
            <w:shd w:val="clear" w:color="auto" w:fill="DBDBDB" w:themeFill="text1" w:themeFillTint="33"/>
          </w:tcPr>
          <w:p w14:paraId="7984FA49" w14:textId="2EEEED12" w:rsidR="000C2404" w:rsidRDefault="0055021B"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shd w:val="clear" w:color="auto" w:fill="DBDBDB" w:themeFill="text1" w:themeFillTint="33"/>
          </w:tcPr>
          <w:p w14:paraId="071FAA25" w14:textId="7BC672B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2026</w:t>
            </w:r>
          </w:p>
        </w:tc>
        <w:tc>
          <w:tcPr>
            <w:tcW w:w="1020" w:type="dxa"/>
            <w:shd w:val="clear" w:color="auto" w:fill="DBDBDB" w:themeFill="text1" w:themeFillTint="33"/>
          </w:tcPr>
          <w:p w14:paraId="05694F15" w14:textId="1F099A5E"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008EBC68" w14:textId="4E73CA6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E0A4137" w14:textId="5D06C5D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62F4CE29"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3FEB7771"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7DD6234C" w14:textId="48B7037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10</w:t>
            </w:r>
          </w:p>
        </w:tc>
        <w:tc>
          <w:tcPr>
            <w:tcW w:w="2778" w:type="dxa"/>
            <w:noWrap/>
          </w:tcPr>
          <w:p w14:paraId="1B152887" w14:textId="35E34924"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Stabilní zařízení pro hašení požáru (výrobky pro požární poplach/detekci, stabilní výrobky pro hašení požáru, řízení požáru a kouře a pro potlačování výbuchu)</w:t>
            </w:r>
          </w:p>
        </w:tc>
        <w:tc>
          <w:tcPr>
            <w:tcW w:w="1020" w:type="dxa"/>
          </w:tcPr>
          <w:p w14:paraId="15C077B8" w14:textId="3D6EE71A"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FFF</w:t>
            </w:r>
          </w:p>
        </w:tc>
        <w:tc>
          <w:tcPr>
            <w:tcW w:w="1020" w:type="dxa"/>
          </w:tcPr>
          <w:p w14:paraId="13BD9BEC" w14:textId="24B1B834"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tcPr>
          <w:p w14:paraId="7FE1BB09" w14:textId="0FDB0A3F"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2027</w:t>
            </w:r>
          </w:p>
        </w:tc>
        <w:tc>
          <w:tcPr>
            <w:tcW w:w="1020" w:type="dxa"/>
          </w:tcPr>
          <w:p w14:paraId="19BC7CD2" w14:textId="2942D0E4" w:rsidR="000C2404" w:rsidRDefault="00D94488"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2027</w:t>
            </w:r>
          </w:p>
        </w:tc>
        <w:tc>
          <w:tcPr>
            <w:tcW w:w="1020" w:type="dxa"/>
          </w:tcPr>
          <w:p w14:paraId="004305A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82EEA1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E9C0389"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6C136A8C"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F318405"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69AAF339" w14:textId="300C773F"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23</w:t>
            </w:r>
          </w:p>
        </w:tc>
        <w:tc>
          <w:tcPr>
            <w:tcW w:w="2778" w:type="dxa"/>
            <w:shd w:val="clear" w:color="auto" w:fill="DBDBDB" w:themeFill="text1" w:themeFillTint="33"/>
            <w:noWrap/>
          </w:tcPr>
          <w:p w14:paraId="5E41B67C" w14:textId="35758D0D"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konstrukce vozovek (asfalt atd.)</w:t>
            </w:r>
          </w:p>
        </w:tc>
        <w:tc>
          <w:tcPr>
            <w:tcW w:w="1020" w:type="dxa"/>
            <w:shd w:val="clear" w:color="auto" w:fill="DBDBDB" w:themeFill="text1" w:themeFillTint="33"/>
          </w:tcPr>
          <w:p w14:paraId="1A0298A7" w14:textId="00570E6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RCP</w:t>
            </w:r>
          </w:p>
        </w:tc>
        <w:tc>
          <w:tcPr>
            <w:tcW w:w="1020" w:type="dxa"/>
            <w:shd w:val="clear" w:color="auto" w:fill="DBDBDB" w:themeFill="text1" w:themeFillTint="33"/>
          </w:tcPr>
          <w:p w14:paraId="70A6FDD4" w14:textId="26AF27F0"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1. čtvrtletí 2026</w:t>
            </w:r>
          </w:p>
        </w:tc>
        <w:tc>
          <w:tcPr>
            <w:tcW w:w="1020" w:type="dxa"/>
            <w:shd w:val="clear" w:color="auto" w:fill="DBDBDB" w:themeFill="text1" w:themeFillTint="33"/>
          </w:tcPr>
          <w:p w14:paraId="6628E5A4" w14:textId="04E1237B"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shd w:val="clear" w:color="auto" w:fill="DBDBDB" w:themeFill="text1" w:themeFillTint="33"/>
          </w:tcPr>
          <w:p w14:paraId="43278D9A" w14:textId="7DFE80BD"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shd w:val="clear" w:color="auto" w:fill="DBDBDB" w:themeFill="text1" w:themeFillTint="33"/>
          </w:tcPr>
          <w:p w14:paraId="53672ED7"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D390E55"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CEFBD6F"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5164B2F0"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61133853"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BFACE77" w14:textId="69477A42"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19</w:t>
            </w:r>
          </w:p>
        </w:tc>
        <w:tc>
          <w:tcPr>
            <w:tcW w:w="2778" w:type="dxa"/>
            <w:noWrap/>
          </w:tcPr>
          <w:p w14:paraId="7FCF7CC0" w14:textId="1397605F"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Podlahoviny</w:t>
            </w:r>
          </w:p>
        </w:tc>
        <w:tc>
          <w:tcPr>
            <w:tcW w:w="1020" w:type="dxa"/>
          </w:tcPr>
          <w:p w14:paraId="55F1C391" w14:textId="6B9E47DC"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FLO</w:t>
            </w:r>
          </w:p>
        </w:tc>
        <w:tc>
          <w:tcPr>
            <w:tcW w:w="1020" w:type="dxa"/>
          </w:tcPr>
          <w:p w14:paraId="36E86838" w14:textId="5F5E3EE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tcPr>
          <w:p w14:paraId="6E372541" w14:textId="7FB76A21"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2026</w:t>
            </w:r>
          </w:p>
        </w:tc>
        <w:tc>
          <w:tcPr>
            <w:tcW w:w="1020" w:type="dxa"/>
          </w:tcPr>
          <w:p w14:paraId="66F9F13B" w14:textId="74C22F81"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tcPr>
          <w:p w14:paraId="0F111A48"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8684BB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2C3CD6B"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0CF2FE52" w14:textId="4B5A0EF0"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 rámci milníku 0 již probíhá práce na metodách zkoušení protiskluzových vlastností</w:t>
            </w:r>
            <w:r>
              <w:rPr>
                <w:rStyle w:val="FootnoteReference"/>
                <w:rFonts w:ascii="Aptos Narrow" w:eastAsia="Times New Roman" w:hAnsi="Aptos Narrow" w:cs="Times New Roman"/>
                <w:noProof/>
                <w:color w:val="000000"/>
                <w:lang w:eastAsia="en-IE"/>
              </w:rPr>
              <w:footnoteReference w:id="32"/>
            </w:r>
            <w:r>
              <w:rPr>
                <w:rFonts w:ascii="Aptos Narrow" w:hAnsi="Aptos Narrow"/>
                <w:noProof/>
                <w:color w:val="000000"/>
              </w:rPr>
              <w:t>.</w:t>
            </w:r>
          </w:p>
        </w:tc>
      </w:tr>
      <w:tr w:rsidR="00C95F37" w:rsidRPr="00427899" w14:paraId="1641C19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3DDA4356" w14:textId="3DA09DE1"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 xml:space="preserve">34 </w:t>
            </w:r>
          </w:p>
        </w:tc>
        <w:tc>
          <w:tcPr>
            <w:tcW w:w="2778" w:type="dxa"/>
            <w:shd w:val="clear" w:color="auto" w:fill="DBDBDB" w:themeFill="text1" w:themeFillTint="33"/>
            <w:noWrap/>
          </w:tcPr>
          <w:p w14:paraId="79560F35" w14:textId="394C5645"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sestavy, jednotky, prefabrikované prvky</w:t>
            </w:r>
          </w:p>
        </w:tc>
        <w:tc>
          <w:tcPr>
            <w:tcW w:w="1020" w:type="dxa"/>
            <w:shd w:val="clear" w:color="auto" w:fill="DBDBDB" w:themeFill="text1" w:themeFillTint="33"/>
          </w:tcPr>
          <w:p w14:paraId="759263B4" w14:textId="4E7EF75D"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KAS</w:t>
            </w:r>
          </w:p>
        </w:tc>
        <w:tc>
          <w:tcPr>
            <w:tcW w:w="1020" w:type="dxa"/>
            <w:shd w:val="clear" w:color="auto" w:fill="DBDBDB" w:themeFill="text1" w:themeFillTint="33"/>
          </w:tcPr>
          <w:p w14:paraId="0C07EF8C" w14:textId="08937A3B"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2026</w:t>
            </w:r>
          </w:p>
        </w:tc>
        <w:tc>
          <w:tcPr>
            <w:tcW w:w="1020" w:type="dxa"/>
            <w:shd w:val="clear" w:color="auto" w:fill="DBDBDB" w:themeFill="text1" w:themeFillTint="33"/>
          </w:tcPr>
          <w:p w14:paraId="491F5D95" w14:textId="26EF359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 čtvrtletí 2027</w:t>
            </w:r>
          </w:p>
        </w:tc>
        <w:tc>
          <w:tcPr>
            <w:tcW w:w="1020" w:type="dxa"/>
            <w:shd w:val="clear" w:color="auto" w:fill="DBDBDB" w:themeFill="text1" w:themeFillTint="33"/>
          </w:tcPr>
          <w:p w14:paraId="63A579A8" w14:textId="7E1ED525"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shd w:val="clear" w:color="auto" w:fill="DBDBDB" w:themeFill="text1" w:themeFillTint="33"/>
          </w:tcPr>
          <w:p w14:paraId="31C4A09F"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74EABBE"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A570739"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277D8AC7" w14:textId="2280B98A"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Včetně skupiny 36. V případě potřeby se tato práce rozdělí do několika pracovních skupin s různými časovými plány. Kromě toho může Komise požádat o vypracování evropských dokumentů pro posuzování pro inovativní sestavy.</w:t>
            </w:r>
          </w:p>
        </w:tc>
      </w:tr>
      <w:tr w:rsidR="00C35BE6" w:rsidRPr="00427899" w14:paraId="40A246C9"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3B751041" w14:textId="4C6794A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21</w:t>
            </w:r>
          </w:p>
        </w:tc>
        <w:tc>
          <w:tcPr>
            <w:tcW w:w="2778" w:type="dxa"/>
            <w:noWrap/>
          </w:tcPr>
          <w:p w14:paraId="14FD54A6" w14:textId="64F8D9A9"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Vnitřní a vnější povrchové úpravy stěn a stropů – sestavy vnitřních příček</w:t>
            </w:r>
          </w:p>
        </w:tc>
        <w:tc>
          <w:tcPr>
            <w:tcW w:w="1020" w:type="dxa"/>
          </w:tcPr>
          <w:p w14:paraId="55A51F46" w14:textId="371E8FFB"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WCF</w:t>
            </w:r>
          </w:p>
        </w:tc>
        <w:tc>
          <w:tcPr>
            <w:tcW w:w="1020" w:type="dxa"/>
          </w:tcPr>
          <w:p w14:paraId="3AAD9865" w14:textId="29E1295F"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tcPr>
          <w:p w14:paraId="5D71EFA4" w14:textId="1795BD1B"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2027</w:t>
            </w:r>
          </w:p>
        </w:tc>
        <w:tc>
          <w:tcPr>
            <w:tcW w:w="1020" w:type="dxa"/>
          </w:tcPr>
          <w:p w14:paraId="39FA2D9C" w14:textId="7C16162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2BBC113B"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51193E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0CAF523"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30BC3DF9"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5925D64"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BC6EFFD" w14:textId="768FA834" w:rsidR="000C2404" w:rsidRPr="00B56E8E"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7</w:t>
            </w:r>
          </w:p>
        </w:tc>
        <w:tc>
          <w:tcPr>
            <w:tcW w:w="2778" w:type="dxa"/>
            <w:shd w:val="clear" w:color="auto" w:fill="DBDBDB" w:themeFill="text1" w:themeFillTint="33"/>
            <w:noWrap/>
          </w:tcPr>
          <w:p w14:paraId="29F1AA3B" w14:textId="0B6170A4" w:rsidR="000C2404" w:rsidRPr="00BF7A0C"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ze sádry</w:t>
            </w:r>
          </w:p>
        </w:tc>
        <w:tc>
          <w:tcPr>
            <w:tcW w:w="1020" w:type="dxa"/>
            <w:shd w:val="clear" w:color="auto" w:fill="DBDBDB" w:themeFill="text1" w:themeFillTint="33"/>
          </w:tcPr>
          <w:p w14:paraId="371C73CC" w14:textId="0C489F7E"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GYP</w:t>
            </w:r>
          </w:p>
        </w:tc>
        <w:tc>
          <w:tcPr>
            <w:tcW w:w="1020" w:type="dxa"/>
            <w:shd w:val="clear" w:color="auto" w:fill="DBDBDB" w:themeFill="text1" w:themeFillTint="33"/>
          </w:tcPr>
          <w:p w14:paraId="59933532" w14:textId="713FE51F" w:rsidR="000C2404" w:rsidRPr="00E11133"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2026</w:t>
            </w:r>
          </w:p>
        </w:tc>
        <w:tc>
          <w:tcPr>
            <w:tcW w:w="1020" w:type="dxa"/>
            <w:shd w:val="clear" w:color="auto" w:fill="DBDBDB" w:themeFill="text1" w:themeFillTint="33"/>
          </w:tcPr>
          <w:p w14:paraId="03BE883D" w14:textId="612D58F1"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3. čtvrtletí 2027</w:t>
            </w:r>
          </w:p>
        </w:tc>
        <w:tc>
          <w:tcPr>
            <w:tcW w:w="1020" w:type="dxa"/>
            <w:shd w:val="clear" w:color="auto" w:fill="DBDBDB" w:themeFill="text1" w:themeFillTint="33"/>
          </w:tcPr>
          <w:p w14:paraId="6AC260EF" w14:textId="2C2C22CB"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08AAF86D"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AE193CD"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734EFD75"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F6CA211"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5F85458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6B4D90DF" w14:textId="3CBE393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5</w:t>
            </w:r>
          </w:p>
        </w:tc>
        <w:tc>
          <w:tcPr>
            <w:tcW w:w="2778" w:type="dxa"/>
            <w:noWrap/>
          </w:tcPr>
          <w:p w14:paraId="19BBA87C" w14:textId="716B4DB3"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ložiska – čepy pro konstrukční spoje</w:t>
            </w:r>
          </w:p>
        </w:tc>
        <w:tc>
          <w:tcPr>
            <w:tcW w:w="1020" w:type="dxa"/>
          </w:tcPr>
          <w:p w14:paraId="4F3B5F0F" w14:textId="317622B9"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SBE</w:t>
            </w:r>
          </w:p>
        </w:tc>
        <w:tc>
          <w:tcPr>
            <w:tcW w:w="1020" w:type="dxa"/>
          </w:tcPr>
          <w:p w14:paraId="33BA9D43" w14:textId="2A9BBD8B" w:rsidR="000C2404" w:rsidRDefault="000C2404"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2026</w:t>
            </w:r>
          </w:p>
        </w:tc>
        <w:tc>
          <w:tcPr>
            <w:tcW w:w="1020" w:type="dxa"/>
          </w:tcPr>
          <w:p w14:paraId="62743FF0" w14:textId="78727FAB"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2027</w:t>
            </w:r>
          </w:p>
        </w:tc>
        <w:tc>
          <w:tcPr>
            <w:tcW w:w="1020" w:type="dxa"/>
          </w:tcPr>
          <w:p w14:paraId="5B293E9E" w14:textId="2764A5F4"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76DBE325"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F91DAE6"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29EBAAC"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192FF2E0"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3DD7650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72BCEA13" w14:textId="68A59A1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27</w:t>
            </w:r>
          </w:p>
        </w:tc>
        <w:tc>
          <w:tcPr>
            <w:tcW w:w="2778" w:type="dxa"/>
            <w:shd w:val="clear" w:color="auto" w:fill="DBDBDB" w:themeFill="text1" w:themeFillTint="33"/>
            <w:noWrap/>
          </w:tcPr>
          <w:p w14:paraId="546CCAEB" w14:textId="77AA2D2E"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Zařízení pro vytápění vnitřních prostor a ostatní zařízení pro vytápění a chlazení</w:t>
            </w:r>
          </w:p>
        </w:tc>
        <w:tc>
          <w:tcPr>
            <w:tcW w:w="1020" w:type="dxa"/>
            <w:shd w:val="clear" w:color="auto" w:fill="DBDBDB" w:themeFill="text1" w:themeFillTint="33"/>
          </w:tcPr>
          <w:p w14:paraId="6CB1887D" w14:textId="34124AA9"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SHA</w:t>
            </w:r>
          </w:p>
        </w:tc>
        <w:tc>
          <w:tcPr>
            <w:tcW w:w="1020" w:type="dxa"/>
            <w:shd w:val="clear" w:color="auto" w:fill="DBDBDB" w:themeFill="text1" w:themeFillTint="33"/>
          </w:tcPr>
          <w:p w14:paraId="71CE0B8F" w14:textId="3C1D4313" w:rsidR="000C2404" w:rsidRDefault="000C2404"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2026</w:t>
            </w:r>
          </w:p>
        </w:tc>
        <w:tc>
          <w:tcPr>
            <w:tcW w:w="1020" w:type="dxa"/>
            <w:shd w:val="clear" w:color="auto" w:fill="DBDBDB" w:themeFill="text1" w:themeFillTint="33"/>
          </w:tcPr>
          <w:p w14:paraId="54F6418B" w14:textId="34C9E39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4. čtvrtletí 2027</w:t>
            </w:r>
          </w:p>
        </w:tc>
        <w:tc>
          <w:tcPr>
            <w:tcW w:w="1020" w:type="dxa"/>
            <w:shd w:val="clear" w:color="auto" w:fill="DBDBDB" w:themeFill="text1" w:themeFillTint="33"/>
          </w:tcPr>
          <w:p w14:paraId="4DF772C0" w14:textId="74C0AFFC"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756A8ABA"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A7A50B3"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5ED48B8" w14:textId="77777777"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89E5960" w14:textId="49A301B9" w:rsidR="000C2404"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Část výrobků je rovněž regulována nařízením o ekodesignu udržitelných výrobků, práce bude sladěna s činnostmi v této oblasti.</w:t>
            </w:r>
          </w:p>
        </w:tc>
      </w:tr>
      <w:tr w:rsidR="00C35BE6" w:rsidRPr="00427899" w14:paraId="78D476D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80B76EE" w14:textId="34155D84"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22</w:t>
            </w:r>
          </w:p>
        </w:tc>
        <w:tc>
          <w:tcPr>
            <w:tcW w:w="2778" w:type="dxa"/>
            <w:noWrap/>
          </w:tcPr>
          <w:p w14:paraId="4ADE6E23" w14:textId="142B481C"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Střešní krytiny, střešní světlíky, střešní okna a doplňkové výrobky – střešní sestavy, fotovoltaické panely</w:t>
            </w:r>
          </w:p>
        </w:tc>
        <w:tc>
          <w:tcPr>
            <w:tcW w:w="1020" w:type="dxa"/>
          </w:tcPr>
          <w:p w14:paraId="52342136" w14:textId="47CCE569"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ROC</w:t>
            </w:r>
          </w:p>
        </w:tc>
        <w:tc>
          <w:tcPr>
            <w:tcW w:w="1020" w:type="dxa"/>
          </w:tcPr>
          <w:p w14:paraId="34EAEF0E" w14:textId="3E7936CD" w:rsidR="000C2404" w:rsidRDefault="0059191B"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tcPr>
          <w:p w14:paraId="697FFB10" w14:textId="13FE7F86" w:rsidR="000C2404" w:rsidRDefault="00256903"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tcPr>
          <w:p w14:paraId="067FF491" w14:textId="4453AC01" w:rsidR="000C2404" w:rsidRDefault="004D2B06"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3D2D530A"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07936D1"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50ED0B2" w14:textId="77777777"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33E1CF24" w14:textId="370483D0" w:rsidR="000C2404"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Fotovoltaické panely jsou regulovány nařízením o ekodesignu udržitelných výrobků, práce bude sladěna s činnostmi v této oblasti.</w:t>
            </w:r>
          </w:p>
        </w:tc>
      </w:tr>
      <w:tr w:rsidR="00C95F37" w:rsidRPr="00427899" w14:paraId="2FBB316F"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3948242" w14:textId="32B15FC7"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12</w:t>
            </w:r>
          </w:p>
        </w:tc>
        <w:tc>
          <w:tcPr>
            <w:tcW w:w="2778" w:type="dxa"/>
            <w:shd w:val="clear" w:color="auto" w:fill="DBDBDB" w:themeFill="text1" w:themeFillTint="33"/>
            <w:noWrap/>
          </w:tcPr>
          <w:p w14:paraId="33560980" w14:textId="4DD6DCCF"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komunikací: silniční vybavení (barvy, dopravní značky, silniční záchytné systémy)</w:t>
            </w:r>
          </w:p>
        </w:tc>
        <w:tc>
          <w:tcPr>
            <w:tcW w:w="1020" w:type="dxa"/>
            <w:shd w:val="clear" w:color="auto" w:fill="DBDBDB" w:themeFill="text1" w:themeFillTint="33"/>
          </w:tcPr>
          <w:p w14:paraId="06B74B8B" w14:textId="6D11BF15"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CIF</w:t>
            </w:r>
          </w:p>
        </w:tc>
        <w:tc>
          <w:tcPr>
            <w:tcW w:w="1020" w:type="dxa"/>
            <w:shd w:val="clear" w:color="auto" w:fill="DBDBDB" w:themeFill="text1" w:themeFillTint="33"/>
          </w:tcPr>
          <w:p w14:paraId="40D9D762" w14:textId="043A104A" w:rsidR="000C2404" w:rsidRDefault="0059191B"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shd w:val="clear" w:color="auto" w:fill="DBDBDB" w:themeFill="text1" w:themeFillTint="33"/>
          </w:tcPr>
          <w:p w14:paraId="15B64417" w14:textId="627D76FC" w:rsidR="000C2404" w:rsidRPr="5A158C90"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shd w:val="clear" w:color="auto" w:fill="DBDBDB" w:themeFill="text1" w:themeFillTint="33"/>
          </w:tcPr>
          <w:p w14:paraId="5139D047" w14:textId="3524B3B2" w:rsidR="000C2404" w:rsidRPr="5A158C90" w:rsidRDefault="009D36B9"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641D12F5"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858E8AF"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64602A67" w14:textId="77777777" w:rsidR="000C2404" w:rsidRPr="5A158C90"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02893D0" w14:textId="590C7ECC" w:rsidR="000C2404" w:rsidRPr="004D187D"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Již probíhá práce v rámci milníku 0 na vývoji metody posuzování silničních záchytných systémů</w:t>
            </w:r>
            <w:r>
              <w:rPr>
                <w:rStyle w:val="FootnoteReference"/>
                <w:rFonts w:ascii="Aptos Narrow" w:eastAsia="Times New Roman" w:hAnsi="Aptos Narrow" w:cs="Times New Roman"/>
                <w:noProof/>
                <w:color w:val="000000"/>
                <w:lang w:eastAsia="en-IE"/>
              </w:rPr>
              <w:footnoteReference w:id="33"/>
            </w:r>
            <w:r>
              <w:rPr>
                <w:rFonts w:ascii="Aptos Narrow" w:hAnsi="Aptos Narrow"/>
                <w:noProof/>
                <w:color w:val="000000"/>
              </w:rPr>
              <w:t>.</w:t>
            </w:r>
          </w:p>
        </w:tc>
      </w:tr>
      <w:tr w:rsidR="00C35BE6" w:rsidRPr="00427899" w14:paraId="766A0090"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A8E1B99" w14:textId="59B4326D"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18</w:t>
            </w:r>
          </w:p>
        </w:tc>
        <w:tc>
          <w:tcPr>
            <w:tcW w:w="2778" w:type="dxa"/>
            <w:noWrap/>
          </w:tcPr>
          <w:p w14:paraId="58C56E8F" w14:textId="612B39CD"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kanalizační systémy</w:t>
            </w:r>
          </w:p>
        </w:tc>
        <w:tc>
          <w:tcPr>
            <w:tcW w:w="1020" w:type="dxa"/>
          </w:tcPr>
          <w:p w14:paraId="292F43B6" w14:textId="0892D857"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WWD</w:t>
            </w:r>
          </w:p>
        </w:tc>
        <w:tc>
          <w:tcPr>
            <w:tcW w:w="1020" w:type="dxa"/>
          </w:tcPr>
          <w:p w14:paraId="154555D7" w14:textId="706F1026" w:rsidR="000C2404" w:rsidRDefault="00355A45"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tcPr>
          <w:p w14:paraId="45B77505" w14:textId="6B878E23" w:rsidR="000C2404"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477314AB" w14:textId="4781481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1D84A656"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5B923D3E"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83315D0"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1FFADFD7"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A388375"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6E23389A" w14:textId="70FF775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25</w:t>
            </w:r>
          </w:p>
        </w:tc>
        <w:tc>
          <w:tcPr>
            <w:tcW w:w="2778" w:type="dxa"/>
            <w:shd w:val="clear" w:color="auto" w:fill="DBDBDB" w:themeFill="text1" w:themeFillTint="33"/>
            <w:noWrap/>
          </w:tcPr>
          <w:p w14:paraId="583F5DFC" w14:textId="2E528614"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adheziva</w:t>
            </w:r>
          </w:p>
        </w:tc>
        <w:tc>
          <w:tcPr>
            <w:tcW w:w="1020" w:type="dxa"/>
            <w:shd w:val="clear" w:color="auto" w:fill="DBDBDB" w:themeFill="text1" w:themeFillTint="33"/>
          </w:tcPr>
          <w:p w14:paraId="12057812" w14:textId="0354FD3A"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ADH</w:t>
            </w:r>
          </w:p>
        </w:tc>
        <w:tc>
          <w:tcPr>
            <w:tcW w:w="1020" w:type="dxa"/>
            <w:shd w:val="clear" w:color="auto" w:fill="DBDBDB" w:themeFill="text1" w:themeFillTint="33"/>
          </w:tcPr>
          <w:p w14:paraId="76DC171D" w14:textId="3A9394DD" w:rsidR="000C2404" w:rsidRDefault="00355A45"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shd w:val="clear" w:color="auto" w:fill="DBDBDB" w:themeFill="text1" w:themeFillTint="33"/>
          </w:tcPr>
          <w:p w14:paraId="73038AA6" w14:textId="01428DFF" w:rsidR="000C2404"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263BDA1B" w14:textId="4A39375E" w:rsidR="000C2404" w:rsidRDefault="00B16B5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1507FC36"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BE1D8A5"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5384DCC1"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46FA5CC"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059A0608"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43C975A4" w14:textId="1391DBC3"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32</w:t>
            </w:r>
          </w:p>
        </w:tc>
        <w:tc>
          <w:tcPr>
            <w:tcW w:w="2778" w:type="dxa"/>
            <w:noWrap/>
          </w:tcPr>
          <w:p w14:paraId="22B2FFE1" w14:textId="0DCDBEFD"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Těsnění pro spoje</w:t>
            </w:r>
          </w:p>
        </w:tc>
        <w:tc>
          <w:tcPr>
            <w:tcW w:w="1020" w:type="dxa"/>
          </w:tcPr>
          <w:p w14:paraId="480F1269" w14:textId="5472CF64"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SEA</w:t>
            </w:r>
          </w:p>
        </w:tc>
        <w:tc>
          <w:tcPr>
            <w:tcW w:w="1020" w:type="dxa"/>
          </w:tcPr>
          <w:p w14:paraId="05421E6A" w14:textId="0CAE00DA" w:rsidR="000C2404" w:rsidRDefault="004B31F8"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2027</w:t>
            </w:r>
          </w:p>
        </w:tc>
        <w:tc>
          <w:tcPr>
            <w:tcW w:w="1020" w:type="dxa"/>
          </w:tcPr>
          <w:p w14:paraId="730292F1" w14:textId="5615A80F" w:rsidR="000C2404"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42C65B5B" w14:textId="115AEB44" w:rsidR="000C2404" w:rsidRDefault="00B16B5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36ED21B0"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7E30E64"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6010E24"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54957AEF" w14:textId="77777777" w:rsidR="000C2404" w:rsidRDefault="000C2404"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535993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CFE67DE" w14:textId="244D5B90"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35</w:t>
            </w:r>
          </w:p>
        </w:tc>
        <w:tc>
          <w:tcPr>
            <w:tcW w:w="2778" w:type="dxa"/>
            <w:shd w:val="clear" w:color="auto" w:fill="DBDBDB" w:themeFill="text1" w:themeFillTint="33"/>
            <w:noWrap/>
          </w:tcPr>
          <w:p w14:paraId="56E39E51" w14:textId="7BC573D8"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Výrobky pro požární přepážky, požární těsnění a výrobky pro požární ochranu, výrobky pro zpomalování hoření – Výrobky pro zpomalování hoření</w:t>
            </w:r>
          </w:p>
        </w:tc>
        <w:tc>
          <w:tcPr>
            <w:tcW w:w="1020" w:type="dxa"/>
            <w:shd w:val="clear" w:color="auto" w:fill="DBDBDB" w:themeFill="text1" w:themeFillTint="33"/>
          </w:tcPr>
          <w:p w14:paraId="753D6E20" w14:textId="127923ED"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FPP</w:t>
            </w:r>
          </w:p>
        </w:tc>
        <w:tc>
          <w:tcPr>
            <w:tcW w:w="1020" w:type="dxa"/>
            <w:shd w:val="clear" w:color="auto" w:fill="DBDBDB" w:themeFill="text1" w:themeFillTint="33"/>
          </w:tcPr>
          <w:p w14:paraId="50B6C69F" w14:textId="385F305E" w:rsidR="000C2404"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51341D5C" w14:textId="7A24BCC1" w:rsidR="000C2404"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25CFBA7C" w14:textId="4CE410C9" w:rsidR="000C2404" w:rsidRDefault="002B07E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69C2A6B4"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4E634A7C"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B0E9890"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0EEEAB7D" w14:textId="77777777" w:rsidR="000C2404" w:rsidRDefault="000C2404"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1D9B0771"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C2661FA" w14:textId="46BE794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33</w:t>
            </w:r>
          </w:p>
        </w:tc>
        <w:tc>
          <w:tcPr>
            <w:tcW w:w="2778" w:type="dxa"/>
            <w:noWrap/>
          </w:tcPr>
          <w:p w14:paraId="47898A5D" w14:textId="753F635A"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Připevňovací prostředky</w:t>
            </w:r>
          </w:p>
        </w:tc>
        <w:tc>
          <w:tcPr>
            <w:tcW w:w="1020" w:type="dxa"/>
          </w:tcPr>
          <w:p w14:paraId="028DE3C3" w14:textId="1E90B4A8"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FIX</w:t>
            </w:r>
          </w:p>
        </w:tc>
        <w:tc>
          <w:tcPr>
            <w:tcW w:w="1020" w:type="dxa"/>
          </w:tcPr>
          <w:p w14:paraId="18675861" w14:textId="1A4293D7"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3C3528C8" w14:textId="4C5053BC" w:rsidR="004070AF"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05B60645" w14:textId="57358B7D"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BD42258"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437218B7"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78FDE24"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FB63EFB"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EB8A13A"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0DECF361" w14:textId="143E999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w:t>
            </w:r>
          </w:p>
        </w:tc>
        <w:tc>
          <w:tcPr>
            <w:tcW w:w="2778" w:type="dxa"/>
            <w:shd w:val="clear" w:color="auto" w:fill="DBDBDB" w:themeFill="text1" w:themeFillTint="33"/>
            <w:noWrap/>
          </w:tcPr>
          <w:p w14:paraId="56418D14" w14:textId="195178E5" w:rsidR="004070AF" w:rsidRPr="00950FF3"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Fólie, včetně litých a sestav (hydroizolační nebo parotěsné)</w:t>
            </w:r>
          </w:p>
        </w:tc>
        <w:tc>
          <w:tcPr>
            <w:tcW w:w="1020" w:type="dxa"/>
            <w:shd w:val="clear" w:color="auto" w:fill="DBDBDB" w:themeFill="text1" w:themeFillTint="33"/>
          </w:tcPr>
          <w:p w14:paraId="2BCE24FD" w14:textId="2B2ECD2A" w:rsidR="004070AF" w:rsidRPr="00427899"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MEM</w:t>
            </w:r>
          </w:p>
        </w:tc>
        <w:tc>
          <w:tcPr>
            <w:tcW w:w="1020" w:type="dxa"/>
            <w:shd w:val="clear" w:color="auto" w:fill="DBDBDB" w:themeFill="text1" w:themeFillTint="33"/>
          </w:tcPr>
          <w:p w14:paraId="1E6DC6E5" w14:textId="4C86BDF5" w:rsidR="004070AF"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62F61A0D" w14:textId="2387D975" w:rsidR="004070AF" w:rsidRDefault="00256903"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065A035F" w14:textId="33767869"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B915263"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71753EF"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E33E381"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7473EF84" w14:textId="77777777" w:rsidR="004070AF"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4DE5BE55"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17437BAA" w14:textId="4096192E"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8</w:t>
            </w:r>
          </w:p>
        </w:tc>
        <w:tc>
          <w:tcPr>
            <w:tcW w:w="2778" w:type="dxa"/>
            <w:noWrap/>
          </w:tcPr>
          <w:p w14:paraId="12EBF676" w14:textId="05733183"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Geotextilie, geomembrány a související výrobky</w:t>
            </w:r>
          </w:p>
        </w:tc>
        <w:tc>
          <w:tcPr>
            <w:tcW w:w="1020" w:type="dxa"/>
          </w:tcPr>
          <w:p w14:paraId="015ACE35" w14:textId="47AB1F28"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GEO</w:t>
            </w:r>
          </w:p>
        </w:tc>
        <w:tc>
          <w:tcPr>
            <w:tcW w:w="1020" w:type="dxa"/>
          </w:tcPr>
          <w:p w14:paraId="13A589B8" w14:textId="2C675FA7"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7230756D" w14:textId="54A5D91B" w:rsidR="004070AF" w:rsidRDefault="00256903"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tcPr>
          <w:p w14:paraId="24D03BF6" w14:textId="6251AB96"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16A0F01"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9CAB0C9"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7F3687C"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50A10FBE" w14:textId="77777777" w:rsidR="004070AF"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75EAEBA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70D69930" w14:textId="5950DAD1"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11</w:t>
            </w:r>
          </w:p>
        </w:tc>
        <w:tc>
          <w:tcPr>
            <w:tcW w:w="2778" w:type="dxa"/>
            <w:shd w:val="clear" w:color="auto" w:fill="DBDBDB" w:themeFill="text1" w:themeFillTint="33"/>
            <w:noWrap/>
          </w:tcPr>
          <w:p w14:paraId="73BFC73D" w14:textId="22CBA634" w:rsidR="004070AF" w:rsidRPr="00950FF3"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Vybavení pro hygienické prostory</w:t>
            </w:r>
          </w:p>
        </w:tc>
        <w:tc>
          <w:tcPr>
            <w:tcW w:w="1020" w:type="dxa"/>
            <w:shd w:val="clear" w:color="auto" w:fill="DBDBDB" w:themeFill="text1" w:themeFillTint="33"/>
          </w:tcPr>
          <w:p w14:paraId="1F4B524B" w14:textId="49DF53F8" w:rsidR="004070AF" w:rsidRPr="00427899" w:rsidRDefault="004070AF" w:rsidP="004070AF">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SAP</w:t>
            </w:r>
          </w:p>
        </w:tc>
        <w:tc>
          <w:tcPr>
            <w:tcW w:w="1020" w:type="dxa"/>
            <w:shd w:val="clear" w:color="auto" w:fill="DBDBDB" w:themeFill="text1" w:themeFillTint="33"/>
          </w:tcPr>
          <w:p w14:paraId="27A0C6B6" w14:textId="67715127" w:rsidR="004070AF"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shd w:val="clear" w:color="auto" w:fill="DBDBDB" w:themeFill="text1" w:themeFillTint="33"/>
          </w:tcPr>
          <w:p w14:paraId="7B8E0C34" w14:textId="5F575EEB" w:rsidR="004070AF" w:rsidRDefault="00256903"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569599B6" w14:textId="52A769AE"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21FB8DE5"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030E3E2"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7FB66D4B"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5DF4082F" w14:textId="77777777" w:rsidR="004070AF" w:rsidRDefault="004070AF"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7AD0E7AE"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030CEA6E" w14:textId="0DE76D5A" w:rsidR="004070AF" w:rsidRDefault="004070AF"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28</w:t>
            </w:r>
          </w:p>
        </w:tc>
        <w:tc>
          <w:tcPr>
            <w:tcW w:w="2778" w:type="dxa"/>
            <w:noWrap/>
          </w:tcPr>
          <w:p w14:paraId="218A2513" w14:textId="06F2676E" w:rsidR="004070AF" w:rsidRPr="00950FF3"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Trubky, nádrže a doplňky, které nejsou v kontaktu s vodou určenou k lidské spotřebě</w:t>
            </w:r>
          </w:p>
        </w:tc>
        <w:tc>
          <w:tcPr>
            <w:tcW w:w="1020" w:type="dxa"/>
          </w:tcPr>
          <w:p w14:paraId="4BBD1CB3" w14:textId="385596FF" w:rsidR="004070AF" w:rsidRPr="00427899" w:rsidRDefault="004070AF" w:rsidP="004070AF">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PTA</w:t>
            </w:r>
          </w:p>
        </w:tc>
        <w:tc>
          <w:tcPr>
            <w:tcW w:w="1020" w:type="dxa"/>
            <w:vMerge w:val="restart"/>
          </w:tcPr>
          <w:p w14:paraId="3102E4DB" w14:textId="60FD771C" w:rsidR="004070AF"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2028</w:t>
            </w:r>
          </w:p>
        </w:tc>
        <w:tc>
          <w:tcPr>
            <w:tcW w:w="1020" w:type="dxa"/>
            <w:vMerge w:val="restart"/>
          </w:tcPr>
          <w:p w14:paraId="23B2A788" w14:textId="78729DA2" w:rsidR="004070AF" w:rsidRDefault="00256903"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vMerge w:val="restart"/>
          </w:tcPr>
          <w:p w14:paraId="7918F222" w14:textId="39844E0A"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60D1F3CB"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34AE62D8"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val="restart"/>
          </w:tcPr>
          <w:p w14:paraId="7A775CB4"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val="restart"/>
          </w:tcPr>
          <w:p w14:paraId="571279A1" w14:textId="77777777" w:rsidR="004070AF" w:rsidRDefault="004070AF"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129B8022"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290E17B2" w14:textId="1F70046E"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29</w:t>
            </w:r>
          </w:p>
        </w:tc>
        <w:tc>
          <w:tcPr>
            <w:tcW w:w="2778" w:type="dxa"/>
            <w:shd w:val="clear" w:color="auto" w:fill="DBDBDB" w:themeFill="text1" w:themeFillTint="33"/>
            <w:noWrap/>
          </w:tcPr>
          <w:p w14:paraId="1CAFD524" w14:textId="0C0CD801"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Stavební výrobky, které jsou v kontaktu s vodou určenou k lidské spotřebě</w:t>
            </w:r>
          </w:p>
        </w:tc>
        <w:tc>
          <w:tcPr>
            <w:tcW w:w="1020" w:type="dxa"/>
            <w:shd w:val="clear" w:color="auto" w:fill="DBDBDB" w:themeFill="text1" w:themeFillTint="33"/>
          </w:tcPr>
          <w:p w14:paraId="209098E0" w14:textId="18D39E94"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DWP</w:t>
            </w:r>
          </w:p>
        </w:tc>
        <w:tc>
          <w:tcPr>
            <w:tcW w:w="1020" w:type="dxa"/>
            <w:vMerge/>
            <w:shd w:val="clear" w:color="auto" w:fill="DBDBDB" w:themeFill="text1" w:themeFillTint="33"/>
          </w:tcPr>
          <w:p w14:paraId="66459833"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6ED6125E"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571B67F1" w14:textId="10E2FB79"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45A7DF78"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03DB64EF"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vMerge/>
            <w:shd w:val="clear" w:color="auto" w:fill="DBDBDB" w:themeFill="text1" w:themeFillTint="33"/>
          </w:tcPr>
          <w:p w14:paraId="2F064474"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vMerge/>
            <w:shd w:val="clear" w:color="auto" w:fill="DBDBDB" w:themeFill="text1" w:themeFillTint="33"/>
          </w:tcPr>
          <w:p w14:paraId="16ECB9AB"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r>
      <w:tr w:rsidR="00C35BE6" w:rsidRPr="00427899" w14:paraId="4033E49C"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99A479F" w14:textId="2766AC35"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31</w:t>
            </w:r>
          </w:p>
        </w:tc>
        <w:tc>
          <w:tcPr>
            <w:tcW w:w="2778" w:type="dxa"/>
            <w:noWrap/>
          </w:tcPr>
          <w:p w14:paraId="0EBA94DA" w14:textId="6EA18D89"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Elektrické, ovládací a komunikační kabely</w:t>
            </w:r>
          </w:p>
        </w:tc>
        <w:tc>
          <w:tcPr>
            <w:tcW w:w="1020" w:type="dxa"/>
          </w:tcPr>
          <w:p w14:paraId="26ED2CDD" w14:textId="6856F0ED"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CAB</w:t>
            </w:r>
          </w:p>
        </w:tc>
        <w:tc>
          <w:tcPr>
            <w:tcW w:w="1020" w:type="dxa"/>
          </w:tcPr>
          <w:p w14:paraId="73DEE091" w14:textId="7F89A9FB" w:rsidR="000C2404"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3713111A" w14:textId="3964A000" w:rsidR="000C2404" w:rsidRDefault="00AA4E96"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529D2048" w14:textId="74C14F7B"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78EC619"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6411356F"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7A9D554"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85A030D" w14:textId="7777777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r>
      <w:tr w:rsidR="00C95F37" w:rsidRPr="00427899" w14:paraId="03C87FC3" w14:textId="77777777" w:rsidTr="00354C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shd w:val="clear" w:color="auto" w:fill="DBDBDB" w:themeFill="text1" w:themeFillTint="33"/>
            <w:noWrap/>
          </w:tcPr>
          <w:p w14:paraId="4EBBC379" w14:textId="28E9223B"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nová</w:t>
            </w:r>
          </w:p>
        </w:tc>
        <w:tc>
          <w:tcPr>
            <w:tcW w:w="2778" w:type="dxa"/>
            <w:shd w:val="clear" w:color="auto" w:fill="DBDBDB" w:themeFill="text1" w:themeFillTint="33"/>
            <w:noWrap/>
          </w:tcPr>
          <w:p w14:paraId="1446D426" w14:textId="5F4B07C7" w:rsidR="000C2404" w:rsidRPr="00950FF3"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Dekorativní nátěrové hmoty a tapety</w:t>
            </w:r>
          </w:p>
        </w:tc>
        <w:tc>
          <w:tcPr>
            <w:tcW w:w="1020" w:type="dxa"/>
            <w:shd w:val="clear" w:color="auto" w:fill="DBDBDB" w:themeFill="text1" w:themeFillTint="33"/>
          </w:tcPr>
          <w:p w14:paraId="7C456B73" w14:textId="77777777" w:rsidR="000C2404" w:rsidRPr="00427899" w:rsidRDefault="000C2404" w:rsidP="00980369">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E381D15" w14:textId="3B0F61C7" w:rsidR="000C2404" w:rsidRPr="004D187D" w:rsidRDefault="004070AF" w:rsidP="004D187D">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shd w:val="clear" w:color="auto" w:fill="DBDBDB" w:themeFill="text1" w:themeFillTint="33"/>
          </w:tcPr>
          <w:p w14:paraId="760AEB62" w14:textId="320A7DC5"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1F8EA6B3" w14:textId="799F79A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EEEFE07"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05F1D480"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1020" w:type="dxa"/>
            <w:shd w:val="clear" w:color="auto" w:fill="DBDBDB" w:themeFill="text1" w:themeFillTint="33"/>
          </w:tcPr>
          <w:p w14:paraId="3C4B664E" w14:textId="77777777"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lang w:eastAsia="en-IE"/>
              </w:rPr>
            </w:pPr>
          </w:p>
        </w:tc>
        <w:tc>
          <w:tcPr>
            <w:tcW w:w="3458" w:type="dxa"/>
            <w:shd w:val="clear" w:color="auto" w:fill="DBDBDB" w:themeFill="text1" w:themeFillTint="33"/>
          </w:tcPr>
          <w:p w14:paraId="19C05D50" w14:textId="05F988A4" w:rsidR="000C2404" w:rsidRDefault="000C2404" w:rsidP="00256903">
            <w:pPr>
              <w:spacing w:before="0"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Práce bude sladěna s 2. pracovním plánem podle nařízení o ekodesignu udržitelných výrobků.</w:t>
            </w:r>
          </w:p>
        </w:tc>
      </w:tr>
      <w:tr w:rsidR="00C35BE6" w:rsidRPr="00427899" w14:paraId="5A87525D" w14:textId="77777777" w:rsidTr="00354C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9" w:type="dxa"/>
            <w:noWrap/>
          </w:tcPr>
          <w:p w14:paraId="5FD9BD95" w14:textId="65D969B6" w:rsidR="000C2404" w:rsidRDefault="000C2404" w:rsidP="004D187D">
            <w:pPr>
              <w:spacing w:before="0" w:after="0"/>
              <w:jc w:val="center"/>
              <w:rPr>
                <w:rFonts w:ascii="Aptos Narrow" w:eastAsia="Times New Roman" w:hAnsi="Aptos Narrow" w:cs="Times New Roman"/>
                <w:noProof/>
                <w:color w:val="000000"/>
              </w:rPr>
            </w:pPr>
            <w:r>
              <w:rPr>
                <w:rFonts w:ascii="Aptos Narrow" w:hAnsi="Aptos Narrow"/>
                <w:noProof/>
                <w:color w:val="000000"/>
              </w:rPr>
              <w:t>6</w:t>
            </w:r>
          </w:p>
        </w:tc>
        <w:tc>
          <w:tcPr>
            <w:tcW w:w="2778" w:type="dxa"/>
            <w:noWrap/>
          </w:tcPr>
          <w:p w14:paraId="3F4ADC4A" w14:textId="7C170767" w:rsidR="000C2404" w:rsidRPr="00950FF3"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Komíny, kouřovody a specifické výrobky</w:t>
            </w:r>
          </w:p>
        </w:tc>
        <w:tc>
          <w:tcPr>
            <w:tcW w:w="1020" w:type="dxa"/>
          </w:tcPr>
          <w:p w14:paraId="35F1D096" w14:textId="04C4DA14" w:rsidR="000C2404" w:rsidRPr="00427899" w:rsidRDefault="000C2404" w:rsidP="00980369">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CHI</w:t>
            </w:r>
          </w:p>
        </w:tc>
        <w:tc>
          <w:tcPr>
            <w:tcW w:w="1020" w:type="dxa"/>
          </w:tcPr>
          <w:p w14:paraId="18DBCBD5" w14:textId="5570C30A" w:rsidR="000C2404" w:rsidRDefault="004070AF" w:rsidP="004D187D">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2029</w:t>
            </w:r>
          </w:p>
        </w:tc>
        <w:tc>
          <w:tcPr>
            <w:tcW w:w="1020" w:type="dxa"/>
          </w:tcPr>
          <w:p w14:paraId="7D5C4DAB" w14:textId="6EA49DE6"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34E914BF" w14:textId="5EABBC1B"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201C6C6E"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767261D5"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1020" w:type="dxa"/>
          </w:tcPr>
          <w:p w14:paraId="00A98F7D" w14:textId="77777777" w:rsidR="000C2404" w:rsidRPr="11C2EDB6"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lang w:eastAsia="en-IE"/>
              </w:rPr>
            </w:pPr>
          </w:p>
        </w:tc>
        <w:tc>
          <w:tcPr>
            <w:tcW w:w="3458" w:type="dxa"/>
          </w:tcPr>
          <w:p w14:paraId="43276CD7" w14:textId="61F72707" w:rsidR="000C2404" w:rsidRDefault="000C2404" w:rsidP="00256903">
            <w:pPr>
              <w:spacing w:before="0"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noProof/>
                <w:color w:val="000000"/>
              </w:rPr>
            </w:pPr>
            <w:r>
              <w:rPr>
                <w:rFonts w:ascii="Aptos Narrow" w:hAnsi="Aptos Narrow"/>
                <w:noProof/>
                <w:color w:val="000000"/>
              </w:rPr>
              <w:t>Zahrnuje pouze volně stojící komíny.</w:t>
            </w:r>
          </w:p>
        </w:tc>
      </w:tr>
    </w:tbl>
    <w:p w14:paraId="4ADD0546" w14:textId="72855CB4" w:rsidR="009E1F70" w:rsidRPr="009E1F70" w:rsidRDefault="009E1F70" w:rsidP="009E1F70">
      <w:pPr>
        <w:tabs>
          <w:tab w:val="left" w:pos="975"/>
        </w:tabs>
        <w:rPr>
          <w:noProof/>
        </w:rPr>
      </w:pPr>
    </w:p>
    <w:sectPr w:rsidR="009E1F70" w:rsidRPr="009E1F70" w:rsidSect="005A38FE">
      <w:headerReference w:type="default" r:id="rId26"/>
      <w:footerReference w:type="default" r:id="rId27"/>
      <w:pgSz w:w="15840" w:h="12240" w:orient="landscape"/>
      <w:pgMar w:top="720" w:right="720" w:bottom="616" w:left="72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BD146" w14:textId="77777777" w:rsidR="00321353" w:rsidRDefault="00321353" w:rsidP="0086174D">
      <w:pPr>
        <w:spacing w:before="0" w:after="0" w:line="240" w:lineRule="auto"/>
      </w:pPr>
      <w:r>
        <w:separator/>
      </w:r>
    </w:p>
  </w:endnote>
  <w:endnote w:type="continuationSeparator" w:id="0">
    <w:p w14:paraId="6266E61B" w14:textId="77777777" w:rsidR="00321353" w:rsidRDefault="00321353" w:rsidP="0086174D">
      <w:pPr>
        <w:spacing w:before="0" w:after="0" w:line="240" w:lineRule="auto"/>
      </w:pPr>
      <w:r>
        <w:continuationSeparator/>
      </w:r>
    </w:p>
  </w:endnote>
  <w:endnote w:type="continuationNotice" w:id="1">
    <w:p w14:paraId="47F64C6F" w14:textId="77777777" w:rsidR="00321353" w:rsidRDefault="003213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B428F" w14:textId="4C642E1B" w:rsidR="000617BD" w:rsidRPr="000617BD" w:rsidRDefault="000617BD" w:rsidP="000617BD">
    <w:pPr>
      <w:pStyle w:val="FooterCoverPage"/>
      <w:rPr>
        <w:rFonts w:ascii="Arial" w:hAnsi="Arial" w:cs="Arial"/>
        <w:b/>
        <w:sz w:val="48"/>
      </w:rPr>
    </w:pPr>
    <w:r w:rsidRPr="000617BD">
      <w:rPr>
        <w:rFonts w:ascii="Arial" w:hAnsi="Arial" w:cs="Arial"/>
        <w:b/>
        <w:sz w:val="48"/>
      </w:rPr>
      <w:t>CS</w:t>
    </w:r>
    <w:r w:rsidRPr="000617BD">
      <w:rPr>
        <w:rFonts w:ascii="Arial" w:hAnsi="Arial" w:cs="Arial"/>
        <w:b/>
        <w:sz w:val="48"/>
      </w:rPr>
      <w:tab/>
    </w:r>
    <w:r w:rsidRPr="000617BD">
      <w:rPr>
        <w:rFonts w:ascii="Arial" w:hAnsi="Arial" w:cs="Arial"/>
        <w:b/>
        <w:sz w:val="48"/>
      </w:rPr>
      <w:tab/>
    </w:r>
    <w:r w:rsidRPr="000617BD">
      <w:tab/>
    </w:r>
    <w:r w:rsidRPr="000617BD">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B1FC" w14:textId="42923F66" w:rsidR="000617BD" w:rsidRPr="000617BD" w:rsidRDefault="000617BD" w:rsidP="000617BD">
    <w:pPr>
      <w:pStyle w:val="FooterCoverPage"/>
      <w:rPr>
        <w:rFonts w:ascii="Arial" w:hAnsi="Arial" w:cs="Arial"/>
        <w:b/>
        <w:sz w:val="48"/>
      </w:rPr>
    </w:pPr>
    <w:r w:rsidRPr="000617BD">
      <w:rPr>
        <w:rFonts w:ascii="Arial" w:hAnsi="Arial" w:cs="Arial"/>
        <w:b/>
        <w:sz w:val="48"/>
      </w:rPr>
      <w:t>CS</w:t>
    </w:r>
    <w:r w:rsidRPr="000617BD">
      <w:rPr>
        <w:rFonts w:ascii="Arial" w:hAnsi="Arial" w:cs="Arial"/>
        <w:b/>
        <w:sz w:val="48"/>
      </w:rPr>
      <w:tab/>
    </w:r>
    <w:r w:rsidRPr="000617BD">
      <w:rPr>
        <w:rFonts w:ascii="Arial" w:hAnsi="Arial" w:cs="Arial"/>
        <w:b/>
        <w:sz w:val="48"/>
      </w:rPr>
      <w:tab/>
    </w:r>
    <w:r w:rsidRPr="000617BD">
      <w:tab/>
    </w:r>
    <w:r w:rsidRPr="000617BD">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C3AA" w14:textId="77777777" w:rsidR="000617BD" w:rsidRPr="000617BD" w:rsidRDefault="000617BD" w:rsidP="000617BD">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241864"/>
      <w:docPartObj>
        <w:docPartGallery w:val="Page Numbers (Bottom of Page)"/>
        <w:docPartUnique/>
      </w:docPartObj>
    </w:sdtPr>
    <w:sdtEndPr>
      <w:rPr>
        <w:rFonts w:ascii="Times New Roman" w:hAnsi="Times New Roman" w:cs="Times New Roman"/>
        <w:noProof/>
        <w:sz w:val="24"/>
        <w:szCs w:val="24"/>
      </w:rPr>
    </w:sdtEndPr>
    <w:sdtContent>
      <w:p w14:paraId="43C58381" w14:textId="746585AB" w:rsidR="00194E91" w:rsidRPr="008578FD" w:rsidRDefault="00194E91" w:rsidP="008578FD">
        <w:pPr>
          <w:pStyle w:val="NoSpacing"/>
          <w:jc w:val="center"/>
          <w:rPr>
            <w:rFonts w:ascii="Times New Roman" w:hAnsi="Times New Roman" w:cs="Times New Roman"/>
            <w:noProof/>
            <w:sz w:val="24"/>
            <w:szCs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sdtContent>
  </w:sdt>
  <w:p w14:paraId="237F126F" w14:textId="77777777" w:rsidR="007E2797" w:rsidRPr="008578FD" w:rsidRDefault="007E2797" w:rsidP="008578FD">
    <w:pPr>
      <w:pStyle w:val="Header"/>
      <w:pBdr>
        <w:bottom w:val="none" w:sz="0" w:space="0" w:color="auto"/>
      </w:pBdr>
      <w:rPr>
        <w:color w:val="auto"/>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78609"/>
      <w:docPartObj>
        <w:docPartGallery w:val="Page Numbers (Bottom of Page)"/>
        <w:docPartUnique/>
      </w:docPartObj>
    </w:sdtPr>
    <w:sdtEndPr>
      <w:rPr>
        <w:noProof/>
      </w:rPr>
    </w:sdtEndPr>
    <w:sdtContent>
      <w:p w14:paraId="63102AAA" w14:textId="45B60B93" w:rsidR="006D2C33" w:rsidRDefault="006D2C33" w:rsidP="008578FD">
        <w:pPr>
          <w:pStyle w:val="NoSpacing"/>
          <w:jc w:val="cente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0617BD">
          <w:rPr>
            <w:rFonts w:ascii="Times New Roman" w:hAnsi="Times New Roman" w:cs="Times New Roman"/>
            <w:noProof/>
            <w:sz w:val="24"/>
          </w:rPr>
          <w:t>2</w:t>
        </w:r>
        <w:r>
          <w:rPr>
            <w:rFonts w:ascii="Times New Roman" w:hAnsi="Times New Roman" w:cs="Times New Roman"/>
            <w:sz w:val="24"/>
          </w:rPr>
          <w:fldChar w:fldCharType="end"/>
        </w:r>
      </w:p>
    </w:sdtContent>
  </w:sdt>
  <w:p w14:paraId="5DB03956" w14:textId="36D403AC" w:rsidR="007E2797" w:rsidRPr="006D2C33" w:rsidRDefault="007E2797" w:rsidP="008578FD">
    <w:pPr>
      <w:pStyle w:val="Header"/>
      <w:pBdr>
        <w:bottom w:val="none" w:sz="0" w:space="0" w:color="auto"/>
      </w:pBdr>
      <w:rPr>
        <w:color w:val="auto"/>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554496"/>
      <w:docPartObj>
        <w:docPartGallery w:val="Page Numbers (Bottom of Page)"/>
        <w:docPartUnique/>
      </w:docPartObj>
    </w:sdtPr>
    <w:sdtEndPr>
      <w:rPr>
        <w:noProof/>
      </w:rPr>
    </w:sdtEndPr>
    <w:sdtContent>
      <w:p w14:paraId="4D09E897" w14:textId="1C2BDDF7" w:rsidR="00194E91" w:rsidRPr="00194E91" w:rsidRDefault="00194E91" w:rsidP="008578FD">
        <w:pPr>
          <w:jc w:val="center"/>
        </w:pPr>
        <w:r>
          <w:fldChar w:fldCharType="begin"/>
        </w:r>
        <w:r>
          <w:instrText xml:space="preserve"> PAGE   \* MERGEFORMAT </w:instrText>
        </w:r>
        <w:r>
          <w:fldChar w:fldCharType="separate"/>
        </w:r>
        <w:r w:rsidR="000617BD">
          <w:rPr>
            <w:noProof/>
          </w:rPr>
          <w:t>1</w:t>
        </w:r>
        <w:r>
          <w:fldChar w:fldCharType="end"/>
        </w:r>
      </w:p>
    </w:sdtContent>
  </w:sdt>
  <w:p w14:paraId="2FBE87A4" w14:textId="3B9E9012" w:rsidR="007E2797" w:rsidRPr="008578FD" w:rsidRDefault="007E2797" w:rsidP="008578FD">
    <w:pPr>
      <w:pStyle w:val="Header"/>
      <w:pBdr>
        <w:bottom w:val="none" w:sz="0" w:space="0" w:color="auto"/>
      </w:pBdr>
      <w:rPr>
        <w:color w:val="auto"/>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723513"/>
      <w:docPartObj>
        <w:docPartGallery w:val="Page Numbers (Bottom of Page)"/>
        <w:docPartUnique/>
      </w:docPartObj>
    </w:sdtPr>
    <w:sdtEndPr>
      <w:rPr>
        <w:noProof/>
      </w:rPr>
    </w:sdtEndPr>
    <w:sdtContent>
      <w:p w14:paraId="502C3006" w14:textId="4AEE41D3" w:rsidR="006D2C33" w:rsidRPr="006D2C33" w:rsidRDefault="006D2C33" w:rsidP="00C5300B">
        <w:pPr>
          <w:jc w:val="center"/>
        </w:pPr>
        <w:r>
          <w:fldChar w:fldCharType="begin"/>
        </w:r>
        <w:r>
          <w:instrText xml:space="preserve"> PAGE   \* MERGEFORMAT </w:instrText>
        </w:r>
        <w:r>
          <w:fldChar w:fldCharType="separate"/>
        </w:r>
        <w:r>
          <w:t>2</w:t>
        </w:r>
        <w:r>
          <w:fldChar w:fldCharType="end"/>
        </w:r>
      </w:p>
    </w:sdtContent>
  </w:sdt>
  <w:p w14:paraId="79F2E919" w14:textId="6312A296" w:rsidR="007E2797" w:rsidRPr="009E1F70" w:rsidRDefault="007E2797" w:rsidP="00C530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78EBC" w14:textId="77777777" w:rsidR="00321353" w:rsidRDefault="00321353" w:rsidP="0086174D">
      <w:pPr>
        <w:spacing w:before="0" w:after="0" w:line="240" w:lineRule="auto"/>
      </w:pPr>
      <w:r>
        <w:separator/>
      </w:r>
    </w:p>
  </w:footnote>
  <w:footnote w:type="continuationSeparator" w:id="0">
    <w:p w14:paraId="2E3FD63A" w14:textId="77777777" w:rsidR="00321353" w:rsidRDefault="00321353" w:rsidP="0086174D">
      <w:pPr>
        <w:spacing w:before="0" w:after="0" w:line="240" w:lineRule="auto"/>
      </w:pPr>
      <w:r>
        <w:continuationSeparator/>
      </w:r>
    </w:p>
  </w:footnote>
  <w:footnote w:type="continuationNotice" w:id="1">
    <w:p w14:paraId="3B3DB6A0" w14:textId="77777777" w:rsidR="00321353" w:rsidRDefault="00321353">
      <w:pPr>
        <w:spacing w:before="0" w:after="0" w:line="240" w:lineRule="auto"/>
      </w:pPr>
    </w:p>
  </w:footnote>
  <w:footnote w:id="2">
    <w:p w14:paraId="6CD574D4" w14:textId="02107921" w:rsidR="00A255E6" w:rsidRPr="00590675" w:rsidRDefault="00A255E6" w:rsidP="0034082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Nařízení Evropského parlamentu a Rady (EU) 2024/3110 ze dne 27. listopadu 2024, kterým se stanoví harmonizovaná pravidla pro uvádění stavebních výrobků na trh a zrušuje nařízení (EU) č. 305/2011 (Úř. věst. L, 2024/3110, 18.12.2024, ELI: </w:t>
      </w:r>
      <w:hyperlink r:id="rId1" w:history="1">
        <w:r>
          <w:rPr>
            <w:rStyle w:val="Hyperlink"/>
            <w:rFonts w:ascii="Times New Roman" w:hAnsi="Times New Roman"/>
          </w:rPr>
          <w:t>http://data.europa.eu/eli/reg/2024/3110/oj</w:t>
        </w:r>
      </w:hyperlink>
      <w:r>
        <w:t>)</w:t>
      </w:r>
      <w:r>
        <w:rPr>
          <w:rFonts w:ascii="Times New Roman" w:hAnsi="Times New Roman"/>
        </w:rPr>
        <w:t>.</w:t>
      </w:r>
    </w:p>
  </w:footnote>
  <w:footnote w:id="3">
    <w:p w14:paraId="39619EA3" w14:textId="637A8F2A" w:rsidR="00EB737A" w:rsidRPr="00590675" w:rsidRDefault="00EB73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v zemích EHP, Švýcarsku a Turecku.</w:t>
      </w:r>
    </w:p>
  </w:footnote>
  <w:footnote w:id="4">
    <w:p w14:paraId="1E3F9764" w14:textId="25E9A9BC" w:rsidR="00EE6C3E" w:rsidRPr="00590675" w:rsidRDefault="00EE6C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Expertní skupina pro </w:t>
      </w:r>
      <w:r>
        <w:rPr>
          <w:rFonts w:ascii="Times New Roman" w:hAnsi="Times New Roman"/>
          <w:i/>
        </w:rPr>
        <w:t>acquis</w:t>
      </w:r>
      <w:r>
        <w:rPr>
          <w:rFonts w:ascii="Times New Roman" w:hAnsi="Times New Roman"/>
        </w:rPr>
        <w:t xml:space="preserve"> podle nařízení o stavebních výrobcích (</w:t>
      </w:r>
      <w:hyperlink r:id="rId2" w:history="1">
        <w:r>
          <w:rPr>
            <w:rStyle w:val="Hyperlink"/>
            <w:rFonts w:ascii="Times New Roman" w:hAnsi="Times New Roman"/>
          </w:rPr>
          <w:t>E03776</w:t>
        </w:r>
      </w:hyperlink>
      <w:r>
        <w:rPr>
          <w:rFonts w:ascii="Times New Roman" w:hAnsi="Times New Roman"/>
        </w:rPr>
        <w:t xml:space="preserve">); </w:t>
      </w:r>
      <w:hyperlink r:id="rId3" w:history="1">
        <w:r>
          <w:rPr>
            <w:rStyle w:val="Hyperlink"/>
            <w:rFonts w:ascii="Times New Roman" w:hAnsi="Times New Roman"/>
          </w:rPr>
          <w:t>Rejstřík expertních skupin Komise a dalších podobných subjektů</w:t>
        </w:r>
      </w:hyperlink>
      <w:r>
        <w:rPr>
          <w:rFonts w:ascii="Times New Roman" w:hAnsi="Times New Roman"/>
        </w:rPr>
        <w:t>.</w:t>
      </w:r>
    </w:p>
  </w:footnote>
  <w:footnote w:id="5">
    <w:p w14:paraId="2D055737" w14:textId="10215B7B" w:rsidR="000402F3" w:rsidRPr="00590675" w:rsidRDefault="000402F3" w:rsidP="000402F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rPr>
          <w:t>Kompas konkurenceschopnosti pro EU</w:t>
        </w:r>
      </w:hyperlink>
      <w:r>
        <w:t>,</w:t>
      </w:r>
      <w:r>
        <w:rPr>
          <w:rFonts w:ascii="Times New Roman" w:hAnsi="Times New Roman"/>
        </w:rPr>
        <w:t xml:space="preserve"> COM(2025) 30 final.</w:t>
      </w:r>
    </w:p>
  </w:footnote>
  <w:footnote w:id="6">
    <w:p w14:paraId="40EFA628" w14:textId="4976E1D1" w:rsidR="000402F3" w:rsidRPr="00590675" w:rsidRDefault="000402F3" w:rsidP="000402F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Dohoda o čistém průmyslu</w:t>
        </w:r>
        <w:r w:rsidR="00EF6D73">
          <w:rPr>
            <w:rStyle w:val="Hyperlink"/>
            <w:rFonts w:ascii="Times New Roman" w:hAnsi="Times New Roman"/>
          </w:rPr>
          <w:t xml:space="preserve">: </w:t>
        </w:r>
      </w:hyperlink>
      <w:hyperlink r:id="rId6" w:history="1">
        <w:r>
          <w:rPr>
            <w:rStyle w:val="Hyperlink"/>
            <w:rFonts w:ascii="Times New Roman" w:hAnsi="Times New Roman"/>
          </w:rPr>
          <w:t>společný plán konkurenceschopnosti a dekarbonizace</w:t>
        </w:r>
      </w:hyperlink>
      <w:r>
        <w:t>,</w:t>
      </w:r>
      <w:r>
        <w:rPr>
          <w:rFonts w:ascii="Times New Roman" w:hAnsi="Times New Roman"/>
        </w:rPr>
        <w:t xml:space="preserve"> COM(2025) 85 final.</w:t>
      </w:r>
    </w:p>
  </w:footnote>
  <w:footnote w:id="7">
    <w:p w14:paraId="44C629D1" w14:textId="7AD636ED" w:rsidR="000402F3" w:rsidRPr="00590675" w:rsidRDefault="000402F3" w:rsidP="00194E91">
      <w:pPr>
        <w:pStyle w:val="FootnoteText"/>
        <w:tabs>
          <w:tab w:val="right" w:pos="1090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7" w:history="1">
        <w:r>
          <w:rPr>
            <w:rStyle w:val="Hyperlink"/>
            <w:rFonts w:ascii="Times New Roman" w:hAnsi="Times New Roman"/>
          </w:rPr>
          <w:t>Evropský akční plán pro ocel a kovy</w:t>
        </w:r>
      </w:hyperlink>
      <w:r>
        <w:t>,</w:t>
      </w:r>
      <w:r>
        <w:rPr>
          <w:rFonts w:ascii="Times New Roman" w:hAnsi="Times New Roman"/>
        </w:rPr>
        <w:t xml:space="preserve"> COM(2025) 125 final.  </w:t>
      </w:r>
    </w:p>
  </w:footnote>
  <w:footnote w:id="8">
    <w:p w14:paraId="51E91326" w14:textId="3AFFF765" w:rsidR="00DE3D71" w:rsidRPr="000E15F5" w:rsidRDefault="00DE3D71">
      <w:pPr>
        <w:pStyle w:val="FootnoteText"/>
      </w:pPr>
      <w:r>
        <w:rPr>
          <w:rStyle w:val="FootnoteReference"/>
          <w:rFonts w:ascii="Times New Roman" w:hAnsi="Times New Roman" w:cs="Times New Roman"/>
        </w:rPr>
        <w:footnoteRef/>
      </w:r>
      <w:r>
        <w:rPr>
          <w:rFonts w:ascii="Times New Roman" w:hAnsi="Times New Roman"/>
        </w:rPr>
        <w:t xml:space="preserve"> Směrnice Evropského parlamentu a Rady (EU) 2024/1275 ze dne 24. dubna 2024 o energetické náročnosti budov (přepracované znění) (Úř. věst. L, 2024/1275, 8.5.2024, ELI: http://data.europa.eu/eli/dir/2024/1275/oj).</w:t>
      </w:r>
    </w:p>
  </w:footnote>
  <w:footnote w:id="9">
    <w:p w14:paraId="6C8EC872" w14:textId="20429186" w:rsidR="00BA6934" w:rsidRPr="00480FEB" w:rsidRDefault="00BA693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Na cestě k oběhové, regenerativní a konkurenceschopné bioekonomice</w:t>
        </w:r>
      </w:hyperlink>
      <w:r>
        <w:t>.</w:t>
      </w:r>
    </w:p>
  </w:footnote>
  <w:footnote w:id="10">
    <w:p w14:paraId="48302B83" w14:textId="4B64B27C" w:rsidR="00040CFA" w:rsidRPr="00040CFA" w:rsidRDefault="00040CF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Akt o akcelerátoru dekarbonizace průmyslu – urychlení dekarbonizace</w:t>
        </w:r>
      </w:hyperlink>
      <w:r>
        <w:t>.</w:t>
      </w:r>
    </w:p>
  </w:footnote>
  <w:footnote w:id="11">
    <w:p w14:paraId="0137FC43" w14:textId="519196E4" w:rsidR="007967E7" w:rsidRPr="00590675" w:rsidRDefault="007967E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0" w:history="1">
        <w:r>
          <w:rPr>
            <w:rStyle w:val="Hyperlink"/>
            <w:rFonts w:ascii="Times New Roman" w:hAnsi="Times New Roman"/>
          </w:rPr>
          <w:t>Evropská strategie pro bytovou výstavbu</w:t>
        </w:r>
      </w:hyperlink>
      <w:r>
        <w:t>.</w:t>
      </w:r>
    </w:p>
  </w:footnote>
  <w:footnote w:id="12">
    <w:p w14:paraId="10C9422C" w14:textId="12480728" w:rsidR="006959B0" w:rsidRPr="00590675" w:rsidRDefault="006959B0" w:rsidP="006D63AA">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Nařízení Evropského parlamentu a Rady (EU) č. 305/2011 ze dne 9. března 2011, kterým se stanoví harmonizované podmínky pro uvádění stavebních výrobků na trh a kterým se zrušuje směrnice Rady 89/106/EHS (Úř. věst. L 88, 4.4.2011, s. 5, ELI: </w:t>
      </w:r>
      <w:hyperlink r:id="rId11" w:history="1">
        <w:r>
          <w:rPr>
            <w:rStyle w:val="Hyperlink"/>
            <w:rFonts w:ascii="Times New Roman" w:hAnsi="Times New Roman"/>
          </w:rPr>
          <w:t>http://data.europa.eu/eli/reg/2011/305/oj</w:t>
        </w:r>
      </w:hyperlink>
      <w:r>
        <w:t>)</w:t>
      </w:r>
      <w:r>
        <w:rPr>
          <w:rFonts w:ascii="Times New Roman" w:hAnsi="Times New Roman"/>
        </w:rPr>
        <w:t>.</w:t>
      </w:r>
    </w:p>
  </w:footnote>
  <w:footnote w:id="13">
    <w:p w14:paraId="5DF24412" w14:textId="61F5050A" w:rsidR="001E702E" w:rsidRPr="008578FD" w:rsidRDefault="001E702E" w:rsidP="00040CFA">
      <w:pPr>
        <w:spacing w:before="0" w:after="0" w:line="240" w:lineRule="auto"/>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hyperlink r:id="rId12" w:history="1">
        <w:r>
          <w:rPr>
            <w:rStyle w:val="Hyperlink"/>
            <w:rFonts w:ascii="Times New Roman" w:hAnsi="Times New Roman"/>
            <w:sz w:val="20"/>
          </w:rPr>
          <w:t>Trvale otevřené výzvy</w:t>
        </w:r>
      </w:hyperlink>
      <w:r>
        <w:rPr>
          <w:rFonts w:ascii="Times New Roman" w:hAnsi="Times New Roman"/>
          <w:sz w:val="20"/>
        </w:rPr>
        <w:t xml:space="preserve"> pro podávání přihlášek do expertních skupin Komise.</w:t>
      </w:r>
    </w:p>
  </w:footnote>
  <w:footnote w:id="14">
    <w:p w14:paraId="6430F65A" w14:textId="78EEE503" w:rsidR="00F66FFA" w:rsidRPr="00590675" w:rsidRDefault="00F66FF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Viz např. </w:t>
      </w:r>
      <w:hyperlink r:id="rId13" w:history="1">
        <w:r>
          <w:rPr>
            <w:rStyle w:val="Hyperlink"/>
            <w:rFonts w:ascii="Times New Roman" w:hAnsi="Times New Roman"/>
          </w:rPr>
          <w:t>přezkum evropských norem</w:t>
        </w:r>
      </w:hyperlink>
      <w:r>
        <w:t>.</w:t>
      </w:r>
    </w:p>
  </w:footnote>
  <w:footnote w:id="15">
    <w:p w14:paraId="5CBA34D3" w14:textId="77777777" w:rsidR="0086042E" w:rsidRPr="00DD4746" w:rsidRDefault="0086042E" w:rsidP="00DD47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Nařízení (EU) č. 1025/2012 o evropské normalizaci (Úř. věst. L 316, 14.11.2012, s. 12, ELI: </w:t>
      </w:r>
      <w:hyperlink r:id="rId14" w:history="1">
        <w:r>
          <w:rPr>
            <w:rStyle w:val="Hyperlink"/>
            <w:rFonts w:ascii="Times New Roman" w:hAnsi="Times New Roman"/>
          </w:rPr>
          <w:t>http://data.europa.eu/eli/reg/2012/1025/oj</w:t>
        </w:r>
      </w:hyperlink>
      <w:r>
        <w:t>)</w:t>
      </w:r>
      <w:r>
        <w:rPr>
          <w:rFonts w:ascii="Times New Roman" w:hAnsi="Times New Roman"/>
        </w:rPr>
        <w:t>.</w:t>
      </w:r>
    </w:p>
  </w:footnote>
  <w:footnote w:id="16">
    <w:p w14:paraId="1741CC5B" w14:textId="704738F6" w:rsidR="00851822" w:rsidRPr="00040CFA" w:rsidRDefault="00851822" w:rsidP="00DD474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Výbor zřízený článkem 22 nařízení (EU) č. 1025/2012 o evropské normalizaci (Úř. věst. L 316, 14.11.2012, s. 12, ELI: </w:t>
      </w:r>
      <w:hyperlink r:id="rId15" w:history="1">
        <w:r>
          <w:rPr>
            <w:rStyle w:val="Hyperlink"/>
            <w:rFonts w:ascii="Times New Roman" w:hAnsi="Times New Roman"/>
          </w:rPr>
          <w:t>http://data.europa.eu/eli/reg/2012/1025/oj</w:t>
        </w:r>
      </w:hyperlink>
      <w:r>
        <w:t>)</w:t>
      </w:r>
      <w:r>
        <w:rPr>
          <w:rFonts w:ascii="Times New Roman" w:hAnsi="Times New Roman"/>
        </w:rPr>
        <w:t>.</w:t>
      </w:r>
    </w:p>
  </w:footnote>
  <w:footnote w:id="17">
    <w:p w14:paraId="78BFB09B" w14:textId="0AD6A8D9" w:rsidR="00F242D7" w:rsidRPr="00194E91" w:rsidRDefault="00F242D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6" w:history="1">
        <w:r>
          <w:rPr>
            <w:rStyle w:val="Hyperlink"/>
            <w:rFonts w:ascii="Times New Roman" w:hAnsi="Times New Roman"/>
          </w:rPr>
          <w:t>Platforma eNorm</w:t>
        </w:r>
      </w:hyperlink>
      <w:r>
        <w:t>.</w:t>
      </w:r>
    </w:p>
  </w:footnote>
  <w:footnote w:id="18">
    <w:p w14:paraId="12C2C1DE" w14:textId="29F894E2" w:rsidR="00F75613" w:rsidRPr="00194E91" w:rsidRDefault="00F7561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7" w:history="1">
        <w:r>
          <w:rPr>
            <w:rStyle w:val="Hyperlink"/>
            <w:rFonts w:ascii="Times New Roman" w:hAnsi="Times New Roman"/>
          </w:rPr>
          <w:t>Platforma eNorm</w:t>
        </w:r>
      </w:hyperlink>
      <w:r>
        <w:t>.</w:t>
      </w:r>
    </w:p>
  </w:footnote>
  <w:footnote w:id="19">
    <w:p w14:paraId="1FEC6DB9" w14:textId="548A8453" w:rsidR="004B47FF" w:rsidRPr="00194E91" w:rsidRDefault="004B47F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8" w:history="1">
        <w:r>
          <w:rPr>
            <w:rStyle w:val="Hyperlink"/>
            <w:rFonts w:ascii="Times New Roman" w:hAnsi="Times New Roman"/>
          </w:rPr>
          <w:t>Platforma eNorm</w:t>
        </w:r>
      </w:hyperlink>
      <w:r>
        <w:t>.</w:t>
      </w:r>
    </w:p>
  </w:footnote>
  <w:footnote w:id="20">
    <w:p w14:paraId="7096B2BA" w14:textId="72938326" w:rsidR="008B1EAE" w:rsidRPr="00194E91" w:rsidRDefault="008B1EAE" w:rsidP="0013577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Pracovní plán na období 2025–2030 týkající se nařízení o ekodesignu udržitelných výrobků a označování energetickými štítky</w:t>
        </w:r>
      </w:hyperlink>
      <w:r>
        <w:t>.</w:t>
      </w:r>
    </w:p>
  </w:footnote>
  <w:footnote w:id="21">
    <w:p w14:paraId="39091746" w14:textId="4FAE5201" w:rsidR="00DE24D0" w:rsidRPr="00194E91" w:rsidRDefault="00DE24D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Nařízení Evropského parlamentu a Rady (EU) 2024/1781 ze dne 13. června 2024 o vytvoření rámce pro stanovení požadavků na ekodesign udržitelných výrobků, o změně směrnice (EU) 2020/1828 a nařízení (EU) 2023/1542 a o zrušení směrnice 2009/125/ES (Text s významem pro EHP) (Úř. věst. L, 2024/1781, 28.6.2024, ELI: </w:t>
      </w:r>
      <w:hyperlink r:id="rId20" w:tgtFrame="_blank" w:tooltip="Umožňuje přístup k tomuto dokumentu prostřednictvím jeho identifikátoru URI v rámci systému ELI." w:history="1">
        <w:r>
          <w:rPr>
            <w:rStyle w:val="Hyperlink"/>
            <w:rFonts w:ascii="Times New Roman" w:hAnsi="Times New Roman"/>
          </w:rPr>
          <w:t>http://data.europa.eu/eli/reg/2024/1781/oj</w:t>
        </w:r>
      </w:hyperlink>
      <w:r>
        <w:t>).</w:t>
      </w:r>
    </w:p>
  </w:footnote>
  <w:footnote w:id="22">
    <w:p w14:paraId="7FA9427F" w14:textId="20CE4902" w:rsidR="002E6BC6" w:rsidRPr="00312372" w:rsidRDefault="002E6BC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1" w:history="1">
        <w:r>
          <w:rPr>
            <w:rStyle w:val="Hyperlink"/>
            <w:rFonts w:ascii="Times New Roman" w:hAnsi="Times New Roman"/>
            <w:i/>
          </w:rPr>
          <w:t>Acquis</w:t>
        </w:r>
        <w:r>
          <w:rPr>
            <w:rStyle w:val="Hyperlink"/>
            <w:rFonts w:ascii="Times New Roman" w:hAnsi="Times New Roman"/>
          </w:rPr>
          <w:t xml:space="preserve"> – Evropská komise</w:t>
        </w:r>
      </w:hyperlink>
      <w:r>
        <w:t>.</w:t>
      </w:r>
    </w:p>
  </w:footnote>
  <w:footnote w:id="23">
    <w:p w14:paraId="2E687660" w14:textId="593AC2D2" w:rsidR="009C441D" w:rsidRPr="00312372" w:rsidRDefault="009C441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2" w:history="1">
        <w:r>
          <w:rPr>
            <w:rStyle w:val="Hyperlink"/>
            <w:rFonts w:ascii="Times New Roman" w:hAnsi="Times New Roman"/>
          </w:rPr>
          <w:t>https://ec.europa.eu/docsroom/documents/42128/attachments/1/translations/en/renditions/native</w:t>
        </w:r>
      </w:hyperlink>
      <w:r>
        <w:t>.</w:t>
      </w:r>
      <w:r>
        <w:rPr>
          <w:rFonts w:ascii="Times New Roman" w:hAnsi="Times New Roman"/>
        </w:rPr>
        <w:t xml:space="preserve"> </w:t>
      </w:r>
    </w:p>
  </w:footnote>
  <w:footnote w:id="24">
    <w:p w14:paraId="05D093CB" w14:textId="77777777" w:rsidR="009C1B3B" w:rsidRPr="00312372" w:rsidRDefault="009C1B3B" w:rsidP="009C1B3B">
      <w:pPr>
        <w:pStyle w:val="FootnoteText"/>
      </w:pPr>
      <w:r>
        <w:rPr>
          <w:rStyle w:val="FootnoteReference"/>
          <w:rFonts w:ascii="Times New Roman" w:hAnsi="Times New Roman" w:cs="Times New Roman"/>
        </w:rPr>
        <w:footnoteRef/>
      </w:r>
      <w:r>
        <w:rPr>
          <w:rFonts w:ascii="Times New Roman" w:hAnsi="Times New Roman"/>
        </w:rPr>
        <w:t xml:space="preserve"> </w:t>
      </w:r>
      <w:hyperlink r:id="rId23" w:history="1">
        <w:r>
          <w:rPr>
            <w:rStyle w:val="Hyperlink"/>
            <w:rFonts w:ascii="Times New Roman" w:hAnsi="Times New Roman"/>
          </w:rPr>
          <w:t>https://ec.europa.eu/docsroom/documents/42129/attachments/1/translations/en/renditions/native</w:t>
        </w:r>
      </w:hyperlink>
      <w:r>
        <w:t xml:space="preserve">. </w:t>
      </w:r>
    </w:p>
  </w:footnote>
  <w:footnote w:id="25">
    <w:p w14:paraId="14C882B8" w14:textId="77612562" w:rsidR="00853AC5" w:rsidRPr="009E1F70" w:rsidRDefault="00853AC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Viz </w:t>
      </w:r>
      <w:hyperlink r:id="rId24" w:history="1">
        <w:r>
          <w:rPr>
            <w:rStyle w:val="Hyperlink"/>
            <w:rFonts w:ascii="Times New Roman" w:hAnsi="Times New Roman"/>
          </w:rPr>
          <w:t>Rejstřík expertních skupin Komise a dalších podobných subjektů (europa.eu)</w:t>
        </w:r>
      </w:hyperlink>
      <w:r>
        <w:t>.</w:t>
      </w:r>
    </w:p>
  </w:footnote>
  <w:footnote w:id="26">
    <w:p w14:paraId="0D8FF4DE" w14:textId="6AA30A0B" w:rsidR="00F127C9" w:rsidRPr="00C5300B" w:rsidRDefault="00F127C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SReq. znamená žádost o normalizaci.</w:t>
      </w:r>
    </w:p>
  </w:footnote>
  <w:footnote w:id="27">
    <w:p w14:paraId="7B21F7DF" w14:textId="0787A141" w:rsidR="00171B06" w:rsidRPr="006D2C33" w:rsidRDefault="00171B06" w:rsidP="00171B0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CEN připravuje technický obsah pro přijetí žádosti o normalizaci, která má být přijata v roce 2026 a která bude částečně pokrývat oblast působnosti této podskupiny. Zbývající výrobky (samostatné komíny) budou projednány v pořadí stanoveném v tabulce.</w:t>
      </w:r>
    </w:p>
  </w:footnote>
  <w:footnote w:id="28">
    <w:p w14:paraId="0CAA7ADB" w14:textId="4228F56A" w:rsidR="00EE7CB3" w:rsidRPr="002A0377" w:rsidRDefault="00EE7CB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https://www.ri.se/en/expertise-areas/projects/european-approach-to-assess-the-fire-performance-of-facades </w:t>
      </w:r>
    </w:p>
  </w:footnote>
  <w:footnote w:id="29">
    <w:p w14:paraId="6717FC48" w14:textId="14466C6C" w:rsidR="00963F9C" w:rsidRPr="00754267" w:rsidRDefault="00963F9C">
      <w:pPr>
        <w:pStyle w:val="FootnoteText"/>
      </w:pPr>
      <w:r>
        <w:rPr>
          <w:rStyle w:val="FootnoteReference"/>
          <w:rFonts w:ascii="Times New Roman" w:hAnsi="Times New Roman" w:cs="Times New Roman"/>
        </w:rPr>
        <w:footnoteRef/>
      </w:r>
      <w:r>
        <w:rPr>
          <w:rFonts w:ascii="Times New Roman" w:hAnsi="Times New Roman"/>
        </w:rPr>
        <w:t xml:space="preserve"> Prostřednictvím výzvy EISMEA SMP-STAND-2025-ESOS-01-IBA, téma 24, </w:t>
      </w:r>
      <w:hyperlink r:id="rId25" w:history="1">
        <w:r>
          <w:rPr>
            <w:rStyle w:val="Hyperlink"/>
            <w:rFonts w:ascii="Times New Roman" w:hAnsi="Times New Roman"/>
          </w:rPr>
          <w:t>Podpora normalizačních činností prováděných organizacemi CEN, CENELEC a ETSI – Evropská komise</w:t>
        </w:r>
      </w:hyperlink>
      <w:r>
        <w:t>.</w:t>
      </w:r>
    </w:p>
  </w:footnote>
  <w:footnote w:id="30">
    <w:p w14:paraId="4B73E0C4" w14:textId="50863A75" w:rsidR="00EB7A2F" w:rsidRPr="009E1F70" w:rsidRDefault="00EB7A2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Směrnice Evropského parlamentu a Rady (EU) 2024/1275 ze dne 24. dubna 2024 o energetické náročnosti budov (přepracované znění) (Úř. věst. L, 2024/1275, 8.5.2024, ELI: </w:t>
      </w:r>
      <w:hyperlink r:id="rId26" w:tgtFrame="_blank" w:tooltip="Umožňuje přístup k tomuto dokumentu prostřednictvím jeho identifikátoru URI v rámci systému ELI." w:history="1">
        <w:r>
          <w:rPr>
            <w:rStyle w:val="Hyperlink"/>
            <w:rFonts w:ascii="Times New Roman" w:hAnsi="Times New Roman"/>
          </w:rPr>
          <w:t>http://data.europa.eu/eli/dir/2024/1275/oj</w:t>
        </w:r>
      </w:hyperlink>
      <w:r>
        <w:t>).</w:t>
      </w:r>
    </w:p>
  </w:footnote>
  <w:footnote w:id="31">
    <w:p w14:paraId="689A316D" w14:textId="385BCB49" w:rsidR="00702540" w:rsidRPr="009E1F70" w:rsidRDefault="0070254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Dohoda o čistém průmyslu: Společný plán konkurenceschopnosti a dekarbonizace, COM(2025) 85, </w:t>
      </w:r>
      <w:hyperlink r:id="rId27" w:history="1">
        <w:r>
          <w:rPr>
            <w:rStyle w:val="Hyperlink"/>
            <w:rFonts w:ascii="Times New Roman" w:hAnsi="Times New Roman"/>
          </w:rPr>
          <w:t>https://eur-lex.europa.eu/legal-content/CS/TXT/?uri=CELEX:52025DC0085</w:t>
        </w:r>
      </w:hyperlink>
      <w:r>
        <w:t>.</w:t>
      </w:r>
      <w:r>
        <w:rPr>
          <w:rFonts w:ascii="Times New Roman" w:hAnsi="Times New Roman"/>
        </w:rPr>
        <w:t xml:space="preserve"> </w:t>
      </w:r>
    </w:p>
  </w:footnote>
  <w:footnote w:id="32">
    <w:p w14:paraId="58FBDE69" w14:textId="4B5A91B7" w:rsidR="00272F47" w:rsidRPr="00040CFA" w:rsidRDefault="00272F4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8" w:history="1">
        <w:r>
          <w:rPr>
            <w:rStyle w:val="Hyperlink"/>
            <w:rFonts w:ascii="Times New Roman" w:hAnsi="Times New Roman"/>
          </w:rPr>
          <w:t>SMP-STAND-2024-ESOS-01-IBA, téma 19</w:t>
        </w:r>
      </w:hyperlink>
      <w:r>
        <w:t>.</w:t>
      </w:r>
    </w:p>
  </w:footnote>
  <w:footnote w:id="33">
    <w:p w14:paraId="06D8C083" w14:textId="09473252" w:rsidR="00732D91" w:rsidRPr="0042604E" w:rsidRDefault="00732D9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9" w:history="1">
        <w:r>
          <w:rPr>
            <w:rStyle w:val="Hyperlink"/>
            <w:rFonts w:ascii="Times New Roman" w:hAnsi="Times New Roman"/>
          </w:rPr>
          <w:t>SMP-STAND-2024-ESOS-01-IBA, téma 17</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6132A" w14:textId="77777777" w:rsidR="000617BD" w:rsidRPr="000617BD" w:rsidRDefault="000617BD" w:rsidP="000617BD">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96C4" w14:textId="77777777" w:rsidR="000617BD" w:rsidRPr="000617BD" w:rsidRDefault="000617BD" w:rsidP="000617BD">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61788" w14:textId="77777777" w:rsidR="000617BD" w:rsidRPr="000617BD" w:rsidRDefault="000617BD" w:rsidP="000617BD">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4793" w14:textId="77777777" w:rsidR="007E2797" w:rsidRPr="008578FD" w:rsidRDefault="007E2797" w:rsidP="008578FD">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D9A4F" w14:textId="743BCF86" w:rsidR="007E2797" w:rsidRPr="006D2C33" w:rsidRDefault="007E2797" w:rsidP="006D2C3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C02C2" w14:textId="77777777" w:rsidR="007E2797" w:rsidRPr="008578FD" w:rsidRDefault="007E2797" w:rsidP="008578F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D67C" w14:textId="781D7E66" w:rsidR="007E2797" w:rsidRPr="008E7A26" w:rsidRDefault="007E2797" w:rsidP="004B75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85242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BE43DF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67618F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FB4FD7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43055D6"/>
    <w:multiLevelType w:val="hybridMultilevel"/>
    <w:tmpl w:val="8D52E80E"/>
    <w:lvl w:ilvl="0" w:tplc="DA8EF5DE">
      <w:start w:val="1"/>
      <w:numFmt w:val="bullet"/>
      <w:lvlText w:val=""/>
      <w:lvlJc w:val="left"/>
      <w:pPr>
        <w:ind w:left="720" w:hanging="360"/>
      </w:pPr>
      <w:rPr>
        <w:rFonts w:ascii="Symbol" w:hAnsi="Symbol" w:hint="default"/>
        <w:u w:color="4BC5DE" w:themeColor="accent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3C78B8"/>
    <w:multiLevelType w:val="multilevel"/>
    <w:tmpl w:val="9E582076"/>
    <w:name w:val="Point"/>
    <w:lvl w:ilvl="0">
      <w:start w:val="1"/>
      <w:numFmt w:val="decimal"/>
      <w:lvlRestart w:val="0"/>
      <w:pStyle w:val="Point2letter"/>
      <w:lvlText w:val="(%1)"/>
      <w:lvlJc w:val="left"/>
      <w:pPr>
        <w:tabs>
          <w:tab w:val="num" w:pos="850"/>
        </w:tabs>
        <w:ind w:left="850" w:hanging="850"/>
      </w:pPr>
    </w:lvl>
    <w:lvl w:ilvl="1">
      <w:start w:val="1"/>
      <w:numFmt w:val="lowerLetter"/>
      <w:pStyle w:val="Point0letter"/>
      <w:lvlText w:val="%2)"/>
      <w:lvlJc w:val="left"/>
      <w:pPr>
        <w:ind w:left="360" w:hanging="360"/>
      </w:pPr>
    </w:lvl>
    <w:lvl w:ilvl="2">
      <w:start w:val="1"/>
      <w:numFmt w:val="decimal"/>
      <w:pStyle w:val="Point3lett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4lett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ind w:left="360" w:hanging="360"/>
      </w:pPr>
      <w:rPr>
        <w:rFonts w:hint="default"/>
        <w:color w:val="auto"/>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6833208"/>
    <w:multiLevelType w:val="multilevel"/>
    <w:tmpl w:val="0D1EAB2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96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5BBD259B"/>
    <w:multiLevelType w:val="multilevel"/>
    <w:tmpl w:val="9710B572"/>
    <w:lvl w:ilvl="0">
      <w:start w:val="1"/>
      <w:numFmt w:val="decimal"/>
      <w:lvlRestart w:val="0"/>
      <w:lvlText w:val="(%1)"/>
      <w:lvlJc w:val="left"/>
      <w:pPr>
        <w:tabs>
          <w:tab w:val="num" w:pos="850"/>
        </w:tabs>
        <w:ind w:left="850" w:hanging="850"/>
      </w:pPr>
    </w:lvl>
    <w:lvl w:ilvl="1">
      <w:start w:val="1"/>
      <w:numFmt w:val="decimal"/>
      <w:lvlText w:val="%2."/>
      <w:lvlJc w:val="left"/>
      <w:pPr>
        <w:ind w:left="360" w:hanging="36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755C219A"/>
    <w:multiLevelType w:val="hybridMultilevel"/>
    <w:tmpl w:val="4E32598A"/>
    <w:lvl w:ilvl="0" w:tplc="8DE8A818">
      <w:start w:val="2"/>
      <w:numFmt w:val="bullet"/>
      <w:lvlText w:val="-"/>
      <w:lvlJc w:val="left"/>
      <w:pPr>
        <w:ind w:left="720" w:hanging="360"/>
      </w:pPr>
      <w:rPr>
        <w:rFonts w:ascii="Arial" w:eastAsiaTheme="minorHAns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num>
  <w:num w:numId="2">
    <w:abstractNumId w:val="9"/>
  </w:num>
  <w:num w:numId="3">
    <w:abstractNumId w:val="19"/>
  </w:num>
  <w:num w:numId="4">
    <w:abstractNumId w:val="8"/>
  </w:num>
  <w:num w:numId="5">
    <w:abstractNumId w:val="10"/>
  </w:num>
  <w:num w:numId="6">
    <w:abstractNumId w:val="5"/>
  </w:num>
  <w:num w:numId="7">
    <w:abstractNumId w:val="12"/>
  </w:num>
  <w:num w:numId="8">
    <w:abstractNumId w:val="15"/>
  </w:num>
  <w:num w:numId="9">
    <w:abstractNumId w:val="17"/>
  </w:num>
  <w:num w:numId="10">
    <w:abstractNumId w:val="7"/>
  </w:num>
  <w:num w:numId="11">
    <w:abstractNumId w:val="13"/>
  </w:num>
  <w:num w:numId="12">
    <w:abstractNumId w:val="21"/>
  </w:num>
  <w:num w:numId="13">
    <w:abstractNumId w:val="3"/>
  </w:num>
  <w:num w:numId="14">
    <w:abstractNumId w:val="2"/>
  </w:num>
  <w:num w:numId="15">
    <w:abstractNumId w:val="1"/>
  </w:num>
  <w:num w:numId="16">
    <w:abstractNumId w:val="0"/>
  </w:num>
  <w:num w:numId="17">
    <w:abstractNumId w:val="11"/>
  </w:num>
  <w:num w:numId="18">
    <w:abstractNumId w:val="6"/>
  </w:num>
  <w:num w:numId="19">
    <w:abstractNumId w:val="14"/>
  </w:num>
  <w:num w:numId="20">
    <w:abstractNumId w:val="20"/>
  </w:num>
  <w:num w:numId="21">
    <w:abstractNumId w:val="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ocStatus" w:val="Green"/>
    <w:docVar w:name="LW_CORRIGENDUM" w:val="&lt;UNUSED&gt;"/>
    <w:docVar w:name="LW_COVERPAGE_EXISTS" w:val="True"/>
    <w:docVar w:name="LW_COVERPAGE_GUID" w:val="DE0CD0D4-4DBB-4830-969A-9ECE5E951C05"/>
    <w:docVar w:name="LW_COVERPAGE_TYPE" w:val="1"/>
    <w:docVar w:name="LW_CROSSREFERENCE" w:val="&lt;UNUSED&gt;"/>
    <w:docVar w:name="LW_DocType" w:val="NORMAL"/>
    <w:docVar w:name="LW_EMISSION" w:val="16.12.2025"/>
    <w:docVar w:name="LW_EMISSION_ISODATE" w:val="2025-12-16"/>
    <w:docVar w:name="LW_EMISSION_LOCATION" w:val="BRX"/>
    <w:docVar w:name="LW_EMISSION_PREFIX" w:val="V Bruselu dne "/>
    <w:docVar w:name="LW_EMISSION_SUFFIX" w:val=" "/>
    <w:docVar w:name="LW_ID_DOCTYPE_NONLW" w:val="CP-009"/>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25) 77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rvní) pracovní plán podle na\u345?ízení o stavebních výrobcích na období 2026\u8211?2029"/>
    <w:docVar w:name="LW_TYPE.DOC.CP" w:val="SD\u282?LENÍ KOMISE"/>
    <w:docVar w:name="LW_TYPE.DOC.CP.USERTEXT" w:val="&lt;EMPTY&gt;"/>
    <w:docVar w:name="LwApiVersions" w:val="LW4CoDe 1.24.5.0; LW 9.2, Build 20251112"/>
  </w:docVars>
  <w:rsids>
    <w:rsidRoot w:val="008E7A26"/>
    <w:rsid w:val="00001ED4"/>
    <w:rsid w:val="00002E92"/>
    <w:rsid w:val="000030C0"/>
    <w:rsid w:val="00003B29"/>
    <w:rsid w:val="00004217"/>
    <w:rsid w:val="00004B8C"/>
    <w:rsid w:val="00005BB5"/>
    <w:rsid w:val="000077B2"/>
    <w:rsid w:val="000103E9"/>
    <w:rsid w:val="00010F53"/>
    <w:rsid w:val="0001107F"/>
    <w:rsid w:val="00012DB0"/>
    <w:rsid w:val="00013A23"/>
    <w:rsid w:val="00013DE7"/>
    <w:rsid w:val="00014BF5"/>
    <w:rsid w:val="00014C59"/>
    <w:rsid w:val="000162C2"/>
    <w:rsid w:val="000165B1"/>
    <w:rsid w:val="00017079"/>
    <w:rsid w:val="000200A8"/>
    <w:rsid w:val="00020339"/>
    <w:rsid w:val="00020A9A"/>
    <w:rsid w:val="00020E62"/>
    <w:rsid w:val="00022928"/>
    <w:rsid w:val="00022D24"/>
    <w:rsid w:val="000237B7"/>
    <w:rsid w:val="00023E4C"/>
    <w:rsid w:val="00024F79"/>
    <w:rsid w:val="00025800"/>
    <w:rsid w:val="00025CB6"/>
    <w:rsid w:val="0002707A"/>
    <w:rsid w:val="000272C3"/>
    <w:rsid w:val="0002746C"/>
    <w:rsid w:val="00027BB5"/>
    <w:rsid w:val="00030EDB"/>
    <w:rsid w:val="00030EF6"/>
    <w:rsid w:val="00031314"/>
    <w:rsid w:val="00032958"/>
    <w:rsid w:val="0003367A"/>
    <w:rsid w:val="000336D8"/>
    <w:rsid w:val="000337BA"/>
    <w:rsid w:val="00035EA5"/>
    <w:rsid w:val="000360B7"/>
    <w:rsid w:val="00036946"/>
    <w:rsid w:val="00040031"/>
    <w:rsid w:val="000402F3"/>
    <w:rsid w:val="0004055B"/>
    <w:rsid w:val="000406AE"/>
    <w:rsid w:val="00040CFA"/>
    <w:rsid w:val="000413FB"/>
    <w:rsid w:val="00041FBD"/>
    <w:rsid w:val="00043979"/>
    <w:rsid w:val="00043FFE"/>
    <w:rsid w:val="0004438F"/>
    <w:rsid w:val="00044391"/>
    <w:rsid w:val="00045422"/>
    <w:rsid w:val="000457D5"/>
    <w:rsid w:val="00045A5F"/>
    <w:rsid w:val="00046960"/>
    <w:rsid w:val="00047051"/>
    <w:rsid w:val="00047686"/>
    <w:rsid w:val="00047F39"/>
    <w:rsid w:val="00050041"/>
    <w:rsid w:val="00051CF6"/>
    <w:rsid w:val="000521E1"/>
    <w:rsid w:val="00052FFD"/>
    <w:rsid w:val="00054292"/>
    <w:rsid w:val="0005446E"/>
    <w:rsid w:val="00054D6E"/>
    <w:rsid w:val="000553BA"/>
    <w:rsid w:val="0005567C"/>
    <w:rsid w:val="00055D38"/>
    <w:rsid w:val="00055F42"/>
    <w:rsid w:val="00056EB1"/>
    <w:rsid w:val="00057167"/>
    <w:rsid w:val="0005723C"/>
    <w:rsid w:val="000573FC"/>
    <w:rsid w:val="00057E06"/>
    <w:rsid w:val="00060642"/>
    <w:rsid w:val="00061282"/>
    <w:rsid w:val="000612EC"/>
    <w:rsid w:val="000617BD"/>
    <w:rsid w:val="00062E84"/>
    <w:rsid w:val="00063A52"/>
    <w:rsid w:val="00064409"/>
    <w:rsid w:val="000656C8"/>
    <w:rsid w:val="00065810"/>
    <w:rsid w:val="00065896"/>
    <w:rsid w:val="00065ADB"/>
    <w:rsid w:val="00066319"/>
    <w:rsid w:val="000667F5"/>
    <w:rsid w:val="00066944"/>
    <w:rsid w:val="00066962"/>
    <w:rsid w:val="00066A34"/>
    <w:rsid w:val="00071249"/>
    <w:rsid w:val="000722E5"/>
    <w:rsid w:val="00072694"/>
    <w:rsid w:val="000768B3"/>
    <w:rsid w:val="00077CD6"/>
    <w:rsid w:val="00077EFA"/>
    <w:rsid w:val="00080A29"/>
    <w:rsid w:val="00081511"/>
    <w:rsid w:val="00081B0B"/>
    <w:rsid w:val="00081C34"/>
    <w:rsid w:val="00081DC2"/>
    <w:rsid w:val="0008324B"/>
    <w:rsid w:val="00083412"/>
    <w:rsid w:val="00083849"/>
    <w:rsid w:val="00085CBC"/>
    <w:rsid w:val="00086600"/>
    <w:rsid w:val="000868F0"/>
    <w:rsid w:val="00086D0A"/>
    <w:rsid w:val="0008738C"/>
    <w:rsid w:val="00090A89"/>
    <w:rsid w:val="00090EC7"/>
    <w:rsid w:val="000919EB"/>
    <w:rsid w:val="00091AC0"/>
    <w:rsid w:val="00092003"/>
    <w:rsid w:val="000924D3"/>
    <w:rsid w:val="00094523"/>
    <w:rsid w:val="00094577"/>
    <w:rsid w:val="000949F3"/>
    <w:rsid w:val="0009589E"/>
    <w:rsid w:val="00095E71"/>
    <w:rsid w:val="0009689B"/>
    <w:rsid w:val="00097F71"/>
    <w:rsid w:val="000A0B32"/>
    <w:rsid w:val="000A24A6"/>
    <w:rsid w:val="000A31DA"/>
    <w:rsid w:val="000A405F"/>
    <w:rsid w:val="000A58A3"/>
    <w:rsid w:val="000A64A0"/>
    <w:rsid w:val="000A788F"/>
    <w:rsid w:val="000A7E58"/>
    <w:rsid w:val="000B00F6"/>
    <w:rsid w:val="000B243A"/>
    <w:rsid w:val="000B26A2"/>
    <w:rsid w:val="000B2F63"/>
    <w:rsid w:val="000B30C0"/>
    <w:rsid w:val="000B3FD4"/>
    <w:rsid w:val="000B41E8"/>
    <w:rsid w:val="000B4E46"/>
    <w:rsid w:val="000B51D8"/>
    <w:rsid w:val="000B5506"/>
    <w:rsid w:val="000B5667"/>
    <w:rsid w:val="000B5A8A"/>
    <w:rsid w:val="000B6248"/>
    <w:rsid w:val="000B68C4"/>
    <w:rsid w:val="000B71A3"/>
    <w:rsid w:val="000C03FC"/>
    <w:rsid w:val="000C1F2D"/>
    <w:rsid w:val="000C2404"/>
    <w:rsid w:val="000C282C"/>
    <w:rsid w:val="000C3953"/>
    <w:rsid w:val="000C3B4C"/>
    <w:rsid w:val="000C443D"/>
    <w:rsid w:val="000C44F8"/>
    <w:rsid w:val="000C4648"/>
    <w:rsid w:val="000C4BFC"/>
    <w:rsid w:val="000C5524"/>
    <w:rsid w:val="000C58A9"/>
    <w:rsid w:val="000C6374"/>
    <w:rsid w:val="000D0054"/>
    <w:rsid w:val="000D0293"/>
    <w:rsid w:val="000D09F1"/>
    <w:rsid w:val="000D243C"/>
    <w:rsid w:val="000D2AAC"/>
    <w:rsid w:val="000D3B87"/>
    <w:rsid w:val="000D4B12"/>
    <w:rsid w:val="000D56BB"/>
    <w:rsid w:val="000D64EC"/>
    <w:rsid w:val="000D65CB"/>
    <w:rsid w:val="000D794E"/>
    <w:rsid w:val="000E15F5"/>
    <w:rsid w:val="000E19DF"/>
    <w:rsid w:val="000E26AF"/>
    <w:rsid w:val="000E3618"/>
    <w:rsid w:val="000E3C6C"/>
    <w:rsid w:val="000E5F9A"/>
    <w:rsid w:val="000E600A"/>
    <w:rsid w:val="000F0BBB"/>
    <w:rsid w:val="000F0FE7"/>
    <w:rsid w:val="000F1976"/>
    <w:rsid w:val="000F2713"/>
    <w:rsid w:val="000F31CA"/>
    <w:rsid w:val="000F3514"/>
    <w:rsid w:val="000F45CA"/>
    <w:rsid w:val="000F4E85"/>
    <w:rsid w:val="000F6377"/>
    <w:rsid w:val="000F654D"/>
    <w:rsid w:val="000F72A1"/>
    <w:rsid w:val="001003F9"/>
    <w:rsid w:val="00101220"/>
    <w:rsid w:val="0010173B"/>
    <w:rsid w:val="00101AC4"/>
    <w:rsid w:val="00102384"/>
    <w:rsid w:val="00102E09"/>
    <w:rsid w:val="00103071"/>
    <w:rsid w:val="001033B6"/>
    <w:rsid w:val="00103521"/>
    <w:rsid w:val="0010535D"/>
    <w:rsid w:val="00105A8F"/>
    <w:rsid w:val="00105AD1"/>
    <w:rsid w:val="00105AFD"/>
    <w:rsid w:val="00105D8F"/>
    <w:rsid w:val="001078C1"/>
    <w:rsid w:val="00107E74"/>
    <w:rsid w:val="0011080E"/>
    <w:rsid w:val="00110F74"/>
    <w:rsid w:val="00110FF0"/>
    <w:rsid w:val="00112922"/>
    <w:rsid w:val="00112EE9"/>
    <w:rsid w:val="001139AC"/>
    <w:rsid w:val="00114FE0"/>
    <w:rsid w:val="0011563C"/>
    <w:rsid w:val="00115825"/>
    <w:rsid w:val="001160F7"/>
    <w:rsid w:val="0011642B"/>
    <w:rsid w:val="0012065E"/>
    <w:rsid w:val="0012076B"/>
    <w:rsid w:val="00120C2E"/>
    <w:rsid w:val="00121A54"/>
    <w:rsid w:val="00121AC5"/>
    <w:rsid w:val="00121BA8"/>
    <w:rsid w:val="00122D9B"/>
    <w:rsid w:val="00123779"/>
    <w:rsid w:val="001238AD"/>
    <w:rsid w:val="00123D06"/>
    <w:rsid w:val="00124145"/>
    <w:rsid w:val="00124612"/>
    <w:rsid w:val="0012561F"/>
    <w:rsid w:val="00125A4C"/>
    <w:rsid w:val="00127E37"/>
    <w:rsid w:val="001300D6"/>
    <w:rsid w:val="0013124E"/>
    <w:rsid w:val="001327CB"/>
    <w:rsid w:val="00133134"/>
    <w:rsid w:val="00134B30"/>
    <w:rsid w:val="0013577D"/>
    <w:rsid w:val="00135BD0"/>
    <w:rsid w:val="00136612"/>
    <w:rsid w:val="00136862"/>
    <w:rsid w:val="00136EF8"/>
    <w:rsid w:val="00141C2D"/>
    <w:rsid w:val="00141EC3"/>
    <w:rsid w:val="00142EB1"/>
    <w:rsid w:val="0014380F"/>
    <w:rsid w:val="00143F71"/>
    <w:rsid w:val="001442E7"/>
    <w:rsid w:val="00144410"/>
    <w:rsid w:val="00146B55"/>
    <w:rsid w:val="00147124"/>
    <w:rsid w:val="00150721"/>
    <w:rsid w:val="001528DD"/>
    <w:rsid w:val="0015327E"/>
    <w:rsid w:val="00154831"/>
    <w:rsid w:val="00155F37"/>
    <w:rsid w:val="00161B2F"/>
    <w:rsid w:val="00165733"/>
    <w:rsid w:val="00165BBA"/>
    <w:rsid w:val="00166317"/>
    <w:rsid w:val="00167639"/>
    <w:rsid w:val="00167BE3"/>
    <w:rsid w:val="00167CEC"/>
    <w:rsid w:val="0017090D"/>
    <w:rsid w:val="00170F7C"/>
    <w:rsid w:val="00171B06"/>
    <w:rsid w:val="0017213A"/>
    <w:rsid w:val="00172777"/>
    <w:rsid w:val="00175FED"/>
    <w:rsid w:val="0017779D"/>
    <w:rsid w:val="00180712"/>
    <w:rsid w:val="001823ED"/>
    <w:rsid w:val="00182E9D"/>
    <w:rsid w:val="00183560"/>
    <w:rsid w:val="00183FA4"/>
    <w:rsid w:val="00185ADC"/>
    <w:rsid w:val="0018611F"/>
    <w:rsid w:val="00186B1E"/>
    <w:rsid w:val="001877ED"/>
    <w:rsid w:val="00187837"/>
    <w:rsid w:val="001900F7"/>
    <w:rsid w:val="00190427"/>
    <w:rsid w:val="001911A6"/>
    <w:rsid w:val="0019125A"/>
    <w:rsid w:val="00191362"/>
    <w:rsid w:val="00191654"/>
    <w:rsid w:val="00193E0A"/>
    <w:rsid w:val="00194709"/>
    <w:rsid w:val="001947CC"/>
    <w:rsid w:val="00194C0F"/>
    <w:rsid w:val="00194E91"/>
    <w:rsid w:val="00195245"/>
    <w:rsid w:val="0019534E"/>
    <w:rsid w:val="0019568D"/>
    <w:rsid w:val="00196121"/>
    <w:rsid w:val="001971FE"/>
    <w:rsid w:val="001A06A2"/>
    <w:rsid w:val="001A16F5"/>
    <w:rsid w:val="001A1726"/>
    <w:rsid w:val="001A179F"/>
    <w:rsid w:val="001A1DCA"/>
    <w:rsid w:val="001A1F52"/>
    <w:rsid w:val="001A1F61"/>
    <w:rsid w:val="001A1F72"/>
    <w:rsid w:val="001A4412"/>
    <w:rsid w:val="001A566D"/>
    <w:rsid w:val="001A5D8C"/>
    <w:rsid w:val="001A6093"/>
    <w:rsid w:val="001A71ED"/>
    <w:rsid w:val="001A72DA"/>
    <w:rsid w:val="001A79B7"/>
    <w:rsid w:val="001B05CF"/>
    <w:rsid w:val="001B0BE5"/>
    <w:rsid w:val="001B2E41"/>
    <w:rsid w:val="001B3B1F"/>
    <w:rsid w:val="001B404D"/>
    <w:rsid w:val="001B49A7"/>
    <w:rsid w:val="001B56DE"/>
    <w:rsid w:val="001B5714"/>
    <w:rsid w:val="001B589C"/>
    <w:rsid w:val="001B7ECC"/>
    <w:rsid w:val="001C2BCD"/>
    <w:rsid w:val="001C3022"/>
    <w:rsid w:val="001C335E"/>
    <w:rsid w:val="001C4400"/>
    <w:rsid w:val="001C4C6D"/>
    <w:rsid w:val="001C4ECE"/>
    <w:rsid w:val="001C6F71"/>
    <w:rsid w:val="001C70EB"/>
    <w:rsid w:val="001C71F6"/>
    <w:rsid w:val="001D0904"/>
    <w:rsid w:val="001D094E"/>
    <w:rsid w:val="001D1CBE"/>
    <w:rsid w:val="001D210B"/>
    <w:rsid w:val="001D340F"/>
    <w:rsid w:val="001D344B"/>
    <w:rsid w:val="001D3920"/>
    <w:rsid w:val="001D3B55"/>
    <w:rsid w:val="001D4D03"/>
    <w:rsid w:val="001D5A96"/>
    <w:rsid w:val="001D5B82"/>
    <w:rsid w:val="001D5DE4"/>
    <w:rsid w:val="001D600A"/>
    <w:rsid w:val="001D62BB"/>
    <w:rsid w:val="001D62D9"/>
    <w:rsid w:val="001D6798"/>
    <w:rsid w:val="001D6B76"/>
    <w:rsid w:val="001D6BC1"/>
    <w:rsid w:val="001D7860"/>
    <w:rsid w:val="001D7D90"/>
    <w:rsid w:val="001D7EF0"/>
    <w:rsid w:val="001E0824"/>
    <w:rsid w:val="001E154B"/>
    <w:rsid w:val="001E15C7"/>
    <w:rsid w:val="001E23F9"/>
    <w:rsid w:val="001E26F4"/>
    <w:rsid w:val="001E270F"/>
    <w:rsid w:val="001E55D7"/>
    <w:rsid w:val="001E5F9D"/>
    <w:rsid w:val="001E702E"/>
    <w:rsid w:val="001F0C59"/>
    <w:rsid w:val="001F14A9"/>
    <w:rsid w:val="001F1E74"/>
    <w:rsid w:val="001F21F5"/>
    <w:rsid w:val="001F4268"/>
    <w:rsid w:val="001F4559"/>
    <w:rsid w:val="001F4A4C"/>
    <w:rsid w:val="001F555F"/>
    <w:rsid w:val="001F5582"/>
    <w:rsid w:val="001F60A7"/>
    <w:rsid w:val="001F6415"/>
    <w:rsid w:val="001F6CFB"/>
    <w:rsid w:val="001F711B"/>
    <w:rsid w:val="001F7691"/>
    <w:rsid w:val="001F7FD9"/>
    <w:rsid w:val="00202203"/>
    <w:rsid w:val="00202425"/>
    <w:rsid w:val="00202697"/>
    <w:rsid w:val="00203266"/>
    <w:rsid w:val="00203423"/>
    <w:rsid w:val="00203E31"/>
    <w:rsid w:val="00203EF8"/>
    <w:rsid w:val="00204160"/>
    <w:rsid w:val="00204B94"/>
    <w:rsid w:val="00206BDC"/>
    <w:rsid w:val="00213656"/>
    <w:rsid w:val="00214301"/>
    <w:rsid w:val="00214690"/>
    <w:rsid w:val="00214752"/>
    <w:rsid w:val="00214D5A"/>
    <w:rsid w:val="00215855"/>
    <w:rsid w:val="00215A83"/>
    <w:rsid w:val="00215B55"/>
    <w:rsid w:val="002169AB"/>
    <w:rsid w:val="002173B2"/>
    <w:rsid w:val="00217610"/>
    <w:rsid w:val="00221B7F"/>
    <w:rsid w:val="00221EA0"/>
    <w:rsid w:val="00223919"/>
    <w:rsid w:val="00223F05"/>
    <w:rsid w:val="002240F2"/>
    <w:rsid w:val="00224E8F"/>
    <w:rsid w:val="002250B5"/>
    <w:rsid w:val="002251B0"/>
    <w:rsid w:val="0022541D"/>
    <w:rsid w:val="00225F00"/>
    <w:rsid w:val="002306BD"/>
    <w:rsid w:val="00230BB2"/>
    <w:rsid w:val="00230CE2"/>
    <w:rsid w:val="00231B69"/>
    <w:rsid w:val="00232059"/>
    <w:rsid w:val="00233546"/>
    <w:rsid w:val="00233F11"/>
    <w:rsid w:val="00234918"/>
    <w:rsid w:val="00234F4E"/>
    <w:rsid w:val="0023508E"/>
    <w:rsid w:val="00235983"/>
    <w:rsid w:val="00235C22"/>
    <w:rsid w:val="00236057"/>
    <w:rsid w:val="002368E9"/>
    <w:rsid w:val="0024036C"/>
    <w:rsid w:val="00240B23"/>
    <w:rsid w:val="002419C4"/>
    <w:rsid w:val="00241FC2"/>
    <w:rsid w:val="00243E27"/>
    <w:rsid w:val="00244585"/>
    <w:rsid w:val="002451AB"/>
    <w:rsid w:val="00245532"/>
    <w:rsid w:val="002457B2"/>
    <w:rsid w:val="002459AE"/>
    <w:rsid w:val="00246690"/>
    <w:rsid w:val="00246C6B"/>
    <w:rsid w:val="00247B82"/>
    <w:rsid w:val="00250BA9"/>
    <w:rsid w:val="00250C75"/>
    <w:rsid w:val="002514D2"/>
    <w:rsid w:val="00252768"/>
    <w:rsid w:val="002528A1"/>
    <w:rsid w:val="00252C4B"/>
    <w:rsid w:val="002535E3"/>
    <w:rsid w:val="00253EED"/>
    <w:rsid w:val="00254287"/>
    <w:rsid w:val="002549BC"/>
    <w:rsid w:val="00256903"/>
    <w:rsid w:val="00257424"/>
    <w:rsid w:val="0025751E"/>
    <w:rsid w:val="00260C44"/>
    <w:rsid w:val="00260F25"/>
    <w:rsid w:val="0026131B"/>
    <w:rsid w:val="00261846"/>
    <w:rsid w:val="00261BEC"/>
    <w:rsid w:val="002620F5"/>
    <w:rsid w:val="0026287A"/>
    <w:rsid w:val="0026301D"/>
    <w:rsid w:val="00263EE9"/>
    <w:rsid w:val="00264313"/>
    <w:rsid w:val="002649F4"/>
    <w:rsid w:val="00265726"/>
    <w:rsid w:val="00265D39"/>
    <w:rsid w:val="00266E63"/>
    <w:rsid w:val="0027028D"/>
    <w:rsid w:val="0027245B"/>
    <w:rsid w:val="00272E33"/>
    <w:rsid w:val="00272F47"/>
    <w:rsid w:val="00273CED"/>
    <w:rsid w:val="002748DC"/>
    <w:rsid w:val="00274CDD"/>
    <w:rsid w:val="00275BD1"/>
    <w:rsid w:val="00276620"/>
    <w:rsid w:val="0027696E"/>
    <w:rsid w:val="00276B16"/>
    <w:rsid w:val="002770DE"/>
    <w:rsid w:val="00277122"/>
    <w:rsid w:val="00277897"/>
    <w:rsid w:val="00280CF3"/>
    <w:rsid w:val="00282029"/>
    <w:rsid w:val="002822AE"/>
    <w:rsid w:val="0028231C"/>
    <w:rsid w:val="0028316F"/>
    <w:rsid w:val="002831AA"/>
    <w:rsid w:val="00284241"/>
    <w:rsid w:val="00284C0F"/>
    <w:rsid w:val="0028595C"/>
    <w:rsid w:val="00286747"/>
    <w:rsid w:val="00287460"/>
    <w:rsid w:val="00287C4E"/>
    <w:rsid w:val="00290246"/>
    <w:rsid w:val="002902A1"/>
    <w:rsid w:val="00290C03"/>
    <w:rsid w:val="00290C9D"/>
    <w:rsid w:val="00291706"/>
    <w:rsid w:val="002927BC"/>
    <w:rsid w:val="00292D1C"/>
    <w:rsid w:val="00293AAC"/>
    <w:rsid w:val="00293DC2"/>
    <w:rsid w:val="00294A18"/>
    <w:rsid w:val="00296D20"/>
    <w:rsid w:val="00296E01"/>
    <w:rsid w:val="00297C85"/>
    <w:rsid w:val="00297DBD"/>
    <w:rsid w:val="002A0377"/>
    <w:rsid w:val="002A1696"/>
    <w:rsid w:val="002A1774"/>
    <w:rsid w:val="002A1E55"/>
    <w:rsid w:val="002A278D"/>
    <w:rsid w:val="002A3643"/>
    <w:rsid w:val="002A453F"/>
    <w:rsid w:val="002A46D6"/>
    <w:rsid w:val="002A688F"/>
    <w:rsid w:val="002B07E3"/>
    <w:rsid w:val="002B19FF"/>
    <w:rsid w:val="002B1B42"/>
    <w:rsid w:val="002B1FF7"/>
    <w:rsid w:val="002B33D9"/>
    <w:rsid w:val="002B38BF"/>
    <w:rsid w:val="002B393B"/>
    <w:rsid w:val="002B3ACD"/>
    <w:rsid w:val="002B460F"/>
    <w:rsid w:val="002B46BE"/>
    <w:rsid w:val="002B482A"/>
    <w:rsid w:val="002B4C95"/>
    <w:rsid w:val="002B4D3B"/>
    <w:rsid w:val="002B635C"/>
    <w:rsid w:val="002B72A2"/>
    <w:rsid w:val="002B751B"/>
    <w:rsid w:val="002C05F4"/>
    <w:rsid w:val="002C3933"/>
    <w:rsid w:val="002C3EFF"/>
    <w:rsid w:val="002C6D06"/>
    <w:rsid w:val="002C71C1"/>
    <w:rsid w:val="002C7508"/>
    <w:rsid w:val="002D1761"/>
    <w:rsid w:val="002D2BFB"/>
    <w:rsid w:val="002D3176"/>
    <w:rsid w:val="002D41BF"/>
    <w:rsid w:val="002D4404"/>
    <w:rsid w:val="002D54CB"/>
    <w:rsid w:val="002D6169"/>
    <w:rsid w:val="002D65A3"/>
    <w:rsid w:val="002D6DD5"/>
    <w:rsid w:val="002E0552"/>
    <w:rsid w:val="002E0F41"/>
    <w:rsid w:val="002E13AE"/>
    <w:rsid w:val="002E22C9"/>
    <w:rsid w:val="002E2D13"/>
    <w:rsid w:val="002E3A89"/>
    <w:rsid w:val="002E3BBC"/>
    <w:rsid w:val="002E3CEB"/>
    <w:rsid w:val="002E483E"/>
    <w:rsid w:val="002E4F08"/>
    <w:rsid w:val="002E52D1"/>
    <w:rsid w:val="002E58B7"/>
    <w:rsid w:val="002E5A09"/>
    <w:rsid w:val="002E6BC6"/>
    <w:rsid w:val="002E71C7"/>
    <w:rsid w:val="002F02E2"/>
    <w:rsid w:val="002F219C"/>
    <w:rsid w:val="002F246D"/>
    <w:rsid w:val="002F3FEB"/>
    <w:rsid w:val="002F4060"/>
    <w:rsid w:val="002F589D"/>
    <w:rsid w:val="002F59D5"/>
    <w:rsid w:val="002F6729"/>
    <w:rsid w:val="002F69AF"/>
    <w:rsid w:val="003007E6"/>
    <w:rsid w:val="003009E3"/>
    <w:rsid w:val="00300CC4"/>
    <w:rsid w:val="003015DB"/>
    <w:rsid w:val="00301A58"/>
    <w:rsid w:val="003021CB"/>
    <w:rsid w:val="00302D29"/>
    <w:rsid w:val="00303896"/>
    <w:rsid w:val="00304048"/>
    <w:rsid w:val="003041CD"/>
    <w:rsid w:val="0030472F"/>
    <w:rsid w:val="00307643"/>
    <w:rsid w:val="00307A6B"/>
    <w:rsid w:val="00307C18"/>
    <w:rsid w:val="00310785"/>
    <w:rsid w:val="003114D4"/>
    <w:rsid w:val="00312372"/>
    <w:rsid w:val="003126D7"/>
    <w:rsid w:val="00312AD0"/>
    <w:rsid w:val="00314289"/>
    <w:rsid w:val="00314536"/>
    <w:rsid w:val="0031477A"/>
    <w:rsid w:val="00315712"/>
    <w:rsid w:val="00315BBB"/>
    <w:rsid w:val="003177D8"/>
    <w:rsid w:val="00317F35"/>
    <w:rsid w:val="003200EF"/>
    <w:rsid w:val="00320CEF"/>
    <w:rsid w:val="00321353"/>
    <w:rsid w:val="00322AE7"/>
    <w:rsid w:val="00322F44"/>
    <w:rsid w:val="003230C7"/>
    <w:rsid w:val="003231F4"/>
    <w:rsid w:val="003237D5"/>
    <w:rsid w:val="00324FF0"/>
    <w:rsid w:val="003252A8"/>
    <w:rsid w:val="00325CDC"/>
    <w:rsid w:val="003262F6"/>
    <w:rsid w:val="0032645C"/>
    <w:rsid w:val="003264B4"/>
    <w:rsid w:val="00327A8A"/>
    <w:rsid w:val="00330F2A"/>
    <w:rsid w:val="00331F30"/>
    <w:rsid w:val="0033225D"/>
    <w:rsid w:val="003333E0"/>
    <w:rsid w:val="00333B97"/>
    <w:rsid w:val="00334A81"/>
    <w:rsid w:val="00337919"/>
    <w:rsid w:val="00340826"/>
    <w:rsid w:val="00341F67"/>
    <w:rsid w:val="00342085"/>
    <w:rsid w:val="003428B3"/>
    <w:rsid w:val="003432C8"/>
    <w:rsid w:val="00343BBD"/>
    <w:rsid w:val="00343FA0"/>
    <w:rsid w:val="0034461B"/>
    <w:rsid w:val="00344700"/>
    <w:rsid w:val="003448DA"/>
    <w:rsid w:val="00344E0E"/>
    <w:rsid w:val="00345F0A"/>
    <w:rsid w:val="00346888"/>
    <w:rsid w:val="00346978"/>
    <w:rsid w:val="00346E73"/>
    <w:rsid w:val="00347644"/>
    <w:rsid w:val="00350C7C"/>
    <w:rsid w:val="003523E1"/>
    <w:rsid w:val="00352BC4"/>
    <w:rsid w:val="00353765"/>
    <w:rsid w:val="00354A5A"/>
    <w:rsid w:val="00354C44"/>
    <w:rsid w:val="00354CAF"/>
    <w:rsid w:val="00355A45"/>
    <w:rsid w:val="00355E60"/>
    <w:rsid w:val="003570F9"/>
    <w:rsid w:val="00360E78"/>
    <w:rsid w:val="003621CD"/>
    <w:rsid w:val="00362332"/>
    <w:rsid w:val="00362B7D"/>
    <w:rsid w:val="00364B80"/>
    <w:rsid w:val="003650BF"/>
    <w:rsid w:val="00365BA8"/>
    <w:rsid w:val="00365F99"/>
    <w:rsid w:val="00367A9C"/>
    <w:rsid w:val="00367DA2"/>
    <w:rsid w:val="00370CAA"/>
    <w:rsid w:val="00372F7D"/>
    <w:rsid w:val="00374007"/>
    <w:rsid w:val="00374925"/>
    <w:rsid w:val="00374AFF"/>
    <w:rsid w:val="00374E81"/>
    <w:rsid w:val="00374FA7"/>
    <w:rsid w:val="00375F1C"/>
    <w:rsid w:val="00377D85"/>
    <w:rsid w:val="0038026B"/>
    <w:rsid w:val="0038039D"/>
    <w:rsid w:val="00380427"/>
    <w:rsid w:val="00380849"/>
    <w:rsid w:val="00381648"/>
    <w:rsid w:val="003816CA"/>
    <w:rsid w:val="003817DC"/>
    <w:rsid w:val="00381A9B"/>
    <w:rsid w:val="00381F11"/>
    <w:rsid w:val="00383759"/>
    <w:rsid w:val="00383A77"/>
    <w:rsid w:val="003844DE"/>
    <w:rsid w:val="00384A44"/>
    <w:rsid w:val="003869C8"/>
    <w:rsid w:val="00387CC2"/>
    <w:rsid w:val="00390D8E"/>
    <w:rsid w:val="00390FBD"/>
    <w:rsid w:val="00392396"/>
    <w:rsid w:val="00393291"/>
    <w:rsid w:val="0039355F"/>
    <w:rsid w:val="00393966"/>
    <w:rsid w:val="0039498D"/>
    <w:rsid w:val="00394FF6"/>
    <w:rsid w:val="00396075"/>
    <w:rsid w:val="00397541"/>
    <w:rsid w:val="003A0343"/>
    <w:rsid w:val="003A1017"/>
    <w:rsid w:val="003A1BAC"/>
    <w:rsid w:val="003A2C0A"/>
    <w:rsid w:val="003A3B5B"/>
    <w:rsid w:val="003A434B"/>
    <w:rsid w:val="003A5BE3"/>
    <w:rsid w:val="003A5D56"/>
    <w:rsid w:val="003A6315"/>
    <w:rsid w:val="003A67CD"/>
    <w:rsid w:val="003A7CDA"/>
    <w:rsid w:val="003B0F72"/>
    <w:rsid w:val="003B2351"/>
    <w:rsid w:val="003B25E3"/>
    <w:rsid w:val="003B33B2"/>
    <w:rsid w:val="003B4462"/>
    <w:rsid w:val="003C1BEF"/>
    <w:rsid w:val="003C1E34"/>
    <w:rsid w:val="003C1EA1"/>
    <w:rsid w:val="003C2490"/>
    <w:rsid w:val="003C2A41"/>
    <w:rsid w:val="003C2B81"/>
    <w:rsid w:val="003C457B"/>
    <w:rsid w:val="003C46CC"/>
    <w:rsid w:val="003C5C9C"/>
    <w:rsid w:val="003C653C"/>
    <w:rsid w:val="003C65C1"/>
    <w:rsid w:val="003C751D"/>
    <w:rsid w:val="003D0572"/>
    <w:rsid w:val="003D0B92"/>
    <w:rsid w:val="003D2237"/>
    <w:rsid w:val="003D301B"/>
    <w:rsid w:val="003D482A"/>
    <w:rsid w:val="003D4D1D"/>
    <w:rsid w:val="003D615E"/>
    <w:rsid w:val="003D7EB7"/>
    <w:rsid w:val="003E2310"/>
    <w:rsid w:val="003E2737"/>
    <w:rsid w:val="003E434A"/>
    <w:rsid w:val="003E54E7"/>
    <w:rsid w:val="003E568F"/>
    <w:rsid w:val="003E5A68"/>
    <w:rsid w:val="003E6C50"/>
    <w:rsid w:val="003E6DC1"/>
    <w:rsid w:val="003F077A"/>
    <w:rsid w:val="003F1F98"/>
    <w:rsid w:val="003F2283"/>
    <w:rsid w:val="003F2B02"/>
    <w:rsid w:val="003F2DBB"/>
    <w:rsid w:val="003F42FD"/>
    <w:rsid w:val="003F46F8"/>
    <w:rsid w:val="003F4BA9"/>
    <w:rsid w:val="003F4DE9"/>
    <w:rsid w:val="003F508A"/>
    <w:rsid w:val="003F5863"/>
    <w:rsid w:val="003F5B94"/>
    <w:rsid w:val="003F6C6C"/>
    <w:rsid w:val="003F7B13"/>
    <w:rsid w:val="00400D15"/>
    <w:rsid w:val="004010F2"/>
    <w:rsid w:val="00401151"/>
    <w:rsid w:val="004015CE"/>
    <w:rsid w:val="00402799"/>
    <w:rsid w:val="00404952"/>
    <w:rsid w:val="00404CDB"/>
    <w:rsid w:val="004057D3"/>
    <w:rsid w:val="004070AF"/>
    <w:rsid w:val="00410189"/>
    <w:rsid w:val="00410834"/>
    <w:rsid w:val="0041087B"/>
    <w:rsid w:val="00416BE3"/>
    <w:rsid w:val="004171DE"/>
    <w:rsid w:val="00417A78"/>
    <w:rsid w:val="00417DE8"/>
    <w:rsid w:val="0042108F"/>
    <w:rsid w:val="004214D1"/>
    <w:rsid w:val="00421B3F"/>
    <w:rsid w:val="00421CFC"/>
    <w:rsid w:val="00423782"/>
    <w:rsid w:val="0042604E"/>
    <w:rsid w:val="004261D4"/>
    <w:rsid w:val="00426B59"/>
    <w:rsid w:val="004272F1"/>
    <w:rsid w:val="00427712"/>
    <w:rsid w:val="00427899"/>
    <w:rsid w:val="004279A6"/>
    <w:rsid w:val="00427D92"/>
    <w:rsid w:val="00430188"/>
    <w:rsid w:val="00431304"/>
    <w:rsid w:val="004317A8"/>
    <w:rsid w:val="00431A2B"/>
    <w:rsid w:val="004331B3"/>
    <w:rsid w:val="0043387F"/>
    <w:rsid w:val="00433C7B"/>
    <w:rsid w:val="00434358"/>
    <w:rsid w:val="0043474E"/>
    <w:rsid w:val="00435995"/>
    <w:rsid w:val="004367A8"/>
    <w:rsid w:val="0043729B"/>
    <w:rsid w:val="00437C47"/>
    <w:rsid w:val="0044007D"/>
    <w:rsid w:val="00441BBA"/>
    <w:rsid w:val="00442A12"/>
    <w:rsid w:val="00442CDC"/>
    <w:rsid w:val="00444434"/>
    <w:rsid w:val="00444EFD"/>
    <w:rsid w:val="00447E6B"/>
    <w:rsid w:val="004502AA"/>
    <w:rsid w:val="00450988"/>
    <w:rsid w:val="004515EE"/>
    <w:rsid w:val="004518C0"/>
    <w:rsid w:val="00451A4D"/>
    <w:rsid w:val="00451B0A"/>
    <w:rsid w:val="00452893"/>
    <w:rsid w:val="004530DF"/>
    <w:rsid w:val="0045329B"/>
    <w:rsid w:val="00453638"/>
    <w:rsid w:val="00453A30"/>
    <w:rsid w:val="00454253"/>
    <w:rsid w:val="0045449F"/>
    <w:rsid w:val="00454C55"/>
    <w:rsid w:val="00456804"/>
    <w:rsid w:val="00457F3A"/>
    <w:rsid w:val="004611B0"/>
    <w:rsid w:val="0046138F"/>
    <w:rsid w:val="0046167D"/>
    <w:rsid w:val="00461A95"/>
    <w:rsid w:val="00461B26"/>
    <w:rsid w:val="00461B49"/>
    <w:rsid w:val="00461E2E"/>
    <w:rsid w:val="00462EA5"/>
    <w:rsid w:val="00462F60"/>
    <w:rsid w:val="00464639"/>
    <w:rsid w:val="0046520E"/>
    <w:rsid w:val="0046798B"/>
    <w:rsid w:val="00467E08"/>
    <w:rsid w:val="004712CD"/>
    <w:rsid w:val="00471C8E"/>
    <w:rsid w:val="00471E61"/>
    <w:rsid w:val="004722DF"/>
    <w:rsid w:val="004742BA"/>
    <w:rsid w:val="00475098"/>
    <w:rsid w:val="0047510B"/>
    <w:rsid w:val="00475B0B"/>
    <w:rsid w:val="00475CA0"/>
    <w:rsid w:val="00476BD3"/>
    <w:rsid w:val="00477074"/>
    <w:rsid w:val="00477BB2"/>
    <w:rsid w:val="00480CE5"/>
    <w:rsid w:val="00480FEB"/>
    <w:rsid w:val="0048102E"/>
    <w:rsid w:val="004829BE"/>
    <w:rsid w:val="00482D26"/>
    <w:rsid w:val="004841F7"/>
    <w:rsid w:val="0048424E"/>
    <w:rsid w:val="0048513F"/>
    <w:rsid w:val="00485FD7"/>
    <w:rsid w:val="0048650D"/>
    <w:rsid w:val="00487678"/>
    <w:rsid w:val="00490609"/>
    <w:rsid w:val="00490991"/>
    <w:rsid w:val="00490E46"/>
    <w:rsid w:val="00491F49"/>
    <w:rsid w:val="00491F81"/>
    <w:rsid w:val="004921B4"/>
    <w:rsid w:val="004923CC"/>
    <w:rsid w:val="004927DC"/>
    <w:rsid w:val="00492BBB"/>
    <w:rsid w:val="00493F51"/>
    <w:rsid w:val="0049401C"/>
    <w:rsid w:val="00495D66"/>
    <w:rsid w:val="00496578"/>
    <w:rsid w:val="00497643"/>
    <w:rsid w:val="00497DEA"/>
    <w:rsid w:val="004A0D9E"/>
    <w:rsid w:val="004A210F"/>
    <w:rsid w:val="004A46BA"/>
    <w:rsid w:val="004A4D83"/>
    <w:rsid w:val="004A578C"/>
    <w:rsid w:val="004A63D8"/>
    <w:rsid w:val="004A705C"/>
    <w:rsid w:val="004A73D1"/>
    <w:rsid w:val="004A79B2"/>
    <w:rsid w:val="004A7A14"/>
    <w:rsid w:val="004B1569"/>
    <w:rsid w:val="004B18CE"/>
    <w:rsid w:val="004B1E04"/>
    <w:rsid w:val="004B236E"/>
    <w:rsid w:val="004B251C"/>
    <w:rsid w:val="004B31F8"/>
    <w:rsid w:val="004B47E3"/>
    <w:rsid w:val="004B47FF"/>
    <w:rsid w:val="004B4FEC"/>
    <w:rsid w:val="004B59CE"/>
    <w:rsid w:val="004B6570"/>
    <w:rsid w:val="004B7508"/>
    <w:rsid w:val="004B794C"/>
    <w:rsid w:val="004C01B8"/>
    <w:rsid w:val="004C01DC"/>
    <w:rsid w:val="004C07AC"/>
    <w:rsid w:val="004C09D7"/>
    <w:rsid w:val="004C0D44"/>
    <w:rsid w:val="004C0EF5"/>
    <w:rsid w:val="004C4640"/>
    <w:rsid w:val="004C534F"/>
    <w:rsid w:val="004C5F44"/>
    <w:rsid w:val="004C6159"/>
    <w:rsid w:val="004C7771"/>
    <w:rsid w:val="004D061A"/>
    <w:rsid w:val="004D187D"/>
    <w:rsid w:val="004D1923"/>
    <w:rsid w:val="004D1AAF"/>
    <w:rsid w:val="004D24EF"/>
    <w:rsid w:val="004D2B06"/>
    <w:rsid w:val="004D33A1"/>
    <w:rsid w:val="004D34DD"/>
    <w:rsid w:val="004D47BD"/>
    <w:rsid w:val="004D4815"/>
    <w:rsid w:val="004D48AA"/>
    <w:rsid w:val="004D49D4"/>
    <w:rsid w:val="004D4B80"/>
    <w:rsid w:val="004D51BD"/>
    <w:rsid w:val="004D563C"/>
    <w:rsid w:val="004D6109"/>
    <w:rsid w:val="004D6268"/>
    <w:rsid w:val="004D7F4A"/>
    <w:rsid w:val="004E03D0"/>
    <w:rsid w:val="004E083E"/>
    <w:rsid w:val="004E1628"/>
    <w:rsid w:val="004E2087"/>
    <w:rsid w:val="004E3394"/>
    <w:rsid w:val="004E3693"/>
    <w:rsid w:val="004E43CA"/>
    <w:rsid w:val="004E4816"/>
    <w:rsid w:val="004E4E96"/>
    <w:rsid w:val="004E5B1F"/>
    <w:rsid w:val="004E5F38"/>
    <w:rsid w:val="004E5F5D"/>
    <w:rsid w:val="004F09F8"/>
    <w:rsid w:val="004F27F6"/>
    <w:rsid w:val="004F34FA"/>
    <w:rsid w:val="004F37FA"/>
    <w:rsid w:val="004F390E"/>
    <w:rsid w:val="004F3D5C"/>
    <w:rsid w:val="004F45C2"/>
    <w:rsid w:val="004F59F1"/>
    <w:rsid w:val="004F6428"/>
    <w:rsid w:val="004F7AAC"/>
    <w:rsid w:val="00500064"/>
    <w:rsid w:val="005005A7"/>
    <w:rsid w:val="005017D5"/>
    <w:rsid w:val="00501C55"/>
    <w:rsid w:val="00501CF8"/>
    <w:rsid w:val="005039AA"/>
    <w:rsid w:val="00503AF2"/>
    <w:rsid w:val="00503DEB"/>
    <w:rsid w:val="00504855"/>
    <w:rsid w:val="00504F76"/>
    <w:rsid w:val="00506762"/>
    <w:rsid w:val="00506E0E"/>
    <w:rsid w:val="00511B60"/>
    <w:rsid w:val="00512371"/>
    <w:rsid w:val="0051297B"/>
    <w:rsid w:val="005132E1"/>
    <w:rsid w:val="00513B0D"/>
    <w:rsid w:val="00514712"/>
    <w:rsid w:val="00515992"/>
    <w:rsid w:val="00516113"/>
    <w:rsid w:val="00516394"/>
    <w:rsid w:val="005168D4"/>
    <w:rsid w:val="00516EDF"/>
    <w:rsid w:val="0052011C"/>
    <w:rsid w:val="00520BBD"/>
    <w:rsid w:val="00522940"/>
    <w:rsid w:val="00522AD0"/>
    <w:rsid w:val="00522E49"/>
    <w:rsid w:val="005238C2"/>
    <w:rsid w:val="00524758"/>
    <w:rsid w:val="0052535F"/>
    <w:rsid w:val="00526C08"/>
    <w:rsid w:val="00526D63"/>
    <w:rsid w:val="00530533"/>
    <w:rsid w:val="00530A7F"/>
    <w:rsid w:val="00532057"/>
    <w:rsid w:val="0053242C"/>
    <w:rsid w:val="00533312"/>
    <w:rsid w:val="00533B1C"/>
    <w:rsid w:val="00533DB8"/>
    <w:rsid w:val="0053413A"/>
    <w:rsid w:val="00535E7D"/>
    <w:rsid w:val="00536608"/>
    <w:rsid w:val="00536D41"/>
    <w:rsid w:val="00536D89"/>
    <w:rsid w:val="00537755"/>
    <w:rsid w:val="00537957"/>
    <w:rsid w:val="00540691"/>
    <w:rsid w:val="005407C8"/>
    <w:rsid w:val="00540829"/>
    <w:rsid w:val="00541C79"/>
    <w:rsid w:val="00541DF0"/>
    <w:rsid w:val="00544C3D"/>
    <w:rsid w:val="00545E94"/>
    <w:rsid w:val="00546367"/>
    <w:rsid w:val="00546A9C"/>
    <w:rsid w:val="00547828"/>
    <w:rsid w:val="00547860"/>
    <w:rsid w:val="0055021B"/>
    <w:rsid w:val="00550C94"/>
    <w:rsid w:val="00551740"/>
    <w:rsid w:val="00552422"/>
    <w:rsid w:val="00552DBB"/>
    <w:rsid w:val="00553757"/>
    <w:rsid w:val="00553D4C"/>
    <w:rsid w:val="0055442B"/>
    <w:rsid w:val="00554BF4"/>
    <w:rsid w:val="00554D98"/>
    <w:rsid w:val="00555EE9"/>
    <w:rsid w:val="005563EB"/>
    <w:rsid w:val="005565E6"/>
    <w:rsid w:val="005566F2"/>
    <w:rsid w:val="00557871"/>
    <w:rsid w:val="00560BF1"/>
    <w:rsid w:val="00561438"/>
    <w:rsid w:val="00562D25"/>
    <w:rsid w:val="00563D65"/>
    <w:rsid w:val="00564535"/>
    <w:rsid w:val="005647BD"/>
    <w:rsid w:val="005663F0"/>
    <w:rsid w:val="005670A7"/>
    <w:rsid w:val="00567938"/>
    <w:rsid w:val="00567CC6"/>
    <w:rsid w:val="005708D2"/>
    <w:rsid w:val="005718DE"/>
    <w:rsid w:val="005727B9"/>
    <w:rsid w:val="005733D5"/>
    <w:rsid w:val="00573D0B"/>
    <w:rsid w:val="00574F0A"/>
    <w:rsid w:val="00575E0A"/>
    <w:rsid w:val="00577B2D"/>
    <w:rsid w:val="00580915"/>
    <w:rsid w:val="00581C1C"/>
    <w:rsid w:val="00581F36"/>
    <w:rsid w:val="0058290F"/>
    <w:rsid w:val="00582A27"/>
    <w:rsid w:val="0058335E"/>
    <w:rsid w:val="005834DE"/>
    <w:rsid w:val="005852D6"/>
    <w:rsid w:val="005860C5"/>
    <w:rsid w:val="005863B8"/>
    <w:rsid w:val="0058745D"/>
    <w:rsid w:val="00587C83"/>
    <w:rsid w:val="00587DB8"/>
    <w:rsid w:val="00590675"/>
    <w:rsid w:val="005907E1"/>
    <w:rsid w:val="005907ED"/>
    <w:rsid w:val="00590C6E"/>
    <w:rsid w:val="00590EBD"/>
    <w:rsid w:val="00590EEF"/>
    <w:rsid w:val="0059112A"/>
    <w:rsid w:val="0059191B"/>
    <w:rsid w:val="00591BA8"/>
    <w:rsid w:val="005922FF"/>
    <w:rsid w:val="00592F97"/>
    <w:rsid w:val="00593821"/>
    <w:rsid w:val="00593F9C"/>
    <w:rsid w:val="00594E97"/>
    <w:rsid w:val="00596BCE"/>
    <w:rsid w:val="00597308"/>
    <w:rsid w:val="00597632"/>
    <w:rsid w:val="005979D6"/>
    <w:rsid w:val="005A0F1A"/>
    <w:rsid w:val="005A0F28"/>
    <w:rsid w:val="005A105C"/>
    <w:rsid w:val="005A170D"/>
    <w:rsid w:val="005A301B"/>
    <w:rsid w:val="005A38FE"/>
    <w:rsid w:val="005A4354"/>
    <w:rsid w:val="005A5941"/>
    <w:rsid w:val="005A5DD6"/>
    <w:rsid w:val="005A667D"/>
    <w:rsid w:val="005A7B5C"/>
    <w:rsid w:val="005A7C09"/>
    <w:rsid w:val="005B0417"/>
    <w:rsid w:val="005B0BD3"/>
    <w:rsid w:val="005B114E"/>
    <w:rsid w:val="005B4111"/>
    <w:rsid w:val="005B42B9"/>
    <w:rsid w:val="005B4DE2"/>
    <w:rsid w:val="005B525F"/>
    <w:rsid w:val="005B5778"/>
    <w:rsid w:val="005B7BEA"/>
    <w:rsid w:val="005B7EEC"/>
    <w:rsid w:val="005C0754"/>
    <w:rsid w:val="005C1D68"/>
    <w:rsid w:val="005C2034"/>
    <w:rsid w:val="005C2ACD"/>
    <w:rsid w:val="005C38B9"/>
    <w:rsid w:val="005C3B05"/>
    <w:rsid w:val="005C436C"/>
    <w:rsid w:val="005C46D1"/>
    <w:rsid w:val="005C5297"/>
    <w:rsid w:val="005C600F"/>
    <w:rsid w:val="005C6953"/>
    <w:rsid w:val="005D0573"/>
    <w:rsid w:val="005D064B"/>
    <w:rsid w:val="005D109A"/>
    <w:rsid w:val="005D1261"/>
    <w:rsid w:val="005D193F"/>
    <w:rsid w:val="005D3806"/>
    <w:rsid w:val="005D4CF1"/>
    <w:rsid w:val="005D50A4"/>
    <w:rsid w:val="005D51DD"/>
    <w:rsid w:val="005D5E47"/>
    <w:rsid w:val="005D6136"/>
    <w:rsid w:val="005D79D0"/>
    <w:rsid w:val="005D7D28"/>
    <w:rsid w:val="005D7F81"/>
    <w:rsid w:val="005E00B0"/>
    <w:rsid w:val="005E01D3"/>
    <w:rsid w:val="005E1CF9"/>
    <w:rsid w:val="005E2A53"/>
    <w:rsid w:val="005E3C1E"/>
    <w:rsid w:val="005E5125"/>
    <w:rsid w:val="005E6FD7"/>
    <w:rsid w:val="005F070B"/>
    <w:rsid w:val="005F20A1"/>
    <w:rsid w:val="005F39EA"/>
    <w:rsid w:val="005F3B10"/>
    <w:rsid w:val="005F5CA9"/>
    <w:rsid w:val="005F7DA2"/>
    <w:rsid w:val="0060027B"/>
    <w:rsid w:val="00600C41"/>
    <w:rsid w:val="0060143C"/>
    <w:rsid w:val="006016C2"/>
    <w:rsid w:val="006020C7"/>
    <w:rsid w:val="006025A2"/>
    <w:rsid w:val="00604531"/>
    <w:rsid w:val="006049F2"/>
    <w:rsid w:val="00604A3E"/>
    <w:rsid w:val="00604EC2"/>
    <w:rsid w:val="00605532"/>
    <w:rsid w:val="0060672C"/>
    <w:rsid w:val="006078BF"/>
    <w:rsid w:val="00610408"/>
    <w:rsid w:val="006107B2"/>
    <w:rsid w:val="00611BB5"/>
    <w:rsid w:val="006123FB"/>
    <w:rsid w:val="00612AE6"/>
    <w:rsid w:val="006132CD"/>
    <w:rsid w:val="006158E3"/>
    <w:rsid w:val="00615C46"/>
    <w:rsid w:val="0061754B"/>
    <w:rsid w:val="006178C2"/>
    <w:rsid w:val="00620E64"/>
    <w:rsid w:val="00621D02"/>
    <w:rsid w:val="00621E9A"/>
    <w:rsid w:val="006223F1"/>
    <w:rsid w:val="006232C7"/>
    <w:rsid w:val="00623881"/>
    <w:rsid w:val="00623DA8"/>
    <w:rsid w:val="006243B4"/>
    <w:rsid w:val="006243BA"/>
    <w:rsid w:val="00625943"/>
    <w:rsid w:val="00626900"/>
    <w:rsid w:val="00626BE3"/>
    <w:rsid w:val="00626D7D"/>
    <w:rsid w:val="00627105"/>
    <w:rsid w:val="00627583"/>
    <w:rsid w:val="006277F8"/>
    <w:rsid w:val="00630403"/>
    <w:rsid w:val="00631277"/>
    <w:rsid w:val="00632876"/>
    <w:rsid w:val="00633958"/>
    <w:rsid w:val="00633ACE"/>
    <w:rsid w:val="00633E6D"/>
    <w:rsid w:val="0063411C"/>
    <w:rsid w:val="0063437F"/>
    <w:rsid w:val="0063724E"/>
    <w:rsid w:val="006419C8"/>
    <w:rsid w:val="0064359D"/>
    <w:rsid w:val="00643AD4"/>
    <w:rsid w:val="00643C98"/>
    <w:rsid w:val="00643DEA"/>
    <w:rsid w:val="006462B7"/>
    <w:rsid w:val="0064642B"/>
    <w:rsid w:val="00646539"/>
    <w:rsid w:val="0064675C"/>
    <w:rsid w:val="006467AD"/>
    <w:rsid w:val="006470EC"/>
    <w:rsid w:val="00650933"/>
    <w:rsid w:val="006509AD"/>
    <w:rsid w:val="00651D56"/>
    <w:rsid w:val="00652424"/>
    <w:rsid w:val="00652697"/>
    <w:rsid w:val="006529DA"/>
    <w:rsid w:val="006534ED"/>
    <w:rsid w:val="00653A38"/>
    <w:rsid w:val="006541F4"/>
    <w:rsid w:val="00655F15"/>
    <w:rsid w:val="00656042"/>
    <w:rsid w:val="00656AE5"/>
    <w:rsid w:val="0065708A"/>
    <w:rsid w:val="006574F7"/>
    <w:rsid w:val="006579B4"/>
    <w:rsid w:val="00660294"/>
    <w:rsid w:val="00660321"/>
    <w:rsid w:val="0066034B"/>
    <w:rsid w:val="00660BAE"/>
    <w:rsid w:val="00660CF8"/>
    <w:rsid w:val="006621DB"/>
    <w:rsid w:val="00663927"/>
    <w:rsid w:val="00663EE6"/>
    <w:rsid w:val="0066469D"/>
    <w:rsid w:val="00664700"/>
    <w:rsid w:val="00664858"/>
    <w:rsid w:val="00665DC7"/>
    <w:rsid w:val="00665DF0"/>
    <w:rsid w:val="00666782"/>
    <w:rsid w:val="0066695F"/>
    <w:rsid w:val="006679F6"/>
    <w:rsid w:val="00667E90"/>
    <w:rsid w:val="00670493"/>
    <w:rsid w:val="006708D5"/>
    <w:rsid w:val="00670EDC"/>
    <w:rsid w:val="0067230E"/>
    <w:rsid w:val="00672627"/>
    <w:rsid w:val="0067276C"/>
    <w:rsid w:val="00672B23"/>
    <w:rsid w:val="00672F00"/>
    <w:rsid w:val="0067330B"/>
    <w:rsid w:val="00674054"/>
    <w:rsid w:val="00675332"/>
    <w:rsid w:val="00680C29"/>
    <w:rsid w:val="0068144C"/>
    <w:rsid w:val="00681A2D"/>
    <w:rsid w:val="00682585"/>
    <w:rsid w:val="006832DA"/>
    <w:rsid w:val="006834B8"/>
    <w:rsid w:val="00683D36"/>
    <w:rsid w:val="006844C8"/>
    <w:rsid w:val="00684DF1"/>
    <w:rsid w:val="00684EC1"/>
    <w:rsid w:val="00685518"/>
    <w:rsid w:val="0068588B"/>
    <w:rsid w:val="00686ABB"/>
    <w:rsid w:val="00686BEE"/>
    <w:rsid w:val="00686FD2"/>
    <w:rsid w:val="00687137"/>
    <w:rsid w:val="00687677"/>
    <w:rsid w:val="00687BA2"/>
    <w:rsid w:val="0069008C"/>
    <w:rsid w:val="00691EF5"/>
    <w:rsid w:val="00692ED6"/>
    <w:rsid w:val="00693568"/>
    <w:rsid w:val="00694AF7"/>
    <w:rsid w:val="00694CF0"/>
    <w:rsid w:val="006959B0"/>
    <w:rsid w:val="00697D04"/>
    <w:rsid w:val="00697F01"/>
    <w:rsid w:val="006A06C4"/>
    <w:rsid w:val="006A0B6D"/>
    <w:rsid w:val="006A1081"/>
    <w:rsid w:val="006A1EFA"/>
    <w:rsid w:val="006A1F65"/>
    <w:rsid w:val="006A24A1"/>
    <w:rsid w:val="006A2714"/>
    <w:rsid w:val="006A2F42"/>
    <w:rsid w:val="006A3E19"/>
    <w:rsid w:val="006A51C0"/>
    <w:rsid w:val="006A5760"/>
    <w:rsid w:val="006A5A1E"/>
    <w:rsid w:val="006A72B0"/>
    <w:rsid w:val="006A7494"/>
    <w:rsid w:val="006A7BA7"/>
    <w:rsid w:val="006B0D68"/>
    <w:rsid w:val="006B0E8B"/>
    <w:rsid w:val="006B237A"/>
    <w:rsid w:val="006B23B3"/>
    <w:rsid w:val="006B2E81"/>
    <w:rsid w:val="006B374F"/>
    <w:rsid w:val="006B3DE2"/>
    <w:rsid w:val="006B4B15"/>
    <w:rsid w:val="006B594C"/>
    <w:rsid w:val="006B5DF8"/>
    <w:rsid w:val="006B6C52"/>
    <w:rsid w:val="006B6DA1"/>
    <w:rsid w:val="006B77BB"/>
    <w:rsid w:val="006C0F92"/>
    <w:rsid w:val="006C2952"/>
    <w:rsid w:val="006C29D6"/>
    <w:rsid w:val="006C459C"/>
    <w:rsid w:val="006C4AB5"/>
    <w:rsid w:val="006C5A20"/>
    <w:rsid w:val="006C5F81"/>
    <w:rsid w:val="006C6E9D"/>
    <w:rsid w:val="006C7B68"/>
    <w:rsid w:val="006D01DC"/>
    <w:rsid w:val="006D1029"/>
    <w:rsid w:val="006D1289"/>
    <w:rsid w:val="006D1ACC"/>
    <w:rsid w:val="006D1C2D"/>
    <w:rsid w:val="006D1CF1"/>
    <w:rsid w:val="006D1D98"/>
    <w:rsid w:val="006D2C33"/>
    <w:rsid w:val="006D3156"/>
    <w:rsid w:val="006D3603"/>
    <w:rsid w:val="006D49A5"/>
    <w:rsid w:val="006D584E"/>
    <w:rsid w:val="006D591E"/>
    <w:rsid w:val="006D5DD0"/>
    <w:rsid w:val="006D63AA"/>
    <w:rsid w:val="006D7707"/>
    <w:rsid w:val="006E0870"/>
    <w:rsid w:val="006E107E"/>
    <w:rsid w:val="006E261B"/>
    <w:rsid w:val="006E2E01"/>
    <w:rsid w:val="006E4778"/>
    <w:rsid w:val="006E4E1B"/>
    <w:rsid w:val="006E51E0"/>
    <w:rsid w:val="006E534E"/>
    <w:rsid w:val="006E56EA"/>
    <w:rsid w:val="006E6B1C"/>
    <w:rsid w:val="006E6EC6"/>
    <w:rsid w:val="006E79DE"/>
    <w:rsid w:val="006F0B76"/>
    <w:rsid w:val="006F1C3E"/>
    <w:rsid w:val="006F1D1B"/>
    <w:rsid w:val="006F2918"/>
    <w:rsid w:val="006F2D60"/>
    <w:rsid w:val="006F3088"/>
    <w:rsid w:val="006F51CD"/>
    <w:rsid w:val="006F55C2"/>
    <w:rsid w:val="006F55EE"/>
    <w:rsid w:val="006F5A48"/>
    <w:rsid w:val="006F6DE7"/>
    <w:rsid w:val="006F76C1"/>
    <w:rsid w:val="006F7917"/>
    <w:rsid w:val="006F79FA"/>
    <w:rsid w:val="00700143"/>
    <w:rsid w:val="00701F8C"/>
    <w:rsid w:val="00702540"/>
    <w:rsid w:val="00702D43"/>
    <w:rsid w:val="007037DD"/>
    <w:rsid w:val="007039B9"/>
    <w:rsid w:val="00703E92"/>
    <w:rsid w:val="007041BA"/>
    <w:rsid w:val="00704E7C"/>
    <w:rsid w:val="00705627"/>
    <w:rsid w:val="00706265"/>
    <w:rsid w:val="007062B9"/>
    <w:rsid w:val="00706B02"/>
    <w:rsid w:val="00706E00"/>
    <w:rsid w:val="007111A2"/>
    <w:rsid w:val="00712359"/>
    <w:rsid w:val="00712B65"/>
    <w:rsid w:val="00713400"/>
    <w:rsid w:val="00713B42"/>
    <w:rsid w:val="00713F55"/>
    <w:rsid w:val="0071459E"/>
    <w:rsid w:val="0071469D"/>
    <w:rsid w:val="00714970"/>
    <w:rsid w:val="00715099"/>
    <w:rsid w:val="007151AC"/>
    <w:rsid w:val="007151B7"/>
    <w:rsid w:val="00715D71"/>
    <w:rsid w:val="0071677D"/>
    <w:rsid w:val="00717137"/>
    <w:rsid w:val="00717482"/>
    <w:rsid w:val="00721662"/>
    <w:rsid w:val="00721714"/>
    <w:rsid w:val="00722132"/>
    <w:rsid w:val="007228E2"/>
    <w:rsid w:val="00724D68"/>
    <w:rsid w:val="00724E04"/>
    <w:rsid w:val="00725BF0"/>
    <w:rsid w:val="00727B67"/>
    <w:rsid w:val="0073028A"/>
    <w:rsid w:val="00730A6C"/>
    <w:rsid w:val="00730B42"/>
    <w:rsid w:val="00730C06"/>
    <w:rsid w:val="00731670"/>
    <w:rsid w:val="00731D4B"/>
    <w:rsid w:val="00732D91"/>
    <w:rsid w:val="00732F42"/>
    <w:rsid w:val="00733320"/>
    <w:rsid w:val="00733452"/>
    <w:rsid w:val="00733574"/>
    <w:rsid w:val="007335AD"/>
    <w:rsid w:val="0073429F"/>
    <w:rsid w:val="0073710E"/>
    <w:rsid w:val="007376AB"/>
    <w:rsid w:val="0074001A"/>
    <w:rsid w:val="00740181"/>
    <w:rsid w:val="00740969"/>
    <w:rsid w:val="00740C96"/>
    <w:rsid w:val="00741861"/>
    <w:rsid w:val="00742792"/>
    <w:rsid w:val="00742835"/>
    <w:rsid w:val="00743191"/>
    <w:rsid w:val="00743628"/>
    <w:rsid w:val="007439DC"/>
    <w:rsid w:val="00743AFD"/>
    <w:rsid w:val="00743B03"/>
    <w:rsid w:val="007446EE"/>
    <w:rsid w:val="00744A30"/>
    <w:rsid w:val="00744B56"/>
    <w:rsid w:val="00744C68"/>
    <w:rsid w:val="0074551E"/>
    <w:rsid w:val="00745B20"/>
    <w:rsid w:val="00745E99"/>
    <w:rsid w:val="00747690"/>
    <w:rsid w:val="0074777C"/>
    <w:rsid w:val="0075018C"/>
    <w:rsid w:val="007501C7"/>
    <w:rsid w:val="00751DBB"/>
    <w:rsid w:val="00751E7E"/>
    <w:rsid w:val="007521C4"/>
    <w:rsid w:val="007529C7"/>
    <w:rsid w:val="00753460"/>
    <w:rsid w:val="00753694"/>
    <w:rsid w:val="00754267"/>
    <w:rsid w:val="0075481B"/>
    <w:rsid w:val="00755FE5"/>
    <w:rsid w:val="00757A35"/>
    <w:rsid w:val="00757CC1"/>
    <w:rsid w:val="0076152E"/>
    <w:rsid w:val="00761CF9"/>
    <w:rsid w:val="0076368C"/>
    <w:rsid w:val="00763EDF"/>
    <w:rsid w:val="007647E8"/>
    <w:rsid w:val="00764E99"/>
    <w:rsid w:val="00765113"/>
    <w:rsid w:val="00765A08"/>
    <w:rsid w:val="00766695"/>
    <w:rsid w:val="0076681A"/>
    <w:rsid w:val="007672E6"/>
    <w:rsid w:val="00770A6E"/>
    <w:rsid w:val="0077114A"/>
    <w:rsid w:val="00771717"/>
    <w:rsid w:val="00772CF2"/>
    <w:rsid w:val="00773BB5"/>
    <w:rsid w:val="00773E8A"/>
    <w:rsid w:val="0077420C"/>
    <w:rsid w:val="007745ED"/>
    <w:rsid w:val="007745F8"/>
    <w:rsid w:val="007746EC"/>
    <w:rsid w:val="00774FA1"/>
    <w:rsid w:val="00775050"/>
    <w:rsid w:val="007773E9"/>
    <w:rsid w:val="00780127"/>
    <w:rsid w:val="007802B8"/>
    <w:rsid w:val="007806D2"/>
    <w:rsid w:val="007827B8"/>
    <w:rsid w:val="00783120"/>
    <w:rsid w:val="00784A55"/>
    <w:rsid w:val="00786B25"/>
    <w:rsid w:val="007877CA"/>
    <w:rsid w:val="00790DF2"/>
    <w:rsid w:val="00791B1C"/>
    <w:rsid w:val="0079419A"/>
    <w:rsid w:val="00794A0E"/>
    <w:rsid w:val="00794E56"/>
    <w:rsid w:val="00794F83"/>
    <w:rsid w:val="007967E7"/>
    <w:rsid w:val="00797F23"/>
    <w:rsid w:val="007A165E"/>
    <w:rsid w:val="007A187A"/>
    <w:rsid w:val="007A1B6A"/>
    <w:rsid w:val="007A1EF7"/>
    <w:rsid w:val="007A24FE"/>
    <w:rsid w:val="007A2927"/>
    <w:rsid w:val="007A2CC8"/>
    <w:rsid w:val="007A323A"/>
    <w:rsid w:val="007A3888"/>
    <w:rsid w:val="007A392D"/>
    <w:rsid w:val="007A4CC2"/>
    <w:rsid w:val="007A6158"/>
    <w:rsid w:val="007A76C5"/>
    <w:rsid w:val="007A7DA3"/>
    <w:rsid w:val="007A7EAC"/>
    <w:rsid w:val="007B00FA"/>
    <w:rsid w:val="007B05E9"/>
    <w:rsid w:val="007B0C10"/>
    <w:rsid w:val="007B1CCA"/>
    <w:rsid w:val="007B3115"/>
    <w:rsid w:val="007B3894"/>
    <w:rsid w:val="007B39F7"/>
    <w:rsid w:val="007B3A4D"/>
    <w:rsid w:val="007B4C1B"/>
    <w:rsid w:val="007B4E52"/>
    <w:rsid w:val="007B5128"/>
    <w:rsid w:val="007C0157"/>
    <w:rsid w:val="007C0B08"/>
    <w:rsid w:val="007C1AF4"/>
    <w:rsid w:val="007C21FB"/>
    <w:rsid w:val="007C2486"/>
    <w:rsid w:val="007C317B"/>
    <w:rsid w:val="007C3DA2"/>
    <w:rsid w:val="007C3F4B"/>
    <w:rsid w:val="007C498D"/>
    <w:rsid w:val="007C4A83"/>
    <w:rsid w:val="007C696A"/>
    <w:rsid w:val="007C7A5A"/>
    <w:rsid w:val="007D0CFD"/>
    <w:rsid w:val="007D1E61"/>
    <w:rsid w:val="007D2837"/>
    <w:rsid w:val="007D2F63"/>
    <w:rsid w:val="007D2FE0"/>
    <w:rsid w:val="007D42B4"/>
    <w:rsid w:val="007D4368"/>
    <w:rsid w:val="007D4F53"/>
    <w:rsid w:val="007D5D16"/>
    <w:rsid w:val="007D6E12"/>
    <w:rsid w:val="007D75C9"/>
    <w:rsid w:val="007E19C4"/>
    <w:rsid w:val="007E2797"/>
    <w:rsid w:val="007E479D"/>
    <w:rsid w:val="007E57CB"/>
    <w:rsid w:val="007E7881"/>
    <w:rsid w:val="007E7D3D"/>
    <w:rsid w:val="007F02F1"/>
    <w:rsid w:val="007F04C2"/>
    <w:rsid w:val="007F06F3"/>
    <w:rsid w:val="007F1A24"/>
    <w:rsid w:val="007F1D88"/>
    <w:rsid w:val="007F2708"/>
    <w:rsid w:val="007F291D"/>
    <w:rsid w:val="007F418D"/>
    <w:rsid w:val="007F45CD"/>
    <w:rsid w:val="007F5336"/>
    <w:rsid w:val="007F556B"/>
    <w:rsid w:val="007F5994"/>
    <w:rsid w:val="007F5E1C"/>
    <w:rsid w:val="007F6D26"/>
    <w:rsid w:val="007F72FE"/>
    <w:rsid w:val="00800877"/>
    <w:rsid w:val="008019E8"/>
    <w:rsid w:val="00801BE3"/>
    <w:rsid w:val="00801E5B"/>
    <w:rsid w:val="00802088"/>
    <w:rsid w:val="008021E3"/>
    <w:rsid w:val="0080274B"/>
    <w:rsid w:val="00802912"/>
    <w:rsid w:val="00802B28"/>
    <w:rsid w:val="0080337A"/>
    <w:rsid w:val="008063FA"/>
    <w:rsid w:val="0081004E"/>
    <w:rsid w:val="00810C51"/>
    <w:rsid w:val="008114E8"/>
    <w:rsid w:val="0081161E"/>
    <w:rsid w:val="00812040"/>
    <w:rsid w:val="00812783"/>
    <w:rsid w:val="00814109"/>
    <w:rsid w:val="00814275"/>
    <w:rsid w:val="008168D3"/>
    <w:rsid w:val="00816E37"/>
    <w:rsid w:val="00816EEB"/>
    <w:rsid w:val="00817440"/>
    <w:rsid w:val="0081789A"/>
    <w:rsid w:val="008201D2"/>
    <w:rsid w:val="0082101F"/>
    <w:rsid w:val="008222D6"/>
    <w:rsid w:val="00822926"/>
    <w:rsid w:val="00822C3F"/>
    <w:rsid w:val="008243AB"/>
    <w:rsid w:val="008247BD"/>
    <w:rsid w:val="00825245"/>
    <w:rsid w:val="008260CB"/>
    <w:rsid w:val="008269F8"/>
    <w:rsid w:val="00826E23"/>
    <w:rsid w:val="008272B2"/>
    <w:rsid w:val="008272CA"/>
    <w:rsid w:val="00827A23"/>
    <w:rsid w:val="00827BF5"/>
    <w:rsid w:val="0083063A"/>
    <w:rsid w:val="00831763"/>
    <w:rsid w:val="00832029"/>
    <w:rsid w:val="00832141"/>
    <w:rsid w:val="00832A60"/>
    <w:rsid w:val="00832CFC"/>
    <w:rsid w:val="00834EC9"/>
    <w:rsid w:val="00836B25"/>
    <w:rsid w:val="00836BA5"/>
    <w:rsid w:val="00836E42"/>
    <w:rsid w:val="0083710E"/>
    <w:rsid w:val="008409AE"/>
    <w:rsid w:val="00840E85"/>
    <w:rsid w:val="00840F6E"/>
    <w:rsid w:val="008416A1"/>
    <w:rsid w:val="008430BA"/>
    <w:rsid w:val="0084378B"/>
    <w:rsid w:val="00843B2F"/>
    <w:rsid w:val="00844A3F"/>
    <w:rsid w:val="00845EBD"/>
    <w:rsid w:val="008470EF"/>
    <w:rsid w:val="0084729B"/>
    <w:rsid w:val="0085105A"/>
    <w:rsid w:val="00851822"/>
    <w:rsid w:val="008518B9"/>
    <w:rsid w:val="008521A7"/>
    <w:rsid w:val="00852368"/>
    <w:rsid w:val="00853AC5"/>
    <w:rsid w:val="00854975"/>
    <w:rsid w:val="008565B6"/>
    <w:rsid w:val="00856922"/>
    <w:rsid w:val="008578FD"/>
    <w:rsid w:val="0086042E"/>
    <w:rsid w:val="00860B22"/>
    <w:rsid w:val="00861128"/>
    <w:rsid w:val="0086174D"/>
    <w:rsid w:val="00861943"/>
    <w:rsid w:val="00862BAE"/>
    <w:rsid w:val="008634F1"/>
    <w:rsid w:val="008637A6"/>
    <w:rsid w:val="00863A81"/>
    <w:rsid w:val="008655AF"/>
    <w:rsid w:val="00866EDB"/>
    <w:rsid w:val="00866F25"/>
    <w:rsid w:val="0086708C"/>
    <w:rsid w:val="008678EE"/>
    <w:rsid w:val="0086795B"/>
    <w:rsid w:val="00867AAA"/>
    <w:rsid w:val="00867B6C"/>
    <w:rsid w:val="00867F15"/>
    <w:rsid w:val="00870A4A"/>
    <w:rsid w:val="00870E30"/>
    <w:rsid w:val="0087306E"/>
    <w:rsid w:val="0087416F"/>
    <w:rsid w:val="00874368"/>
    <w:rsid w:val="008743FB"/>
    <w:rsid w:val="00874602"/>
    <w:rsid w:val="00874E39"/>
    <w:rsid w:val="0087537E"/>
    <w:rsid w:val="00875553"/>
    <w:rsid w:val="00875F9E"/>
    <w:rsid w:val="008764D4"/>
    <w:rsid w:val="00876F46"/>
    <w:rsid w:val="00877495"/>
    <w:rsid w:val="00877942"/>
    <w:rsid w:val="00880BBF"/>
    <w:rsid w:val="00881717"/>
    <w:rsid w:val="00881FF5"/>
    <w:rsid w:val="0088225A"/>
    <w:rsid w:val="00885052"/>
    <w:rsid w:val="0088798C"/>
    <w:rsid w:val="0089074C"/>
    <w:rsid w:val="00890759"/>
    <w:rsid w:val="0089137F"/>
    <w:rsid w:val="0089442A"/>
    <w:rsid w:val="00897565"/>
    <w:rsid w:val="00897A26"/>
    <w:rsid w:val="008A0982"/>
    <w:rsid w:val="008A1163"/>
    <w:rsid w:val="008A1546"/>
    <w:rsid w:val="008A2086"/>
    <w:rsid w:val="008A28A8"/>
    <w:rsid w:val="008A3666"/>
    <w:rsid w:val="008A373A"/>
    <w:rsid w:val="008A44DF"/>
    <w:rsid w:val="008A4B9A"/>
    <w:rsid w:val="008A4DBD"/>
    <w:rsid w:val="008A545A"/>
    <w:rsid w:val="008A581D"/>
    <w:rsid w:val="008A67D4"/>
    <w:rsid w:val="008A7818"/>
    <w:rsid w:val="008A7852"/>
    <w:rsid w:val="008A7922"/>
    <w:rsid w:val="008B01E4"/>
    <w:rsid w:val="008B15D4"/>
    <w:rsid w:val="008B160B"/>
    <w:rsid w:val="008B1EAE"/>
    <w:rsid w:val="008B1F8C"/>
    <w:rsid w:val="008B237E"/>
    <w:rsid w:val="008B2401"/>
    <w:rsid w:val="008B3A18"/>
    <w:rsid w:val="008B3DED"/>
    <w:rsid w:val="008B472A"/>
    <w:rsid w:val="008B47F1"/>
    <w:rsid w:val="008B5709"/>
    <w:rsid w:val="008B5FFC"/>
    <w:rsid w:val="008B69D4"/>
    <w:rsid w:val="008B6B03"/>
    <w:rsid w:val="008B7590"/>
    <w:rsid w:val="008B7988"/>
    <w:rsid w:val="008C0122"/>
    <w:rsid w:val="008C12E5"/>
    <w:rsid w:val="008C14CA"/>
    <w:rsid w:val="008C232B"/>
    <w:rsid w:val="008C23F9"/>
    <w:rsid w:val="008C272C"/>
    <w:rsid w:val="008C2A71"/>
    <w:rsid w:val="008C3C11"/>
    <w:rsid w:val="008C469F"/>
    <w:rsid w:val="008C477B"/>
    <w:rsid w:val="008C4AEA"/>
    <w:rsid w:val="008C4E7B"/>
    <w:rsid w:val="008C5665"/>
    <w:rsid w:val="008C57D5"/>
    <w:rsid w:val="008C6CE7"/>
    <w:rsid w:val="008C79BA"/>
    <w:rsid w:val="008C7F01"/>
    <w:rsid w:val="008D0009"/>
    <w:rsid w:val="008D0056"/>
    <w:rsid w:val="008D01AC"/>
    <w:rsid w:val="008D0315"/>
    <w:rsid w:val="008D0F1F"/>
    <w:rsid w:val="008D1EAA"/>
    <w:rsid w:val="008D359D"/>
    <w:rsid w:val="008D360F"/>
    <w:rsid w:val="008D3892"/>
    <w:rsid w:val="008D38AD"/>
    <w:rsid w:val="008D54BA"/>
    <w:rsid w:val="008D5D01"/>
    <w:rsid w:val="008D60B2"/>
    <w:rsid w:val="008D63B0"/>
    <w:rsid w:val="008D6CF0"/>
    <w:rsid w:val="008D6F3F"/>
    <w:rsid w:val="008D6F8A"/>
    <w:rsid w:val="008D6FD1"/>
    <w:rsid w:val="008D71AB"/>
    <w:rsid w:val="008E03D8"/>
    <w:rsid w:val="008E17EA"/>
    <w:rsid w:val="008E1B7C"/>
    <w:rsid w:val="008E1D41"/>
    <w:rsid w:val="008E286D"/>
    <w:rsid w:val="008E3BAD"/>
    <w:rsid w:val="008E40E0"/>
    <w:rsid w:val="008E47D5"/>
    <w:rsid w:val="008E4975"/>
    <w:rsid w:val="008E50F6"/>
    <w:rsid w:val="008E7A26"/>
    <w:rsid w:val="008E7B81"/>
    <w:rsid w:val="008E7D03"/>
    <w:rsid w:val="008F0204"/>
    <w:rsid w:val="008F0500"/>
    <w:rsid w:val="008F0E1F"/>
    <w:rsid w:val="008F1D1E"/>
    <w:rsid w:val="008F3B71"/>
    <w:rsid w:val="008F4D16"/>
    <w:rsid w:val="008F53AF"/>
    <w:rsid w:val="008F63BB"/>
    <w:rsid w:val="008F63EE"/>
    <w:rsid w:val="008F6DF8"/>
    <w:rsid w:val="008F72C4"/>
    <w:rsid w:val="00901085"/>
    <w:rsid w:val="00901898"/>
    <w:rsid w:val="00901E15"/>
    <w:rsid w:val="00902991"/>
    <w:rsid w:val="00902C6A"/>
    <w:rsid w:val="0090460B"/>
    <w:rsid w:val="00904AC2"/>
    <w:rsid w:val="00904CBB"/>
    <w:rsid w:val="009056BD"/>
    <w:rsid w:val="00905B51"/>
    <w:rsid w:val="009100AE"/>
    <w:rsid w:val="009105BC"/>
    <w:rsid w:val="00910690"/>
    <w:rsid w:val="00911806"/>
    <w:rsid w:val="00911B5A"/>
    <w:rsid w:val="00911EA0"/>
    <w:rsid w:val="0091214A"/>
    <w:rsid w:val="009125D4"/>
    <w:rsid w:val="00913333"/>
    <w:rsid w:val="0091531B"/>
    <w:rsid w:val="00915D4F"/>
    <w:rsid w:val="00916252"/>
    <w:rsid w:val="0091639D"/>
    <w:rsid w:val="009166DB"/>
    <w:rsid w:val="009176F0"/>
    <w:rsid w:val="00917AAD"/>
    <w:rsid w:val="00920E64"/>
    <w:rsid w:val="00921673"/>
    <w:rsid w:val="00921A17"/>
    <w:rsid w:val="00921A38"/>
    <w:rsid w:val="00922419"/>
    <w:rsid w:val="0092436B"/>
    <w:rsid w:val="00924700"/>
    <w:rsid w:val="00924DBD"/>
    <w:rsid w:val="009258A8"/>
    <w:rsid w:val="00926FA0"/>
    <w:rsid w:val="00927354"/>
    <w:rsid w:val="00927AFB"/>
    <w:rsid w:val="00927CAA"/>
    <w:rsid w:val="0093082E"/>
    <w:rsid w:val="00930F38"/>
    <w:rsid w:val="00932477"/>
    <w:rsid w:val="009330E4"/>
    <w:rsid w:val="0093365E"/>
    <w:rsid w:val="00933B75"/>
    <w:rsid w:val="00935FA2"/>
    <w:rsid w:val="009364CB"/>
    <w:rsid w:val="00940559"/>
    <w:rsid w:val="00940733"/>
    <w:rsid w:val="00941339"/>
    <w:rsid w:val="00942FB5"/>
    <w:rsid w:val="009435C2"/>
    <w:rsid w:val="00943BBC"/>
    <w:rsid w:val="00944773"/>
    <w:rsid w:val="00944C9B"/>
    <w:rsid w:val="00946CA8"/>
    <w:rsid w:val="00947A74"/>
    <w:rsid w:val="00947C5E"/>
    <w:rsid w:val="00947F45"/>
    <w:rsid w:val="00950FF3"/>
    <w:rsid w:val="009517F8"/>
    <w:rsid w:val="00952201"/>
    <w:rsid w:val="0095272B"/>
    <w:rsid w:val="00952F49"/>
    <w:rsid w:val="009537D9"/>
    <w:rsid w:val="00953A11"/>
    <w:rsid w:val="00953E5D"/>
    <w:rsid w:val="00954162"/>
    <w:rsid w:val="009541DB"/>
    <w:rsid w:val="00954229"/>
    <w:rsid w:val="009546D7"/>
    <w:rsid w:val="00954A41"/>
    <w:rsid w:val="009557E8"/>
    <w:rsid w:val="00955F25"/>
    <w:rsid w:val="00956F34"/>
    <w:rsid w:val="0095795C"/>
    <w:rsid w:val="00957EF5"/>
    <w:rsid w:val="00960536"/>
    <w:rsid w:val="009606AD"/>
    <w:rsid w:val="009612FF"/>
    <w:rsid w:val="00961CC5"/>
    <w:rsid w:val="00962666"/>
    <w:rsid w:val="00962A58"/>
    <w:rsid w:val="00963097"/>
    <w:rsid w:val="00963F9C"/>
    <w:rsid w:val="00964947"/>
    <w:rsid w:val="0096500E"/>
    <w:rsid w:val="009657F1"/>
    <w:rsid w:val="00965932"/>
    <w:rsid w:val="00967233"/>
    <w:rsid w:val="00967265"/>
    <w:rsid w:val="0096767E"/>
    <w:rsid w:val="009703F7"/>
    <w:rsid w:val="00970B7A"/>
    <w:rsid w:val="0097333A"/>
    <w:rsid w:val="00974DC3"/>
    <w:rsid w:val="009754B9"/>
    <w:rsid w:val="00975C37"/>
    <w:rsid w:val="0097673E"/>
    <w:rsid w:val="0098004E"/>
    <w:rsid w:val="00980369"/>
    <w:rsid w:val="009813C3"/>
    <w:rsid w:val="00982CAB"/>
    <w:rsid w:val="00983FF0"/>
    <w:rsid w:val="0098413D"/>
    <w:rsid w:val="009857A5"/>
    <w:rsid w:val="00986F8E"/>
    <w:rsid w:val="0098785A"/>
    <w:rsid w:val="00987CAB"/>
    <w:rsid w:val="00987EAE"/>
    <w:rsid w:val="00991C43"/>
    <w:rsid w:val="009926EB"/>
    <w:rsid w:val="00992DFE"/>
    <w:rsid w:val="0099364A"/>
    <w:rsid w:val="00994468"/>
    <w:rsid w:val="00995094"/>
    <w:rsid w:val="0099568A"/>
    <w:rsid w:val="009964D6"/>
    <w:rsid w:val="009A02CA"/>
    <w:rsid w:val="009A0C75"/>
    <w:rsid w:val="009A14AC"/>
    <w:rsid w:val="009A17AD"/>
    <w:rsid w:val="009A184D"/>
    <w:rsid w:val="009A258C"/>
    <w:rsid w:val="009A5905"/>
    <w:rsid w:val="009A7860"/>
    <w:rsid w:val="009B03C0"/>
    <w:rsid w:val="009B0801"/>
    <w:rsid w:val="009B0CFD"/>
    <w:rsid w:val="009B0E4D"/>
    <w:rsid w:val="009B1DEF"/>
    <w:rsid w:val="009B22DC"/>
    <w:rsid w:val="009B2F5D"/>
    <w:rsid w:val="009B5178"/>
    <w:rsid w:val="009B7010"/>
    <w:rsid w:val="009B70CF"/>
    <w:rsid w:val="009B7118"/>
    <w:rsid w:val="009C1B3B"/>
    <w:rsid w:val="009C441D"/>
    <w:rsid w:val="009C4B85"/>
    <w:rsid w:val="009C4F8E"/>
    <w:rsid w:val="009C5E8C"/>
    <w:rsid w:val="009C61C1"/>
    <w:rsid w:val="009C691E"/>
    <w:rsid w:val="009C6DDC"/>
    <w:rsid w:val="009C6FCC"/>
    <w:rsid w:val="009C7566"/>
    <w:rsid w:val="009C7F91"/>
    <w:rsid w:val="009D12A6"/>
    <w:rsid w:val="009D291A"/>
    <w:rsid w:val="009D36B9"/>
    <w:rsid w:val="009D3D2B"/>
    <w:rsid w:val="009D400F"/>
    <w:rsid w:val="009D4431"/>
    <w:rsid w:val="009D4DCB"/>
    <w:rsid w:val="009D5824"/>
    <w:rsid w:val="009D5A7F"/>
    <w:rsid w:val="009D7407"/>
    <w:rsid w:val="009E0443"/>
    <w:rsid w:val="009E04D6"/>
    <w:rsid w:val="009E11B3"/>
    <w:rsid w:val="009E1F70"/>
    <w:rsid w:val="009E1F91"/>
    <w:rsid w:val="009E3F09"/>
    <w:rsid w:val="009E3FED"/>
    <w:rsid w:val="009E4DC2"/>
    <w:rsid w:val="009E6CB0"/>
    <w:rsid w:val="009E6F9C"/>
    <w:rsid w:val="009E71CA"/>
    <w:rsid w:val="009F005C"/>
    <w:rsid w:val="009F0E26"/>
    <w:rsid w:val="009F15CC"/>
    <w:rsid w:val="009F2E79"/>
    <w:rsid w:val="009F3156"/>
    <w:rsid w:val="009F37BC"/>
    <w:rsid w:val="009F421F"/>
    <w:rsid w:val="009F5598"/>
    <w:rsid w:val="009F62A1"/>
    <w:rsid w:val="009F6922"/>
    <w:rsid w:val="009F72B4"/>
    <w:rsid w:val="00A00E3D"/>
    <w:rsid w:val="00A02D3B"/>
    <w:rsid w:val="00A03243"/>
    <w:rsid w:val="00A05020"/>
    <w:rsid w:val="00A05921"/>
    <w:rsid w:val="00A05E79"/>
    <w:rsid w:val="00A06F0B"/>
    <w:rsid w:val="00A100FC"/>
    <w:rsid w:val="00A102DF"/>
    <w:rsid w:val="00A11821"/>
    <w:rsid w:val="00A11DDD"/>
    <w:rsid w:val="00A127C1"/>
    <w:rsid w:val="00A13561"/>
    <w:rsid w:val="00A14C26"/>
    <w:rsid w:val="00A161CC"/>
    <w:rsid w:val="00A17290"/>
    <w:rsid w:val="00A17587"/>
    <w:rsid w:val="00A1773E"/>
    <w:rsid w:val="00A17969"/>
    <w:rsid w:val="00A207E0"/>
    <w:rsid w:val="00A21B27"/>
    <w:rsid w:val="00A2203F"/>
    <w:rsid w:val="00A23077"/>
    <w:rsid w:val="00A23A63"/>
    <w:rsid w:val="00A2406E"/>
    <w:rsid w:val="00A255E6"/>
    <w:rsid w:val="00A258D4"/>
    <w:rsid w:val="00A25A5E"/>
    <w:rsid w:val="00A2738E"/>
    <w:rsid w:val="00A30407"/>
    <w:rsid w:val="00A31944"/>
    <w:rsid w:val="00A31DEA"/>
    <w:rsid w:val="00A328CE"/>
    <w:rsid w:val="00A3293A"/>
    <w:rsid w:val="00A338F7"/>
    <w:rsid w:val="00A349B1"/>
    <w:rsid w:val="00A358D8"/>
    <w:rsid w:val="00A36498"/>
    <w:rsid w:val="00A37D2C"/>
    <w:rsid w:val="00A40547"/>
    <w:rsid w:val="00A40EFE"/>
    <w:rsid w:val="00A4445B"/>
    <w:rsid w:val="00A44ACA"/>
    <w:rsid w:val="00A44F40"/>
    <w:rsid w:val="00A47879"/>
    <w:rsid w:val="00A47B13"/>
    <w:rsid w:val="00A50889"/>
    <w:rsid w:val="00A50CAF"/>
    <w:rsid w:val="00A50DCB"/>
    <w:rsid w:val="00A51123"/>
    <w:rsid w:val="00A51227"/>
    <w:rsid w:val="00A540A7"/>
    <w:rsid w:val="00A556E6"/>
    <w:rsid w:val="00A56CF9"/>
    <w:rsid w:val="00A573C7"/>
    <w:rsid w:val="00A57D0C"/>
    <w:rsid w:val="00A608C1"/>
    <w:rsid w:val="00A60E07"/>
    <w:rsid w:val="00A61E1E"/>
    <w:rsid w:val="00A62E16"/>
    <w:rsid w:val="00A63739"/>
    <w:rsid w:val="00A641B5"/>
    <w:rsid w:val="00A64891"/>
    <w:rsid w:val="00A6495E"/>
    <w:rsid w:val="00A64C1E"/>
    <w:rsid w:val="00A65306"/>
    <w:rsid w:val="00A66FF6"/>
    <w:rsid w:val="00A67A47"/>
    <w:rsid w:val="00A67E39"/>
    <w:rsid w:val="00A707B9"/>
    <w:rsid w:val="00A70EB2"/>
    <w:rsid w:val="00A727DA"/>
    <w:rsid w:val="00A72BF6"/>
    <w:rsid w:val="00A7325A"/>
    <w:rsid w:val="00A748CB"/>
    <w:rsid w:val="00A77238"/>
    <w:rsid w:val="00A77A7E"/>
    <w:rsid w:val="00A8128B"/>
    <w:rsid w:val="00A81F2C"/>
    <w:rsid w:val="00A8202F"/>
    <w:rsid w:val="00A8242E"/>
    <w:rsid w:val="00A835F3"/>
    <w:rsid w:val="00A844E2"/>
    <w:rsid w:val="00A84C91"/>
    <w:rsid w:val="00A864FD"/>
    <w:rsid w:val="00A904B8"/>
    <w:rsid w:val="00A9091D"/>
    <w:rsid w:val="00A9132F"/>
    <w:rsid w:val="00A9160E"/>
    <w:rsid w:val="00A92561"/>
    <w:rsid w:val="00A92FFA"/>
    <w:rsid w:val="00A94960"/>
    <w:rsid w:val="00A94BC8"/>
    <w:rsid w:val="00A94EB2"/>
    <w:rsid w:val="00A95FAE"/>
    <w:rsid w:val="00A9621C"/>
    <w:rsid w:val="00A96F69"/>
    <w:rsid w:val="00A97724"/>
    <w:rsid w:val="00A97949"/>
    <w:rsid w:val="00AA0FD0"/>
    <w:rsid w:val="00AA12A5"/>
    <w:rsid w:val="00AA1F32"/>
    <w:rsid w:val="00AA2D1C"/>
    <w:rsid w:val="00AA422C"/>
    <w:rsid w:val="00AA4AD0"/>
    <w:rsid w:val="00AA4C21"/>
    <w:rsid w:val="00AA4E96"/>
    <w:rsid w:val="00AA550E"/>
    <w:rsid w:val="00AA5D09"/>
    <w:rsid w:val="00AA6BF9"/>
    <w:rsid w:val="00AA6FE5"/>
    <w:rsid w:val="00AB0D9A"/>
    <w:rsid w:val="00AB1365"/>
    <w:rsid w:val="00AB147D"/>
    <w:rsid w:val="00AB1636"/>
    <w:rsid w:val="00AB2328"/>
    <w:rsid w:val="00AB40BD"/>
    <w:rsid w:val="00AB432C"/>
    <w:rsid w:val="00AB4DE8"/>
    <w:rsid w:val="00AB4EDB"/>
    <w:rsid w:val="00AB514E"/>
    <w:rsid w:val="00AB53EE"/>
    <w:rsid w:val="00AB567C"/>
    <w:rsid w:val="00AB6273"/>
    <w:rsid w:val="00AB7022"/>
    <w:rsid w:val="00AB7BA9"/>
    <w:rsid w:val="00AB7DDD"/>
    <w:rsid w:val="00AB7E9D"/>
    <w:rsid w:val="00AC051D"/>
    <w:rsid w:val="00AC0A47"/>
    <w:rsid w:val="00AC15D3"/>
    <w:rsid w:val="00AC2F84"/>
    <w:rsid w:val="00AC363C"/>
    <w:rsid w:val="00AC44D2"/>
    <w:rsid w:val="00AC4662"/>
    <w:rsid w:val="00AC4919"/>
    <w:rsid w:val="00AC6E71"/>
    <w:rsid w:val="00AC70A7"/>
    <w:rsid w:val="00AC7D73"/>
    <w:rsid w:val="00AD0085"/>
    <w:rsid w:val="00AD175F"/>
    <w:rsid w:val="00AD17A9"/>
    <w:rsid w:val="00AD1BBC"/>
    <w:rsid w:val="00AD2A3F"/>
    <w:rsid w:val="00AD338D"/>
    <w:rsid w:val="00AD4F75"/>
    <w:rsid w:val="00AD63A7"/>
    <w:rsid w:val="00AD6E91"/>
    <w:rsid w:val="00AD6F07"/>
    <w:rsid w:val="00AD755B"/>
    <w:rsid w:val="00AD75C4"/>
    <w:rsid w:val="00AE041C"/>
    <w:rsid w:val="00AE07CB"/>
    <w:rsid w:val="00AE08FB"/>
    <w:rsid w:val="00AE1980"/>
    <w:rsid w:val="00AE2BC3"/>
    <w:rsid w:val="00AE2F33"/>
    <w:rsid w:val="00AE3E79"/>
    <w:rsid w:val="00AE424F"/>
    <w:rsid w:val="00AE5FE8"/>
    <w:rsid w:val="00AE6001"/>
    <w:rsid w:val="00AE696B"/>
    <w:rsid w:val="00AE7072"/>
    <w:rsid w:val="00AE7AAF"/>
    <w:rsid w:val="00AE7AED"/>
    <w:rsid w:val="00AF2088"/>
    <w:rsid w:val="00AF49FB"/>
    <w:rsid w:val="00AF5D3F"/>
    <w:rsid w:val="00AF6346"/>
    <w:rsid w:val="00AF76D2"/>
    <w:rsid w:val="00AF7964"/>
    <w:rsid w:val="00B013AB"/>
    <w:rsid w:val="00B019C4"/>
    <w:rsid w:val="00B01CD9"/>
    <w:rsid w:val="00B01F37"/>
    <w:rsid w:val="00B0286E"/>
    <w:rsid w:val="00B03144"/>
    <w:rsid w:val="00B0410A"/>
    <w:rsid w:val="00B043D6"/>
    <w:rsid w:val="00B04BB3"/>
    <w:rsid w:val="00B058BE"/>
    <w:rsid w:val="00B05E5B"/>
    <w:rsid w:val="00B0605D"/>
    <w:rsid w:val="00B070E2"/>
    <w:rsid w:val="00B0782C"/>
    <w:rsid w:val="00B07B68"/>
    <w:rsid w:val="00B100F7"/>
    <w:rsid w:val="00B10157"/>
    <w:rsid w:val="00B10B33"/>
    <w:rsid w:val="00B16136"/>
    <w:rsid w:val="00B16845"/>
    <w:rsid w:val="00B16907"/>
    <w:rsid w:val="00B16B54"/>
    <w:rsid w:val="00B17272"/>
    <w:rsid w:val="00B20B9C"/>
    <w:rsid w:val="00B20DF8"/>
    <w:rsid w:val="00B213E2"/>
    <w:rsid w:val="00B21A34"/>
    <w:rsid w:val="00B2280E"/>
    <w:rsid w:val="00B22DC4"/>
    <w:rsid w:val="00B23995"/>
    <w:rsid w:val="00B25074"/>
    <w:rsid w:val="00B25378"/>
    <w:rsid w:val="00B256D0"/>
    <w:rsid w:val="00B25C7C"/>
    <w:rsid w:val="00B26825"/>
    <w:rsid w:val="00B26A7C"/>
    <w:rsid w:val="00B308FA"/>
    <w:rsid w:val="00B31D28"/>
    <w:rsid w:val="00B3259E"/>
    <w:rsid w:val="00B341F3"/>
    <w:rsid w:val="00B34B69"/>
    <w:rsid w:val="00B3575F"/>
    <w:rsid w:val="00B35881"/>
    <w:rsid w:val="00B36426"/>
    <w:rsid w:val="00B36568"/>
    <w:rsid w:val="00B36CD0"/>
    <w:rsid w:val="00B42493"/>
    <w:rsid w:val="00B42A70"/>
    <w:rsid w:val="00B431E7"/>
    <w:rsid w:val="00B4356C"/>
    <w:rsid w:val="00B44D59"/>
    <w:rsid w:val="00B45147"/>
    <w:rsid w:val="00B454E9"/>
    <w:rsid w:val="00B516D8"/>
    <w:rsid w:val="00B54858"/>
    <w:rsid w:val="00B54B49"/>
    <w:rsid w:val="00B54D6F"/>
    <w:rsid w:val="00B54EB0"/>
    <w:rsid w:val="00B5501C"/>
    <w:rsid w:val="00B55987"/>
    <w:rsid w:val="00B55EFE"/>
    <w:rsid w:val="00B56411"/>
    <w:rsid w:val="00B5697D"/>
    <w:rsid w:val="00B56E8E"/>
    <w:rsid w:val="00B570C3"/>
    <w:rsid w:val="00B57C32"/>
    <w:rsid w:val="00B619C8"/>
    <w:rsid w:val="00B62699"/>
    <w:rsid w:val="00B63023"/>
    <w:rsid w:val="00B63483"/>
    <w:rsid w:val="00B634FD"/>
    <w:rsid w:val="00B63D97"/>
    <w:rsid w:val="00B6449F"/>
    <w:rsid w:val="00B64806"/>
    <w:rsid w:val="00B64DC9"/>
    <w:rsid w:val="00B66AC0"/>
    <w:rsid w:val="00B67151"/>
    <w:rsid w:val="00B70140"/>
    <w:rsid w:val="00B704E2"/>
    <w:rsid w:val="00B7065B"/>
    <w:rsid w:val="00B70802"/>
    <w:rsid w:val="00B70AC2"/>
    <w:rsid w:val="00B70B08"/>
    <w:rsid w:val="00B70B79"/>
    <w:rsid w:val="00B718A7"/>
    <w:rsid w:val="00B72081"/>
    <w:rsid w:val="00B72645"/>
    <w:rsid w:val="00B7481C"/>
    <w:rsid w:val="00B75F55"/>
    <w:rsid w:val="00B76C9F"/>
    <w:rsid w:val="00B77E75"/>
    <w:rsid w:val="00B8005C"/>
    <w:rsid w:val="00B8132F"/>
    <w:rsid w:val="00B832F9"/>
    <w:rsid w:val="00B83ADA"/>
    <w:rsid w:val="00B862C9"/>
    <w:rsid w:val="00B87BA3"/>
    <w:rsid w:val="00B90288"/>
    <w:rsid w:val="00B90E74"/>
    <w:rsid w:val="00B9121C"/>
    <w:rsid w:val="00B91363"/>
    <w:rsid w:val="00B92DAF"/>
    <w:rsid w:val="00B93632"/>
    <w:rsid w:val="00B954E9"/>
    <w:rsid w:val="00B955C6"/>
    <w:rsid w:val="00B95A93"/>
    <w:rsid w:val="00B95E46"/>
    <w:rsid w:val="00B9641A"/>
    <w:rsid w:val="00B966FA"/>
    <w:rsid w:val="00B972F8"/>
    <w:rsid w:val="00B97A7B"/>
    <w:rsid w:val="00BA100F"/>
    <w:rsid w:val="00BA11C1"/>
    <w:rsid w:val="00BA1509"/>
    <w:rsid w:val="00BA1BDD"/>
    <w:rsid w:val="00BA283C"/>
    <w:rsid w:val="00BA3C81"/>
    <w:rsid w:val="00BA5F0B"/>
    <w:rsid w:val="00BA6934"/>
    <w:rsid w:val="00BA6CBE"/>
    <w:rsid w:val="00BA742E"/>
    <w:rsid w:val="00BB0111"/>
    <w:rsid w:val="00BB02FD"/>
    <w:rsid w:val="00BB11FC"/>
    <w:rsid w:val="00BB1435"/>
    <w:rsid w:val="00BB14FB"/>
    <w:rsid w:val="00BB3408"/>
    <w:rsid w:val="00BB427D"/>
    <w:rsid w:val="00BB4478"/>
    <w:rsid w:val="00BB4C7F"/>
    <w:rsid w:val="00BB666C"/>
    <w:rsid w:val="00BB73BB"/>
    <w:rsid w:val="00BB75D6"/>
    <w:rsid w:val="00BB79FA"/>
    <w:rsid w:val="00BC06B4"/>
    <w:rsid w:val="00BC1ECE"/>
    <w:rsid w:val="00BC4033"/>
    <w:rsid w:val="00BC5BF3"/>
    <w:rsid w:val="00BC6EE8"/>
    <w:rsid w:val="00BC73BF"/>
    <w:rsid w:val="00BC79BC"/>
    <w:rsid w:val="00BC7B53"/>
    <w:rsid w:val="00BD0FF9"/>
    <w:rsid w:val="00BD2167"/>
    <w:rsid w:val="00BD296B"/>
    <w:rsid w:val="00BD3B31"/>
    <w:rsid w:val="00BD3E71"/>
    <w:rsid w:val="00BD48FF"/>
    <w:rsid w:val="00BD54E6"/>
    <w:rsid w:val="00BD6F32"/>
    <w:rsid w:val="00BD734F"/>
    <w:rsid w:val="00BE34C2"/>
    <w:rsid w:val="00BE376D"/>
    <w:rsid w:val="00BE5FD1"/>
    <w:rsid w:val="00BE60A5"/>
    <w:rsid w:val="00BF011A"/>
    <w:rsid w:val="00BF09E7"/>
    <w:rsid w:val="00BF162D"/>
    <w:rsid w:val="00BF21B9"/>
    <w:rsid w:val="00BF2620"/>
    <w:rsid w:val="00BF3363"/>
    <w:rsid w:val="00BF3655"/>
    <w:rsid w:val="00BF37AE"/>
    <w:rsid w:val="00BF7A0C"/>
    <w:rsid w:val="00C03DB8"/>
    <w:rsid w:val="00C04078"/>
    <w:rsid w:val="00C040AB"/>
    <w:rsid w:val="00C04ED5"/>
    <w:rsid w:val="00C05357"/>
    <w:rsid w:val="00C0602E"/>
    <w:rsid w:val="00C0657E"/>
    <w:rsid w:val="00C07D43"/>
    <w:rsid w:val="00C101E6"/>
    <w:rsid w:val="00C10A60"/>
    <w:rsid w:val="00C11454"/>
    <w:rsid w:val="00C133FA"/>
    <w:rsid w:val="00C136B4"/>
    <w:rsid w:val="00C139BB"/>
    <w:rsid w:val="00C13D1C"/>
    <w:rsid w:val="00C141A0"/>
    <w:rsid w:val="00C14381"/>
    <w:rsid w:val="00C151D0"/>
    <w:rsid w:val="00C1798E"/>
    <w:rsid w:val="00C21F0C"/>
    <w:rsid w:val="00C22F86"/>
    <w:rsid w:val="00C232AE"/>
    <w:rsid w:val="00C2363E"/>
    <w:rsid w:val="00C23B60"/>
    <w:rsid w:val="00C25E42"/>
    <w:rsid w:val="00C26422"/>
    <w:rsid w:val="00C26B34"/>
    <w:rsid w:val="00C3125B"/>
    <w:rsid w:val="00C31734"/>
    <w:rsid w:val="00C3220A"/>
    <w:rsid w:val="00C32373"/>
    <w:rsid w:val="00C33376"/>
    <w:rsid w:val="00C33460"/>
    <w:rsid w:val="00C33AF7"/>
    <w:rsid w:val="00C34BD8"/>
    <w:rsid w:val="00C351DC"/>
    <w:rsid w:val="00C35AD2"/>
    <w:rsid w:val="00C35BE6"/>
    <w:rsid w:val="00C37983"/>
    <w:rsid w:val="00C40F82"/>
    <w:rsid w:val="00C41BE5"/>
    <w:rsid w:val="00C42D55"/>
    <w:rsid w:val="00C431CD"/>
    <w:rsid w:val="00C43606"/>
    <w:rsid w:val="00C43838"/>
    <w:rsid w:val="00C43884"/>
    <w:rsid w:val="00C445F9"/>
    <w:rsid w:val="00C456DA"/>
    <w:rsid w:val="00C46C41"/>
    <w:rsid w:val="00C5160E"/>
    <w:rsid w:val="00C5300B"/>
    <w:rsid w:val="00C563CE"/>
    <w:rsid w:val="00C56AE7"/>
    <w:rsid w:val="00C57B8D"/>
    <w:rsid w:val="00C61083"/>
    <w:rsid w:val="00C618C8"/>
    <w:rsid w:val="00C623F6"/>
    <w:rsid w:val="00C62448"/>
    <w:rsid w:val="00C6370D"/>
    <w:rsid w:val="00C64FDA"/>
    <w:rsid w:val="00C6594D"/>
    <w:rsid w:val="00C65B7D"/>
    <w:rsid w:val="00C67F8C"/>
    <w:rsid w:val="00C7040E"/>
    <w:rsid w:val="00C70DAD"/>
    <w:rsid w:val="00C71A87"/>
    <w:rsid w:val="00C71DF6"/>
    <w:rsid w:val="00C72EE1"/>
    <w:rsid w:val="00C73820"/>
    <w:rsid w:val="00C741C5"/>
    <w:rsid w:val="00C751F8"/>
    <w:rsid w:val="00C761AC"/>
    <w:rsid w:val="00C81932"/>
    <w:rsid w:val="00C8198B"/>
    <w:rsid w:val="00C81CB6"/>
    <w:rsid w:val="00C82792"/>
    <w:rsid w:val="00C82CEC"/>
    <w:rsid w:val="00C839A5"/>
    <w:rsid w:val="00C83A53"/>
    <w:rsid w:val="00C86E5B"/>
    <w:rsid w:val="00C87012"/>
    <w:rsid w:val="00C8751F"/>
    <w:rsid w:val="00C87D64"/>
    <w:rsid w:val="00C91314"/>
    <w:rsid w:val="00C91C8E"/>
    <w:rsid w:val="00C91CF7"/>
    <w:rsid w:val="00C91DE6"/>
    <w:rsid w:val="00C92690"/>
    <w:rsid w:val="00C92C3A"/>
    <w:rsid w:val="00C9321A"/>
    <w:rsid w:val="00C946A0"/>
    <w:rsid w:val="00C94A74"/>
    <w:rsid w:val="00C9553C"/>
    <w:rsid w:val="00C957DC"/>
    <w:rsid w:val="00C95885"/>
    <w:rsid w:val="00C95997"/>
    <w:rsid w:val="00C95D47"/>
    <w:rsid w:val="00C95F37"/>
    <w:rsid w:val="00C96655"/>
    <w:rsid w:val="00C96CEF"/>
    <w:rsid w:val="00C97427"/>
    <w:rsid w:val="00CA0CBD"/>
    <w:rsid w:val="00CA1222"/>
    <w:rsid w:val="00CA133F"/>
    <w:rsid w:val="00CA1699"/>
    <w:rsid w:val="00CA2588"/>
    <w:rsid w:val="00CA2B4C"/>
    <w:rsid w:val="00CA3751"/>
    <w:rsid w:val="00CA66B9"/>
    <w:rsid w:val="00CA7A13"/>
    <w:rsid w:val="00CB0BDC"/>
    <w:rsid w:val="00CB1F27"/>
    <w:rsid w:val="00CB3A82"/>
    <w:rsid w:val="00CB4065"/>
    <w:rsid w:val="00CB476C"/>
    <w:rsid w:val="00CB4BA8"/>
    <w:rsid w:val="00CB69B0"/>
    <w:rsid w:val="00CB7F73"/>
    <w:rsid w:val="00CC0069"/>
    <w:rsid w:val="00CC0A0B"/>
    <w:rsid w:val="00CC141E"/>
    <w:rsid w:val="00CC147C"/>
    <w:rsid w:val="00CC14A9"/>
    <w:rsid w:val="00CC155B"/>
    <w:rsid w:val="00CC173E"/>
    <w:rsid w:val="00CC29E3"/>
    <w:rsid w:val="00CC2F5E"/>
    <w:rsid w:val="00CC32F1"/>
    <w:rsid w:val="00CC3445"/>
    <w:rsid w:val="00CC51E9"/>
    <w:rsid w:val="00CC5882"/>
    <w:rsid w:val="00CC5D52"/>
    <w:rsid w:val="00CC6871"/>
    <w:rsid w:val="00CC7A17"/>
    <w:rsid w:val="00CD0531"/>
    <w:rsid w:val="00CD08B8"/>
    <w:rsid w:val="00CD1285"/>
    <w:rsid w:val="00CD1325"/>
    <w:rsid w:val="00CD2302"/>
    <w:rsid w:val="00CD2AE8"/>
    <w:rsid w:val="00CD4490"/>
    <w:rsid w:val="00CD6055"/>
    <w:rsid w:val="00CD61A5"/>
    <w:rsid w:val="00CD6822"/>
    <w:rsid w:val="00CD74FB"/>
    <w:rsid w:val="00CD77C8"/>
    <w:rsid w:val="00CD7900"/>
    <w:rsid w:val="00CD79E4"/>
    <w:rsid w:val="00CD7DCE"/>
    <w:rsid w:val="00CD7F3C"/>
    <w:rsid w:val="00CE1897"/>
    <w:rsid w:val="00CE1D60"/>
    <w:rsid w:val="00CE325F"/>
    <w:rsid w:val="00CE4957"/>
    <w:rsid w:val="00CE5B7A"/>
    <w:rsid w:val="00CE5C28"/>
    <w:rsid w:val="00CE67E5"/>
    <w:rsid w:val="00CE6CCB"/>
    <w:rsid w:val="00CE76C2"/>
    <w:rsid w:val="00CE7D45"/>
    <w:rsid w:val="00CF00D6"/>
    <w:rsid w:val="00CF35C9"/>
    <w:rsid w:val="00CF370E"/>
    <w:rsid w:val="00CF373E"/>
    <w:rsid w:val="00CF5BAE"/>
    <w:rsid w:val="00CF6286"/>
    <w:rsid w:val="00D0030B"/>
    <w:rsid w:val="00D00574"/>
    <w:rsid w:val="00D016B9"/>
    <w:rsid w:val="00D017C5"/>
    <w:rsid w:val="00D01A30"/>
    <w:rsid w:val="00D02075"/>
    <w:rsid w:val="00D023DB"/>
    <w:rsid w:val="00D0359E"/>
    <w:rsid w:val="00D050ED"/>
    <w:rsid w:val="00D05620"/>
    <w:rsid w:val="00D056DD"/>
    <w:rsid w:val="00D06DB7"/>
    <w:rsid w:val="00D103EA"/>
    <w:rsid w:val="00D10BF6"/>
    <w:rsid w:val="00D129B4"/>
    <w:rsid w:val="00D12D70"/>
    <w:rsid w:val="00D13F68"/>
    <w:rsid w:val="00D15A69"/>
    <w:rsid w:val="00D1607B"/>
    <w:rsid w:val="00D175F3"/>
    <w:rsid w:val="00D17797"/>
    <w:rsid w:val="00D17E02"/>
    <w:rsid w:val="00D20F5D"/>
    <w:rsid w:val="00D21594"/>
    <w:rsid w:val="00D21885"/>
    <w:rsid w:val="00D21CE8"/>
    <w:rsid w:val="00D2325A"/>
    <w:rsid w:val="00D232B4"/>
    <w:rsid w:val="00D238C0"/>
    <w:rsid w:val="00D23B3C"/>
    <w:rsid w:val="00D24ADB"/>
    <w:rsid w:val="00D265BE"/>
    <w:rsid w:val="00D27E9D"/>
    <w:rsid w:val="00D27F0B"/>
    <w:rsid w:val="00D31688"/>
    <w:rsid w:val="00D323DB"/>
    <w:rsid w:val="00D346AC"/>
    <w:rsid w:val="00D35155"/>
    <w:rsid w:val="00D36607"/>
    <w:rsid w:val="00D36712"/>
    <w:rsid w:val="00D37105"/>
    <w:rsid w:val="00D37585"/>
    <w:rsid w:val="00D37BCC"/>
    <w:rsid w:val="00D37BE1"/>
    <w:rsid w:val="00D401AF"/>
    <w:rsid w:val="00D405E5"/>
    <w:rsid w:val="00D417F2"/>
    <w:rsid w:val="00D41869"/>
    <w:rsid w:val="00D419BF"/>
    <w:rsid w:val="00D42E81"/>
    <w:rsid w:val="00D43FD0"/>
    <w:rsid w:val="00D4544F"/>
    <w:rsid w:val="00D46B9E"/>
    <w:rsid w:val="00D47F21"/>
    <w:rsid w:val="00D50317"/>
    <w:rsid w:val="00D50528"/>
    <w:rsid w:val="00D50AA0"/>
    <w:rsid w:val="00D50AFE"/>
    <w:rsid w:val="00D50F2F"/>
    <w:rsid w:val="00D50F7D"/>
    <w:rsid w:val="00D51BC8"/>
    <w:rsid w:val="00D51D80"/>
    <w:rsid w:val="00D51F71"/>
    <w:rsid w:val="00D5375E"/>
    <w:rsid w:val="00D53D99"/>
    <w:rsid w:val="00D542F0"/>
    <w:rsid w:val="00D55357"/>
    <w:rsid w:val="00D56102"/>
    <w:rsid w:val="00D573A1"/>
    <w:rsid w:val="00D57BAA"/>
    <w:rsid w:val="00D60347"/>
    <w:rsid w:val="00D61A0A"/>
    <w:rsid w:val="00D628BD"/>
    <w:rsid w:val="00D62AD4"/>
    <w:rsid w:val="00D62DF7"/>
    <w:rsid w:val="00D638B3"/>
    <w:rsid w:val="00D64701"/>
    <w:rsid w:val="00D661BB"/>
    <w:rsid w:val="00D6706D"/>
    <w:rsid w:val="00D671B7"/>
    <w:rsid w:val="00D678E6"/>
    <w:rsid w:val="00D70372"/>
    <w:rsid w:val="00D71314"/>
    <w:rsid w:val="00D71446"/>
    <w:rsid w:val="00D71D1A"/>
    <w:rsid w:val="00D72D26"/>
    <w:rsid w:val="00D73717"/>
    <w:rsid w:val="00D738D0"/>
    <w:rsid w:val="00D74785"/>
    <w:rsid w:val="00D7484E"/>
    <w:rsid w:val="00D74E19"/>
    <w:rsid w:val="00D74E7A"/>
    <w:rsid w:val="00D757DA"/>
    <w:rsid w:val="00D759D2"/>
    <w:rsid w:val="00D76193"/>
    <w:rsid w:val="00D77937"/>
    <w:rsid w:val="00D77985"/>
    <w:rsid w:val="00D77B7B"/>
    <w:rsid w:val="00D8024A"/>
    <w:rsid w:val="00D808C6"/>
    <w:rsid w:val="00D811BF"/>
    <w:rsid w:val="00D81471"/>
    <w:rsid w:val="00D81507"/>
    <w:rsid w:val="00D81D6D"/>
    <w:rsid w:val="00D820BA"/>
    <w:rsid w:val="00D823D1"/>
    <w:rsid w:val="00D82797"/>
    <w:rsid w:val="00D82957"/>
    <w:rsid w:val="00D8297E"/>
    <w:rsid w:val="00D830E1"/>
    <w:rsid w:val="00D84312"/>
    <w:rsid w:val="00D84F23"/>
    <w:rsid w:val="00D85A44"/>
    <w:rsid w:val="00D87E85"/>
    <w:rsid w:val="00D9047D"/>
    <w:rsid w:val="00D90A40"/>
    <w:rsid w:val="00D90A5E"/>
    <w:rsid w:val="00D91134"/>
    <w:rsid w:val="00D913EB"/>
    <w:rsid w:val="00D91EBE"/>
    <w:rsid w:val="00D94488"/>
    <w:rsid w:val="00D94C8A"/>
    <w:rsid w:val="00D95247"/>
    <w:rsid w:val="00D95842"/>
    <w:rsid w:val="00D95E11"/>
    <w:rsid w:val="00D96FE8"/>
    <w:rsid w:val="00D9725A"/>
    <w:rsid w:val="00D976DD"/>
    <w:rsid w:val="00DA0B5B"/>
    <w:rsid w:val="00DA0F7B"/>
    <w:rsid w:val="00DA157C"/>
    <w:rsid w:val="00DA2352"/>
    <w:rsid w:val="00DA2AE4"/>
    <w:rsid w:val="00DA3621"/>
    <w:rsid w:val="00DA466A"/>
    <w:rsid w:val="00DA482E"/>
    <w:rsid w:val="00DA4B22"/>
    <w:rsid w:val="00DA50C9"/>
    <w:rsid w:val="00DA5D50"/>
    <w:rsid w:val="00DB0311"/>
    <w:rsid w:val="00DB0482"/>
    <w:rsid w:val="00DB0A58"/>
    <w:rsid w:val="00DB0F0E"/>
    <w:rsid w:val="00DB0FDF"/>
    <w:rsid w:val="00DB1B6A"/>
    <w:rsid w:val="00DB226D"/>
    <w:rsid w:val="00DB3011"/>
    <w:rsid w:val="00DB3097"/>
    <w:rsid w:val="00DB3723"/>
    <w:rsid w:val="00DB4694"/>
    <w:rsid w:val="00DB48A4"/>
    <w:rsid w:val="00DB56C9"/>
    <w:rsid w:val="00DB5AE7"/>
    <w:rsid w:val="00DB6152"/>
    <w:rsid w:val="00DB7357"/>
    <w:rsid w:val="00DC06B5"/>
    <w:rsid w:val="00DC0DA9"/>
    <w:rsid w:val="00DC2C89"/>
    <w:rsid w:val="00DC3224"/>
    <w:rsid w:val="00DC4577"/>
    <w:rsid w:val="00DC4C42"/>
    <w:rsid w:val="00DC6B1D"/>
    <w:rsid w:val="00DC7BC3"/>
    <w:rsid w:val="00DD0C20"/>
    <w:rsid w:val="00DD0C2E"/>
    <w:rsid w:val="00DD12DF"/>
    <w:rsid w:val="00DD1C70"/>
    <w:rsid w:val="00DD28F0"/>
    <w:rsid w:val="00DD2950"/>
    <w:rsid w:val="00DD403C"/>
    <w:rsid w:val="00DD4746"/>
    <w:rsid w:val="00DD5544"/>
    <w:rsid w:val="00DD59FE"/>
    <w:rsid w:val="00DD5B89"/>
    <w:rsid w:val="00DD636C"/>
    <w:rsid w:val="00DD6D8E"/>
    <w:rsid w:val="00DD76D6"/>
    <w:rsid w:val="00DD790C"/>
    <w:rsid w:val="00DD79A1"/>
    <w:rsid w:val="00DE011A"/>
    <w:rsid w:val="00DE1ACD"/>
    <w:rsid w:val="00DE1B8A"/>
    <w:rsid w:val="00DE24D0"/>
    <w:rsid w:val="00DE3D71"/>
    <w:rsid w:val="00DE4AC6"/>
    <w:rsid w:val="00DE5976"/>
    <w:rsid w:val="00DE6C0E"/>
    <w:rsid w:val="00DE79BB"/>
    <w:rsid w:val="00DF1EFD"/>
    <w:rsid w:val="00DF24CD"/>
    <w:rsid w:val="00DF3E25"/>
    <w:rsid w:val="00DF4177"/>
    <w:rsid w:val="00DF6AEB"/>
    <w:rsid w:val="00DF72F1"/>
    <w:rsid w:val="00E001E4"/>
    <w:rsid w:val="00E0339D"/>
    <w:rsid w:val="00E03B4A"/>
    <w:rsid w:val="00E051DD"/>
    <w:rsid w:val="00E05571"/>
    <w:rsid w:val="00E05640"/>
    <w:rsid w:val="00E061B5"/>
    <w:rsid w:val="00E06E82"/>
    <w:rsid w:val="00E07123"/>
    <w:rsid w:val="00E11133"/>
    <w:rsid w:val="00E113C1"/>
    <w:rsid w:val="00E117BC"/>
    <w:rsid w:val="00E11805"/>
    <w:rsid w:val="00E11FE0"/>
    <w:rsid w:val="00E141F8"/>
    <w:rsid w:val="00E156D5"/>
    <w:rsid w:val="00E17268"/>
    <w:rsid w:val="00E17EC4"/>
    <w:rsid w:val="00E17FD4"/>
    <w:rsid w:val="00E21758"/>
    <w:rsid w:val="00E21BCB"/>
    <w:rsid w:val="00E24E5D"/>
    <w:rsid w:val="00E25CD9"/>
    <w:rsid w:val="00E25E4F"/>
    <w:rsid w:val="00E315C0"/>
    <w:rsid w:val="00E31FE9"/>
    <w:rsid w:val="00E3338A"/>
    <w:rsid w:val="00E33811"/>
    <w:rsid w:val="00E33B4B"/>
    <w:rsid w:val="00E34D3D"/>
    <w:rsid w:val="00E3542D"/>
    <w:rsid w:val="00E37590"/>
    <w:rsid w:val="00E377E1"/>
    <w:rsid w:val="00E37C0F"/>
    <w:rsid w:val="00E4161C"/>
    <w:rsid w:val="00E41804"/>
    <w:rsid w:val="00E41FC2"/>
    <w:rsid w:val="00E449C8"/>
    <w:rsid w:val="00E459F3"/>
    <w:rsid w:val="00E45C71"/>
    <w:rsid w:val="00E4724B"/>
    <w:rsid w:val="00E51201"/>
    <w:rsid w:val="00E52B87"/>
    <w:rsid w:val="00E535F1"/>
    <w:rsid w:val="00E53A85"/>
    <w:rsid w:val="00E53E48"/>
    <w:rsid w:val="00E54C96"/>
    <w:rsid w:val="00E564E4"/>
    <w:rsid w:val="00E56674"/>
    <w:rsid w:val="00E56850"/>
    <w:rsid w:val="00E56D4A"/>
    <w:rsid w:val="00E5716F"/>
    <w:rsid w:val="00E5772F"/>
    <w:rsid w:val="00E601D6"/>
    <w:rsid w:val="00E6131A"/>
    <w:rsid w:val="00E62E47"/>
    <w:rsid w:val="00E63AD4"/>
    <w:rsid w:val="00E6444B"/>
    <w:rsid w:val="00E64E47"/>
    <w:rsid w:val="00E65CF4"/>
    <w:rsid w:val="00E67630"/>
    <w:rsid w:val="00E7078D"/>
    <w:rsid w:val="00E7090F"/>
    <w:rsid w:val="00E712BE"/>
    <w:rsid w:val="00E72840"/>
    <w:rsid w:val="00E73011"/>
    <w:rsid w:val="00E739F8"/>
    <w:rsid w:val="00E73D88"/>
    <w:rsid w:val="00E73FA2"/>
    <w:rsid w:val="00E7457B"/>
    <w:rsid w:val="00E756E6"/>
    <w:rsid w:val="00E76A02"/>
    <w:rsid w:val="00E76E67"/>
    <w:rsid w:val="00E7759F"/>
    <w:rsid w:val="00E821CD"/>
    <w:rsid w:val="00E83280"/>
    <w:rsid w:val="00E83596"/>
    <w:rsid w:val="00E83C4E"/>
    <w:rsid w:val="00E84729"/>
    <w:rsid w:val="00E851E5"/>
    <w:rsid w:val="00E86E11"/>
    <w:rsid w:val="00E9002B"/>
    <w:rsid w:val="00E90184"/>
    <w:rsid w:val="00E90B6F"/>
    <w:rsid w:val="00E9130C"/>
    <w:rsid w:val="00E94159"/>
    <w:rsid w:val="00E942A1"/>
    <w:rsid w:val="00E9551F"/>
    <w:rsid w:val="00E95CED"/>
    <w:rsid w:val="00E96194"/>
    <w:rsid w:val="00E96659"/>
    <w:rsid w:val="00E96667"/>
    <w:rsid w:val="00E97933"/>
    <w:rsid w:val="00E9796D"/>
    <w:rsid w:val="00EA00B8"/>
    <w:rsid w:val="00EA1E07"/>
    <w:rsid w:val="00EA2D09"/>
    <w:rsid w:val="00EA4091"/>
    <w:rsid w:val="00EA4DAA"/>
    <w:rsid w:val="00EA552F"/>
    <w:rsid w:val="00EA6DE2"/>
    <w:rsid w:val="00EA761A"/>
    <w:rsid w:val="00EA76C1"/>
    <w:rsid w:val="00EA77AF"/>
    <w:rsid w:val="00EA79F1"/>
    <w:rsid w:val="00EB01F4"/>
    <w:rsid w:val="00EB034C"/>
    <w:rsid w:val="00EB0458"/>
    <w:rsid w:val="00EB0940"/>
    <w:rsid w:val="00EB1295"/>
    <w:rsid w:val="00EB16EA"/>
    <w:rsid w:val="00EB2236"/>
    <w:rsid w:val="00EB3DBA"/>
    <w:rsid w:val="00EB4FE9"/>
    <w:rsid w:val="00EB5709"/>
    <w:rsid w:val="00EB67CA"/>
    <w:rsid w:val="00EB737A"/>
    <w:rsid w:val="00EB7A2F"/>
    <w:rsid w:val="00EB7AD7"/>
    <w:rsid w:val="00EC030C"/>
    <w:rsid w:val="00EC1565"/>
    <w:rsid w:val="00EC2DDB"/>
    <w:rsid w:val="00EC325F"/>
    <w:rsid w:val="00EC35FE"/>
    <w:rsid w:val="00EC51BF"/>
    <w:rsid w:val="00EC688C"/>
    <w:rsid w:val="00EC7C30"/>
    <w:rsid w:val="00ED01FF"/>
    <w:rsid w:val="00ED0B3B"/>
    <w:rsid w:val="00ED1C7D"/>
    <w:rsid w:val="00ED21D8"/>
    <w:rsid w:val="00ED2923"/>
    <w:rsid w:val="00ED3927"/>
    <w:rsid w:val="00ED5876"/>
    <w:rsid w:val="00ED60F2"/>
    <w:rsid w:val="00ED6655"/>
    <w:rsid w:val="00ED71DD"/>
    <w:rsid w:val="00ED7201"/>
    <w:rsid w:val="00ED7A91"/>
    <w:rsid w:val="00EE0161"/>
    <w:rsid w:val="00EE082B"/>
    <w:rsid w:val="00EE09DF"/>
    <w:rsid w:val="00EE1D64"/>
    <w:rsid w:val="00EE22F2"/>
    <w:rsid w:val="00EE316E"/>
    <w:rsid w:val="00EE3CBE"/>
    <w:rsid w:val="00EE4347"/>
    <w:rsid w:val="00EE48CA"/>
    <w:rsid w:val="00EE4B82"/>
    <w:rsid w:val="00EE523E"/>
    <w:rsid w:val="00EE5962"/>
    <w:rsid w:val="00EE6C3E"/>
    <w:rsid w:val="00EE70DA"/>
    <w:rsid w:val="00EE77C4"/>
    <w:rsid w:val="00EE7CB3"/>
    <w:rsid w:val="00EE7EB4"/>
    <w:rsid w:val="00EE7F9F"/>
    <w:rsid w:val="00EF017A"/>
    <w:rsid w:val="00EF0E17"/>
    <w:rsid w:val="00EF2672"/>
    <w:rsid w:val="00EF3876"/>
    <w:rsid w:val="00EF4A90"/>
    <w:rsid w:val="00EF4D15"/>
    <w:rsid w:val="00EF546C"/>
    <w:rsid w:val="00EF5C6E"/>
    <w:rsid w:val="00EF6D73"/>
    <w:rsid w:val="00EF712E"/>
    <w:rsid w:val="00EF7AD1"/>
    <w:rsid w:val="00EF7C2A"/>
    <w:rsid w:val="00F00D83"/>
    <w:rsid w:val="00F010AF"/>
    <w:rsid w:val="00F016ED"/>
    <w:rsid w:val="00F019B3"/>
    <w:rsid w:val="00F01BAF"/>
    <w:rsid w:val="00F03EA1"/>
    <w:rsid w:val="00F04621"/>
    <w:rsid w:val="00F04BCB"/>
    <w:rsid w:val="00F067AD"/>
    <w:rsid w:val="00F072D9"/>
    <w:rsid w:val="00F077E1"/>
    <w:rsid w:val="00F07E07"/>
    <w:rsid w:val="00F11628"/>
    <w:rsid w:val="00F1237F"/>
    <w:rsid w:val="00F127C9"/>
    <w:rsid w:val="00F13B34"/>
    <w:rsid w:val="00F155DC"/>
    <w:rsid w:val="00F1616D"/>
    <w:rsid w:val="00F16385"/>
    <w:rsid w:val="00F1679C"/>
    <w:rsid w:val="00F16C40"/>
    <w:rsid w:val="00F16C81"/>
    <w:rsid w:val="00F178ED"/>
    <w:rsid w:val="00F203C8"/>
    <w:rsid w:val="00F20A78"/>
    <w:rsid w:val="00F20C70"/>
    <w:rsid w:val="00F21152"/>
    <w:rsid w:val="00F21981"/>
    <w:rsid w:val="00F21BB4"/>
    <w:rsid w:val="00F22374"/>
    <w:rsid w:val="00F223B0"/>
    <w:rsid w:val="00F2289D"/>
    <w:rsid w:val="00F22E3C"/>
    <w:rsid w:val="00F22E5F"/>
    <w:rsid w:val="00F242D7"/>
    <w:rsid w:val="00F25C43"/>
    <w:rsid w:val="00F25F93"/>
    <w:rsid w:val="00F26313"/>
    <w:rsid w:val="00F31394"/>
    <w:rsid w:val="00F313EB"/>
    <w:rsid w:val="00F34CFC"/>
    <w:rsid w:val="00F354C0"/>
    <w:rsid w:val="00F35552"/>
    <w:rsid w:val="00F35BE7"/>
    <w:rsid w:val="00F3629C"/>
    <w:rsid w:val="00F36A19"/>
    <w:rsid w:val="00F371E1"/>
    <w:rsid w:val="00F376A3"/>
    <w:rsid w:val="00F404B8"/>
    <w:rsid w:val="00F41281"/>
    <w:rsid w:val="00F42AE6"/>
    <w:rsid w:val="00F42E5C"/>
    <w:rsid w:val="00F4463F"/>
    <w:rsid w:val="00F45860"/>
    <w:rsid w:val="00F45B57"/>
    <w:rsid w:val="00F4726F"/>
    <w:rsid w:val="00F47447"/>
    <w:rsid w:val="00F52868"/>
    <w:rsid w:val="00F5292D"/>
    <w:rsid w:val="00F52ADC"/>
    <w:rsid w:val="00F53303"/>
    <w:rsid w:val="00F547EE"/>
    <w:rsid w:val="00F5572B"/>
    <w:rsid w:val="00F5617C"/>
    <w:rsid w:val="00F56312"/>
    <w:rsid w:val="00F56C82"/>
    <w:rsid w:val="00F60E4E"/>
    <w:rsid w:val="00F61FF3"/>
    <w:rsid w:val="00F620FE"/>
    <w:rsid w:val="00F6295C"/>
    <w:rsid w:val="00F63CFE"/>
    <w:rsid w:val="00F655E8"/>
    <w:rsid w:val="00F66F9E"/>
    <w:rsid w:val="00F66FFA"/>
    <w:rsid w:val="00F70D36"/>
    <w:rsid w:val="00F70F3A"/>
    <w:rsid w:val="00F7108D"/>
    <w:rsid w:val="00F7274D"/>
    <w:rsid w:val="00F72C4D"/>
    <w:rsid w:val="00F74D20"/>
    <w:rsid w:val="00F75613"/>
    <w:rsid w:val="00F757C0"/>
    <w:rsid w:val="00F763CB"/>
    <w:rsid w:val="00F77633"/>
    <w:rsid w:val="00F77DA6"/>
    <w:rsid w:val="00F802B7"/>
    <w:rsid w:val="00F8085A"/>
    <w:rsid w:val="00F80B37"/>
    <w:rsid w:val="00F821CD"/>
    <w:rsid w:val="00F82649"/>
    <w:rsid w:val="00F83113"/>
    <w:rsid w:val="00F8336E"/>
    <w:rsid w:val="00F8381A"/>
    <w:rsid w:val="00F838F9"/>
    <w:rsid w:val="00F83E5A"/>
    <w:rsid w:val="00F84240"/>
    <w:rsid w:val="00F84D5E"/>
    <w:rsid w:val="00F8672A"/>
    <w:rsid w:val="00F86D05"/>
    <w:rsid w:val="00F922F1"/>
    <w:rsid w:val="00F93448"/>
    <w:rsid w:val="00F9546E"/>
    <w:rsid w:val="00F95F12"/>
    <w:rsid w:val="00F97E1F"/>
    <w:rsid w:val="00FA019B"/>
    <w:rsid w:val="00FA0869"/>
    <w:rsid w:val="00FA1214"/>
    <w:rsid w:val="00FA1E30"/>
    <w:rsid w:val="00FA2FA2"/>
    <w:rsid w:val="00FA3610"/>
    <w:rsid w:val="00FA4A83"/>
    <w:rsid w:val="00FA4D8D"/>
    <w:rsid w:val="00FA4FAF"/>
    <w:rsid w:val="00FA6E7B"/>
    <w:rsid w:val="00FA7D57"/>
    <w:rsid w:val="00FB0CCE"/>
    <w:rsid w:val="00FB115B"/>
    <w:rsid w:val="00FB1BA4"/>
    <w:rsid w:val="00FB3205"/>
    <w:rsid w:val="00FB36E5"/>
    <w:rsid w:val="00FB4CDA"/>
    <w:rsid w:val="00FB6475"/>
    <w:rsid w:val="00FB6AB4"/>
    <w:rsid w:val="00FB6D51"/>
    <w:rsid w:val="00FB743A"/>
    <w:rsid w:val="00FC0158"/>
    <w:rsid w:val="00FC1682"/>
    <w:rsid w:val="00FC1F0E"/>
    <w:rsid w:val="00FC25A6"/>
    <w:rsid w:val="00FC30B5"/>
    <w:rsid w:val="00FC42F8"/>
    <w:rsid w:val="00FC611F"/>
    <w:rsid w:val="00FC6227"/>
    <w:rsid w:val="00FC702F"/>
    <w:rsid w:val="00FC7317"/>
    <w:rsid w:val="00FC7684"/>
    <w:rsid w:val="00FD0C2E"/>
    <w:rsid w:val="00FD151A"/>
    <w:rsid w:val="00FD2D99"/>
    <w:rsid w:val="00FD2EBE"/>
    <w:rsid w:val="00FD323D"/>
    <w:rsid w:val="00FD325C"/>
    <w:rsid w:val="00FD3426"/>
    <w:rsid w:val="00FD3FB5"/>
    <w:rsid w:val="00FD596B"/>
    <w:rsid w:val="00FD5971"/>
    <w:rsid w:val="00FD5DA1"/>
    <w:rsid w:val="00FD6F18"/>
    <w:rsid w:val="00FE1219"/>
    <w:rsid w:val="00FE17B2"/>
    <w:rsid w:val="00FE2C01"/>
    <w:rsid w:val="00FE4273"/>
    <w:rsid w:val="00FE48CB"/>
    <w:rsid w:val="00FE4BDC"/>
    <w:rsid w:val="00FE529C"/>
    <w:rsid w:val="00FE5B27"/>
    <w:rsid w:val="00FE5E69"/>
    <w:rsid w:val="00FF1A8A"/>
    <w:rsid w:val="00FF1B6A"/>
    <w:rsid w:val="00FF1E97"/>
    <w:rsid w:val="00FF2E47"/>
    <w:rsid w:val="00FF44A8"/>
    <w:rsid w:val="00FF51FD"/>
    <w:rsid w:val="00FF5F76"/>
    <w:rsid w:val="00FF60E1"/>
    <w:rsid w:val="00FF645E"/>
    <w:rsid w:val="00FF6D51"/>
    <w:rsid w:val="00FF7452"/>
    <w:rsid w:val="00FF74DF"/>
    <w:rsid w:val="020701F8"/>
    <w:rsid w:val="02C56B7F"/>
    <w:rsid w:val="02E70A14"/>
    <w:rsid w:val="03344665"/>
    <w:rsid w:val="03483DE8"/>
    <w:rsid w:val="03704511"/>
    <w:rsid w:val="03D4FA2D"/>
    <w:rsid w:val="03D97249"/>
    <w:rsid w:val="040BE068"/>
    <w:rsid w:val="044845E4"/>
    <w:rsid w:val="04CAB324"/>
    <w:rsid w:val="05AA151B"/>
    <w:rsid w:val="06852A49"/>
    <w:rsid w:val="0694385F"/>
    <w:rsid w:val="06D84D11"/>
    <w:rsid w:val="06FE1D06"/>
    <w:rsid w:val="076FDFD6"/>
    <w:rsid w:val="07A5CE96"/>
    <w:rsid w:val="07A84EDB"/>
    <w:rsid w:val="0826A328"/>
    <w:rsid w:val="0869BBBD"/>
    <w:rsid w:val="086E1E57"/>
    <w:rsid w:val="089A465A"/>
    <w:rsid w:val="08E0E980"/>
    <w:rsid w:val="093587B1"/>
    <w:rsid w:val="09D8CE42"/>
    <w:rsid w:val="09DB4E78"/>
    <w:rsid w:val="09E8509B"/>
    <w:rsid w:val="0A9DD095"/>
    <w:rsid w:val="0ADC81D4"/>
    <w:rsid w:val="0B3A4768"/>
    <w:rsid w:val="0B485544"/>
    <w:rsid w:val="0B52B24A"/>
    <w:rsid w:val="0B9AA326"/>
    <w:rsid w:val="0C080DCB"/>
    <w:rsid w:val="0C6D5AE1"/>
    <w:rsid w:val="0E09F9E7"/>
    <w:rsid w:val="0E73D35B"/>
    <w:rsid w:val="0E8A2F5D"/>
    <w:rsid w:val="0E9DA948"/>
    <w:rsid w:val="0EC694EF"/>
    <w:rsid w:val="0EEA698B"/>
    <w:rsid w:val="0F3752F1"/>
    <w:rsid w:val="0F3BF3B8"/>
    <w:rsid w:val="0F56C408"/>
    <w:rsid w:val="0F90B333"/>
    <w:rsid w:val="0FEC6696"/>
    <w:rsid w:val="10BBF214"/>
    <w:rsid w:val="110F2C75"/>
    <w:rsid w:val="11C2EDB6"/>
    <w:rsid w:val="11F7C668"/>
    <w:rsid w:val="1215781B"/>
    <w:rsid w:val="126B7968"/>
    <w:rsid w:val="1312D10C"/>
    <w:rsid w:val="1440816A"/>
    <w:rsid w:val="14752E3A"/>
    <w:rsid w:val="14AD6EC9"/>
    <w:rsid w:val="1555E57E"/>
    <w:rsid w:val="159EAE68"/>
    <w:rsid w:val="15D25F6F"/>
    <w:rsid w:val="15DF28F3"/>
    <w:rsid w:val="164FE718"/>
    <w:rsid w:val="16821548"/>
    <w:rsid w:val="17356FC2"/>
    <w:rsid w:val="174BDCB5"/>
    <w:rsid w:val="1804B573"/>
    <w:rsid w:val="1883F2E8"/>
    <w:rsid w:val="1966671C"/>
    <w:rsid w:val="197EB07A"/>
    <w:rsid w:val="19EF04CF"/>
    <w:rsid w:val="1C3E5509"/>
    <w:rsid w:val="1C8949FF"/>
    <w:rsid w:val="1CB3A0EE"/>
    <w:rsid w:val="1D148D79"/>
    <w:rsid w:val="1D62D06B"/>
    <w:rsid w:val="1D8765A6"/>
    <w:rsid w:val="1DC7B42E"/>
    <w:rsid w:val="1DF2AB54"/>
    <w:rsid w:val="1EA85019"/>
    <w:rsid w:val="1EC2418F"/>
    <w:rsid w:val="1EC3EA4F"/>
    <w:rsid w:val="1F24BE54"/>
    <w:rsid w:val="1F92B1EE"/>
    <w:rsid w:val="1FB32303"/>
    <w:rsid w:val="20737CBA"/>
    <w:rsid w:val="20AEF0D2"/>
    <w:rsid w:val="20B6F05D"/>
    <w:rsid w:val="20B762ED"/>
    <w:rsid w:val="20F46565"/>
    <w:rsid w:val="216C8F45"/>
    <w:rsid w:val="2199A88B"/>
    <w:rsid w:val="21AF4F7C"/>
    <w:rsid w:val="21F6F70C"/>
    <w:rsid w:val="233136B3"/>
    <w:rsid w:val="2390DFE0"/>
    <w:rsid w:val="2433A1C2"/>
    <w:rsid w:val="245354CD"/>
    <w:rsid w:val="2464D307"/>
    <w:rsid w:val="24E05761"/>
    <w:rsid w:val="24ED7459"/>
    <w:rsid w:val="24FE0E85"/>
    <w:rsid w:val="251D7976"/>
    <w:rsid w:val="25DC207E"/>
    <w:rsid w:val="2698B9C9"/>
    <w:rsid w:val="278A0C24"/>
    <w:rsid w:val="27949E0D"/>
    <w:rsid w:val="27D90BA3"/>
    <w:rsid w:val="2827543D"/>
    <w:rsid w:val="2828231D"/>
    <w:rsid w:val="287A2582"/>
    <w:rsid w:val="288DFAA9"/>
    <w:rsid w:val="28982085"/>
    <w:rsid w:val="291E274E"/>
    <w:rsid w:val="295E7731"/>
    <w:rsid w:val="2976B3B5"/>
    <w:rsid w:val="2A4A2B7B"/>
    <w:rsid w:val="2A516DE6"/>
    <w:rsid w:val="2A7EF568"/>
    <w:rsid w:val="2AF2C47C"/>
    <w:rsid w:val="2B4CD417"/>
    <w:rsid w:val="2B89621A"/>
    <w:rsid w:val="2B8B4E28"/>
    <w:rsid w:val="2BE8E457"/>
    <w:rsid w:val="2C565DF0"/>
    <w:rsid w:val="2C6E3628"/>
    <w:rsid w:val="2C94CE14"/>
    <w:rsid w:val="2CE4A34B"/>
    <w:rsid w:val="2CE8C154"/>
    <w:rsid w:val="2D007C16"/>
    <w:rsid w:val="2D110BF8"/>
    <w:rsid w:val="2D68F536"/>
    <w:rsid w:val="2D70A6E9"/>
    <w:rsid w:val="2D7368C6"/>
    <w:rsid w:val="2DA33B77"/>
    <w:rsid w:val="2E4E80D0"/>
    <w:rsid w:val="2E4F317E"/>
    <w:rsid w:val="2F5AA68F"/>
    <w:rsid w:val="2FADD1BE"/>
    <w:rsid w:val="31A73A53"/>
    <w:rsid w:val="31B1DE50"/>
    <w:rsid w:val="31CD824A"/>
    <w:rsid w:val="322AD754"/>
    <w:rsid w:val="3251BE46"/>
    <w:rsid w:val="32867FF0"/>
    <w:rsid w:val="334083B0"/>
    <w:rsid w:val="33B89516"/>
    <w:rsid w:val="34247D4A"/>
    <w:rsid w:val="34780E71"/>
    <w:rsid w:val="3542D3AF"/>
    <w:rsid w:val="3629C5AD"/>
    <w:rsid w:val="362EE1B0"/>
    <w:rsid w:val="36A884C5"/>
    <w:rsid w:val="36AC046A"/>
    <w:rsid w:val="36C63B94"/>
    <w:rsid w:val="3771B04A"/>
    <w:rsid w:val="37854DE0"/>
    <w:rsid w:val="37AC173A"/>
    <w:rsid w:val="38635743"/>
    <w:rsid w:val="390D4008"/>
    <w:rsid w:val="3952E3F0"/>
    <w:rsid w:val="39956CA3"/>
    <w:rsid w:val="39DEE042"/>
    <w:rsid w:val="39E2377B"/>
    <w:rsid w:val="3A007333"/>
    <w:rsid w:val="3A1ACFAC"/>
    <w:rsid w:val="3A6A98DD"/>
    <w:rsid w:val="3A7C5CA3"/>
    <w:rsid w:val="3B265835"/>
    <w:rsid w:val="3B403F1E"/>
    <w:rsid w:val="3B42943A"/>
    <w:rsid w:val="3B48A98A"/>
    <w:rsid w:val="3B7604E3"/>
    <w:rsid w:val="3BEA95BC"/>
    <w:rsid w:val="3BF21843"/>
    <w:rsid w:val="3C578AEF"/>
    <w:rsid w:val="3C7F39A3"/>
    <w:rsid w:val="3CD2DF24"/>
    <w:rsid w:val="3D180066"/>
    <w:rsid w:val="3D18F714"/>
    <w:rsid w:val="3D5D4B53"/>
    <w:rsid w:val="3DA7006A"/>
    <w:rsid w:val="3ED92990"/>
    <w:rsid w:val="3F7BCB4E"/>
    <w:rsid w:val="3FC504FA"/>
    <w:rsid w:val="40600F6B"/>
    <w:rsid w:val="4089F597"/>
    <w:rsid w:val="4105CE27"/>
    <w:rsid w:val="410CCB1F"/>
    <w:rsid w:val="415D39CF"/>
    <w:rsid w:val="41A4AC4C"/>
    <w:rsid w:val="42017A2F"/>
    <w:rsid w:val="424417F9"/>
    <w:rsid w:val="424835C6"/>
    <w:rsid w:val="42636566"/>
    <w:rsid w:val="42EF9A49"/>
    <w:rsid w:val="43319001"/>
    <w:rsid w:val="437BF26D"/>
    <w:rsid w:val="43965AB8"/>
    <w:rsid w:val="43D5B01A"/>
    <w:rsid w:val="442EC2DE"/>
    <w:rsid w:val="44BAF96E"/>
    <w:rsid w:val="451583EA"/>
    <w:rsid w:val="451D73D1"/>
    <w:rsid w:val="453D6333"/>
    <w:rsid w:val="45670295"/>
    <w:rsid w:val="45B1ED47"/>
    <w:rsid w:val="45CB922E"/>
    <w:rsid w:val="45F790B9"/>
    <w:rsid w:val="46928BC2"/>
    <w:rsid w:val="46AD53D6"/>
    <w:rsid w:val="46ADE5A7"/>
    <w:rsid w:val="46AFE7FC"/>
    <w:rsid w:val="4727E8E2"/>
    <w:rsid w:val="47283A60"/>
    <w:rsid w:val="47975127"/>
    <w:rsid w:val="47B27060"/>
    <w:rsid w:val="47B63BC5"/>
    <w:rsid w:val="48071CF7"/>
    <w:rsid w:val="48C535EE"/>
    <w:rsid w:val="48CFCF38"/>
    <w:rsid w:val="48E96D2E"/>
    <w:rsid w:val="49153F74"/>
    <w:rsid w:val="492C4941"/>
    <w:rsid w:val="4970CC64"/>
    <w:rsid w:val="49A60BEE"/>
    <w:rsid w:val="49DDB0D5"/>
    <w:rsid w:val="4A296923"/>
    <w:rsid w:val="4A29A365"/>
    <w:rsid w:val="4A757FFC"/>
    <w:rsid w:val="4A89DAFA"/>
    <w:rsid w:val="4A953EC1"/>
    <w:rsid w:val="4AF25CB0"/>
    <w:rsid w:val="4B073837"/>
    <w:rsid w:val="4B0895F2"/>
    <w:rsid w:val="4B69867D"/>
    <w:rsid w:val="4BB3AAA4"/>
    <w:rsid w:val="4CC0F5B4"/>
    <w:rsid w:val="4D1B5764"/>
    <w:rsid w:val="4D3E9720"/>
    <w:rsid w:val="4D6E8CDE"/>
    <w:rsid w:val="4DBDECF7"/>
    <w:rsid w:val="4DE224D2"/>
    <w:rsid w:val="4E40ED49"/>
    <w:rsid w:val="4E467979"/>
    <w:rsid w:val="4ED561A9"/>
    <w:rsid w:val="4EDCCD7C"/>
    <w:rsid w:val="4F5BD6BC"/>
    <w:rsid w:val="4FFF1353"/>
    <w:rsid w:val="5027855E"/>
    <w:rsid w:val="50350CC0"/>
    <w:rsid w:val="50746158"/>
    <w:rsid w:val="515D3813"/>
    <w:rsid w:val="5173C3D4"/>
    <w:rsid w:val="5248A3C3"/>
    <w:rsid w:val="52E5E670"/>
    <w:rsid w:val="53C69E52"/>
    <w:rsid w:val="5492029C"/>
    <w:rsid w:val="549C2CA5"/>
    <w:rsid w:val="55A65317"/>
    <w:rsid w:val="55EB7950"/>
    <w:rsid w:val="5614C825"/>
    <w:rsid w:val="5642FB28"/>
    <w:rsid w:val="56A081AA"/>
    <w:rsid w:val="56F60FA5"/>
    <w:rsid w:val="5886DF2D"/>
    <w:rsid w:val="5894B646"/>
    <w:rsid w:val="58C39AF5"/>
    <w:rsid w:val="58C73F8F"/>
    <w:rsid w:val="58E84F06"/>
    <w:rsid w:val="597683DB"/>
    <w:rsid w:val="59F514CE"/>
    <w:rsid w:val="5A158C90"/>
    <w:rsid w:val="5A33B154"/>
    <w:rsid w:val="5A677C6F"/>
    <w:rsid w:val="5A914F93"/>
    <w:rsid w:val="5A9334CE"/>
    <w:rsid w:val="5AB2752A"/>
    <w:rsid w:val="5AF21A83"/>
    <w:rsid w:val="5BD67E92"/>
    <w:rsid w:val="5CD926BF"/>
    <w:rsid w:val="5D1211F7"/>
    <w:rsid w:val="5D60DAC8"/>
    <w:rsid w:val="5E17B0A8"/>
    <w:rsid w:val="5E6D9E03"/>
    <w:rsid w:val="5E9825FE"/>
    <w:rsid w:val="5F1668B7"/>
    <w:rsid w:val="5F3D60CB"/>
    <w:rsid w:val="5FE0CF30"/>
    <w:rsid w:val="5FF4D9CE"/>
    <w:rsid w:val="61484311"/>
    <w:rsid w:val="6158F53D"/>
    <w:rsid w:val="62233C1A"/>
    <w:rsid w:val="626E4953"/>
    <w:rsid w:val="62C95EAA"/>
    <w:rsid w:val="62D883D6"/>
    <w:rsid w:val="62F06369"/>
    <w:rsid w:val="635408F2"/>
    <w:rsid w:val="63A74BB5"/>
    <w:rsid w:val="63C849A3"/>
    <w:rsid w:val="63D175A4"/>
    <w:rsid w:val="648CA4E0"/>
    <w:rsid w:val="64A0B223"/>
    <w:rsid w:val="64B1EE72"/>
    <w:rsid w:val="64E2260C"/>
    <w:rsid w:val="663CBF60"/>
    <w:rsid w:val="665AAAE7"/>
    <w:rsid w:val="667546F1"/>
    <w:rsid w:val="6747E5EC"/>
    <w:rsid w:val="676827D8"/>
    <w:rsid w:val="67E65D04"/>
    <w:rsid w:val="681E9AF7"/>
    <w:rsid w:val="683B6220"/>
    <w:rsid w:val="683E619E"/>
    <w:rsid w:val="6892A7FA"/>
    <w:rsid w:val="68CC3E16"/>
    <w:rsid w:val="696298B2"/>
    <w:rsid w:val="69F5B5C0"/>
    <w:rsid w:val="6A5E0219"/>
    <w:rsid w:val="6A986A5D"/>
    <w:rsid w:val="6AD52103"/>
    <w:rsid w:val="6AF160E9"/>
    <w:rsid w:val="6B14637A"/>
    <w:rsid w:val="6B78B242"/>
    <w:rsid w:val="6C12AE1F"/>
    <w:rsid w:val="6C2B9C94"/>
    <w:rsid w:val="6C9648FE"/>
    <w:rsid w:val="6D71218D"/>
    <w:rsid w:val="6D9A0B78"/>
    <w:rsid w:val="6E1BC4BA"/>
    <w:rsid w:val="6E4BA61D"/>
    <w:rsid w:val="6E61B6D5"/>
    <w:rsid w:val="6E7ADDCB"/>
    <w:rsid w:val="6E815426"/>
    <w:rsid w:val="6F07EF53"/>
    <w:rsid w:val="6FA9D420"/>
    <w:rsid w:val="6FAE8823"/>
    <w:rsid w:val="7093F202"/>
    <w:rsid w:val="712657A4"/>
    <w:rsid w:val="72171A8C"/>
    <w:rsid w:val="726E2122"/>
    <w:rsid w:val="735FAAAE"/>
    <w:rsid w:val="739D9A65"/>
    <w:rsid w:val="73B2B346"/>
    <w:rsid w:val="74F0D14C"/>
    <w:rsid w:val="7510D683"/>
    <w:rsid w:val="753628CD"/>
    <w:rsid w:val="757DEE74"/>
    <w:rsid w:val="765D7826"/>
    <w:rsid w:val="774E3182"/>
    <w:rsid w:val="77A3EAF2"/>
    <w:rsid w:val="77A5B5DB"/>
    <w:rsid w:val="77AD1B7D"/>
    <w:rsid w:val="789A51BD"/>
    <w:rsid w:val="78D4ECEA"/>
    <w:rsid w:val="78FDE1BC"/>
    <w:rsid w:val="79B37DA7"/>
    <w:rsid w:val="7A082065"/>
    <w:rsid w:val="7A27DCBE"/>
    <w:rsid w:val="7A556332"/>
    <w:rsid w:val="7A68656C"/>
    <w:rsid w:val="7A78E7D5"/>
    <w:rsid w:val="7A8081CB"/>
    <w:rsid w:val="7B891DC9"/>
    <w:rsid w:val="7BED40CE"/>
    <w:rsid w:val="7C34E03F"/>
    <w:rsid w:val="7C5244F3"/>
    <w:rsid w:val="7C94BCFE"/>
    <w:rsid w:val="7C969B5E"/>
    <w:rsid w:val="7C9CFA30"/>
    <w:rsid w:val="7D349ACB"/>
    <w:rsid w:val="7D5721A2"/>
    <w:rsid w:val="7DD42C3D"/>
    <w:rsid w:val="7DFE0BD0"/>
    <w:rsid w:val="7E3F7CC2"/>
    <w:rsid w:val="7E656AB0"/>
    <w:rsid w:val="7EC4906E"/>
    <w:rsid w:val="7FB6CA04"/>
    <w:rsid w:val="7FC7A86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C036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5"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74D"/>
    <w:pPr>
      <w:spacing w:before="80" w:after="80"/>
    </w:pPr>
    <w:rPr>
      <w:rFonts w:ascii="Arial" w:hAnsi="Arial"/>
    </w:rPr>
  </w:style>
  <w:style w:type="paragraph" w:styleId="Heading1">
    <w:name w:val="heading 1"/>
    <w:basedOn w:val="Normal"/>
    <w:next w:val="Normal"/>
    <w:link w:val="Heading1Char"/>
    <w:uiPriority w:val="1"/>
    <w:qFormat/>
    <w:rsid w:val="008269F8"/>
    <w:pPr>
      <w:keepNext/>
      <w:numPr>
        <w:numId w:val="19"/>
      </w:numPr>
      <w:spacing w:before="240" w:after="160" w:line="240" w:lineRule="auto"/>
      <w:jc w:val="both"/>
      <w:outlineLvl w:val="0"/>
    </w:pPr>
    <w:rPr>
      <w:rFonts w:ascii="Times New Roman" w:eastAsia="Times New Roman" w:hAnsi="Times New Roman" w:cs="Times New Roman"/>
      <w:b/>
      <w:smallCaps/>
      <w:sz w:val="24"/>
      <w:szCs w:val="20"/>
      <w:lang w:eastAsia="en-GB"/>
    </w:rPr>
  </w:style>
  <w:style w:type="paragraph" w:styleId="Heading2">
    <w:name w:val="heading 2"/>
    <w:basedOn w:val="Normal"/>
    <w:next w:val="Normal"/>
    <w:link w:val="Heading2Char"/>
    <w:uiPriority w:val="1"/>
    <w:unhideWhenUsed/>
    <w:qFormat/>
    <w:rsid w:val="008269F8"/>
    <w:pPr>
      <w:keepNext/>
      <w:numPr>
        <w:ilvl w:val="1"/>
        <w:numId w:val="19"/>
      </w:numPr>
      <w:tabs>
        <w:tab w:val="num" w:pos="1202"/>
      </w:tabs>
      <w:spacing w:before="120" w:line="240" w:lineRule="auto"/>
      <w:ind w:left="720" w:hanging="720"/>
      <w:jc w:val="both"/>
      <w:outlineLvl w:val="1"/>
    </w:pPr>
    <w:rPr>
      <w:rFonts w:ascii="Times New Roman" w:eastAsia="Times New Roman" w:hAnsi="Times New Roman" w:cs="Times New Roman"/>
      <w:b/>
      <w:sz w:val="24"/>
      <w:szCs w:val="20"/>
      <w:lang w:eastAsia="en-GB"/>
    </w:rPr>
  </w:style>
  <w:style w:type="paragraph" w:styleId="Heading3">
    <w:name w:val="heading 3"/>
    <w:basedOn w:val="Normal"/>
    <w:next w:val="Normal"/>
    <w:link w:val="Heading3Char"/>
    <w:uiPriority w:val="9"/>
    <w:unhideWhenUsed/>
    <w:qFormat/>
    <w:rsid w:val="000A24A6"/>
    <w:pPr>
      <w:keepNext/>
      <w:keepLines/>
      <w:numPr>
        <w:ilvl w:val="2"/>
        <w:numId w:val="19"/>
      </w:numPr>
      <w:spacing w:before="40"/>
      <w:ind w:left="720"/>
      <w:outlineLvl w:val="2"/>
    </w:pPr>
    <w:rPr>
      <w:rFonts w:ascii="Times New Roman" w:eastAsiaTheme="majorEastAsia" w:hAnsi="Times New Roman" w:cs="Times New Roman"/>
      <w:b/>
      <w:bCs/>
      <w:sz w:val="24"/>
      <w:szCs w:val="24"/>
      <w:lang w:eastAsia="en-GB"/>
    </w:rPr>
  </w:style>
  <w:style w:type="paragraph" w:styleId="Heading4">
    <w:name w:val="heading 4"/>
    <w:basedOn w:val="Normal"/>
    <w:next w:val="Normal"/>
    <w:link w:val="Heading4Char"/>
    <w:uiPriority w:val="9"/>
    <w:unhideWhenUsed/>
    <w:qFormat/>
    <w:rsid w:val="002E5A09"/>
    <w:pPr>
      <w:keepNext/>
      <w:keepLines/>
      <w:numPr>
        <w:ilvl w:val="3"/>
        <w:numId w:val="19"/>
      </w:numPr>
      <w:spacing w:before="40" w:after="0"/>
      <w:outlineLvl w:val="3"/>
    </w:pPr>
    <w:rPr>
      <w:rFonts w:eastAsiaTheme="majorEastAsia" w:cstheme="majorBidi"/>
      <w:i/>
      <w:iCs/>
      <w:color w:val="034EA2" w:themeColor="text2"/>
    </w:rPr>
  </w:style>
  <w:style w:type="paragraph" w:styleId="Heading5">
    <w:name w:val="heading 5"/>
    <w:basedOn w:val="Normal"/>
    <w:next w:val="Normal"/>
    <w:link w:val="Heading5Char"/>
    <w:uiPriority w:val="9"/>
    <w:unhideWhenUsed/>
    <w:qFormat/>
    <w:rsid w:val="0086174D"/>
    <w:pPr>
      <w:keepNext/>
      <w:keepLines/>
      <w:numPr>
        <w:ilvl w:val="4"/>
        <w:numId w:val="19"/>
      </w:numPr>
      <w:spacing w:before="40" w:after="0"/>
      <w:outlineLvl w:val="4"/>
    </w:pPr>
    <w:rPr>
      <w:rFonts w:asciiTheme="majorHAnsi" w:eastAsiaTheme="majorEastAsia" w:hAnsiTheme="majorHAnsi" w:cstheme="majorBidi"/>
      <w:color w:val="166367" w:themeColor="accent1" w:themeShade="BF"/>
    </w:rPr>
  </w:style>
  <w:style w:type="paragraph" w:styleId="Heading6">
    <w:name w:val="heading 6"/>
    <w:basedOn w:val="Normal"/>
    <w:next w:val="Normal"/>
    <w:link w:val="Heading6Char"/>
    <w:uiPriority w:val="9"/>
    <w:unhideWhenUsed/>
    <w:qFormat/>
    <w:rsid w:val="0086174D"/>
    <w:pPr>
      <w:keepNext/>
      <w:keepLines/>
      <w:numPr>
        <w:ilvl w:val="5"/>
        <w:numId w:val="19"/>
      </w:numPr>
      <w:spacing w:before="40" w:after="0"/>
      <w:outlineLvl w:val="5"/>
    </w:pPr>
    <w:rPr>
      <w:rFonts w:asciiTheme="majorHAnsi" w:eastAsiaTheme="majorEastAsia" w:hAnsiTheme="majorHAnsi" w:cstheme="majorBidi"/>
      <w:color w:val="0F4145" w:themeColor="accent1" w:themeShade="7F"/>
    </w:rPr>
  </w:style>
  <w:style w:type="paragraph" w:styleId="Heading7">
    <w:name w:val="heading 7"/>
    <w:basedOn w:val="Normal"/>
    <w:next w:val="Normal"/>
    <w:link w:val="Heading7Char"/>
    <w:uiPriority w:val="9"/>
    <w:unhideWhenUsed/>
    <w:qFormat/>
    <w:rsid w:val="0086174D"/>
    <w:pPr>
      <w:keepNext/>
      <w:keepLines/>
      <w:numPr>
        <w:ilvl w:val="6"/>
        <w:numId w:val="19"/>
      </w:numPr>
      <w:spacing w:before="40" w:after="0"/>
      <w:outlineLvl w:val="6"/>
    </w:pPr>
    <w:rPr>
      <w:rFonts w:asciiTheme="majorHAnsi" w:eastAsiaTheme="majorEastAsia" w:hAnsiTheme="majorHAnsi" w:cstheme="majorBidi"/>
      <w:i/>
      <w:iCs/>
      <w:color w:val="0F4145" w:themeColor="accent1" w:themeShade="7F"/>
    </w:rPr>
  </w:style>
  <w:style w:type="paragraph" w:styleId="Heading8">
    <w:name w:val="heading 8"/>
    <w:basedOn w:val="Normal"/>
    <w:next w:val="Normal"/>
    <w:link w:val="Heading8Char"/>
    <w:uiPriority w:val="9"/>
    <w:unhideWhenUsed/>
    <w:qFormat/>
    <w:rsid w:val="0086174D"/>
    <w:pPr>
      <w:keepNext/>
      <w:keepLines/>
      <w:numPr>
        <w:ilvl w:val="7"/>
        <w:numId w:val="19"/>
      </w:numPr>
      <w:spacing w:before="40" w:after="0"/>
      <w:outlineLvl w:val="7"/>
    </w:pPr>
    <w:rPr>
      <w:rFonts w:asciiTheme="majorHAnsi" w:eastAsiaTheme="majorEastAsia" w:hAnsiTheme="majorHAnsi" w:cstheme="majorBidi"/>
      <w:color w:val="686868" w:themeColor="text1" w:themeTint="D8"/>
      <w:sz w:val="21"/>
      <w:szCs w:val="21"/>
    </w:rPr>
  </w:style>
  <w:style w:type="paragraph" w:styleId="Heading9">
    <w:name w:val="heading 9"/>
    <w:basedOn w:val="Normal"/>
    <w:next w:val="Normal"/>
    <w:link w:val="Heading9Char"/>
    <w:uiPriority w:val="9"/>
    <w:unhideWhenUsed/>
    <w:qFormat/>
    <w:rsid w:val="0086174D"/>
    <w:pPr>
      <w:keepNext/>
      <w:keepLines/>
      <w:numPr>
        <w:ilvl w:val="8"/>
        <w:numId w:val="19"/>
      </w:numPr>
      <w:spacing w:before="40" w:after="0"/>
      <w:outlineLvl w:val="8"/>
    </w:pPr>
    <w:rPr>
      <w:rFonts w:asciiTheme="majorHAnsi" w:eastAsiaTheme="majorEastAsia" w:hAnsiTheme="majorHAnsi" w:cstheme="majorBidi"/>
      <w:i/>
      <w:iCs/>
      <w:color w:val="686868"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174D"/>
    <w:rPr>
      <w:rFonts w:ascii="Times New Roman" w:eastAsia="Times New Roman" w:hAnsi="Times New Roman" w:cs="Times New Roman"/>
      <w:b/>
      <w:smallCaps/>
      <w:sz w:val="24"/>
      <w:szCs w:val="20"/>
      <w:lang w:val="cs-CZ" w:eastAsia="en-GB"/>
    </w:rPr>
  </w:style>
  <w:style w:type="character" w:customStyle="1" w:styleId="Heading2Char">
    <w:name w:val="Heading 2 Char"/>
    <w:basedOn w:val="DefaultParagraphFont"/>
    <w:link w:val="Heading2"/>
    <w:uiPriority w:val="1"/>
    <w:rsid w:val="00CF35C9"/>
    <w:rPr>
      <w:rFonts w:ascii="Times New Roman" w:eastAsia="Times New Roman" w:hAnsi="Times New Roman" w:cs="Times New Roman"/>
      <w:b/>
      <w:sz w:val="24"/>
      <w:szCs w:val="20"/>
      <w:lang w:val="cs-CZ" w:eastAsia="en-GB"/>
    </w:rPr>
  </w:style>
  <w:style w:type="character" w:customStyle="1" w:styleId="Heading3Char">
    <w:name w:val="Heading 3 Char"/>
    <w:basedOn w:val="DefaultParagraphFont"/>
    <w:link w:val="Heading3"/>
    <w:uiPriority w:val="9"/>
    <w:rsid w:val="00CF35C9"/>
    <w:rPr>
      <w:rFonts w:ascii="Times New Roman" w:eastAsiaTheme="majorEastAsia" w:hAnsi="Times New Roman" w:cs="Times New Roman"/>
      <w:b/>
      <w:bCs/>
      <w:sz w:val="24"/>
      <w:szCs w:val="24"/>
      <w:lang w:val="cs-CZ" w:eastAsia="en-GB"/>
    </w:rPr>
  </w:style>
  <w:style w:type="character" w:customStyle="1" w:styleId="Heading4Char">
    <w:name w:val="Heading 4 Char"/>
    <w:basedOn w:val="DefaultParagraphFont"/>
    <w:link w:val="Heading4"/>
    <w:uiPriority w:val="9"/>
    <w:rsid w:val="002E5A09"/>
    <w:rPr>
      <w:rFonts w:ascii="Arial" w:eastAsiaTheme="majorEastAsia" w:hAnsi="Arial" w:cstheme="majorBidi"/>
      <w:i/>
      <w:iCs/>
      <w:color w:val="034EA2" w:themeColor="text2"/>
    </w:rPr>
  </w:style>
  <w:style w:type="character" w:customStyle="1" w:styleId="Heading5Char">
    <w:name w:val="Heading 5 Char"/>
    <w:basedOn w:val="DefaultParagraphFont"/>
    <w:link w:val="Heading5"/>
    <w:uiPriority w:val="9"/>
    <w:rsid w:val="0086174D"/>
    <w:rPr>
      <w:rFonts w:asciiTheme="majorHAnsi" w:eastAsiaTheme="majorEastAsia" w:hAnsiTheme="majorHAnsi" w:cstheme="majorBidi"/>
      <w:color w:val="166367" w:themeColor="accent1" w:themeShade="BF"/>
    </w:rPr>
  </w:style>
  <w:style w:type="character" w:customStyle="1" w:styleId="Heading6Char">
    <w:name w:val="Heading 6 Char"/>
    <w:basedOn w:val="DefaultParagraphFont"/>
    <w:link w:val="Heading6"/>
    <w:uiPriority w:val="9"/>
    <w:rsid w:val="0086174D"/>
    <w:rPr>
      <w:rFonts w:asciiTheme="majorHAnsi" w:eastAsiaTheme="majorEastAsia" w:hAnsiTheme="majorHAnsi" w:cstheme="majorBidi"/>
      <w:color w:val="0F4145" w:themeColor="accent1" w:themeShade="7F"/>
    </w:rPr>
  </w:style>
  <w:style w:type="character" w:customStyle="1" w:styleId="Heading7Char">
    <w:name w:val="Heading 7 Char"/>
    <w:basedOn w:val="DefaultParagraphFont"/>
    <w:link w:val="Heading7"/>
    <w:uiPriority w:val="9"/>
    <w:rsid w:val="0086174D"/>
    <w:rPr>
      <w:rFonts w:asciiTheme="majorHAnsi" w:eastAsiaTheme="majorEastAsia" w:hAnsiTheme="majorHAnsi" w:cstheme="majorBidi"/>
      <w:i/>
      <w:iCs/>
      <w:color w:val="0F4145" w:themeColor="accent1" w:themeShade="7F"/>
    </w:rPr>
  </w:style>
  <w:style w:type="character" w:customStyle="1" w:styleId="Heading8Char">
    <w:name w:val="Heading 8 Char"/>
    <w:basedOn w:val="DefaultParagraphFont"/>
    <w:link w:val="Heading8"/>
    <w:uiPriority w:val="9"/>
    <w:rsid w:val="0086174D"/>
    <w:rPr>
      <w:rFonts w:asciiTheme="majorHAnsi" w:eastAsiaTheme="majorEastAsia" w:hAnsiTheme="majorHAnsi" w:cstheme="majorBidi"/>
      <w:color w:val="686868" w:themeColor="text1" w:themeTint="D8"/>
      <w:sz w:val="21"/>
      <w:szCs w:val="21"/>
    </w:rPr>
  </w:style>
  <w:style w:type="character" w:customStyle="1" w:styleId="Heading9Char">
    <w:name w:val="Heading 9 Char"/>
    <w:basedOn w:val="DefaultParagraphFont"/>
    <w:link w:val="Heading9"/>
    <w:uiPriority w:val="9"/>
    <w:rsid w:val="0086174D"/>
    <w:rPr>
      <w:rFonts w:asciiTheme="majorHAnsi" w:eastAsiaTheme="majorEastAsia" w:hAnsiTheme="majorHAnsi" w:cstheme="majorBidi"/>
      <w:i/>
      <w:iCs/>
      <w:color w:val="686868" w:themeColor="text1" w:themeTint="D8"/>
      <w:sz w:val="21"/>
      <w:szCs w:val="21"/>
    </w:rPr>
  </w:style>
  <w:style w:type="paragraph" w:styleId="Header">
    <w:name w:val="header"/>
    <w:basedOn w:val="Normal"/>
    <w:link w:val="HeaderChar"/>
    <w:uiPriority w:val="99"/>
    <w:qFormat/>
    <w:rsid w:val="009A14AC"/>
    <w:pPr>
      <w:pBdr>
        <w:bottom w:val="single" w:sz="12" w:space="1" w:color="034EA2" w:themeColor="text2"/>
      </w:pBdr>
      <w:tabs>
        <w:tab w:val="center" w:pos="4153"/>
        <w:tab w:val="right" w:pos="8306"/>
      </w:tabs>
      <w:spacing w:before="0" w:after="0" w:line="240" w:lineRule="auto"/>
      <w:jc w:val="both"/>
    </w:pPr>
    <w:rPr>
      <w:rFonts w:eastAsia="Times New Roman" w:cs="Times New Roman"/>
      <w:color w:val="034EA2" w:themeColor="text2"/>
      <w:sz w:val="20"/>
      <w:szCs w:val="20"/>
    </w:rPr>
  </w:style>
  <w:style w:type="character" w:customStyle="1" w:styleId="HeaderChar">
    <w:name w:val="Header Char"/>
    <w:link w:val="Header"/>
    <w:uiPriority w:val="99"/>
    <w:rsid w:val="009A14AC"/>
    <w:rPr>
      <w:rFonts w:ascii="Arial" w:eastAsia="Times New Roman" w:hAnsi="Arial" w:cs="Times New Roman"/>
      <w:color w:val="034EA2" w:themeColor="text2"/>
      <w:sz w:val="20"/>
      <w:szCs w:val="20"/>
    </w:rPr>
  </w:style>
  <w:style w:type="paragraph" w:styleId="Footer">
    <w:name w:val="footer"/>
    <w:basedOn w:val="Header"/>
    <w:link w:val="FooterChar"/>
    <w:uiPriority w:val="99"/>
    <w:unhideWhenUsed/>
    <w:qFormat/>
    <w:rsid w:val="009A14AC"/>
    <w:pPr>
      <w:pBdr>
        <w:top w:val="single" w:sz="12" w:space="1" w:color="034EA2" w:themeColor="text2"/>
        <w:bottom w:val="none" w:sz="0" w:space="0" w:color="auto"/>
      </w:pBdr>
      <w:tabs>
        <w:tab w:val="clear" w:pos="8306"/>
        <w:tab w:val="right" w:pos="10773"/>
      </w:tabs>
    </w:pPr>
  </w:style>
  <w:style w:type="character" w:customStyle="1" w:styleId="FooterChar">
    <w:name w:val="Footer Char"/>
    <w:basedOn w:val="DefaultParagraphFont"/>
    <w:link w:val="Footer"/>
    <w:uiPriority w:val="99"/>
    <w:rsid w:val="009A14AC"/>
    <w:rPr>
      <w:rFonts w:ascii="Arial" w:eastAsia="Times New Roman" w:hAnsi="Arial" w:cs="Times New Roman"/>
      <w:color w:val="034EA2" w:themeColor="text2"/>
      <w:sz w:val="20"/>
      <w:szCs w:val="20"/>
    </w:rPr>
  </w:style>
  <w:style w:type="paragraph" w:styleId="Title">
    <w:name w:val="Title"/>
    <w:basedOn w:val="Normal"/>
    <w:next w:val="Normal"/>
    <w:link w:val="TitleChar"/>
    <w:uiPriority w:val="10"/>
    <w:qFormat/>
    <w:rsid w:val="002E5A09"/>
    <w:pPr>
      <w:pBdr>
        <w:bottom w:val="single" w:sz="12" w:space="1" w:color="034EA2" w:themeColor="text2"/>
      </w:pBdr>
    </w:pPr>
    <w:rPr>
      <w:rFonts w:eastAsiaTheme="majorEastAsia" w:cstheme="majorBidi"/>
      <w:color w:val="034EA2" w:themeColor="text2"/>
      <w:spacing w:val="-10"/>
      <w:kern w:val="28"/>
      <w:sz w:val="40"/>
      <w:szCs w:val="44"/>
    </w:rPr>
  </w:style>
  <w:style w:type="character" w:customStyle="1" w:styleId="TitleChar">
    <w:name w:val="Title Char"/>
    <w:basedOn w:val="DefaultParagraphFont"/>
    <w:link w:val="Title"/>
    <w:uiPriority w:val="10"/>
    <w:rsid w:val="002E5A09"/>
    <w:rPr>
      <w:rFonts w:ascii="Arial" w:eastAsiaTheme="majorEastAsia" w:hAnsi="Arial" w:cstheme="majorBidi"/>
      <w:color w:val="034EA2" w:themeColor="text2"/>
      <w:spacing w:val="-10"/>
      <w:kern w:val="28"/>
      <w:sz w:val="40"/>
      <w:szCs w:val="44"/>
    </w:rPr>
  </w:style>
  <w:style w:type="character" w:styleId="IntenseEmphasis">
    <w:name w:val="Intense Emphasis"/>
    <w:basedOn w:val="DefaultParagraphFont"/>
    <w:uiPriority w:val="21"/>
    <w:qFormat/>
    <w:rsid w:val="0086174D"/>
    <w:rPr>
      <w:i/>
      <w:iCs/>
      <w:color w:val="034EA2" w:themeColor="text2"/>
    </w:rPr>
  </w:style>
  <w:style w:type="table" w:styleId="TableGrid">
    <w:name w:val="Table Grid"/>
    <w:aliases w:val="Products"/>
    <w:basedOn w:val="TableNormal"/>
    <w:uiPriority w:val="39"/>
    <w:rsid w:val="001F7FD9"/>
    <w:pPr>
      <w:spacing w:after="0" w:line="240" w:lineRule="auto"/>
      <w:jc w:val="center"/>
    </w:pPr>
    <w:rPr>
      <w:rFonts w:ascii="Arial" w:hAnsi="Arial"/>
      <w:color w:val="034EA2" w:themeColor="text2"/>
      <w:sz w:val="18"/>
    </w:rPr>
    <w:tblPr>
      <w:tblStyleRowBandSize w:val="1"/>
    </w:tblPr>
    <w:tblStylePr w:type="firstRow">
      <w:rPr>
        <w:color w:val="FFFFFF" w:themeColor="background1"/>
      </w:rPr>
    </w:tblStylePr>
    <w:tblStylePr w:type="firstCol">
      <w:pPr>
        <w:jc w:val="left"/>
      </w:pPr>
    </w:tblStylePr>
    <w:tblStylePr w:type="band1Horz">
      <w:rPr>
        <w:color w:val="262626" w:themeColor="text1" w:themeShade="80"/>
      </w:rPr>
    </w:tblStylePr>
    <w:tblStylePr w:type="band2Horz">
      <w:rPr>
        <w:color w:val="262626" w:themeColor="text1" w:themeShade="80"/>
      </w:rPr>
    </w:tblStylePr>
    <w:tblStylePr w:type="nwCell">
      <w:rPr>
        <w:rFonts w:ascii="Arial" w:hAnsi="Arial"/>
        <w:b/>
        <w:color w:val="4D4D4D" w:themeColor="text1"/>
        <w:sz w:val="18"/>
      </w:rPr>
    </w:tblStylePr>
  </w:style>
  <w:style w:type="paragraph" w:customStyle="1" w:styleId="Tablelist">
    <w:name w:val="Table list"/>
    <w:basedOn w:val="Normal"/>
    <w:link w:val="TablelistChar"/>
    <w:qFormat/>
    <w:rsid w:val="00AC15D3"/>
    <w:pPr>
      <w:spacing w:before="40" w:after="40" w:line="240" w:lineRule="auto"/>
    </w:pPr>
    <w:rPr>
      <w:sz w:val="18"/>
    </w:rPr>
  </w:style>
  <w:style w:type="character" w:customStyle="1" w:styleId="TablelistChar">
    <w:name w:val="Table list Char"/>
    <w:basedOn w:val="DefaultParagraphFont"/>
    <w:link w:val="Tablelist"/>
    <w:rsid w:val="00AC15D3"/>
    <w:rPr>
      <w:rFonts w:ascii="Arial" w:hAnsi="Arial"/>
      <w:sz w:val="18"/>
    </w:r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Footnote Text Char1"/>
    <w:basedOn w:val="Normal"/>
    <w:link w:val="FootnoteTextChar"/>
    <w:unhideWhenUsed/>
    <w:qFormat/>
    <w:rsid w:val="0086174D"/>
    <w:pPr>
      <w:spacing w:before="0"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qFormat/>
    <w:rsid w:val="0086174D"/>
    <w:rPr>
      <w:rFonts w:ascii="Arial" w:hAnsi="Arial"/>
      <w:sz w:val="20"/>
      <w:szCs w:val="20"/>
    </w:rPr>
  </w:style>
  <w:style w:type="character" w:styleId="FootnoteReference">
    <w:name w:val="footnote reference"/>
    <w:aliases w:val="SUPERS,Footnote symbol,Times 10 Point,Exposant 3 Point,Footnote,BVI fnr, Exposant 3 Point, BVI fnr,Footnote Reference Superscript,-E Fußnotenzeichen,number,stylish,Source Reference,Footnote reference number,note TESI,Ref,de nota al pi"/>
    <w:basedOn w:val="DefaultParagraphFont"/>
    <w:link w:val="SUPERSCharCharCharCharCharCharCharChar"/>
    <w:uiPriority w:val="99"/>
    <w:unhideWhenUsed/>
    <w:qFormat/>
    <w:rsid w:val="0086174D"/>
    <w:rPr>
      <w:vertAlign w:val="superscript"/>
    </w:rPr>
  </w:style>
  <w:style w:type="character" w:styleId="Hyperlink">
    <w:name w:val="Hyperlink"/>
    <w:basedOn w:val="DefaultParagraphFont"/>
    <w:uiPriority w:val="99"/>
    <w:unhideWhenUsed/>
    <w:rsid w:val="007F291D"/>
    <w:rPr>
      <w:color w:val="0563C1" w:themeColor="hyperlink"/>
      <w:u w:val="single"/>
    </w:rPr>
  </w:style>
  <w:style w:type="paragraph" w:styleId="Subtitle">
    <w:name w:val="Subtitle"/>
    <w:basedOn w:val="Normal"/>
    <w:next w:val="Normal"/>
    <w:link w:val="SubtitleChar"/>
    <w:uiPriority w:val="11"/>
    <w:qFormat/>
    <w:rsid w:val="00822926"/>
    <w:pPr>
      <w:numPr>
        <w:ilvl w:val="1"/>
      </w:numPr>
      <w:spacing w:after="160"/>
    </w:pPr>
    <w:rPr>
      <w:rFonts w:asciiTheme="minorHAnsi" w:eastAsiaTheme="minorEastAsia" w:hAnsiTheme="minorHAnsi"/>
      <w:color w:val="8B8B8B" w:themeColor="text1" w:themeTint="A5"/>
      <w:spacing w:val="15"/>
    </w:rPr>
  </w:style>
  <w:style w:type="character" w:customStyle="1" w:styleId="SubtitleChar">
    <w:name w:val="Subtitle Char"/>
    <w:basedOn w:val="DefaultParagraphFont"/>
    <w:link w:val="Subtitle"/>
    <w:uiPriority w:val="11"/>
    <w:rsid w:val="00822926"/>
    <w:rPr>
      <w:rFonts w:eastAsiaTheme="minorEastAsia"/>
      <w:color w:val="8B8B8B" w:themeColor="text1" w:themeTint="A5"/>
      <w:spacing w:val="15"/>
    </w:rPr>
  </w:style>
  <w:style w:type="paragraph" w:styleId="ListParagraph">
    <w:name w:val="List Paragraph"/>
    <w:basedOn w:val="Normal"/>
    <w:uiPriority w:val="34"/>
    <w:qFormat/>
    <w:rsid w:val="00E41FC2"/>
    <w:pPr>
      <w:ind w:left="720"/>
      <w:contextualSpacing/>
    </w:pPr>
  </w:style>
  <w:style w:type="paragraph" w:styleId="Caption">
    <w:name w:val="caption"/>
    <w:basedOn w:val="Normal"/>
    <w:next w:val="Normal"/>
    <w:uiPriority w:val="35"/>
    <w:unhideWhenUsed/>
    <w:qFormat/>
    <w:rsid w:val="0089137F"/>
    <w:pPr>
      <w:spacing w:before="0" w:after="200" w:line="240" w:lineRule="auto"/>
    </w:pPr>
    <w:rPr>
      <w:i/>
      <w:iCs/>
      <w:color w:val="034EA2" w:themeColor="text2"/>
      <w:sz w:val="18"/>
      <w:szCs w:val="18"/>
    </w:rPr>
  </w:style>
  <w:style w:type="paragraph" w:styleId="Revision">
    <w:name w:val="Revision"/>
    <w:hidden/>
    <w:uiPriority w:val="99"/>
    <w:semiHidden/>
    <w:rsid w:val="003F7B13"/>
    <w:pPr>
      <w:spacing w:after="0" w:line="240" w:lineRule="auto"/>
    </w:pPr>
    <w:rPr>
      <w:rFonts w:ascii="Arial" w:hAnsi="Arial"/>
    </w:rPr>
  </w:style>
  <w:style w:type="character" w:styleId="CommentReference">
    <w:name w:val="annotation reference"/>
    <w:basedOn w:val="DefaultParagraphFont"/>
    <w:uiPriority w:val="99"/>
    <w:unhideWhenUsed/>
    <w:rsid w:val="00B013AB"/>
    <w:rPr>
      <w:sz w:val="16"/>
      <w:szCs w:val="16"/>
    </w:rPr>
  </w:style>
  <w:style w:type="paragraph" w:styleId="CommentText">
    <w:name w:val="annotation text"/>
    <w:basedOn w:val="Normal"/>
    <w:link w:val="CommentTextChar"/>
    <w:uiPriority w:val="99"/>
    <w:unhideWhenUsed/>
    <w:rsid w:val="00B013AB"/>
    <w:pPr>
      <w:spacing w:line="240" w:lineRule="auto"/>
    </w:pPr>
    <w:rPr>
      <w:sz w:val="20"/>
      <w:szCs w:val="20"/>
    </w:rPr>
  </w:style>
  <w:style w:type="character" w:customStyle="1" w:styleId="CommentTextChar">
    <w:name w:val="Comment Text Char"/>
    <w:basedOn w:val="DefaultParagraphFont"/>
    <w:link w:val="CommentText"/>
    <w:uiPriority w:val="99"/>
    <w:rsid w:val="00B013AB"/>
    <w:rPr>
      <w:rFonts w:ascii="Arial" w:hAnsi="Arial"/>
      <w:sz w:val="20"/>
      <w:szCs w:val="20"/>
    </w:rPr>
  </w:style>
  <w:style w:type="paragraph" w:styleId="CommentSubject">
    <w:name w:val="annotation subject"/>
    <w:basedOn w:val="CommentText"/>
    <w:next w:val="CommentText"/>
    <w:link w:val="CommentSubjectChar"/>
    <w:uiPriority w:val="99"/>
    <w:unhideWhenUsed/>
    <w:rsid w:val="00B013AB"/>
    <w:rPr>
      <w:b/>
      <w:bCs/>
    </w:rPr>
  </w:style>
  <w:style w:type="character" w:customStyle="1" w:styleId="CommentSubjectChar">
    <w:name w:val="Comment Subject Char"/>
    <w:basedOn w:val="CommentTextChar"/>
    <w:link w:val="CommentSubject"/>
    <w:uiPriority w:val="99"/>
    <w:rsid w:val="00B013AB"/>
    <w:rPr>
      <w:rFonts w:ascii="Arial" w:hAnsi="Arial"/>
      <w:b/>
      <w:bCs/>
      <w:sz w:val="20"/>
      <w:szCs w:val="20"/>
    </w:rPr>
  </w:style>
  <w:style w:type="paragraph" w:styleId="BodyText">
    <w:name w:val="Body Text"/>
    <w:basedOn w:val="Normal"/>
    <w:link w:val="BodyTextChar"/>
    <w:uiPriority w:val="75"/>
    <w:rsid w:val="00215A83"/>
    <w:pPr>
      <w:spacing w:before="120" w:after="120" w:line="210" w:lineRule="atLeast"/>
      <w:jc w:val="both"/>
    </w:pPr>
    <w:rPr>
      <w:rFonts w:ascii="Cambria" w:eastAsia="MS Mincho" w:hAnsi="Cambria" w:cs="Cambria"/>
      <w:szCs w:val="20"/>
      <w:lang w:eastAsia="fr-FR"/>
    </w:rPr>
  </w:style>
  <w:style w:type="character" w:customStyle="1" w:styleId="BodyTextChar">
    <w:name w:val="Body Text Char"/>
    <w:basedOn w:val="DefaultParagraphFont"/>
    <w:link w:val="BodyText"/>
    <w:uiPriority w:val="75"/>
    <w:rsid w:val="00215A83"/>
    <w:rPr>
      <w:rFonts w:ascii="Cambria" w:eastAsia="MS Mincho" w:hAnsi="Cambria" w:cs="Cambria"/>
      <w:szCs w:val="20"/>
      <w:lang w:val="cs-CZ" w:eastAsia="fr-FR"/>
    </w:rPr>
  </w:style>
  <w:style w:type="table" w:styleId="TableGridLight">
    <w:name w:val="Grid Table Light"/>
    <w:basedOn w:val="TableNormal"/>
    <w:uiPriority w:val="40"/>
    <w:rsid w:val="009541DB"/>
    <w:pPr>
      <w:spacing w:after="0" w:line="240" w:lineRule="auto"/>
    </w:pPr>
    <w:tblPr/>
  </w:style>
  <w:style w:type="character" w:styleId="FollowedHyperlink">
    <w:name w:val="FollowedHyperlink"/>
    <w:basedOn w:val="DefaultParagraphFont"/>
    <w:uiPriority w:val="99"/>
    <w:unhideWhenUsed/>
    <w:rsid w:val="008C23F9"/>
    <w:rPr>
      <w:color w:val="954F72"/>
      <w:u w:val="single"/>
    </w:rPr>
  </w:style>
  <w:style w:type="paragraph" w:customStyle="1" w:styleId="msonormal0">
    <w:name w:val="msonormal"/>
    <w:basedOn w:val="Normal"/>
    <w:rsid w:val="008C23F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3">
    <w:name w:val="xl63"/>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4">
    <w:name w:val="xl64"/>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5">
    <w:name w:val="xl65"/>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6">
    <w:name w:val="xl66"/>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7">
    <w:name w:val="xl67"/>
    <w:basedOn w:val="Normal"/>
    <w:rsid w:val="008C23F9"/>
    <w:pPr>
      <w:pBdr>
        <w:top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8">
    <w:name w:val="xl68"/>
    <w:basedOn w:val="Normal"/>
    <w:rsid w:val="008C23F9"/>
    <w:pPr>
      <w:pBdr>
        <w:top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69">
    <w:name w:val="xl69"/>
    <w:basedOn w:val="Normal"/>
    <w:rsid w:val="008C23F9"/>
    <w:pPr>
      <w:pBdr>
        <w:top w:val="single" w:sz="4" w:space="0" w:color="D0CECE"/>
        <w:left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0">
    <w:name w:val="xl70"/>
    <w:basedOn w:val="Normal"/>
    <w:rsid w:val="008C23F9"/>
    <w:pPr>
      <w:pBdr>
        <w:left w:val="single" w:sz="4" w:space="0" w:color="D0CECE"/>
        <w:bottom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1">
    <w:name w:val="xl71"/>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2">
    <w:name w:val="xl72"/>
    <w:basedOn w:val="Normal"/>
    <w:rsid w:val="008C23F9"/>
    <w:pPr>
      <w:pBdr>
        <w:left w:val="single" w:sz="4" w:space="0" w:color="D0CECE"/>
        <w:right w:val="single" w:sz="4" w:space="0" w:color="D0CECE"/>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3">
    <w:name w:val="xl73"/>
    <w:basedOn w:val="Normal"/>
    <w:rsid w:val="008C23F9"/>
    <w:pPr>
      <w:pBdr>
        <w:top w:val="single" w:sz="4" w:space="0" w:color="D0CECE"/>
        <w:left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4">
    <w:name w:val="xl74"/>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5">
    <w:name w:val="xl75"/>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customStyle="1" w:styleId="xl76">
    <w:name w:val="xl76"/>
    <w:basedOn w:val="Normal"/>
    <w:rsid w:val="008C23F9"/>
    <w:pPr>
      <w:pBdr>
        <w:left w:val="single" w:sz="4" w:space="0" w:color="D0CECE"/>
        <w:bottom w:val="single" w:sz="4" w:space="0" w:color="D0CECE"/>
        <w:right w:val="single" w:sz="4" w:space="0" w:color="D0CECE"/>
      </w:pBd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7">
    <w:name w:val="xl77"/>
    <w:basedOn w:val="Normal"/>
    <w:rsid w:val="008C23F9"/>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78">
    <w:name w:val="xl78"/>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79">
    <w:name w:val="xl79"/>
    <w:basedOn w:val="Normal"/>
    <w:rsid w:val="008C23F9"/>
    <w:pPr>
      <w:pBdr>
        <w:top w:val="single" w:sz="4" w:space="0" w:color="D0CECE"/>
        <w:left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0">
    <w:name w:val="xl80"/>
    <w:basedOn w:val="Normal"/>
    <w:rsid w:val="008C23F9"/>
    <w:pPr>
      <w:pBdr>
        <w:top w:val="single" w:sz="4" w:space="0" w:color="D0CECE"/>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1">
    <w:name w:val="xl81"/>
    <w:basedOn w:val="Normal"/>
    <w:rsid w:val="008C23F9"/>
    <w:pPr>
      <w:pBdr>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2">
    <w:name w:val="xl82"/>
    <w:basedOn w:val="Normal"/>
    <w:rsid w:val="008C23F9"/>
    <w:pPr>
      <w:pBdr>
        <w:left w:val="single" w:sz="4" w:space="0" w:color="D0CECE"/>
        <w:bottom w:val="single" w:sz="4" w:space="0" w:color="D0CECE"/>
        <w:right w:val="single" w:sz="4" w:space="0" w:color="D0CECE"/>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83">
    <w:name w:val="xl83"/>
    <w:basedOn w:val="Normal"/>
    <w:rsid w:val="008C23F9"/>
    <w:pPr>
      <w:pBdr>
        <w:top w:val="single" w:sz="4" w:space="0" w:color="D0CECE"/>
        <w:bottom w:val="single" w:sz="4" w:space="0" w:color="D0CECE"/>
        <w:right w:val="single" w:sz="4" w:space="0" w:color="D0CECE"/>
      </w:pBdr>
      <w:spacing w:before="100" w:beforeAutospacing="1" w:after="100" w:afterAutospacing="1" w:line="240" w:lineRule="auto"/>
      <w:textAlignment w:val="top"/>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unhideWhenUsed/>
    <w:rsid w:val="008C23F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C23F9"/>
    <w:rPr>
      <w:rFonts w:ascii="Segoe UI" w:hAnsi="Segoe UI" w:cs="Segoe UI"/>
      <w:sz w:val="18"/>
      <w:szCs w:val="18"/>
    </w:rPr>
  </w:style>
  <w:style w:type="character" w:styleId="PlaceholderText">
    <w:name w:val="Placeholder Text"/>
    <w:basedOn w:val="DefaultParagraphFont"/>
    <w:uiPriority w:val="99"/>
    <w:rsid w:val="008C23F9"/>
    <w:rPr>
      <w:color w:val="808080"/>
    </w:rPr>
  </w:style>
  <w:style w:type="character" w:customStyle="1" w:styleId="UnresolvedMention">
    <w:name w:val="Unresolved Mention"/>
    <w:basedOn w:val="DefaultParagraphFont"/>
    <w:uiPriority w:val="99"/>
    <w:unhideWhenUsed/>
    <w:rsid w:val="008C23F9"/>
    <w:rPr>
      <w:color w:val="605E5C"/>
      <w:shd w:val="clear" w:color="auto" w:fill="E1DFDD"/>
    </w:rPr>
  </w:style>
  <w:style w:type="paragraph" w:styleId="NoSpacing">
    <w:name w:val="No Spacing"/>
    <w:uiPriority w:val="1"/>
    <w:qFormat/>
    <w:rsid w:val="008C23F9"/>
    <w:pPr>
      <w:spacing w:after="0" w:line="240" w:lineRule="auto"/>
    </w:pPr>
    <w:rPr>
      <w:rFonts w:ascii="Arial" w:hAnsi="Arial"/>
    </w:rPr>
  </w:style>
  <w:style w:type="table" w:customStyle="1" w:styleId="Standards">
    <w:name w:val="Standards"/>
    <w:basedOn w:val="TableNormal"/>
    <w:uiPriority w:val="99"/>
    <w:rsid w:val="008C23F9"/>
    <w:pPr>
      <w:spacing w:after="0" w:line="276" w:lineRule="auto"/>
    </w:pPr>
    <w:rPr>
      <w:rFonts w:ascii="Times New Roman" w:hAnsi="Times New Roman"/>
      <w:sz w:val="18"/>
      <w:szCs w:val="20"/>
      <w:lang w:eastAsia="en-IE"/>
    </w:rPr>
    <w:tblPr>
      <w:tblStyleColBandSize w:val="1"/>
    </w:tblPr>
    <w:tcPr>
      <w:tcBorders>
        <w:top w:val="nil"/>
        <w:left w:val="nil"/>
        <w:bottom w:val="single" w:sz="6" w:space="0" w:color="000000"/>
        <w:right w:val="nil"/>
      </w:tcBorders>
      <w:shd w:val="pct25" w:color="808000" w:fill="FFFFFF"/>
    </w:tcPr>
    <w:tblStylePr w:type="firstRow">
      <w:rPr>
        <w:rFonts w:ascii="Times New Roman" w:hAnsi="Times New Roman"/>
        <w:b/>
        <w:i w:val="0"/>
        <w:caps w:val="0"/>
        <w:smallCaps w:val="0"/>
        <w:strike w:val="0"/>
        <w:dstrike w:val="0"/>
        <w:vanish w:val="0"/>
        <w:sz w:val="18"/>
        <w:vertAlign w:val="baseline"/>
      </w:r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tblStylePr w:type="band1Vert">
      <w:pPr>
        <w:jc w:val="left"/>
      </w:pPr>
      <w:rPr>
        <w:rFonts w:ascii="Times New Roman" w:hAnsi="Times New Roman"/>
      </w:rPr>
    </w:tblStylePr>
    <w:tblStylePr w:type="band2Vert">
      <w:rPr>
        <w:rFonts w:ascii="Times New Roman" w:hAnsi="Times New Roman"/>
        <w:sz w:val="18"/>
      </w:rPr>
    </w:tblStylePr>
    <w:tblStylePr w:type="band1Horz">
      <w:rPr>
        <w:rFonts w:ascii="Times New Roman" w:hAnsi="Times New Roman"/>
      </w:rPr>
    </w:tblStylePr>
    <w:tblStylePr w:type="band2Horz">
      <w:rPr>
        <w:rFonts w:ascii="Times New Roman" w:hAnsi="Times New Roman"/>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Heading">
    <w:name w:val="TOC Heading"/>
    <w:basedOn w:val="Normal"/>
    <w:next w:val="Normal"/>
    <w:uiPriority w:val="39"/>
    <w:qFormat/>
    <w:rsid w:val="008C23F9"/>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rsid w:val="00114FE0"/>
    <w:pPr>
      <w:tabs>
        <w:tab w:val="right" w:leader="underscore" w:pos="11340"/>
      </w:tabs>
      <w:spacing w:line="240" w:lineRule="auto"/>
      <w:ind w:left="851" w:hanging="851"/>
    </w:pPr>
    <w:rPr>
      <w:rFonts w:cs="Times New Roman"/>
      <w:color w:val="034EA2" w:themeColor="text2"/>
    </w:rPr>
  </w:style>
  <w:style w:type="paragraph" w:styleId="TOC2">
    <w:name w:val="toc 2"/>
    <w:basedOn w:val="Normal"/>
    <w:next w:val="Normal"/>
    <w:uiPriority w:val="39"/>
    <w:rsid w:val="00114FE0"/>
    <w:pPr>
      <w:tabs>
        <w:tab w:val="right" w:leader="underscore" w:pos="11340"/>
      </w:tabs>
      <w:spacing w:line="240" w:lineRule="auto"/>
      <w:ind w:left="851" w:hanging="567"/>
      <w:contextualSpacing/>
    </w:pPr>
    <w:rPr>
      <w:rFonts w:cs="Times New Roman"/>
    </w:rPr>
  </w:style>
  <w:style w:type="paragraph" w:styleId="TOC3">
    <w:name w:val="toc 3"/>
    <w:basedOn w:val="Normal"/>
    <w:next w:val="Normal"/>
    <w:uiPriority w:val="39"/>
    <w:rsid w:val="008C23F9"/>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rsid w:val="008C23F9"/>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rsid w:val="008C23F9"/>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rsid w:val="008C23F9"/>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rsid w:val="008C23F9"/>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rsid w:val="008C23F9"/>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rsid w:val="008C23F9"/>
    <w:pPr>
      <w:tabs>
        <w:tab w:val="right" w:leader="dot" w:pos="9071"/>
      </w:tabs>
      <w:spacing w:before="120" w:after="120" w:line="240" w:lineRule="auto"/>
      <w:ind w:left="1417" w:hanging="1417"/>
    </w:pPr>
    <w:rPr>
      <w:rFonts w:ascii="Times New Roman" w:hAnsi="Times New Roman" w:cs="Times New Roman"/>
      <w:sz w:val="24"/>
    </w:rPr>
  </w:style>
  <w:style w:type="paragraph" w:customStyle="1" w:styleId="HeaderLandscape">
    <w:name w:val="HeaderLandscape"/>
    <w:basedOn w:val="Normal"/>
    <w:rsid w:val="008C23F9"/>
    <w:pPr>
      <w:tabs>
        <w:tab w:val="center" w:pos="7285"/>
        <w:tab w:val="right" w:pos="14003"/>
      </w:tabs>
      <w:spacing w:before="0" w:after="120" w:line="240" w:lineRule="auto"/>
      <w:jc w:val="both"/>
    </w:pPr>
    <w:rPr>
      <w:rFonts w:ascii="Times New Roman" w:hAnsi="Times New Roman" w:cs="Times New Roman"/>
      <w:sz w:val="24"/>
    </w:rPr>
  </w:style>
  <w:style w:type="paragraph" w:customStyle="1" w:styleId="FooterLandscape">
    <w:name w:val="FooterLandscape"/>
    <w:basedOn w:val="Normal"/>
    <w:rsid w:val="008C23F9"/>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HeaderSensitivity">
    <w:name w:val="Header Sensitivity"/>
    <w:basedOn w:val="Normal"/>
    <w:rsid w:val="008C23F9"/>
    <w:pPr>
      <w:pBdr>
        <w:top w:val="single" w:sz="4" w:space="1" w:color="auto"/>
        <w:left w:val="single" w:sz="4" w:space="4" w:color="auto"/>
        <w:bottom w:val="single" w:sz="4" w:space="1" w:color="auto"/>
        <w:right w:val="single" w:sz="4" w:space="4" w:color="auto"/>
      </w:pBdr>
      <w:spacing w:before="0" w:after="120" w:line="240" w:lineRule="auto"/>
      <w:ind w:left="113" w:right="113"/>
      <w:jc w:val="center"/>
    </w:pPr>
    <w:rPr>
      <w:rFonts w:ascii="Times New Roman" w:hAnsi="Times New Roman" w:cs="Times New Roman"/>
      <w:b/>
      <w:sz w:val="32"/>
    </w:rPr>
  </w:style>
  <w:style w:type="paragraph" w:customStyle="1" w:styleId="FooterSensitivity">
    <w:name w:val="Footer Sensitivity"/>
    <w:basedOn w:val="Normal"/>
    <w:rsid w:val="008C23F9"/>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Text1">
    <w:name w:val="Text 1"/>
    <w:basedOn w:val="Normal"/>
    <w:qFormat/>
    <w:rsid w:val="008C23F9"/>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8C23F9"/>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8C23F9"/>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8C23F9"/>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8C23F9"/>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8C23F9"/>
    <w:pPr>
      <w:spacing w:before="120" w:after="120" w:line="240" w:lineRule="auto"/>
    </w:pPr>
    <w:rPr>
      <w:rFonts w:ascii="Times New Roman" w:hAnsi="Times New Roman" w:cs="Times New Roman"/>
      <w:sz w:val="24"/>
    </w:rPr>
  </w:style>
  <w:style w:type="paragraph" w:customStyle="1" w:styleId="NormalRight">
    <w:name w:val="Normal Right"/>
    <w:basedOn w:val="Normal"/>
    <w:rsid w:val="008C23F9"/>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8C23F9"/>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8C23F9"/>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8C23F9"/>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8C23F9"/>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8C23F9"/>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8C23F9"/>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8C23F9"/>
    <w:pPr>
      <w:numPr>
        <w:numId w:val="1"/>
      </w:numPr>
    </w:pPr>
  </w:style>
  <w:style w:type="paragraph" w:customStyle="1" w:styleId="Tiret1">
    <w:name w:val="Tiret 1"/>
    <w:basedOn w:val="Point1"/>
    <w:rsid w:val="008C23F9"/>
    <w:pPr>
      <w:numPr>
        <w:numId w:val="2"/>
      </w:numPr>
    </w:pPr>
  </w:style>
  <w:style w:type="paragraph" w:customStyle="1" w:styleId="Tiret2">
    <w:name w:val="Tiret 2"/>
    <w:basedOn w:val="Point2"/>
    <w:rsid w:val="008C23F9"/>
    <w:pPr>
      <w:numPr>
        <w:numId w:val="3"/>
      </w:numPr>
    </w:pPr>
  </w:style>
  <w:style w:type="paragraph" w:customStyle="1" w:styleId="Tiret3">
    <w:name w:val="Tiret 3"/>
    <w:basedOn w:val="Point3"/>
    <w:rsid w:val="008C23F9"/>
    <w:pPr>
      <w:numPr>
        <w:numId w:val="4"/>
      </w:numPr>
    </w:pPr>
  </w:style>
  <w:style w:type="paragraph" w:customStyle="1" w:styleId="Tiret4">
    <w:name w:val="Tiret 4"/>
    <w:basedOn w:val="Point4"/>
    <w:rsid w:val="008C23F9"/>
    <w:pPr>
      <w:numPr>
        <w:numId w:val="5"/>
      </w:numPr>
    </w:pPr>
  </w:style>
  <w:style w:type="paragraph" w:customStyle="1" w:styleId="PointDouble0">
    <w:name w:val="PointDouble 0"/>
    <w:basedOn w:val="Normal"/>
    <w:rsid w:val="008C23F9"/>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8C23F9"/>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8C23F9"/>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8C23F9"/>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8C23F9"/>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8C23F9"/>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8C23F9"/>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8C23F9"/>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8C23F9"/>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8C23F9"/>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8C23F9"/>
    <w:pPr>
      <w:numPr>
        <w:numId w:val="18"/>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8C23F9"/>
    <w:pPr>
      <w:numPr>
        <w:ilvl w:val="1"/>
        <w:numId w:val="18"/>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8C23F9"/>
    <w:pPr>
      <w:numPr>
        <w:ilvl w:val="2"/>
        <w:numId w:val="18"/>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8C23F9"/>
    <w:pPr>
      <w:numPr>
        <w:ilvl w:val="3"/>
        <w:numId w:val="18"/>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8C23F9"/>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8C23F9"/>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8C23F9"/>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8C23F9"/>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8C23F9"/>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8C23F9"/>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8C23F9"/>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8C23F9"/>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8C23F9"/>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8C23F9"/>
    <w:pPr>
      <w:spacing w:before="120" w:after="120" w:line="240" w:lineRule="auto"/>
      <w:jc w:val="center"/>
    </w:pPr>
    <w:rPr>
      <w:rFonts w:ascii="Times New Roman" w:hAnsi="Times New Roman" w:cs="Times New Roman"/>
      <w:b/>
      <w:sz w:val="24"/>
    </w:rPr>
  </w:style>
  <w:style w:type="character" w:customStyle="1" w:styleId="Marker">
    <w:name w:val="Marker"/>
    <w:basedOn w:val="DefaultParagraphFont"/>
    <w:rsid w:val="008C23F9"/>
    <w:rPr>
      <w:color w:val="0000FF"/>
      <w:shd w:val="clear" w:color="auto" w:fill="auto"/>
    </w:rPr>
  </w:style>
  <w:style w:type="character" w:customStyle="1" w:styleId="Marker1">
    <w:name w:val="Marker1"/>
    <w:basedOn w:val="DefaultParagraphFont"/>
    <w:rsid w:val="008C23F9"/>
    <w:rPr>
      <w:color w:val="008000"/>
      <w:shd w:val="clear" w:color="auto" w:fill="auto"/>
    </w:rPr>
  </w:style>
  <w:style w:type="character" w:customStyle="1" w:styleId="Marker2">
    <w:name w:val="Marker2"/>
    <w:basedOn w:val="DefaultParagraphFont"/>
    <w:rsid w:val="008C23F9"/>
    <w:rPr>
      <w:color w:val="FF0000"/>
      <w:shd w:val="clear" w:color="auto" w:fill="auto"/>
    </w:rPr>
  </w:style>
  <w:style w:type="paragraph" w:customStyle="1" w:styleId="Point0number">
    <w:name w:val="Point 0 (number)"/>
    <w:basedOn w:val="Normal"/>
    <w:rsid w:val="008C23F9"/>
    <w:pPr>
      <w:tabs>
        <w:tab w:val="num" w:pos="850"/>
      </w:tabs>
      <w:spacing w:before="120" w:after="120" w:line="240" w:lineRule="auto"/>
      <w:ind w:left="850" w:hanging="850"/>
      <w:jc w:val="both"/>
    </w:pPr>
    <w:rPr>
      <w:rFonts w:ascii="Times New Roman" w:hAnsi="Times New Roman" w:cs="Times New Roman"/>
      <w:sz w:val="24"/>
    </w:rPr>
  </w:style>
  <w:style w:type="paragraph" w:customStyle="1" w:styleId="Point1number">
    <w:name w:val="Point 1 (number)"/>
    <w:basedOn w:val="Normal"/>
    <w:rsid w:val="008C23F9"/>
    <w:pPr>
      <w:tabs>
        <w:tab w:val="num" w:pos="1417"/>
      </w:tabs>
      <w:spacing w:before="120" w:after="120" w:line="240" w:lineRule="auto"/>
      <w:ind w:left="1417" w:hanging="567"/>
      <w:jc w:val="both"/>
    </w:pPr>
    <w:rPr>
      <w:rFonts w:ascii="Times New Roman" w:hAnsi="Times New Roman" w:cs="Times New Roman"/>
      <w:sz w:val="24"/>
    </w:rPr>
  </w:style>
  <w:style w:type="paragraph" w:customStyle="1" w:styleId="Point2number">
    <w:name w:val="Point 2 (number)"/>
    <w:basedOn w:val="Normal"/>
    <w:rsid w:val="008C23F9"/>
    <w:pPr>
      <w:tabs>
        <w:tab w:val="num" w:pos="1984"/>
      </w:tabs>
      <w:spacing w:before="120" w:after="120" w:line="240" w:lineRule="auto"/>
      <w:ind w:left="1984" w:hanging="567"/>
      <w:jc w:val="both"/>
    </w:pPr>
    <w:rPr>
      <w:rFonts w:ascii="Times New Roman" w:hAnsi="Times New Roman" w:cs="Times New Roman"/>
      <w:sz w:val="24"/>
    </w:rPr>
  </w:style>
  <w:style w:type="paragraph" w:customStyle="1" w:styleId="Point3number">
    <w:name w:val="Point 3 (number)"/>
    <w:basedOn w:val="Normal"/>
    <w:rsid w:val="008C23F9"/>
    <w:pPr>
      <w:numPr>
        <w:ilvl w:val="6"/>
        <w:numId w:val="6"/>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8C23F9"/>
    <w:pPr>
      <w:numPr>
        <w:ilvl w:val="1"/>
        <w:numId w:val="6"/>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8C23F9"/>
    <w:pPr>
      <w:numPr>
        <w:ilvl w:val="3"/>
        <w:numId w:val="6"/>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8C23F9"/>
    <w:pPr>
      <w:numPr>
        <w:ilvl w:val="5"/>
        <w:numId w:val="6"/>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8C23F9"/>
    <w:pPr>
      <w:numPr>
        <w:ilvl w:val="7"/>
        <w:numId w:val="6"/>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8C23F9"/>
    <w:pPr>
      <w:numPr>
        <w:ilvl w:val="8"/>
        <w:numId w:val="6"/>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8C23F9"/>
    <w:pPr>
      <w:numPr>
        <w:numId w:val="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8C23F9"/>
    <w:pPr>
      <w:numPr>
        <w:numId w:val="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8C23F9"/>
    <w:pPr>
      <w:numPr>
        <w:numId w:val="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8C23F9"/>
    <w:pPr>
      <w:numPr>
        <w:numId w:val="1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8C23F9"/>
    <w:pPr>
      <w:numPr>
        <w:numId w:val="1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8C23F9"/>
    <w:pPr>
      <w:framePr w:wrap="around" w:vAnchor="page" w:hAnchor="text" w:xAlign="center" w:y="14741"/>
      <w:spacing w:before="0"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8C23F9"/>
    <w:pPr>
      <w:spacing w:before="0" w:after="0" w:line="240" w:lineRule="auto"/>
    </w:pPr>
    <w:rPr>
      <w:rFonts w:cs="Arial"/>
      <w:sz w:val="24"/>
    </w:rPr>
  </w:style>
  <w:style w:type="paragraph" w:customStyle="1" w:styleId="Emission">
    <w:name w:val="Emission"/>
    <w:basedOn w:val="Normal"/>
    <w:next w:val="Rfrenceinstitutionnelle"/>
    <w:rsid w:val="008C23F9"/>
    <w:pPr>
      <w:spacing w:before="0"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8C23F9"/>
    <w:pPr>
      <w:spacing w:before="0" w:after="240" w:line="240" w:lineRule="auto"/>
      <w:ind w:left="5103"/>
    </w:pPr>
    <w:rPr>
      <w:rFonts w:ascii="Times New Roman" w:hAnsi="Times New Roman" w:cs="Times New Roman"/>
      <w:sz w:val="24"/>
    </w:rPr>
  </w:style>
  <w:style w:type="paragraph" w:customStyle="1" w:styleId="Pagedecouverture">
    <w:name w:val="Page de couverture"/>
    <w:basedOn w:val="Normal"/>
    <w:next w:val="Normal"/>
    <w:link w:val="PagedecouvertureChar"/>
    <w:rsid w:val="008C23F9"/>
    <w:pPr>
      <w:spacing w:before="0" w:after="0" w:line="240" w:lineRule="auto"/>
      <w:jc w:val="both"/>
    </w:pPr>
    <w:rPr>
      <w:rFonts w:ascii="Times New Roman" w:hAnsi="Times New Roman" w:cs="Times New Roman"/>
      <w:sz w:val="24"/>
    </w:rPr>
  </w:style>
  <w:style w:type="paragraph" w:customStyle="1" w:styleId="Declassification">
    <w:name w:val="Declassification"/>
    <w:basedOn w:val="Normal"/>
    <w:next w:val="Normal"/>
    <w:rsid w:val="008C23F9"/>
    <w:pPr>
      <w:spacing w:before="0" w:after="0" w:line="240" w:lineRule="auto"/>
      <w:jc w:val="both"/>
    </w:pPr>
    <w:rPr>
      <w:rFonts w:ascii="Times New Roman" w:hAnsi="Times New Roman" w:cs="Times New Roman"/>
      <w:sz w:val="24"/>
    </w:rPr>
  </w:style>
  <w:style w:type="paragraph" w:customStyle="1" w:styleId="Disclaimer">
    <w:name w:val="Disclaimer"/>
    <w:basedOn w:val="Normal"/>
    <w:rsid w:val="008C23F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Annexetitreexpos">
    <w:name w:val="Annexe titre (exposé)"/>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8C23F9"/>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8C23F9"/>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8C23F9"/>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8C23F9"/>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8C23F9"/>
    <w:pPr>
      <w:numPr>
        <w:numId w:val="1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8C23F9"/>
    <w:pPr>
      <w:spacing w:before="0" w:after="240" w:line="240" w:lineRule="auto"/>
    </w:pPr>
    <w:rPr>
      <w:rFonts w:ascii="Times New Roman" w:hAnsi="Times New Roman" w:cs="Times New Roman"/>
      <w:sz w:val="24"/>
    </w:rPr>
  </w:style>
  <w:style w:type="paragraph" w:customStyle="1" w:styleId="Datedadoption">
    <w:name w:val="Date d'adoption"/>
    <w:basedOn w:val="Normal"/>
    <w:next w:val="IntrtEEE"/>
    <w:rsid w:val="008C23F9"/>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8C23F9"/>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8C23F9"/>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8C23F9"/>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8C23F9"/>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8C23F9"/>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8C23F9"/>
    <w:pPr>
      <w:tabs>
        <w:tab w:val="left" w:pos="4252"/>
      </w:tabs>
      <w:spacing w:before="0"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8C23F9"/>
    <w:pPr>
      <w:spacing w:before="0"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8C23F9"/>
    <w:pPr>
      <w:spacing w:before="0" w:after="0" w:line="240" w:lineRule="auto"/>
      <w:ind w:left="5103"/>
    </w:pPr>
    <w:rPr>
      <w:rFonts w:ascii="Times New Roman" w:hAnsi="Times New Roman" w:cs="Times New Roman"/>
      <w:sz w:val="24"/>
    </w:rPr>
  </w:style>
  <w:style w:type="paragraph" w:customStyle="1" w:styleId="Statut">
    <w:name w:val="Statut"/>
    <w:basedOn w:val="Normal"/>
    <w:next w:val="Typedudocument"/>
    <w:rsid w:val="008C23F9"/>
    <w:pPr>
      <w:spacing w:before="0"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8C23F9"/>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8C23F9"/>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8C23F9"/>
    <w:rPr>
      <w:b/>
      <w:u w:val="single"/>
      <w:shd w:val="clear" w:color="auto" w:fill="auto"/>
    </w:rPr>
  </w:style>
  <w:style w:type="character" w:customStyle="1" w:styleId="Deleted">
    <w:name w:val="Deleted"/>
    <w:basedOn w:val="DefaultParagraphFont"/>
    <w:rsid w:val="008C23F9"/>
    <w:rPr>
      <w:strike/>
      <w:dstrike w:val="0"/>
      <w:shd w:val="clear" w:color="auto" w:fill="auto"/>
    </w:rPr>
  </w:style>
  <w:style w:type="paragraph" w:customStyle="1" w:styleId="Address">
    <w:name w:val="Address"/>
    <w:basedOn w:val="Normal"/>
    <w:next w:val="Normal"/>
    <w:rsid w:val="008C23F9"/>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8C23F9"/>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8C23F9"/>
    <w:pPr>
      <w:spacing w:before="0"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867F15"/>
    <w:pPr>
      <w:spacing w:before="360" w:after="240" w:line="240" w:lineRule="auto"/>
      <w:jc w:val="center"/>
    </w:pPr>
    <w:rPr>
      <w:rFonts w:ascii="Times New Roman" w:hAnsi="Times New Roman" w:cs="Times New Roman"/>
      <w:sz w:val="24"/>
    </w:rPr>
  </w:style>
  <w:style w:type="paragraph" w:customStyle="1" w:styleId="Rfrencecroise">
    <w:name w:val="Référence croisée"/>
    <w:basedOn w:val="Normal"/>
    <w:rsid w:val="008C23F9"/>
    <w:pPr>
      <w:spacing w:before="0"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8C23F9"/>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8C23F9"/>
  </w:style>
  <w:style w:type="paragraph" w:customStyle="1" w:styleId="RfrenceinterinstitutionnellePagedecouverture">
    <w:name w:val="Référence interinstitutionnelle (Page de couverture)"/>
    <w:basedOn w:val="Rfrenceinterinstitutionnelle"/>
    <w:next w:val="Confidentialit"/>
    <w:rsid w:val="008C23F9"/>
  </w:style>
  <w:style w:type="paragraph" w:customStyle="1" w:styleId="StatutPagedecouverture">
    <w:name w:val="Statut (Page de couverture)"/>
    <w:basedOn w:val="Statut"/>
    <w:next w:val="TypedudocumentPagedecouverture"/>
    <w:rsid w:val="008C23F9"/>
  </w:style>
  <w:style w:type="paragraph" w:customStyle="1" w:styleId="TypedudocumentPagedecouverture">
    <w:name w:val="Type du document (Page de couverture)"/>
    <w:basedOn w:val="Typedudocument"/>
    <w:next w:val="AccompagnantPagedecouverture"/>
    <w:rsid w:val="008C23F9"/>
  </w:style>
  <w:style w:type="paragraph" w:customStyle="1" w:styleId="Volume">
    <w:name w:val="Volume"/>
    <w:basedOn w:val="Normal"/>
    <w:next w:val="Confidentialit"/>
    <w:rsid w:val="008C23F9"/>
    <w:pPr>
      <w:spacing w:before="0"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867F15"/>
    <w:pPr>
      <w:spacing w:after="0"/>
    </w:pPr>
  </w:style>
  <w:style w:type="paragraph" w:customStyle="1" w:styleId="Accompagnant">
    <w:name w:val="Accompagnant"/>
    <w:basedOn w:val="Normal"/>
    <w:next w:val="Typeacteprincipal"/>
    <w:rsid w:val="008C23F9"/>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8C23F9"/>
    <w:pPr>
      <w:spacing w:before="0"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8C23F9"/>
    <w:pPr>
      <w:spacing w:before="0"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Normal"/>
    <w:rsid w:val="00867F15"/>
  </w:style>
  <w:style w:type="paragraph" w:customStyle="1" w:styleId="AccompagnantPagedecouverture">
    <w:name w:val="Accompagnant (Page de couverture)"/>
    <w:basedOn w:val="Accompagnant"/>
    <w:next w:val="TypeacteprincipalPagedecouverture"/>
    <w:rsid w:val="008C23F9"/>
  </w:style>
  <w:style w:type="paragraph" w:customStyle="1" w:styleId="TypeacteprincipalPagedecouverture">
    <w:name w:val="Type acte principal (Page de couverture)"/>
    <w:basedOn w:val="Typeacteprincipal"/>
    <w:next w:val="ObjetacteprincipalPagedecouverture"/>
    <w:rsid w:val="008C23F9"/>
  </w:style>
  <w:style w:type="paragraph" w:customStyle="1" w:styleId="ObjetacteprincipalPagedecouverture">
    <w:name w:val="Objet acte principal (Page de couverture)"/>
    <w:basedOn w:val="Objetacteprincipal"/>
    <w:next w:val="Rfrencecroise"/>
    <w:rsid w:val="008C23F9"/>
  </w:style>
  <w:style w:type="paragraph" w:customStyle="1" w:styleId="LanguesfaisantfoiPagedecouverture">
    <w:name w:val="Langues faisant foi (Page de couverture)"/>
    <w:basedOn w:val="Normal"/>
    <w:next w:val="Rfrencecroise"/>
    <w:rsid w:val="00867F15"/>
    <w:pPr>
      <w:spacing w:before="360" w:after="240" w:line="240" w:lineRule="auto"/>
      <w:jc w:val="center"/>
    </w:pPr>
    <w:rPr>
      <w:rFonts w:ascii="Times New Roman" w:hAnsi="Times New Roman" w:cs="Times New Roman"/>
      <w:sz w:val="24"/>
    </w:rPr>
  </w:style>
  <w:style w:type="paragraph" w:styleId="ListBullet">
    <w:name w:val="List Bullet"/>
    <w:basedOn w:val="Normal"/>
    <w:uiPriority w:val="99"/>
    <w:rsid w:val="008C23F9"/>
    <w:pPr>
      <w:numPr>
        <w:numId w:val="13"/>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rsid w:val="008C23F9"/>
    <w:pPr>
      <w:numPr>
        <w:numId w:val="14"/>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rsid w:val="008C23F9"/>
    <w:pPr>
      <w:numPr>
        <w:numId w:val="15"/>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rsid w:val="008C23F9"/>
    <w:pPr>
      <w:numPr>
        <w:numId w:val="16"/>
      </w:numPr>
      <w:spacing w:before="120" w:after="120" w:line="240" w:lineRule="auto"/>
      <w:contextualSpacing/>
      <w:jc w:val="both"/>
    </w:pPr>
    <w:rPr>
      <w:rFonts w:ascii="Times New Roman" w:hAnsi="Times New Roman" w:cs="Times New Roman"/>
      <w:sz w:val="24"/>
    </w:rPr>
  </w:style>
  <w:style w:type="paragraph" w:customStyle="1" w:styleId="SecurityMarking">
    <w:name w:val="SecurityMarking"/>
    <w:basedOn w:val="Normal"/>
    <w:rsid w:val="008C23F9"/>
    <w:pPr>
      <w:spacing w:before="0" w:after="0" w:line="276" w:lineRule="auto"/>
      <w:ind w:left="5103"/>
    </w:pPr>
    <w:rPr>
      <w:rFonts w:ascii="Times New Roman" w:hAnsi="Times New Roman" w:cs="Times New Roman"/>
      <w:sz w:val="28"/>
    </w:rPr>
  </w:style>
  <w:style w:type="paragraph" w:customStyle="1" w:styleId="DateMarking">
    <w:name w:val="DateMarking"/>
    <w:basedOn w:val="Normal"/>
    <w:rsid w:val="008C23F9"/>
    <w:pPr>
      <w:spacing w:before="0" w:after="0" w:line="276" w:lineRule="auto"/>
      <w:ind w:left="5103"/>
    </w:pPr>
    <w:rPr>
      <w:rFonts w:ascii="Times New Roman" w:hAnsi="Times New Roman" w:cs="Times New Roman"/>
      <w:i/>
      <w:sz w:val="28"/>
    </w:rPr>
  </w:style>
  <w:style w:type="paragraph" w:customStyle="1" w:styleId="ReleasableTo">
    <w:name w:val="ReleasableTo"/>
    <w:basedOn w:val="Normal"/>
    <w:rsid w:val="008C23F9"/>
    <w:pPr>
      <w:spacing w:before="0" w:after="0" w:line="276" w:lineRule="auto"/>
      <w:ind w:left="5103"/>
    </w:pPr>
    <w:rPr>
      <w:rFonts w:ascii="Times New Roman" w:hAnsi="Times New Roman" w:cs="Times New Roman"/>
      <w:i/>
      <w:sz w:val="28"/>
    </w:rPr>
  </w:style>
  <w:style w:type="paragraph" w:customStyle="1" w:styleId="HeaderSensitivityRight">
    <w:name w:val="Header Sensitivity Right"/>
    <w:basedOn w:val="Normal"/>
    <w:rsid w:val="008C23F9"/>
    <w:pPr>
      <w:spacing w:before="0" w:after="120" w:line="240" w:lineRule="auto"/>
      <w:jc w:val="right"/>
    </w:pPr>
    <w:rPr>
      <w:rFonts w:ascii="Times New Roman" w:hAnsi="Times New Roman" w:cs="Times New Roman"/>
      <w:sz w:val="28"/>
    </w:rPr>
  </w:style>
  <w:style w:type="paragraph" w:customStyle="1" w:styleId="ManualHeading5">
    <w:name w:val="Manual Heading 5"/>
    <w:basedOn w:val="Normal"/>
    <w:next w:val="Text2"/>
    <w:rsid w:val="008C23F9"/>
    <w:pPr>
      <w:keepNext/>
      <w:tabs>
        <w:tab w:val="left" w:pos="1417"/>
      </w:tabs>
      <w:spacing w:before="120" w:after="120" w:line="240" w:lineRule="auto"/>
      <w:ind w:left="1417" w:hanging="1417"/>
      <w:jc w:val="both"/>
      <w:outlineLvl w:val="4"/>
    </w:pPr>
    <w:rPr>
      <w:rFonts w:ascii="Times New Roman" w:hAnsi="Times New Roman" w:cs="Times New Roman"/>
      <w:sz w:val="24"/>
    </w:rPr>
  </w:style>
  <w:style w:type="paragraph" w:customStyle="1" w:styleId="ManualHeading6">
    <w:name w:val="Manual Heading 6"/>
    <w:basedOn w:val="Normal"/>
    <w:next w:val="Text2"/>
    <w:rsid w:val="008C23F9"/>
    <w:pPr>
      <w:keepNext/>
      <w:tabs>
        <w:tab w:val="left" w:pos="1417"/>
      </w:tabs>
      <w:spacing w:before="120" w:after="120" w:line="240" w:lineRule="auto"/>
      <w:ind w:left="1417" w:hanging="1417"/>
      <w:jc w:val="both"/>
      <w:outlineLvl w:val="5"/>
    </w:pPr>
    <w:rPr>
      <w:rFonts w:ascii="Times New Roman" w:hAnsi="Times New Roman" w:cs="Times New Roman"/>
      <w:sz w:val="24"/>
    </w:rPr>
  </w:style>
  <w:style w:type="paragraph" w:customStyle="1" w:styleId="ManualHeading7">
    <w:name w:val="Manual Heading 7"/>
    <w:basedOn w:val="Normal"/>
    <w:next w:val="Text2"/>
    <w:rsid w:val="008C23F9"/>
    <w:pPr>
      <w:keepNext/>
      <w:tabs>
        <w:tab w:val="left" w:pos="1417"/>
      </w:tabs>
      <w:spacing w:before="120" w:after="120" w:line="240" w:lineRule="auto"/>
      <w:ind w:left="1417" w:hanging="1417"/>
      <w:jc w:val="both"/>
      <w:outlineLvl w:val="6"/>
    </w:pPr>
    <w:rPr>
      <w:rFonts w:ascii="Times New Roman" w:hAnsi="Times New Roman" w:cs="Times New Roman"/>
      <w:sz w:val="24"/>
    </w:rPr>
  </w:style>
  <w:style w:type="paragraph" w:customStyle="1" w:styleId="Text5">
    <w:name w:val="Text 5"/>
    <w:basedOn w:val="Normal"/>
    <w:rsid w:val="008C23F9"/>
    <w:pPr>
      <w:spacing w:before="120" w:after="120" w:line="240" w:lineRule="auto"/>
      <w:ind w:left="3118"/>
      <w:jc w:val="both"/>
    </w:pPr>
    <w:rPr>
      <w:rFonts w:ascii="Times New Roman" w:hAnsi="Times New Roman" w:cs="Times New Roman"/>
      <w:sz w:val="24"/>
    </w:rPr>
  </w:style>
  <w:style w:type="paragraph" w:customStyle="1" w:styleId="Text6">
    <w:name w:val="Text 6"/>
    <w:basedOn w:val="Normal"/>
    <w:rsid w:val="008C23F9"/>
    <w:pPr>
      <w:spacing w:before="120" w:after="120" w:line="240" w:lineRule="auto"/>
      <w:ind w:left="3685"/>
      <w:jc w:val="both"/>
    </w:pPr>
    <w:rPr>
      <w:rFonts w:ascii="Times New Roman" w:hAnsi="Times New Roman" w:cs="Times New Roman"/>
      <w:sz w:val="24"/>
    </w:rPr>
  </w:style>
  <w:style w:type="paragraph" w:customStyle="1" w:styleId="Point5">
    <w:name w:val="Point 5"/>
    <w:basedOn w:val="Normal"/>
    <w:rsid w:val="008C23F9"/>
    <w:pPr>
      <w:spacing w:before="120" w:after="120" w:line="240" w:lineRule="auto"/>
      <w:ind w:left="3685" w:hanging="567"/>
      <w:jc w:val="both"/>
    </w:pPr>
    <w:rPr>
      <w:rFonts w:ascii="Times New Roman" w:hAnsi="Times New Roman" w:cs="Times New Roman"/>
      <w:sz w:val="24"/>
    </w:rPr>
  </w:style>
  <w:style w:type="paragraph" w:customStyle="1" w:styleId="Tiret5">
    <w:name w:val="Tiret 5"/>
    <w:basedOn w:val="Point5"/>
    <w:rsid w:val="008C23F9"/>
    <w:pPr>
      <w:numPr>
        <w:numId w:val="17"/>
      </w:numPr>
    </w:pPr>
  </w:style>
  <w:style w:type="paragraph" w:customStyle="1" w:styleId="NumPar5">
    <w:name w:val="NumPar 5"/>
    <w:basedOn w:val="Normal"/>
    <w:next w:val="Text2"/>
    <w:rsid w:val="008C23F9"/>
    <w:pPr>
      <w:tabs>
        <w:tab w:val="num" w:pos="1417"/>
      </w:tabs>
      <w:spacing w:before="120" w:after="120" w:line="240" w:lineRule="auto"/>
      <w:ind w:left="1417" w:hanging="1417"/>
      <w:jc w:val="both"/>
    </w:pPr>
    <w:rPr>
      <w:rFonts w:ascii="Times New Roman" w:hAnsi="Times New Roman" w:cs="Times New Roman"/>
      <w:sz w:val="24"/>
    </w:rPr>
  </w:style>
  <w:style w:type="paragraph" w:customStyle="1" w:styleId="NumPar6">
    <w:name w:val="NumPar 6"/>
    <w:basedOn w:val="Normal"/>
    <w:next w:val="Text2"/>
    <w:rsid w:val="008C23F9"/>
    <w:pPr>
      <w:numPr>
        <w:ilvl w:val="5"/>
        <w:numId w:val="18"/>
      </w:numPr>
      <w:spacing w:before="120" w:after="120" w:line="240" w:lineRule="auto"/>
      <w:jc w:val="both"/>
    </w:pPr>
    <w:rPr>
      <w:rFonts w:ascii="Times New Roman" w:hAnsi="Times New Roman" w:cs="Times New Roman"/>
      <w:sz w:val="24"/>
    </w:rPr>
  </w:style>
  <w:style w:type="paragraph" w:customStyle="1" w:styleId="NumPar7">
    <w:name w:val="NumPar 7"/>
    <w:basedOn w:val="Normal"/>
    <w:next w:val="Text2"/>
    <w:rsid w:val="008C23F9"/>
    <w:pPr>
      <w:numPr>
        <w:ilvl w:val="6"/>
        <w:numId w:val="18"/>
      </w:numPr>
      <w:spacing w:before="120" w:after="120" w:line="240" w:lineRule="auto"/>
      <w:jc w:val="both"/>
    </w:pPr>
    <w:rPr>
      <w:rFonts w:ascii="Times New Roman" w:hAnsi="Times New Roman" w:cs="Times New Roman"/>
      <w:sz w:val="24"/>
    </w:rPr>
  </w:style>
  <w:style w:type="paragraph" w:customStyle="1" w:styleId="ManualNumPar5">
    <w:name w:val="Manual NumPar 5"/>
    <w:basedOn w:val="Normal"/>
    <w:next w:val="Text2"/>
    <w:rsid w:val="008C23F9"/>
    <w:pPr>
      <w:spacing w:before="120" w:after="120" w:line="240" w:lineRule="auto"/>
      <w:ind w:left="1417" w:hanging="1417"/>
      <w:jc w:val="both"/>
    </w:pPr>
    <w:rPr>
      <w:rFonts w:ascii="Times New Roman" w:hAnsi="Times New Roman" w:cs="Times New Roman"/>
      <w:sz w:val="24"/>
    </w:rPr>
  </w:style>
  <w:style w:type="paragraph" w:customStyle="1" w:styleId="ManualNumPar6">
    <w:name w:val="Manual NumPar 6"/>
    <w:basedOn w:val="Normal"/>
    <w:next w:val="Text2"/>
    <w:rsid w:val="008C23F9"/>
    <w:pPr>
      <w:spacing w:before="120" w:after="120" w:line="240" w:lineRule="auto"/>
      <w:ind w:left="1417" w:hanging="1417"/>
      <w:jc w:val="both"/>
    </w:pPr>
    <w:rPr>
      <w:rFonts w:ascii="Times New Roman" w:hAnsi="Times New Roman" w:cs="Times New Roman"/>
      <w:sz w:val="24"/>
    </w:rPr>
  </w:style>
  <w:style w:type="paragraph" w:customStyle="1" w:styleId="ManualNumPar7">
    <w:name w:val="Manual NumPar 7"/>
    <w:basedOn w:val="Normal"/>
    <w:next w:val="Text2"/>
    <w:rsid w:val="008C23F9"/>
    <w:pPr>
      <w:spacing w:before="120" w:after="120" w:line="240" w:lineRule="auto"/>
      <w:ind w:left="1417" w:hanging="1417"/>
      <w:jc w:val="both"/>
    </w:pPr>
    <w:rPr>
      <w:rFonts w:ascii="Times New Roman" w:hAnsi="Times New Roman" w:cs="Times New Roman"/>
      <w:sz w:val="24"/>
    </w:rPr>
  </w:style>
  <w:style w:type="table" w:styleId="GridTable1Light">
    <w:name w:val="Grid Table 1 Light"/>
    <w:basedOn w:val="TableNormal"/>
    <w:uiPriority w:val="46"/>
    <w:rsid w:val="008C23F9"/>
    <w:pPr>
      <w:spacing w:after="0" w:line="240" w:lineRule="auto"/>
    </w:pPr>
    <w:rPr>
      <w:rFonts w:ascii="Times New Roman" w:hAnsi="Times New Roman"/>
      <w:sz w:val="18"/>
    </w:rPr>
    <w:tblPr>
      <w:tblStyleRowBandSize w:val="1"/>
      <w:tblStyleColBandSize w:val="1"/>
    </w:tblPr>
    <w:tblStylePr w:type="firstRow">
      <w:rPr>
        <w:b/>
        <w:bCs/>
      </w:rPr>
      <w:tblPr/>
      <w:tcPr>
        <w:tcBorders>
          <w:bottom w:val="single" w:sz="12" w:space="0" w:color="949494" w:themeColor="text1" w:themeTint="99"/>
        </w:tcBorders>
      </w:tcPr>
    </w:tblStylePr>
    <w:tblStylePr w:type="lastRow">
      <w:rPr>
        <w:b/>
        <w:bCs/>
      </w:rPr>
      <w:tblPr/>
      <w:tcPr>
        <w:tcBorders>
          <w:top w:val="double" w:sz="2" w:space="0" w:color="949494" w:themeColor="text1" w:themeTint="99"/>
        </w:tcBorders>
      </w:tcPr>
    </w:tblStylePr>
    <w:tblStylePr w:type="firstCol">
      <w:rPr>
        <w:b/>
        <w:bCs/>
      </w:rPr>
    </w:tblStylePr>
    <w:tblStylePr w:type="lastCol">
      <w:rPr>
        <w:b/>
        <w:bCs/>
      </w:rPr>
    </w:tblStylePr>
  </w:style>
  <w:style w:type="table" w:styleId="TableSimple1">
    <w:name w:val="Table Simple 1"/>
    <w:basedOn w:val="TableNormal"/>
    <w:uiPriority w:val="99"/>
    <w:semiHidden/>
    <w:unhideWhenUsed/>
    <w:rsid w:val="008C23F9"/>
    <w:pPr>
      <w:spacing w:before="120" w:after="120" w:line="240" w:lineRule="auto"/>
      <w:jc w:val="both"/>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ubtle1">
    <w:name w:val="Table Subtle 1"/>
    <w:basedOn w:val="TableNormal"/>
    <w:uiPriority w:val="99"/>
    <w:rsid w:val="008C23F9"/>
    <w:pPr>
      <w:spacing w:before="120" w:after="12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1">
    <w:name w:val="Style1"/>
    <w:basedOn w:val="Normal"/>
    <w:qFormat/>
    <w:rsid w:val="008C23F9"/>
    <w:pPr>
      <w:spacing w:before="120" w:after="120" w:line="240" w:lineRule="auto"/>
      <w:jc w:val="both"/>
    </w:pPr>
    <w:rPr>
      <w:rFonts w:ascii="Times New Roman" w:hAnsi="Times New Roman" w:cs="Times New Roman"/>
      <w:b/>
      <w:color w:val="4D4D4D" w:themeColor="text1"/>
      <w:sz w:val="18"/>
      <w:szCs w:val="18"/>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next w:val="Normal"/>
    <w:link w:val="FootnoteReference"/>
    <w:uiPriority w:val="99"/>
    <w:rsid w:val="00D76193"/>
    <w:pPr>
      <w:spacing w:before="120" w:after="160" w:line="240" w:lineRule="exact"/>
      <w:jc w:val="both"/>
    </w:pPr>
    <w:rPr>
      <w:rFonts w:asciiTheme="minorHAnsi" w:hAnsiTheme="minorHAnsi"/>
      <w:vertAlign w:val="superscript"/>
    </w:rPr>
  </w:style>
  <w:style w:type="character" w:customStyle="1" w:styleId="Mention">
    <w:name w:val="Mention"/>
    <w:basedOn w:val="DefaultParagraphFont"/>
    <w:uiPriority w:val="99"/>
    <w:unhideWhenUsed/>
    <w:rsid w:val="00B718A7"/>
    <w:rPr>
      <w:color w:val="2B579A"/>
      <w:shd w:val="clear" w:color="auto" w:fill="E1DFDD"/>
    </w:rPr>
  </w:style>
  <w:style w:type="paragraph" w:customStyle="1" w:styleId="FooterCoverPage">
    <w:name w:val="Footer Cover Page"/>
    <w:basedOn w:val="Normal"/>
    <w:link w:val="FooterCoverPageChar"/>
    <w:rsid w:val="007E279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PagedecouvertureChar">
    <w:name w:val="Page de couverture Char"/>
    <w:basedOn w:val="DefaultParagraphFont"/>
    <w:link w:val="Pagedecouverture"/>
    <w:rsid w:val="007E2797"/>
    <w:rPr>
      <w:rFonts w:ascii="Times New Roman" w:hAnsi="Times New Roman" w:cs="Times New Roman"/>
      <w:sz w:val="24"/>
      <w:lang w:val="cs-CZ"/>
    </w:rPr>
  </w:style>
  <w:style w:type="character" w:customStyle="1" w:styleId="FooterCoverPageChar">
    <w:name w:val="Footer Cover Page Char"/>
    <w:basedOn w:val="PagedecouvertureChar"/>
    <w:link w:val="FooterCoverPage"/>
    <w:rsid w:val="007E2797"/>
    <w:rPr>
      <w:rFonts w:ascii="Times New Roman" w:hAnsi="Times New Roman" w:cs="Times New Roman"/>
      <w:sz w:val="24"/>
      <w:lang w:val="cs-CZ"/>
    </w:rPr>
  </w:style>
  <w:style w:type="paragraph" w:customStyle="1" w:styleId="HeaderCoverPage">
    <w:name w:val="Header Cover Page"/>
    <w:basedOn w:val="Normal"/>
    <w:link w:val="HeaderCoverPageChar"/>
    <w:rsid w:val="007E2797"/>
    <w:pPr>
      <w:tabs>
        <w:tab w:val="center" w:pos="4535"/>
        <w:tab w:val="right" w:pos="9071"/>
      </w:tabs>
      <w:spacing w:before="0"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sid w:val="007E2797"/>
    <w:rPr>
      <w:rFonts w:ascii="Times New Roman" w:hAnsi="Times New Roman" w:cs="Times New Roman"/>
      <w:sz w:val="24"/>
      <w:lang w:val="cs-CZ"/>
    </w:rPr>
  </w:style>
  <w:style w:type="paragraph" w:customStyle="1" w:styleId="Titreobjet">
    <w:name w:val="Titre objet"/>
    <w:basedOn w:val="Normal"/>
    <w:next w:val="IntrtEEE"/>
    <w:rsid w:val="00C91C8E"/>
    <w:pPr>
      <w:spacing w:before="360" w:after="360" w:line="240" w:lineRule="auto"/>
      <w:jc w:val="center"/>
    </w:pPr>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085787">
      <w:bodyDiv w:val="1"/>
      <w:marLeft w:val="0"/>
      <w:marRight w:val="0"/>
      <w:marTop w:val="0"/>
      <w:marBottom w:val="0"/>
      <w:divBdr>
        <w:top w:val="none" w:sz="0" w:space="0" w:color="auto"/>
        <w:left w:val="none" w:sz="0" w:space="0" w:color="auto"/>
        <w:bottom w:val="none" w:sz="0" w:space="0" w:color="auto"/>
        <w:right w:val="none" w:sz="0" w:space="0" w:color="auto"/>
      </w:divBdr>
      <w:divsChild>
        <w:div w:id="272904262">
          <w:marLeft w:val="0"/>
          <w:marRight w:val="0"/>
          <w:marTop w:val="0"/>
          <w:marBottom w:val="0"/>
          <w:divBdr>
            <w:top w:val="none" w:sz="0" w:space="0" w:color="auto"/>
            <w:left w:val="none" w:sz="0" w:space="0" w:color="auto"/>
            <w:bottom w:val="none" w:sz="0" w:space="0" w:color="auto"/>
            <w:right w:val="none" w:sz="0" w:space="0" w:color="auto"/>
          </w:divBdr>
          <w:divsChild>
            <w:div w:id="117335584">
              <w:marLeft w:val="0"/>
              <w:marRight w:val="0"/>
              <w:marTop w:val="0"/>
              <w:marBottom w:val="0"/>
              <w:divBdr>
                <w:top w:val="none" w:sz="0" w:space="0" w:color="auto"/>
                <w:left w:val="none" w:sz="0" w:space="0" w:color="auto"/>
                <w:bottom w:val="none" w:sz="0" w:space="0" w:color="auto"/>
                <w:right w:val="none" w:sz="0" w:space="0" w:color="auto"/>
              </w:divBdr>
            </w:div>
            <w:div w:id="898132005">
              <w:marLeft w:val="0"/>
              <w:marRight w:val="0"/>
              <w:marTop w:val="0"/>
              <w:marBottom w:val="0"/>
              <w:divBdr>
                <w:top w:val="none" w:sz="0" w:space="0" w:color="auto"/>
                <w:left w:val="none" w:sz="0" w:space="0" w:color="auto"/>
                <w:bottom w:val="none" w:sz="0" w:space="0" w:color="auto"/>
                <w:right w:val="none" w:sz="0" w:space="0" w:color="auto"/>
              </w:divBdr>
            </w:div>
          </w:divsChild>
        </w:div>
        <w:div w:id="1921911472">
          <w:marLeft w:val="0"/>
          <w:marRight w:val="0"/>
          <w:marTop w:val="0"/>
          <w:marBottom w:val="0"/>
          <w:divBdr>
            <w:top w:val="none" w:sz="0" w:space="0" w:color="auto"/>
            <w:left w:val="none" w:sz="0" w:space="0" w:color="auto"/>
            <w:bottom w:val="none" w:sz="0" w:space="0" w:color="auto"/>
            <w:right w:val="none" w:sz="0" w:space="0" w:color="auto"/>
          </w:divBdr>
          <w:divsChild>
            <w:div w:id="13073758">
              <w:marLeft w:val="0"/>
              <w:marRight w:val="0"/>
              <w:marTop w:val="0"/>
              <w:marBottom w:val="0"/>
              <w:divBdr>
                <w:top w:val="none" w:sz="0" w:space="0" w:color="auto"/>
                <w:left w:val="none" w:sz="0" w:space="0" w:color="auto"/>
                <w:bottom w:val="none" w:sz="0" w:space="0" w:color="auto"/>
                <w:right w:val="none" w:sz="0" w:space="0" w:color="auto"/>
              </w:divBdr>
            </w:div>
            <w:div w:id="44527392">
              <w:marLeft w:val="0"/>
              <w:marRight w:val="0"/>
              <w:marTop w:val="0"/>
              <w:marBottom w:val="0"/>
              <w:divBdr>
                <w:top w:val="none" w:sz="0" w:space="0" w:color="auto"/>
                <w:left w:val="none" w:sz="0" w:space="0" w:color="auto"/>
                <w:bottom w:val="none" w:sz="0" w:space="0" w:color="auto"/>
                <w:right w:val="none" w:sz="0" w:space="0" w:color="auto"/>
              </w:divBdr>
            </w:div>
            <w:div w:id="89401898">
              <w:marLeft w:val="0"/>
              <w:marRight w:val="0"/>
              <w:marTop w:val="0"/>
              <w:marBottom w:val="0"/>
              <w:divBdr>
                <w:top w:val="none" w:sz="0" w:space="0" w:color="auto"/>
                <w:left w:val="none" w:sz="0" w:space="0" w:color="auto"/>
                <w:bottom w:val="none" w:sz="0" w:space="0" w:color="auto"/>
                <w:right w:val="none" w:sz="0" w:space="0" w:color="auto"/>
              </w:divBdr>
            </w:div>
            <w:div w:id="156657510">
              <w:marLeft w:val="0"/>
              <w:marRight w:val="0"/>
              <w:marTop w:val="0"/>
              <w:marBottom w:val="0"/>
              <w:divBdr>
                <w:top w:val="none" w:sz="0" w:space="0" w:color="auto"/>
                <w:left w:val="none" w:sz="0" w:space="0" w:color="auto"/>
                <w:bottom w:val="none" w:sz="0" w:space="0" w:color="auto"/>
                <w:right w:val="none" w:sz="0" w:space="0" w:color="auto"/>
              </w:divBdr>
            </w:div>
            <w:div w:id="367799631">
              <w:marLeft w:val="0"/>
              <w:marRight w:val="0"/>
              <w:marTop w:val="0"/>
              <w:marBottom w:val="0"/>
              <w:divBdr>
                <w:top w:val="none" w:sz="0" w:space="0" w:color="auto"/>
                <w:left w:val="none" w:sz="0" w:space="0" w:color="auto"/>
                <w:bottom w:val="none" w:sz="0" w:space="0" w:color="auto"/>
                <w:right w:val="none" w:sz="0" w:space="0" w:color="auto"/>
              </w:divBdr>
            </w:div>
            <w:div w:id="530218037">
              <w:marLeft w:val="0"/>
              <w:marRight w:val="0"/>
              <w:marTop w:val="0"/>
              <w:marBottom w:val="0"/>
              <w:divBdr>
                <w:top w:val="none" w:sz="0" w:space="0" w:color="auto"/>
                <w:left w:val="none" w:sz="0" w:space="0" w:color="auto"/>
                <w:bottom w:val="none" w:sz="0" w:space="0" w:color="auto"/>
                <w:right w:val="none" w:sz="0" w:space="0" w:color="auto"/>
              </w:divBdr>
            </w:div>
            <w:div w:id="738749264">
              <w:marLeft w:val="0"/>
              <w:marRight w:val="0"/>
              <w:marTop w:val="0"/>
              <w:marBottom w:val="0"/>
              <w:divBdr>
                <w:top w:val="none" w:sz="0" w:space="0" w:color="auto"/>
                <w:left w:val="none" w:sz="0" w:space="0" w:color="auto"/>
                <w:bottom w:val="none" w:sz="0" w:space="0" w:color="auto"/>
                <w:right w:val="none" w:sz="0" w:space="0" w:color="auto"/>
              </w:divBdr>
            </w:div>
            <w:div w:id="824198745">
              <w:marLeft w:val="0"/>
              <w:marRight w:val="0"/>
              <w:marTop w:val="0"/>
              <w:marBottom w:val="0"/>
              <w:divBdr>
                <w:top w:val="none" w:sz="0" w:space="0" w:color="auto"/>
                <w:left w:val="none" w:sz="0" w:space="0" w:color="auto"/>
                <w:bottom w:val="none" w:sz="0" w:space="0" w:color="auto"/>
                <w:right w:val="none" w:sz="0" w:space="0" w:color="auto"/>
              </w:divBdr>
            </w:div>
            <w:div w:id="837618778">
              <w:marLeft w:val="0"/>
              <w:marRight w:val="0"/>
              <w:marTop w:val="0"/>
              <w:marBottom w:val="0"/>
              <w:divBdr>
                <w:top w:val="none" w:sz="0" w:space="0" w:color="auto"/>
                <w:left w:val="none" w:sz="0" w:space="0" w:color="auto"/>
                <w:bottom w:val="none" w:sz="0" w:space="0" w:color="auto"/>
                <w:right w:val="none" w:sz="0" w:space="0" w:color="auto"/>
              </w:divBdr>
            </w:div>
            <w:div w:id="838429385">
              <w:marLeft w:val="0"/>
              <w:marRight w:val="0"/>
              <w:marTop w:val="0"/>
              <w:marBottom w:val="0"/>
              <w:divBdr>
                <w:top w:val="none" w:sz="0" w:space="0" w:color="auto"/>
                <w:left w:val="none" w:sz="0" w:space="0" w:color="auto"/>
                <w:bottom w:val="none" w:sz="0" w:space="0" w:color="auto"/>
                <w:right w:val="none" w:sz="0" w:space="0" w:color="auto"/>
              </w:divBdr>
            </w:div>
            <w:div w:id="839075746">
              <w:marLeft w:val="0"/>
              <w:marRight w:val="0"/>
              <w:marTop w:val="0"/>
              <w:marBottom w:val="0"/>
              <w:divBdr>
                <w:top w:val="none" w:sz="0" w:space="0" w:color="auto"/>
                <w:left w:val="none" w:sz="0" w:space="0" w:color="auto"/>
                <w:bottom w:val="none" w:sz="0" w:space="0" w:color="auto"/>
                <w:right w:val="none" w:sz="0" w:space="0" w:color="auto"/>
              </w:divBdr>
            </w:div>
            <w:div w:id="1186793001">
              <w:marLeft w:val="0"/>
              <w:marRight w:val="0"/>
              <w:marTop w:val="0"/>
              <w:marBottom w:val="0"/>
              <w:divBdr>
                <w:top w:val="none" w:sz="0" w:space="0" w:color="auto"/>
                <w:left w:val="none" w:sz="0" w:space="0" w:color="auto"/>
                <w:bottom w:val="none" w:sz="0" w:space="0" w:color="auto"/>
                <w:right w:val="none" w:sz="0" w:space="0" w:color="auto"/>
              </w:divBdr>
            </w:div>
            <w:div w:id="1217356070">
              <w:marLeft w:val="0"/>
              <w:marRight w:val="0"/>
              <w:marTop w:val="0"/>
              <w:marBottom w:val="0"/>
              <w:divBdr>
                <w:top w:val="none" w:sz="0" w:space="0" w:color="auto"/>
                <w:left w:val="none" w:sz="0" w:space="0" w:color="auto"/>
                <w:bottom w:val="none" w:sz="0" w:space="0" w:color="auto"/>
                <w:right w:val="none" w:sz="0" w:space="0" w:color="auto"/>
              </w:divBdr>
            </w:div>
            <w:div w:id="1305768544">
              <w:marLeft w:val="0"/>
              <w:marRight w:val="0"/>
              <w:marTop w:val="0"/>
              <w:marBottom w:val="0"/>
              <w:divBdr>
                <w:top w:val="none" w:sz="0" w:space="0" w:color="auto"/>
                <w:left w:val="none" w:sz="0" w:space="0" w:color="auto"/>
                <w:bottom w:val="none" w:sz="0" w:space="0" w:color="auto"/>
                <w:right w:val="none" w:sz="0" w:space="0" w:color="auto"/>
              </w:divBdr>
            </w:div>
            <w:div w:id="1417633513">
              <w:marLeft w:val="0"/>
              <w:marRight w:val="0"/>
              <w:marTop w:val="0"/>
              <w:marBottom w:val="0"/>
              <w:divBdr>
                <w:top w:val="none" w:sz="0" w:space="0" w:color="auto"/>
                <w:left w:val="none" w:sz="0" w:space="0" w:color="auto"/>
                <w:bottom w:val="none" w:sz="0" w:space="0" w:color="auto"/>
                <w:right w:val="none" w:sz="0" w:space="0" w:color="auto"/>
              </w:divBdr>
            </w:div>
            <w:div w:id="1525750925">
              <w:marLeft w:val="0"/>
              <w:marRight w:val="0"/>
              <w:marTop w:val="0"/>
              <w:marBottom w:val="0"/>
              <w:divBdr>
                <w:top w:val="none" w:sz="0" w:space="0" w:color="auto"/>
                <w:left w:val="none" w:sz="0" w:space="0" w:color="auto"/>
                <w:bottom w:val="none" w:sz="0" w:space="0" w:color="auto"/>
                <w:right w:val="none" w:sz="0" w:space="0" w:color="auto"/>
              </w:divBdr>
            </w:div>
            <w:div w:id="1593322067">
              <w:marLeft w:val="0"/>
              <w:marRight w:val="0"/>
              <w:marTop w:val="0"/>
              <w:marBottom w:val="0"/>
              <w:divBdr>
                <w:top w:val="none" w:sz="0" w:space="0" w:color="auto"/>
                <w:left w:val="none" w:sz="0" w:space="0" w:color="auto"/>
                <w:bottom w:val="none" w:sz="0" w:space="0" w:color="auto"/>
                <w:right w:val="none" w:sz="0" w:space="0" w:color="auto"/>
              </w:divBdr>
            </w:div>
            <w:div w:id="1789547615">
              <w:marLeft w:val="0"/>
              <w:marRight w:val="0"/>
              <w:marTop w:val="0"/>
              <w:marBottom w:val="0"/>
              <w:divBdr>
                <w:top w:val="none" w:sz="0" w:space="0" w:color="auto"/>
                <w:left w:val="none" w:sz="0" w:space="0" w:color="auto"/>
                <w:bottom w:val="none" w:sz="0" w:space="0" w:color="auto"/>
                <w:right w:val="none" w:sz="0" w:space="0" w:color="auto"/>
              </w:divBdr>
            </w:div>
            <w:div w:id="20725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8037">
      <w:bodyDiv w:val="1"/>
      <w:marLeft w:val="0"/>
      <w:marRight w:val="0"/>
      <w:marTop w:val="0"/>
      <w:marBottom w:val="0"/>
      <w:divBdr>
        <w:top w:val="none" w:sz="0" w:space="0" w:color="auto"/>
        <w:left w:val="none" w:sz="0" w:space="0" w:color="auto"/>
        <w:bottom w:val="none" w:sz="0" w:space="0" w:color="auto"/>
        <w:right w:val="none" w:sz="0" w:space="0" w:color="auto"/>
      </w:divBdr>
    </w:div>
    <w:div w:id="595864344">
      <w:bodyDiv w:val="1"/>
      <w:marLeft w:val="0"/>
      <w:marRight w:val="0"/>
      <w:marTop w:val="0"/>
      <w:marBottom w:val="0"/>
      <w:divBdr>
        <w:top w:val="none" w:sz="0" w:space="0" w:color="auto"/>
        <w:left w:val="none" w:sz="0" w:space="0" w:color="auto"/>
        <w:bottom w:val="none" w:sz="0" w:space="0" w:color="auto"/>
        <w:right w:val="none" w:sz="0" w:space="0" w:color="auto"/>
      </w:divBdr>
      <w:divsChild>
        <w:div w:id="47267003">
          <w:marLeft w:val="0"/>
          <w:marRight w:val="0"/>
          <w:marTop w:val="0"/>
          <w:marBottom w:val="0"/>
          <w:divBdr>
            <w:top w:val="none" w:sz="0" w:space="0" w:color="auto"/>
            <w:left w:val="none" w:sz="0" w:space="0" w:color="auto"/>
            <w:bottom w:val="none" w:sz="0" w:space="0" w:color="auto"/>
            <w:right w:val="none" w:sz="0" w:space="0" w:color="auto"/>
          </w:divBdr>
          <w:divsChild>
            <w:div w:id="133106295">
              <w:marLeft w:val="0"/>
              <w:marRight w:val="0"/>
              <w:marTop w:val="0"/>
              <w:marBottom w:val="0"/>
              <w:divBdr>
                <w:top w:val="none" w:sz="0" w:space="0" w:color="auto"/>
                <w:left w:val="none" w:sz="0" w:space="0" w:color="auto"/>
                <w:bottom w:val="none" w:sz="0" w:space="0" w:color="auto"/>
                <w:right w:val="none" w:sz="0" w:space="0" w:color="auto"/>
              </w:divBdr>
            </w:div>
            <w:div w:id="229003523">
              <w:marLeft w:val="0"/>
              <w:marRight w:val="0"/>
              <w:marTop w:val="0"/>
              <w:marBottom w:val="0"/>
              <w:divBdr>
                <w:top w:val="none" w:sz="0" w:space="0" w:color="auto"/>
                <w:left w:val="none" w:sz="0" w:space="0" w:color="auto"/>
                <w:bottom w:val="none" w:sz="0" w:space="0" w:color="auto"/>
                <w:right w:val="none" w:sz="0" w:space="0" w:color="auto"/>
              </w:divBdr>
            </w:div>
          </w:divsChild>
        </w:div>
        <w:div w:id="878082287">
          <w:marLeft w:val="0"/>
          <w:marRight w:val="0"/>
          <w:marTop w:val="0"/>
          <w:marBottom w:val="0"/>
          <w:divBdr>
            <w:top w:val="none" w:sz="0" w:space="0" w:color="auto"/>
            <w:left w:val="none" w:sz="0" w:space="0" w:color="auto"/>
            <w:bottom w:val="none" w:sz="0" w:space="0" w:color="auto"/>
            <w:right w:val="none" w:sz="0" w:space="0" w:color="auto"/>
          </w:divBdr>
          <w:divsChild>
            <w:div w:id="186255983">
              <w:marLeft w:val="0"/>
              <w:marRight w:val="0"/>
              <w:marTop w:val="0"/>
              <w:marBottom w:val="0"/>
              <w:divBdr>
                <w:top w:val="none" w:sz="0" w:space="0" w:color="auto"/>
                <w:left w:val="none" w:sz="0" w:space="0" w:color="auto"/>
                <w:bottom w:val="none" w:sz="0" w:space="0" w:color="auto"/>
                <w:right w:val="none" w:sz="0" w:space="0" w:color="auto"/>
              </w:divBdr>
            </w:div>
            <w:div w:id="249462300">
              <w:marLeft w:val="0"/>
              <w:marRight w:val="0"/>
              <w:marTop w:val="0"/>
              <w:marBottom w:val="0"/>
              <w:divBdr>
                <w:top w:val="none" w:sz="0" w:space="0" w:color="auto"/>
                <w:left w:val="none" w:sz="0" w:space="0" w:color="auto"/>
                <w:bottom w:val="none" w:sz="0" w:space="0" w:color="auto"/>
                <w:right w:val="none" w:sz="0" w:space="0" w:color="auto"/>
              </w:divBdr>
            </w:div>
            <w:div w:id="465437674">
              <w:marLeft w:val="0"/>
              <w:marRight w:val="0"/>
              <w:marTop w:val="0"/>
              <w:marBottom w:val="0"/>
              <w:divBdr>
                <w:top w:val="none" w:sz="0" w:space="0" w:color="auto"/>
                <w:left w:val="none" w:sz="0" w:space="0" w:color="auto"/>
                <w:bottom w:val="none" w:sz="0" w:space="0" w:color="auto"/>
                <w:right w:val="none" w:sz="0" w:space="0" w:color="auto"/>
              </w:divBdr>
            </w:div>
            <w:div w:id="482043077">
              <w:marLeft w:val="0"/>
              <w:marRight w:val="0"/>
              <w:marTop w:val="0"/>
              <w:marBottom w:val="0"/>
              <w:divBdr>
                <w:top w:val="none" w:sz="0" w:space="0" w:color="auto"/>
                <w:left w:val="none" w:sz="0" w:space="0" w:color="auto"/>
                <w:bottom w:val="none" w:sz="0" w:space="0" w:color="auto"/>
                <w:right w:val="none" w:sz="0" w:space="0" w:color="auto"/>
              </w:divBdr>
            </w:div>
            <w:div w:id="696273272">
              <w:marLeft w:val="0"/>
              <w:marRight w:val="0"/>
              <w:marTop w:val="0"/>
              <w:marBottom w:val="0"/>
              <w:divBdr>
                <w:top w:val="none" w:sz="0" w:space="0" w:color="auto"/>
                <w:left w:val="none" w:sz="0" w:space="0" w:color="auto"/>
                <w:bottom w:val="none" w:sz="0" w:space="0" w:color="auto"/>
                <w:right w:val="none" w:sz="0" w:space="0" w:color="auto"/>
              </w:divBdr>
            </w:div>
            <w:div w:id="738284611">
              <w:marLeft w:val="0"/>
              <w:marRight w:val="0"/>
              <w:marTop w:val="0"/>
              <w:marBottom w:val="0"/>
              <w:divBdr>
                <w:top w:val="none" w:sz="0" w:space="0" w:color="auto"/>
                <w:left w:val="none" w:sz="0" w:space="0" w:color="auto"/>
                <w:bottom w:val="none" w:sz="0" w:space="0" w:color="auto"/>
                <w:right w:val="none" w:sz="0" w:space="0" w:color="auto"/>
              </w:divBdr>
            </w:div>
            <w:div w:id="1069772472">
              <w:marLeft w:val="0"/>
              <w:marRight w:val="0"/>
              <w:marTop w:val="0"/>
              <w:marBottom w:val="0"/>
              <w:divBdr>
                <w:top w:val="none" w:sz="0" w:space="0" w:color="auto"/>
                <w:left w:val="none" w:sz="0" w:space="0" w:color="auto"/>
                <w:bottom w:val="none" w:sz="0" w:space="0" w:color="auto"/>
                <w:right w:val="none" w:sz="0" w:space="0" w:color="auto"/>
              </w:divBdr>
            </w:div>
            <w:div w:id="1077290765">
              <w:marLeft w:val="0"/>
              <w:marRight w:val="0"/>
              <w:marTop w:val="0"/>
              <w:marBottom w:val="0"/>
              <w:divBdr>
                <w:top w:val="none" w:sz="0" w:space="0" w:color="auto"/>
                <w:left w:val="none" w:sz="0" w:space="0" w:color="auto"/>
                <w:bottom w:val="none" w:sz="0" w:space="0" w:color="auto"/>
                <w:right w:val="none" w:sz="0" w:space="0" w:color="auto"/>
              </w:divBdr>
            </w:div>
            <w:div w:id="1286082376">
              <w:marLeft w:val="0"/>
              <w:marRight w:val="0"/>
              <w:marTop w:val="0"/>
              <w:marBottom w:val="0"/>
              <w:divBdr>
                <w:top w:val="none" w:sz="0" w:space="0" w:color="auto"/>
                <w:left w:val="none" w:sz="0" w:space="0" w:color="auto"/>
                <w:bottom w:val="none" w:sz="0" w:space="0" w:color="auto"/>
                <w:right w:val="none" w:sz="0" w:space="0" w:color="auto"/>
              </w:divBdr>
            </w:div>
            <w:div w:id="1345934561">
              <w:marLeft w:val="0"/>
              <w:marRight w:val="0"/>
              <w:marTop w:val="0"/>
              <w:marBottom w:val="0"/>
              <w:divBdr>
                <w:top w:val="none" w:sz="0" w:space="0" w:color="auto"/>
                <w:left w:val="none" w:sz="0" w:space="0" w:color="auto"/>
                <w:bottom w:val="none" w:sz="0" w:space="0" w:color="auto"/>
                <w:right w:val="none" w:sz="0" w:space="0" w:color="auto"/>
              </w:divBdr>
            </w:div>
            <w:div w:id="1377579682">
              <w:marLeft w:val="0"/>
              <w:marRight w:val="0"/>
              <w:marTop w:val="0"/>
              <w:marBottom w:val="0"/>
              <w:divBdr>
                <w:top w:val="none" w:sz="0" w:space="0" w:color="auto"/>
                <w:left w:val="none" w:sz="0" w:space="0" w:color="auto"/>
                <w:bottom w:val="none" w:sz="0" w:space="0" w:color="auto"/>
                <w:right w:val="none" w:sz="0" w:space="0" w:color="auto"/>
              </w:divBdr>
            </w:div>
            <w:div w:id="1423913306">
              <w:marLeft w:val="0"/>
              <w:marRight w:val="0"/>
              <w:marTop w:val="0"/>
              <w:marBottom w:val="0"/>
              <w:divBdr>
                <w:top w:val="none" w:sz="0" w:space="0" w:color="auto"/>
                <w:left w:val="none" w:sz="0" w:space="0" w:color="auto"/>
                <w:bottom w:val="none" w:sz="0" w:space="0" w:color="auto"/>
                <w:right w:val="none" w:sz="0" w:space="0" w:color="auto"/>
              </w:divBdr>
            </w:div>
            <w:div w:id="1535771792">
              <w:marLeft w:val="0"/>
              <w:marRight w:val="0"/>
              <w:marTop w:val="0"/>
              <w:marBottom w:val="0"/>
              <w:divBdr>
                <w:top w:val="none" w:sz="0" w:space="0" w:color="auto"/>
                <w:left w:val="none" w:sz="0" w:space="0" w:color="auto"/>
                <w:bottom w:val="none" w:sz="0" w:space="0" w:color="auto"/>
                <w:right w:val="none" w:sz="0" w:space="0" w:color="auto"/>
              </w:divBdr>
            </w:div>
            <w:div w:id="1719434962">
              <w:marLeft w:val="0"/>
              <w:marRight w:val="0"/>
              <w:marTop w:val="0"/>
              <w:marBottom w:val="0"/>
              <w:divBdr>
                <w:top w:val="none" w:sz="0" w:space="0" w:color="auto"/>
                <w:left w:val="none" w:sz="0" w:space="0" w:color="auto"/>
                <w:bottom w:val="none" w:sz="0" w:space="0" w:color="auto"/>
                <w:right w:val="none" w:sz="0" w:space="0" w:color="auto"/>
              </w:divBdr>
            </w:div>
            <w:div w:id="1728068415">
              <w:marLeft w:val="0"/>
              <w:marRight w:val="0"/>
              <w:marTop w:val="0"/>
              <w:marBottom w:val="0"/>
              <w:divBdr>
                <w:top w:val="none" w:sz="0" w:space="0" w:color="auto"/>
                <w:left w:val="none" w:sz="0" w:space="0" w:color="auto"/>
                <w:bottom w:val="none" w:sz="0" w:space="0" w:color="auto"/>
                <w:right w:val="none" w:sz="0" w:space="0" w:color="auto"/>
              </w:divBdr>
            </w:div>
            <w:div w:id="1735009424">
              <w:marLeft w:val="0"/>
              <w:marRight w:val="0"/>
              <w:marTop w:val="0"/>
              <w:marBottom w:val="0"/>
              <w:divBdr>
                <w:top w:val="none" w:sz="0" w:space="0" w:color="auto"/>
                <w:left w:val="none" w:sz="0" w:space="0" w:color="auto"/>
                <w:bottom w:val="none" w:sz="0" w:space="0" w:color="auto"/>
                <w:right w:val="none" w:sz="0" w:space="0" w:color="auto"/>
              </w:divBdr>
            </w:div>
            <w:div w:id="1771662988">
              <w:marLeft w:val="0"/>
              <w:marRight w:val="0"/>
              <w:marTop w:val="0"/>
              <w:marBottom w:val="0"/>
              <w:divBdr>
                <w:top w:val="none" w:sz="0" w:space="0" w:color="auto"/>
                <w:left w:val="none" w:sz="0" w:space="0" w:color="auto"/>
                <w:bottom w:val="none" w:sz="0" w:space="0" w:color="auto"/>
                <w:right w:val="none" w:sz="0" w:space="0" w:color="auto"/>
              </w:divBdr>
            </w:div>
            <w:div w:id="1856773218">
              <w:marLeft w:val="0"/>
              <w:marRight w:val="0"/>
              <w:marTop w:val="0"/>
              <w:marBottom w:val="0"/>
              <w:divBdr>
                <w:top w:val="none" w:sz="0" w:space="0" w:color="auto"/>
                <w:left w:val="none" w:sz="0" w:space="0" w:color="auto"/>
                <w:bottom w:val="none" w:sz="0" w:space="0" w:color="auto"/>
                <w:right w:val="none" w:sz="0" w:space="0" w:color="auto"/>
              </w:divBdr>
            </w:div>
            <w:div w:id="188232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4277">
      <w:bodyDiv w:val="1"/>
      <w:marLeft w:val="0"/>
      <w:marRight w:val="0"/>
      <w:marTop w:val="0"/>
      <w:marBottom w:val="0"/>
      <w:divBdr>
        <w:top w:val="none" w:sz="0" w:space="0" w:color="auto"/>
        <w:left w:val="none" w:sz="0" w:space="0" w:color="auto"/>
        <w:bottom w:val="none" w:sz="0" w:space="0" w:color="auto"/>
        <w:right w:val="none" w:sz="0" w:space="0" w:color="auto"/>
      </w:divBdr>
    </w:div>
    <w:div w:id="998921018">
      <w:bodyDiv w:val="1"/>
      <w:marLeft w:val="0"/>
      <w:marRight w:val="0"/>
      <w:marTop w:val="0"/>
      <w:marBottom w:val="0"/>
      <w:divBdr>
        <w:top w:val="none" w:sz="0" w:space="0" w:color="auto"/>
        <w:left w:val="none" w:sz="0" w:space="0" w:color="auto"/>
        <w:bottom w:val="none" w:sz="0" w:space="0" w:color="auto"/>
        <w:right w:val="none" w:sz="0" w:space="0" w:color="auto"/>
      </w:divBdr>
    </w:div>
    <w:div w:id="1454716937">
      <w:bodyDiv w:val="1"/>
      <w:marLeft w:val="0"/>
      <w:marRight w:val="0"/>
      <w:marTop w:val="0"/>
      <w:marBottom w:val="0"/>
      <w:divBdr>
        <w:top w:val="none" w:sz="0" w:space="0" w:color="auto"/>
        <w:left w:val="none" w:sz="0" w:space="0" w:color="auto"/>
        <w:bottom w:val="none" w:sz="0" w:space="0" w:color="auto"/>
        <w:right w:val="none" w:sz="0" w:space="0" w:color="auto"/>
      </w:divBdr>
    </w:div>
    <w:div w:id="1469595103">
      <w:bodyDiv w:val="1"/>
      <w:marLeft w:val="0"/>
      <w:marRight w:val="0"/>
      <w:marTop w:val="0"/>
      <w:marBottom w:val="0"/>
      <w:divBdr>
        <w:top w:val="none" w:sz="0" w:space="0" w:color="auto"/>
        <w:left w:val="none" w:sz="0" w:space="0" w:color="auto"/>
        <w:bottom w:val="none" w:sz="0" w:space="0" w:color="auto"/>
        <w:right w:val="none" w:sz="0" w:space="0" w:color="auto"/>
      </w:divBdr>
    </w:div>
    <w:div w:id="1472013698">
      <w:bodyDiv w:val="1"/>
      <w:marLeft w:val="0"/>
      <w:marRight w:val="0"/>
      <w:marTop w:val="0"/>
      <w:marBottom w:val="0"/>
      <w:divBdr>
        <w:top w:val="none" w:sz="0" w:space="0" w:color="auto"/>
        <w:left w:val="none" w:sz="0" w:space="0" w:color="auto"/>
        <w:bottom w:val="none" w:sz="0" w:space="0" w:color="auto"/>
        <w:right w:val="none" w:sz="0" w:space="0" w:color="auto"/>
      </w:divBdr>
    </w:div>
    <w:div w:id="1639803146">
      <w:bodyDiv w:val="1"/>
      <w:marLeft w:val="0"/>
      <w:marRight w:val="0"/>
      <w:marTop w:val="0"/>
      <w:marBottom w:val="0"/>
      <w:divBdr>
        <w:top w:val="none" w:sz="0" w:space="0" w:color="auto"/>
        <w:left w:val="none" w:sz="0" w:space="0" w:color="auto"/>
        <w:bottom w:val="none" w:sz="0" w:space="0" w:color="auto"/>
        <w:right w:val="none" w:sz="0" w:space="0" w:color="auto"/>
      </w:divBdr>
    </w:div>
    <w:div w:id="1716005460">
      <w:bodyDiv w:val="1"/>
      <w:marLeft w:val="0"/>
      <w:marRight w:val="0"/>
      <w:marTop w:val="0"/>
      <w:marBottom w:val="0"/>
      <w:divBdr>
        <w:top w:val="none" w:sz="0" w:space="0" w:color="auto"/>
        <w:left w:val="none" w:sz="0" w:space="0" w:color="auto"/>
        <w:bottom w:val="none" w:sz="0" w:space="0" w:color="auto"/>
        <w:right w:val="none" w:sz="0" w:space="0" w:color="auto"/>
      </w:divBdr>
    </w:div>
    <w:div w:id="1751930680">
      <w:bodyDiv w:val="1"/>
      <w:marLeft w:val="0"/>
      <w:marRight w:val="0"/>
      <w:marTop w:val="0"/>
      <w:marBottom w:val="0"/>
      <w:divBdr>
        <w:top w:val="none" w:sz="0" w:space="0" w:color="auto"/>
        <w:left w:val="none" w:sz="0" w:space="0" w:color="auto"/>
        <w:bottom w:val="none" w:sz="0" w:space="0" w:color="auto"/>
        <w:right w:val="none" w:sz="0" w:space="0" w:color="auto"/>
      </w:divBdr>
    </w:div>
    <w:div w:id="1941641143">
      <w:bodyDiv w:val="1"/>
      <w:marLeft w:val="0"/>
      <w:marRight w:val="0"/>
      <w:marTop w:val="0"/>
      <w:marBottom w:val="0"/>
      <w:divBdr>
        <w:top w:val="none" w:sz="0" w:space="0" w:color="auto"/>
        <w:left w:val="none" w:sz="0" w:space="0" w:color="auto"/>
        <w:bottom w:val="none" w:sz="0" w:space="0" w:color="auto"/>
        <w:right w:val="none" w:sz="0" w:space="0" w:color="auto"/>
      </w:divBdr>
    </w:div>
    <w:div w:id="20725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4555-Towards-a-circular-regenerative-and-competitive-bioeconomy_cs" TargetMode="External"/><Relationship Id="rId13" Type="http://schemas.openxmlformats.org/officeDocument/2006/relationships/hyperlink" Target="https://boss.cen.eu/maintenance/reven/pages/" TargetMode="External"/><Relationship Id="rId18" Type="http://schemas.openxmlformats.org/officeDocument/2006/relationships/hyperlink" Target="https://ec.europa.eu/growth/tools-databases/enorm/mandate/615_en" TargetMode="External"/><Relationship Id="rId26" Type="http://schemas.openxmlformats.org/officeDocument/2006/relationships/hyperlink" Target="http://data.europa.eu/eli/dir/2024/1275/oj)." TargetMode="External"/><Relationship Id="rId3" Type="http://schemas.openxmlformats.org/officeDocument/2006/relationships/hyperlink" Target="https://ec.europa.eu/transparency/expert-groups-register/screen/expert-groups/consult?lang=cs&amp;groupID=3776" TargetMode="External"/><Relationship Id="rId21" Type="http://schemas.openxmlformats.org/officeDocument/2006/relationships/hyperlink" Target="https://single-market-economy.ec.europa.eu/sectors/construction/construction-products-regulation-cpr/acquis_en" TargetMode="External"/><Relationship Id="rId7" Type="http://schemas.openxmlformats.org/officeDocument/2006/relationships/hyperlink" Target="https://eur-lex.europa.eu/legal-content/CS/TXT/?uri=CELEX:52025DC0125" TargetMode="External"/><Relationship Id="rId12" Type="http://schemas.openxmlformats.org/officeDocument/2006/relationships/hyperlink" Target="https://ec.europa.eu/transparency/expert-groups-register/screen/calls-application?lang=cs" TargetMode="External"/><Relationship Id="rId17" Type="http://schemas.openxmlformats.org/officeDocument/2006/relationships/hyperlink" Target="https://ec.europa.eu/growth/tools-databases/enorm/mandate/616_en" TargetMode="External"/><Relationship Id="rId25" Type="http://schemas.openxmlformats.org/officeDocument/2006/relationships/hyperlink" Target="https://eismea.ec.europa.eu/funding-opportunities/calls-proposals/support-standardisation-activities-performed-cen-cenelec-and-etsi-3_en" TargetMode="External"/><Relationship Id="rId2" Type="http://schemas.openxmlformats.org/officeDocument/2006/relationships/hyperlink" Target="https://ec.europa.eu/transparency/expert-groups-register/screen/expert-groups/consult?lang=cs&amp;groupID=3776" TargetMode="External"/><Relationship Id="rId16" Type="http://schemas.openxmlformats.org/officeDocument/2006/relationships/hyperlink" Target="https://ec.europa.eu/growth/tools-databases/enorm/mandate/609_en" TargetMode="External"/><Relationship Id="rId20" Type="http://schemas.openxmlformats.org/officeDocument/2006/relationships/hyperlink" Target="http://data.europa.eu/eli/reg/2024/1781/oj" TargetMode="External"/><Relationship Id="rId29" Type="http://schemas.openxmlformats.org/officeDocument/2006/relationships/hyperlink" Target="https://eismea.ec.europa.eu/funding-opportunities/calls-proposals/support-standardisation-activities-performed-cen-cenelec-and-etsi-2_en" TargetMode="External"/><Relationship Id="rId1" Type="http://schemas.openxmlformats.org/officeDocument/2006/relationships/hyperlink" Target="http://data.europa.eu/eli/reg/2024/3110/oj" TargetMode="External"/><Relationship Id="rId6" Type="http://schemas.openxmlformats.org/officeDocument/2006/relationships/hyperlink" Target="https://eur-lex.europa.eu/legal-content/CS/TXT/?uri=CELEX:52025DC0085" TargetMode="External"/><Relationship Id="rId11" Type="http://schemas.openxmlformats.org/officeDocument/2006/relationships/hyperlink" Target="http://data.europa.eu/eli/reg/2011/305/oj" TargetMode="External"/><Relationship Id="rId24" Type="http://schemas.openxmlformats.org/officeDocument/2006/relationships/hyperlink" Target="https://ec.europa.eu/transparency/expert-groups-register/screen/meetings/consult?lang=en&amp;amp;meetingId=61821&amp;amp;fromExpertGroups=3776" TargetMode="External"/><Relationship Id="rId5" Type="http://schemas.openxmlformats.org/officeDocument/2006/relationships/hyperlink" Target="https://eur-lex.europa.eu/legal-content/CS/TXT/?uri=CELEX:52025DC0085" TargetMode="External"/><Relationship Id="rId15" Type="http://schemas.openxmlformats.org/officeDocument/2006/relationships/hyperlink" Target="http://data.europa.eu/eli/reg/2012/1025/oj" TargetMode="External"/><Relationship Id="rId23" Type="http://schemas.openxmlformats.org/officeDocument/2006/relationships/hyperlink" Target="https://ec.europa.eu/docsroom/documents/42129/attachments/1/translations/en/renditions/native" TargetMode="External"/><Relationship Id="rId28" Type="http://schemas.openxmlformats.org/officeDocument/2006/relationships/hyperlink" Target="https://eismea.ec.europa.eu/funding-opportunities/calls-proposals/support-standardisation-activities-performed-cen-cenelec-and-etsi-2_en" TargetMode="External"/><Relationship Id="rId10" Type="http://schemas.openxmlformats.org/officeDocument/2006/relationships/hyperlink" Target="https://ec.europa.eu/info/law/better-regulation/have-your-say/initiatives/14762-European-strategy-for-housing-construction_cs" TargetMode="External"/><Relationship Id="rId19" Type="http://schemas.openxmlformats.org/officeDocument/2006/relationships/hyperlink" Target="https://environment.ec.europa.eu/document/5f7ff5e2-ebe9-4bd4-a139-db881bd6398f_en" TargetMode="External"/><Relationship Id="rId4" Type="http://schemas.openxmlformats.org/officeDocument/2006/relationships/hyperlink" Target="https://eur-lex.europa.eu/legal-content/CS/TXT/?uri=celex:52025DC0030" TargetMode="External"/><Relationship Id="rId9" Type="http://schemas.openxmlformats.org/officeDocument/2006/relationships/hyperlink" Target="https://ec.europa.eu/info/law/better-regulation/have-your-say/initiatives/14505-Industrial-Decarbonisation-Accelerator-Act-speeding-up-decarbonisation_cs" TargetMode="External"/><Relationship Id="rId14" Type="http://schemas.openxmlformats.org/officeDocument/2006/relationships/hyperlink" Target="http://data.europa.eu/eli/reg/2012/1025/oj" TargetMode="External"/><Relationship Id="rId22" Type="http://schemas.openxmlformats.org/officeDocument/2006/relationships/hyperlink" Target="https://ec.europa.eu/docsroom/documents/42128/attachments/1/translations/en/renditions/native" TargetMode="External"/><Relationship Id="rId27" Type="http://schemas.openxmlformats.org/officeDocument/2006/relationships/hyperlink" Target="https://eur-lex.europa.eu/legal-content/CS/TXT/?uri=CELEX:52025DC0085" TargetMode="External"/></Relationships>
</file>

<file path=word/theme/theme1.xml><?xml version="1.0" encoding="utf-8"?>
<a:theme xmlns:a="http://schemas.openxmlformats.org/drawingml/2006/main" name="Office Theme">
  <a:themeElements>
    <a:clrScheme name="European Commission">
      <a:dk1>
        <a:srgbClr val="4D4D4D"/>
      </a:dk1>
      <a:lt1>
        <a:srgbClr val="FFFFFF"/>
      </a:lt1>
      <a:dk2>
        <a:srgbClr val="034EA2"/>
      </a:dk2>
      <a:lt2>
        <a:srgbClr val="D3E8F9"/>
      </a:lt2>
      <a:accent1>
        <a:srgbClr val="1E858B"/>
      </a:accent1>
      <a:accent2>
        <a:srgbClr val="4BC5DE"/>
      </a:accent2>
      <a:accent3>
        <a:srgbClr val="1EC08A"/>
      </a:accent3>
      <a:accent4>
        <a:srgbClr val="ED8D2F"/>
      </a:accent4>
      <a:accent5>
        <a:srgbClr val="FFC000"/>
      </a:accent5>
      <a:accent6>
        <a:srgbClr val="E76C53"/>
      </a:accent6>
      <a:hlink>
        <a:srgbClr val="0563C1"/>
      </a:hlink>
      <a:folHlink>
        <a:srgbClr val="24337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1B87D5ABF651429579392F313233BD" ma:contentTypeVersion="12" ma:contentTypeDescription="Create a new document." ma:contentTypeScope="" ma:versionID="f184afa3d4ab4f5a312ab5a6a3d1833f">
  <xsd:schema xmlns:xsd="http://www.w3.org/2001/XMLSchema" xmlns:xs="http://www.w3.org/2001/XMLSchema" xmlns:p="http://schemas.microsoft.com/office/2006/metadata/properties" xmlns:ns2="b2332242-72eb-4c56-ab66-572cc47fcb14" xmlns:ns3="97c12176-f42e-47a4-9c39-4993e896fb64" targetNamespace="http://schemas.microsoft.com/office/2006/metadata/properties" ma:root="true" ma:fieldsID="752c67c28112a2a733bc6fb7e298d9ef" ns2:_="" ns3:_="">
    <xsd:import namespace="b2332242-72eb-4c56-ab66-572cc47fcb14"/>
    <xsd:import namespace="97c12176-f42e-47a4-9c39-4993e896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32242-72eb-4c56-ab66-572cc47fc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c12176-f42e-47a4-9c39-4993e896fb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4F061-004B-4241-BC74-2792EDF09F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D61840-F920-44C0-B352-B141BC8FB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32242-72eb-4c56-ab66-572cc47fcb14"/>
    <ds:schemaRef ds:uri="97c12176-f42e-47a4-9c39-4993e896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90997-8F21-4E25-AFF9-F7DCFF625520}">
  <ds:schemaRefs>
    <ds:schemaRef ds:uri="http://schemas.microsoft.com/sharepoint/v3/contenttype/forms"/>
  </ds:schemaRefs>
</ds:datastoreItem>
</file>

<file path=customXml/itemProps4.xml><?xml version="1.0" encoding="utf-8"?>
<ds:datastoreItem xmlns:ds="http://schemas.openxmlformats.org/officeDocument/2006/customXml" ds:itemID="{6AF42E3B-A51F-435B-9CBF-F439E16E4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5938</Words>
  <Characters>33851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39710</CharactersWithSpaces>
  <SharedDoc>false</SharedDoc>
  <HLinks>
    <vt:vector size="150" baseType="variant">
      <vt:variant>
        <vt:i4>6815821</vt:i4>
      </vt:variant>
      <vt:variant>
        <vt:i4>72</vt:i4>
      </vt:variant>
      <vt:variant>
        <vt:i4>0</vt:i4>
      </vt:variant>
      <vt:variant>
        <vt:i4>5</vt:i4>
      </vt:variant>
      <vt:variant>
        <vt:lpwstr>https://eismea.ec.europa.eu/funding-opportunities/calls-proposals/support-standardisation-activities-performed-cen-cenelec-and-etsi-2_en</vt:lpwstr>
      </vt:variant>
      <vt:variant>
        <vt:lpwstr/>
      </vt:variant>
      <vt:variant>
        <vt:i4>6815821</vt:i4>
      </vt:variant>
      <vt:variant>
        <vt:i4>69</vt:i4>
      </vt:variant>
      <vt:variant>
        <vt:i4>0</vt:i4>
      </vt:variant>
      <vt:variant>
        <vt:i4>5</vt:i4>
      </vt:variant>
      <vt:variant>
        <vt:lpwstr>https://eismea.ec.europa.eu/funding-opportunities/calls-proposals/support-standardisation-activities-performed-cen-cenelec-and-etsi-2_en</vt:lpwstr>
      </vt:variant>
      <vt:variant>
        <vt:lpwstr/>
      </vt:variant>
      <vt:variant>
        <vt:i4>524305</vt:i4>
      </vt:variant>
      <vt:variant>
        <vt:i4>66</vt:i4>
      </vt:variant>
      <vt:variant>
        <vt:i4>0</vt:i4>
      </vt:variant>
      <vt:variant>
        <vt:i4>5</vt:i4>
      </vt:variant>
      <vt:variant>
        <vt:lpwstr>https://eur-lex.europa.eu/legal-content/EN/TXT/?uri=CELEX:52025DC0085</vt:lpwstr>
      </vt:variant>
      <vt:variant>
        <vt:lpwstr/>
      </vt:variant>
      <vt:variant>
        <vt:i4>6684776</vt:i4>
      </vt:variant>
      <vt:variant>
        <vt:i4>63</vt:i4>
      </vt:variant>
      <vt:variant>
        <vt:i4>0</vt:i4>
      </vt:variant>
      <vt:variant>
        <vt:i4>5</vt:i4>
      </vt:variant>
      <vt:variant>
        <vt:lpwstr>http://data.europa.eu/eli/dir/2024/1275/oj</vt:lpwstr>
      </vt:variant>
      <vt:variant>
        <vt:lpwstr/>
      </vt:variant>
      <vt:variant>
        <vt:i4>6815820</vt:i4>
      </vt:variant>
      <vt:variant>
        <vt:i4>60</vt:i4>
      </vt:variant>
      <vt:variant>
        <vt:i4>0</vt:i4>
      </vt:variant>
      <vt:variant>
        <vt:i4>5</vt:i4>
      </vt:variant>
      <vt:variant>
        <vt:lpwstr>https://eismea.ec.europa.eu/funding-opportunities/calls-proposals/support-standardisation-activities-performed-cen-cenelec-and-etsi-3_en</vt:lpwstr>
      </vt:variant>
      <vt:variant>
        <vt:lpwstr/>
      </vt:variant>
      <vt:variant>
        <vt:i4>3866722</vt:i4>
      </vt:variant>
      <vt:variant>
        <vt:i4>57</vt:i4>
      </vt:variant>
      <vt:variant>
        <vt:i4>0</vt:i4>
      </vt:variant>
      <vt:variant>
        <vt:i4>5</vt:i4>
      </vt:variant>
      <vt:variant>
        <vt:lpwstr>https://ec.europa.eu/transparency/expert-groups-register/screen/meetings/consult?lang=en&amp;meetingId=61821&amp;fromExpertGroups=3776</vt:lpwstr>
      </vt:variant>
      <vt:variant>
        <vt:lpwstr/>
      </vt:variant>
      <vt:variant>
        <vt:i4>4915276</vt:i4>
      </vt:variant>
      <vt:variant>
        <vt:i4>54</vt:i4>
      </vt:variant>
      <vt:variant>
        <vt:i4>0</vt:i4>
      </vt:variant>
      <vt:variant>
        <vt:i4>5</vt:i4>
      </vt:variant>
      <vt:variant>
        <vt:lpwstr>https://ec.europa.eu/docsroom/documents/42129/attachments/1/translations/en/renditions/native</vt:lpwstr>
      </vt:variant>
      <vt:variant>
        <vt:lpwstr/>
      </vt:variant>
      <vt:variant>
        <vt:i4>4915277</vt:i4>
      </vt:variant>
      <vt:variant>
        <vt:i4>51</vt:i4>
      </vt:variant>
      <vt:variant>
        <vt:i4>0</vt:i4>
      </vt:variant>
      <vt:variant>
        <vt:i4>5</vt:i4>
      </vt:variant>
      <vt:variant>
        <vt:lpwstr>https://ec.europa.eu/docsroom/documents/42128/attachments/1/translations/en/renditions/native</vt:lpwstr>
      </vt:variant>
      <vt:variant>
        <vt:lpwstr/>
      </vt:variant>
      <vt:variant>
        <vt:i4>1966190</vt:i4>
      </vt:variant>
      <vt:variant>
        <vt:i4>48</vt:i4>
      </vt:variant>
      <vt:variant>
        <vt:i4>0</vt:i4>
      </vt:variant>
      <vt:variant>
        <vt:i4>5</vt:i4>
      </vt:variant>
      <vt:variant>
        <vt:lpwstr>https://single-market-economy.ec.europa.eu/sectors/construction/construction-products-regulation-cpr/acquis_en</vt:lpwstr>
      </vt:variant>
      <vt:variant>
        <vt:lpwstr/>
      </vt:variant>
      <vt:variant>
        <vt:i4>6619242</vt:i4>
      </vt:variant>
      <vt:variant>
        <vt:i4>45</vt:i4>
      </vt:variant>
      <vt:variant>
        <vt:i4>0</vt:i4>
      </vt:variant>
      <vt:variant>
        <vt:i4>5</vt:i4>
      </vt:variant>
      <vt:variant>
        <vt:lpwstr>http://data.europa.eu/eli/reg/2024/1781/oj</vt:lpwstr>
      </vt:variant>
      <vt:variant>
        <vt:lpwstr/>
      </vt:variant>
      <vt:variant>
        <vt:i4>1507440</vt:i4>
      </vt:variant>
      <vt:variant>
        <vt:i4>42</vt:i4>
      </vt:variant>
      <vt:variant>
        <vt:i4>0</vt:i4>
      </vt:variant>
      <vt:variant>
        <vt:i4>5</vt:i4>
      </vt:variant>
      <vt:variant>
        <vt:lpwstr>https://environment.ec.europa.eu/document/5f7ff5e2-ebe9-4bd4-a139-db881bd6398f_en</vt:lpwstr>
      </vt:variant>
      <vt:variant>
        <vt:lpwstr/>
      </vt:variant>
      <vt:variant>
        <vt:i4>7667787</vt:i4>
      </vt:variant>
      <vt:variant>
        <vt:i4>39</vt:i4>
      </vt:variant>
      <vt:variant>
        <vt:i4>0</vt:i4>
      </vt:variant>
      <vt:variant>
        <vt:i4>5</vt:i4>
      </vt:variant>
      <vt:variant>
        <vt:lpwstr>https://ec.europa.eu/growth/tools-databases/enorm/mandate/615_en</vt:lpwstr>
      </vt:variant>
      <vt:variant>
        <vt:lpwstr/>
      </vt:variant>
      <vt:variant>
        <vt:i4>7602247</vt:i4>
      </vt:variant>
      <vt:variant>
        <vt:i4>36</vt:i4>
      </vt:variant>
      <vt:variant>
        <vt:i4>0</vt:i4>
      </vt:variant>
      <vt:variant>
        <vt:i4>5</vt:i4>
      </vt:variant>
      <vt:variant>
        <vt:lpwstr>https://ec.europa.eu/growth/tools-databases/enorm/mandate/609_en</vt:lpwstr>
      </vt:variant>
      <vt:variant>
        <vt:lpwstr/>
      </vt:variant>
      <vt:variant>
        <vt:i4>6881386</vt:i4>
      </vt:variant>
      <vt:variant>
        <vt:i4>33</vt:i4>
      </vt:variant>
      <vt:variant>
        <vt:i4>0</vt:i4>
      </vt:variant>
      <vt:variant>
        <vt:i4>5</vt:i4>
      </vt:variant>
      <vt:variant>
        <vt:lpwstr>http://data.europa.eu/eli/reg/2012/1025/oj</vt:lpwstr>
      </vt:variant>
      <vt:variant>
        <vt:lpwstr/>
      </vt:variant>
      <vt:variant>
        <vt:i4>6881386</vt:i4>
      </vt:variant>
      <vt:variant>
        <vt:i4>30</vt:i4>
      </vt:variant>
      <vt:variant>
        <vt:i4>0</vt:i4>
      </vt:variant>
      <vt:variant>
        <vt:i4>5</vt:i4>
      </vt:variant>
      <vt:variant>
        <vt:lpwstr>http://data.europa.eu/eli/reg/2012/1025/oj</vt:lpwstr>
      </vt:variant>
      <vt:variant>
        <vt:lpwstr/>
      </vt:variant>
      <vt:variant>
        <vt:i4>589914</vt:i4>
      </vt:variant>
      <vt:variant>
        <vt:i4>27</vt:i4>
      </vt:variant>
      <vt:variant>
        <vt:i4>0</vt:i4>
      </vt:variant>
      <vt:variant>
        <vt:i4>5</vt:i4>
      </vt:variant>
      <vt:variant>
        <vt:lpwstr>https://boss.cen.eu/maintenance/reven/pages/</vt:lpwstr>
      </vt:variant>
      <vt:variant>
        <vt:lpwstr/>
      </vt:variant>
      <vt:variant>
        <vt:i4>327700</vt:i4>
      </vt:variant>
      <vt:variant>
        <vt:i4>24</vt:i4>
      </vt:variant>
      <vt:variant>
        <vt:i4>0</vt:i4>
      </vt:variant>
      <vt:variant>
        <vt:i4>5</vt:i4>
      </vt:variant>
      <vt:variant>
        <vt:lpwstr>https://ec.europa.eu/transparency/expert-groups-register/screen/calls-application?lang=en</vt:lpwstr>
      </vt:variant>
      <vt:variant>
        <vt:lpwstr/>
      </vt:variant>
      <vt:variant>
        <vt:i4>4522015</vt:i4>
      </vt:variant>
      <vt:variant>
        <vt:i4>21</vt:i4>
      </vt:variant>
      <vt:variant>
        <vt:i4>0</vt:i4>
      </vt:variant>
      <vt:variant>
        <vt:i4>5</vt:i4>
      </vt:variant>
      <vt:variant>
        <vt:lpwstr>http://data.europa.eu/eli/reg/2011/305/oj</vt:lpwstr>
      </vt:variant>
      <vt:variant>
        <vt:lpwstr/>
      </vt:variant>
      <vt:variant>
        <vt:i4>5111917</vt:i4>
      </vt:variant>
      <vt:variant>
        <vt:i4>18</vt:i4>
      </vt:variant>
      <vt:variant>
        <vt:i4>0</vt:i4>
      </vt:variant>
      <vt:variant>
        <vt:i4>5</vt:i4>
      </vt:variant>
      <vt:variant>
        <vt:lpwstr>https://ec.europa.eu/info/law/better-regulation/have-your-say/initiatives/14762-European-strategy-for-housing-construction_en</vt:lpwstr>
      </vt:variant>
      <vt:variant>
        <vt:lpwstr/>
      </vt:variant>
      <vt:variant>
        <vt:i4>131088</vt:i4>
      </vt:variant>
      <vt:variant>
        <vt:i4>15</vt:i4>
      </vt:variant>
      <vt:variant>
        <vt:i4>0</vt:i4>
      </vt:variant>
      <vt:variant>
        <vt:i4>5</vt:i4>
      </vt:variant>
      <vt:variant>
        <vt:lpwstr>https://eur-lex.europa.eu/legal-content/EN/TXT/?uri=CELEX:52025DC0125</vt:lpwstr>
      </vt:variant>
      <vt:variant>
        <vt:lpwstr/>
      </vt:variant>
      <vt:variant>
        <vt:i4>524305</vt:i4>
      </vt:variant>
      <vt:variant>
        <vt:i4>12</vt:i4>
      </vt:variant>
      <vt:variant>
        <vt:i4>0</vt:i4>
      </vt:variant>
      <vt:variant>
        <vt:i4>5</vt:i4>
      </vt:variant>
      <vt:variant>
        <vt:lpwstr>https://eur-lex.europa.eu/legal-content/EN/TXT/?uri=CELEX:52025DC0085</vt:lpwstr>
      </vt:variant>
      <vt:variant>
        <vt:lpwstr/>
      </vt:variant>
      <vt:variant>
        <vt:i4>196625</vt:i4>
      </vt:variant>
      <vt:variant>
        <vt:i4>9</vt:i4>
      </vt:variant>
      <vt:variant>
        <vt:i4>0</vt:i4>
      </vt:variant>
      <vt:variant>
        <vt:i4>5</vt:i4>
      </vt:variant>
      <vt:variant>
        <vt:lpwstr>https://eur-lex.europa.eu/legal-content/EN/TXT/?uri=celex:52025DC0030</vt:lpwstr>
      </vt:variant>
      <vt:variant>
        <vt:lpwstr/>
      </vt:variant>
      <vt:variant>
        <vt:i4>8060978</vt:i4>
      </vt:variant>
      <vt:variant>
        <vt:i4>6</vt:i4>
      </vt:variant>
      <vt:variant>
        <vt:i4>0</vt:i4>
      </vt:variant>
      <vt:variant>
        <vt:i4>5</vt:i4>
      </vt:variant>
      <vt:variant>
        <vt:lpwstr>https://ec.europa.eu/transparency/expert-groups-register/screen/expert-groups/consult?lang=en&amp;groupID=3776</vt:lpwstr>
      </vt:variant>
      <vt:variant>
        <vt:lpwstr/>
      </vt:variant>
      <vt:variant>
        <vt:i4>8060978</vt:i4>
      </vt:variant>
      <vt:variant>
        <vt:i4>3</vt:i4>
      </vt:variant>
      <vt:variant>
        <vt:i4>0</vt:i4>
      </vt:variant>
      <vt:variant>
        <vt:i4>5</vt:i4>
      </vt:variant>
      <vt:variant>
        <vt:lpwstr>https://ec.europa.eu/transparency/expert-groups-register/screen/expert-groups/consult?lang=en&amp;groupID=3776</vt:lpwstr>
      </vt:variant>
      <vt:variant>
        <vt:lpwstr/>
      </vt:variant>
      <vt:variant>
        <vt:i4>7209069</vt:i4>
      </vt:variant>
      <vt:variant>
        <vt:i4>0</vt:i4>
      </vt:variant>
      <vt:variant>
        <vt:i4>0</vt:i4>
      </vt:variant>
      <vt:variant>
        <vt:i4>5</vt:i4>
      </vt:variant>
      <vt:variant>
        <vt:lpwstr>http://data.europa.eu/eli/reg/2024/3110/oj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2025-12-05T14:35:00Z</dcterms:created>
  <dcterms:modified xsi:type="dcterms:W3CDTF">2025-12-12T15:07:00Z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2025-11-04T15:56:19Z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0771de64-76ce-4bdd-bab2-844b84244fec</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Part">
    <vt:lpwstr>1</vt:lpwstr>
  </property>
  <property fmtid="{D5CDD505-2E9C-101B-9397-08002B2CF9AE}" pid="12" name="MediaServiceImageTags">
    <vt:lpwstr/>
  </property>
  <property fmtid="{D5CDD505-2E9C-101B-9397-08002B2CF9AE}" pid="13" name="ContentTypeId">
    <vt:lpwstr>0x010100FF1B87D5ABF651429579392F313233BD</vt:lpwstr>
  </property>
  <property fmtid="{D5CDD505-2E9C-101B-9397-08002B2CF9AE}" pid="14" name="Created using">
    <vt:lpwstr>LW 9.1, Build 20240808</vt:lpwstr>
  </property>
  <property fmtid="{D5CDD505-2E9C-101B-9397-08002B2CF9AE}" pid="15" name="Total parts">
    <vt:lpwstr>1</vt:lpwstr>
  </property>
  <property fmtid="{D5CDD505-2E9C-101B-9397-08002B2CF9AE}" pid="16" name="Level of sensitivity">
    <vt:lpwstr>Standard treatment</vt:lpwstr>
  </property>
  <property fmtid="{D5CDD505-2E9C-101B-9397-08002B2CF9AE}" pid="17" name="CPTemplateID">
    <vt:lpwstr>CP-009</vt:lpwstr>
  </property>
  <property fmtid="{D5CDD505-2E9C-101B-9397-08002B2CF9AE}" pid="18" name="DocStatus">
    <vt:lpwstr>Green</vt:lpwstr>
  </property>
</Properties>
</file>