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41780" w14:textId="14961433" w:rsidR="007F1C63" w:rsidRDefault="005433A5" w:rsidP="005433A5">
      <w:pPr>
        <w:pStyle w:val="Pagedecouverture"/>
        <w:rPr>
          <w:rStyle w:val="Heading11"/>
          <w:smallCaps/>
          <w:noProof/>
          <w:sz w:val="24"/>
          <w:szCs w:val="24"/>
        </w:rPr>
      </w:pPr>
      <w:bookmarkStart w:id="0" w:name="LW_BM_COVERPAGE"/>
      <w:r>
        <w:rPr>
          <w:rStyle w:val="Heading11"/>
          <w:smallCaps/>
          <w:noProof/>
          <w:sz w:val="24"/>
          <w:szCs w:val="24"/>
        </w:rPr>
        <w:pict w14:anchorId="440A7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3266E3D3-265B-42B8-B4A9-F7EF18BA5FBC" style="width:455.25pt;height:365.25pt">
            <v:imagedata r:id="rId8" o:title=""/>
          </v:shape>
        </w:pict>
      </w:r>
    </w:p>
    <w:bookmarkEnd w:id="0"/>
    <w:p w14:paraId="5C793B7A" w14:textId="77777777" w:rsidR="007F1C63" w:rsidRDefault="007F1C63" w:rsidP="007F1C63">
      <w:pPr>
        <w:rPr>
          <w:rStyle w:val="Heading11"/>
          <w:rFonts w:ascii="Times New Roman" w:hAnsi="Times New Roman" w:cs="Times New Roman"/>
          <w:smallCaps/>
          <w:noProof/>
          <w:sz w:val="24"/>
          <w:szCs w:val="24"/>
        </w:rPr>
        <w:sectPr w:rsidR="007F1C63" w:rsidSect="005433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D616DB2" w14:textId="1E638864" w:rsidR="004B181D" w:rsidRPr="001E1863" w:rsidRDefault="004B181D" w:rsidP="004B181D">
      <w:pPr>
        <w:pStyle w:val="Heading110"/>
        <w:keepNext/>
        <w:keepLines/>
        <w:numPr>
          <w:ilvl w:val="0"/>
          <w:numId w:val="1"/>
        </w:numPr>
        <w:tabs>
          <w:tab w:val="left" w:pos="552"/>
          <w:tab w:val="left" w:pos="557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  <w:r>
        <w:rPr>
          <w:rStyle w:val="Heading11"/>
          <w:rFonts w:ascii="Times New Roman" w:hAnsi="Times New Roman"/>
          <w:smallCaps/>
          <w:noProof/>
          <w:sz w:val="24"/>
        </w:rPr>
        <w:lastRenderedPageBreak/>
        <w:t>Úvod</w:t>
      </w:r>
    </w:p>
    <w:p w14:paraId="6DB9F7CA" w14:textId="761B914D" w:rsidR="004B181D" w:rsidRPr="000C6D51" w:rsidRDefault="003A5CC5" w:rsidP="004B181D">
      <w:pPr>
        <w:pStyle w:val="Bodytext10"/>
        <w:ind w:left="580"/>
        <w:jc w:val="both"/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</w:pPr>
      <w:r>
        <w:rPr>
          <w:rStyle w:val="Bodytext1"/>
          <w:rFonts w:ascii="Times New Roman" w:hAnsi="Times New Roman"/>
          <w:noProof/>
          <w:sz w:val="24"/>
        </w:rPr>
        <w:t xml:space="preserve">Nařízení Evropského parlamentu a Rady </w:t>
      </w:r>
      <w:r>
        <w:rPr>
          <w:rStyle w:val="FootnoteReference"/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footnoteReference w:id="1"/>
      </w:r>
      <w:r>
        <w:rPr>
          <w:rStyle w:val="Bodytext1"/>
          <w:rFonts w:ascii="Times New Roman" w:hAnsi="Times New Roman"/>
          <w:noProof/>
          <w:sz w:val="24"/>
        </w:rPr>
        <w:t xml:space="preserve"> (EU) 2019/787 zavedlo nový legislativní rámec, pokud jde o lihoviny vyrobené v Unii</w:t>
      </w:r>
      <w:r>
        <w:rPr>
          <w:rFonts w:ascii="Times New Roman" w:hAnsi="Times New Roman"/>
          <w:noProof/>
          <w:sz w:val="24"/>
        </w:rPr>
        <w:t xml:space="preserve">. </w:t>
      </w:r>
      <w:r>
        <w:rPr>
          <w:rFonts w:ascii="Times New Roman" w:hAnsi="Times New Roman"/>
          <w:noProof/>
          <w:color w:val="333333"/>
          <w:sz w:val="24"/>
          <w:shd w:val="clear" w:color="auto" w:fill="FFFFFF"/>
        </w:rPr>
        <w:t xml:space="preserve"> </w:t>
      </w:r>
      <w:r>
        <w:rPr>
          <w:rStyle w:val="Bodytext1"/>
          <w:rFonts w:ascii="Times New Roman" w:hAnsi="Times New Roman"/>
          <w:noProof/>
          <w:color w:val="333333"/>
          <w:sz w:val="24"/>
          <w:shd w:val="clear" w:color="auto" w:fill="FFFFFF"/>
        </w:rPr>
        <w:t>Stanoví zejména pravidla týkající se definice, popisu, obchodní úpravy a označování lihovin a jejich kontroly a dohledu nad nimi</w:t>
      </w:r>
      <w:r>
        <w:rPr>
          <w:rFonts w:ascii="Times New Roman" w:hAnsi="Times New Roman"/>
          <w:noProof/>
          <w:sz w:val="24"/>
        </w:rPr>
        <w:t>.</w:t>
      </w:r>
    </w:p>
    <w:p w14:paraId="55B4793F" w14:textId="2DBDFD2D" w:rsidR="003A5CC5" w:rsidRDefault="003A5CC5" w:rsidP="003A5CC5">
      <w:pPr>
        <w:pStyle w:val="Bodytext10"/>
        <w:ind w:left="580"/>
        <w:jc w:val="both"/>
        <w:rPr>
          <w:rStyle w:val="Bodytext1"/>
          <w:rFonts w:ascii="Times New Roman" w:hAnsi="Times New Roman" w:cs="Times New Roman"/>
          <w:noProof/>
          <w:sz w:val="24"/>
          <w:szCs w:val="24"/>
        </w:rPr>
      </w:pPr>
      <w:r>
        <w:rPr>
          <w:rStyle w:val="Bodytext1"/>
          <w:rFonts w:ascii="Times New Roman" w:hAnsi="Times New Roman"/>
          <w:noProof/>
          <w:sz w:val="24"/>
        </w:rPr>
        <w:t>Uvedené nařízení zmocňuje Komisi k přijímání aktů v přenesené pravomoci, kterými se doplňují nebo mění některá z těchto pravidel, a v případě některých z nich ukládá Komisi povinnost podávat spolunormotvůrcům zprávy o výkonu přenesených pravomocí.</w:t>
      </w:r>
    </w:p>
    <w:p w14:paraId="4D22B018" w14:textId="7B06335A" w:rsidR="004A6981" w:rsidRDefault="00E20F34" w:rsidP="002B20C5">
      <w:pPr>
        <w:pStyle w:val="Bodytext10"/>
        <w:ind w:left="580"/>
        <w:jc w:val="both"/>
        <w:rPr>
          <w:rStyle w:val="Bodytext1"/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V souladu s čl. 46 odst. 2 nařízení (EU) 2019/787 byla Komisi svěřena pravomoc přijímat akty v přenesené pravomoci </w:t>
      </w:r>
      <w:r>
        <w:rPr>
          <w:rStyle w:val="Bodytext1"/>
          <w:rFonts w:ascii="Times New Roman" w:hAnsi="Times New Roman"/>
          <w:noProof/>
          <w:sz w:val="24"/>
        </w:rPr>
        <w:t>po dobu sedmi let ode dne 24. května 2019 podle</w:t>
      </w:r>
      <w:r>
        <w:rPr>
          <w:rFonts w:ascii="Times New Roman" w:hAnsi="Times New Roman"/>
          <w:noProof/>
          <w:sz w:val="24"/>
        </w:rPr>
        <w:t>:</w:t>
      </w:r>
    </w:p>
    <w:p w14:paraId="7AF23A14" w14:textId="6EE2D252" w:rsidR="002B20C5" w:rsidRPr="00E46FFC" w:rsidRDefault="002B20C5" w:rsidP="00A42F52">
      <w:pPr>
        <w:pStyle w:val="ListParagraph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Bodytext1"/>
          <w:rFonts w:ascii="Times New Roman" w:hAnsi="Times New Roman"/>
          <w:noProof/>
          <w:sz w:val="24"/>
        </w:rPr>
        <w:t xml:space="preserve">Ustanovení čl. 8 odst. 1: </w:t>
      </w:r>
      <w:r>
        <w:rPr>
          <w:rFonts w:ascii="Times New Roman" w:hAnsi="Times New Roman"/>
          <w:noProof/>
          <w:sz w:val="24"/>
        </w:rPr>
        <w:t xml:space="preserve">provést změny technických definic a požadavků stanovených v čl. 2 písm. f) a v článcích 4 a 5. Tyto akty v přenesené pravomoci jsou přísně omezeny na splnění prokázaných potřeb vyplývajících z vyvíjející se poptávky spotřebitelů, technologického pokroku nebo nutnosti inovace produktů. Komise musí pro každou technickou definici nebo požadavek přijmout samostatný akt v přenesené pravomoci; </w:t>
      </w:r>
    </w:p>
    <w:p w14:paraId="47E74D86" w14:textId="5A10EF5A" w:rsidR="003A2BA6" w:rsidRPr="00E46FFC" w:rsidRDefault="002B20C5" w:rsidP="00A42F52">
      <w:pPr>
        <w:pStyle w:val="Bodytext10"/>
        <w:numPr>
          <w:ilvl w:val="0"/>
          <w:numId w:val="10"/>
        </w:numPr>
        <w:ind w:left="993"/>
        <w:jc w:val="both"/>
        <w:rPr>
          <w:rStyle w:val="Bodytext1"/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Style w:val="Bodytext1"/>
          <w:rFonts w:ascii="Times New Roman" w:hAnsi="Times New Roman"/>
          <w:noProof/>
          <w:sz w:val="24"/>
        </w:rPr>
        <w:t>Ustanovení čl. 8 odst. 2: ve výjimečných případech, pokud to vyžadují právní předpisy dovážející třetí země, stanovit odchylky od požadavků stanovených v čl. 2 písm. f) a v článcích 4 a 5, požadavky podle kategorií lihovin uvedených v příloze I a zvláštní pravidla pro některé lihoviny stanovená v příloze II;</w:t>
      </w:r>
    </w:p>
    <w:p w14:paraId="1F50E8BD" w14:textId="79811BA5" w:rsidR="002B20C5" w:rsidRPr="003A2BA6" w:rsidRDefault="002B20C5" w:rsidP="00A42F52">
      <w:pPr>
        <w:pStyle w:val="Bodytext10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Bodytext1"/>
          <w:rFonts w:ascii="Times New Roman" w:hAnsi="Times New Roman"/>
          <w:noProof/>
          <w:sz w:val="24"/>
        </w:rPr>
        <w:t xml:space="preserve">Ustanovení čl. 8 odst. 3:  </w:t>
      </w:r>
      <w:r>
        <w:rPr>
          <w:rFonts w:ascii="Times New Roman" w:hAnsi="Times New Roman"/>
          <w:noProof/>
          <w:sz w:val="24"/>
        </w:rPr>
        <w:t>upřesněním, které jiné přírodní látky nebo zemědělské suroviny s podobným účinkem jako produkty uvedené v čl. 4 odst. 9 písm. a) až e) jsou v celé Unii povoleny jako sladidla při výrobě lihovin;</w:t>
      </w:r>
    </w:p>
    <w:p w14:paraId="21A71811" w14:textId="1AE42F90" w:rsidR="003752CD" w:rsidRPr="003A2BA6" w:rsidRDefault="003752CD" w:rsidP="00A42F52">
      <w:pPr>
        <w:pStyle w:val="Bodytext10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čl. 19 odst. 1: s cílem zohlednit tradiční dynamický proces stárnutí brandy v členských státech známý jako systém „criaderas y solera“ nebo systém „solera e criaderas“ uvedený v příloze III:</w:t>
      </w:r>
    </w:p>
    <w:p w14:paraId="791CDE65" w14:textId="5D7F4684" w:rsidR="003752CD" w:rsidRDefault="003752CD" w:rsidP="00A42F52">
      <w:pPr>
        <w:pStyle w:val="Bodytext10"/>
        <w:numPr>
          <w:ilvl w:val="0"/>
          <w:numId w:val="7"/>
        </w:numPr>
        <w:ind w:left="1418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stanovit odchylky od čl. 13 odst. 6 týkajících se specifikace doby zrání nebo stáří v popisu, obchodní úpravě nebo označení takové brandy; a dále</w:t>
      </w:r>
    </w:p>
    <w:p w14:paraId="23E23AE3" w14:textId="44250DCB" w:rsidR="003752CD" w:rsidRPr="003752CD" w:rsidRDefault="003752CD" w:rsidP="00A42F52">
      <w:pPr>
        <w:pStyle w:val="Bodytext10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stanovit vhodné kontrolní mechanismy pro takovou brandy.</w:t>
      </w:r>
    </w:p>
    <w:p w14:paraId="75A819FA" w14:textId="7419A30D" w:rsidR="004B181D" w:rsidRDefault="00BA607F" w:rsidP="00A42F52">
      <w:pPr>
        <w:pStyle w:val="Bodytext10"/>
        <w:ind w:left="993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e) </w:t>
      </w: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 xml:space="preserve">Ustanovení čl. 19 odst. 2: zřídit veřejný rejstřík obsahující seznam subjektů jmenovaných každým členským státem k dohledu nad procesy stárnutí, jak je stanoveno v čl. 13 odst. 6. </w:t>
      </w:r>
    </w:p>
    <w:p w14:paraId="20902414" w14:textId="29558947" w:rsidR="00BA607F" w:rsidRDefault="00BA607F" w:rsidP="00A42F52">
      <w:pPr>
        <w:pStyle w:val="Bodytext1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Komise je povinna vypracovat zprávu o přenesení pravomoci nejpozději devět měsíců před koncem sedmiletého období. Přenesení pravomoci se automaticky prodlužuje o stejně dlouhá období, pokud Evropský parlament nebo Rada nevysloví proti tomuto prodloužení námitku nejpozději tři měsíce před koncem každého z těchto období.</w:t>
      </w:r>
    </w:p>
    <w:p w14:paraId="57BA5FD0" w14:textId="24A35EE3" w:rsidR="00E20F34" w:rsidRDefault="00E20F34" w:rsidP="00A42F52">
      <w:pPr>
        <w:pStyle w:val="Bodytext1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Tato zpráva popisuje činnost Komise v období od </w:t>
      </w:r>
      <w:r>
        <w:rPr>
          <w:rStyle w:val="Bodytext1"/>
          <w:rFonts w:ascii="Times New Roman" w:hAnsi="Times New Roman"/>
          <w:noProof/>
          <w:sz w:val="24"/>
        </w:rPr>
        <w:t>24. května 2019</w:t>
      </w:r>
      <w:r>
        <w:rPr>
          <w:rFonts w:ascii="Times New Roman" w:hAnsi="Times New Roman"/>
          <w:noProof/>
          <w:sz w:val="24"/>
        </w:rPr>
        <w:t>.</w:t>
      </w:r>
    </w:p>
    <w:p w14:paraId="4CF990BE" w14:textId="77777777" w:rsidR="004B181D" w:rsidRPr="001623A2" w:rsidRDefault="004B181D" w:rsidP="004B181D">
      <w:pPr>
        <w:pStyle w:val="Heading110"/>
        <w:keepNext/>
        <w:keepLines/>
        <w:numPr>
          <w:ilvl w:val="0"/>
          <w:numId w:val="1"/>
        </w:numPr>
        <w:tabs>
          <w:tab w:val="left" w:pos="552"/>
        </w:tabs>
        <w:jc w:val="both"/>
        <w:rPr>
          <w:rStyle w:val="Heading11"/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Style w:val="Heading11"/>
          <w:rFonts w:ascii="Times New Roman" w:hAnsi="Times New Roman"/>
          <w:smallCaps/>
          <w:noProof/>
          <w:sz w:val="24"/>
        </w:rPr>
        <w:t xml:space="preserve">Výkon přenesené pravomoci  </w:t>
      </w:r>
    </w:p>
    <w:p w14:paraId="62809573" w14:textId="09FE59D8" w:rsidR="001623A2" w:rsidRDefault="00705AE1" w:rsidP="00BA607F">
      <w:pPr>
        <w:pStyle w:val="Bodytext10"/>
        <w:ind w:left="580"/>
        <w:jc w:val="both"/>
        <w:rPr>
          <w:rStyle w:val="Bodytext1"/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Během období, na které se vztahuje tato zpráva, Komise nevyužila přenesené pravomoci, které jí byly svěřeny podle čl. 8 odst. 2, čl. 8 odst. 3 a čl. 19 odst. 1 nařízení (EU) 2019/787. Komise však využila přenesení pravomocí v oblastech, na něž se vztahuje čl. 8 odst. 1 a čl. 19 odst. 2, přijetím dvou </w:t>
      </w:r>
      <w:r>
        <w:rPr>
          <w:rStyle w:val="Bodytext1"/>
          <w:rFonts w:ascii="Times New Roman" w:hAnsi="Times New Roman"/>
          <w:noProof/>
          <w:sz w:val="24"/>
        </w:rPr>
        <w:t>nařízení v přenesené pravomoci</w:t>
      </w:r>
      <w:r>
        <w:rPr>
          <w:rFonts w:ascii="Times New Roman" w:hAnsi="Times New Roman"/>
          <w:noProof/>
          <w:sz w:val="24"/>
        </w:rPr>
        <w:t>:</w:t>
      </w:r>
    </w:p>
    <w:p w14:paraId="47D6D079" w14:textId="3E71DC93" w:rsidR="00705AE1" w:rsidRDefault="001623A2" w:rsidP="00A42F52">
      <w:pPr>
        <w:pStyle w:val="Bodytext10"/>
        <w:numPr>
          <w:ilvl w:val="0"/>
          <w:numId w:val="11"/>
        </w:numPr>
        <w:jc w:val="both"/>
        <w:rPr>
          <w:rStyle w:val="Bodytext1"/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Style w:val="Bodytext1"/>
          <w:rFonts w:ascii="Times New Roman" w:hAnsi="Times New Roman"/>
          <w:noProof/>
          <w:sz w:val="24"/>
        </w:rPr>
        <w:t>Nařízení Komise v přenesené pravomoci (EU) 2022/1303 ze dne 25. dubna 2022, kterým se mění nařízení Evropského parlamentu a Rady (EU) 2019/787, pokud jde o definici a požadavky na líh zemědělského původu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Style w:val="Bodytext1"/>
          <w:rFonts w:ascii="Times New Roman" w:hAnsi="Times New Roman"/>
          <w:noProof/>
          <w:sz w:val="24"/>
        </w:rPr>
        <w:t xml:space="preserve"> a</w:t>
      </w:r>
    </w:p>
    <w:p w14:paraId="0F79C5B5" w14:textId="0A7D21F3" w:rsidR="00705AE1" w:rsidRDefault="00705AE1" w:rsidP="00A42F52">
      <w:pPr>
        <w:pStyle w:val="Bodytext10"/>
        <w:numPr>
          <w:ilvl w:val="0"/>
          <w:numId w:val="11"/>
        </w:numPr>
        <w:jc w:val="both"/>
        <w:rPr>
          <w:rStyle w:val="Bodytext1"/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Style w:val="Bodytext1"/>
          <w:rFonts w:ascii="Times New Roman" w:hAnsi="Times New Roman"/>
          <w:noProof/>
          <w:sz w:val="24"/>
        </w:rPr>
        <w:t>nařízení Komise v přenesené pravomoci (EU) 2021/723 ze dne 26. února 2021, kterým se doplňuje nařízení Evropského parlamentu a Rady (EU) 2019/787, pokud jde o zřízení veřejného rejstříku obsahujícího seznam subjektů pověřených dozorem nad procesy staření lihovin v každém členském státě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"/>
      </w:r>
    </w:p>
    <w:p w14:paraId="038D55A5" w14:textId="5E14F793" w:rsidR="001623A2" w:rsidRDefault="001623A2" w:rsidP="001623A2">
      <w:pPr>
        <w:pStyle w:val="Bodytext10"/>
        <w:ind w:left="580"/>
        <w:jc w:val="both"/>
        <w:rPr>
          <w:rStyle w:val="Bodytext1"/>
          <w:rFonts w:ascii="Times New Roman" w:hAnsi="Times New Roman" w:cs="Times New Roman"/>
          <w:noProof/>
          <w:sz w:val="24"/>
          <w:szCs w:val="24"/>
        </w:rPr>
      </w:pPr>
      <w:r>
        <w:rPr>
          <w:rStyle w:val="Bodytext1"/>
          <w:rFonts w:ascii="Times New Roman" w:hAnsi="Times New Roman"/>
          <w:noProof/>
          <w:sz w:val="24"/>
        </w:rPr>
        <w:t>Oba akty byly oznámeny Evropskému parlamentu a Radě, aby spolunormotvůrci mohli do dvou měsíců od oznámení vyjádřit případné námitky. Evropský parlament ani Rada nevznesly námitky proti žádnému z těchto dvou nařízení v přenesené pravomoci, která byla po uplynutí příslušného období přezkumu zveřejněna v Úředním věstníku Evropské unie.</w:t>
      </w:r>
    </w:p>
    <w:p w14:paraId="7E5AA913" w14:textId="0C41EA7A" w:rsidR="001623A2" w:rsidRPr="001623A2" w:rsidRDefault="001623A2" w:rsidP="001623A2">
      <w:pPr>
        <w:pStyle w:val="Heading110"/>
        <w:keepNext/>
        <w:keepLines/>
        <w:numPr>
          <w:ilvl w:val="0"/>
          <w:numId w:val="1"/>
        </w:numPr>
        <w:tabs>
          <w:tab w:val="left" w:pos="552"/>
        </w:tabs>
        <w:jc w:val="both"/>
        <w:rPr>
          <w:rStyle w:val="Heading11"/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Style w:val="Heading11"/>
          <w:rFonts w:ascii="Times New Roman" w:hAnsi="Times New Roman"/>
          <w:smallCaps/>
          <w:noProof/>
          <w:sz w:val="24"/>
        </w:rPr>
        <w:t>Současná situace</w:t>
      </w:r>
    </w:p>
    <w:p w14:paraId="3CE7C12E" w14:textId="0E4B1977" w:rsidR="000E6959" w:rsidRDefault="000E6959" w:rsidP="000E6959">
      <w:pPr>
        <w:pStyle w:val="Bodytext10"/>
        <w:ind w:left="580"/>
        <w:jc w:val="both"/>
        <w:rPr>
          <w:rStyle w:val="Bodytext1"/>
          <w:rFonts w:ascii="Times New Roman" w:hAnsi="Times New Roman" w:cs="Times New Roman"/>
          <w:noProof/>
          <w:sz w:val="24"/>
          <w:szCs w:val="24"/>
        </w:rPr>
      </w:pPr>
      <w:r>
        <w:rPr>
          <w:rStyle w:val="Bodytext1"/>
          <w:rFonts w:ascii="Times New Roman" w:hAnsi="Times New Roman"/>
          <w:noProof/>
          <w:sz w:val="24"/>
        </w:rPr>
        <w:t>Obě výše uvedená nařízení v přenesené pravomoci uspokojivě dosáhla cíle, kterým je doplnit  a pozměnit nařízení (EU) č. 2019/787, pokud jde o pravidla nezbytná pro jeho řádné a účinné fungování.</w:t>
      </w:r>
    </w:p>
    <w:p w14:paraId="1F0B0D71" w14:textId="58EE98DD" w:rsidR="000E6959" w:rsidRDefault="000E6959" w:rsidP="000E6959">
      <w:pPr>
        <w:pStyle w:val="Bodytext10"/>
        <w:ind w:left="580"/>
        <w:jc w:val="both"/>
        <w:rPr>
          <w:rStyle w:val="Bodytext1"/>
          <w:rFonts w:ascii="Times New Roman" w:hAnsi="Times New Roman" w:cs="Times New Roman"/>
          <w:noProof/>
          <w:sz w:val="24"/>
          <w:szCs w:val="24"/>
        </w:rPr>
      </w:pPr>
      <w:r>
        <w:rPr>
          <w:rStyle w:val="Bodytext1"/>
          <w:rFonts w:ascii="Times New Roman" w:hAnsi="Times New Roman"/>
          <w:noProof/>
          <w:sz w:val="24"/>
        </w:rPr>
        <w:t>Ačkoli během tří a čtyř let jejich uplatňování nebyly zaznamenány žádné obtíže při uplatňování a výkladu obou výše uvedených nařízení v přenesené pravomoci, právní, hospodářský a faktický kontext, který je pro tato pravidla relevantní (zejména ta, která se týkají definice lihu zemědělského původu a požadavků na něj), se neustále vyvíjí.</w:t>
      </w:r>
    </w:p>
    <w:p w14:paraId="47BEEE81" w14:textId="77777777" w:rsidR="00876397" w:rsidRDefault="000E6959" w:rsidP="00876397">
      <w:pPr>
        <w:pStyle w:val="Bodytext10"/>
        <w:ind w:left="580"/>
        <w:jc w:val="both"/>
        <w:rPr>
          <w:rStyle w:val="Bodytext1"/>
          <w:rFonts w:ascii="Times New Roman" w:hAnsi="Times New Roman" w:cs="Times New Roman"/>
          <w:noProof/>
          <w:sz w:val="24"/>
          <w:szCs w:val="24"/>
        </w:rPr>
      </w:pPr>
      <w:r>
        <w:rPr>
          <w:rStyle w:val="Bodytext1"/>
          <w:rFonts w:ascii="Times New Roman" w:hAnsi="Times New Roman"/>
          <w:noProof/>
          <w:sz w:val="24"/>
        </w:rPr>
        <w:t>Kromě toho, ačkoli ostatní zmocnění uvedená v čl. 8 odst. 2, čl. 8 odst. 3 a čl. 19 odst. 1 legislativního aktu nebyla použita buď proto, že se nevyskytla žádná potřeba nebo odůvodnění, nebo proto, že konzultace se skupinou odborníků pro lihoviny v souladu s článkem 46 nařízení o lihovinách ukázala, že nebylo možné předložit předběžný návrh z důvodu rozdílných postojů/analýzy, nelze vyloučit, že taková potřeba může v budoucnu nastat.</w:t>
      </w:r>
    </w:p>
    <w:p w14:paraId="6AF865A9" w14:textId="62CF5A0F" w:rsidR="000E6959" w:rsidRDefault="000E6959" w:rsidP="00876397">
      <w:pPr>
        <w:pStyle w:val="Bodytext10"/>
        <w:ind w:left="580"/>
        <w:jc w:val="both"/>
        <w:rPr>
          <w:rStyle w:val="Bodytext1"/>
          <w:rFonts w:ascii="Times New Roman" w:hAnsi="Times New Roman" w:cs="Times New Roman"/>
          <w:noProof/>
          <w:sz w:val="24"/>
          <w:szCs w:val="24"/>
        </w:rPr>
      </w:pPr>
      <w:r>
        <w:rPr>
          <w:rStyle w:val="Bodytext1"/>
          <w:rFonts w:ascii="Times New Roman" w:hAnsi="Times New Roman"/>
          <w:noProof/>
          <w:sz w:val="24"/>
        </w:rPr>
        <w:t xml:space="preserve">Z těchto důvodů je vhodné prodloužit přenesení pravomocí o další sedmileté období, aby Komise mohla rychle reagovat na případné konkrétní otázky, které mohou v tomto ohledu vyvstat. </w:t>
      </w:r>
    </w:p>
    <w:p w14:paraId="73B72466" w14:textId="77777777" w:rsidR="004B181D" w:rsidRPr="00F64939" w:rsidRDefault="004B181D" w:rsidP="004B181D">
      <w:pPr>
        <w:pStyle w:val="Heading110"/>
        <w:keepNext/>
        <w:keepLines/>
        <w:numPr>
          <w:ilvl w:val="0"/>
          <w:numId w:val="1"/>
        </w:numPr>
        <w:tabs>
          <w:tab w:val="left" w:pos="557"/>
        </w:tabs>
        <w:jc w:val="both"/>
        <w:rPr>
          <w:rStyle w:val="Heading11"/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Style w:val="Heading11"/>
          <w:rFonts w:ascii="Times New Roman" w:hAnsi="Times New Roman"/>
          <w:noProof/>
          <w:sz w:val="24"/>
        </w:rPr>
        <w:t>ZÁVĚR</w:t>
      </w:r>
    </w:p>
    <w:p w14:paraId="3F85803B" w14:textId="74194E52" w:rsidR="00BC51EE" w:rsidRPr="000E6959" w:rsidRDefault="00F64939" w:rsidP="00876397">
      <w:pPr>
        <w:pStyle w:val="Bodytext10"/>
        <w:ind w:left="567"/>
        <w:jc w:val="both"/>
        <w:rPr>
          <w:noProof/>
        </w:rPr>
      </w:pPr>
      <w:r>
        <w:rPr>
          <w:rStyle w:val="Bodytext1"/>
          <w:rFonts w:ascii="Times New Roman" w:hAnsi="Times New Roman"/>
          <w:noProof/>
          <w:sz w:val="24"/>
        </w:rPr>
        <w:t>V období, na které se vztahuje tato zpráva, Komise vykonávala přenesené pravomoci, které jí byly svěřeny článkem 8 odst. 1 a článkem 19 odst. 2 nařízení (EU) 2019/787. Komise vyzývá Evropský parlament a Radu, aby tuto zprávu vzaly na vědomí.</w:t>
      </w:r>
    </w:p>
    <w:sectPr w:rsidR="00BC51EE" w:rsidRPr="000E6959" w:rsidSect="007F1C6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32E71" w14:textId="77777777" w:rsidR="00BD2834" w:rsidRDefault="00BD2834" w:rsidP="004B181D">
      <w:pPr>
        <w:spacing w:after="0" w:line="240" w:lineRule="auto"/>
      </w:pPr>
      <w:r>
        <w:separator/>
      </w:r>
    </w:p>
  </w:endnote>
  <w:endnote w:type="continuationSeparator" w:id="0">
    <w:p w14:paraId="4123EBF1" w14:textId="77777777" w:rsidR="00BD2834" w:rsidRDefault="00BD2834" w:rsidP="004B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DD68" w14:textId="4F7E4A7C" w:rsidR="005433A5" w:rsidRPr="005433A5" w:rsidRDefault="005433A5" w:rsidP="005433A5">
    <w:pPr>
      <w:pStyle w:val="FooterCoverPage"/>
      <w:rPr>
        <w:rFonts w:ascii="Arial" w:hAnsi="Arial" w:cs="Arial"/>
        <w:b/>
        <w:sz w:val="48"/>
      </w:rPr>
    </w:pPr>
    <w:r w:rsidRPr="005433A5">
      <w:rPr>
        <w:rFonts w:ascii="Arial" w:hAnsi="Arial" w:cs="Arial"/>
        <w:b/>
        <w:sz w:val="48"/>
      </w:rPr>
      <w:t>CS</w:t>
    </w:r>
    <w:r w:rsidRPr="005433A5">
      <w:rPr>
        <w:rFonts w:ascii="Arial" w:hAnsi="Arial" w:cs="Arial"/>
        <w:b/>
        <w:sz w:val="48"/>
      </w:rPr>
      <w:tab/>
    </w:r>
    <w:r w:rsidRPr="005433A5">
      <w:rPr>
        <w:rFonts w:ascii="Arial" w:hAnsi="Arial" w:cs="Arial"/>
        <w:b/>
        <w:sz w:val="48"/>
      </w:rPr>
      <w:tab/>
    </w:r>
    <w:r w:rsidRPr="005433A5">
      <w:tab/>
    </w:r>
    <w:r w:rsidRPr="005433A5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1E45" w14:textId="405CF196" w:rsidR="005433A5" w:rsidRPr="005433A5" w:rsidRDefault="005433A5" w:rsidP="005433A5">
    <w:pPr>
      <w:pStyle w:val="FooterCoverPage"/>
      <w:rPr>
        <w:rFonts w:ascii="Arial" w:hAnsi="Arial" w:cs="Arial"/>
        <w:b/>
        <w:sz w:val="48"/>
      </w:rPr>
    </w:pPr>
    <w:r w:rsidRPr="005433A5">
      <w:rPr>
        <w:rFonts w:ascii="Arial" w:hAnsi="Arial" w:cs="Arial"/>
        <w:b/>
        <w:sz w:val="48"/>
      </w:rPr>
      <w:t>CS</w:t>
    </w:r>
    <w:r w:rsidRPr="005433A5">
      <w:rPr>
        <w:rFonts w:ascii="Arial" w:hAnsi="Arial" w:cs="Arial"/>
        <w:b/>
        <w:sz w:val="48"/>
      </w:rPr>
      <w:tab/>
    </w:r>
    <w:r w:rsidRPr="005433A5">
      <w:rPr>
        <w:rFonts w:ascii="Arial" w:hAnsi="Arial" w:cs="Arial"/>
        <w:b/>
        <w:sz w:val="48"/>
      </w:rPr>
      <w:tab/>
    </w:r>
    <w:r w:rsidRPr="005433A5">
      <w:tab/>
    </w:r>
    <w:r w:rsidRPr="005433A5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0D99" w14:textId="77777777" w:rsidR="005433A5" w:rsidRPr="005433A5" w:rsidRDefault="005433A5" w:rsidP="005433A5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28662" w14:textId="77777777" w:rsidR="007F1C63" w:rsidRDefault="007F1C6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A3CB6" w14:textId="20547CB7" w:rsidR="00F704C0" w:rsidRPr="00F704C0" w:rsidRDefault="00F704C0">
    <w:pPr>
      <w:pStyle w:val="Footer"/>
      <w:jc w:val="center"/>
      <w:rPr>
        <w:rFonts w:ascii="Times New Roman" w:hAnsi="Times New Roman" w:cs="Times New Roman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PAGE   \* MERGEFORMAT </w:instrText>
    </w:r>
    <w:r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5433A5">
      <w:rPr>
        <w:rFonts w:ascii="Times New Roman" w:hAnsi="Times New Roman" w:cs="Times New Roman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3545C194" w14:textId="77777777" w:rsidR="007F1C63" w:rsidRDefault="007F1C6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93F9C" w14:textId="77777777" w:rsidR="007F1C63" w:rsidRDefault="007F1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6AB21" w14:textId="77777777" w:rsidR="00BD2834" w:rsidRDefault="00BD2834" w:rsidP="004B181D">
      <w:pPr>
        <w:spacing w:after="0" w:line="240" w:lineRule="auto"/>
      </w:pPr>
      <w:r>
        <w:separator/>
      </w:r>
    </w:p>
  </w:footnote>
  <w:footnote w:type="continuationSeparator" w:id="0">
    <w:p w14:paraId="17695969" w14:textId="77777777" w:rsidR="00BD2834" w:rsidRDefault="00BD2834" w:rsidP="004B181D">
      <w:pPr>
        <w:spacing w:after="0" w:line="240" w:lineRule="auto"/>
      </w:pPr>
      <w:r>
        <w:continuationSeparator/>
      </w:r>
    </w:p>
  </w:footnote>
  <w:footnote w:id="1">
    <w:p w14:paraId="77C09C5B" w14:textId="77777777" w:rsidR="009B08C7" w:rsidRDefault="009B08C7" w:rsidP="00BC472B">
      <w:pPr>
        <w:pStyle w:val="title-bold"/>
        <w:shd w:val="clear" w:color="auto" w:fill="FFFFFF"/>
        <w:spacing w:after="0"/>
        <w:ind w:left="709" w:hanging="567"/>
        <w:jc w:val="both"/>
        <w:rPr>
          <w:rStyle w:val="Emphasis"/>
          <w:color w:val="333333"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t>Nařízení Evropského parlamentu a Rady (EU) 2019/787 ze dne 17. dubna 2019 o definici, popisu, obchodní úpravě a označování lihovin, používání názvů lihovin v obchodní úpravě a při označování jiných potravin, ochraně zeměpisných označení lihovin, používání lihu a destilátů zemědělského původu při výrobě alkoholických nápojů a o zrušení nařízení (ES) č. 110/2008 (Úř. věst. L 130, 17.5.2019, s. 1).</w:t>
      </w:r>
      <w:hyperlink r:id="rId1" w:history="1">
        <w:r>
          <w:rPr>
            <w:rStyle w:val="Hyperlink"/>
            <w:sz w:val="20"/>
          </w:rPr>
          <w:t>https://eur-lex.europa.eu/eli/reg/2019/787/oj</w:t>
        </w:r>
      </w:hyperlink>
      <w:r>
        <w:rPr>
          <w:sz w:val="20"/>
        </w:rPr>
        <w:t>.</w:t>
      </w:r>
    </w:p>
    <w:p w14:paraId="333B4945" w14:textId="77777777" w:rsidR="009B08C7" w:rsidRPr="00E97588" w:rsidRDefault="009B08C7" w:rsidP="009B08C7">
      <w:pPr>
        <w:pStyle w:val="title-bold"/>
        <w:shd w:val="clear" w:color="auto" w:fill="FFFFFF"/>
        <w:spacing w:after="0"/>
        <w:jc w:val="both"/>
        <w:rPr>
          <w:color w:val="333333"/>
          <w:sz w:val="20"/>
          <w:szCs w:val="20"/>
        </w:rPr>
      </w:pPr>
    </w:p>
  </w:footnote>
  <w:footnote w:id="2">
    <w:p w14:paraId="511D1581" w14:textId="77777777" w:rsidR="001623A2" w:rsidRPr="002207C1" w:rsidRDefault="001623A2" w:rsidP="00BC472B">
      <w:pPr>
        <w:pStyle w:val="FootnoteText"/>
        <w:ind w:left="709" w:hanging="567"/>
        <w:jc w:val="both"/>
      </w:pPr>
      <w:r>
        <w:rPr>
          <w:rStyle w:val="FootnoteReference"/>
        </w:rPr>
        <w:footnoteRef/>
      </w:r>
      <w:r>
        <w:t>Nařízení Komise v přenesené pravomoci (EU) 2022/1303 ze dne 25. dubna 2022, kterým se mění nařízení Evropského parlamentu a Rady (EU) 2019/787, pokud jde o definici a požadavky na líh zemědělského původu (Úř. věst. L 197, 26.7.2022, s. 71).</w:t>
      </w:r>
      <w:hyperlink r:id="rId2" w:tooltip="Umožňuje přístup k tomuto dokumentu prostřednictvím jeho identifikátoru ELI URI." w:history="1">
        <w:r>
          <w:rPr>
            <w:rStyle w:val="Hyperlink"/>
          </w:rPr>
          <w:t>http://data.europa.eu/eli/reg_del/2022/1303/oj</w:t>
        </w:r>
      </w:hyperlink>
      <w:r>
        <w:t>.</w:t>
      </w:r>
    </w:p>
  </w:footnote>
  <w:footnote w:id="3">
    <w:p w14:paraId="4DA26115" w14:textId="77777777" w:rsidR="00705AE1" w:rsidRPr="001623A2" w:rsidRDefault="00705AE1" w:rsidP="00BC472B">
      <w:pPr>
        <w:pStyle w:val="FootnoteText"/>
        <w:ind w:left="709" w:hanging="567"/>
        <w:jc w:val="both"/>
      </w:pPr>
      <w:r>
        <w:rPr>
          <w:rStyle w:val="FootnoteReference"/>
        </w:rPr>
        <w:footnoteRef/>
      </w:r>
      <w:r>
        <w:t>nařízení Komise v přenesené pravomoci (EU) 2021/723 ze dne 26. února 2021, kterým se doplňuje nařízení Evropského parlamentu a Rady (EU) 2019/787, pokud jde o zřízení veřejného rejstříku obsahujícího seznam subjektů pověřených dozorem nad procesy staření lihovin v každém členském státě (Úř. věst. L 155, 5.5.2021, s. 1).</w:t>
      </w:r>
      <w:hyperlink r:id="rId3" w:tooltip="Umožňuje přístup k tomuto dokumentu prostřednictvím jeho identifikátoru ELI URI." w:history="1">
        <w:r>
          <w:rPr>
            <w:rStyle w:val="Hyperlink"/>
          </w:rPr>
          <w:t>http://data.europa.eu/eli/reg_del/2021/723/oj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3CA6D" w14:textId="77777777" w:rsidR="005433A5" w:rsidRPr="005433A5" w:rsidRDefault="005433A5" w:rsidP="005433A5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17C5" w14:textId="77777777" w:rsidR="005433A5" w:rsidRPr="005433A5" w:rsidRDefault="005433A5" w:rsidP="005433A5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3BBB" w14:textId="77777777" w:rsidR="005433A5" w:rsidRPr="005433A5" w:rsidRDefault="005433A5" w:rsidP="005433A5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7659" w14:textId="77777777" w:rsidR="007F1C63" w:rsidRDefault="007F1C6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E87C" w14:textId="77777777" w:rsidR="007F1C63" w:rsidRDefault="007F1C6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AA1B" w14:textId="77777777" w:rsidR="007F1C63" w:rsidRDefault="007F1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60F"/>
    <w:multiLevelType w:val="hybridMultilevel"/>
    <w:tmpl w:val="24F08FEA"/>
    <w:lvl w:ilvl="0" w:tplc="4E102B94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60" w:hanging="360"/>
      </w:pPr>
    </w:lvl>
    <w:lvl w:ilvl="2" w:tplc="1809001B" w:tentative="1">
      <w:start w:val="1"/>
      <w:numFmt w:val="lowerRoman"/>
      <w:lvlText w:val="%3."/>
      <w:lvlJc w:val="right"/>
      <w:pPr>
        <w:ind w:left="2380" w:hanging="180"/>
      </w:pPr>
    </w:lvl>
    <w:lvl w:ilvl="3" w:tplc="1809000F" w:tentative="1">
      <w:start w:val="1"/>
      <w:numFmt w:val="decimal"/>
      <w:lvlText w:val="%4."/>
      <w:lvlJc w:val="left"/>
      <w:pPr>
        <w:ind w:left="3100" w:hanging="360"/>
      </w:pPr>
    </w:lvl>
    <w:lvl w:ilvl="4" w:tplc="18090019" w:tentative="1">
      <w:start w:val="1"/>
      <w:numFmt w:val="lowerLetter"/>
      <w:lvlText w:val="%5."/>
      <w:lvlJc w:val="left"/>
      <w:pPr>
        <w:ind w:left="3820" w:hanging="360"/>
      </w:pPr>
    </w:lvl>
    <w:lvl w:ilvl="5" w:tplc="1809001B" w:tentative="1">
      <w:start w:val="1"/>
      <w:numFmt w:val="lowerRoman"/>
      <w:lvlText w:val="%6."/>
      <w:lvlJc w:val="right"/>
      <w:pPr>
        <w:ind w:left="4540" w:hanging="180"/>
      </w:pPr>
    </w:lvl>
    <w:lvl w:ilvl="6" w:tplc="1809000F" w:tentative="1">
      <w:start w:val="1"/>
      <w:numFmt w:val="decimal"/>
      <w:lvlText w:val="%7."/>
      <w:lvlJc w:val="left"/>
      <w:pPr>
        <w:ind w:left="5260" w:hanging="360"/>
      </w:pPr>
    </w:lvl>
    <w:lvl w:ilvl="7" w:tplc="18090019" w:tentative="1">
      <w:start w:val="1"/>
      <w:numFmt w:val="lowerLetter"/>
      <w:lvlText w:val="%8."/>
      <w:lvlJc w:val="left"/>
      <w:pPr>
        <w:ind w:left="5980" w:hanging="360"/>
      </w:pPr>
    </w:lvl>
    <w:lvl w:ilvl="8" w:tplc="1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11285974"/>
    <w:multiLevelType w:val="hybridMultilevel"/>
    <w:tmpl w:val="8F60BE82"/>
    <w:lvl w:ilvl="0" w:tplc="2A9628D4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20" w:hanging="360"/>
      </w:pPr>
    </w:lvl>
    <w:lvl w:ilvl="2" w:tplc="1809001B" w:tentative="1">
      <w:start w:val="1"/>
      <w:numFmt w:val="lowerRoman"/>
      <w:lvlText w:val="%3."/>
      <w:lvlJc w:val="right"/>
      <w:pPr>
        <w:ind w:left="2740" w:hanging="180"/>
      </w:pPr>
    </w:lvl>
    <w:lvl w:ilvl="3" w:tplc="1809000F" w:tentative="1">
      <w:start w:val="1"/>
      <w:numFmt w:val="decimal"/>
      <w:lvlText w:val="%4."/>
      <w:lvlJc w:val="left"/>
      <w:pPr>
        <w:ind w:left="3460" w:hanging="360"/>
      </w:pPr>
    </w:lvl>
    <w:lvl w:ilvl="4" w:tplc="18090019" w:tentative="1">
      <w:start w:val="1"/>
      <w:numFmt w:val="lowerLetter"/>
      <w:lvlText w:val="%5."/>
      <w:lvlJc w:val="left"/>
      <w:pPr>
        <w:ind w:left="4180" w:hanging="360"/>
      </w:pPr>
    </w:lvl>
    <w:lvl w:ilvl="5" w:tplc="1809001B" w:tentative="1">
      <w:start w:val="1"/>
      <w:numFmt w:val="lowerRoman"/>
      <w:lvlText w:val="%6."/>
      <w:lvlJc w:val="right"/>
      <w:pPr>
        <w:ind w:left="4900" w:hanging="180"/>
      </w:pPr>
    </w:lvl>
    <w:lvl w:ilvl="6" w:tplc="1809000F" w:tentative="1">
      <w:start w:val="1"/>
      <w:numFmt w:val="decimal"/>
      <w:lvlText w:val="%7."/>
      <w:lvlJc w:val="left"/>
      <w:pPr>
        <w:ind w:left="5620" w:hanging="360"/>
      </w:pPr>
    </w:lvl>
    <w:lvl w:ilvl="7" w:tplc="18090019" w:tentative="1">
      <w:start w:val="1"/>
      <w:numFmt w:val="lowerLetter"/>
      <w:lvlText w:val="%8."/>
      <w:lvlJc w:val="left"/>
      <w:pPr>
        <w:ind w:left="6340" w:hanging="360"/>
      </w:pPr>
    </w:lvl>
    <w:lvl w:ilvl="8" w:tplc="1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 w15:restartNumberingAfterBreak="0">
    <w:nsid w:val="2F58072F"/>
    <w:multiLevelType w:val="hybridMultilevel"/>
    <w:tmpl w:val="91469B5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55B9"/>
    <w:multiLevelType w:val="hybridMultilevel"/>
    <w:tmpl w:val="E5F47766"/>
    <w:lvl w:ilvl="0" w:tplc="254C2E6A">
      <w:start w:val="4"/>
      <w:numFmt w:val="bullet"/>
      <w:lvlText w:val="-"/>
      <w:lvlJc w:val="left"/>
      <w:pPr>
        <w:ind w:left="94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4C7D2AAA"/>
    <w:multiLevelType w:val="hybridMultilevel"/>
    <w:tmpl w:val="DA3A7832"/>
    <w:lvl w:ilvl="0" w:tplc="18090017">
      <w:start w:val="1"/>
      <w:numFmt w:val="lowerLetter"/>
      <w:lvlText w:val="%1)"/>
      <w:lvlJc w:val="left"/>
      <w:pPr>
        <w:ind w:left="2265" w:hanging="360"/>
      </w:pPr>
    </w:lvl>
    <w:lvl w:ilvl="1" w:tplc="18090019" w:tentative="1">
      <w:start w:val="1"/>
      <w:numFmt w:val="lowerLetter"/>
      <w:lvlText w:val="%2."/>
      <w:lvlJc w:val="left"/>
      <w:pPr>
        <w:ind w:left="2985" w:hanging="360"/>
      </w:pPr>
    </w:lvl>
    <w:lvl w:ilvl="2" w:tplc="1809001B" w:tentative="1">
      <w:start w:val="1"/>
      <w:numFmt w:val="lowerRoman"/>
      <w:lvlText w:val="%3."/>
      <w:lvlJc w:val="right"/>
      <w:pPr>
        <w:ind w:left="3705" w:hanging="180"/>
      </w:pPr>
    </w:lvl>
    <w:lvl w:ilvl="3" w:tplc="1809000F" w:tentative="1">
      <w:start w:val="1"/>
      <w:numFmt w:val="decimal"/>
      <w:lvlText w:val="%4."/>
      <w:lvlJc w:val="left"/>
      <w:pPr>
        <w:ind w:left="4425" w:hanging="360"/>
      </w:pPr>
    </w:lvl>
    <w:lvl w:ilvl="4" w:tplc="18090019" w:tentative="1">
      <w:start w:val="1"/>
      <w:numFmt w:val="lowerLetter"/>
      <w:lvlText w:val="%5."/>
      <w:lvlJc w:val="left"/>
      <w:pPr>
        <w:ind w:left="5145" w:hanging="360"/>
      </w:pPr>
    </w:lvl>
    <w:lvl w:ilvl="5" w:tplc="1809001B" w:tentative="1">
      <w:start w:val="1"/>
      <w:numFmt w:val="lowerRoman"/>
      <w:lvlText w:val="%6."/>
      <w:lvlJc w:val="right"/>
      <w:pPr>
        <w:ind w:left="5865" w:hanging="180"/>
      </w:pPr>
    </w:lvl>
    <w:lvl w:ilvl="6" w:tplc="1809000F" w:tentative="1">
      <w:start w:val="1"/>
      <w:numFmt w:val="decimal"/>
      <w:lvlText w:val="%7."/>
      <w:lvlJc w:val="left"/>
      <w:pPr>
        <w:ind w:left="6585" w:hanging="360"/>
      </w:pPr>
    </w:lvl>
    <w:lvl w:ilvl="7" w:tplc="18090019" w:tentative="1">
      <w:start w:val="1"/>
      <w:numFmt w:val="lowerLetter"/>
      <w:lvlText w:val="%8."/>
      <w:lvlJc w:val="left"/>
      <w:pPr>
        <w:ind w:left="7305" w:hanging="360"/>
      </w:pPr>
    </w:lvl>
    <w:lvl w:ilvl="8" w:tplc="1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5" w15:restartNumberingAfterBreak="0">
    <w:nsid w:val="527E6BAE"/>
    <w:multiLevelType w:val="hybridMultilevel"/>
    <w:tmpl w:val="5EA2F92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72016"/>
    <w:multiLevelType w:val="hybridMultilevel"/>
    <w:tmpl w:val="5378B5A4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A19A9"/>
    <w:multiLevelType w:val="hybridMultilevel"/>
    <w:tmpl w:val="C434AECA"/>
    <w:lvl w:ilvl="0" w:tplc="18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8" w15:restartNumberingAfterBreak="0">
    <w:nsid w:val="5B145B3C"/>
    <w:multiLevelType w:val="hybridMultilevel"/>
    <w:tmpl w:val="B4746C0E"/>
    <w:lvl w:ilvl="0" w:tplc="D99A7472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20" w:hanging="360"/>
      </w:pPr>
    </w:lvl>
    <w:lvl w:ilvl="2" w:tplc="1809001B" w:tentative="1">
      <w:start w:val="1"/>
      <w:numFmt w:val="lowerRoman"/>
      <w:lvlText w:val="%3."/>
      <w:lvlJc w:val="right"/>
      <w:pPr>
        <w:ind w:left="2740" w:hanging="180"/>
      </w:pPr>
    </w:lvl>
    <w:lvl w:ilvl="3" w:tplc="1809000F" w:tentative="1">
      <w:start w:val="1"/>
      <w:numFmt w:val="decimal"/>
      <w:lvlText w:val="%4."/>
      <w:lvlJc w:val="left"/>
      <w:pPr>
        <w:ind w:left="3460" w:hanging="360"/>
      </w:pPr>
    </w:lvl>
    <w:lvl w:ilvl="4" w:tplc="18090019" w:tentative="1">
      <w:start w:val="1"/>
      <w:numFmt w:val="lowerLetter"/>
      <w:lvlText w:val="%5."/>
      <w:lvlJc w:val="left"/>
      <w:pPr>
        <w:ind w:left="4180" w:hanging="360"/>
      </w:pPr>
    </w:lvl>
    <w:lvl w:ilvl="5" w:tplc="1809001B" w:tentative="1">
      <w:start w:val="1"/>
      <w:numFmt w:val="lowerRoman"/>
      <w:lvlText w:val="%6."/>
      <w:lvlJc w:val="right"/>
      <w:pPr>
        <w:ind w:left="4900" w:hanging="180"/>
      </w:pPr>
    </w:lvl>
    <w:lvl w:ilvl="6" w:tplc="1809000F" w:tentative="1">
      <w:start w:val="1"/>
      <w:numFmt w:val="decimal"/>
      <w:lvlText w:val="%7."/>
      <w:lvlJc w:val="left"/>
      <w:pPr>
        <w:ind w:left="5620" w:hanging="360"/>
      </w:pPr>
    </w:lvl>
    <w:lvl w:ilvl="7" w:tplc="18090019" w:tentative="1">
      <w:start w:val="1"/>
      <w:numFmt w:val="lowerLetter"/>
      <w:lvlText w:val="%8."/>
      <w:lvlJc w:val="left"/>
      <w:pPr>
        <w:ind w:left="6340" w:hanging="360"/>
      </w:pPr>
    </w:lvl>
    <w:lvl w:ilvl="8" w:tplc="1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" w15:restartNumberingAfterBreak="0">
    <w:nsid w:val="5CB96490"/>
    <w:multiLevelType w:val="hybridMultilevel"/>
    <w:tmpl w:val="1BD65232"/>
    <w:lvl w:ilvl="0" w:tplc="64D84764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60" w:hanging="360"/>
      </w:pPr>
    </w:lvl>
    <w:lvl w:ilvl="2" w:tplc="1809001B" w:tentative="1">
      <w:start w:val="1"/>
      <w:numFmt w:val="lowerRoman"/>
      <w:lvlText w:val="%3."/>
      <w:lvlJc w:val="right"/>
      <w:pPr>
        <w:ind w:left="2380" w:hanging="180"/>
      </w:pPr>
    </w:lvl>
    <w:lvl w:ilvl="3" w:tplc="1809000F" w:tentative="1">
      <w:start w:val="1"/>
      <w:numFmt w:val="decimal"/>
      <w:lvlText w:val="%4."/>
      <w:lvlJc w:val="left"/>
      <w:pPr>
        <w:ind w:left="3100" w:hanging="360"/>
      </w:pPr>
    </w:lvl>
    <w:lvl w:ilvl="4" w:tplc="18090019" w:tentative="1">
      <w:start w:val="1"/>
      <w:numFmt w:val="lowerLetter"/>
      <w:lvlText w:val="%5."/>
      <w:lvlJc w:val="left"/>
      <w:pPr>
        <w:ind w:left="3820" w:hanging="360"/>
      </w:pPr>
    </w:lvl>
    <w:lvl w:ilvl="5" w:tplc="1809001B" w:tentative="1">
      <w:start w:val="1"/>
      <w:numFmt w:val="lowerRoman"/>
      <w:lvlText w:val="%6."/>
      <w:lvlJc w:val="right"/>
      <w:pPr>
        <w:ind w:left="4540" w:hanging="180"/>
      </w:pPr>
    </w:lvl>
    <w:lvl w:ilvl="6" w:tplc="1809000F" w:tentative="1">
      <w:start w:val="1"/>
      <w:numFmt w:val="decimal"/>
      <w:lvlText w:val="%7."/>
      <w:lvlJc w:val="left"/>
      <w:pPr>
        <w:ind w:left="5260" w:hanging="360"/>
      </w:pPr>
    </w:lvl>
    <w:lvl w:ilvl="7" w:tplc="18090019" w:tentative="1">
      <w:start w:val="1"/>
      <w:numFmt w:val="lowerLetter"/>
      <w:lvlText w:val="%8."/>
      <w:lvlJc w:val="left"/>
      <w:pPr>
        <w:ind w:left="5980" w:hanging="360"/>
      </w:pPr>
    </w:lvl>
    <w:lvl w:ilvl="8" w:tplc="1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6DAD4244"/>
    <w:multiLevelType w:val="multilevel"/>
    <w:tmpl w:val="DC8ED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3266E3D3-265B-42B8-B4A9-F7EF18BA5FBC"/>
    <w:docVar w:name="LW_COVERPAGE_TYPE" w:val="1"/>
    <w:docVar w:name="LW_CROSSREFERENCE" w:val="&lt;UNUSED&gt;"/>
    <w:docVar w:name="LW_DocType" w:val="NORMAL"/>
    <w:docVar w:name="LW_EMISSION" w:val="28.5.2025"/>
    <w:docVar w:name="LW_EMISSION_ISODATE" w:val="2025-05-28"/>
    <w:docVar w:name="LW_EMISSION_LOCATION" w:val="BRX"/>
    <w:docVar w:name="LW_EMISSION_PREFIX" w:val="V Bruselu dne "/>
    <w:docVar w:name="LW_EMISSION_SUFFIX" w:val=" "/>
    <w:docVar w:name="LW_ID_DOCTYPE_NONLW" w:val="CP-006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5) 261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o výkonu pravomoci p\u345?ijímat akty v p\u345?enesené pravomoci podle \u269?l. 46 odst. 2 na\u345?ízení Evropského parlamentu a Rady (EU) 2019/787 ze dne 17. dubna 2019 o definici, popisu, obchodní úprav\u283? a ozna\u269?ování lihovin, pou\u382?ívání názv\u367? lihovin v obchodní úprav\u283? a p\u345?i ozna\u269?ování jiných potravin, ochran\u283? zem\u283?pisných ozna\u269?ení lihovin, pou\u382?ívání lihu a destilát\u367? zem\u283?d\u283?lského p\u367?vodu p\u345?i výrob\u283? alkoholických nápoj\u367? a o zru\u353?ení na\u345?ízení (ES) \u269?. 110/2008"/>
    <w:docVar w:name="LW_TYPE.DOC.CP" w:val="ZPRÁVA KOMISE EVROPSKÉMU PARLAMENTU A RAD\u282?"/>
    <w:docVar w:name="LwApiVersions" w:val="LW4CoDe 1.24.5.0; LW 9.0, Build 20240221"/>
  </w:docVars>
  <w:rsids>
    <w:rsidRoot w:val="004B181D"/>
    <w:rsid w:val="000117A1"/>
    <w:rsid w:val="000351A1"/>
    <w:rsid w:val="00052D6C"/>
    <w:rsid w:val="0005795A"/>
    <w:rsid w:val="000669D9"/>
    <w:rsid w:val="000D2F48"/>
    <w:rsid w:val="000E00ED"/>
    <w:rsid w:val="000E6959"/>
    <w:rsid w:val="001015FA"/>
    <w:rsid w:val="001459E0"/>
    <w:rsid w:val="001623A2"/>
    <w:rsid w:val="001A382C"/>
    <w:rsid w:val="001F548E"/>
    <w:rsid w:val="002207C1"/>
    <w:rsid w:val="002B20C5"/>
    <w:rsid w:val="00313BC6"/>
    <w:rsid w:val="00313E09"/>
    <w:rsid w:val="00316507"/>
    <w:rsid w:val="003474A6"/>
    <w:rsid w:val="003752CD"/>
    <w:rsid w:val="003A2BA6"/>
    <w:rsid w:val="003A4439"/>
    <w:rsid w:val="003A5CC5"/>
    <w:rsid w:val="003F4BD8"/>
    <w:rsid w:val="0041305B"/>
    <w:rsid w:val="00455614"/>
    <w:rsid w:val="004A6981"/>
    <w:rsid w:val="004B181D"/>
    <w:rsid w:val="004B618A"/>
    <w:rsid w:val="004F56AA"/>
    <w:rsid w:val="00515950"/>
    <w:rsid w:val="005433A5"/>
    <w:rsid w:val="0055061D"/>
    <w:rsid w:val="00564F70"/>
    <w:rsid w:val="00585F9B"/>
    <w:rsid w:val="005A377D"/>
    <w:rsid w:val="005E2AB0"/>
    <w:rsid w:val="005F7EC0"/>
    <w:rsid w:val="006451C5"/>
    <w:rsid w:val="00705AE1"/>
    <w:rsid w:val="0071428A"/>
    <w:rsid w:val="00756320"/>
    <w:rsid w:val="007625AB"/>
    <w:rsid w:val="00772366"/>
    <w:rsid w:val="007939C6"/>
    <w:rsid w:val="007D2068"/>
    <w:rsid w:val="007D2AE5"/>
    <w:rsid w:val="007F1C63"/>
    <w:rsid w:val="0080294A"/>
    <w:rsid w:val="008351A6"/>
    <w:rsid w:val="00876397"/>
    <w:rsid w:val="008A119E"/>
    <w:rsid w:val="008E5983"/>
    <w:rsid w:val="008F36AF"/>
    <w:rsid w:val="0093406A"/>
    <w:rsid w:val="009577DC"/>
    <w:rsid w:val="009602CE"/>
    <w:rsid w:val="00990AF1"/>
    <w:rsid w:val="009A1D1E"/>
    <w:rsid w:val="009B08C7"/>
    <w:rsid w:val="009B45C3"/>
    <w:rsid w:val="00A16C25"/>
    <w:rsid w:val="00A42F52"/>
    <w:rsid w:val="00AA48F5"/>
    <w:rsid w:val="00AB37E6"/>
    <w:rsid w:val="00B01494"/>
    <w:rsid w:val="00B23542"/>
    <w:rsid w:val="00B51492"/>
    <w:rsid w:val="00B6233D"/>
    <w:rsid w:val="00B70ABA"/>
    <w:rsid w:val="00B8286E"/>
    <w:rsid w:val="00BA0E0E"/>
    <w:rsid w:val="00BA0EA3"/>
    <w:rsid w:val="00BA607F"/>
    <w:rsid w:val="00BB25E8"/>
    <w:rsid w:val="00BC472B"/>
    <w:rsid w:val="00BC51EE"/>
    <w:rsid w:val="00BD2834"/>
    <w:rsid w:val="00C10D64"/>
    <w:rsid w:val="00C438B7"/>
    <w:rsid w:val="00C60366"/>
    <w:rsid w:val="00C91F8C"/>
    <w:rsid w:val="00CB3B19"/>
    <w:rsid w:val="00D576FE"/>
    <w:rsid w:val="00D75A25"/>
    <w:rsid w:val="00DA487F"/>
    <w:rsid w:val="00DC23C0"/>
    <w:rsid w:val="00DF4CA6"/>
    <w:rsid w:val="00E02414"/>
    <w:rsid w:val="00E162B9"/>
    <w:rsid w:val="00E20353"/>
    <w:rsid w:val="00E20F34"/>
    <w:rsid w:val="00E46FFC"/>
    <w:rsid w:val="00E56ED6"/>
    <w:rsid w:val="00E755AD"/>
    <w:rsid w:val="00E8421E"/>
    <w:rsid w:val="00E93E2B"/>
    <w:rsid w:val="00E97588"/>
    <w:rsid w:val="00EC1987"/>
    <w:rsid w:val="00ED16DC"/>
    <w:rsid w:val="00ED1CEB"/>
    <w:rsid w:val="00EE07FC"/>
    <w:rsid w:val="00EF38DB"/>
    <w:rsid w:val="00F25223"/>
    <w:rsid w:val="00F64939"/>
    <w:rsid w:val="00F704C0"/>
    <w:rsid w:val="00F95511"/>
    <w:rsid w:val="00FB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C6BD01"/>
  <w15:chartTrackingRefBased/>
  <w15:docId w15:val="{8D0C2779-6F72-4546-B099-819FA6FB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81D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sid w:val="004B181D"/>
  </w:style>
  <w:style w:type="character" w:customStyle="1" w:styleId="Heading11">
    <w:name w:val="Heading #1|1_"/>
    <w:basedOn w:val="DefaultParagraphFont"/>
    <w:link w:val="Heading110"/>
    <w:rsid w:val="004B181D"/>
    <w:rPr>
      <w:b/>
      <w:bCs/>
      <w:sz w:val="19"/>
      <w:szCs w:val="19"/>
    </w:rPr>
  </w:style>
  <w:style w:type="paragraph" w:customStyle="1" w:styleId="Bodytext10">
    <w:name w:val="Body text|1"/>
    <w:basedOn w:val="Normal"/>
    <w:link w:val="Bodytext1"/>
    <w:rsid w:val="004B181D"/>
    <w:pPr>
      <w:widowControl w:val="0"/>
      <w:spacing w:after="260" w:line="240" w:lineRule="auto"/>
    </w:pPr>
    <w:rPr>
      <w:kern w:val="2"/>
      <w14:ligatures w14:val="standardContextual"/>
    </w:rPr>
  </w:style>
  <w:style w:type="paragraph" w:customStyle="1" w:styleId="Heading110">
    <w:name w:val="Heading #1|1"/>
    <w:basedOn w:val="Normal"/>
    <w:link w:val="Heading11"/>
    <w:rsid w:val="004B181D"/>
    <w:pPr>
      <w:widowControl w:val="0"/>
      <w:spacing w:after="260" w:line="240" w:lineRule="auto"/>
      <w:outlineLvl w:val="0"/>
    </w:pPr>
    <w:rPr>
      <w:b/>
      <w:bCs/>
      <w:kern w:val="2"/>
      <w:sz w:val="19"/>
      <w:szCs w:val="19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4B181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81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 w:bidi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81D"/>
    <w:rPr>
      <w:rFonts w:ascii="Times New Roman" w:eastAsia="Times New Roman" w:hAnsi="Times New Roman" w:cs="Times New Roman"/>
      <w:color w:val="000000"/>
      <w:kern w:val="0"/>
      <w:sz w:val="20"/>
      <w:szCs w:val="20"/>
      <w:lang w:val="cs-CZ" w:eastAsia="hr-HR" w:bidi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B181D"/>
    <w:rPr>
      <w:vertAlign w:val="superscript"/>
    </w:rPr>
  </w:style>
  <w:style w:type="paragraph" w:customStyle="1" w:styleId="title-bold">
    <w:name w:val="title-bold"/>
    <w:basedOn w:val="Normal"/>
    <w:rsid w:val="004B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Marker">
    <w:name w:val="Marker"/>
    <w:basedOn w:val="DefaultParagraphFont"/>
    <w:rsid w:val="007F1C63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7F1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C63"/>
    <w:rPr>
      <w:kern w:val="0"/>
      <w:lang w:val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1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C63"/>
    <w:rPr>
      <w:kern w:val="0"/>
      <w:lang w:val="cs-CZ"/>
      <w14:ligatures w14:val="none"/>
    </w:rPr>
  </w:style>
  <w:style w:type="paragraph" w:customStyle="1" w:styleId="Pagedecouverture">
    <w:name w:val="Page de couverture"/>
    <w:basedOn w:val="Normal"/>
    <w:next w:val="Normal"/>
    <w:link w:val="PagedecouvertureChar"/>
    <w:rsid w:val="007F1C63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7F1C63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PagedecouvertureChar">
    <w:name w:val="Page de couverture Char"/>
    <w:basedOn w:val="DefaultParagraphFont"/>
    <w:link w:val="Pagedecouverture"/>
    <w:rsid w:val="007F1C63"/>
    <w:rPr>
      <w:rFonts w:ascii="Times New Roman" w:hAnsi="Times New Roman" w:cs="Times New Roman"/>
      <w:kern w:val="0"/>
      <w:sz w:val="24"/>
      <w:lang w:val="cs-CZ"/>
      <w14:ligatures w14:val="none"/>
    </w:rPr>
  </w:style>
  <w:style w:type="character" w:customStyle="1" w:styleId="FooterCoverPageChar">
    <w:name w:val="Footer Cover Page Char"/>
    <w:basedOn w:val="PagedecouvertureChar"/>
    <w:link w:val="FooterCoverPage"/>
    <w:rsid w:val="007F1C63"/>
    <w:rPr>
      <w:rFonts w:ascii="Times New Roman" w:hAnsi="Times New Roman" w:cs="Times New Roman"/>
      <w:kern w:val="0"/>
      <w:sz w:val="24"/>
      <w:lang w:val="cs-CZ"/>
      <w14:ligatures w14:val="none"/>
    </w:rPr>
  </w:style>
  <w:style w:type="paragraph" w:customStyle="1" w:styleId="FooterSensitivity">
    <w:name w:val="Footer Sensitivity"/>
    <w:basedOn w:val="Normal"/>
    <w:link w:val="FooterSensitivityChar"/>
    <w:rsid w:val="007F1C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PagedecouvertureChar"/>
    <w:link w:val="FooterSensitivity"/>
    <w:rsid w:val="007F1C63"/>
    <w:rPr>
      <w:rFonts w:ascii="Times New Roman" w:hAnsi="Times New Roman" w:cs="Times New Roman"/>
      <w:b/>
      <w:kern w:val="0"/>
      <w:sz w:val="32"/>
      <w:lang w:val="cs-CZ"/>
      <w14:ligatures w14:val="none"/>
    </w:rPr>
  </w:style>
  <w:style w:type="paragraph" w:customStyle="1" w:styleId="HeaderCoverPage">
    <w:name w:val="Header Cover Page"/>
    <w:basedOn w:val="Normal"/>
    <w:link w:val="HeaderCoverPageChar"/>
    <w:rsid w:val="007F1C63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PagedecouvertureChar"/>
    <w:link w:val="HeaderCoverPage"/>
    <w:rsid w:val="007F1C63"/>
    <w:rPr>
      <w:rFonts w:ascii="Times New Roman" w:hAnsi="Times New Roman" w:cs="Times New Roman"/>
      <w:kern w:val="0"/>
      <w:sz w:val="24"/>
      <w:lang w:val="cs-CZ"/>
      <w14:ligatures w14:val="none"/>
    </w:rPr>
  </w:style>
  <w:style w:type="paragraph" w:customStyle="1" w:styleId="HeaderSensitivity">
    <w:name w:val="Header Sensitivity"/>
    <w:basedOn w:val="Normal"/>
    <w:link w:val="HeaderSensitivityChar"/>
    <w:rsid w:val="007F1C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PagedecouvertureChar"/>
    <w:link w:val="HeaderSensitivity"/>
    <w:rsid w:val="007F1C63"/>
    <w:rPr>
      <w:rFonts w:ascii="Times New Roman" w:hAnsi="Times New Roman" w:cs="Times New Roman"/>
      <w:b/>
      <w:kern w:val="0"/>
      <w:sz w:val="32"/>
      <w:lang w:val="cs-CZ"/>
      <w14:ligatures w14:val="none"/>
    </w:rPr>
  </w:style>
  <w:style w:type="paragraph" w:customStyle="1" w:styleId="HeaderSensitivityRight">
    <w:name w:val="Header Sensitivity Right"/>
    <w:basedOn w:val="Normal"/>
    <w:link w:val="HeaderSensitivityRightChar"/>
    <w:rsid w:val="007F1C63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PagedecouvertureChar"/>
    <w:link w:val="HeaderSensitivityRight"/>
    <w:rsid w:val="007F1C63"/>
    <w:rPr>
      <w:rFonts w:ascii="Times New Roman" w:hAnsi="Times New Roman" w:cs="Times New Roman"/>
      <w:kern w:val="0"/>
      <w:sz w:val="28"/>
      <w:lang w:val="cs-CZ"/>
      <w14:ligatures w14:val="none"/>
    </w:rPr>
  </w:style>
  <w:style w:type="paragraph" w:styleId="Revision">
    <w:name w:val="Revision"/>
    <w:hidden/>
    <w:uiPriority w:val="99"/>
    <w:semiHidden/>
    <w:rsid w:val="00DC23C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3C0"/>
    <w:rPr>
      <w:kern w:val="0"/>
      <w:sz w:val="20"/>
      <w:szCs w:val="20"/>
      <w:lang w:val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3C0"/>
    <w:rPr>
      <w:b/>
      <w:bCs/>
      <w:kern w:val="0"/>
      <w:sz w:val="20"/>
      <w:szCs w:val="20"/>
      <w:lang w:val="cs-CZ"/>
      <w14:ligatures w14:val="none"/>
    </w:rPr>
  </w:style>
  <w:style w:type="character" w:styleId="Hyperlink">
    <w:name w:val="Hyperlink"/>
    <w:basedOn w:val="DefaultParagraphFont"/>
    <w:uiPriority w:val="99"/>
    <w:unhideWhenUsed/>
    <w:rsid w:val="00E97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35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5C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5CC5"/>
    <w:rPr>
      <w:color w:val="954F72" w:themeColor="followedHyperlink"/>
      <w:u w:val="single"/>
    </w:rPr>
  </w:style>
  <w:style w:type="character" w:customStyle="1" w:styleId="BodyPlaceholderText">
    <w:name w:val="BodyPlaceholderText"/>
    <w:basedOn w:val="PlaceholderText"/>
    <w:semiHidden/>
    <w:rsid w:val="005F7EC0"/>
    <w:rPr>
      <w:color w:val="3366CC"/>
    </w:rPr>
  </w:style>
  <w:style w:type="character" w:styleId="PlaceholderText">
    <w:name w:val="Placeholder Text"/>
    <w:basedOn w:val="DefaultParagraphFont"/>
    <w:uiPriority w:val="99"/>
    <w:semiHidden/>
    <w:rsid w:val="005F7E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://data.europa.eu/eli/reg_del/2021/723/oj" TargetMode="External"/><Relationship Id="rId2" Type="http://schemas.openxmlformats.org/officeDocument/2006/relationships/hyperlink" Target="http://data.europa.eu/eli/reg_del/2022/1303/oj" TargetMode="External"/><Relationship Id="rId1" Type="http://schemas.openxmlformats.org/officeDocument/2006/relationships/hyperlink" Target="https://eur-lex.europa.eu/eli/reg/2019/787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214A-7C8D-4398-8946-63FCD1E2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2024-04-30T07:29:00Z</cp:lastPrinted>
  <dcterms:created xsi:type="dcterms:W3CDTF">2025-05-07T13:51:00Z</dcterms:created>
  <dcterms:modified xsi:type="dcterms:W3CDTF">2025-05-28T06:43:00Z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2024-04-05T14:43:48Z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13d92e9d-0af8-43a0-b6dc-adbce80fb090</vt:lpwstr>
  </property>
  <property fmtid="{D5CDD505-2E9C-101B-9397-08002B2CF9AE}" pid="8" name="MSIP_Label_6bd9ddd1-4d20-43f6-abfa-fc3c07406f94_ContentBits">
    <vt:lpwstr>0</vt:lpwstr>
  </property>
  <property fmtid="{D5CDD505-2E9C-101B-9397-08002B2CF9AE}" pid="9" name="Level of sensitivity">
    <vt:lpwstr>Standard treatment</vt:lpwstr>
  </property>
  <property fmtid="{D5CDD505-2E9C-101B-9397-08002B2CF9AE}" pid="10" name="Part">
    <vt:lpwstr>1</vt:lpwstr>
  </property>
  <property fmtid="{D5CDD505-2E9C-101B-9397-08002B2CF9AE}" pid="11" name="Total parts">
    <vt:lpwstr>1</vt:lpwstr>
  </property>
  <property fmtid="{D5CDD505-2E9C-101B-9397-08002B2CF9AE}" pid="12" name="DocStatus">
    <vt:lpwstr>Green</vt:lpwstr>
  </property>
  <property fmtid="{D5CDD505-2E9C-101B-9397-08002B2CF9AE}" pid="13" name="CPTemplateID">
    <vt:lpwstr>CP-006</vt:lpwstr>
  </property>
  <property fmtid="{D5CDD505-2E9C-101B-9397-08002B2CF9AE}" pid="14" name="Last edited using">
    <vt:lpwstr>LW 9.1, Build 20240808</vt:lpwstr>
  </property>
  <property fmtid="{D5CDD505-2E9C-101B-9397-08002B2CF9AE}" pid="15" name="Created using">
    <vt:lpwstr>LW 9.0, Build 20230317</vt:lpwstr>
  </property>
</Properties>
</file>