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A276E" w14:textId="67A3C79A" w:rsidR="009727DD" w:rsidRPr="009B5F0F" w:rsidRDefault="00AE0685" w:rsidP="00AE0685">
      <w:pPr>
        <w:pStyle w:val="Pagedecouverture"/>
        <w:rPr>
          <w:noProof/>
        </w:rPr>
      </w:pPr>
      <w:bookmarkStart w:id="0" w:name="LW_BM_COVERPAGE"/>
      <w:r>
        <w:rPr>
          <w:noProof/>
        </w:rPr>
        <w:pict w14:anchorId="4FDA2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5EDF0E-3BE7-43B2-B06F-8EB351CAF5BB" style="width:455.25pt;height:296.25pt">
            <v:imagedata r:id="rId11" o:title=""/>
          </v:shape>
        </w:pict>
      </w:r>
    </w:p>
    <w:bookmarkEnd w:id="0"/>
    <w:p w14:paraId="03AFC86E" w14:textId="77777777" w:rsidR="007D73FB" w:rsidRDefault="007D73FB" w:rsidP="007D73FB">
      <w:pPr>
        <w:rPr>
          <w:noProof/>
        </w:rPr>
        <w:sectPr w:rsidR="007D73FB" w:rsidSect="00AE0685">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14:paraId="02CA36F1" w14:textId="44174514" w:rsidR="00A73E70" w:rsidRPr="009B5F0F" w:rsidRDefault="00CE000D">
      <w:pPr>
        <w:tabs>
          <w:tab w:val="right" w:leader="dot" w:pos="9071"/>
        </w:tabs>
        <w:spacing w:before="60" w:after="120" w:line="240" w:lineRule="auto"/>
        <w:ind w:left="850" w:hanging="850"/>
        <w:jc w:val="center"/>
        <w:rPr>
          <w:rFonts w:ascii="Times New Roman" w:eastAsia="Times New Roman" w:hAnsi="Times New Roman"/>
          <w:noProof/>
          <w:color w:val="7F7F7F" w:themeColor="text1" w:themeTint="80"/>
          <w:sz w:val="24"/>
          <w:szCs w:val="24"/>
        </w:rPr>
      </w:pPr>
      <w:bookmarkStart w:id="1" w:name="_GoBack"/>
      <w:bookmarkEnd w:id="1"/>
      <w:r>
        <w:rPr>
          <w:rFonts w:ascii="Times New Roman" w:hAnsi="Times New Roman"/>
          <w:noProof/>
          <w:color w:val="7F7F7F" w:themeColor="text1" w:themeTint="80"/>
          <w:sz w:val="24"/>
        </w:rPr>
        <w:lastRenderedPageBreak/>
        <w:t>OBSAH</w:t>
      </w:r>
    </w:p>
    <w:p w14:paraId="22AA6D15" w14:textId="77777777" w:rsidR="00A73E70" w:rsidRPr="009B5F0F" w:rsidRDefault="00A73E70">
      <w:pPr>
        <w:tabs>
          <w:tab w:val="right" w:leader="dot" w:pos="9071"/>
        </w:tabs>
        <w:spacing w:before="60" w:after="120" w:line="240" w:lineRule="auto"/>
        <w:ind w:left="850" w:hanging="850"/>
        <w:rPr>
          <w:rFonts w:ascii="Times New Roman" w:eastAsia="Times New Roman" w:hAnsi="Times New Roman"/>
          <w:noProof/>
          <w:color w:val="7F7F7F" w:themeColor="text1" w:themeTint="80"/>
          <w:sz w:val="24"/>
          <w:szCs w:val="24"/>
        </w:rPr>
      </w:pPr>
    </w:p>
    <w:p w14:paraId="75315661" w14:textId="36E9E3CE" w:rsidR="003C78C5" w:rsidRDefault="00CE000D">
      <w:pPr>
        <w:pStyle w:val="TOC1"/>
        <w:rPr>
          <w:rFonts w:asciiTheme="minorHAnsi" w:eastAsiaTheme="minorEastAsia" w:hAnsiTheme="minorHAnsi" w:cstheme="minorBidi"/>
          <w:b w:val="0"/>
          <w:caps w:val="0"/>
          <w:kern w:val="2"/>
          <w:sz w:val="22"/>
          <w:szCs w:val="22"/>
          <w:lang w:val="en-IE" w:eastAsia="en-IE"/>
          <w14:ligatures w14:val="standardContextual"/>
        </w:rPr>
      </w:pPr>
      <w:r w:rsidRPr="009B5F0F">
        <w:rPr>
          <w:color w:val="7F7F7F" w:themeColor="text1" w:themeTint="80"/>
          <w:sz w:val="22"/>
        </w:rPr>
        <w:fldChar w:fldCharType="begin"/>
      </w:r>
      <w:r w:rsidRPr="009B5F0F">
        <w:rPr>
          <w:color w:val="7F7F7F" w:themeColor="text1" w:themeTint="80"/>
          <w:sz w:val="22"/>
        </w:rPr>
        <w:instrText xml:space="preserve"> TOC \o "1-3" \h \z </w:instrText>
      </w:r>
      <w:r w:rsidRPr="009B5F0F">
        <w:rPr>
          <w:color w:val="7F7F7F" w:themeColor="text1" w:themeTint="80"/>
          <w:sz w:val="22"/>
        </w:rPr>
        <w:fldChar w:fldCharType="separate"/>
      </w:r>
      <w:hyperlink w:anchor="_Toc167873067" w:history="1">
        <w:r w:rsidR="003C78C5" w:rsidRPr="00F35DE4">
          <w:rPr>
            <w:rStyle w:val="Hyperlink"/>
          </w:rPr>
          <w:t>1.</w:t>
        </w:r>
        <w:r w:rsidR="003C78C5">
          <w:rPr>
            <w:rFonts w:asciiTheme="minorHAnsi" w:eastAsiaTheme="minorEastAsia" w:hAnsiTheme="minorHAnsi" w:cstheme="minorBidi"/>
            <w:b w:val="0"/>
            <w:caps w:val="0"/>
            <w:kern w:val="2"/>
            <w:sz w:val="22"/>
            <w:szCs w:val="22"/>
            <w:lang w:val="en-IE" w:eastAsia="en-IE"/>
            <w14:ligatures w14:val="standardContextual"/>
          </w:rPr>
          <w:tab/>
        </w:r>
        <w:r w:rsidR="003C78C5" w:rsidRPr="00F35DE4">
          <w:rPr>
            <w:rStyle w:val="Hyperlink"/>
          </w:rPr>
          <w:t>Úvod</w:t>
        </w:r>
        <w:r w:rsidR="003C78C5">
          <w:rPr>
            <w:webHidden/>
          </w:rPr>
          <w:tab/>
        </w:r>
        <w:r w:rsidR="003C78C5">
          <w:rPr>
            <w:webHidden/>
          </w:rPr>
          <w:fldChar w:fldCharType="begin"/>
        </w:r>
        <w:r w:rsidR="003C78C5">
          <w:rPr>
            <w:webHidden/>
          </w:rPr>
          <w:instrText xml:space="preserve"> PAGEREF _Toc167873067 \h </w:instrText>
        </w:r>
        <w:r w:rsidR="003C78C5">
          <w:rPr>
            <w:webHidden/>
          </w:rPr>
        </w:r>
        <w:r w:rsidR="003C78C5">
          <w:rPr>
            <w:webHidden/>
          </w:rPr>
          <w:fldChar w:fldCharType="separate"/>
        </w:r>
        <w:r w:rsidR="003C78C5">
          <w:rPr>
            <w:webHidden/>
          </w:rPr>
          <w:t>2</w:t>
        </w:r>
        <w:r w:rsidR="003C78C5">
          <w:rPr>
            <w:webHidden/>
          </w:rPr>
          <w:fldChar w:fldCharType="end"/>
        </w:r>
      </w:hyperlink>
    </w:p>
    <w:p w14:paraId="00CBB7C9" w14:textId="7577CAC9" w:rsidR="003C78C5" w:rsidRDefault="00AE0685">
      <w:pPr>
        <w:pStyle w:val="TOC1"/>
        <w:rPr>
          <w:rFonts w:asciiTheme="minorHAnsi" w:eastAsiaTheme="minorEastAsia" w:hAnsiTheme="minorHAnsi" w:cstheme="minorBidi"/>
          <w:b w:val="0"/>
          <w:caps w:val="0"/>
          <w:kern w:val="2"/>
          <w:sz w:val="22"/>
          <w:szCs w:val="22"/>
          <w:lang w:val="en-IE" w:eastAsia="en-IE"/>
          <w14:ligatures w14:val="standardContextual"/>
        </w:rPr>
      </w:pPr>
      <w:hyperlink w:anchor="_Toc167873068" w:history="1">
        <w:r w:rsidR="003C78C5" w:rsidRPr="00F35DE4">
          <w:rPr>
            <w:rStyle w:val="Hyperlink"/>
            <w:smallCaps/>
          </w:rPr>
          <w:t>2.</w:t>
        </w:r>
        <w:r w:rsidR="003C78C5">
          <w:rPr>
            <w:rFonts w:asciiTheme="minorHAnsi" w:eastAsiaTheme="minorEastAsia" w:hAnsiTheme="minorHAnsi" w:cstheme="minorBidi"/>
            <w:b w:val="0"/>
            <w:caps w:val="0"/>
            <w:kern w:val="2"/>
            <w:sz w:val="22"/>
            <w:szCs w:val="22"/>
            <w:lang w:val="en-IE" w:eastAsia="en-IE"/>
            <w14:ligatures w14:val="standardContextual"/>
          </w:rPr>
          <w:tab/>
        </w:r>
        <w:r w:rsidR="003C78C5" w:rsidRPr="00F35DE4">
          <w:rPr>
            <w:rStyle w:val="Hyperlink"/>
            <w:smallCaps/>
          </w:rPr>
          <w:t>Makroekonomický vývoj v partnerských zemích</w:t>
        </w:r>
        <w:r w:rsidR="003C78C5">
          <w:rPr>
            <w:webHidden/>
          </w:rPr>
          <w:tab/>
        </w:r>
        <w:r w:rsidR="003C78C5">
          <w:rPr>
            <w:webHidden/>
          </w:rPr>
          <w:fldChar w:fldCharType="begin"/>
        </w:r>
        <w:r w:rsidR="003C78C5">
          <w:rPr>
            <w:webHidden/>
          </w:rPr>
          <w:instrText xml:space="preserve"> PAGEREF _Toc167873068 \h </w:instrText>
        </w:r>
        <w:r w:rsidR="003C78C5">
          <w:rPr>
            <w:webHidden/>
          </w:rPr>
        </w:r>
        <w:r w:rsidR="003C78C5">
          <w:rPr>
            <w:webHidden/>
          </w:rPr>
          <w:fldChar w:fldCharType="separate"/>
        </w:r>
        <w:r w:rsidR="003C78C5">
          <w:rPr>
            <w:webHidden/>
          </w:rPr>
          <w:t>3</w:t>
        </w:r>
        <w:r w:rsidR="003C78C5">
          <w:rPr>
            <w:webHidden/>
          </w:rPr>
          <w:fldChar w:fldCharType="end"/>
        </w:r>
      </w:hyperlink>
    </w:p>
    <w:p w14:paraId="225646E7" w14:textId="3ADF80D7"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69" w:history="1">
        <w:r w:rsidR="003C78C5" w:rsidRPr="00F35DE4">
          <w:rPr>
            <w:rStyle w:val="Hyperlink"/>
            <w:rFonts w:ascii="Times New Roman" w:hAnsi="Times New Roman"/>
            <w:noProof/>
          </w:rPr>
          <w:t>2.1</w:t>
        </w:r>
        <w:r w:rsidR="003C78C5">
          <w:rPr>
            <w:rFonts w:asciiTheme="minorHAnsi" w:eastAsiaTheme="minorEastAsia" w:hAnsiTheme="minorHAnsi" w:cstheme="minorBidi"/>
            <w:noProof/>
            <w:kern w:val="2"/>
            <w:lang w:val="en-IE" w:eastAsia="en-IE"/>
            <w14:ligatures w14:val="standardContextual"/>
          </w:rPr>
          <w:tab/>
        </w:r>
        <w:r w:rsidR="003C78C5" w:rsidRPr="00F35DE4">
          <w:rPr>
            <w:rStyle w:val="Hyperlink"/>
            <w:noProof/>
          </w:rPr>
          <w:t>Východní partnerství</w:t>
        </w:r>
        <w:r w:rsidR="003C78C5">
          <w:rPr>
            <w:noProof/>
            <w:webHidden/>
          </w:rPr>
          <w:tab/>
        </w:r>
        <w:r w:rsidR="003C78C5">
          <w:rPr>
            <w:noProof/>
            <w:webHidden/>
          </w:rPr>
          <w:fldChar w:fldCharType="begin"/>
        </w:r>
        <w:r w:rsidR="003C78C5">
          <w:rPr>
            <w:noProof/>
            <w:webHidden/>
          </w:rPr>
          <w:instrText xml:space="preserve"> PAGEREF _Toc167873069 \h </w:instrText>
        </w:r>
        <w:r w:rsidR="003C78C5">
          <w:rPr>
            <w:noProof/>
            <w:webHidden/>
          </w:rPr>
        </w:r>
        <w:r w:rsidR="003C78C5">
          <w:rPr>
            <w:noProof/>
            <w:webHidden/>
          </w:rPr>
          <w:fldChar w:fldCharType="separate"/>
        </w:r>
        <w:r w:rsidR="003C78C5">
          <w:rPr>
            <w:noProof/>
            <w:webHidden/>
          </w:rPr>
          <w:t>4</w:t>
        </w:r>
        <w:r w:rsidR="003C78C5">
          <w:rPr>
            <w:noProof/>
            <w:webHidden/>
          </w:rPr>
          <w:fldChar w:fldCharType="end"/>
        </w:r>
      </w:hyperlink>
    </w:p>
    <w:p w14:paraId="62EADE30" w14:textId="25AB678F"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70" w:history="1">
        <w:r w:rsidR="003C78C5" w:rsidRPr="00F35DE4">
          <w:rPr>
            <w:rStyle w:val="Hyperlink"/>
            <w:rFonts w:ascii="Times New Roman" w:hAnsi="Times New Roman"/>
            <w:noProof/>
          </w:rPr>
          <w:t>2.2</w:t>
        </w:r>
        <w:r w:rsidR="003C78C5">
          <w:rPr>
            <w:rFonts w:asciiTheme="minorHAnsi" w:eastAsiaTheme="minorEastAsia" w:hAnsiTheme="minorHAnsi" w:cstheme="minorBidi"/>
            <w:noProof/>
            <w:kern w:val="2"/>
            <w:lang w:val="en-IE" w:eastAsia="en-IE"/>
            <w14:ligatures w14:val="standardContextual"/>
          </w:rPr>
          <w:tab/>
        </w:r>
        <w:r w:rsidR="003C78C5" w:rsidRPr="00F35DE4">
          <w:rPr>
            <w:rStyle w:val="Hyperlink"/>
            <w:rFonts w:ascii="Times New Roman" w:hAnsi="Times New Roman"/>
            <w:noProof/>
          </w:rPr>
          <w:t>Jižní sousedství</w:t>
        </w:r>
        <w:r w:rsidR="003C78C5">
          <w:rPr>
            <w:noProof/>
            <w:webHidden/>
          </w:rPr>
          <w:tab/>
        </w:r>
        <w:r w:rsidR="003C78C5">
          <w:rPr>
            <w:noProof/>
            <w:webHidden/>
          </w:rPr>
          <w:fldChar w:fldCharType="begin"/>
        </w:r>
        <w:r w:rsidR="003C78C5">
          <w:rPr>
            <w:noProof/>
            <w:webHidden/>
          </w:rPr>
          <w:instrText xml:space="preserve"> PAGEREF _Toc167873070 \h </w:instrText>
        </w:r>
        <w:r w:rsidR="003C78C5">
          <w:rPr>
            <w:noProof/>
            <w:webHidden/>
          </w:rPr>
        </w:r>
        <w:r w:rsidR="003C78C5">
          <w:rPr>
            <w:noProof/>
            <w:webHidden/>
          </w:rPr>
          <w:fldChar w:fldCharType="separate"/>
        </w:r>
        <w:r w:rsidR="003C78C5">
          <w:rPr>
            <w:noProof/>
            <w:webHidden/>
          </w:rPr>
          <w:t>5</w:t>
        </w:r>
        <w:r w:rsidR="003C78C5">
          <w:rPr>
            <w:noProof/>
            <w:webHidden/>
          </w:rPr>
          <w:fldChar w:fldCharType="end"/>
        </w:r>
      </w:hyperlink>
    </w:p>
    <w:p w14:paraId="675ACDB6" w14:textId="008A4ADD"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71" w:history="1">
        <w:r w:rsidR="003C78C5" w:rsidRPr="00F35DE4">
          <w:rPr>
            <w:rStyle w:val="Hyperlink"/>
            <w:rFonts w:ascii="Times New Roman" w:hAnsi="Times New Roman"/>
            <w:noProof/>
          </w:rPr>
          <w:t>2.3</w:t>
        </w:r>
        <w:r w:rsidR="003C78C5">
          <w:rPr>
            <w:rFonts w:asciiTheme="minorHAnsi" w:eastAsiaTheme="minorEastAsia" w:hAnsiTheme="minorHAnsi" w:cstheme="minorBidi"/>
            <w:noProof/>
            <w:kern w:val="2"/>
            <w:lang w:val="en-IE" w:eastAsia="en-IE"/>
            <w14:ligatures w14:val="standardContextual"/>
          </w:rPr>
          <w:tab/>
        </w:r>
        <w:r w:rsidR="003C78C5" w:rsidRPr="00F35DE4">
          <w:rPr>
            <w:rStyle w:val="Hyperlink"/>
            <w:rFonts w:ascii="Times New Roman" w:hAnsi="Times New Roman"/>
            <w:noProof/>
          </w:rPr>
          <w:t>Západní Balkán</w:t>
        </w:r>
        <w:r w:rsidR="003C78C5">
          <w:rPr>
            <w:noProof/>
            <w:webHidden/>
          </w:rPr>
          <w:tab/>
        </w:r>
        <w:r w:rsidR="003C78C5">
          <w:rPr>
            <w:noProof/>
            <w:webHidden/>
          </w:rPr>
          <w:fldChar w:fldCharType="begin"/>
        </w:r>
        <w:r w:rsidR="003C78C5">
          <w:rPr>
            <w:noProof/>
            <w:webHidden/>
          </w:rPr>
          <w:instrText xml:space="preserve"> PAGEREF _Toc167873071 \h </w:instrText>
        </w:r>
        <w:r w:rsidR="003C78C5">
          <w:rPr>
            <w:noProof/>
            <w:webHidden/>
          </w:rPr>
        </w:r>
        <w:r w:rsidR="003C78C5">
          <w:rPr>
            <w:noProof/>
            <w:webHidden/>
          </w:rPr>
          <w:fldChar w:fldCharType="separate"/>
        </w:r>
        <w:r w:rsidR="003C78C5">
          <w:rPr>
            <w:noProof/>
            <w:webHidden/>
          </w:rPr>
          <w:t>6</w:t>
        </w:r>
        <w:r w:rsidR="003C78C5">
          <w:rPr>
            <w:noProof/>
            <w:webHidden/>
          </w:rPr>
          <w:fldChar w:fldCharType="end"/>
        </w:r>
      </w:hyperlink>
    </w:p>
    <w:p w14:paraId="2192A16D" w14:textId="3E7882B7" w:rsidR="003C78C5" w:rsidRDefault="00AE0685">
      <w:pPr>
        <w:pStyle w:val="TOC1"/>
        <w:rPr>
          <w:rFonts w:asciiTheme="minorHAnsi" w:eastAsiaTheme="minorEastAsia" w:hAnsiTheme="minorHAnsi" w:cstheme="minorBidi"/>
          <w:b w:val="0"/>
          <w:caps w:val="0"/>
          <w:kern w:val="2"/>
          <w:sz w:val="22"/>
          <w:szCs w:val="22"/>
          <w:lang w:val="en-IE" w:eastAsia="en-IE"/>
          <w14:ligatures w14:val="standardContextual"/>
        </w:rPr>
      </w:pPr>
      <w:hyperlink w:anchor="_Toc167873072" w:history="1">
        <w:r w:rsidR="003C78C5" w:rsidRPr="00F35DE4">
          <w:rPr>
            <w:rStyle w:val="Hyperlink"/>
            <w:rFonts w:eastAsia="Calibri"/>
          </w:rPr>
          <w:t>3.</w:t>
        </w:r>
        <w:r w:rsidR="003C78C5">
          <w:rPr>
            <w:rFonts w:asciiTheme="minorHAnsi" w:eastAsiaTheme="minorEastAsia" w:hAnsiTheme="minorHAnsi" w:cstheme="minorBidi"/>
            <w:b w:val="0"/>
            <w:caps w:val="0"/>
            <w:kern w:val="2"/>
            <w:sz w:val="22"/>
            <w:szCs w:val="22"/>
            <w:lang w:val="en-IE" w:eastAsia="en-IE"/>
            <w14:ligatures w14:val="standardContextual"/>
          </w:rPr>
          <w:tab/>
        </w:r>
        <w:r w:rsidR="003C78C5" w:rsidRPr="00F35DE4">
          <w:rPr>
            <w:rStyle w:val="Hyperlink"/>
            <w:smallCaps/>
          </w:rPr>
          <w:t>Operace makrofinanční pomoci v roce 2023</w:t>
        </w:r>
        <w:r w:rsidR="003C78C5">
          <w:rPr>
            <w:webHidden/>
          </w:rPr>
          <w:tab/>
        </w:r>
        <w:r w:rsidR="003C78C5">
          <w:rPr>
            <w:webHidden/>
          </w:rPr>
          <w:fldChar w:fldCharType="begin"/>
        </w:r>
        <w:r w:rsidR="003C78C5">
          <w:rPr>
            <w:webHidden/>
          </w:rPr>
          <w:instrText xml:space="preserve"> PAGEREF _Toc167873072 \h </w:instrText>
        </w:r>
        <w:r w:rsidR="003C78C5">
          <w:rPr>
            <w:webHidden/>
          </w:rPr>
        </w:r>
        <w:r w:rsidR="003C78C5">
          <w:rPr>
            <w:webHidden/>
          </w:rPr>
          <w:fldChar w:fldCharType="separate"/>
        </w:r>
        <w:r w:rsidR="003C78C5">
          <w:rPr>
            <w:webHidden/>
          </w:rPr>
          <w:t>7</w:t>
        </w:r>
        <w:r w:rsidR="003C78C5">
          <w:rPr>
            <w:webHidden/>
          </w:rPr>
          <w:fldChar w:fldCharType="end"/>
        </w:r>
      </w:hyperlink>
    </w:p>
    <w:p w14:paraId="11479211" w14:textId="1CCAE65F"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73" w:history="1">
        <w:r w:rsidR="003C78C5" w:rsidRPr="00F35DE4">
          <w:rPr>
            <w:rStyle w:val="Hyperlink"/>
            <w:rFonts w:ascii="Times New Roman" w:hAnsi="Times New Roman"/>
            <w:noProof/>
          </w:rPr>
          <w:t>3.1</w:t>
        </w:r>
        <w:r w:rsidR="003C78C5">
          <w:rPr>
            <w:rFonts w:asciiTheme="minorHAnsi" w:eastAsiaTheme="minorEastAsia" w:hAnsiTheme="minorHAnsi" w:cstheme="minorBidi"/>
            <w:noProof/>
            <w:kern w:val="2"/>
            <w:lang w:val="en-IE" w:eastAsia="en-IE"/>
            <w14:ligatures w14:val="standardContextual"/>
          </w:rPr>
          <w:tab/>
        </w:r>
        <w:r w:rsidR="003C78C5" w:rsidRPr="00F35DE4">
          <w:rPr>
            <w:rStyle w:val="Hyperlink"/>
            <w:rFonts w:ascii="Times New Roman" w:hAnsi="Times New Roman"/>
            <w:noProof/>
          </w:rPr>
          <w:t>Východní partnerství</w:t>
        </w:r>
        <w:r w:rsidR="003C78C5">
          <w:rPr>
            <w:noProof/>
            <w:webHidden/>
          </w:rPr>
          <w:tab/>
        </w:r>
        <w:r w:rsidR="003C78C5">
          <w:rPr>
            <w:noProof/>
            <w:webHidden/>
          </w:rPr>
          <w:fldChar w:fldCharType="begin"/>
        </w:r>
        <w:r w:rsidR="003C78C5">
          <w:rPr>
            <w:noProof/>
            <w:webHidden/>
          </w:rPr>
          <w:instrText xml:space="preserve"> PAGEREF _Toc167873073 \h </w:instrText>
        </w:r>
        <w:r w:rsidR="003C78C5">
          <w:rPr>
            <w:noProof/>
            <w:webHidden/>
          </w:rPr>
        </w:r>
        <w:r w:rsidR="003C78C5">
          <w:rPr>
            <w:noProof/>
            <w:webHidden/>
          </w:rPr>
          <w:fldChar w:fldCharType="separate"/>
        </w:r>
        <w:r w:rsidR="003C78C5">
          <w:rPr>
            <w:noProof/>
            <w:webHidden/>
          </w:rPr>
          <w:t>8</w:t>
        </w:r>
        <w:r w:rsidR="003C78C5">
          <w:rPr>
            <w:noProof/>
            <w:webHidden/>
          </w:rPr>
          <w:fldChar w:fldCharType="end"/>
        </w:r>
      </w:hyperlink>
    </w:p>
    <w:p w14:paraId="01BB43E3" w14:textId="11947007" w:rsidR="003C78C5" w:rsidRDefault="00AE0685">
      <w:pPr>
        <w:pStyle w:val="TOC3"/>
        <w:rPr>
          <w:rFonts w:asciiTheme="minorHAnsi" w:eastAsiaTheme="minorEastAsia" w:hAnsiTheme="minorHAnsi" w:cstheme="minorBidi"/>
          <w:kern w:val="2"/>
          <w:lang w:val="en-IE" w:eastAsia="en-IE"/>
          <w14:ligatures w14:val="standardContextual"/>
        </w:rPr>
      </w:pPr>
      <w:hyperlink w:anchor="_Toc167873074" w:history="1">
        <w:r w:rsidR="003C78C5" w:rsidRPr="00F35DE4">
          <w:rPr>
            <w:rStyle w:val="Hyperlink"/>
            <w:rFonts w:ascii="Symbol" w:hAnsi="Symbol"/>
          </w:rPr>
          <w:t></w:t>
        </w:r>
        <w:r w:rsidR="003C78C5">
          <w:rPr>
            <w:rFonts w:asciiTheme="minorHAnsi" w:eastAsiaTheme="minorEastAsia" w:hAnsiTheme="minorHAnsi" w:cstheme="minorBidi"/>
            <w:kern w:val="2"/>
            <w:lang w:val="en-IE" w:eastAsia="en-IE"/>
            <w14:ligatures w14:val="standardContextual"/>
          </w:rPr>
          <w:tab/>
        </w:r>
        <w:r w:rsidR="003C78C5" w:rsidRPr="00F35DE4">
          <w:rPr>
            <w:rStyle w:val="Hyperlink"/>
          </w:rPr>
          <w:t>Moldavsko</w:t>
        </w:r>
        <w:r w:rsidR="003C78C5">
          <w:rPr>
            <w:webHidden/>
          </w:rPr>
          <w:tab/>
        </w:r>
        <w:r w:rsidR="003C78C5">
          <w:rPr>
            <w:webHidden/>
          </w:rPr>
          <w:fldChar w:fldCharType="begin"/>
        </w:r>
        <w:r w:rsidR="003C78C5">
          <w:rPr>
            <w:webHidden/>
          </w:rPr>
          <w:instrText xml:space="preserve"> PAGEREF _Toc167873074 \h </w:instrText>
        </w:r>
        <w:r w:rsidR="003C78C5">
          <w:rPr>
            <w:webHidden/>
          </w:rPr>
        </w:r>
        <w:r w:rsidR="003C78C5">
          <w:rPr>
            <w:webHidden/>
          </w:rPr>
          <w:fldChar w:fldCharType="separate"/>
        </w:r>
        <w:r w:rsidR="003C78C5">
          <w:rPr>
            <w:webHidden/>
          </w:rPr>
          <w:t>8</w:t>
        </w:r>
        <w:r w:rsidR="003C78C5">
          <w:rPr>
            <w:webHidden/>
          </w:rPr>
          <w:fldChar w:fldCharType="end"/>
        </w:r>
      </w:hyperlink>
    </w:p>
    <w:p w14:paraId="0828074D" w14:textId="6F609F25" w:rsidR="003C78C5" w:rsidRDefault="00AE0685">
      <w:pPr>
        <w:pStyle w:val="TOC3"/>
        <w:rPr>
          <w:rFonts w:asciiTheme="minorHAnsi" w:eastAsiaTheme="minorEastAsia" w:hAnsiTheme="minorHAnsi" w:cstheme="minorBidi"/>
          <w:kern w:val="2"/>
          <w:lang w:val="en-IE" w:eastAsia="en-IE"/>
          <w14:ligatures w14:val="standardContextual"/>
        </w:rPr>
      </w:pPr>
      <w:hyperlink w:anchor="_Toc167873075" w:history="1">
        <w:r w:rsidR="003C78C5" w:rsidRPr="00F35DE4">
          <w:rPr>
            <w:rStyle w:val="Hyperlink"/>
            <w:rFonts w:ascii="Symbol" w:hAnsi="Symbol"/>
          </w:rPr>
          <w:t></w:t>
        </w:r>
        <w:r w:rsidR="003C78C5">
          <w:rPr>
            <w:rFonts w:asciiTheme="minorHAnsi" w:eastAsiaTheme="minorEastAsia" w:hAnsiTheme="minorHAnsi" w:cstheme="minorBidi"/>
            <w:kern w:val="2"/>
            <w:lang w:val="en-IE" w:eastAsia="en-IE"/>
            <w14:ligatures w14:val="standardContextual"/>
          </w:rPr>
          <w:tab/>
        </w:r>
        <w:r w:rsidR="003C78C5" w:rsidRPr="00F35DE4">
          <w:rPr>
            <w:rStyle w:val="Hyperlink"/>
          </w:rPr>
          <w:t>Ukrajina: MFA+</w:t>
        </w:r>
        <w:r w:rsidR="003C78C5">
          <w:rPr>
            <w:webHidden/>
          </w:rPr>
          <w:tab/>
        </w:r>
        <w:r w:rsidR="003C78C5">
          <w:rPr>
            <w:webHidden/>
          </w:rPr>
          <w:fldChar w:fldCharType="begin"/>
        </w:r>
        <w:r w:rsidR="003C78C5">
          <w:rPr>
            <w:webHidden/>
          </w:rPr>
          <w:instrText xml:space="preserve"> PAGEREF _Toc167873075 \h </w:instrText>
        </w:r>
        <w:r w:rsidR="003C78C5">
          <w:rPr>
            <w:webHidden/>
          </w:rPr>
        </w:r>
        <w:r w:rsidR="003C78C5">
          <w:rPr>
            <w:webHidden/>
          </w:rPr>
          <w:fldChar w:fldCharType="separate"/>
        </w:r>
        <w:r w:rsidR="003C78C5">
          <w:rPr>
            <w:webHidden/>
          </w:rPr>
          <w:t>9</w:t>
        </w:r>
        <w:r w:rsidR="003C78C5">
          <w:rPr>
            <w:webHidden/>
          </w:rPr>
          <w:fldChar w:fldCharType="end"/>
        </w:r>
      </w:hyperlink>
    </w:p>
    <w:p w14:paraId="02ACD26C" w14:textId="20CFA4DC"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76" w:history="1">
        <w:r w:rsidR="003C78C5" w:rsidRPr="00F35DE4">
          <w:rPr>
            <w:rStyle w:val="Hyperlink"/>
            <w:rFonts w:ascii="Times New Roman" w:hAnsi="Times New Roman"/>
            <w:noProof/>
          </w:rPr>
          <w:t>3.2</w:t>
        </w:r>
        <w:r w:rsidR="003C78C5">
          <w:rPr>
            <w:rFonts w:asciiTheme="minorHAnsi" w:eastAsiaTheme="minorEastAsia" w:hAnsiTheme="minorHAnsi" w:cstheme="minorBidi"/>
            <w:noProof/>
            <w:kern w:val="2"/>
            <w:lang w:val="en-IE" w:eastAsia="en-IE"/>
            <w14:ligatures w14:val="standardContextual"/>
          </w:rPr>
          <w:tab/>
        </w:r>
        <w:r w:rsidR="003C78C5" w:rsidRPr="00F35DE4">
          <w:rPr>
            <w:rStyle w:val="Hyperlink"/>
            <w:rFonts w:ascii="Times New Roman" w:hAnsi="Times New Roman"/>
            <w:noProof/>
          </w:rPr>
          <w:t>Jižní sousedství</w:t>
        </w:r>
        <w:r w:rsidR="003C78C5">
          <w:rPr>
            <w:noProof/>
            <w:webHidden/>
          </w:rPr>
          <w:tab/>
        </w:r>
        <w:r w:rsidR="003C78C5">
          <w:rPr>
            <w:noProof/>
            <w:webHidden/>
          </w:rPr>
          <w:fldChar w:fldCharType="begin"/>
        </w:r>
        <w:r w:rsidR="003C78C5">
          <w:rPr>
            <w:noProof/>
            <w:webHidden/>
          </w:rPr>
          <w:instrText xml:space="preserve"> PAGEREF _Toc167873076 \h </w:instrText>
        </w:r>
        <w:r w:rsidR="003C78C5">
          <w:rPr>
            <w:noProof/>
            <w:webHidden/>
          </w:rPr>
        </w:r>
        <w:r w:rsidR="003C78C5">
          <w:rPr>
            <w:noProof/>
            <w:webHidden/>
          </w:rPr>
          <w:fldChar w:fldCharType="separate"/>
        </w:r>
        <w:r w:rsidR="003C78C5">
          <w:rPr>
            <w:noProof/>
            <w:webHidden/>
          </w:rPr>
          <w:t>10</w:t>
        </w:r>
        <w:r w:rsidR="003C78C5">
          <w:rPr>
            <w:noProof/>
            <w:webHidden/>
          </w:rPr>
          <w:fldChar w:fldCharType="end"/>
        </w:r>
      </w:hyperlink>
    </w:p>
    <w:p w14:paraId="3B111B3E" w14:textId="0013D2C2" w:rsidR="003C78C5" w:rsidRDefault="00AE0685">
      <w:pPr>
        <w:pStyle w:val="TOC3"/>
        <w:rPr>
          <w:rFonts w:asciiTheme="minorHAnsi" w:eastAsiaTheme="minorEastAsia" w:hAnsiTheme="minorHAnsi" w:cstheme="minorBidi"/>
          <w:kern w:val="2"/>
          <w:lang w:val="en-IE" w:eastAsia="en-IE"/>
          <w14:ligatures w14:val="standardContextual"/>
        </w:rPr>
      </w:pPr>
      <w:hyperlink w:anchor="_Toc167873077" w:history="1">
        <w:r w:rsidR="003C78C5" w:rsidRPr="00F35DE4">
          <w:rPr>
            <w:rStyle w:val="Hyperlink"/>
            <w:rFonts w:ascii="Symbol" w:hAnsi="Symbol"/>
          </w:rPr>
          <w:t></w:t>
        </w:r>
        <w:r w:rsidR="003C78C5">
          <w:rPr>
            <w:rFonts w:asciiTheme="minorHAnsi" w:eastAsiaTheme="minorEastAsia" w:hAnsiTheme="minorHAnsi" w:cstheme="minorBidi"/>
            <w:kern w:val="2"/>
            <w:lang w:val="en-IE" w:eastAsia="en-IE"/>
            <w14:ligatures w14:val="standardContextual"/>
          </w:rPr>
          <w:tab/>
        </w:r>
        <w:r w:rsidR="003C78C5" w:rsidRPr="00F35DE4">
          <w:rPr>
            <w:rStyle w:val="Hyperlink"/>
          </w:rPr>
          <w:t>Jordánsko</w:t>
        </w:r>
        <w:r w:rsidR="003C78C5">
          <w:rPr>
            <w:webHidden/>
          </w:rPr>
          <w:tab/>
        </w:r>
        <w:r w:rsidR="003C78C5">
          <w:rPr>
            <w:webHidden/>
          </w:rPr>
          <w:fldChar w:fldCharType="begin"/>
        </w:r>
        <w:r w:rsidR="003C78C5">
          <w:rPr>
            <w:webHidden/>
          </w:rPr>
          <w:instrText xml:space="preserve"> PAGEREF _Toc167873077 \h </w:instrText>
        </w:r>
        <w:r w:rsidR="003C78C5">
          <w:rPr>
            <w:webHidden/>
          </w:rPr>
        </w:r>
        <w:r w:rsidR="003C78C5">
          <w:rPr>
            <w:webHidden/>
          </w:rPr>
          <w:fldChar w:fldCharType="separate"/>
        </w:r>
        <w:r w:rsidR="003C78C5">
          <w:rPr>
            <w:webHidden/>
          </w:rPr>
          <w:t>10</w:t>
        </w:r>
        <w:r w:rsidR="003C78C5">
          <w:rPr>
            <w:webHidden/>
          </w:rPr>
          <w:fldChar w:fldCharType="end"/>
        </w:r>
      </w:hyperlink>
    </w:p>
    <w:p w14:paraId="1A4EF5F1" w14:textId="23FDC3F7"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78" w:history="1">
        <w:r w:rsidR="003C78C5" w:rsidRPr="00F35DE4">
          <w:rPr>
            <w:rStyle w:val="Hyperlink"/>
            <w:rFonts w:ascii="Times New Roman" w:hAnsi="Times New Roman"/>
            <w:noProof/>
          </w:rPr>
          <w:t>3.3</w:t>
        </w:r>
        <w:r w:rsidR="003C78C5">
          <w:rPr>
            <w:rFonts w:asciiTheme="minorHAnsi" w:eastAsiaTheme="minorEastAsia" w:hAnsiTheme="minorHAnsi" w:cstheme="minorBidi"/>
            <w:noProof/>
            <w:kern w:val="2"/>
            <w:lang w:val="en-IE" w:eastAsia="en-IE"/>
            <w14:ligatures w14:val="standardContextual"/>
          </w:rPr>
          <w:tab/>
        </w:r>
        <w:r w:rsidR="003C78C5" w:rsidRPr="00F35DE4">
          <w:rPr>
            <w:rStyle w:val="Hyperlink"/>
            <w:rFonts w:ascii="Times New Roman" w:hAnsi="Times New Roman"/>
            <w:noProof/>
          </w:rPr>
          <w:t>Západní Balkán</w:t>
        </w:r>
        <w:r w:rsidR="003C78C5">
          <w:rPr>
            <w:noProof/>
            <w:webHidden/>
          </w:rPr>
          <w:tab/>
        </w:r>
        <w:r w:rsidR="003C78C5">
          <w:rPr>
            <w:noProof/>
            <w:webHidden/>
          </w:rPr>
          <w:fldChar w:fldCharType="begin"/>
        </w:r>
        <w:r w:rsidR="003C78C5">
          <w:rPr>
            <w:noProof/>
            <w:webHidden/>
          </w:rPr>
          <w:instrText xml:space="preserve"> PAGEREF _Toc167873078 \h </w:instrText>
        </w:r>
        <w:r w:rsidR="003C78C5">
          <w:rPr>
            <w:noProof/>
            <w:webHidden/>
          </w:rPr>
        </w:r>
        <w:r w:rsidR="003C78C5">
          <w:rPr>
            <w:noProof/>
            <w:webHidden/>
          </w:rPr>
          <w:fldChar w:fldCharType="separate"/>
        </w:r>
        <w:r w:rsidR="003C78C5">
          <w:rPr>
            <w:noProof/>
            <w:webHidden/>
          </w:rPr>
          <w:t>11</w:t>
        </w:r>
        <w:r w:rsidR="003C78C5">
          <w:rPr>
            <w:noProof/>
            <w:webHidden/>
          </w:rPr>
          <w:fldChar w:fldCharType="end"/>
        </w:r>
      </w:hyperlink>
    </w:p>
    <w:p w14:paraId="623DEF06" w14:textId="77871F75" w:rsidR="003C78C5" w:rsidRDefault="00AE0685">
      <w:pPr>
        <w:pStyle w:val="TOC3"/>
        <w:rPr>
          <w:rFonts w:asciiTheme="minorHAnsi" w:eastAsiaTheme="minorEastAsia" w:hAnsiTheme="minorHAnsi" w:cstheme="minorBidi"/>
          <w:kern w:val="2"/>
          <w:lang w:val="en-IE" w:eastAsia="en-IE"/>
          <w14:ligatures w14:val="standardContextual"/>
        </w:rPr>
      </w:pPr>
      <w:hyperlink w:anchor="_Toc167873079" w:history="1">
        <w:r w:rsidR="003C78C5" w:rsidRPr="00F35DE4">
          <w:rPr>
            <w:rStyle w:val="Hyperlink"/>
            <w:rFonts w:ascii="Symbol" w:hAnsi="Symbol"/>
          </w:rPr>
          <w:t></w:t>
        </w:r>
        <w:r w:rsidR="003C78C5">
          <w:rPr>
            <w:rFonts w:asciiTheme="minorHAnsi" w:eastAsiaTheme="minorEastAsia" w:hAnsiTheme="minorHAnsi" w:cstheme="minorBidi"/>
            <w:kern w:val="2"/>
            <w:lang w:val="en-IE" w:eastAsia="en-IE"/>
            <w14:ligatures w14:val="standardContextual"/>
          </w:rPr>
          <w:tab/>
        </w:r>
        <w:r w:rsidR="003C78C5" w:rsidRPr="00F35DE4">
          <w:rPr>
            <w:rStyle w:val="Hyperlink"/>
          </w:rPr>
          <w:t>Severní Makedonie</w:t>
        </w:r>
        <w:r w:rsidR="003C78C5">
          <w:rPr>
            <w:webHidden/>
          </w:rPr>
          <w:tab/>
        </w:r>
        <w:r w:rsidR="003C78C5">
          <w:rPr>
            <w:webHidden/>
          </w:rPr>
          <w:fldChar w:fldCharType="begin"/>
        </w:r>
        <w:r w:rsidR="003C78C5">
          <w:rPr>
            <w:webHidden/>
          </w:rPr>
          <w:instrText xml:space="preserve"> PAGEREF _Toc167873079 \h </w:instrText>
        </w:r>
        <w:r w:rsidR="003C78C5">
          <w:rPr>
            <w:webHidden/>
          </w:rPr>
        </w:r>
        <w:r w:rsidR="003C78C5">
          <w:rPr>
            <w:webHidden/>
          </w:rPr>
          <w:fldChar w:fldCharType="separate"/>
        </w:r>
        <w:r w:rsidR="003C78C5">
          <w:rPr>
            <w:webHidden/>
          </w:rPr>
          <w:t>11</w:t>
        </w:r>
        <w:r w:rsidR="003C78C5">
          <w:rPr>
            <w:webHidden/>
          </w:rPr>
          <w:fldChar w:fldCharType="end"/>
        </w:r>
      </w:hyperlink>
    </w:p>
    <w:p w14:paraId="7D07962A" w14:textId="0B49D753" w:rsidR="003C78C5" w:rsidRDefault="00AE0685">
      <w:pPr>
        <w:pStyle w:val="TOC1"/>
        <w:rPr>
          <w:rFonts w:asciiTheme="minorHAnsi" w:eastAsiaTheme="minorEastAsia" w:hAnsiTheme="minorHAnsi" w:cstheme="minorBidi"/>
          <w:b w:val="0"/>
          <w:caps w:val="0"/>
          <w:kern w:val="2"/>
          <w:sz w:val="22"/>
          <w:szCs w:val="22"/>
          <w:lang w:val="en-IE" w:eastAsia="en-IE"/>
          <w14:ligatures w14:val="standardContextual"/>
        </w:rPr>
      </w:pPr>
      <w:hyperlink w:anchor="_Toc167873080" w:history="1">
        <w:r w:rsidR="003C78C5" w:rsidRPr="00F35DE4">
          <w:rPr>
            <w:rStyle w:val="Hyperlink"/>
          </w:rPr>
          <w:t>4.</w:t>
        </w:r>
        <w:r w:rsidR="003C78C5">
          <w:rPr>
            <w:rFonts w:asciiTheme="minorHAnsi" w:eastAsiaTheme="minorEastAsia" w:hAnsiTheme="minorHAnsi" w:cstheme="minorBidi"/>
            <w:b w:val="0"/>
            <w:caps w:val="0"/>
            <w:kern w:val="2"/>
            <w:sz w:val="22"/>
            <w:szCs w:val="22"/>
            <w:lang w:val="en-IE" w:eastAsia="en-IE"/>
            <w14:ligatures w14:val="standardContextual"/>
          </w:rPr>
          <w:tab/>
        </w:r>
        <w:r w:rsidR="003C78C5" w:rsidRPr="00F35DE4">
          <w:rPr>
            <w:rStyle w:val="Hyperlink"/>
          </w:rPr>
          <w:t xml:space="preserve">ZAJIŠŤOVÁNÍ NÁLEŽITÉHO VYUŽITÍ PROSTŘEDKŮ MAKROFINANČNÍ POMOCI: OPERAČNÍ HODNOCENÍ, HODNOCENÍ </w:t>
        </w:r>
        <w:r w:rsidR="003C78C5" w:rsidRPr="00F35DE4">
          <w:rPr>
            <w:rStyle w:val="Hyperlink"/>
            <w:i/>
            <w:iCs/>
          </w:rPr>
          <w:t>EX POST</w:t>
        </w:r>
        <w:r w:rsidR="003C78C5">
          <w:rPr>
            <w:webHidden/>
          </w:rPr>
          <w:tab/>
        </w:r>
        <w:r w:rsidR="003C78C5">
          <w:rPr>
            <w:webHidden/>
          </w:rPr>
          <w:fldChar w:fldCharType="begin"/>
        </w:r>
        <w:r w:rsidR="003C78C5">
          <w:rPr>
            <w:webHidden/>
          </w:rPr>
          <w:instrText xml:space="preserve"> PAGEREF _Toc167873080 \h </w:instrText>
        </w:r>
        <w:r w:rsidR="003C78C5">
          <w:rPr>
            <w:webHidden/>
          </w:rPr>
        </w:r>
        <w:r w:rsidR="003C78C5">
          <w:rPr>
            <w:webHidden/>
          </w:rPr>
          <w:fldChar w:fldCharType="separate"/>
        </w:r>
        <w:r w:rsidR="003C78C5">
          <w:rPr>
            <w:webHidden/>
          </w:rPr>
          <w:t>12</w:t>
        </w:r>
        <w:r w:rsidR="003C78C5">
          <w:rPr>
            <w:webHidden/>
          </w:rPr>
          <w:fldChar w:fldCharType="end"/>
        </w:r>
      </w:hyperlink>
    </w:p>
    <w:p w14:paraId="2718B30F" w14:textId="1E84839C"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81" w:history="1">
        <w:r w:rsidR="003C78C5" w:rsidRPr="00F35DE4">
          <w:rPr>
            <w:rStyle w:val="Hyperlink"/>
            <w:rFonts w:ascii="Times New Roman" w:hAnsi="Times New Roman"/>
            <w:noProof/>
          </w:rPr>
          <w:t>4.1</w:t>
        </w:r>
        <w:r w:rsidR="003C78C5">
          <w:rPr>
            <w:rFonts w:asciiTheme="minorHAnsi" w:eastAsiaTheme="minorEastAsia" w:hAnsiTheme="minorHAnsi" w:cstheme="minorBidi"/>
            <w:noProof/>
            <w:kern w:val="2"/>
            <w:lang w:val="en-IE" w:eastAsia="en-IE"/>
            <w14:ligatures w14:val="standardContextual"/>
          </w:rPr>
          <w:tab/>
        </w:r>
        <w:r w:rsidR="003C78C5" w:rsidRPr="00F35DE4">
          <w:rPr>
            <w:rStyle w:val="Hyperlink"/>
            <w:rFonts w:ascii="Times New Roman" w:hAnsi="Times New Roman"/>
            <w:noProof/>
          </w:rPr>
          <w:t>Operační hodnocení</w:t>
        </w:r>
        <w:r w:rsidR="003C78C5">
          <w:rPr>
            <w:noProof/>
            <w:webHidden/>
          </w:rPr>
          <w:tab/>
        </w:r>
        <w:r w:rsidR="003C78C5">
          <w:rPr>
            <w:noProof/>
            <w:webHidden/>
          </w:rPr>
          <w:fldChar w:fldCharType="begin"/>
        </w:r>
        <w:r w:rsidR="003C78C5">
          <w:rPr>
            <w:noProof/>
            <w:webHidden/>
          </w:rPr>
          <w:instrText xml:space="preserve"> PAGEREF _Toc167873081 \h </w:instrText>
        </w:r>
        <w:r w:rsidR="003C78C5">
          <w:rPr>
            <w:noProof/>
            <w:webHidden/>
          </w:rPr>
        </w:r>
        <w:r w:rsidR="003C78C5">
          <w:rPr>
            <w:noProof/>
            <w:webHidden/>
          </w:rPr>
          <w:fldChar w:fldCharType="separate"/>
        </w:r>
        <w:r w:rsidR="003C78C5">
          <w:rPr>
            <w:noProof/>
            <w:webHidden/>
          </w:rPr>
          <w:t>12</w:t>
        </w:r>
        <w:r w:rsidR="003C78C5">
          <w:rPr>
            <w:noProof/>
            <w:webHidden/>
          </w:rPr>
          <w:fldChar w:fldCharType="end"/>
        </w:r>
      </w:hyperlink>
    </w:p>
    <w:p w14:paraId="799A0C34" w14:textId="3B51532D"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82" w:history="1">
        <w:r w:rsidR="003C78C5" w:rsidRPr="00F35DE4">
          <w:rPr>
            <w:rStyle w:val="Hyperlink"/>
            <w:rFonts w:ascii="Times New Roman" w:hAnsi="Times New Roman"/>
            <w:noProof/>
          </w:rPr>
          <w:t>4.2</w:t>
        </w:r>
        <w:r w:rsidR="003C78C5">
          <w:rPr>
            <w:rStyle w:val="Hyperlink"/>
            <w:rFonts w:ascii="Times New Roman" w:hAnsi="Times New Roman"/>
            <w:noProof/>
          </w:rPr>
          <w:tab/>
        </w:r>
        <w:r w:rsidR="003C78C5" w:rsidRPr="00F35DE4">
          <w:rPr>
            <w:rStyle w:val="Hyperlink"/>
            <w:rFonts w:ascii="Times New Roman" w:hAnsi="Times New Roman"/>
            <w:noProof/>
          </w:rPr>
          <w:t>Hodnocení</w:t>
        </w:r>
        <w:r w:rsidR="003C78C5">
          <w:rPr>
            <w:noProof/>
            <w:webHidden/>
          </w:rPr>
          <w:tab/>
        </w:r>
        <w:r w:rsidR="003C78C5">
          <w:rPr>
            <w:noProof/>
            <w:webHidden/>
          </w:rPr>
          <w:fldChar w:fldCharType="begin"/>
        </w:r>
        <w:r w:rsidR="003C78C5">
          <w:rPr>
            <w:noProof/>
            <w:webHidden/>
          </w:rPr>
          <w:instrText xml:space="preserve"> PAGEREF _Toc167873082 \h </w:instrText>
        </w:r>
        <w:r w:rsidR="003C78C5">
          <w:rPr>
            <w:noProof/>
            <w:webHidden/>
          </w:rPr>
        </w:r>
        <w:r w:rsidR="003C78C5">
          <w:rPr>
            <w:noProof/>
            <w:webHidden/>
          </w:rPr>
          <w:fldChar w:fldCharType="separate"/>
        </w:r>
        <w:r w:rsidR="003C78C5">
          <w:rPr>
            <w:noProof/>
            <w:webHidden/>
          </w:rPr>
          <w:t>12</w:t>
        </w:r>
        <w:r w:rsidR="003C78C5">
          <w:rPr>
            <w:noProof/>
            <w:webHidden/>
          </w:rPr>
          <w:fldChar w:fldCharType="end"/>
        </w:r>
      </w:hyperlink>
    </w:p>
    <w:p w14:paraId="25D32B37" w14:textId="698A4941" w:rsidR="003C78C5" w:rsidRDefault="00AE0685">
      <w:pPr>
        <w:pStyle w:val="TOC1"/>
        <w:rPr>
          <w:rFonts w:asciiTheme="minorHAnsi" w:eastAsiaTheme="minorEastAsia" w:hAnsiTheme="minorHAnsi" w:cstheme="minorBidi"/>
          <w:b w:val="0"/>
          <w:caps w:val="0"/>
          <w:kern w:val="2"/>
          <w:sz w:val="22"/>
          <w:szCs w:val="22"/>
          <w:lang w:val="en-IE" w:eastAsia="en-IE"/>
          <w14:ligatures w14:val="standardContextual"/>
        </w:rPr>
      </w:pPr>
      <w:hyperlink w:anchor="_Toc167873083" w:history="1">
        <w:r w:rsidR="003C78C5" w:rsidRPr="00F35DE4">
          <w:rPr>
            <w:rStyle w:val="Hyperlink"/>
            <w:rFonts w:ascii="Times New Roman Bold" w:hAnsi="Times New Roman Bold"/>
            <w:smallCaps/>
          </w:rPr>
          <w:t>5.</w:t>
        </w:r>
        <w:r w:rsidR="003C78C5">
          <w:rPr>
            <w:rFonts w:asciiTheme="minorHAnsi" w:eastAsiaTheme="minorEastAsia" w:hAnsiTheme="minorHAnsi" w:cstheme="minorBidi"/>
            <w:b w:val="0"/>
            <w:caps w:val="0"/>
            <w:kern w:val="2"/>
            <w:sz w:val="22"/>
            <w:szCs w:val="22"/>
            <w:lang w:val="en-IE" w:eastAsia="en-IE"/>
            <w14:ligatures w14:val="standardContextual"/>
          </w:rPr>
          <w:tab/>
        </w:r>
        <w:r w:rsidR="003C78C5" w:rsidRPr="00F35DE4">
          <w:rPr>
            <w:rStyle w:val="Hyperlink"/>
            <w:rFonts w:ascii="Times New Roman Bold" w:hAnsi="Times New Roman Bold"/>
            <w:smallCaps/>
          </w:rPr>
          <w:t>Obecný vývoj v souvislosti s nástrojem makrofinanční pomoci</w:t>
        </w:r>
        <w:r w:rsidR="003C78C5">
          <w:rPr>
            <w:webHidden/>
          </w:rPr>
          <w:tab/>
        </w:r>
        <w:r w:rsidR="003C78C5">
          <w:rPr>
            <w:webHidden/>
          </w:rPr>
          <w:fldChar w:fldCharType="begin"/>
        </w:r>
        <w:r w:rsidR="003C78C5">
          <w:rPr>
            <w:webHidden/>
          </w:rPr>
          <w:instrText xml:space="preserve"> PAGEREF _Toc167873083 \h </w:instrText>
        </w:r>
        <w:r w:rsidR="003C78C5">
          <w:rPr>
            <w:webHidden/>
          </w:rPr>
        </w:r>
        <w:r w:rsidR="003C78C5">
          <w:rPr>
            <w:webHidden/>
          </w:rPr>
          <w:fldChar w:fldCharType="separate"/>
        </w:r>
        <w:r w:rsidR="003C78C5">
          <w:rPr>
            <w:webHidden/>
          </w:rPr>
          <w:t>13</w:t>
        </w:r>
        <w:r w:rsidR="003C78C5">
          <w:rPr>
            <w:webHidden/>
          </w:rPr>
          <w:fldChar w:fldCharType="end"/>
        </w:r>
      </w:hyperlink>
    </w:p>
    <w:p w14:paraId="312DAE6E" w14:textId="00AB2AFC"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84" w:history="1">
        <w:r w:rsidR="003C78C5" w:rsidRPr="00F35DE4">
          <w:rPr>
            <w:rStyle w:val="Hyperlink"/>
            <w:rFonts w:ascii="Times New Roman" w:hAnsi="Times New Roman"/>
            <w:noProof/>
          </w:rPr>
          <w:t>5.1</w:t>
        </w:r>
        <w:r w:rsidR="003C78C5">
          <w:rPr>
            <w:rFonts w:asciiTheme="minorHAnsi" w:eastAsiaTheme="minorEastAsia" w:hAnsiTheme="minorHAnsi" w:cstheme="minorBidi"/>
            <w:noProof/>
            <w:kern w:val="2"/>
            <w:lang w:val="en-IE" w:eastAsia="en-IE"/>
            <w14:ligatures w14:val="standardContextual"/>
          </w:rPr>
          <w:tab/>
        </w:r>
        <w:r w:rsidR="003C78C5" w:rsidRPr="00F35DE4">
          <w:rPr>
            <w:rStyle w:val="Hyperlink"/>
            <w:rFonts w:ascii="Times New Roman" w:hAnsi="Times New Roman"/>
            <w:noProof/>
          </w:rPr>
          <w:t>Fungování nástroje makrofinanční pomoci</w:t>
        </w:r>
        <w:r w:rsidR="003C78C5">
          <w:rPr>
            <w:noProof/>
            <w:webHidden/>
          </w:rPr>
          <w:tab/>
        </w:r>
        <w:r w:rsidR="003C78C5">
          <w:rPr>
            <w:noProof/>
            <w:webHidden/>
          </w:rPr>
          <w:fldChar w:fldCharType="begin"/>
        </w:r>
        <w:r w:rsidR="003C78C5">
          <w:rPr>
            <w:noProof/>
            <w:webHidden/>
          </w:rPr>
          <w:instrText xml:space="preserve"> PAGEREF _Toc167873084 \h </w:instrText>
        </w:r>
        <w:r w:rsidR="003C78C5">
          <w:rPr>
            <w:noProof/>
            <w:webHidden/>
          </w:rPr>
        </w:r>
        <w:r w:rsidR="003C78C5">
          <w:rPr>
            <w:noProof/>
            <w:webHidden/>
          </w:rPr>
          <w:fldChar w:fldCharType="separate"/>
        </w:r>
        <w:r w:rsidR="003C78C5">
          <w:rPr>
            <w:noProof/>
            <w:webHidden/>
          </w:rPr>
          <w:t>13</w:t>
        </w:r>
        <w:r w:rsidR="003C78C5">
          <w:rPr>
            <w:noProof/>
            <w:webHidden/>
          </w:rPr>
          <w:fldChar w:fldCharType="end"/>
        </w:r>
      </w:hyperlink>
    </w:p>
    <w:p w14:paraId="40897672" w14:textId="616B028F" w:rsidR="003C78C5" w:rsidRDefault="00AE0685">
      <w:pPr>
        <w:pStyle w:val="TOC2"/>
        <w:rPr>
          <w:rFonts w:asciiTheme="minorHAnsi" w:eastAsiaTheme="minorEastAsia" w:hAnsiTheme="minorHAnsi" w:cstheme="minorBidi"/>
          <w:noProof/>
          <w:kern w:val="2"/>
          <w:lang w:val="en-IE" w:eastAsia="en-IE"/>
          <w14:ligatures w14:val="standardContextual"/>
        </w:rPr>
      </w:pPr>
      <w:hyperlink w:anchor="_Toc167873085" w:history="1">
        <w:r w:rsidR="003C78C5" w:rsidRPr="00F35DE4">
          <w:rPr>
            <w:rStyle w:val="Hyperlink"/>
            <w:rFonts w:ascii="Times New Roman" w:hAnsi="Times New Roman"/>
            <w:noProof/>
          </w:rPr>
          <w:t>5.2</w:t>
        </w:r>
        <w:r w:rsidR="003C78C5">
          <w:rPr>
            <w:rStyle w:val="Hyperlink"/>
            <w:rFonts w:ascii="Times New Roman" w:hAnsi="Times New Roman"/>
            <w:noProof/>
          </w:rPr>
          <w:tab/>
        </w:r>
        <w:r w:rsidR="003C78C5" w:rsidRPr="00F35DE4">
          <w:rPr>
            <w:rStyle w:val="Hyperlink"/>
            <w:rFonts w:ascii="Times New Roman" w:hAnsi="Times New Roman"/>
            <w:noProof/>
          </w:rPr>
          <w:t>Makrofinanční pomoc ve víceletém finančním rámci 2021–2027</w:t>
        </w:r>
        <w:r w:rsidR="003C78C5">
          <w:rPr>
            <w:noProof/>
            <w:webHidden/>
          </w:rPr>
          <w:tab/>
        </w:r>
        <w:r w:rsidR="003C78C5">
          <w:rPr>
            <w:noProof/>
            <w:webHidden/>
          </w:rPr>
          <w:fldChar w:fldCharType="begin"/>
        </w:r>
        <w:r w:rsidR="003C78C5">
          <w:rPr>
            <w:noProof/>
            <w:webHidden/>
          </w:rPr>
          <w:instrText xml:space="preserve"> PAGEREF _Toc167873085 \h </w:instrText>
        </w:r>
        <w:r w:rsidR="003C78C5">
          <w:rPr>
            <w:noProof/>
            <w:webHidden/>
          </w:rPr>
        </w:r>
        <w:r w:rsidR="003C78C5">
          <w:rPr>
            <w:noProof/>
            <w:webHidden/>
          </w:rPr>
          <w:fldChar w:fldCharType="separate"/>
        </w:r>
        <w:r w:rsidR="003C78C5">
          <w:rPr>
            <w:noProof/>
            <w:webHidden/>
          </w:rPr>
          <w:t>14</w:t>
        </w:r>
        <w:r w:rsidR="003C78C5">
          <w:rPr>
            <w:noProof/>
            <w:webHidden/>
          </w:rPr>
          <w:fldChar w:fldCharType="end"/>
        </w:r>
      </w:hyperlink>
    </w:p>
    <w:p w14:paraId="7491CE00" w14:textId="1B8CB074" w:rsidR="003C78C5" w:rsidRDefault="00AE0685">
      <w:pPr>
        <w:pStyle w:val="TOC1"/>
        <w:rPr>
          <w:rFonts w:asciiTheme="minorHAnsi" w:eastAsiaTheme="minorEastAsia" w:hAnsiTheme="minorHAnsi" w:cstheme="minorBidi"/>
          <w:b w:val="0"/>
          <w:caps w:val="0"/>
          <w:kern w:val="2"/>
          <w:sz w:val="22"/>
          <w:szCs w:val="22"/>
          <w:lang w:val="en-IE" w:eastAsia="en-IE"/>
          <w14:ligatures w14:val="standardContextual"/>
        </w:rPr>
      </w:pPr>
      <w:hyperlink w:anchor="_Toc167873086" w:history="1">
        <w:r w:rsidR="003C78C5" w:rsidRPr="00F35DE4">
          <w:rPr>
            <w:rStyle w:val="Hyperlink"/>
            <w:smallCaps/>
          </w:rPr>
          <w:t>6.</w:t>
        </w:r>
        <w:r w:rsidR="003C78C5">
          <w:rPr>
            <w:rFonts w:asciiTheme="minorHAnsi" w:eastAsiaTheme="minorEastAsia" w:hAnsiTheme="minorHAnsi" w:cstheme="minorBidi"/>
            <w:b w:val="0"/>
            <w:caps w:val="0"/>
            <w:kern w:val="2"/>
            <w:sz w:val="22"/>
            <w:szCs w:val="22"/>
            <w:lang w:val="en-IE" w:eastAsia="en-IE"/>
            <w14:ligatures w14:val="standardContextual"/>
          </w:rPr>
          <w:tab/>
        </w:r>
        <w:r w:rsidR="003C78C5" w:rsidRPr="00F35DE4">
          <w:rPr>
            <w:rStyle w:val="Hyperlink"/>
            <w:smallCaps/>
          </w:rPr>
          <w:t>Výhled do budoucna – operace makrofinanční pomoci a rozpočtová situace v roce</w:t>
        </w:r>
        <w:r w:rsidR="003C78C5" w:rsidRPr="00F35DE4">
          <w:rPr>
            <w:rStyle w:val="Hyperlink"/>
          </w:rPr>
          <w:t xml:space="preserve"> </w:t>
        </w:r>
        <w:r w:rsidR="003C78C5" w:rsidRPr="00F35DE4">
          <w:rPr>
            <w:rStyle w:val="Hyperlink"/>
            <w:smallCaps/>
          </w:rPr>
          <w:t>2024</w:t>
        </w:r>
        <w:r w:rsidR="003C78C5">
          <w:rPr>
            <w:webHidden/>
          </w:rPr>
          <w:tab/>
        </w:r>
        <w:r w:rsidR="003C78C5">
          <w:rPr>
            <w:webHidden/>
          </w:rPr>
          <w:fldChar w:fldCharType="begin"/>
        </w:r>
        <w:r w:rsidR="003C78C5">
          <w:rPr>
            <w:webHidden/>
          </w:rPr>
          <w:instrText xml:space="preserve"> PAGEREF _Toc167873086 \h </w:instrText>
        </w:r>
        <w:r w:rsidR="003C78C5">
          <w:rPr>
            <w:webHidden/>
          </w:rPr>
        </w:r>
        <w:r w:rsidR="003C78C5">
          <w:rPr>
            <w:webHidden/>
          </w:rPr>
          <w:fldChar w:fldCharType="separate"/>
        </w:r>
        <w:r w:rsidR="003C78C5">
          <w:rPr>
            <w:webHidden/>
          </w:rPr>
          <w:t>16</w:t>
        </w:r>
        <w:r w:rsidR="003C78C5">
          <w:rPr>
            <w:webHidden/>
          </w:rPr>
          <w:fldChar w:fldCharType="end"/>
        </w:r>
      </w:hyperlink>
    </w:p>
    <w:p w14:paraId="3B67B6CE" w14:textId="1898C6FF" w:rsidR="00A73E70" w:rsidRPr="009B5F0F" w:rsidRDefault="00CE000D">
      <w:pPr>
        <w:jc w:val="center"/>
        <w:rPr>
          <w:rFonts w:ascii="Times New Roman" w:hAnsi="Times New Roman"/>
          <w:noProof/>
          <w:color w:val="7F7F7F" w:themeColor="text1" w:themeTint="80"/>
          <w:sz w:val="28"/>
        </w:rPr>
      </w:pPr>
      <w:r w:rsidRPr="009B5F0F">
        <w:rPr>
          <w:rFonts w:ascii="Times New Roman" w:hAnsi="Times New Roman"/>
          <w:noProof/>
          <w:color w:val="7F7F7F" w:themeColor="text1" w:themeTint="80"/>
        </w:rPr>
        <w:fldChar w:fldCharType="end"/>
      </w:r>
    </w:p>
    <w:p w14:paraId="27267498" w14:textId="748F0672" w:rsidR="00234EB3" w:rsidRPr="009B5F0F" w:rsidRDefault="00234EB3">
      <w:pPr>
        <w:spacing w:after="120" w:line="240" w:lineRule="auto"/>
        <w:jc w:val="center"/>
        <w:rPr>
          <w:rFonts w:ascii="Times New Roman" w:hAnsi="Times New Roman"/>
          <w:noProof/>
          <w:color w:val="7F7F7F" w:themeColor="text1" w:themeTint="80"/>
          <w:sz w:val="28"/>
        </w:rPr>
      </w:pPr>
    </w:p>
    <w:p w14:paraId="2DF7354E" w14:textId="212AEE6D" w:rsidR="00234EB3" w:rsidRPr="009B5F0F" w:rsidRDefault="00234EB3">
      <w:pPr>
        <w:spacing w:after="120" w:line="240" w:lineRule="auto"/>
        <w:jc w:val="center"/>
        <w:rPr>
          <w:rFonts w:ascii="Times New Roman" w:hAnsi="Times New Roman"/>
          <w:noProof/>
          <w:color w:val="7F7F7F" w:themeColor="text1" w:themeTint="80"/>
          <w:sz w:val="28"/>
        </w:rPr>
      </w:pPr>
    </w:p>
    <w:p w14:paraId="07099D59" w14:textId="3F02F946" w:rsidR="00234EB3" w:rsidRPr="009B5F0F" w:rsidRDefault="00234EB3">
      <w:pPr>
        <w:spacing w:after="120" w:line="240" w:lineRule="auto"/>
        <w:jc w:val="center"/>
        <w:rPr>
          <w:rFonts w:ascii="Times New Roman" w:hAnsi="Times New Roman"/>
          <w:noProof/>
          <w:color w:val="7F7F7F" w:themeColor="text1" w:themeTint="80"/>
          <w:sz w:val="28"/>
        </w:rPr>
      </w:pPr>
    </w:p>
    <w:p w14:paraId="414E67D6" w14:textId="77777777" w:rsidR="00743117" w:rsidRPr="009B5F0F" w:rsidRDefault="00743117">
      <w:pPr>
        <w:spacing w:after="120" w:line="240" w:lineRule="auto"/>
        <w:jc w:val="center"/>
        <w:rPr>
          <w:rFonts w:ascii="Times New Roman" w:hAnsi="Times New Roman"/>
          <w:noProof/>
          <w:color w:val="7F7F7F" w:themeColor="text1" w:themeTint="80"/>
          <w:sz w:val="28"/>
        </w:rPr>
      </w:pPr>
    </w:p>
    <w:p w14:paraId="02932EBA" w14:textId="77777777" w:rsidR="00743117" w:rsidRPr="009B5F0F" w:rsidRDefault="00743117">
      <w:pPr>
        <w:spacing w:after="120" w:line="240" w:lineRule="auto"/>
        <w:jc w:val="center"/>
        <w:rPr>
          <w:rFonts w:ascii="Times New Roman" w:hAnsi="Times New Roman"/>
          <w:noProof/>
          <w:color w:val="7F7F7F" w:themeColor="text1" w:themeTint="80"/>
          <w:sz w:val="28"/>
        </w:rPr>
      </w:pPr>
    </w:p>
    <w:p w14:paraId="7E3D2D60" w14:textId="77777777" w:rsidR="00743117" w:rsidRPr="009B5F0F" w:rsidRDefault="00743117">
      <w:pPr>
        <w:spacing w:after="120" w:line="240" w:lineRule="auto"/>
        <w:jc w:val="center"/>
        <w:rPr>
          <w:rFonts w:ascii="Times New Roman" w:hAnsi="Times New Roman"/>
          <w:noProof/>
          <w:color w:val="7F7F7F" w:themeColor="text1" w:themeTint="80"/>
          <w:sz w:val="28"/>
        </w:rPr>
      </w:pPr>
    </w:p>
    <w:p w14:paraId="7021D87B" w14:textId="535FF730" w:rsidR="00234EB3" w:rsidRPr="009B5F0F" w:rsidRDefault="00234EB3">
      <w:pPr>
        <w:spacing w:after="120" w:line="240" w:lineRule="auto"/>
        <w:jc w:val="center"/>
        <w:rPr>
          <w:rFonts w:ascii="Times New Roman" w:eastAsia="Times New Roman" w:hAnsi="Times New Roman"/>
          <w:b/>
          <w:noProof/>
          <w:sz w:val="28"/>
          <w:szCs w:val="24"/>
        </w:rPr>
      </w:pPr>
    </w:p>
    <w:p w14:paraId="6E983F23" w14:textId="77777777" w:rsidR="00BF3DAB" w:rsidRPr="009B5F0F" w:rsidRDefault="00BF3DAB">
      <w:pPr>
        <w:spacing w:after="120" w:line="240" w:lineRule="auto"/>
        <w:jc w:val="center"/>
        <w:rPr>
          <w:rFonts w:ascii="Times New Roman" w:eastAsia="Times New Roman" w:hAnsi="Times New Roman"/>
          <w:b/>
          <w:noProof/>
          <w:sz w:val="28"/>
          <w:szCs w:val="24"/>
        </w:rPr>
      </w:pPr>
    </w:p>
    <w:p w14:paraId="14DCC8D1" w14:textId="77777777" w:rsidR="00A73E70" w:rsidRPr="009B5F0F" w:rsidRDefault="00CE000D">
      <w:pPr>
        <w:spacing w:before="360" w:after="0" w:line="240" w:lineRule="auto"/>
        <w:jc w:val="center"/>
        <w:rPr>
          <w:rFonts w:ascii="Times New Roman" w:eastAsia="Times New Roman" w:hAnsi="Times New Roman"/>
          <w:b/>
          <w:noProof/>
          <w:sz w:val="24"/>
          <w:szCs w:val="24"/>
        </w:rPr>
      </w:pPr>
      <w:bookmarkStart w:id="2" w:name="_Toc320792966"/>
      <w:r>
        <w:rPr>
          <w:rFonts w:ascii="Times New Roman" w:hAnsi="Times New Roman"/>
          <w:b/>
          <w:noProof/>
          <w:sz w:val="24"/>
        </w:rPr>
        <w:t>ZPRÁVA KOMISE EVROPSKÉMU PARLAMENTU A RADĚ</w:t>
      </w:r>
    </w:p>
    <w:p w14:paraId="7510B471" w14:textId="693553EF" w:rsidR="00A73E70" w:rsidRPr="009B5F0F" w:rsidRDefault="00CE000D">
      <w:pPr>
        <w:spacing w:before="360" w:after="360" w:line="240" w:lineRule="auto"/>
        <w:jc w:val="center"/>
        <w:rPr>
          <w:rFonts w:ascii="Times New Roman" w:eastAsia="Times New Roman" w:hAnsi="Times New Roman"/>
          <w:b/>
          <w:noProof/>
          <w:sz w:val="24"/>
          <w:szCs w:val="24"/>
        </w:rPr>
      </w:pPr>
      <w:r>
        <w:rPr>
          <w:rFonts w:ascii="Times New Roman" w:hAnsi="Times New Roman"/>
          <w:b/>
          <w:noProof/>
          <w:sz w:val="24"/>
        </w:rPr>
        <w:t>o provádění makrofinanční pomoci třetím zemím v roce 2023 (</w:t>
      </w:r>
      <w:r w:rsidRPr="00505C89">
        <w:rPr>
          <w:rStyle w:val="FootnoteReference"/>
          <w:rFonts w:ascii="Times New Roman" w:eastAsia="Times New Roman" w:hAnsi="Times New Roman"/>
          <w:noProof/>
          <w:sz w:val="24"/>
          <w:szCs w:val="24"/>
        </w:rPr>
        <w:footnoteReference w:id="2"/>
      </w:r>
      <w:r>
        <w:rPr>
          <w:rFonts w:ascii="Times New Roman" w:hAnsi="Times New Roman"/>
          <w:b/>
          <w:noProof/>
          <w:sz w:val="24"/>
        </w:rPr>
        <w:t>)</w:t>
      </w:r>
    </w:p>
    <w:p w14:paraId="1CE74DF0" w14:textId="10A83E20" w:rsidR="00A73E70" w:rsidRPr="009B5F0F" w:rsidRDefault="00CE000D" w:rsidP="00004266">
      <w:pPr>
        <w:pStyle w:val="Heading1"/>
        <w:numPr>
          <w:ilvl w:val="0"/>
          <w:numId w:val="45"/>
        </w:numPr>
        <w:spacing w:before="360" w:after="120"/>
        <w:rPr>
          <w:rFonts w:ascii="Times New Roman" w:hAnsi="Times New Roman"/>
          <w:caps/>
          <w:noProof/>
          <w:sz w:val="24"/>
          <w:szCs w:val="24"/>
        </w:rPr>
      </w:pPr>
      <w:bookmarkStart w:id="3" w:name="_Toc413398853"/>
      <w:bookmarkStart w:id="4" w:name="_Toc443576308"/>
      <w:bookmarkStart w:id="5" w:name="_Toc167873067"/>
      <w:r>
        <w:rPr>
          <w:rFonts w:ascii="Times New Roman" w:hAnsi="Times New Roman"/>
          <w:noProof/>
          <w:sz w:val="24"/>
        </w:rPr>
        <w:t>Úvod</w:t>
      </w:r>
      <w:bookmarkEnd w:id="2"/>
      <w:bookmarkEnd w:id="3"/>
      <w:bookmarkEnd w:id="4"/>
      <w:bookmarkEnd w:id="5"/>
    </w:p>
    <w:p w14:paraId="70A59F77" w14:textId="12797E3B" w:rsidR="00A73E70" w:rsidRPr="009B5F0F" w:rsidRDefault="00CE000D" w:rsidP="00D70255">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Makrofinanční pomoc (MFA) je finanční nástroj EU (</w:t>
      </w:r>
      <w:r w:rsidRPr="009B5F0F">
        <w:rPr>
          <w:rStyle w:val="FootnoteReference"/>
          <w:rFonts w:ascii="Times New Roman" w:eastAsia="Times New Roman" w:hAnsi="Times New Roman"/>
          <w:noProof/>
          <w:sz w:val="24"/>
          <w:szCs w:val="24"/>
        </w:rPr>
        <w:footnoteReference w:id="3"/>
      </w:r>
      <w:r>
        <w:rPr>
          <w:rFonts w:ascii="Times New Roman" w:hAnsi="Times New Roman"/>
          <w:noProof/>
          <w:sz w:val="24"/>
        </w:rPr>
        <w:t>) poskytovaný partnerským zemím, které se potýkají s krizí platební bilance. Od svého založení v roce 1990 pomáhá makrofinanční pomoc zlepšovat makroekonomickou a finanční stabilitu a zároveň podporuje strukturální reformy v zemích sousedících s EU nebo geograficky blízkých EU. Většinou doplňuje úvěrovou dohodu, která nemá preventivní charakter, uzavřenou s Mezinárodním měnovým fondem (MMF) (</w:t>
      </w:r>
      <w:r w:rsidR="00F13CDB" w:rsidRPr="009B5F0F">
        <w:rPr>
          <w:rStyle w:val="FootnoteReference"/>
          <w:rFonts w:ascii="Times New Roman" w:eastAsia="Times New Roman" w:hAnsi="Times New Roman"/>
          <w:noProof/>
          <w:sz w:val="24"/>
          <w:szCs w:val="24"/>
        </w:rPr>
        <w:footnoteReference w:id="4"/>
      </w:r>
      <w:r>
        <w:rPr>
          <w:rFonts w:ascii="Times New Roman" w:hAnsi="Times New Roman"/>
          <w:noProof/>
          <w:sz w:val="24"/>
        </w:rPr>
        <w:t>) a je existencí takové dohody podmíněna. Tím, že tato pomoc uleví partnerské zemi od určitého tlaku na řešení základních problémů, které způsobují napětí v platební bilanci, jí umožní zlepšit udržitelnost dluhu a zaměřit se na prosazování potřebných reforem. Díky snazšímu provádění makroekonomické korekce mohou mít operace makrofinanční pomoci pozitivní sociální dopad, což dává zemi více času a prostoru k řešení základních příčin krize.</w:t>
      </w:r>
    </w:p>
    <w:p w14:paraId="1CE389AD" w14:textId="56F86043" w:rsidR="00A73E70" w:rsidRPr="009B5F0F" w:rsidRDefault="00CE000D" w:rsidP="00D70255">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Makrofinanční pomoc má nejčastěji podobu úvěrů, které Komise finančně pokrývá z půjček na kapitálových trzích, a dále je půjčuje přijímající zemi. Ve výjimečných případech má podobu grantů financovaných z rozpočtu EU. Někdy to může být kombinace úvěrů a grantů.</w:t>
      </w:r>
    </w:p>
    <w:p w14:paraId="6025659F" w14:textId="47AEA9F1" w:rsidR="00A73E70" w:rsidRPr="009B5F0F" w:rsidRDefault="00CE000D" w:rsidP="00D70255">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Makrofinanční pomoc se uvolňuje ve splátkách a pouze v případě, že jsou splněna všechna konkrétní kritéria strukturálních reforem dohodnutá s danou zemí. Kromě toho existuje politický předpoklad pro udělení makrofinanční pomoci, který se týká demokratických mechanismů, k nimž patří parlamentní systém založený na pluralitě politických stran a dodržování zásad právního státu, a dodržování lidských práv danou zemí. Makrofinanční pomoc takto doplňuje běžnou pomoc, kterou EU poskytuje v rámci spolupráce, a přispívá k obecnějšímu cíli, jímž je zachování stability a podpora prosperity a základních hodnot EU za jejími hranicemi (</w:t>
      </w:r>
      <w:r w:rsidRPr="009B5F0F">
        <w:rPr>
          <w:rStyle w:val="FootnoteReference"/>
          <w:rFonts w:ascii="Times New Roman" w:eastAsia="Times New Roman" w:hAnsi="Times New Roman"/>
          <w:noProof/>
          <w:sz w:val="24"/>
          <w:szCs w:val="24"/>
        </w:rPr>
        <w:footnoteReference w:id="5"/>
      </w:r>
      <w:r>
        <w:rPr>
          <w:rFonts w:ascii="Times New Roman" w:hAnsi="Times New Roman"/>
          <w:noProof/>
          <w:sz w:val="24"/>
        </w:rPr>
        <w:t xml:space="preserve">). To potvrzují i zjištění několika </w:t>
      </w:r>
      <w:r>
        <w:rPr>
          <w:rFonts w:ascii="Times New Roman" w:hAnsi="Times New Roman"/>
          <w:noProof/>
          <w:sz w:val="24"/>
        </w:rPr>
        <w:lastRenderedPageBreak/>
        <w:t>nezávislých hodnocení dokončených operací makrofinanční pomoci (</w:t>
      </w:r>
      <w:r w:rsidRPr="009B5F0F">
        <w:rPr>
          <w:rStyle w:val="FootnoteReference"/>
          <w:rFonts w:ascii="Times New Roman" w:eastAsia="Times New Roman" w:hAnsi="Times New Roman"/>
          <w:noProof/>
          <w:sz w:val="24"/>
          <w:szCs w:val="24"/>
        </w:rPr>
        <w:footnoteReference w:id="6"/>
      </w:r>
      <w:r>
        <w:rPr>
          <w:rFonts w:ascii="Times New Roman" w:hAnsi="Times New Roman"/>
          <w:noProof/>
          <w:sz w:val="24"/>
        </w:rPr>
        <w:t>), jakož i nedávné metahodnocení operací za poslední desetiletí (</w:t>
      </w:r>
      <w:r w:rsidR="00F96ED0" w:rsidRPr="009B5F0F">
        <w:rPr>
          <w:rStyle w:val="FootnoteReference"/>
          <w:rFonts w:ascii="Times New Roman" w:eastAsia="Times New Roman" w:hAnsi="Times New Roman"/>
          <w:noProof/>
          <w:sz w:val="24"/>
          <w:szCs w:val="24"/>
        </w:rPr>
        <w:footnoteReference w:id="7"/>
      </w:r>
      <w:r>
        <w:rPr>
          <w:rFonts w:ascii="Times New Roman" w:hAnsi="Times New Roman"/>
          <w:noProof/>
          <w:sz w:val="24"/>
        </w:rPr>
        <w:t>).</w:t>
      </w:r>
    </w:p>
    <w:p w14:paraId="7D9BAFFF" w14:textId="21C8815E" w:rsidR="00E915A3" w:rsidRPr="009B5F0F" w:rsidRDefault="66565E68" w:rsidP="00D70255">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Rok 2023 byl pro tento nástroj pozoruhodný díky rekordnímu objemu finančních prostředků mobilizovaných v důsledku operace makrofinanční pomoci+ na Ukrajině v reakci na pokračující agresivní válku ze strany Ruska. Tímto mimořádným úsilím EU rovněž prokázala, že její projevy solidarity se spolehlivě odrážejí v činech, a stala se největším poskytovatelem finanční pomoci Ukrajině a zároveň pokračuje v podpoře dalších partnerů postižených hospodářskými důsledky války na Ukrajině. Kromě bezprecedentní množstevní velikosti a nové záruky v podobě tzv. „manévrovacího prostoru“ (viz rámeček 1) podpora rovněž prokázala pružnost a přizpůsobivost makrofinanční pomoci v reakci na výzvy ve výjimečných krizových situacích při zachování základních stabilizačních funkcí nástroje. Zejména reformy, které přinesla makrofinanční pomoc+, zdůrazňují odpovídající přidanou hodnotu makrofinanční pomoci i v těch nejtěžších válečných podmínkách.</w:t>
      </w:r>
    </w:p>
    <w:p w14:paraId="6006099A" w14:textId="2417AE45" w:rsidR="00A73E70" w:rsidRPr="009B5F0F" w:rsidRDefault="00CE000D" w:rsidP="00D70255">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Výroční zpráva za rok 2023 byla vypracována v souladu s informačními povinnostmi Komise, jež jsou stanoveny v rozhodnutích Evropského parlamentu a Rady týkajících se operací makrofinanční pomoci (</w:t>
      </w:r>
      <w:r w:rsidR="00EE5847" w:rsidRPr="009B5F0F">
        <w:rPr>
          <w:rStyle w:val="FootnoteReference"/>
          <w:rFonts w:ascii="Times New Roman" w:eastAsia="Times New Roman" w:hAnsi="Times New Roman"/>
          <w:noProof/>
          <w:sz w:val="24"/>
          <w:szCs w:val="24"/>
        </w:rPr>
        <w:footnoteReference w:id="8"/>
      </w:r>
      <w:r>
        <w:rPr>
          <w:rFonts w:ascii="Times New Roman" w:hAnsi="Times New Roman"/>
          <w:noProof/>
          <w:sz w:val="24"/>
        </w:rPr>
        <w:t>). Zprávu doplňuje pracovní dokument útvarů Komise, v němž je uvedena podrobnější analýza provádění jednotlivých operací makrofinanční pomoci.</w:t>
      </w:r>
    </w:p>
    <w:p w14:paraId="62AB4F08" w14:textId="24B16FC6" w:rsidR="00A73E70" w:rsidRPr="009B5F0F" w:rsidRDefault="00CE000D" w:rsidP="00004266">
      <w:pPr>
        <w:pStyle w:val="Heading1"/>
        <w:numPr>
          <w:ilvl w:val="0"/>
          <w:numId w:val="45"/>
        </w:numPr>
        <w:spacing w:line="240" w:lineRule="auto"/>
        <w:rPr>
          <w:rFonts w:ascii="Times New Roman" w:hAnsi="Times New Roman"/>
          <w:smallCaps/>
          <w:noProof/>
          <w:sz w:val="24"/>
          <w:szCs w:val="24"/>
        </w:rPr>
      </w:pPr>
      <w:bookmarkStart w:id="7" w:name="_Toc167873068"/>
      <w:r>
        <w:rPr>
          <w:rFonts w:ascii="Times New Roman" w:hAnsi="Times New Roman"/>
          <w:smallCaps/>
          <w:noProof/>
          <w:sz w:val="24"/>
        </w:rPr>
        <w:t>Makroekonomický vývoj v partnerských zemích</w:t>
      </w:r>
      <w:bookmarkEnd w:id="7"/>
    </w:p>
    <w:p w14:paraId="4E28D735" w14:textId="77777777" w:rsidR="001245E9" w:rsidRDefault="00DB4DFA" w:rsidP="00856548">
      <w:pPr>
        <w:spacing w:line="240" w:lineRule="auto"/>
        <w:jc w:val="both"/>
        <w:rPr>
          <w:rFonts w:ascii="Times New Roman" w:hAnsi="Times New Roman"/>
          <w:noProof/>
          <w:sz w:val="24"/>
          <w:szCs w:val="24"/>
        </w:rPr>
      </w:pPr>
      <w:r>
        <w:rPr>
          <w:rFonts w:ascii="Times New Roman" w:hAnsi="Times New Roman"/>
          <w:noProof/>
          <w:sz w:val="24"/>
        </w:rPr>
        <w:t xml:space="preserve">V roce 2023 se sousední země a země v procesu rozšíření EU nadále pomalu zotavovaly z hospodářských dopadů spojených s následky pandemie, ruské invaze na Ukrajinu v plném rozsahu a přetrvávajících problémů způsobených krizí vyvolanou vysokými životními náklady. </w:t>
      </w:r>
    </w:p>
    <w:p w14:paraId="769315B4" w14:textId="2B187169" w:rsidR="001245E9" w:rsidRDefault="00DB4DFA" w:rsidP="00856548">
      <w:pPr>
        <w:spacing w:line="240" w:lineRule="auto"/>
        <w:jc w:val="both"/>
        <w:rPr>
          <w:rFonts w:ascii="Times New Roman" w:hAnsi="Times New Roman"/>
          <w:noProof/>
          <w:sz w:val="24"/>
          <w:szCs w:val="24"/>
        </w:rPr>
      </w:pPr>
      <w:r>
        <w:rPr>
          <w:rFonts w:ascii="Times New Roman" w:hAnsi="Times New Roman"/>
          <w:noProof/>
          <w:sz w:val="24"/>
        </w:rPr>
        <w:t xml:space="preserve">Země východního sousedství byly v roce 2023 na rozdílných ekonomických trajektoriích. Inflace se v průběhu roku díky přísnějším měnovým podmínkám a poklesu cen komodit zmírnila. Přetrvávající nestabilita spojená s ruskou agresivní válkou proti Ukrajině však ovlivnila náladu spotřebitelů a investorů a Ázerbájdžán i Moldavsko zaznamenaly pomalý hospodářský růst. Na druhé straně Arménie a Gruzie zaznamenaly silnější hospodářskou aktivitu, kterou podpořil příliv ruských migrantů a odpovídající nárůst peněžních transferů. Ukrajina je po zotavení silněji, než se předpokládalo (z propadu téměř 30 % HDP v roce 2022), což ukazuje pozoruhodnou odolnost domácností a firem při přizpůsobení válečným podmínkám. </w:t>
      </w:r>
    </w:p>
    <w:p w14:paraId="408962D3" w14:textId="07240AD7" w:rsidR="001245E9" w:rsidRDefault="00F91D49" w:rsidP="00856548">
      <w:pPr>
        <w:spacing w:line="240" w:lineRule="auto"/>
        <w:jc w:val="both"/>
        <w:rPr>
          <w:rFonts w:ascii="Times New Roman" w:hAnsi="Times New Roman"/>
          <w:noProof/>
          <w:sz w:val="24"/>
          <w:szCs w:val="24"/>
        </w:rPr>
      </w:pPr>
      <w:r>
        <w:rPr>
          <w:rFonts w:ascii="Times New Roman" w:hAnsi="Times New Roman"/>
          <w:noProof/>
          <w:sz w:val="24"/>
        </w:rPr>
        <w:t>Pokud jde o jižní sousedství, eskalace na Blízkém východě od posledního čtvrtletí roku 2023 zvýšila geopolitickou nestabilitu a napětí v regionu. To mělo dopad především na ekonomiku Izraele a Palestiny, přičemž sousední země byly postiženy důsledky války, zejména v oblasti cestovního ruchu. Navzdory těmto problémům se však očekává, že ekonomika regionu bude v průběhu roku 2023 nadále oživovat a že ve většině zemí dojde k celkovému zpomalení inflace.</w:t>
      </w:r>
    </w:p>
    <w:p w14:paraId="5609E5A1" w14:textId="630D295E" w:rsidR="0094312D" w:rsidRPr="009B5F0F" w:rsidRDefault="00457857" w:rsidP="00856548">
      <w:pPr>
        <w:spacing w:line="240" w:lineRule="auto"/>
        <w:jc w:val="both"/>
        <w:rPr>
          <w:rFonts w:ascii="Times New Roman" w:hAnsi="Times New Roman"/>
          <w:noProof/>
          <w:sz w:val="24"/>
          <w:szCs w:val="24"/>
        </w:rPr>
      </w:pPr>
      <w:r>
        <w:rPr>
          <w:rFonts w:ascii="Times New Roman" w:hAnsi="Times New Roman"/>
          <w:noProof/>
          <w:sz w:val="24"/>
        </w:rPr>
        <w:t>Na západním Balkáně se hospodářský růst oproti roku 2022 zrychlil, a to díky silné domácí poptávce. To částečně odpovídá tomu, jak region těžil z nižších cen komodit, což vedlo ke zpomalení inflace (a odpovídajícímu zvýšení disponibilního příjmu). To následně umožnilo zemím s vlastním měnovým orgánem zmírnit tempo zpřísňování měnové politiky.</w:t>
      </w:r>
    </w:p>
    <w:p w14:paraId="5E33E0DA" w14:textId="56C97CB9" w:rsidR="00C83937" w:rsidRPr="009B5F0F" w:rsidRDefault="008F1C37" w:rsidP="00A97C58">
      <w:pPr>
        <w:spacing w:line="240" w:lineRule="auto"/>
        <w:jc w:val="both"/>
        <w:rPr>
          <w:rFonts w:ascii="Times New Roman" w:hAnsi="Times New Roman"/>
          <w:noProof/>
          <w:sz w:val="24"/>
          <w:szCs w:val="24"/>
        </w:rPr>
      </w:pPr>
      <w:r>
        <w:rPr>
          <w:rFonts w:ascii="Times New Roman" w:hAnsi="Times New Roman"/>
          <w:noProof/>
          <w:sz w:val="24"/>
        </w:rPr>
        <w:t>Tato část se podrobněji zabývá regionálními výzvami, kterým čelí země sousedící s EU a země západního Balkánu.</w:t>
      </w:r>
    </w:p>
    <w:p w14:paraId="6966C278" w14:textId="0AC2A74B" w:rsidR="00A73E70" w:rsidRPr="009B5F0F" w:rsidRDefault="00CE000D" w:rsidP="00004266">
      <w:pPr>
        <w:pStyle w:val="Heading2"/>
        <w:numPr>
          <w:ilvl w:val="1"/>
          <w:numId w:val="45"/>
        </w:numPr>
        <w:spacing w:after="120" w:line="240" w:lineRule="auto"/>
        <w:rPr>
          <w:rFonts w:ascii="Times New Roman" w:hAnsi="Times New Roman"/>
          <w:noProof/>
          <w:sz w:val="24"/>
          <w:szCs w:val="24"/>
        </w:rPr>
      </w:pPr>
      <w:bookmarkStart w:id="8" w:name="_Toc167873069"/>
      <w:r>
        <w:rPr>
          <w:noProof/>
        </w:rPr>
        <w:t>Východní partnerství</w:t>
      </w:r>
      <w:bookmarkEnd w:id="8"/>
    </w:p>
    <w:p w14:paraId="5C6736A7" w14:textId="1FB9BFD0" w:rsidR="0094312D" w:rsidRPr="009B5F0F" w:rsidRDefault="00785BE6" w:rsidP="006E1633">
      <w:pPr>
        <w:ind w:left="-20" w:right="-20"/>
        <w:jc w:val="both"/>
        <w:rPr>
          <w:rFonts w:ascii="Times New Roman" w:eastAsia="Times New Roman" w:hAnsi="Times New Roman"/>
          <w:noProof/>
          <w:sz w:val="24"/>
          <w:szCs w:val="24"/>
        </w:rPr>
      </w:pPr>
      <w:r>
        <w:rPr>
          <w:rFonts w:ascii="Times New Roman" w:hAnsi="Times New Roman"/>
          <w:noProof/>
          <w:sz w:val="24"/>
        </w:rPr>
        <w:t>Ekonomiky zemí Východního partnerství v roce 2023 procházely odlišným vývojem. Arménie a Gruzie díky silným investicím a domácí poptávce zaznamenaly další silnou hospodářskou expanzi, přičemž Gruzie měla prospěch z příchodu migrantů a peněžních transferů souvisejících s pokračující agresivní válkou Ruska proti Ukrajině. Po bezprecedentním propadu ekonomické aktivity po invazi v roce 2022 se ukrajinská ekonomika zotavovala rychleji, než se původně očekávalo, protože domácnosti i firmy prokázaly pozoruhodnou odolnost a schopnost přizpůsobit se válečnému prostředí. Běloruská ekonomika se díky oživení průmyslové výroby a rostoucí spotřebitelské poptávce odrazila ode dna. Na druhé straně spektra byla hospodářská aktivita slabá v Ázerbájdžánu (pokles HDP) a Moldavsku (pokles v 1. až 3. čtvrtletí a mírné oživení o 0,2 % meziročně ve 4. čtvrtletí), především v důsledku utlumené domácí poptávky v prostředí přetrvávající inflace. Růst spotřebitelských cen se v průběhu roku 2023 v důsledku nižších světových cen komodit a přísné měnové politiky výrazně zmírnil. V Arménii a Gruzii hrálo prudké zhodnocení místní měny rovněž roli při snižování importované inflace. V souvislosti s touto dezinflací centrální banky zpomalily svůj dřívější cyklus zpřísňování měnové politiky, i když různým tempem, přičemž nejopatrnější byla centrální banka Ázerbájdžánu.</w:t>
      </w:r>
    </w:p>
    <w:p w14:paraId="6A741B64" w14:textId="35CF6130" w:rsidR="0094312D" w:rsidRPr="009B5F0F" w:rsidRDefault="177F36D6" w:rsidP="006E1633">
      <w:pPr>
        <w:ind w:left="-20" w:right="-20"/>
        <w:jc w:val="both"/>
        <w:rPr>
          <w:rFonts w:ascii="Times New Roman" w:eastAsia="Times New Roman" w:hAnsi="Times New Roman"/>
          <w:noProof/>
          <w:sz w:val="24"/>
          <w:szCs w:val="24"/>
        </w:rPr>
      </w:pPr>
      <w:r>
        <w:rPr>
          <w:rFonts w:ascii="Times New Roman" w:hAnsi="Times New Roman"/>
          <w:noProof/>
          <w:sz w:val="24"/>
        </w:rPr>
        <w:t>S výjimkou Ukrajiny a Moldavska veřejné finance prokázaly svou odolnost, když navzdory slabší poptávce a rostoucím úrokovým nákladům došlo ke snížení schodků. Odhaduje se, že Ukrajina vykázala další obrovský rozpočtový schodek ve výši 19,7 % HDP, který je způsoben nezbytnými masivními výdaji na obranu (tvořícími přibližně 27 % HDP). V důsledku slabého růstu a opatření na podporu domácností se prohloubil i fiskální deficit Moldavska. Obě země však nadále těžily z významné finanční podpory od mezinárodních partnerů. Většina zemí Východního partnerství využila lepšího fiskálního prostoru a zvýšila své veřejné výdaje, zejména kapitálové. Pokud jde o zahraniční obchod, pozice běžného účtu v prvních devíti měsících roku 2023 celkově oslabily v důsledku rychlejšího růstu dovozu než vývozu, což odráží silnou domácí poptávku. V některých zemích navíc došlo k postupnému poklesu peněžních převodů z Ruska, a to zejména tam, kde se předtím prudce zvýšily bezprostředně po jeho invazi na Ukrajinu. V Ázerbájdžánu se přebytek běžného účtu výrazně snížil, byť z velmi vysoké úrovně v roce 2022, a to v důsledku obráceného efektu obchodních podmínek kvůli nižším cenám ropy a plynu.</w:t>
      </w:r>
    </w:p>
    <w:p w14:paraId="5D5E2304" w14:textId="2657607B" w:rsidR="7F492264" w:rsidRPr="009B5F0F" w:rsidRDefault="177F36D6" w:rsidP="002350C0">
      <w:pPr>
        <w:ind w:left="-20" w:right="-20"/>
        <w:jc w:val="both"/>
        <w:rPr>
          <w:rFonts w:ascii="EC Square Sans Pro" w:eastAsia="EC Square Sans Pro" w:hAnsi="EC Square Sans Pro" w:cs="EC Square Sans Pro"/>
          <w:noProof/>
          <w:sz w:val="24"/>
          <w:szCs w:val="24"/>
        </w:rPr>
      </w:pPr>
      <w:r>
        <w:rPr>
          <w:rFonts w:ascii="Times New Roman" w:hAnsi="Times New Roman"/>
          <w:noProof/>
          <w:sz w:val="24"/>
        </w:rPr>
        <w:t>Regionální výhled je i nadále zastřen mimořádně složitou geopolitickou situací. Ta zahrnuje ruskou agresivní válku proti Ukrajině a vojenskou operaci Ázerbájdžánu v Náhorním Karabachu v září 2023, která byla další připomínkou zranitelnosti regionu v důsledku různých přetrvávajících územních konfliktů. Tato nestabilita by mohla nadále brzdit náladu spotřebitelů a investorů. Kromě geopolitického napětí zůstává vnější prostředí nepříznivé, protože přísné podmínky mezinárodního financování by mohly omezit zahraniční poptávku a přístup k vnějšímu financování. Očekává se, že vliv těchto nepříznivých faktorů bude do značné míry kompenzován zvyšující se kupní silou při nižší inflaci a pokračující významnou finanční podporou (zejména Ukrajiny a Moldavska) ze strany mezinárodních partnerů. Ve střednědobém horizontu jsou pro země východního sousedství klíčovými výzvami slabá správa věcí veřejných, slabý institucionální rámec a nedostatečně rovné podmínky. K dalším překážkám patří nedostatky v podnikatelském prostředí a v infrastruktuře, nediverzifikovaná výrobní základna zaměřená na odvětví s nízkou přidanou hodnotou, výrazný vliv státu na ekonomiku a nedostatky v oblasti lidského kapitálu.</w:t>
      </w:r>
    </w:p>
    <w:p w14:paraId="1B5C1CD1" w14:textId="5002B81C" w:rsidR="00A73E70" w:rsidRPr="009B5F0F" w:rsidRDefault="00DB62B8" w:rsidP="00004266">
      <w:pPr>
        <w:pStyle w:val="Heading2"/>
        <w:numPr>
          <w:ilvl w:val="1"/>
          <w:numId w:val="45"/>
        </w:numPr>
        <w:spacing w:line="240" w:lineRule="auto"/>
        <w:rPr>
          <w:rFonts w:ascii="Times New Roman" w:hAnsi="Times New Roman"/>
          <w:noProof/>
          <w:sz w:val="24"/>
          <w:szCs w:val="24"/>
        </w:rPr>
      </w:pPr>
      <w:bookmarkStart w:id="9" w:name="_Toc167873070"/>
      <w:r>
        <w:rPr>
          <w:rFonts w:ascii="Times New Roman" w:hAnsi="Times New Roman"/>
          <w:noProof/>
          <w:sz w:val="24"/>
        </w:rPr>
        <w:t>Jižní sousedství</w:t>
      </w:r>
      <w:bookmarkEnd w:id="9"/>
    </w:p>
    <w:p w14:paraId="1B54DEF0" w14:textId="4731871F" w:rsidR="0094312D" w:rsidRPr="009B5F0F" w:rsidRDefault="2B183F7C" w:rsidP="00EC5B5E">
      <w:pPr>
        <w:ind w:left="-20" w:right="-20"/>
        <w:jc w:val="both"/>
        <w:rPr>
          <w:rFonts w:ascii="Times New Roman" w:eastAsia="Times New Roman" w:hAnsi="Times New Roman"/>
          <w:noProof/>
          <w:sz w:val="24"/>
          <w:szCs w:val="24"/>
        </w:rPr>
      </w:pPr>
      <w:r>
        <w:rPr>
          <w:rFonts w:ascii="Times New Roman" w:hAnsi="Times New Roman"/>
          <w:noProof/>
          <w:sz w:val="24"/>
        </w:rPr>
        <w:t>Většina ekonomik jižního sousedství v roce 2023 rostla, i když pomaleji než v období po pandemii v letech 2021–2022. Důsledky teroristických útoků Hamásu na území Izraele ze 7. října 2023 zvýšily riziko geopolitické nestability v regionu, což ovlivnilo především izraelskou ekonomiku, která měla v roce 2023 vzrůst o 2 %, a palestinskou ekonomiku, která měla klesnout o 6,7 %. Sousední země pocítily negativní dopad především na odvětví cestovního ruchu a obchodu.</w:t>
      </w:r>
    </w:p>
    <w:p w14:paraId="07F56936" w14:textId="6F8723FB" w:rsidR="7F4419CB" w:rsidRPr="009B5F0F" w:rsidRDefault="7F4419CB" w:rsidP="2E704C89">
      <w:pPr>
        <w:ind w:left="-20" w:right="-20"/>
        <w:jc w:val="both"/>
        <w:rPr>
          <w:rFonts w:ascii="Times New Roman" w:eastAsia="Times New Roman" w:hAnsi="Times New Roman"/>
          <w:noProof/>
          <w:sz w:val="24"/>
          <w:szCs w:val="24"/>
        </w:rPr>
      </w:pPr>
      <w:r>
        <w:rPr>
          <w:rFonts w:ascii="Times New Roman" w:hAnsi="Times New Roman"/>
          <w:noProof/>
          <w:sz w:val="24"/>
        </w:rPr>
        <w:t>Hospodářský růst v roce 2023 byl zpočátku poháněn pokračujícím oživením sektoru služeb, zejména cestovního ruchu, pohostinství a dopravy, neboť počet návštěvníků se v podstatě vrátil na úroveň před pandemií. Ve 4. čtvrtletí však došlo v odvětví cestovního ruchu v Izraeli, Palestině a v menší míře i v sousedních zemích ke zrušení rezervací v důsledku útoků ze 7. října 2023 a následného konfliktu. Ačkoli se nezaměstnanost obecně snížila, zůstala vysoká (v Jordánsku, Palestině a Tunisku přesáhla 15 %), přičemž neúměrně postihla ženy, mladé lidi a absolventy vysokých škol. Růst spotřebitelských cen v roce 2023 zpomalil v důsledku nižších světových cen energií (s výjimkou Libanonu a Egypta v důsledku četných krizí a nestabilních, zkreslujících paralelních směnných kurzů). V první polovině roku 2023 centrální banky pokračovaly ve zpřísňování měnové politiky v reakci na růst inflace v roce 2022 a na počátku roku 2023, který byl způsoben vysokými cenami komodit. Přestože se růst cen potravin zpomalil, zůstává vysoký. To představuje zvláštní výzvu, protože země jižního sousedství jsou do značné míry závislé na dovozu potravin a značná část jejich obyvatelstva žije v chudobě nebo blízko chudobě.</w:t>
      </w:r>
    </w:p>
    <w:p w14:paraId="1F14952C" w14:textId="2E7C36F1" w:rsidR="0094312D" w:rsidRPr="009B5F0F" w:rsidRDefault="2B183F7C" w:rsidP="008716D7">
      <w:pPr>
        <w:ind w:left="-20" w:right="-20"/>
        <w:jc w:val="both"/>
        <w:rPr>
          <w:rFonts w:ascii="Times New Roman" w:eastAsia="Times New Roman" w:hAnsi="Times New Roman"/>
          <w:noProof/>
          <w:sz w:val="24"/>
          <w:szCs w:val="24"/>
        </w:rPr>
      </w:pPr>
      <w:r>
        <w:rPr>
          <w:rFonts w:ascii="Times New Roman" w:hAnsi="Times New Roman"/>
          <w:noProof/>
          <w:sz w:val="24"/>
        </w:rPr>
        <w:t>Rozpočtové saldo se v letech 2022–2023 zlepšilo, a to i přes zvýšené dotace na pohonné hmoty a potraviny, zatímco úroveň veřejného dluhu zůstala nad úrovní před pandemií. Oživení cestovního ruchu podpořilo bilanci zahraničního obchodu spolu s výrazným přílivem remitencí. U dovozců energií však vyšší ceny energií na začátku roku 2023 vedly k tlaku na běžný účet, který se později zmírnil s tím, jak se ceny energií v průběhu roku 2023 snižovaly. Region také nadále těží z externí podpory od mezinárodních institucionálních věřitelů.</w:t>
      </w:r>
    </w:p>
    <w:p w14:paraId="23F03F03" w14:textId="06BFF753" w:rsidR="0094312D" w:rsidRPr="009B5F0F" w:rsidRDefault="2B183F7C" w:rsidP="00AF5C5D">
      <w:pPr>
        <w:ind w:left="-20" w:right="-20"/>
        <w:jc w:val="both"/>
        <w:rPr>
          <w:rFonts w:ascii="Times New Roman" w:eastAsia="Times New Roman" w:hAnsi="Times New Roman"/>
          <w:noProof/>
          <w:sz w:val="24"/>
          <w:szCs w:val="24"/>
        </w:rPr>
      </w:pPr>
      <w:r>
        <w:rPr>
          <w:rFonts w:ascii="Times New Roman" w:hAnsi="Times New Roman"/>
          <w:noProof/>
          <w:sz w:val="24"/>
        </w:rPr>
        <w:t>Podle výhledu bude většina zemí jižního sousedství v roce 2024 pokračovat v expanzi, protože inflační tlaky se zmírnily a zpřísňování měnové politiky se zpomalilo. Eskalace na Blízkém východě představuje v regionu významné riziko, protože má přímý dopad nejen na izraelskou a palestinskou* ekonomiku, ale také na odvětví cestovního ruchu v sousedních zemích. Kromě toho přispěla ke ztrátě vývozních a daňových příjmů v souvislosti s logistickými problémy po útocích v Rudém moři (Egypt, Jordánsko). Mezi další rizika výhledu patří geografické rozšíření konfliktu v regionu, které by mohlo ohrozit domácí a regionální politickou stabilitu a vést ke zvýšení cen komodit. Ve střednědobém horizontu jsou reformy i nadále klíčové pro modernizaci ekonomik, posílení rozvoje a konkurenceschopnosti soukromého sektoru a řešení neefektivity veřejného sektoru a správy věcí veřejných, aby se podpořil udržitelnější a odolnější model hospodářského růstu.</w:t>
      </w:r>
    </w:p>
    <w:p w14:paraId="4E3EB69E" w14:textId="0D7FDE2F" w:rsidR="00A73E70" w:rsidRPr="009B5F0F" w:rsidRDefault="00CE000D" w:rsidP="00004266">
      <w:pPr>
        <w:pStyle w:val="Heading2"/>
        <w:numPr>
          <w:ilvl w:val="1"/>
          <w:numId w:val="45"/>
        </w:numPr>
        <w:spacing w:after="120" w:line="240" w:lineRule="auto"/>
        <w:rPr>
          <w:rFonts w:ascii="Times New Roman" w:hAnsi="Times New Roman"/>
          <w:noProof/>
          <w:sz w:val="24"/>
          <w:szCs w:val="24"/>
        </w:rPr>
      </w:pPr>
      <w:bookmarkStart w:id="10" w:name="_Toc167873071"/>
      <w:r>
        <w:rPr>
          <w:rFonts w:ascii="Times New Roman" w:hAnsi="Times New Roman"/>
          <w:noProof/>
          <w:sz w:val="24"/>
        </w:rPr>
        <w:t>Západní Balkán</w:t>
      </w:r>
      <w:bookmarkEnd w:id="10"/>
    </w:p>
    <w:p w14:paraId="4BFC1210" w14:textId="0F99B70C" w:rsidR="009442AB" w:rsidRPr="009B5F0F" w:rsidRDefault="00012725" w:rsidP="00774722">
      <w:pPr>
        <w:jc w:val="both"/>
        <w:rPr>
          <w:rFonts w:ascii="Times New Roman" w:eastAsiaTheme="minorEastAsia" w:hAnsi="Times New Roman"/>
          <w:noProof/>
          <w:sz w:val="24"/>
          <w:szCs w:val="24"/>
        </w:rPr>
      </w:pPr>
      <w:r>
        <w:rPr>
          <w:rFonts w:ascii="Times New Roman" w:hAnsi="Times New Roman"/>
          <w:noProof/>
          <w:sz w:val="24"/>
        </w:rPr>
        <w:t>V roce 2023 byl hospodářský růst na západním Balkáně poháněn domácí poptávkou, zejména spotřebitelskými výdaji, přičemž HDP regionu vzrostl meziročně o 3,3 % oproti 2,1 % v roce 2022. Průměrný meziroční růst spotřebitelských cen ve třetím čtvrtletí roku 2023 v důsledku nižších cen komodit dále zpomalil na 8,1 % a ve většině ekonomik pokračoval v poklesu i po třetím čtvrtletí. V zemích s měnovou autonomií se tempo zpřísňování měnové politiky zpomalilo.</w:t>
      </w:r>
    </w:p>
    <w:p w14:paraId="2A34F1E0" w14:textId="7AB84D72" w:rsidR="00012725" w:rsidRPr="009B5F0F" w:rsidRDefault="00A7533D" w:rsidP="00012725">
      <w:pPr>
        <w:jc w:val="both"/>
        <w:rPr>
          <w:rFonts w:ascii="Times New Roman" w:eastAsiaTheme="minorHAnsi" w:hAnsi="Times New Roman"/>
          <w:bCs/>
          <w:iCs/>
          <w:noProof/>
          <w:sz w:val="24"/>
          <w:szCs w:val="24"/>
        </w:rPr>
      </w:pPr>
      <w:r>
        <w:rPr>
          <w:rFonts w:ascii="Times New Roman" w:hAnsi="Times New Roman"/>
          <w:noProof/>
          <w:sz w:val="24"/>
        </w:rPr>
        <w:t>Dynamiku obchodu obecně zpomaloval slabý a ve většině případů klesající vývoz zboží, který však byl kompenzován silným nárůstem vývozu služeb, zejména v zemích závislých na cestovním ruchu. Ve většině ekonomik regionu se také snížil dovoz. Klouzavý průměr schodku běžného účtu v regionu za poslední čtyři čtvrtletí se v prvních třech čtvrtletích roku 2023 nadále snižoval a v září klesl na 3,1 % HDP, což je méně než polovina jeho míry z předchozího roku a nejnižší úroveň od roku 2021. Toto zlepšení, které se projevilo napříč zeměmi, bylo způsobeno především pokračujícím růstem vývozu služeb, vyšším přílivem remitencí a klesajícím schodkem bilance v obchodu se zbožím, k čemuž přispělo zmírnění dovozních cen.</w:t>
      </w:r>
    </w:p>
    <w:p w14:paraId="4C2FF24B" w14:textId="0B800554" w:rsidR="00012725" w:rsidRPr="009B5F0F" w:rsidRDefault="00012725" w:rsidP="00012725">
      <w:pPr>
        <w:jc w:val="both"/>
        <w:rPr>
          <w:rFonts w:ascii="Times New Roman" w:eastAsiaTheme="minorEastAsia" w:hAnsi="Times New Roman"/>
          <w:noProof/>
          <w:sz w:val="24"/>
          <w:szCs w:val="24"/>
        </w:rPr>
      </w:pPr>
      <w:r>
        <w:rPr>
          <w:rFonts w:ascii="Times New Roman" w:hAnsi="Times New Roman"/>
          <w:noProof/>
          <w:sz w:val="24"/>
        </w:rPr>
        <w:t>Míra nezaměstnanosti ve většině ekonomik klesla a je na historicky nízké úrovni, i když ve srovnání s EU je stále vysoká. Průměrný růst zaměstnanosti se ve třetím čtvrtletí 2023 na západním Balkáně meziročně zrychlil na 1,4 % (</w:t>
      </w:r>
      <w:r w:rsidRPr="00505C89">
        <w:rPr>
          <w:rStyle w:val="FootnoteReference"/>
          <w:noProof/>
        </w:rPr>
        <w:footnoteReference w:id="9"/>
      </w:r>
      <w:r>
        <w:rPr>
          <w:rFonts w:ascii="Times New Roman" w:hAnsi="Times New Roman"/>
          <w:noProof/>
          <w:sz w:val="24"/>
        </w:rPr>
        <w:t>), zatímco v některých zemích se zvýšila míra účasti na trhu práce.</w:t>
      </w:r>
    </w:p>
    <w:p w14:paraId="4E0D5DB2" w14:textId="1024D41F" w:rsidR="00012725" w:rsidRPr="009B5F0F" w:rsidRDefault="00012725" w:rsidP="00012725">
      <w:pPr>
        <w:jc w:val="both"/>
        <w:rPr>
          <w:rFonts w:ascii="Times New Roman" w:eastAsiaTheme="minorHAnsi" w:hAnsi="Times New Roman"/>
          <w:iCs/>
          <w:noProof/>
          <w:sz w:val="24"/>
          <w:szCs w:val="24"/>
        </w:rPr>
      </w:pPr>
      <w:r>
        <w:rPr>
          <w:rFonts w:ascii="Times New Roman" w:hAnsi="Times New Roman"/>
          <w:noProof/>
          <w:sz w:val="24"/>
        </w:rPr>
        <w:t>Pokračující hospodářská expanze podpořila růst rozpočtových příjmů a rozpočtová salda se za prvních 11 měsíců roku 2023 ve většině ekonomik regionu zlepšila nebo zůstala na stejné úrovni jako v předchozím roce. Poměr veřejného dluhu k HDP se ve všech ekonomikách ve třetím čtvrtletí roku 2023 ve srovnání s koncem roku 2022 snížil, částečně v důsledku výrazného růstu nominálního HDP.</w:t>
      </w:r>
    </w:p>
    <w:p w14:paraId="00299A28" w14:textId="75294F86" w:rsidR="00012725" w:rsidRPr="009B5F0F" w:rsidRDefault="00B531BA" w:rsidP="00F76BBD">
      <w:pPr>
        <w:jc w:val="both"/>
        <w:rPr>
          <w:rFonts w:ascii="Times New Roman" w:hAnsi="Times New Roman"/>
          <w:noProof/>
          <w:sz w:val="24"/>
          <w:szCs w:val="24"/>
        </w:rPr>
      </w:pPr>
      <w:r>
        <w:rPr>
          <w:rFonts w:ascii="Times New Roman" w:hAnsi="Times New Roman"/>
          <w:noProof/>
          <w:sz w:val="24"/>
        </w:rPr>
        <w:t>Ekonomika v zemích západního Balkánu je připravena na mírné hospodářské oživení a očekává se, že v roce 2023 se její růst zvýší v průměru o přibližně 2,5 %. Očekává se, že faktory jako slabá zahraniční poptávka a vysoká inflace odezní, což umožní zemím vrátit se k vyššímu růstovému potenciálu. K růstu by měl přispět také vývoz v oblasti cestovního ruchu a stabilní převody peněz od pracovníků v zahraničí. Ekonomické vyhlídky regionu jsou výrazně ohroženy pokračováním ruské útočné války proti Ukrajině v plném rozsahu, což může mít dopad na světové ceny komodit a vést k potenciálnímu narušení dodavatelského řetězce a k opětovnému zpřísnění podmínek financování. Ve střednědobém horizontu je třeba provést reformy pro zvýšení produktivity, modernizaci veřejné infrastruktury, snížení rozsahu šedé ekonomiky a urychlení zelené a digitální transformace. Tyto kroky mají podpořit udržitelnější růst.</w:t>
      </w:r>
    </w:p>
    <w:p w14:paraId="31135956" w14:textId="4B67C243" w:rsidR="00937B16" w:rsidRPr="009B5F0F" w:rsidRDefault="00CE000D" w:rsidP="00004266">
      <w:pPr>
        <w:pStyle w:val="Heading1"/>
        <w:numPr>
          <w:ilvl w:val="0"/>
          <w:numId w:val="45"/>
        </w:numPr>
        <w:spacing w:before="360" w:after="120" w:line="240" w:lineRule="auto"/>
        <w:jc w:val="both"/>
        <w:rPr>
          <w:rFonts w:eastAsia="Calibri"/>
          <w:noProof/>
          <w:sz w:val="24"/>
          <w:szCs w:val="24"/>
        </w:rPr>
      </w:pPr>
      <w:bookmarkStart w:id="11" w:name="_Toc509572237"/>
      <w:bookmarkStart w:id="12" w:name="_Toc320792970"/>
      <w:bookmarkStart w:id="13" w:name="_Toc413398857"/>
      <w:bookmarkStart w:id="14" w:name="_Toc443576312"/>
      <w:bookmarkStart w:id="15" w:name="_Toc167873072"/>
      <w:bookmarkEnd w:id="11"/>
      <w:r>
        <w:rPr>
          <w:rFonts w:ascii="Times New Roman" w:hAnsi="Times New Roman"/>
          <w:smallCaps/>
          <w:noProof/>
          <w:sz w:val="24"/>
        </w:rPr>
        <w:t xml:space="preserve">Operace makrofinanční pomoci v roce </w:t>
      </w:r>
      <w:bookmarkEnd w:id="12"/>
      <w:bookmarkEnd w:id="13"/>
      <w:bookmarkEnd w:id="14"/>
      <w:r>
        <w:rPr>
          <w:rFonts w:ascii="Times New Roman" w:hAnsi="Times New Roman"/>
          <w:smallCaps/>
          <w:noProof/>
          <w:sz w:val="24"/>
        </w:rPr>
        <w:t>2023</w:t>
      </w:r>
      <w:bookmarkEnd w:id="15"/>
    </w:p>
    <w:p w14:paraId="180B44CD" w14:textId="05A440CA" w:rsidR="00716B71" w:rsidRPr="009B5F0F" w:rsidRDefault="00716B71" w:rsidP="00000646">
      <w:pPr>
        <w:jc w:val="both"/>
        <w:rPr>
          <w:rFonts w:ascii="Times New Roman" w:hAnsi="Times New Roman"/>
          <w:noProof/>
          <w:sz w:val="24"/>
          <w:szCs w:val="24"/>
        </w:rPr>
      </w:pPr>
      <w:r>
        <w:rPr>
          <w:rFonts w:ascii="Times New Roman" w:hAnsi="Times New Roman"/>
          <w:noProof/>
          <w:sz w:val="24"/>
        </w:rPr>
        <w:t>V roce 2023, uprostřed pokračujících dopadů ruské útočné války na Ukrajinu, byla pro Ukrajinu realizována a úspěšně dokončena nová rozsáhlá a výjimečná operace makrofinanční pomoci – makrofinanční pomoc plus (MFA+). Moldavsko zároveň obdrželo dodatečnou podporu v rámci probíhající operace makrofinanční pomoci. Makrofinanční pomoc Jordánsku byla úspěšně dokončena v roce 2023 a v květnu byla vyplacena poslední část podpory.</w:t>
      </w:r>
    </w:p>
    <w:p w14:paraId="54A7743D" w14:textId="03311952" w:rsidR="00000646" w:rsidRPr="009B5F0F" w:rsidRDefault="006753B4" w:rsidP="00000646">
      <w:pPr>
        <w:jc w:val="both"/>
        <w:rPr>
          <w:rFonts w:ascii="Times New Roman" w:eastAsia="Times New Roman" w:hAnsi="Times New Roman"/>
          <w:noProof/>
          <w:sz w:val="24"/>
          <w:szCs w:val="24"/>
        </w:rPr>
      </w:pPr>
      <w:r>
        <w:rPr>
          <w:rFonts w:ascii="Times New Roman" w:hAnsi="Times New Roman"/>
          <w:noProof/>
          <w:sz w:val="24"/>
        </w:rPr>
        <w:t>S ohledem na dlouhotrvající válku a zvýšené požadavky na financování Ukrajiny vydala Evropská rada v říjnu 2022 pokyn k vypracování komplexního řešení pro předvídatelnější a soustavnější podporu země. Komise navrhla balíček finanční pomoci v celkové výši 18 miliard EUR, strukturovaný jako vysoce zvýhodněná půjčka v rámci nového nástroje makrofinanční pomoci+, který Evropský parlament a Rada v prosinci 2022 rychle schválily s využitím veškeré procedurální flexibility. Nová makrofinanční pomoc plus byla navržena tak, aby poskytla včasné financování, které pomůže řešit okamžité potřeby financování Ukrajiny, obnovu kritické infrastruktury a počáteční poválečnou rekonstrukci. To bylo v souladu s cestou země k evropské integraci a zároveň zohledňovalo mimořádně náročnou situaci země tím, že oproti standardním operacím makrofinanční pomoci v řadě oblastí zahrnovalo dodatečnou flexibilitu. Memorandum o porozumění přijaté v polovině ledna 2023 stanovilo 20 politických podmínek, které byly v mimořádných válečných podmínkách identifikovány jako relevantní a proveditelné. Vzhledem k celkově dobrému pokroku v příslušných politických reformách byla celá částka makrofinanční pomoci plus vyplacena v šesti splátkách v období od ledna do prosince 2023.</w:t>
      </w:r>
    </w:p>
    <w:p w14:paraId="6CFCC453" w14:textId="5C80A4FA" w:rsidR="00A74BED" w:rsidRPr="009B5F0F" w:rsidRDefault="00755A2A" w:rsidP="00BF3DAB">
      <w:pPr>
        <w:jc w:val="both"/>
        <w:rPr>
          <w:rFonts w:ascii="Times New Roman" w:hAnsi="Times New Roman"/>
          <w:noProof/>
          <w:sz w:val="24"/>
          <w:szCs w:val="24"/>
        </w:rPr>
      </w:pPr>
      <w:r>
        <w:rPr>
          <w:rFonts w:ascii="Times New Roman" w:hAnsi="Times New Roman"/>
          <w:noProof/>
          <w:sz w:val="24"/>
        </w:rPr>
        <w:t>Pokračující ruská válka na Ukrajině rovněž zhoršila již tak obtížné hospodářské podmínky Moldavska. V reakci na to přijala Komise v lednu 2023 návrh na navýšení probíhající makrofinanční pomoci Moldavsku o 145 milionů EUR, které se skládá z půjček ve výši 100 milionů EUR a grantů ve výši 45 milionů EUR, čímž se celková částka makrofinanční pomoci zvýší na 295 milionů EUR. Rozhodnutí bylo přijato Evropským parlamentem a Radou v červnu 2023 a memorandum o porozumění mezi EU a Moldavskem vstoupilo v platnost v září 2023. Po splnění politických podmínek dohodnutých v moldavském memorandu o porozumění, které bylo za tímto účelem pozměněno, byla v říjnu 2023 vyplacena první ze dvou dodatečných splátek.</w:t>
      </w:r>
    </w:p>
    <w:p w14:paraId="0A9C5387" w14:textId="79FBDB0A" w:rsidR="000101AA" w:rsidRPr="009B5F0F" w:rsidRDefault="00000646" w:rsidP="00004266">
      <w:pPr>
        <w:jc w:val="both"/>
        <w:rPr>
          <w:noProof/>
        </w:rPr>
      </w:pPr>
      <w:r>
        <w:rPr>
          <w:rFonts w:ascii="Times New Roman" w:hAnsi="Times New Roman"/>
          <w:noProof/>
          <w:sz w:val="24"/>
        </w:rPr>
        <w:t>V květnu 2023, po celkově pozitivním hodnocení plnění souvisejících politických podmínek, Jordánsko obdrželo poslední splátku třetí operace makrofinanční pomoci, která vstoupila v platnost v lednu 2020 a která byla následně v dubnu 2020 zvýšena o dodatečnou částku v rámci programu COVID-19 (na celkovou částku 700 milionů EUR) na podporu země během pandemie COVID-19.</w:t>
      </w:r>
    </w:p>
    <w:p w14:paraId="3C488467" w14:textId="64C86A5D" w:rsidR="00A73E70" w:rsidRPr="009B5F0F" w:rsidRDefault="00CE000D" w:rsidP="4BA0A950">
      <w:pPr>
        <w:keepNext/>
        <w:spacing w:before="120" w:after="120" w:line="240" w:lineRule="auto"/>
        <w:jc w:val="both"/>
        <w:rPr>
          <w:rFonts w:ascii="Times New Roman" w:eastAsia="Times New Roman" w:hAnsi="Times New Roman"/>
          <w:b/>
          <w:noProof/>
          <w:kern w:val="32"/>
          <w:sz w:val="24"/>
          <w:szCs w:val="24"/>
        </w:rPr>
      </w:pPr>
      <w:r>
        <w:rPr>
          <w:rFonts w:ascii="Times New Roman" w:hAnsi="Times New Roman"/>
          <w:b/>
          <w:noProof/>
          <w:sz w:val="24"/>
        </w:rPr>
        <w:t>Stav provádění operací makrofinanční pomoci v roce 2023 (podle regionů):</w:t>
      </w:r>
    </w:p>
    <w:p w14:paraId="6D2468ED" w14:textId="6E18C4A1" w:rsidR="00A73E70" w:rsidRPr="009B5F0F" w:rsidRDefault="00CE000D" w:rsidP="00004266">
      <w:pPr>
        <w:pStyle w:val="Heading2"/>
        <w:numPr>
          <w:ilvl w:val="1"/>
          <w:numId w:val="45"/>
        </w:numPr>
        <w:rPr>
          <w:rFonts w:ascii="Times New Roman" w:hAnsi="Times New Roman"/>
          <w:noProof/>
          <w:sz w:val="24"/>
          <w:szCs w:val="24"/>
        </w:rPr>
      </w:pPr>
      <w:bookmarkStart w:id="16" w:name="_Toc167873073"/>
      <w:r>
        <w:rPr>
          <w:rFonts w:ascii="Times New Roman" w:hAnsi="Times New Roman"/>
          <w:noProof/>
          <w:sz w:val="24"/>
        </w:rPr>
        <w:t>Východní partnerství</w:t>
      </w:r>
      <w:bookmarkEnd w:id="16"/>
    </w:p>
    <w:p w14:paraId="28DA40B0" w14:textId="0995016A" w:rsidR="00A73E70" w:rsidRPr="009B5F0F" w:rsidRDefault="00CE000D" w:rsidP="00004266">
      <w:pPr>
        <w:pStyle w:val="Heading3"/>
        <w:numPr>
          <w:ilvl w:val="0"/>
          <w:numId w:val="48"/>
        </w:numPr>
        <w:spacing w:line="240" w:lineRule="auto"/>
      </w:pPr>
      <w:bookmarkStart w:id="17" w:name="_Toc167873074"/>
      <w:r>
        <w:t>Moldavsko</w:t>
      </w:r>
      <w:bookmarkEnd w:id="17"/>
    </w:p>
    <w:p w14:paraId="0D4D4B85" w14:textId="117EEB65" w:rsidR="008603CA" w:rsidRPr="009B5F0F" w:rsidRDefault="008603CA" w:rsidP="00505C89">
      <w:pPr>
        <w:pStyle w:val="paragraph"/>
        <w:spacing w:before="0" w:beforeAutospacing="0" w:after="0" w:afterAutospacing="0" w:line="276" w:lineRule="auto"/>
        <w:jc w:val="both"/>
        <w:textAlignment w:val="baseline"/>
        <w:rPr>
          <w:rStyle w:val="eop"/>
          <w:b/>
          <w:bCs/>
          <w:noProof/>
          <w:color w:val="000000"/>
          <w:szCs w:val="26"/>
        </w:rPr>
      </w:pPr>
      <w:r>
        <w:rPr>
          <w:rStyle w:val="normaltextrun"/>
          <w:noProof/>
          <w:color w:val="000000"/>
        </w:rPr>
        <w:t>Moldavsko bylo v roce 2021 těžce zasaženo energetickou krizí. Na základě žádosti této země ze dne 19. listopadu 2021 přijala Komise návrh makrofinanční pomoci ve výši až 150 milionů EUR, která zahrnuje až 120 milionů EUR ve střednědobých úvěrech a 30 milionů EUR v grantech. Rozhodnutí Evropského parlamentu a Rady bylo přijato 6. dubna 2022. V návaznosti na kladné stanovisko Výboru členských států pro makrofinanční pomoc ze dne 12. června 2022 bylo dne 22. června 2022 podepsáno memorandum o porozumění, dohoda o mechanismu úvěrů a grantová dohoda týkající se této makrofinanční pomoci a dne 14. července 2022 je ratifikoval moldavský parlament.  </w:t>
      </w:r>
      <w:r>
        <w:rPr>
          <w:rStyle w:val="normaltextrun"/>
          <w:noProof/>
          <w:color w:val="000000"/>
          <w:shd w:val="clear" w:color="auto" w:fill="FFFFFF"/>
        </w:rPr>
        <w:t>Po splnění příslušných politických podmínek dohodnutých v memorandu o porozumění byla dne 1. srpna 2022 vyplacena první splátka ve výši 50 milionů EUR (z toho 15 milionů EUR v grantech). Druhá splátka ve výši 50 milionů EUR (z toho 10 milionů EUR v grantech) byla vyplacena 5. dubna (v případě grantů) a 3. května (v případě půjček).</w:t>
      </w:r>
    </w:p>
    <w:p w14:paraId="08D1EF7B" w14:textId="77777777" w:rsidR="00EF3DA4" w:rsidRPr="00A947E9" w:rsidRDefault="00EF3DA4" w:rsidP="00505C89">
      <w:pPr>
        <w:pStyle w:val="paragraph"/>
        <w:spacing w:before="0" w:beforeAutospacing="0" w:after="0" w:afterAutospacing="0" w:line="276" w:lineRule="auto"/>
        <w:jc w:val="both"/>
        <w:textAlignment w:val="baseline"/>
        <w:rPr>
          <w:rFonts w:ascii="Segoe UI" w:hAnsi="Segoe UI" w:cs="Segoe UI"/>
          <w:noProof/>
          <w:sz w:val="18"/>
          <w:szCs w:val="18"/>
        </w:rPr>
      </w:pPr>
    </w:p>
    <w:p w14:paraId="6956E1EB" w14:textId="2C890C69" w:rsidR="008603CA" w:rsidRPr="009B5F0F" w:rsidRDefault="0032138C" w:rsidP="00505C89">
      <w:pPr>
        <w:pStyle w:val="paragraph"/>
        <w:spacing w:before="0" w:beforeAutospacing="0" w:after="0" w:afterAutospacing="0" w:line="276" w:lineRule="auto"/>
        <w:jc w:val="both"/>
        <w:textAlignment w:val="baseline"/>
        <w:rPr>
          <w:rStyle w:val="eop"/>
          <w:noProof/>
          <w:color w:val="000000"/>
        </w:rPr>
      </w:pPr>
      <w:r>
        <w:rPr>
          <w:rStyle w:val="normaltextrun"/>
          <w:noProof/>
          <w:color w:val="000000"/>
        </w:rPr>
        <w:t>V reakci na rozvíjející se a sílící přímé i nepřímé dopady ruské útočné války na Ukrajině na moldavské hospodářství přijala Komise dne 24. ledna 2023 návrh na navýšení probíhající makrofinanční pomoci o 145 milionů EUR, z toho až 100 milionů EUR v podobě půjček a 45 milionů EUR v podobě grantů (dodatečná makrofinanční pomoc). Rozhodnutí bylo přijato Evropským parlamentem a Radou dne 14. června 2023 a vstoupilo v platnost dne 5. září 2023. Celková podpora poskytovaná prostřednictvím této makrofinanční pomoci se tak zvyšuje na 295 milionů EUR, z čehož 75 milionů EUR tvoří granty. Dodatečná finanční pomoc v rámci makrofinanční pomoci je součástí většího balíčku podpory EU pro Moldavsko, který předsedkyně Komise oznámila v listopadu 2022 a který rovněž obsahoval rozpočtovou podporu ve výši 105 milionů EUR. </w:t>
      </w:r>
      <w:r>
        <w:rPr>
          <w:rStyle w:val="normaltextrun"/>
          <w:noProof/>
          <w:color w:val="000000"/>
          <w:shd w:val="clear" w:color="auto" w:fill="FFFFFF"/>
        </w:rPr>
        <w:t xml:space="preserve">Dodatečná makrofinanční pomoc má být vyplacena ve dvou dodatečných splátkách ve stejné výši (50 milionů EUR ve formě půjček a 22,5 milionu EUR ve formě grantů), a to v období mezi druhou a poslední splátkou stávající operace makrofinanční pomoci. Po splnění politických podmínek dohodnutých v pozměněném memorandu o porozumění byla vyplacena první dodatečná splátka ve výši 72,5 milionu EUR, a to 25. října </w:t>
      </w:r>
      <w:r>
        <w:rPr>
          <w:rStyle w:val="normaltextrun"/>
          <w:noProof/>
          <w:color w:val="000000"/>
        </w:rPr>
        <w:t xml:space="preserve">(50 milionů EUR v půjčkách) </w:t>
      </w:r>
      <w:r>
        <w:rPr>
          <w:rStyle w:val="normaltextrun"/>
          <w:noProof/>
          <w:color w:val="000000"/>
          <w:shd w:val="clear" w:color="auto" w:fill="FFFFFF"/>
        </w:rPr>
        <w:t>a 27. října (</w:t>
      </w:r>
      <w:r>
        <w:rPr>
          <w:rStyle w:val="normaltextrun"/>
          <w:noProof/>
          <w:color w:val="000000"/>
        </w:rPr>
        <w:t>22,5 milionu EUR v grantech)</w:t>
      </w:r>
      <w:r>
        <w:rPr>
          <w:rStyle w:val="normaltextrun"/>
          <w:noProof/>
          <w:color w:val="000000"/>
          <w:shd w:val="clear" w:color="auto" w:fill="FFFFFF"/>
        </w:rPr>
        <w:t>.</w:t>
      </w:r>
    </w:p>
    <w:p w14:paraId="580CC031" w14:textId="77777777" w:rsidR="008603CA" w:rsidRPr="00A947E9" w:rsidRDefault="008603CA" w:rsidP="00505C89">
      <w:pPr>
        <w:pStyle w:val="paragraph"/>
        <w:spacing w:before="0" w:beforeAutospacing="0" w:after="0" w:afterAutospacing="0" w:line="276" w:lineRule="auto"/>
        <w:jc w:val="both"/>
        <w:textAlignment w:val="baseline"/>
        <w:rPr>
          <w:rFonts w:ascii="Segoe UI" w:hAnsi="Segoe UI" w:cs="Segoe UI"/>
          <w:noProof/>
          <w:sz w:val="18"/>
          <w:szCs w:val="18"/>
        </w:rPr>
      </w:pPr>
    </w:p>
    <w:p w14:paraId="14F51290" w14:textId="15BA0F97" w:rsidR="008603CA" w:rsidRPr="009B5F0F" w:rsidRDefault="008603CA" w:rsidP="00505C89">
      <w:pPr>
        <w:pStyle w:val="paragraph"/>
        <w:spacing w:before="0" w:beforeAutospacing="0" w:after="0" w:afterAutospacing="0" w:line="276" w:lineRule="auto"/>
        <w:jc w:val="both"/>
        <w:textAlignment w:val="baseline"/>
        <w:rPr>
          <w:noProof/>
        </w:rPr>
      </w:pPr>
      <w:r>
        <w:rPr>
          <w:rStyle w:val="normaltextrun"/>
          <w:noProof/>
        </w:rPr>
        <w:t xml:space="preserve">Pravidelná operace makrofinanční pomoci a navýšení jsou i nadále předmětem pozitivních výsledků v rámci rozšířené úvěrové facility / rozšířené finanční facility MMF pro Moldavsko, které byly přijaty v prosinci 2021 a navýšeny v květnu 2022. Po navýšení činí program fondu 815 milionů USD. Mezinárodní měnový fond v prosinci 2023 úspěšně dokončil svůj čtvrtý přezkum a celkový pokrok v programu vyhodnotil jako pozitivní. V prosinci 2023 Výkonná rada MMF rovněž schválila dohodu pro Moldavsko v rámci nástroje pro odolnost a udržitelnost ve výši 173 milionů USD na podporu úsilí Moldavska o posílení odolnosti vůči klimatickým otřesům, podporu reforem energetického sektoru, zvýšení připravenosti domácího finančního sektoru a mobilizaci udržitelného financování. V návaznosti na náhlé odvolání </w:t>
      </w:r>
      <w:r>
        <w:rPr>
          <w:rStyle w:val="eop"/>
          <w:noProof/>
        </w:rPr>
        <w:t xml:space="preserve">guvernéra Národní banky Moldavska v prosinci 2023 proběhly technické diskuse s moldavskými orgány o významu řádné správy ekonomických záležitostí, posílení nezávislosti centrální banky a dodržování mezinárodních osvědčených postupů a řádného </w:t>
      </w:r>
      <w:r>
        <w:rPr>
          <w:noProof/>
        </w:rPr>
        <w:t>procesu v souvislosti s případným odvoláním guvernéra centrální banky.</w:t>
      </w:r>
    </w:p>
    <w:p w14:paraId="1113D7CB" w14:textId="3E34E38A" w:rsidR="0048344F" w:rsidRPr="009B5F0F" w:rsidRDefault="0048344F" w:rsidP="00004266">
      <w:pPr>
        <w:pStyle w:val="Heading3"/>
        <w:numPr>
          <w:ilvl w:val="0"/>
          <w:numId w:val="48"/>
        </w:numPr>
        <w:spacing w:line="240" w:lineRule="auto"/>
      </w:pPr>
      <w:bookmarkStart w:id="18" w:name="_Toc158971050"/>
      <w:bookmarkStart w:id="19" w:name="_Toc167873075"/>
      <w:bookmarkEnd w:id="18"/>
      <w:r>
        <w:t>Ukrajina: MFA+</w:t>
      </w:r>
      <w:bookmarkEnd w:id="19"/>
    </w:p>
    <w:p w14:paraId="769C7E10" w14:textId="649A3790" w:rsidR="00E87124" w:rsidRPr="009B5F0F" w:rsidRDefault="00C3743A" w:rsidP="00011B34">
      <w:pPr>
        <w:ind w:left="-20" w:right="-20"/>
        <w:jc w:val="both"/>
        <w:rPr>
          <w:rFonts w:ascii="Times New Roman" w:eastAsia="Times New Roman" w:hAnsi="Times New Roman"/>
          <w:noProof/>
          <w:sz w:val="24"/>
          <w:szCs w:val="24"/>
        </w:rPr>
      </w:pPr>
      <w:r>
        <w:rPr>
          <w:rFonts w:ascii="Times New Roman" w:hAnsi="Times New Roman"/>
          <w:noProof/>
          <w:sz w:val="24"/>
        </w:rPr>
        <w:t>V reakci na požadavek Evropské rady ze dne 20. a 21. října 2022, aby předložila strukturálnější řešení podpory Ukrajiny, přijala Komise dne 9. listopadu 2022 návrh na poskytnutí finanční pomoci Ukrajině ve výši 18 miliard EUR na rok 2023 v podobě vysoce zvýhodněných úvěrů prostřednictvím nového nástroje makrofinanční pomoci+. To bylo schváleno Evropským parlamentem a Radou dne 14. prosince 2022 spolu s cílenou revizí nařízení o víceletém finančním rámci přijatou dne 15. prosince 2022 s cílem zaručit tyto půjčky nad rámec stropů víceletého finančního rámce (</w:t>
      </w:r>
      <w:r w:rsidR="00927220">
        <w:rPr>
          <w:rStyle w:val="FootnoteReference"/>
          <w:rFonts w:ascii="Times New Roman" w:eastAsia="Times New Roman" w:hAnsi="Times New Roman"/>
          <w:noProof/>
          <w:sz w:val="24"/>
          <w:szCs w:val="24"/>
        </w:rPr>
        <w:footnoteReference w:id="10"/>
      </w:r>
      <w:r>
        <w:rPr>
          <w:rFonts w:ascii="Times New Roman" w:hAnsi="Times New Roman"/>
          <w:noProof/>
          <w:sz w:val="24"/>
        </w:rPr>
        <w:t>). Vzhledem k výjimečné situaci, kdy se třetí zemi zmítané válkou poskytovaly půjčky v nebývalé výši, se nástroj makrofinanční pomoci+ vyznačoval jedinečnou flexibilitou (</w:t>
      </w:r>
      <w:r w:rsidR="00B42CDD" w:rsidRPr="00505C89">
        <w:rPr>
          <w:rStyle w:val="FootnoteReference"/>
          <w:noProof/>
        </w:rPr>
        <w:footnoteReference w:id="11"/>
      </w:r>
      <w:r>
        <w:rPr>
          <w:rFonts w:ascii="Times New Roman" w:hAnsi="Times New Roman"/>
          <w:noProof/>
          <w:sz w:val="24"/>
        </w:rPr>
        <w:t>). Přestože tato zvýšená flexibilita sama o sobě nevytváří precedent pro budoucí operace makrofinanční pomoci ve standardnějším prostředí, v kontextu Ukrajiny se ukázala jako velmi užitečná. Pozoruhodné je, že podmíněnost založená na pokroku při plnění politických podmínek, přičemž jejich splnění je vyžadováno pouze při závěrečném vyplacení prostředků, a pouze orientační harmonogram provádění reforem umožnily stanovit pořadí politických opatření ve velmi nejistém prostředí a (nakonec nevyužitou) možnost upravit memorandum o porozumění po přezkumu v polovině období, který přiměřeně odrážel výjimečnou nejistotu. Rozpočtové tlaky plynoucí z půjček v rámci makrofinanční pomoci plus byly výrazně zmírněny díky vysoce zvýhodněným podmínkám, jako je dlouhá splatnost až 35 let, desetileté období odkladu splátek a dotace na úrokovou sazbu nejméně do konce roku 2027.</w:t>
      </w:r>
    </w:p>
    <w:p w14:paraId="3753927D" w14:textId="50D95056" w:rsidR="0099307C" w:rsidRPr="009B5F0F" w:rsidRDefault="00A11D83" w:rsidP="00011B34">
      <w:pPr>
        <w:ind w:left="-20" w:right="-20"/>
        <w:jc w:val="both"/>
        <w:rPr>
          <w:rFonts w:ascii="Times New Roman" w:eastAsia="Times New Roman" w:hAnsi="Times New Roman"/>
          <w:noProof/>
          <w:sz w:val="24"/>
          <w:szCs w:val="24"/>
        </w:rPr>
      </w:pPr>
      <w:r>
        <w:rPr>
          <w:rFonts w:ascii="Times New Roman" w:hAnsi="Times New Roman"/>
          <w:noProof/>
          <w:sz w:val="24"/>
        </w:rPr>
        <w:t>Memorandum o porozumění, které vstoupilo v platnost 17. ledna 2023, obsahovalo 20 politických podmínek v oblastech makrofinanční stability, strukturálních reforem a řádné správy věcí veřejných, právního státu a energetiky. EU a ukrajinské orgány je v mimořádné válečné situaci označily za relevantní a proveditelné. Vyplacení první splátky ve výši 3 miliard EUR se uskutečnilo 17. ledna 2023 a bylo podmíněno pokračujícím plněním předběžné politické podmínky a uspokojivým prováděním rozšířených požadavků na podávání zpráv pro makrofinanční pomoc plus stanovených v memorandu o porozumění. Vyplacení následujících splátek bylo navíc vázáno na pokrok při plnění podmínek strukturální politiky dohodnutých v memorandu o porozumění. Druhá splátka ve výši 1,5 miliardy EUR byla vyplacena 21. března. Následné platby následovaly po odpovídajícím příznivém posouzení Komise ohledně pokroku Ukrajiny při plnění dohodnutých podmínek. Třetí splátka byla poskytnuta ve třech tranších ve výši 1,5 miliardy EUR, které byly vyplaceny 25. dubna, 23. května a 22. června. Čtvrtá splátka byla vyplacena obdobně v měsíčních tranších po 1,5 miliardy EUR, a to 25. července, 22. srpna a 22. září. Pátá a předposlední splátka poskytla dvě měsíční tranše po 1,5 miliardy EUR, přičemž výplaty proběhly 23. října a 22. listopadu.</w:t>
      </w:r>
    </w:p>
    <w:p w14:paraId="79B6F189" w14:textId="6B026A2E" w:rsidR="11FE77D3" w:rsidRPr="009B5F0F" w:rsidRDefault="00880C79" w:rsidP="00004266">
      <w:pPr>
        <w:spacing w:after="120"/>
        <w:ind w:right="-20"/>
        <w:jc w:val="both"/>
        <w:rPr>
          <w:rFonts w:ascii="Times New Roman" w:eastAsia="Times New Roman" w:hAnsi="Times New Roman"/>
          <w:noProof/>
          <w:sz w:val="24"/>
          <w:szCs w:val="24"/>
        </w:rPr>
      </w:pPr>
      <w:r>
        <w:rPr>
          <w:rFonts w:ascii="Times New Roman" w:hAnsi="Times New Roman"/>
          <w:noProof/>
          <w:sz w:val="24"/>
        </w:rPr>
        <w:t>Jak vyžadují příslušné právní předpisy, bylo konečné vyplacení celé částky 18 miliard EUR podmíněno splněním všech podmínek dohodnutých v memorandu o porozumění (a nikoli pokrokem v jejich plnění, jak tomu bylo v případě předchozích splátek), a to bez ohledu na mimořádně obtížné prostředí probíhající války. Komise skutečně dospěla k závěru, že Ukrajina jedenáct podmínek splnila úplně a devět podmínek splnila alespoň obecně (</w:t>
      </w:r>
      <w:r w:rsidR="009C450B" w:rsidRPr="00505C89">
        <w:rPr>
          <w:rStyle w:val="FootnoteReference"/>
          <w:noProof/>
        </w:rPr>
        <w:footnoteReference w:id="12"/>
      </w:r>
      <w:r>
        <w:rPr>
          <w:rFonts w:ascii="Times New Roman" w:hAnsi="Times New Roman"/>
          <w:noProof/>
          <w:sz w:val="24"/>
        </w:rPr>
        <w:t>). K vyplacení zbývající částky ve výši 1,5 miliardy EUR spojené s poslední splátkou proto došlo 21. prosince 2023. Tímto vyplacením celkové částky 18 miliard EUR vysoce zvýhodněných úvěrů, které jsou k dispozici v rámci nástroje makrofinanční pomoci+, EU zásadním způsobem přispěla k financování značného nedostatku vnějších finančních prostředků Ukrajiny v současných bezprecedentních podmínkách. V roce 2023 byla EU pro Ukrajinu mezinárodním partnerem, který poskytl největší finanční příspěvek. Přijetím nařízení o zřízení Nástroje pro Ukrajinu (</w:t>
      </w:r>
      <w:r w:rsidR="11FE77D3" w:rsidRPr="00505C89">
        <w:rPr>
          <w:rStyle w:val="FootnoteReference"/>
          <w:noProof/>
        </w:rPr>
        <w:footnoteReference w:id="13"/>
      </w:r>
      <w:r>
        <w:rPr>
          <w:rFonts w:ascii="Times New Roman" w:hAnsi="Times New Roman"/>
          <w:noProof/>
          <w:sz w:val="24"/>
        </w:rPr>
        <w:t>), které vstoupilo v platnost 1. března 2024, EU splnila svůj slib, že bude Ukrajině i nadále poskytovat stabilní a předvídatelný zdroj financování: nástroj má do roku 2027 poskytnout až 50 miliard EUR. Tento rozsáhlejší nástroj tak navazuje na úspěšné zavedení nástroje makrofinanční pomoci+.</w:t>
      </w:r>
    </w:p>
    <w:p w14:paraId="693B9630" w14:textId="39EC56E6" w:rsidR="00A73E70" w:rsidRPr="009B5F0F" w:rsidRDefault="00DB62B8" w:rsidP="00004266">
      <w:pPr>
        <w:pStyle w:val="Heading2"/>
        <w:numPr>
          <w:ilvl w:val="1"/>
          <w:numId w:val="45"/>
        </w:numPr>
        <w:rPr>
          <w:rFonts w:ascii="Times New Roman" w:hAnsi="Times New Roman"/>
          <w:noProof/>
          <w:sz w:val="24"/>
          <w:szCs w:val="24"/>
        </w:rPr>
      </w:pPr>
      <w:bookmarkStart w:id="20" w:name="_Toc161912229"/>
      <w:bookmarkStart w:id="21" w:name="_Toc161912634"/>
      <w:bookmarkStart w:id="22" w:name="_Toc161912712"/>
      <w:bookmarkStart w:id="23" w:name="_Toc161912763"/>
      <w:bookmarkStart w:id="24" w:name="_Toc161912818"/>
      <w:bookmarkStart w:id="25" w:name="_Toc161912929"/>
      <w:bookmarkStart w:id="26" w:name="_Toc161912230"/>
      <w:bookmarkStart w:id="27" w:name="_Toc161912635"/>
      <w:bookmarkStart w:id="28" w:name="_Toc161912713"/>
      <w:bookmarkStart w:id="29" w:name="_Toc161912764"/>
      <w:bookmarkStart w:id="30" w:name="_Toc161912819"/>
      <w:bookmarkStart w:id="31" w:name="_Toc161912930"/>
      <w:bookmarkStart w:id="32" w:name="_Toc167873076"/>
      <w:bookmarkEnd w:id="20"/>
      <w:bookmarkEnd w:id="21"/>
      <w:bookmarkEnd w:id="22"/>
      <w:bookmarkEnd w:id="23"/>
      <w:bookmarkEnd w:id="24"/>
      <w:bookmarkEnd w:id="25"/>
      <w:bookmarkEnd w:id="26"/>
      <w:bookmarkEnd w:id="27"/>
      <w:bookmarkEnd w:id="28"/>
      <w:bookmarkEnd w:id="29"/>
      <w:bookmarkEnd w:id="30"/>
      <w:bookmarkEnd w:id="31"/>
      <w:r>
        <w:rPr>
          <w:rFonts w:ascii="Times New Roman" w:hAnsi="Times New Roman"/>
          <w:noProof/>
          <w:sz w:val="24"/>
        </w:rPr>
        <w:t>Jižní sousedství</w:t>
      </w:r>
      <w:bookmarkEnd w:id="32"/>
    </w:p>
    <w:p w14:paraId="2DFD8C16" w14:textId="1BEB52BE" w:rsidR="00A73E70" w:rsidRPr="009B5F0F" w:rsidRDefault="00CE000D" w:rsidP="00004266">
      <w:pPr>
        <w:pStyle w:val="Heading3"/>
        <w:numPr>
          <w:ilvl w:val="0"/>
          <w:numId w:val="48"/>
        </w:numPr>
        <w:spacing w:line="240" w:lineRule="auto"/>
      </w:pPr>
      <w:bookmarkStart w:id="33" w:name="_Toc167873077"/>
      <w:r>
        <w:t>Jordánsko</w:t>
      </w:r>
      <w:bookmarkEnd w:id="33"/>
    </w:p>
    <w:p w14:paraId="05BF2832" w14:textId="61E40025" w:rsidR="0021482F" w:rsidRPr="009B5F0F" w:rsidRDefault="009A063C" w:rsidP="002350C0">
      <w:pPr>
        <w:ind w:left="-20" w:right="-20"/>
        <w:jc w:val="both"/>
        <w:rPr>
          <w:rFonts w:ascii="Times New Roman" w:eastAsia="Times New Roman" w:hAnsi="Times New Roman"/>
          <w:noProof/>
          <w:sz w:val="24"/>
          <w:szCs w:val="24"/>
        </w:rPr>
      </w:pPr>
      <w:r>
        <w:rPr>
          <w:rFonts w:ascii="Times New Roman" w:hAnsi="Times New Roman"/>
          <w:noProof/>
          <w:sz w:val="24"/>
        </w:rPr>
        <w:t>V září 2019 Komise navrhla třetí makrofinanční pomoc Jordánsku ve formě půjček ve výši 500 milionů EUR, kterou spolunormotvůrci přijali v lednu 2020. V návaznosti na to požádaly jordánské orgány v dubnu 2020 o další pomoc v souvislosti s pandemií COVID-19. V květnu 2020 se EU dohodla na doplňkové makrofinanční pomoci v podobě půjček ve výši 200 milionů EUR v rámci balíčku makrofinanční pomoci COVID-19 pro deset zemí. Podmíněnost politiky u kombinované makrofinanční pomoci se zaměřuje především na zlepšení řízení veřejných financí, boj proti korupci a podporu reforem v odvětví veřejných služeb, sociální politiky a politiky trhu práce a správy věcí veřejných.</w:t>
      </w:r>
    </w:p>
    <w:p w14:paraId="6878451E" w14:textId="07F8F6A6" w:rsidR="0021482F" w:rsidRPr="009B5F0F" w:rsidRDefault="71B336F9" w:rsidP="002350C0">
      <w:pPr>
        <w:ind w:left="-20" w:right="-20"/>
        <w:jc w:val="both"/>
        <w:rPr>
          <w:rFonts w:ascii="Times New Roman" w:eastAsia="Times New Roman" w:hAnsi="Times New Roman"/>
          <w:noProof/>
          <w:sz w:val="24"/>
          <w:szCs w:val="24"/>
        </w:rPr>
      </w:pPr>
      <w:r>
        <w:rPr>
          <w:rFonts w:ascii="Times New Roman" w:hAnsi="Times New Roman"/>
          <w:noProof/>
          <w:sz w:val="24"/>
        </w:rPr>
        <w:t>První splátka (100 milionů EUR plus 150 milionů EUR z doplatku souvisejícího s onemocněním COVID-19) byla vyplacena dne 25. listopadu 2020. Bylo to podmíněno pouze obecnou politickou podmínkou v rámci makrofinanční pomoci a tím, že bude nadále zdárně prováděn program MMF. Druhá a třetí splátka podléhaly zvláštní politické podmíněnosti dohodnuté mezi Jordánskem a EU v memorandu o porozumění. Druhá splátka (200 milionů EUR a doplatek ve výši 50 milionů EUR) byla vyplacena 20. července 2021, čímž byla úspěšně dokončena část pomoci související s pomocí v reakci na COVID-19. Třetí a poslední splátka ve výši 200 milionů EUR byla vyplacena 3. května 2023, opět po kladném posouzení politických podmínek týkajících se mobilizace příjmů a politiky zadávání veřejných zakázek a dlouhodobých úkolů, jako je zlepšení fungování odvětví vodního hospodářství a elektroenergetiky nebo politiky trhu práce s cílem zlepšit vzdělávání mladých lidí.</w:t>
      </w:r>
    </w:p>
    <w:p w14:paraId="5F1419A7" w14:textId="6B89FCF2" w:rsidR="0021482F" w:rsidRPr="009B5F0F" w:rsidRDefault="004845C0" w:rsidP="245BE26F">
      <w:pPr>
        <w:ind w:left="-20" w:right="-20"/>
        <w:jc w:val="both"/>
        <w:rPr>
          <w:rFonts w:ascii="Times New Roman" w:eastAsia="Times New Roman" w:hAnsi="Times New Roman"/>
          <w:noProof/>
          <w:sz w:val="24"/>
          <w:szCs w:val="24"/>
        </w:rPr>
      </w:pPr>
      <w:r>
        <w:rPr>
          <w:rFonts w:ascii="Times New Roman" w:hAnsi="Times New Roman"/>
          <w:noProof/>
          <w:sz w:val="24"/>
        </w:rPr>
        <w:t>Makrofinanční pomoc byla poskytována společně se zdroji od mezinárodních finančních institucí a bilaterálních dárců, včetně MMF. Dne 25. března 2020 schválil MMF čtyřletý program rozšířené finanční facility pro Jordánsko, původně ve výši 1,3 miliardy USD, který byl v letech 2021–2022 dvakrát navýšen na přibližně 1,49 miliardy USD (334 % jordánské kvóty). Celková částka, kterou MMF vyplatil Jordánsku na období 2020–2023, činila přibližně 1,7 miliardy USD, z toho v květnu 2020 přibližně 390 milionů USD na mimořádnou pomoc v rámci nástroje pro rychlé financování s cílem pomoci Jordánsku vypořádat se s dopady pandemie. Na konci roku 2023, kdy po značném předfinancování plateb zůstala v rozšířené finanční facilitě pro rok 2020 jen malá částka, navrhl MMF program předčasně ukončit a nahradit jej novým fondem.</w:t>
      </w:r>
    </w:p>
    <w:p w14:paraId="3439FD57" w14:textId="0E475F93" w:rsidR="002C22D1" w:rsidRPr="009B5F0F" w:rsidRDefault="71B336F9" w:rsidP="00931F6C">
      <w:pPr>
        <w:ind w:left="-20" w:right="-20"/>
        <w:jc w:val="both"/>
        <w:rPr>
          <w:rFonts w:ascii="Times New Roman" w:eastAsia="Times New Roman" w:hAnsi="Times New Roman"/>
          <w:noProof/>
          <w:sz w:val="24"/>
          <w:szCs w:val="24"/>
        </w:rPr>
      </w:pPr>
      <w:r>
        <w:rPr>
          <w:rFonts w:ascii="Times New Roman" w:hAnsi="Times New Roman"/>
          <w:noProof/>
          <w:sz w:val="24"/>
        </w:rPr>
        <w:t>V lednu 2024 schválila Výkonná rada MMF novou dohodu v rámci rozšířené finanční facility pro Jordánsko ve výši 1,2 miliardy USD na období 2024–2027. V říjnu 2023 zaslaly jordánské orgány s ohledem na zvýšenou regionální nejistotu a náročné vnější prostředí žádost o následnou makrofinanční pomoc (viz oddíl 5).</w:t>
      </w:r>
    </w:p>
    <w:p w14:paraId="0E86FC5D" w14:textId="632A4C6A" w:rsidR="0021482F" w:rsidRPr="009B5F0F" w:rsidRDefault="0021482F" w:rsidP="00004266">
      <w:pPr>
        <w:pStyle w:val="Heading2"/>
        <w:numPr>
          <w:ilvl w:val="1"/>
          <w:numId w:val="45"/>
        </w:numPr>
        <w:spacing w:after="120" w:line="240" w:lineRule="auto"/>
        <w:rPr>
          <w:rFonts w:ascii="Times New Roman" w:hAnsi="Times New Roman"/>
          <w:noProof/>
          <w:sz w:val="24"/>
          <w:szCs w:val="24"/>
        </w:rPr>
      </w:pPr>
      <w:bookmarkStart w:id="34" w:name="_Toc167873078"/>
      <w:r>
        <w:rPr>
          <w:rFonts w:ascii="Times New Roman" w:hAnsi="Times New Roman"/>
          <w:noProof/>
          <w:sz w:val="24"/>
        </w:rPr>
        <w:t>Západní Balkán</w:t>
      </w:r>
      <w:bookmarkEnd w:id="34"/>
    </w:p>
    <w:p w14:paraId="1E3BF21E" w14:textId="709A50A5" w:rsidR="009727DD" w:rsidRPr="009B5F0F" w:rsidRDefault="009727DD" w:rsidP="00004266">
      <w:pPr>
        <w:pStyle w:val="Heading3"/>
        <w:numPr>
          <w:ilvl w:val="0"/>
          <w:numId w:val="48"/>
        </w:numPr>
      </w:pPr>
      <w:bookmarkStart w:id="35" w:name="_Toc167873079"/>
      <w:r>
        <w:t>Severní Makedonie</w:t>
      </w:r>
      <w:bookmarkEnd w:id="35"/>
    </w:p>
    <w:p w14:paraId="6286E406" w14:textId="684AF97A" w:rsidR="006D5E0E" w:rsidRPr="009B5F0F" w:rsidRDefault="00D77B13" w:rsidP="4BA0A950">
      <w:pPr>
        <w:jc w:val="both"/>
        <w:rPr>
          <w:rFonts w:ascii="Times New Roman" w:eastAsia="Times New Roman" w:hAnsi="Times New Roman"/>
          <w:noProof/>
          <w:sz w:val="24"/>
          <w:szCs w:val="24"/>
        </w:rPr>
      </w:pPr>
      <w:r>
        <w:rPr>
          <w:rFonts w:ascii="Times New Roman" w:hAnsi="Times New Roman"/>
          <w:noProof/>
          <w:sz w:val="24"/>
        </w:rPr>
        <w:t>Dne 6. února 2023 přijala Komise návrh na poskytnutí makrofinanční pomoci Severní Makedonii ve výši 100 milionů EUR ve formě půjček ve dvou stejných splátkách. Návrh byl přijat spolunormotvůrci v červenci 2023 a memorandum o porozumění bylo s orgány dohodnuto v srpnu 2023. Memorandum o porozumění obsahuje 20 politických podmínek (z nichž osm se týká první výplaty) v následujících oblastech: veřejné finance, podnikatelské prostředí, vzdělávání a trh práce, energetika, soudnictví, řádná správa věcí veřejných a boj proti korupci. Komise vyhodnotila, že všechny podmínky týkající se první splátky byly splněny, a 22. dubna bylo rozhodnuto o uvolnění příslušné částky ve výši 50 milionů EUR.</w:t>
      </w:r>
    </w:p>
    <w:p w14:paraId="0AC3B8C2" w14:textId="0EA31D5D" w:rsidR="006D5E0E" w:rsidRPr="009B5F0F" w:rsidRDefault="006D5E0E" w:rsidP="00D77B13">
      <w:pPr>
        <w:jc w:val="both"/>
        <w:rPr>
          <w:rFonts w:ascii="Times New Roman" w:eastAsia="Times New Roman" w:hAnsi="Times New Roman"/>
          <w:noProof/>
          <w:sz w:val="24"/>
          <w:szCs w:val="24"/>
        </w:rPr>
      </w:pPr>
      <w:r>
        <w:rPr>
          <w:rFonts w:ascii="Times New Roman" w:hAnsi="Times New Roman"/>
          <w:noProof/>
          <w:sz w:val="24"/>
        </w:rPr>
        <w:t>Podmínkou pro poskytnutí makrofinanční pomoci jsou pozitivní výsledky v souvislosti s probíhajícím programem MMF. Dne 22. listopadu 2022 přijala Výkonná rada MMF na základě žádosti orgánů a dohody na pracovní úrovni dohodu o 24měsíční preventivní a likviditní lince ve výši 530 milionů EUR. Polovina této částky je vyplácena a zbytek je preventivní. V lednu 2024 MMF dokončil svůj první přezkum v rámci dohody o preventivní a likviditní lince.</w:t>
      </w:r>
    </w:p>
    <w:p w14:paraId="0F7B15F3" w14:textId="22AA3BB3" w:rsidR="004949F6" w:rsidRPr="00311734" w:rsidRDefault="00311734" w:rsidP="00004266">
      <w:pPr>
        <w:pStyle w:val="Heading1"/>
        <w:numPr>
          <w:ilvl w:val="0"/>
          <w:numId w:val="45"/>
        </w:numPr>
        <w:rPr>
          <w:rFonts w:ascii="Times New Roman" w:hAnsi="Times New Roman"/>
          <w:noProof/>
          <w:sz w:val="24"/>
          <w:szCs w:val="24"/>
        </w:rPr>
      </w:pPr>
      <w:bookmarkStart w:id="36" w:name="_Toc167873080"/>
      <w:r>
        <w:rPr>
          <w:rFonts w:ascii="Times New Roman" w:hAnsi="Times New Roman"/>
          <w:noProof/>
          <w:sz w:val="24"/>
        </w:rPr>
        <w:t xml:space="preserve">ZAJIŠŤOVÁNÍ NÁLEŽITÉHO VYUŽITÍ PROSTŘEDKŮ MAKROFINANČNÍ POMOCI: OPERAČNÍ HODNOCENÍ, HODNOCENÍ </w:t>
      </w:r>
      <w:r>
        <w:rPr>
          <w:rFonts w:ascii="Times New Roman" w:hAnsi="Times New Roman"/>
          <w:i/>
          <w:iCs/>
          <w:noProof/>
          <w:sz w:val="24"/>
        </w:rPr>
        <w:t>EX POST</w:t>
      </w:r>
      <w:bookmarkEnd w:id="36"/>
    </w:p>
    <w:p w14:paraId="47D33FA6" w14:textId="77777777" w:rsidR="00A73E70" w:rsidRPr="009B5F0F" w:rsidRDefault="00CE000D" w:rsidP="00004266">
      <w:pPr>
        <w:pStyle w:val="Heading2"/>
        <w:numPr>
          <w:ilvl w:val="1"/>
          <w:numId w:val="45"/>
        </w:numPr>
        <w:spacing w:after="120" w:line="240" w:lineRule="auto"/>
        <w:rPr>
          <w:rFonts w:ascii="Times New Roman" w:hAnsi="Times New Roman"/>
          <w:noProof/>
          <w:sz w:val="24"/>
          <w:szCs w:val="24"/>
        </w:rPr>
      </w:pPr>
      <w:bookmarkStart w:id="37" w:name="_Toc161912936"/>
      <w:bookmarkStart w:id="38" w:name="_Toc167873081"/>
      <w:bookmarkEnd w:id="37"/>
      <w:r>
        <w:rPr>
          <w:rFonts w:ascii="Times New Roman" w:hAnsi="Times New Roman"/>
          <w:noProof/>
          <w:sz w:val="24"/>
        </w:rPr>
        <w:t>Operační hodnocení</w:t>
      </w:r>
      <w:bookmarkEnd w:id="38"/>
    </w:p>
    <w:p w14:paraId="3A9AE0C2" w14:textId="6D659E64" w:rsidR="00003A96" w:rsidRPr="009B5F0F" w:rsidRDefault="6ABC2A31" w:rsidP="00505C89">
      <w:pPr>
        <w:spacing w:before="120" w:after="120"/>
        <w:jc w:val="both"/>
        <w:rPr>
          <w:rFonts w:ascii="Times New Roman" w:hAnsi="Times New Roman"/>
          <w:noProof/>
          <w:sz w:val="24"/>
          <w:szCs w:val="24"/>
        </w:rPr>
      </w:pPr>
      <w:r>
        <w:rPr>
          <w:rFonts w:ascii="Times New Roman" w:hAnsi="Times New Roman"/>
          <w:noProof/>
          <w:sz w:val="24"/>
        </w:rPr>
        <w:t>V souladu s požadavky finančního nařízení EU provádí Komise za pomoci externích poradců operační hodnocení, aby získala přiměřenou jistotu o fungování správních postupů a postupů schvalování finančních transakcí v přijímajících zemích.</w:t>
      </w:r>
    </w:p>
    <w:p w14:paraId="62AD38FB" w14:textId="4DDA15BB" w:rsidR="00003A96" w:rsidRPr="009B5F0F" w:rsidRDefault="00003A96" w:rsidP="00505C89">
      <w:pPr>
        <w:spacing w:before="120" w:after="120"/>
        <w:jc w:val="both"/>
        <w:rPr>
          <w:rFonts w:ascii="Times New Roman" w:hAnsi="Times New Roman"/>
          <w:noProof/>
          <w:sz w:val="24"/>
          <w:szCs w:val="24"/>
        </w:rPr>
      </w:pPr>
      <w:r>
        <w:rPr>
          <w:rFonts w:ascii="Times New Roman" w:hAnsi="Times New Roman"/>
          <w:noProof/>
          <w:sz w:val="24"/>
        </w:rPr>
        <w:t>Operační hodnocení se zaměřují na systémy správy veřejných financí, především pak na způsob organizace ministerstev financí a centrálních bank a na postupy, které uplatňují, konkrétně též na správu účtů, na něž jsou finanční prostředky EU vypláceny. Zvláštní pozornost je rovněž věnována fungování, nezávislosti a pracovním programům externích auditorských subjektů a efektivnosti jejich kontrol. Zkoumají se také postupy zadávání veřejných zakázek na centrální úrovni.</w:t>
      </w:r>
    </w:p>
    <w:p w14:paraId="60947484" w14:textId="3472B386" w:rsidR="000D4F95" w:rsidRPr="009B5F0F" w:rsidRDefault="000D4F95" w:rsidP="002F6250">
      <w:pPr>
        <w:tabs>
          <w:tab w:val="left" w:pos="4320"/>
        </w:tabs>
        <w:spacing w:before="120"/>
        <w:jc w:val="both"/>
        <w:rPr>
          <w:rFonts w:ascii="Times New Roman" w:hAnsi="Times New Roman"/>
          <w:noProof/>
          <w:sz w:val="24"/>
          <w:szCs w:val="24"/>
        </w:rPr>
      </w:pPr>
      <w:r>
        <w:rPr>
          <w:rFonts w:ascii="Times New Roman" w:hAnsi="Times New Roman"/>
          <w:noProof/>
          <w:sz w:val="24"/>
        </w:rPr>
        <w:t>Pro mimořádnou podporu makrofinanční pomoci v roce 2022 (</w:t>
      </w:r>
      <w:r w:rsidRPr="009B5F0F">
        <w:rPr>
          <w:rStyle w:val="FootnoteReference"/>
          <w:rFonts w:ascii="Times New Roman" w:hAnsi="Times New Roman"/>
          <w:noProof/>
          <w:sz w:val="24"/>
          <w:szCs w:val="24"/>
        </w:rPr>
        <w:footnoteReference w:id="14"/>
      </w:r>
      <w:r>
        <w:rPr>
          <w:rFonts w:ascii="Times New Roman" w:hAnsi="Times New Roman"/>
          <w:noProof/>
          <w:sz w:val="24"/>
        </w:rPr>
        <w:t>) a makrofinanční pomoc+ bylo provedeno operativní posouzení postupů schvalování finančních transakcí a správních postupů Ukrajiny. Jednalo se již o třetí podobné hodnocení na Ukrajině, tentokrát však bylo kvůli podmínkám probíhající války provedeno na dálku. Celkově dospělo k závěru, že od posledního hodnocení v roce 2018 bylo dosaženo značného pokroku v posilování systémů řízení veřejných financí a jiného schvalování finančních transakcí. Zdůraznilo také trvalý závazek ukrajinských orgánů k neustálému zlepšování. Hodnocení zdůraznilo potřebu upřednostnit reformy řízení veřejných financí v klíčových prioritních oblastech, jako je budování kapacit a vyjasnění rolí v oblasti auditu a vnitřní kontroly. V těchto prioritních oblastech se doporučuje další rozvoj, jakmile to bezpečnostní situace umožní, a s ohledem na nadcházející rozsáhlé úsilí o obnovu.</w:t>
      </w:r>
    </w:p>
    <w:p w14:paraId="22751EC4" w14:textId="4175CE70" w:rsidR="00A73E70" w:rsidRPr="009B5F0F" w:rsidRDefault="00845A95" w:rsidP="002F6250">
      <w:pPr>
        <w:jc w:val="both"/>
        <w:rPr>
          <w:rFonts w:ascii="Times New Roman" w:hAnsi="Times New Roman"/>
          <w:noProof/>
          <w:sz w:val="24"/>
          <w:szCs w:val="24"/>
        </w:rPr>
      </w:pPr>
      <w:r>
        <w:rPr>
          <w:rFonts w:ascii="Times New Roman" w:hAnsi="Times New Roman"/>
          <w:noProof/>
          <w:sz w:val="24"/>
        </w:rPr>
        <w:t>V roce 2023 bylo v rámci nové operace makrofinanční pomoci zahájeno nové operační hodnocení Severní Makedonie. Externí konzultanti dospěli k závěru, že finanční transakce a postupy v této zemi jsou pro účely poskytnutí makrofinanční pomoci považovány za uspokojivé. Došli k závěru, že systém řízení veřejných financí Severní Makedonie je obecně v pořádku a v posledních letech dosáhl významného pokroku.</w:t>
      </w:r>
    </w:p>
    <w:p w14:paraId="7F1B502E" w14:textId="6C715A1C" w:rsidR="00C010B8" w:rsidRPr="009B5F0F" w:rsidRDefault="003D6022" w:rsidP="00004266">
      <w:pPr>
        <w:pStyle w:val="Heading2"/>
        <w:numPr>
          <w:ilvl w:val="0"/>
          <w:numId w:val="0"/>
        </w:numPr>
        <w:rPr>
          <w:rFonts w:ascii="Times New Roman" w:hAnsi="Times New Roman"/>
          <w:noProof/>
          <w:sz w:val="24"/>
          <w:szCs w:val="24"/>
        </w:rPr>
      </w:pPr>
      <w:bookmarkStart w:id="39" w:name="_Toc167873082"/>
      <w:r>
        <w:rPr>
          <w:rFonts w:ascii="Times New Roman" w:hAnsi="Times New Roman"/>
          <w:noProof/>
          <w:sz w:val="24"/>
        </w:rPr>
        <w:t>4.2 Hodnocení</w:t>
      </w:r>
      <w:bookmarkEnd w:id="39"/>
    </w:p>
    <w:p w14:paraId="00DF49BC" w14:textId="36BAC5A0" w:rsidR="00EB1D30" w:rsidRPr="009B5F0F" w:rsidRDefault="00646F7B" w:rsidP="009E3FD7">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V souladu s finančním nařízením a odpovídajícími rozhodnutími o makrofinanční pomoci provádí Komise po dokončení operací makrofinanční pomoci jejich hodnocení (</w:t>
      </w:r>
      <w:r w:rsidRPr="009B5F0F">
        <w:rPr>
          <w:rStyle w:val="FootnoteReference"/>
          <w:noProof/>
        </w:rPr>
        <w:footnoteReference w:id="15"/>
      </w:r>
      <w:r>
        <w:rPr>
          <w:rFonts w:ascii="Times New Roman" w:hAnsi="Times New Roman"/>
          <w:noProof/>
          <w:sz w:val="24"/>
        </w:rPr>
        <w:t>) s cílem posoudit jejich dopad. Dva hlavní cíle těchto hodnocení představuje jednak analýza dopadů makrofinanční pomoci na hospodářství země přijímající pomoc, a zejména na udržitelnost její vnější pozice, a jednak posouzení přidané hodnoty opatření EU.</w:t>
      </w:r>
    </w:p>
    <w:p w14:paraId="68DCF6BC" w14:textId="49DB725B" w:rsidR="001F4E32" w:rsidRPr="009B5F0F" w:rsidRDefault="001F4E32" w:rsidP="001F4E32">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V roce 2023 Komise zahájila společné hodnocení </w:t>
      </w:r>
      <w:r>
        <w:rPr>
          <w:rFonts w:ascii="Times New Roman" w:hAnsi="Times New Roman"/>
          <w:i/>
          <w:noProof/>
          <w:sz w:val="24"/>
        </w:rPr>
        <w:t>ex post</w:t>
      </w:r>
      <w:r>
        <w:rPr>
          <w:rFonts w:ascii="Times New Roman" w:hAnsi="Times New Roman"/>
          <w:noProof/>
          <w:sz w:val="24"/>
        </w:rPr>
        <w:t xml:space="preserve"> operací v zemích Východního partnerství, tedy v Moldavsku, Gruzii a Ukrajině (2017–2020). Doprovodný pracovní dokument útvarů Komise bude zveřejněn v roce 2024. Ve všech třech zemích měly operace podle předběžných výsledků studie pozitivní dopad na udržitelnost dluhu a makroekonomickou situaci. To bylo zvláště důležité v případě Ukrajiny, vzhledem k většímu rozsahu operace a náročnější makroekonomické situaci země. Navzdory rozdílným koncepcím souvisejícím s odlišným politickým kontextem byly tyto tři operace úspěšné v podpoře pozitivních změn v řadě klíčových oblastí reforem. Bylo zjištěno, že operace jsou v souladu s celkovým politickým rámcem EU a jsou sladěny s reformními programy orgánů a programy dalších dárců.</w:t>
      </w:r>
    </w:p>
    <w:p w14:paraId="54C2F180" w14:textId="293643A8" w:rsidR="00A73E70" w:rsidRPr="009B5F0F" w:rsidRDefault="00CE000D" w:rsidP="00004266">
      <w:pPr>
        <w:pStyle w:val="Heading1"/>
        <w:numPr>
          <w:ilvl w:val="0"/>
          <w:numId w:val="45"/>
        </w:numPr>
        <w:spacing w:before="360" w:after="120" w:line="240" w:lineRule="auto"/>
        <w:rPr>
          <w:rFonts w:ascii="Times New Roman Bold" w:hAnsi="Times New Roman Bold"/>
          <w:smallCaps/>
          <w:noProof/>
          <w:sz w:val="24"/>
          <w:szCs w:val="24"/>
        </w:rPr>
      </w:pPr>
      <w:bookmarkStart w:id="40" w:name="_Toc167873083"/>
      <w:r>
        <w:rPr>
          <w:rFonts w:ascii="Times New Roman Bold" w:hAnsi="Times New Roman Bold"/>
          <w:smallCaps/>
          <w:noProof/>
          <w:sz w:val="24"/>
        </w:rPr>
        <w:t>Obecný vývoj v souvislosti s nástrojem makrofinanční pomoci</w:t>
      </w:r>
      <w:bookmarkEnd w:id="40"/>
    </w:p>
    <w:p w14:paraId="676DBF5F" w14:textId="02BEDD89" w:rsidR="008E4638" w:rsidRPr="009B5F0F" w:rsidRDefault="008E4638" w:rsidP="00004266">
      <w:pPr>
        <w:pStyle w:val="Heading2"/>
        <w:numPr>
          <w:ilvl w:val="1"/>
          <w:numId w:val="45"/>
        </w:numPr>
        <w:spacing w:after="120" w:line="240" w:lineRule="auto"/>
        <w:rPr>
          <w:rFonts w:ascii="Times New Roman" w:hAnsi="Times New Roman"/>
          <w:noProof/>
          <w:sz w:val="24"/>
          <w:szCs w:val="24"/>
        </w:rPr>
      </w:pPr>
      <w:bookmarkStart w:id="41" w:name="_Toc167873084"/>
      <w:bookmarkStart w:id="42" w:name="_Toc320792987"/>
      <w:bookmarkStart w:id="43" w:name="_Toc413398868"/>
      <w:bookmarkStart w:id="44" w:name="_Toc443576323"/>
      <w:r>
        <w:rPr>
          <w:rFonts w:ascii="Times New Roman" w:hAnsi="Times New Roman"/>
          <w:noProof/>
          <w:sz w:val="24"/>
        </w:rPr>
        <w:t>Fungování nástroje makrofinanční pomoci</w:t>
      </w:r>
      <w:bookmarkEnd w:id="41"/>
    </w:p>
    <w:p w14:paraId="785397B2" w14:textId="039A5BD4" w:rsidR="008E4638" w:rsidRPr="009B5F0F" w:rsidRDefault="008E4638" w:rsidP="008E4638">
      <w:pPr>
        <w:autoSpaceDE w:val="0"/>
        <w:autoSpaceDN w:val="0"/>
        <w:adjustRightInd w:val="0"/>
        <w:spacing w:after="0" w:line="240" w:lineRule="auto"/>
        <w:jc w:val="both"/>
        <w:rPr>
          <w:rFonts w:ascii="Times New Roman" w:eastAsia="Times New Roman" w:hAnsi="Times New Roman"/>
          <w:noProof/>
          <w:sz w:val="24"/>
          <w:szCs w:val="24"/>
        </w:rPr>
      </w:pPr>
      <w:r>
        <w:rPr>
          <w:rFonts w:ascii="Times New Roman" w:hAnsi="Times New Roman"/>
          <w:noProof/>
          <w:color w:val="000000"/>
          <w:sz w:val="24"/>
        </w:rPr>
        <w:t>Ve společném prohlášení Evropského parlamentu a Rady o makrofinanční pomoci z roku 2013 (</w:t>
      </w:r>
      <w:r w:rsidRPr="009B5F0F">
        <w:rPr>
          <w:rStyle w:val="FootnoteReference"/>
          <w:rFonts w:ascii="Times New Roman" w:hAnsi="Times New Roman"/>
          <w:noProof/>
          <w:color w:val="000000"/>
          <w:sz w:val="24"/>
          <w:szCs w:val="24"/>
          <w:lang w:eastAsia="en-GB"/>
        </w:rPr>
        <w:footnoteReference w:id="16"/>
      </w:r>
      <w:r>
        <w:rPr>
          <w:rFonts w:ascii="Times New Roman" w:hAnsi="Times New Roman"/>
          <w:noProof/>
          <w:color w:val="000000"/>
          <w:sz w:val="24"/>
        </w:rPr>
        <w:t xml:space="preserve">) je tato pomoc vymezena jako pomoc makroekonomické a finanční povahy a jednoznačně je v něm uvedeno, že cílem pomoci je „obnova udržitelného stavu vnějšího financování způsobilých zemí a území, které mají s externím financováním potíže“. Aby byla makrofinanční pomoc úspěšná jako nástroj „pro mimořádné situace“, je tedy důležité mobilizovat ji účinně a včas. </w:t>
      </w:r>
      <w:r>
        <w:rPr>
          <w:rFonts w:ascii="Times New Roman" w:hAnsi="Times New Roman"/>
          <w:noProof/>
          <w:sz w:val="24"/>
        </w:rPr>
        <w:t>Rozhodování v rámci řádného legislativního postupu bylo často označováno za časově náročné a za hlavní nedostatek krizového nástroje, který má rychle reagovat na krizi platební bilance (</w:t>
      </w:r>
      <w:r w:rsidRPr="009B5F0F">
        <w:rPr>
          <w:rStyle w:val="FootnoteReference"/>
          <w:rFonts w:ascii="Times New Roman" w:eastAsia="Times New Roman" w:hAnsi="Times New Roman"/>
          <w:noProof/>
          <w:sz w:val="24"/>
          <w:szCs w:val="24"/>
        </w:rPr>
        <w:footnoteReference w:id="17"/>
      </w:r>
      <w:r>
        <w:rPr>
          <w:rFonts w:ascii="Times New Roman" w:hAnsi="Times New Roman"/>
          <w:noProof/>
          <w:sz w:val="24"/>
        </w:rPr>
        <w:t>).</w:t>
      </w:r>
    </w:p>
    <w:p w14:paraId="39EF6EFE" w14:textId="77777777" w:rsidR="008E4638" w:rsidRPr="009B5F0F" w:rsidRDefault="008E4638" w:rsidP="008E4638">
      <w:pPr>
        <w:autoSpaceDE w:val="0"/>
        <w:autoSpaceDN w:val="0"/>
        <w:adjustRightInd w:val="0"/>
        <w:spacing w:after="0" w:line="240" w:lineRule="auto"/>
        <w:jc w:val="both"/>
        <w:rPr>
          <w:rFonts w:ascii="Times New Roman" w:eastAsia="Times New Roman" w:hAnsi="Times New Roman"/>
          <w:noProof/>
          <w:sz w:val="24"/>
          <w:szCs w:val="24"/>
        </w:rPr>
      </w:pPr>
    </w:p>
    <w:p w14:paraId="3181CC55" w14:textId="53AD8735" w:rsidR="008E4638" w:rsidRPr="009B5F0F" w:rsidRDefault="008E4638" w:rsidP="008E4638">
      <w:pPr>
        <w:autoSpaceDE w:val="0"/>
        <w:autoSpaceDN w:val="0"/>
        <w:adjustRightInd w:val="0"/>
        <w:spacing w:after="0" w:line="240" w:lineRule="auto"/>
        <w:jc w:val="both"/>
        <w:rPr>
          <w:rFonts w:ascii="Times New Roman" w:eastAsia="Times New Roman" w:hAnsi="Times New Roman"/>
          <w:noProof/>
          <w:sz w:val="24"/>
          <w:szCs w:val="24"/>
        </w:rPr>
      </w:pPr>
      <w:r>
        <w:rPr>
          <w:rFonts w:ascii="Times New Roman" w:hAnsi="Times New Roman"/>
          <w:noProof/>
          <w:sz w:val="24"/>
        </w:rPr>
        <w:t>Nedávné zkušenosti s balíčkem makrofinanční pomoci v reakci na COVID-19 a různými operacemi makrofinanční pomoci pro Ukrajinu (nouzová MFA, mimořádná MFA a MFA+) ukázaly, že stávající nastavení makrofinanční pomoci může usnadnit její velmi rychlé přijetí, pokud všechny orgány plně využijí dostupné procedurální flexibility, které mají k dispozici. V uvedených případech spolupracovala Komise s Parlamentem a Radou, aby se dohodly na využití stávajících naléhavých postupů, které umožnily přijetí odpovídající pomoci oběma spolunormotvůrci do jednoho měsíce od předložení příslušných návrhů Komise. Parlament se odvolal na zvláštní ustanovení (článek 163) svého jednacího řádu, které mu umožnilo přijmout návrh přímo na plenárním zasedání a vynechat tak fázi projednávání ve Výboru pro mezinárodní obchod (INTA), která by v rámci běžné praxe byla nutná.</w:t>
      </w:r>
    </w:p>
    <w:p w14:paraId="5B88AC59" w14:textId="2BF6CD1D" w:rsidR="008E4638" w:rsidRPr="009B5F0F" w:rsidRDefault="008E4638" w:rsidP="008E4638">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Jednací řád Evropského parlamentu i Rady tedy umožňují zrychlený postup nezbytný pro rychlé přijetí v naléhavých situacích. Díky včasným a konstruktivně vedeným schůzkám bylo možné dosáhnout rychlejšího přijetí v rámci řádného legislativního postupu a plně do těchto případů zapojit Parlament. Nicméně vzhledem k naléhavé potřebě poskytnout podporu již v druhé polovině roku 2024 se Komise v březnu 2024 výjimečně rozhodla navrhnout Egyptu první naléhavou krátkodobou makrofinanční pomoc na základě článku 213 SFEU (použitelného pro případy, kdy je nutná naléhavá finanční pomoc a kdy makrofinanční pomoc přijímá pouze Rada). Vzhledem k tomu, že tato varianta má povahu druhé nejlepší varianty, byla většina podpory pro Egypt navržena v rámci druhé, střednědobější operace makrofinanční pomoci, která se bude řídit běžnými postupy podle článku 212 SFEU a do níž budou řádně zapojeni oba spolunormotvůrci.</w:t>
      </w:r>
    </w:p>
    <w:p w14:paraId="16AA2AD3" w14:textId="611DC094" w:rsidR="00DB3ECF" w:rsidRPr="009B5F0F" w:rsidRDefault="00C125A7" w:rsidP="008E4638">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 xml:space="preserve">Blížící se přípravy na příští víceletý finanční rámec (VFR) přinesou příležitost poučit se z nedávných zkušeností s makrofinanční pomocí. To by mohlo být podnětem k úvahám o budoucnosti makrofinanční pomoci v Parlamentu a Radě. </w:t>
      </w:r>
    </w:p>
    <w:p w14:paraId="0EC16155" w14:textId="0D04130D" w:rsidR="0003744D" w:rsidRPr="009B5F0F" w:rsidRDefault="003D6022" w:rsidP="3DD76594">
      <w:pPr>
        <w:pStyle w:val="Heading2"/>
        <w:numPr>
          <w:ilvl w:val="0"/>
          <w:numId w:val="0"/>
        </w:numPr>
        <w:spacing w:after="120" w:line="240" w:lineRule="auto"/>
        <w:rPr>
          <w:noProof/>
        </w:rPr>
      </w:pPr>
      <w:bookmarkStart w:id="45" w:name="_Toc167873085"/>
      <w:r>
        <w:rPr>
          <w:rFonts w:ascii="Times New Roman" w:hAnsi="Times New Roman"/>
          <w:noProof/>
          <w:sz w:val="24"/>
        </w:rPr>
        <w:t>5.2 Makrofinanční pomoc ve víceletém finančním rámci 2021–2027</w:t>
      </w:r>
      <w:bookmarkEnd w:id="45"/>
    </w:p>
    <w:p w14:paraId="2BBFA9C2" w14:textId="5813EF7D" w:rsidR="0003744D" w:rsidRPr="009B5F0F" w:rsidRDefault="003506CF" w:rsidP="0003744D">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Partnerské země EU jsou i nadále zranitelné kvůli strukturálním nedostatkům svých ekonomik. Tento region je také nadále vystaven vysoké geopolitické nejistotě a nadále se potýká s hospodářskou nestabilitou, kterou ještě zhoršila ruská agresivní válka proti Ukrajině a v poslední době také eskalace konfliktu na Blízkém východě. V této situaci je pravděpodobné, že potřeba, aby EU zvážila poskytnutí makrofinanční pomoci, zůstane v nadcházejících letech i nadále vysoká. Je proto důležité zajistit, aby pro nástroj makrofinanční pomoci zůstaly v nadcházejících letech k dispozici dostatečné rozpočtové zdroje.</w:t>
      </w:r>
    </w:p>
    <w:p w14:paraId="0F4A9B43" w14:textId="4B1CB6F3" w:rsidR="0003744D" w:rsidRPr="009B5F0F" w:rsidRDefault="0003744D" w:rsidP="0003744D">
      <w:pPr>
        <w:spacing w:line="240" w:lineRule="auto"/>
        <w:jc w:val="both"/>
        <w:rPr>
          <w:rFonts w:ascii="Times New Roman" w:hAnsi="Times New Roman"/>
          <w:noProof/>
          <w:sz w:val="24"/>
          <w:szCs w:val="24"/>
          <w:highlight w:val="yellow"/>
        </w:rPr>
      </w:pPr>
      <w:r>
        <w:rPr>
          <w:rFonts w:ascii="Times New Roman" w:hAnsi="Times New Roman"/>
          <w:noProof/>
          <w:sz w:val="24"/>
        </w:rPr>
        <w:t>Úvěry makrofinanční pomoci jsou zajištěny prostřednictvím záruky na vnější činnost podle nařízení o nástroji NDICI – Globální Evropa, a to s 9% mírou tvorby rezerv, jak tomu bylo v případě předchozích VFR (</w:t>
      </w:r>
      <w:r w:rsidRPr="00505C89">
        <w:rPr>
          <w:rStyle w:val="FootnoteReference"/>
          <w:noProof/>
        </w:rPr>
        <w:footnoteReference w:id="18"/>
      </w:r>
      <w:r>
        <w:rPr>
          <w:rFonts w:ascii="Times New Roman" w:hAnsi="Times New Roman"/>
          <w:noProof/>
          <w:sz w:val="24"/>
        </w:rPr>
        <w:t>). Celkový rozpočet původně vyčleněný na tvorbu rezerv na úvěry makrofinanční pomoci byl stanoven na přibližně 1 miliardu EUR, což představuje objem úvěrů ve výši 11 miliard EUR. Od začátku současného víceletého finančního rámce v roce 2021 a v souvislosti s rozsáhlou podporou EU pro Ukrajinu prostřednictvím makrofinanční pomoci v roce 2022 byly do konce roku 2023 vyčerpány přibližně dvě třetiny vyčleněných prostředků. V této souvislosti bylo po mimořádném zasedání Evropské rady dne 1. února 2024 o přezkumu víceletého finančního rámce v polovině období do nástroje pro Ukrajinu převedeno přibližně 225 milionů EUR z rezervních závazků souvisejících s mimořádnou operací makrofinanční pomoci pro Ukrajinu ve výši 5 miliard EUR vyplacených v roce 2022. V kombinaci s posílením rozpočtu pro poskytování půjček v rámci makrofinanční pomoci to umožní financovat navrhovaný balíček makrofinanční pomoci Egyptu až do výše 5 miliard EUR (viz oddíl 6 níže), pokud jej spolunormotvůrce (spolunormotvůrci) přijme, a zároveň ponechá určitý prostor pro další operace makrofinanční pomoci do konce roku 2027.</w:t>
      </w:r>
    </w:p>
    <w:p w14:paraId="55DB9AF5" w14:textId="1DF6638C" w:rsidR="00D767FF" w:rsidRPr="009B5F0F" w:rsidRDefault="0003744D" w:rsidP="0003744D">
      <w:pPr>
        <w:jc w:val="both"/>
        <w:rPr>
          <w:rFonts w:ascii="Times New Roman" w:hAnsi="Times New Roman"/>
          <w:noProof/>
          <w:sz w:val="24"/>
          <w:szCs w:val="24"/>
        </w:rPr>
      </w:pPr>
      <w:r>
        <w:rPr>
          <w:rFonts w:ascii="Times New Roman" w:hAnsi="Times New Roman"/>
          <w:noProof/>
          <w:sz w:val="24"/>
        </w:rPr>
        <w:t>Výrazně zvýšená rizika spojená s podporou Ukrajiny od vypuknutí války si z rozpočtového hlediska vyžádala zvláštní zacházení. V rámečku 1 jsou uvedeny některé podrobnosti se zaměřením na rok 2023.</w:t>
      </w:r>
    </w:p>
    <w:p w14:paraId="17314DAA" w14:textId="2D18858F" w:rsidR="0003744D" w:rsidRPr="009B5F0F" w:rsidRDefault="0003744D" w:rsidP="00004266">
      <w:pPr>
        <w:rPr>
          <w:rFonts w:ascii="Times New Roman" w:hAnsi="Times New Roman"/>
          <w:noProof/>
          <w:sz w:val="24"/>
          <w:szCs w:val="24"/>
          <w:u w:val="single"/>
        </w:rPr>
      </w:pPr>
      <w:r>
        <w:rPr>
          <w:rFonts w:ascii="Times New Roman" w:hAnsi="Times New Roman"/>
          <w:b/>
          <w:noProof/>
          <w:sz w:val="24"/>
          <w:u w:val="single"/>
        </w:rPr>
        <w:t>Rámeček 1 – rozpočtové nakládání s podporou pro Ukrajinu v roce 2023</w:t>
      </w:r>
    </w:p>
    <w:p w14:paraId="2AE9FBD2" w14:textId="4F32040D" w:rsidR="0003744D" w:rsidRPr="009B5F0F" w:rsidRDefault="000068C5" w:rsidP="029B52D3">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rPr>
      </w:pPr>
      <w:r>
        <w:rPr>
          <w:rFonts w:ascii="Times New Roman" w:hAnsi="Times New Roman"/>
          <w:noProof/>
          <w:sz w:val="24"/>
        </w:rPr>
        <w:t>V roce 2022 se finanční podpora, kterou EU poskytla Ukrajině v reakci na agresivní válku Ruska, vyvíjela postupně v souladu s měnícími se finančními potřebami země v situaci, která se vyznačovala mimořádnou nejistotou. To vedlo k poskytnutí tří atypických operací makrofinanční pomoci v roce 2022 se zavedením několika nových rozpočtových opatření, která měla ve srovnání s pravidelnými operacemi makrofinanční pomoci mimořádný charakter. Na základě zkušeností z tohoto dílčího způsobu podpory byl nástroj makrofinanční pomoci+ navržen tak, aby poskytoval finanční prostředky na celý rok 2023 pravidelnějším a předvídatelnějším způsobem.</w:t>
      </w:r>
    </w:p>
    <w:p w14:paraId="3A322A02" w14:textId="4D80F999" w:rsidR="002B75AD" w:rsidRPr="009B5F0F" w:rsidRDefault="4935AEAB" w:rsidP="4686457D">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rPr>
      </w:pPr>
      <w:r>
        <w:rPr>
          <w:rFonts w:ascii="Times New Roman" w:hAnsi="Times New Roman"/>
          <w:noProof/>
          <w:sz w:val="24"/>
        </w:rPr>
        <w:t>Nouzová makrofinanční pomoc Ukrajině ve výši až 1,2 miliardy EUR v podobě úvěrů byla schválena dne 28. února 2022 a odpovídala pravidelnému modelu operací makrofinanční pomoci (v souladu s nařízením o nástroji NDICI – Globální Evropa na ni byla vytvořena rezerva ve výši 9 % jmenovité hodnoty úvěru). Nicméně zvýšené riziko pro rostoucí objemy financování v rámci mimořádné válečné situace si vyžádalo úpravu krytí rozpočtového rizika mimořádných operací makrofinanční pomoci až do výše 6 miliard EUR v úvěrech (</w:t>
      </w:r>
      <w:r w:rsidR="006C22ED" w:rsidRPr="4686457D">
        <w:rPr>
          <w:rStyle w:val="FootnoteReference"/>
          <w:rFonts w:ascii="Times New Roman" w:hAnsi="Times New Roman"/>
          <w:noProof/>
          <w:sz w:val="24"/>
          <w:szCs w:val="24"/>
        </w:rPr>
        <w:footnoteReference w:id="19"/>
      </w:r>
      <w:r>
        <w:rPr>
          <w:rFonts w:ascii="Times New Roman" w:hAnsi="Times New Roman"/>
          <w:noProof/>
          <w:sz w:val="24"/>
        </w:rPr>
        <w:t>), které následovaly. Pokrytí 70 % jejich hodnoty bylo považováno za dostatečné (</w:t>
      </w:r>
      <w:r w:rsidR="006A6719" w:rsidRPr="009B5F0F">
        <w:rPr>
          <w:rStyle w:val="FootnoteReference"/>
          <w:noProof/>
        </w:rPr>
        <w:footnoteReference w:id="20"/>
      </w:r>
      <w:r>
        <w:rPr>
          <w:rFonts w:ascii="Times New Roman" w:hAnsi="Times New Roman"/>
          <w:noProof/>
          <w:sz w:val="24"/>
        </w:rPr>
        <w:t xml:space="preserve">). Vzhledem k omezené rozpočtové dostupnosti v rámci makrofinanční pomoci se to promítlo do vyplacených rezerv v rámci rozpočtu EU s tradiční 9% mírou tvorby rezerv do společného rezervního fondu a do dodatečných dvoustranných vnitrostátních záruk na zbývajících 61 % částek. Úvěry pro Ukrajinu poskytnuté Evropskou investiční bankou v rámci mandátu pro poskytování vnějších úvěrů rovněž podléhaly 70% krytí, které mělo být plně uhrazeno do společného rezervního fondu. Právní základ v článku 13 rozhodnutí Evropského parlamentu a Rady (EU) 2022/1628 ze dne 20. září 2022 ukládá Komisi povinnost přezkoumávat přiměřenost 70% sazby každých šest měsíců, počínaje 30. červnem 2023, a </w:t>
      </w:r>
      <w:r>
        <w:rPr>
          <w:rFonts w:ascii="Times New Roman" w:hAnsi="Times New Roman"/>
          <w:i/>
          <w:iCs/>
          <w:noProof/>
          <w:sz w:val="24"/>
        </w:rPr>
        <w:t>ad hoc</w:t>
      </w:r>
      <w:r>
        <w:rPr>
          <w:rFonts w:ascii="Times New Roman" w:hAnsi="Times New Roman"/>
          <w:noProof/>
          <w:sz w:val="24"/>
        </w:rPr>
        <w:t>, pokud to bude vyžadovat vývoj. Považuje-li Komise za vhodné zvýšit nebo snížit rezervní sazbu, je zmocněna přijmout za tímto účelem akt v přenesené pravomoci. Komise dokončila svůj první přezkum v červenci 2023 (</w:t>
      </w:r>
      <w:r w:rsidR="006A6719" w:rsidRPr="009B5F0F">
        <w:rPr>
          <w:rStyle w:val="FootnoteReference"/>
          <w:rFonts w:ascii="Times New Roman" w:hAnsi="Times New Roman"/>
          <w:noProof/>
          <w:sz w:val="24"/>
          <w:szCs w:val="24"/>
        </w:rPr>
        <w:footnoteReference w:id="21"/>
      </w:r>
      <w:r>
        <w:rPr>
          <w:rFonts w:ascii="Times New Roman" w:hAnsi="Times New Roman"/>
          <w:noProof/>
          <w:sz w:val="24"/>
        </w:rPr>
        <w:t>) a dospěla k závěru, že neexistuje dostatek nových trvalých a významných prvků, které by odůvodňovaly změnu míry tvorby rezerv ve výši 70 % směrem nahoru nebo dolů. Ve svém druhém posouzení Komise v prosinci 2023 informovala Evropský parlament a Radu, že ačkoli zaznamenala pozitivní signály v ukrajinské ekonomice, neexistují dostatečné důkazy o tom, že tento vývoj lze považovat za trvalý a že by mohl mít významný dopad na přiměřenost této míry tvorby rezerv, který by odůvodňoval odklon od závěrů prvního přezkumu. V této souvislosti Komise navrhuje, aby se nadále uplatňovala 70% míra tvorby rezerv. Bylo rozhodnuto, že rozsáhlejší posouzení přiměřenosti míry tvorby rezerv bude provedeno, jakmile bude jasněji vymezen vývoj a události, které mají významný vliv. Patří mezi ně zejména vývoj programu MMF a realizace široké dárcovské podpory pro rok 2024 a pozdější roky, včetně nástroje EU pro Ukrajinu.</w:t>
      </w:r>
    </w:p>
    <w:p w14:paraId="356F716C" w14:textId="7BB3FDF2" w:rsidR="006A6719" w:rsidRPr="009B5F0F" w:rsidRDefault="744DDFCD" w:rsidP="4686457D">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rPr>
      </w:pPr>
      <w:r>
        <w:rPr>
          <w:rFonts w:ascii="Times New Roman" w:hAnsi="Times New Roman"/>
          <w:noProof/>
          <w:sz w:val="24"/>
        </w:rPr>
        <w:t>Pokud jde o finanční podporu Ukrajině v roce 2023, bylo rozhodnuto, že v zájmu omezení efektu vytěsňování značné podpory Ukrajině prostřednictvím operace makrofinanční pomoci+ ve výši 18 miliard EUR na budoucí operace makrofinanční pomoci v ostatních partnerských zemích budou rizika spojená s touto půjčkou kryta jiným způsobem než v případě balíčků makrofinanční pomoci Ukrajině v roce 2022. Přesněji řečeno, odpovídající finanční závazek je nad rámec stropů VFR zajištěn tzv. „manévrovacím prostorem“. Manévrovacím prostorem se rozumí rozdíl mezi stropem vlastních zdrojů (tedy maximální výší zdrojů, o které mohou členské státy být požádány v daném roce) a finančními prostředky, které Komise skutečně potřebuje k pokrytí výdajů plánovaných v rozpočtu. Toto nové řešení bylo dohodnuto a provedeno prostřednictvím cílené změny nařízení o víceletém finančním rámci v prosinci 2022 (</w:t>
      </w:r>
      <w:r w:rsidR="00092EF1" w:rsidRPr="00092EF1">
        <w:rPr>
          <w:rFonts w:ascii="Times New Roman" w:hAnsi="Times New Roman"/>
          <w:noProof/>
          <w:sz w:val="24"/>
          <w:szCs w:val="24"/>
          <w:vertAlign w:val="superscript"/>
        </w:rPr>
        <w:footnoteReference w:id="22"/>
      </w:r>
      <w:r>
        <w:rPr>
          <w:rFonts w:ascii="Times New Roman" w:hAnsi="Times New Roman"/>
          <w:noProof/>
          <w:sz w:val="24"/>
        </w:rPr>
        <w:t>). Vzhledem k tomu, že makrofinanční pomoc plus je kryta zárukou z rozpočtové rezervy EU, která nahradila tvorbu rezerv, jež obvykle stanoví nařízení o nástroji NDICI – Globální Evropa, nemá uvolnění prostředků v rámci makrofinanční pomoci plus bezprostřední dopad na celkovou výši rozpočtových rezerv. Na základě těchto zkušeností předpokládá nástroj pro Ukrajinu, který spolunormotvůrci EU přijali dne 29. února 2024, srovnatelnou záruku ze zůstatku úvěrů poskytnutých v rámci tohoto nástroje.</w:t>
      </w:r>
      <w:r>
        <w:rPr>
          <w:rFonts w:ascii="Times New Roman" w:hAnsi="Times New Roman"/>
          <w:noProof/>
          <w:sz w:val="24"/>
          <w:u w:val="single"/>
        </w:rPr>
        <w:t xml:space="preserve"> </w:t>
      </w:r>
      <w:r>
        <w:rPr>
          <w:rFonts w:ascii="Times New Roman" w:hAnsi="Times New Roman"/>
          <w:noProof/>
          <w:sz w:val="24"/>
        </w:rPr>
        <w:t>To bylo umožněno změnou nařízení o víceletém finančním rámci na období 2021–2027</w:t>
      </w:r>
      <w:r w:rsidR="001E4C1F" w:rsidRPr="00505C89">
        <w:rPr>
          <w:rStyle w:val="FootnoteReference"/>
          <w:rFonts w:ascii="Times New Roman" w:eastAsiaTheme="minorHAnsi" w:hAnsi="Times New Roman"/>
          <w:noProof/>
          <w:sz w:val="24"/>
          <w:szCs w:val="24"/>
          <w:lang w:eastAsia="en-IE"/>
        </w:rPr>
        <w:footnoteReference w:id="23"/>
      </w:r>
      <w:r>
        <w:rPr>
          <w:rFonts w:ascii="Times New Roman" w:hAnsi="Times New Roman"/>
          <w:noProof/>
          <w:sz w:val="24"/>
        </w:rPr>
        <w:t xml:space="preserve"> v rámci balíčku revize víceletého finančního rámce v polovině období, který Komise navrhla v červnu 2022 a který byl schválen a přijat v únoru 2024. V rámci celkové politické dohody bude z nástroje pro Ukrajinu rovněž hrazena dotace úrokových sazeb a splacené rezervy ve výši 9 % na mimořádné operace makrofinanční pomoci, které ještě nebyly přiděleny na konci roku 2023 (přibližně 225 milionů EUR).</w:t>
      </w:r>
    </w:p>
    <w:p w14:paraId="194AF127" w14:textId="367CCC0C" w:rsidR="00A73E70" w:rsidRPr="009B5F0F" w:rsidRDefault="00CE000D" w:rsidP="00215365">
      <w:pPr>
        <w:pStyle w:val="Heading1"/>
        <w:numPr>
          <w:ilvl w:val="0"/>
          <w:numId w:val="45"/>
        </w:numPr>
        <w:spacing w:before="360" w:after="120" w:line="240" w:lineRule="auto"/>
        <w:jc w:val="both"/>
        <w:rPr>
          <w:rFonts w:ascii="Times New Roman" w:hAnsi="Times New Roman"/>
          <w:smallCaps/>
          <w:noProof/>
          <w:sz w:val="24"/>
          <w:szCs w:val="24"/>
        </w:rPr>
      </w:pPr>
      <w:bookmarkStart w:id="46" w:name="_Toc161912645"/>
      <w:bookmarkStart w:id="47" w:name="_Toc161912723"/>
      <w:bookmarkStart w:id="48" w:name="_Toc161912774"/>
      <w:bookmarkStart w:id="49" w:name="_Toc161912829"/>
      <w:bookmarkStart w:id="50" w:name="_Toc161912942"/>
      <w:bookmarkStart w:id="51" w:name="_Toc167873086"/>
      <w:bookmarkEnd w:id="46"/>
      <w:bookmarkEnd w:id="47"/>
      <w:bookmarkEnd w:id="48"/>
      <w:bookmarkEnd w:id="49"/>
      <w:bookmarkEnd w:id="50"/>
      <w:r>
        <w:rPr>
          <w:rFonts w:ascii="Times New Roman" w:hAnsi="Times New Roman"/>
          <w:smallCaps/>
          <w:noProof/>
          <w:sz w:val="24"/>
        </w:rPr>
        <w:t>Výhled do budoucna – operace makrofinanční pomoci a rozpočtová situace v roce</w:t>
      </w:r>
      <w:bookmarkEnd w:id="42"/>
      <w:bookmarkEnd w:id="43"/>
      <w:bookmarkEnd w:id="44"/>
      <w:r>
        <w:rPr>
          <w:noProof/>
        </w:rPr>
        <w:t xml:space="preserve"> </w:t>
      </w:r>
      <w:r>
        <w:rPr>
          <w:rFonts w:ascii="Times New Roman" w:hAnsi="Times New Roman"/>
          <w:smallCaps/>
          <w:noProof/>
          <w:sz w:val="24"/>
        </w:rPr>
        <w:t>2024</w:t>
      </w:r>
      <w:bookmarkEnd w:id="51"/>
    </w:p>
    <w:p w14:paraId="7DD2F03D" w14:textId="7296E02E" w:rsidR="00FA587E" w:rsidRPr="009B5F0F" w:rsidRDefault="00ED78E3" w:rsidP="00BF3DAB">
      <w:pPr>
        <w:spacing w:after="0" w:line="240" w:lineRule="auto"/>
        <w:jc w:val="both"/>
        <w:rPr>
          <w:rFonts w:ascii="Times New Roman" w:eastAsia="Times New Roman" w:hAnsi="Times New Roman"/>
          <w:noProof/>
          <w:sz w:val="24"/>
          <w:szCs w:val="24"/>
        </w:rPr>
      </w:pPr>
      <w:r>
        <w:rPr>
          <w:rFonts w:ascii="Times New Roman" w:hAnsi="Times New Roman"/>
          <w:noProof/>
          <w:sz w:val="24"/>
        </w:rPr>
        <w:t>Vzhledem ke krizové povaze makrofinanční pomoci nelze s jistotou stanovit výhled budoucích operací pro zbývající část tohoto víceletého finančního rámce. Tento oddíl proto popisuje operace již schválené v roce 2024 nebo potenciální operace, které ilustrují neprogramovatelný rys iniciativ makrofinanční pomoci.</w:t>
      </w:r>
    </w:p>
    <w:p w14:paraId="3B437296" w14:textId="77777777" w:rsidR="002858BF" w:rsidRPr="009B5F0F" w:rsidRDefault="002858BF" w:rsidP="00BF3DAB">
      <w:pPr>
        <w:spacing w:after="0" w:line="240" w:lineRule="auto"/>
        <w:jc w:val="both"/>
        <w:rPr>
          <w:rFonts w:ascii="Times New Roman" w:eastAsia="Times New Roman" w:hAnsi="Times New Roman"/>
          <w:noProof/>
          <w:sz w:val="24"/>
          <w:szCs w:val="24"/>
        </w:rPr>
      </w:pPr>
    </w:p>
    <w:p w14:paraId="3F7252AB" w14:textId="31585D8E" w:rsidR="005C7E98" w:rsidRPr="009B5F0F" w:rsidRDefault="00D52299" w:rsidP="00BF3DAB">
      <w:pPr>
        <w:spacing w:after="0" w:line="240" w:lineRule="auto"/>
        <w:jc w:val="both"/>
        <w:rPr>
          <w:rFonts w:ascii="Times New Roman" w:eastAsia="Times New Roman" w:hAnsi="Times New Roman"/>
          <w:noProof/>
          <w:sz w:val="24"/>
          <w:szCs w:val="24"/>
        </w:rPr>
      </w:pPr>
      <w:r>
        <w:rPr>
          <w:rFonts w:ascii="Times New Roman" w:hAnsi="Times New Roman"/>
          <w:noProof/>
          <w:sz w:val="24"/>
        </w:rPr>
        <w:t>Dne 8. října 2023 požádaly jordánské orgány o následnou makrofinanční pomoc ve výši 700 milionů EUR. Výzva k další pomoci přišla v situaci zvýšené nejistoty a regionální nestability, v neposlední řadě v důsledku eskalace na Blízkém východě. V lednu 2024 schválila Výkonná rada MMF novou dohodu v rámci rozšířeného fondu pro Jordánsko ve výši 1,2 miliardy USD na období 2024–2027. Jordánsko má strukturální ekonomické nedostatky, které se projevují chronickými fiskálními a vnějšími schodky, a je zranitelné vůči vnějším šokům, což se projevuje vysokou mezerou ve vnějším financování, která by měla přetrvávat i v současném kontextu vysokých rizik pro odvětví cestovního ruchu a obchodu. S ohledem na tuto skutečnost přijala Komise dne 8. dubna 2024 nový návrh makrofinanční pomoci</w:t>
      </w:r>
      <w:r w:rsidR="002A361E" w:rsidRPr="00505C89">
        <w:rPr>
          <w:rStyle w:val="FootnoteReference"/>
          <w:rFonts w:ascii="Times New Roman" w:eastAsia="Times New Roman" w:hAnsi="Times New Roman"/>
          <w:noProof/>
          <w:sz w:val="24"/>
          <w:szCs w:val="24"/>
        </w:rPr>
        <w:footnoteReference w:id="24"/>
      </w:r>
      <w:r>
        <w:rPr>
          <w:rFonts w:ascii="Times New Roman" w:hAnsi="Times New Roman"/>
          <w:noProof/>
          <w:sz w:val="24"/>
        </w:rPr>
        <w:t xml:space="preserve"> na půjčky ve výši až 500 milionů EUR, které mají být vyplaceny ve třech splátkách v letech 2024 až 2027.</w:t>
      </w:r>
    </w:p>
    <w:p w14:paraId="323659B2" w14:textId="77777777" w:rsidR="00BC6CA6" w:rsidRPr="009B5F0F" w:rsidRDefault="00BC6CA6" w:rsidP="00BF3DAB">
      <w:pPr>
        <w:spacing w:after="0" w:line="240" w:lineRule="auto"/>
        <w:jc w:val="both"/>
        <w:rPr>
          <w:rFonts w:ascii="Times New Roman" w:eastAsia="Times New Roman" w:hAnsi="Times New Roman"/>
          <w:noProof/>
          <w:sz w:val="24"/>
          <w:szCs w:val="24"/>
        </w:rPr>
      </w:pPr>
    </w:p>
    <w:p w14:paraId="4CFB62AF" w14:textId="14ABACE1" w:rsidR="000C6AF9" w:rsidRPr="009B5F0F" w:rsidRDefault="51671E8D" w:rsidP="00BF3DAB">
      <w:pPr>
        <w:spacing w:after="0" w:line="240" w:lineRule="auto"/>
        <w:jc w:val="both"/>
        <w:rPr>
          <w:rFonts w:ascii="Times New Roman" w:eastAsia="Times New Roman" w:hAnsi="Times New Roman"/>
          <w:noProof/>
          <w:sz w:val="24"/>
          <w:szCs w:val="24"/>
        </w:rPr>
      </w:pPr>
      <w:r>
        <w:rPr>
          <w:rFonts w:ascii="Times New Roman" w:hAnsi="Times New Roman"/>
          <w:noProof/>
          <w:sz w:val="24"/>
        </w:rPr>
        <w:t>Dne 12. března 2024 požádal Egypt o makrofinanční pomoc ve výši 5,5 miliardy EUR v návaznosti na podpis nové dohody s MMF na pracovní úrovni a navýšení probíhajícího programu MMF ze 3 miliard USD na 8 miliard USD. Egypt byl podobně postižen vnějšími otřesy, zejména pokračující agresivní válkou Ruska s Ukrajinou a vedlejšími důsledky eskalace na Blízkém východě. Výsledný odliv portfolií a klesající devizové příjmy z nižšího cestovního ruchu a příjmů ze Suezského průplavu přispěly k výraznému prohloubení mezery ve vnějším financování, přičemž v důsledku složité geopolitické situace přetrvává riziko jejího zhoršení. Komise proto navrhla balíček makrofinanční pomoci ve výši až 5 miliard EUR, který se skládá z krátkodobé operace makrofinanční pomoci ve výši až 1 miliardy EUR na základě článku 213 Smlouvy o fungování EU, jež má být vyplacena ještě v roce 2024 (Rada jej přijala 12. dubna), a z větší části balíčku makrofinanční pomoci ve výši až 4 miliardy EUR na období 2025–2027 v rámci pravidelné operace podle článku 212 Smlouvy o fungování EU. Tyto operace pomohou řešit naléhavou krátkodobou potřebu makroekonomické stabilizace v klíčovém okamžiku pro Egypt i celý region a ve střednědobém až dlouhodobém horizontu podpoří a doplní program reforem MMF tím, že podpoří odolnější a udržitelnější model růstu.</w:t>
      </w:r>
    </w:p>
    <w:p w14:paraId="4D5598ED" w14:textId="77777777" w:rsidR="00E63D0F" w:rsidRPr="009B5F0F" w:rsidRDefault="00E63D0F" w:rsidP="00BF3DAB">
      <w:pPr>
        <w:spacing w:after="0" w:line="240" w:lineRule="auto"/>
        <w:jc w:val="both"/>
        <w:rPr>
          <w:rFonts w:ascii="Times New Roman" w:eastAsia="Times New Roman" w:hAnsi="Times New Roman"/>
          <w:noProof/>
          <w:color w:val="7F7F7F" w:themeColor="text1" w:themeTint="80"/>
          <w:sz w:val="24"/>
          <w:szCs w:val="24"/>
        </w:rPr>
      </w:pPr>
    </w:p>
    <w:p w14:paraId="4084112E" w14:textId="6F9B6780" w:rsidR="6F4BBAD7" w:rsidRPr="009B5F0F" w:rsidRDefault="00351F32" w:rsidP="6F4BBAD7">
      <w:pPr>
        <w:spacing w:after="0" w:line="240" w:lineRule="auto"/>
        <w:jc w:val="both"/>
        <w:rPr>
          <w:rFonts w:ascii="Times New Roman" w:hAnsi="Times New Roman"/>
          <w:noProof/>
          <w:sz w:val="24"/>
          <w:szCs w:val="24"/>
        </w:rPr>
      </w:pPr>
      <w:r>
        <w:rPr>
          <w:rFonts w:ascii="Times New Roman" w:hAnsi="Times New Roman"/>
          <w:noProof/>
          <w:sz w:val="24"/>
        </w:rPr>
        <w:t>V listopadu 2022 požádalo Tunisko o další makrofinanční pomoc EU ve výši 1,2 miliardy EUR na podporu svých finančních potřeb v souvislosti se zhoršeným globálním prostředím a vysokými mezinárodními cenami komodit. To následovalo po dohodě na pracovní úrovni dosažené s MMF v říjnu 2022 ohledně nové rozšířené finanční facility (4 roky, 1,9 miliardy USD). Rada MMF však program dosud nepřijala, protože Tunisko dosud neprovedlo předchozí opatření, zejména pokud jde o reformu dotací na pohonné hmoty. Díky oživení cestovního ruchu a stabilním převodům peněz se tlak Tuniska na vnější financování dočasně zmírnil. S výhradou pečlivého posouzení předpokladů makrofinanční pomoci a potřeb Tuniska v oblasti vnějšího financování je Komise připravena vypracovat návrh nové makrofinanční pomoci, jakmile bude zaveden program MMF, jak bylo rovněž potvrzeno v rámci komplexního partnerství mezi EU a Tuniskem, které bylo dohodnuto v červenci 2023.</w:t>
      </w:r>
    </w:p>
    <w:p w14:paraId="72ED86D9" w14:textId="77777777" w:rsidR="001D115C" w:rsidRPr="009B5F0F" w:rsidRDefault="001D115C" w:rsidP="00C7640E">
      <w:pPr>
        <w:spacing w:after="0" w:line="240" w:lineRule="auto"/>
        <w:jc w:val="both"/>
        <w:rPr>
          <w:rFonts w:ascii="Times New Roman" w:hAnsi="Times New Roman"/>
          <w:noProof/>
          <w:sz w:val="24"/>
          <w:szCs w:val="24"/>
        </w:rPr>
      </w:pPr>
    </w:p>
    <w:p w14:paraId="266AD610" w14:textId="716C400B" w:rsidR="00B6214B" w:rsidRPr="009B5F0F" w:rsidRDefault="1D52E011" w:rsidP="00C7640E">
      <w:pPr>
        <w:spacing w:after="0" w:line="240" w:lineRule="auto"/>
        <w:jc w:val="both"/>
        <w:rPr>
          <w:rFonts w:ascii="Times New Roman" w:hAnsi="Times New Roman"/>
          <w:noProof/>
          <w:sz w:val="24"/>
          <w:szCs w:val="24"/>
        </w:rPr>
      </w:pPr>
      <w:bookmarkStart w:id="52" w:name="_Hlk165033938"/>
      <w:r>
        <w:rPr>
          <w:rFonts w:ascii="Times New Roman" w:hAnsi="Times New Roman"/>
          <w:noProof/>
          <w:sz w:val="24"/>
        </w:rPr>
        <w:t>Podobně v dubnu 2022 Libanon uzavřel dohodu s MMF na pracovní úrovni (4 roky, 3 miliardy USD), ale dosáhl jen omezeného pokroku v dlouhém seznamu předchozích opatření. Mezitím pokračoval pokles HDP, mnoho veřejných institucí přestalo fungovat a měna dramaticky ztratila na hodnotě, což vedlo k rozsáhlé dolarizaci libanonské ekonomiky. Komise je připravena podpořit komplexní program reforem prostřednictvím operace makrofinanční pomoci, jakmile budou splněny předběžné podmínky, včetně průběžného vyplácení prostředků z programu MMF.</w:t>
      </w:r>
      <w:bookmarkEnd w:id="52"/>
    </w:p>
    <w:p w14:paraId="768E8F1C" w14:textId="77777777" w:rsidR="00C7640E" w:rsidRPr="009B5F0F" w:rsidRDefault="00C7640E" w:rsidP="00C7640E">
      <w:pPr>
        <w:spacing w:after="0" w:line="240" w:lineRule="auto"/>
        <w:jc w:val="both"/>
        <w:rPr>
          <w:rFonts w:ascii="Times New Roman" w:hAnsi="Times New Roman"/>
          <w:noProof/>
          <w:sz w:val="24"/>
          <w:szCs w:val="24"/>
        </w:rPr>
      </w:pPr>
    </w:p>
    <w:p w14:paraId="7BFFA9D3" w14:textId="773B15AB" w:rsidR="004F12E6" w:rsidRPr="009B5F0F" w:rsidRDefault="00C7640E" w:rsidP="00C7640E">
      <w:pPr>
        <w:spacing w:after="0" w:line="240" w:lineRule="auto"/>
        <w:jc w:val="both"/>
        <w:rPr>
          <w:rFonts w:ascii="Times New Roman" w:hAnsi="Times New Roman"/>
          <w:noProof/>
          <w:sz w:val="24"/>
          <w:szCs w:val="24"/>
        </w:rPr>
      </w:pPr>
      <w:r>
        <w:rPr>
          <w:rFonts w:ascii="Times New Roman" w:hAnsi="Times New Roman"/>
          <w:noProof/>
          <w:sz w:val="24"/>
        </w:rPr>
        <w:t>Komise je připravena zvážit veškeré budoucí žádosti o makrofinanční pomoc a v případě potřeby navrhne způsobilým partnerům nové a/nebo navazující operace makrofinanční pomoci.</w:t>
      </w:r>
    </w:p>
    <w:p w14:paraId="14A42AD3" w14:textId="77777777" w:rsidR="00F233DD" w:rsidRPr="009B5F0F" w:rsidRDefault="00F233DD" w:rsidP="00C7640E">
      <w:pPr>
        <w:spacing w:after="0" w:line="240" w:lineRule="auto"/>
        <w:jc w:val="both"/>
        <w:rPr>
          <w:rFonts w:ascii="Times New Roman" w:hAnsi="Times New Roman"/>
          <w:noProof/>
          <w:sz w:val="24"/>
          <w:szCs w:val="24"/>
        </w:rPr>
      </w:pPr>
    </w:p>
    <w:p w14:paraId="518EE476" w14:textId="72D5F1A5" w:rsidR="00E63D0F" w:rsidRPr="009B5F0F" w:rsidRDefault="00C7640E" w:rsidP="00C7640E">
      <w:pPr>
        <w:spacing w:after="0" w:line="240" w:lineRule="auto"/>
        <w:jc w:val="both"/>
        <w:rPr>
          <w:rFonts w:ascii="Times New Roman" w:eastAsia="Times New Roman" w:hAnsi="Times New Roman"/>
          <w:noProof/>
          <w:color w:val="7F7F7F" w:themeColor="text1" w:themeTint="80"/>
          <w:sz w:val="28"/>
          <w:szCs w:val="28"/>
        </w:rPr>
      </w:pPr>
      <w:r>
        <w:rPr>
          <w:rFonts w:ascii="Times New Roman" w:hAnsi="Times New Roman"/>
          <w:noProof/>
          <w:sz w:val="24"/>
        </w:rPr>
        <w:t>Tabulka 1 uvádí přehled závazků a plateb v rámci grantů makrofinanční pomoci a vyplácení úvěrů v rámci makrofinanční pomoci na roky 2021, 2022, 2023 a (prozatímně) 2024.</w:t>
      </w:r>
    </w:p>
    <w:p w14:paraId="305CEC3F" w14:textId="6023CF8D" w:rsidR="00DA7222" w:rsidRPr="009B5F0F" w:rsidRDefault="00CE000D" w:rsidP="00DA7222">
      <w:pPr>
        <w:spacing w:after="0" w:line="240" w:lineRule="auto"/>
        <w:jc w:val="center"/>
        <w:rPr>
          <w:rFonts w:ascii="Times New Roman" w:eastAsia="Times New Roman" w:hAnsi="Times New Roman"/>
          <w:b/>
          <w:noProof/>
          <w:sz w:val="24"/>
          <w:szCs w:val="24"/>
        </w:rPr>
      </w:pPr>
      <w:r>
        <w:rPr>
          <w:noProof/>
        </w:rPr>
        <w:br w:type="page"/>
      </w:r>
      <w:r>
        <w:rPr>
          <w:rFonts w:ascii="Times New Roman" w:hAnsi="Times New Roman"/>
          <w:b/>
          <w:noProof/>
          <w:sz w:val="24"/>
        </w:rPr>
        <w:t>Tabulka 1: Závazky a platby v rámci grantů makrofinanční pomoci a vyplácení úvěrů v rámci makrofinanční pomoci v období 2021–2024 (v EUR) (</w:t>
      </w:r>
      <w:r w:rsidR="00CD62D5" w:rsidRPr="00505C89">
        <w:rPr>
          <w:rStyle w:val="FootnoteReference"/>
          <w:rFonts w:ascii="Times New Roman" w:eastAsia="Times New Roman" w:hAnsi="Times New Roman"/>
          <w:noProof/>
          <w:sz w:val="24"/>
          <w:szCs w:val="24"/>
        </w:rPr>
        <w:footnoteReference w:id="25"/>
      </w:r>
      <w:r>
        <w:rPr>
          <w:rFonts w:ascii="Times New Roman" w:hAnsi="Times New Roman"/>
          <w:b/>
          <w:noProof/>
          <w:sz w:val="24"/>
        </w:rPr>
        <w:t>)</w:t>
      </w:r>
    </w:p>
    <w:tbl>
      <w:tblPr>
        <w:tblW w:w="5000" w:type="pct"/>
        <w:tblLook w:val="04A0" w:firstRow="1" w:lastRow="0" w:firstColumn="1" w:lastColumn="0" w:noHBand="0" w:noVBand="1"/>
      </w:tblPr>
      <w:tblGrid>
        <w:gridCol w:w="1830"/>
        <w:gridCol w:w="1387"/>
        <w:gridCol w:w="1387"/>
        <w:gridCol w:w="2844"/>
        <w:gridCol w:w="1385"/>
      </w:tblGrid>
      <w:tr w:rsidR="00DA7222" w:rsidRPr="009B5F0F" w14:paraId="3DA8CB35" w14:textId="77777777" w:rsidTr="00B546D3">
        <w:trPr>
          <w:trHeight w:val="318"/>
        </w:trPr>
        <w:tc>
          <w:tcPr>
            <w:tcW w:w="1036" w:type="pct"/>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5559FC4C" w14:textId="77777777" w:rsidR="00DA7222" w:rsidRPr="009B5F0F" w:rsidRDefault="00DA7222" w:rsidP="00DA7222">
            <w:pPr>
              <w:spacing w:after="0" w:line="240" w:lineRule="auto"/>
              <w:rPr>
                <w:rFonts w:ascii="Times New Roman" w:eastAsia="Times New Roman" w:hAnsi="Times New Roman"/>
                <w:b/>
                <w:bCs/>
                <w:noProof/>
                <w:sz w:val="18"/>
                <w:szCs w:val="18"/>
              </w:rPr>
            </w:pPr>
            <w:r>
              <w:rPr>
                <w:rFonts w:ascii="Times New Roman" w:hAnsi="Times New Roman"/>
                <w:b/>
                <w:noProof/>
                <w:sz w:val="18"/>
              </w:rPr>
              <w:t>Prostředky na grantové závazky v rozpočtu</w:t>
            </w:r>
          </w:p>
        </w:tc>
        <w:tc>
          <w:tcPr>
            <w:tcW w:w="785" w:type="pct"/>
            <w:tcBorders>
              <w:top w:val="single" w:sz="8" w:space="0" w:color="auto"/>
              <w:left w:val="nil"/>
              <w:bottom w:val="nil"/>
              <w:right w:val="single" w:sz="8" w:space="0" w:color="auto"/>
            </w:tcBorders>
            <w:shd w:val="clear" w:color="auto" w:fill="auto"/>
            <w:vAlign w:val="center"/>
            <w:hideMark/>
          </w:tcPr>
          <w:p w14:paraId="7830E432"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za rok 2021</w:t>
            </w:r>
          </w:p>
        </w:tc>
        <w:tc>
          <w:tcPr>
            <w:tcW w:w="785" w:type="pct"/>
            <w:tcBorders>
              <w:top w:val="single" w:sz="8" w:space="0" w:color="auto"/>
              <w:left w:val="nil"/>
              <w:bottom w:val="nil"/>
              <w:right w:val="single" w:sz="8" w:space="0" w:color="auto"/>
            </w:tcBorders>
            <w:shd w:val="clear" w:color="auto" w:fill="auto"/>
            <w:vAlign w:val="center"/>
            <w:hideMark/>
          </w:tcPr>
          <w:p w14:paraId="06AF4449"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za rok 2022</w:t>
            </w:r>
          </w:p>
        </w:tc>
        <w:tc>
          <w:tcPr>
            <w:tcW w:w="1610" w:type="pct"/>
            <w:tcBorders>
              <w:top w:val="single" w:sz="8" w:space="0" w:color="auto"/>
              <w:left w:val="nil"/>
              <w:bottom w:val="nil"/>
              <w:right w:val="single" w:sz="8" w:space="0" w:color="auto"/>
            </w:tcBorders>
            <w:shd w:val="clear" w:color="auto" w:fill="auto"/>
            <w:vAlign w:val="center"/>
            <w:hideMark/>
          </w:tcPr>
          <w:p w14:paraId="0CDB4A36"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za rok 2023</w:t>
            </w:r>
          </w:p>
        </w:tc>
        <w:tc>
          <w:tcPr>
            <w:tcW w:w="785" w:type="pct"/>
            <w:tcBorders>
              <w:top w:val="single" w:sz="8" w:space="0" w:color="auto"/>
              <w:left w:val="nil"/>
              <w:bottom w:val="nil"/>
              <w:right w:val="single" w:sz="8" w:space="0" w:color="auto"/>
            </w:tcBorders>
            <w:shd w:val="clear" w:color="auto" w:fill="auto"/>
            <w:vAlign w:val="center"/>
            <w:hideMark/>
          </w:tcPr>
          <w:p w14:paraId="53BABB1B"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za rok 2024</w:t>
            </w:r>
          </w:p>
        </w:tc>
      </w:tr>
      <w:tr w:rsidR="00DA7222" w:rsidRPr="009B5F0F" w14:paraId="3B6000F4" w14:textId="77777777" w:rsidTr="00B546D3">
        <w:trPr>
          <w:trHeight w:val="410"/>
        </w:trPr>
        <w:tc>
          <w:tcPr>
            <w:tcW w:w="1036" w:type="pct"/>
            <w:vMerge/>
            <w:vAlign w:val="center"/>
            <w:hideMark/>
          </w:tcPr>
          <w:p w14:paraId="79B1BCC9" w14:textId="77777777" w:rsidR="00DA7222" w:rsidRPr="009B5F0F" w:rsidRDefault="00DA7222" w:rsidP="00DA7222">
            <w:pPr>
              <w:spacing w:after="0" w:line="240" w:lineRule="auto"/>
              <w:rPr>
                <w:rFonts w:ascii="Times New Roman" w:eastAsia="Times New Roman" w:hAnsi="Times New Roman"/>
                <w:b/>
                <w:bCs/>
                <w:noProof/>
                <w:sz w:val="18"/>
                <w:szCs w:val="18"/>
                <w:lang w:eastAsia="en-IE"/>
              </w:rPr>
            </w:pPr>
          </w:p>
        </w:tc>
        <w:tc>
          <w:tcPr>
            <w:tcW w:w="785" w:type="pct"/>
            <w:tcBorders>
              <w:top w:val="nil"/>
              <w:left w:val="nil"/>
              <w:bottom w:val="single" w:sz="8" w:space="0" w:color="auto"/>
              <w:right w:val="single" w:sz="8" w:space="0" w:color="auto"/>
            </w:tcBorders>
            <w:shd w:val="clear" w:color="auto" w:fill="auto"/>
            <w:vAlign w:val="center"/>
            <w:hideMark/>
          </w:tcPr>
          <w:p w14:paraId="32A4562B" w14:textId="58DE4F0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227 200</w:t>
            </w:r>
          </w:p>
        </w:tc>
        <w:tc>
          <w:tcPr>
            <w:tcW w:w="785" w:type="pct"/>
            <w:tcBorders>
              <w:top w:val="nil"/>
              <w:left w:val="nil"/>
              <w:bottom w:val="nil"/>
              <w:right w:val="single" w:sz="8" w:space="0" w:color="auto"/>
            </w:tcBorders>
            <w:shd w:val="clear" w:color="auto" w:fill="auto"/>
            <w:vAlign w:val="center"/>
            <w:hideMark/>
          </w:tcPr>
          <w:p w14:paraId="658A7FDE" w14:textId="5B3E8754"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30 114 460</w:t>
            </w:r>
          </w:p>
        </w:tc>
        <w:tc>
          <w:tcPr>
            <w:tcW w:w="1610" w:type="pct"/>
            <w:tcBorders>
              <w:top w:val="nil"/>
              <w:left w:val="nil"/>
              <w:bottom w:val="nil"/>
              <w:right w:val="single" w:sz="8" w:space="0" w:color="auto"/>
            </w:tcBorders>
            <w:shd w:val="clear" w:color="auto" w:fill="auto"/>
            <w:vAlign w:val="center"/>
            <w:hideMark/>
          </w:tcPr>
          <w:p w14:paraId="0D585619" w14:textId="40B2841E"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45 423 330</w:t>
            </w:r>
          </w:p>
        </w:tc>
        <w:tc>
          <w:tcPr>
            <w:tcW w:w="785" w:type="pct"/>
            <w:tcBorders>
              <w:top w:val="nil"/>
              <w:left w:val="nil"/>
              <w:bottom w:val="nil"/>
              <w:right w:val="single" w:sz="8" w:space="0" w:color="auto"/>
            </w:tcBorders>
            <w:shd w:val="clear" w:color="auto" w:fill="auto"/>
            <w:vAlign w:val="center"/>
            <w:hideMark/>
          </w:tcPr>
          <w:p w14:paraId="10EBA685" w14:textId="18ECCBC6"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57 367 177</w:t>
            </w:r>
          </w:p>
        </w:tc>
      </w:tr>
      <w:tr w:rsidR="00B546D3" w:rsidRPr="009B5F0F" w14:paraId="63A5E6D8"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6D1152CD" w14:textId="1BDE3389" w:rsidR="00B546D3" w:rsidRPr="009B5F0F" w:rsidRDefault="00B546D3" w:rsidP="00B546D3">
            <w:pPr>
              <w:spacing w:after="0" w:line="240" w:lineRule="auto"/>
              <w:rPr>
                <w:rFonts w:ascii="Times New Roman" w:eastAsia="Times New Roman" w:hAnsi="Times New Roman"/>
                <w:noProof/>
                <w:sz w:val="18"/>
                <w:szCs w:val="18"/>
              </w:rPr>
            </w:pPr>
            <w:r>
              <w:rPr>
                <w:rFonts w:ascii="Times New Roman" w:hAnsi="Times New Roman"/>
                <w:noProof/>
                <w:sz w:val="18"/>
              </w:rPr>
              <w:t xml:space="preserve">Operační hodnocení, hodnocení </w:t>
            </w:r>
            <w:r>
              <w:rPr>
                <w:rFonts w:ascii="Times New Roman" w:hAnsi="Times New Roman"/>
                <w:i/>
                <w:noProof/>
                <w:sz w:val="18"/>
              </w:rPr>
              <w:t>ex post</w:t>
            </w:r>
          </w:p>
        </w:tc>
        <w:tc>
          <w:tcPr>
            <w:tcW w:w="785" w:type="pct"/>
            <w:tcBorders>
              <w:top w:val="nil"/>
              <w:left w:val="nil"/>
              <w:bottom w:val="nil"/>
              <w:right w:val="single" w:sz="8" w:space="0" w:color="auto"/>
            </w:tcBorders>
            <w:shd w:val="clear" w:color="auto" w:fill="auto"/>
            <w:vAlign w:val="center"/>
            <w:hideMark/>
          </w:tcPr>
          <w:p w14:paraId="4CA26B39" w14:textId="366BC3AB"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227 200</w:t>
            </w:r>
          </w:p>
        </w:tc>
        <w:tc>
          <w:tcPr>
            <w:tcW w:w="785" w:type="pct"/>
            <w:tcBorders>
              <w:top w:val="single" w:sz="8" w:space="0" w:color="auto"/>
              <w:left w:val="nil"/>
              <w:bottom w:val="nil"/>
              <w:right w:val="single" w:sz="8" w:space="0" w:color="auto"/>
            </w:tcBorders>
            <w:shd w:val="clear" w:color="auto" w:fill="auto"/>
            <w:vAlign w:val="center"/>
            <w:hideMark/>
          </w:tcPr>
          <w:p w14:paraId="0DF84127" w14:textId="5F3E5A1A"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114 460</w:t>
            </w:r>
          </w:p>
        </w:tc>
        <w:tc>
          <w:tcPr>
            <w:tcW w:w="1610" w:type="pct"/>
            <w:tcBorders>
              <w:top w:val="single" w:sz="8" w:space="0" w:color="auto"/>
              <w:left w:val="nil"/>
              <w:bottom w:val="nil"/>
              <w:right w:val="single" w:sz="8" w:space="0" w:color="auto"/>
            </w:tcBorders>
            <w:shd w:val="clear" w:color="auto" w:fill="auto"/>
            <w:vAlign w:val="center"/>
            <w:hideMark/>
          </w:tcPr>
          <w:p w14:paraId="07E827AC" w14:textId="4730E46C"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423 330</w:t>
            </w:r>
          </w:p>
        </w:tc>
        <w:tc>
          <w:tcPr>
            <w:tcW w:w="785" w:type="pct"/>
            <w:tcBorders>
              <w:top w:val="single" w:sz="8" w:space="0" w:color="auto"/>
              <w:left w:val="nil"/>
              <w:bottom w:val="nil"/>
              <w:right w:val="single" w:sz="8" w:space="0" w:color="auto"/>
            </w:tcBorders>
            <w:shd w:val="clear" w:color="auto" w:fill="auto"/>
            <w:vAlign w:val="center"/>
            <w:hideMark/>
          </w:tcPr>
          <w:p w14:paraId="7046B54B" w14:textId="39B7DD39"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750 000</w:t>
            </w:r>
          </w:p>
        </w:tc>
      </w:tr>
      <w:tr w:rsidR="00B546D3" w:rsidRPr="009B5F0F" w14:paraId="2F95814E"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6E95DC2F" w14:textId="5DAEB350" w:rsidR="00B546D3" w:rsidRPr="009B5F0F" w:rsidRDefault="00B546D3" w:rsidP="00B546D3">
            <w:pPr>
              <w:spacing w:after="0" w:line="240" w:lineRule="auto"/>
              <w:rPr>
                <w:rFonts w:ascii="Times New Roman" w:eastAsia="Times New Roman" w:hAnsi="Times New Roman"/>
                <w:noProof/>
                <w:sz w:val="18"/>
                <w:szCs w:val="18"/>
              </w:rPr>
            </w:pPr>
            <w:r>
              <w:rPr>
                <w:rFonts w:ascii="Times New Roman" w:hAnsi="Times New Roman"/>
                <w:noProof/>
                <w:sz w:val="18"/>
              </w:rPr>
              <w:t>Další možné operace makrofinanční pomoci</w:t>
            </w:r>
          </w:p>
        </w:tc>
        <w:tc>
          <w:tcPr>
            <w:tcW w:w="785" w:type="pct"/>
            <w:tcBorders>
              <w:top w:val="nil"/>
              <w:left w:val="nil"/>
              <w:bottom w:val="nil"/>
              <w:right w:val="single" w:sz="8" w:space="0" w:color="auto"/>
            </w:tcBorders>
            <w:shd w:val="clear" w:color="auto" w:fill="auto"/>
            <w:vAlign w:val="center"/>
            <w:hideMark/>
          </w:tcPr>
          <w:p w14:paraId="062CF09D" w14:textId="77777777"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05175C21" w14:textId="3CBD0561"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30 000 000</w:t>
            </w:r>
          </w:p>
        </w:tc>
        <w:tc>
          <w:tcPr>
            <w:tcW w:w="1610" w:type="pct"/>
            <w:tcBorders>
              <w:top w:val="nil"/>
              <w:left w:val="nil"/>
              <w:bottom w:val="nil"/>
              <w:right w:val="single" w:sz="8" w:space="0" w:color="auto"/>
            </w:tcBorders>
            <w:shd w:val="clear" w:color="auto" w:fill="auto"/>
            <w:vAlign w:val="center"/>
            <w:hideMark/>
          </w:tcPr>
          <w:p w14:paraId="6C360E17" w14:textId="368C80D7"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45 000 000</w:t>
            </w:r>
          </w:p>
        </w:tc>
        <w:tc>
          <w:tcPr>
            <w:tcW w:w="785" w:type="pct"/>
            <w:tcBorders>
              <w:top w:val="nil"/>
              <w:left w:val="nil"/>
              <w:bottom w:val="nil"/>
              <w:right w:val="single" w:sz="8" w:space="0" w:color="auto"/>
            </w:tcBorders>
            <w:shd w:val="clear" w:color="auto" w:fill="auto"/>
            <w:vAlign w:val="center"/>
            <w:hideMark/>
          </w:tcPr>
          <w:p w14:paraId="70C779B8" w14:textId="39E6C296"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56 617 177</w:t>
            </w:r>
          </w:p>
        </w:tc>
      </w:tr>
      <w:tr w:rsidR="00B546D3" w:rsidRPr="009B5F0F" w14:paraId="114DC680"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158E51C0" w14:textId="77777777" w:rsidR="00B546D3" w:rsidRPr="009B5F0F" w:rsidRDefault="00B546D3" w:rsidP="00B546D3">
            <w:pPr>
              <w:spacing w:after="0" w:line="240" w:lineRule="auto"/>
              <w:rPr>
                <w:rFonts w:ascii="Times New Roman" w:eastAsia="Times New Roman" w:hAnsi="Times New Roman"/>
                <w:b/>
                <w:bCs/>
                <w:noProof/>
                <w:sz w:val="18"/>
                <w:szCs w:val="18"/>
              </w:rPr>
            </w:pPr>
            <w:r>
              <w:rPr>
                <w:rFonts w:ascii="Times New Roman" w:hAnsi="Times New Roman"/>
                <w:b/>
                <w:noProof/>
                <w:sz w:val="18"/>
              </w:rPr>
              <w:t>Závazky celkem</w:t>
            </w:r>
          </w:p>
        </w:tc>
        <w:tc>
          <w:tcPr>
            <w:tcW w:w="785" w:type="pct"/>
            <w:tcBorders>
              <w:top w:val="nil"/>
              <w:left w:val="nil"/>
              <w:bottom w:val="nil"/>
              <w:right w:val="single" w:sz="8" w:space="0" w:color="auto"/>
            </w:tcBorders>
            <w:shd w:val="clear" w:color="auto" w:fill="auto"/>
            <w:vAlign w:val="center"/>
            <w:hideMark/>
          </w:tcPr>
          <w:p w14:paraId="0FE2E003" w14:textId="64C3CDE1"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227 200</w:t>
            </w:r>
          </w:p>
        </w:tc>
        <w:tc>
          <w:tcPr>
            <w:tcW w:w="785" w:type="pct"/>
            <w:tcBorders>
              <w:top w:val="nil"/>
              <w:left w:val="nil"/>
              <w:bottom w:val="nil"/>
              <w:right w:val="single" w:sz="8" w:space="0" w:color="auto"/>
            </w:tcBorders>
            <w:shd w:val="clear" w:color="auto" w:fill="auto"/>
            <w:vAlign w:val="center"/>
            <w:hideMark/>
          </w:tcPr>
          <w:p w14:paraId="0DB87B7B" w14:textId="07AAD346"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30 114 460</w:t>
            </w:r>
          </w:p>
        </w:tc>
        <w:tc>
          <w:tcPr>
            <w:tcW w:w="1610" w:type="pct"/>
            <w:tcBorders>
              <w:top w:val="nil"/>
              <w:left w:val="nil"/>
              <w:bottom w:val="nil"/>
              <w:right w:val="single" w:sz="8" w:space="0" w:color="auto"/>
            </w:tcBorders>
            <w:shd w:val="clear" w:color="auto" w:fill="auto"/>
            <w:vAlign w:val="center"/>
            <w:hideMark/>
          </w:tcPr>
          <w:p w14:paraId="7965CD7C" w14:textId="0FCE47D8"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45 423 330</w:t>
            </w:r>
          </w:p>
        </w:tc>
        <w:tc>
          <w:tcPr>
            <w:tcW w:w="785" w:type="pct"/>
            <w:tcBorders>
              <w:top w:val="nil"/>
              <w:left w:val="nil"/>
              <w:bottom w:val="nil"/>
              <w:right w:val="single" w:sz="8" w:space="0" w:color="auto"/>
            </w:tcBorders>
            <w:shd w:val="clear" w:color="auto" w:fill="auto"/>
            <w:vAlign w:val="center"/>
            <w:hideMark/>
          </w:tcPr>
          <w:p w14:paraId="518909E7" w14:textId="577CC153"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57 367 177</w:t>
            </w:r>
          </w:p>
        </w:tc>
      </w:tr>
      <w:tr w:rsidR="00B546D3" w:rsidRPr="009B5F0F" w14:paraId="20AE655E" w14:textId="77777777" w:rsidTr="00B546D3">
        <w:trPr>
          <w:trHeight w:val="320"/>
        </w:trPr>
        <w:tc>
          <w:tcPr>
            <w:tcW w:w="1036" w:type="pct"/>
            <w:tcBorders>
              <w:top w:val="nil"/>
              <w:left w:val="single" w:sz="8" w:space="0" w:color="auto"/>
              <w:bottom w:val="single" w:sz="8" w:space="0" w:color="auto"/>
              <w:right w:val="single" w:sz="8" w:space="0" w:color="auto"/>
            </w:tcBorders>
            <w:shd w:val="clear" w:color="auto" w:fill="auto"/>
            <w:vAlign w:val="center"/>
            <w:hideMark/>
          </w:tcPr>
          <w:p w14:paraId="6FC4DF55" w14:textId="77777777" w:rsidR="00B546D3" w:rsidRPr="009B5F0F" w:rsidRDefault="00B546D3" w:rsidP="00B546D3">
            <w:pPr>
              <w:spacing w:after="0" w:line="240" w:lineRule="auto"/>
              <w:rPr>
                <w:rFonts w:ascii="Times New Roman" w:eastAsia="Times New Roman" w:hAnsi="Times New Roman"/>
                <w:b/>
                <w:bCs/>
                <w:noProof/>
                <w:sz w:val="18"/>
                <w:szCs w:val="18"/>
              </w:rPr>
            </w:pPr>
            <w:r>
              <w:rPr>
                <w:rFonts w:ascii="Times New Roman" w:hAnsi="Times New Roman"/>
                <w:b/>
                <w:noProof/>
                <w:sz w:val="18"/>
              </w:rPr>
              <w:t>Prostředky na grantové platby v rozpočtu</w:t>
            </w:r>
          </w:p>
        </w:tc>
        <w:tc>
          <w:tcPr>
            <w:tcW w:w="785" w:type="pct"/>
            <w:tcBorders>
              <w:top w:val="nil"/>
              <w:left w:val="nil"/>
              <w:bottom w:val="single" w:sz="8" w:space="0" w:color="auto"/>
              <w:right w:val="single" w:sz="8" w:space="0" w:color="auto"/>
            </w:tcBorders>
            <w:shd w:val="clear" w:color="auto" w:fill="auto"/>
            <w:vAlign w:val="center"/>
            <w:hideMark/>
          </w:tcPr>
          <w:p w14:paraId="6EB8C0FA" w14:textId="681184A9"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362 400</w:t>
            </w:r>
          </w:p>
        </w:tc>
        <w:tc>
          <w:tcPr>
            <w:tcW w:w="785" w:type="pct"/>
            <w:tcBorders>
              <w:top w:val="nil"/>
              <w:left w:val="nil"/>
              <w:bottom w:val="single" w:sz="8" w:space="0" w:color="auto"/>
              <w:right w:val="nil"/>
            </w:tcBorders>
            <w:shd w:val="clear" w:color="auto" w:fill="auto"/>
            <w:vAlign w:val="center"/>
            <w:hideMark/>
          </w:tcPr>
          <w:p w14:paraId="40D035D3" w14:textId="46F5BD02"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20 868 187</w:t>
            </w:r>
          </w:p>
        </w:tc>
        <w:tc>
          <w:tcPr>
            <w:tcW w:w="1610" w:type="pct"/>
            <w:tcBorders>
              <w:top w:val="nil"/>
              <w:left w:val="single" w:sz="8" w:space="0" w:color="auto"/>
              <w:bottom w:val="single" w:sz="8" w:space="0" w:color="auto"/>
              <w:right w:val="single" w:sz="8" w:space="0" w:color="auto"/>
            </w:tcBorders>
            <w:shd w:val="clear" w:color="auto" w:fill="auto"/>
            <w:vAlign w:val="center"/>
            <w:hideMark/>
          </w:tcPr>
          <w:p w14:paraId="0EADB500" w14:textId="7FE9AE09"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39 880 000</w:t>
            </w:r>
          </w:p>
        </w:tc>
        <w:tc>
          <w:tcPr>
            <w:tcW w:w="785" w:type="pct"/>
            <w:tcBorders>
              <w:top w:val="nil"/>
              <w:left w:val="nil"/>
              <w:bottom w:val="single" w:sz="8" w:space="0" w:color="auto"/>
              <w:right w:val="single" w:sz="8" w:space="0" w:color="auto"/>
            </w:tcBorders>
            <w:shd w:val="clear" w:color="auto" w:fill="auto"/>
            <w:vAlign w:val="center"/>
            <w:hideMark/>
          </w:tcPr>
          <w:p w14:paraId="39057035" w14:textId="57D0F763"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57 367 177</w:t>
            </w:r>
          </w:p>
        </w:tc>
      </w:tr>
      <w:tr w:rsidR="00B546D3" w:rsidRPr="009B5F0F" w14:paraId="46D6E0CC"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5D737EE5" w14:textId="15E5ACE0" w:rsidR="00B546D3" w:rsidRPr="009B5F0F" w:rsidRDefault="00B546D3" w:rsidP="00B546D3">
            <w:pPr>
              <w:spacing w:after="0" w:line="240" w:lineRule="auto"/>
              <w:rPr>
                <w:rFonts w:ascii="Times New Roman" w:eastAsia="Times New Roman" w:hAnsi="Times New Roman"/>
                <w:noProof/>
                <w:sz w:val="18"/>
                <w:szCs w:val="18"/>
              </w:rPr>
            </w:pPr>
            <w:r>
              <w:rPr>
                <w:rFonts w:ascii="Times New Roman" w:hAnsi="Times New Roman"/>
                <w:noProof/>
                <w:sz w:val="18"/>
              </w:rPr>
              <w:t xml:space="preserve">Operační hodnocení, hodnocení </w:t>
            </w:r>
            <w:r>
              <w:rPr>
                <w:rFonts w:ascii="Times New Roman" w:hAnsi="Times New Roman"/>
                <w:i/>
                <w:noProof/>
                <w:sz w:val="18"/>
              </w:rPr>
              <w:t>ex post</w:t>
            </w:r>
          </w:p>
        </w:tc>
        <w:tc>
          <w:tcPr>
            <w:tcW w:w="785" w:type="pct"/>
            <w:tcBorders>
              <w:top w:val="nil"/>
              <w:left w:val="nil"/>
              <w:bottom w:val="nil"/>
              <w:right w:val="single" w:sz="8" w:space="0" w:color="auto"/>
            </w:tcBorders>
            <w:shd w:val="clear" w:color="auto" w:fill="auto"/>
            <w:vAlign w:val="center"/>
            <w:hideMark/>
          </w:tcPr>
          <w:p w14:paraId="32D7F66D" w14:textId="2725DCCD"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362 400</w:t>
            </w:r>
          </w:p>
        </w:tc>
        <w:tc>
          <w:tcPr>
            <w:tcW w:w="785" w:type="pct"/>
            <w:tcBorders>
              <w:top w:val="nil"/>
              <w:left w:val="nil"/>
              <w:bottom w:val="nil"/>
              <w:right w:val="single" w:sz="8" w:space="0" w:color="auto"/>
            </w:tcBorders>
            <w:shd w:val="clear" w:color="auto" w:fill="auto"/>
            <w:vAlign w:val="center"/>
            <w:hideMark/>
          </w:tcPr>
          <w:p w14:paraId="22158845" w14:textId="77777777"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2F197C49" w14:textId="12732BA5"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218 845</w:t>
            </w:r>
          </w:p>
        </w:tc>
        <w:tc>
          <w:tcPr>
            <w:tcW w:w="785" w:type="pct"/>
            <w:tcBorders>
              <w:top w:val="nil"/>
              <w:left w:val="nil"/>
              <w:bottom w:val="nil"/>
              <w:right w:val="single" w:sz="8" w:space="0" w:color="auto"/>
            </w:tcBorders>
            <w:shd w:val="clear" w:color="auto" w:fill="auto"/>
            <w:vAlign w:val="center"/>
            <w:hideMark/>
          </w:tcPr>
          <w:p w14:paraId="7FC1BF5A" w14:textId="675E030D"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750 000</w:t>
            </w:r>
          </w:p>
        </w:tc>
      </w:tr>
      <w:tr w:rsidR="00B546D3" w:rsidRPr="009B5F0F" w14:paraId="54970A77"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3C7ACAC0" w14:textId="1CA7E6B6" w:rsidR="00B546D3" w:rsidRPr="009B5F0F" w:rsidRDefault="00B546D3" w:rsidP="00B546D3">
            <w:pPr>
              <w:spacing w:after="0" w:line="240" w:lineRule="auto"/>
              <w:rPr>
                <w:rFonts w:ascii="Times New Roman" w:eastAsia="Times New Roman" w:hAnsi="Times New Roman"/>
                <w:noProof/>
                <w:sz w:val="18"/>
                <w:szCs w:val="18"/>
              </w:rPr>
            </w:pPr>
            <w:r>
              <w:rPr>
                <w:rFonts w:ascii="Times New Roman" w:hAnsi="Times New Roman"/>
                <w:noProof/>
                <w:sz w:val="18"/>
              </w:rPr>
              <w:t>MFA – Moldavsko (EU 2022/563)</w:t>
            </w:r>
          </w:p>
        </w:tc>
        <w:tc>
          <w:tcPr>
            <w:tcW w:w="785" w:type="pct"/>
            <w:tcBorders>
              <w:top w:val="nil"/>
              <w:left w:val="nil"/>
              <w:bottom w:val="nil"/>
              <w:right w:val="single" w:sz="8" w:space="0" w:color="auto"/>
            </w:tcBorders>
            <w:shd w:val="clear" w:color="auto" w:fill="auto"/>
            <w:vAlign w:val="center"/>
            <w:hideMark/>
          </w:tcPr>
          <w:p w14:paraId="4DC0FD05" w14:textId="77777777"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7FB7776A" w14:textId="78A4E857"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15 000 000</w:t>
            </w:r>
          </w:p>
        </w:tc>
        <w:tc>
          <w:tcPr>
            <w:tcW w:w="1610" w:type="pct"/>
            <w:tcBorders>
              <w:top w:val="nil"/>
              <w:left w:val="nil"/>
              <w:bottom w:val="nil"/>
              <w:right w:val="single" w:sz="8" w:space="0" w:color="auto"/>
            </w:tcBorders>
            <w:shd w:val="clear" w:color="auto" w:fill="auto"/>
            <w:vAlign w:val="center"/>
            <w:hideMark/>
          </w:tcPr>
          <w:p w14:paraId="3C6D0C1A" w14:textId="356ECE90"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10 000 000</w:t>
            </w:r>
          </w:p>
        </w:tc>
        <w:tc>
          <w:tcPr>
            <w:tcW w:w="785" w:type="pct"/>
            <w:tcBorders>
              <w:top w:val="nil"/>
              <w:left w:val="nil"/>
              <w:bottom w:val="nil"/>
              <w:right w:val="single" w:sz="8" w:space="0" w:color="auto"/>
            </w:tcBorders>
            <w:shd w:val="clear" w:color="auto" w:fill="auto"/>
            <w:vAlign w:val="center"/>
            <w:hideMark/>
          </w:tcPr>
          <w:p w14:paraId="3E761F2E" w14:textId="03F08105"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5 000 000</w:t>
            </w:r>
          </w:p>
        </w:tc>
      </w:tr>
      <w:tr w:rsidR="00B546D3" w:rsidRPr="009B5F0F" w14:paraId="00BB1166"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41796081" w14:textId="3C925863" w:rsidR="00B546D3" w:rsidRPr="009B5F0F" w:rsidRDefault="00B546D3" w:rsidP="00B546D3">
            <w:pPr>
              <w:spacing w:after="0" w:line="240" w:lineRule="auto"/>
              <w:rPr>
                <w:rFonts w:ascii="Times New Roman" w:eastAsia="Times New Roman" w:hAnsi="Times New Roman"/>
                <w:noProof/>
                <w:sz w:val="18"/>
                <w:szCs w:val="18"/>
              </w:rPr>
            </w:pPr>
            <w:r>
              <w:rPr>
                <w:rFonts w:ascii="Times New Roman" w:hAnsi="Times New Roman"/>
                <w:noProof/>
                <w:sz w:val="18"/>
              </w:rPr>
              <w:t>MFA – Makedonie (doplnění) (EU 2023/1165)</w:t>
            </w:r>
          </w:p>
        </w:tc>
        <w:tc>
          <w:tcPr>
            <w:tcW w:w="785" w:type="pct"/>
            <w:tcBorders>
              <w:top w:val="nil"/>
              <w:left w:val="nil"/>
              <w:bottom w:val="nil"/>
              <w:right w:val="single" w:sz="8" w:space="0" w:color="auto"/>
            </w:tcBorders>
            <w:shd w:val="clear" w:color="auto" w:fill="auto"/>
            <w:vAlign w:val="center"/>
            <w:hideMark/>
          </w:tcPr>
          <w:p w14:paraId="68781691" w14:textId="555590F3" w:rsidR="00B546D3" w:rsidRPr="009B5F0F" w:rsidRDefault="00B546D3" w:rsidP="00B546D3">
            <w:pPr>
              <w:spacing w:after="0" w:line="240" w:lineRule="auto"/>
              <w:jc w:val="right"/>
              <w:rPr>
                <w:rFonts w:ascii="Times New Roman" w:eastAsia="Times New Roman" w:hAnsi="Times New Roman"/>
                <w:noProof/>
                <w:sz w:val="18"/>
                <w:szCs w:val="18"/>
                <w:lang w:eastAsia="en-IE"/>
              </w:rPr>
            </w:pPr>
          </w:p>
        </w:tc>
        <w:tc>
          <w:tcPr>
            <w:tcW w:w="785" w:type="pct"/>
            <w:tcBorders>
              <w:top w:val="nil"/>
              <w:left w:val="nil"/>
              <w:bottom w:val="nil"/>
              <w:right w:val="single" w:sz="8" w:space="0" w:color="auto"/>
            </w:tcBorders>
            <w:shd w:val="clear" w:color="auto" w:fill="auto"/>
            <w:vAlign w:val="center"/>
            <w:hideMark/>
          </w:tcPr>
          <w:p w14:paraId="6206B37B" w14:textId="4EA6A2F4" w:rsidR="00B546D3" w:rsidRPr="009B5F0F" w:rsidRDefault="00B546D3" w:rsidP="00B546D3">
            <w:pPr>
              <w:spacing w:after="0" w:line="240" w:lineRule="auto"/>
              <w:jc w:val="right"/>
              <w:rPr>
                <w:rFonts w:ascii="Times New Roman" w:eastAsia="Times New Roman" w:hAnsi="Times New Roman"/>
                <w:noProof/>
                <w:sz w:val="18"/>
                <w:szCs w:val="18"/>
                <w:lang w:eastAsia="en-IE"/>
              </w:rPr>
            </w:pPr>
          </w:p>
        </w:tc>
        <w:tc>
          <w:tcPr>
            <w:tcW w:w="1610" w:type="pct"/>
            <w:tcBorders>
              <w:top w:val="nil"/>
              <w:left w:val="nil"/>
              <w:bottom w:val="nil"/>
              <w:right w:val="single" w:sz="8" w:space="0" w:color="auto"/>
            </w:tcBorders>
            <w:shd w:val="clear" w:color="auto" w:fill="auto"/>
            <w:vAlign w:val="center"/>
            <w:hideMark/>
          </w:tcPr>
          <w:p w14:paraId="36206AB9" w14:textId="4BDA9BFF"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22 500 000</w:t>
            </w:r>
          </w:p>
        </w:tc>
        <w:tc>
          <w:tcPr>
            <w:tcW w:w="785" w:type="pct"/>
            <w:tcBorders>
              <w:top w:val="nil"/>
              <w:left w:val="nil"/>
              <w:bottom w:val="nil"/>
              <w:right w:val="single" w:sz="8" w:space="0" w:color="auto"/>
            </w:tcBorders>
            <w:shd w:val="clear" w:color="auto" w:fill="auto"/>
            <w:vAlign w:val="center"/>
            <w:hideMark/>
          </w:tcPr>
          <w:p w14:paraId="14AB0A69" w14:textId="2707F50C"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22 500 000</w:t>
            </w:r>
          </w:p>
        </w:tc>
      </w:tr>
      <w:tr w:rsidR="00B546D3" w:rsidRPr="009B5F0F" w14:paraId="06744625"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239732D3" w14:textId="7750A5FF" w:rsidR="00B546D3" w:rsidRPr="009B5F0F" w:rsidRDefault="00B546D3" w:rsidP="00B546D3">
            <w:pPr>
              <w:spacing w:after="0" w:line="240" w:lineRule="auto"/>
              <w:rPr>
                <w:rFonts w:ascii="Times New Roman" w:eastAsia="Times New Roman" w:hAnsi="Times New Roman"/>
                <w:noProof/>
                <w:sz w:val="18"/>
                <w:szCs w:val="18"/>
              </w:rPr>
            </w:pPr>
            <w:r>
              <w:rPr>
                <w:rFonts w:ascii="Times New Roman" w:hAnsi="Times New Roman"/>
                <w:noProof/>
                <w:sz w:val="18"/>
              </w:rPr>
              <w:t>Další možné operace makrofinanční pomoci</w:t>
            </w:r>
          </w:p>
        </w:tc>
        <w:tc>
          <w:tcPr>
            <w:tcW w:w="785" w:type="pct"/>
            <w:tcBorders>
              <w:top w:val="nil"/>
              <w:left w:val="nil"/>
              <w:bottom w:val="nil"/>
              <w:right w:val="single" w:sz="8" w:space="0" w:color="auto"/>
            </w:tcBorders>
            <w:shd w:val="clear" w:color="auto" w:fill="auto"/>
            <w:vAlign w:val="center"/>
            <w:hideMark/>
          </w:tcPr>
          <w:p w14:paraId="7A85880A" w14:textId="77777777"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6FC0E699" w14:textId="77777777"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565B60A9" w14:textId="6BFD2344"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0A980E96" w14:textId="2BAA142B"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29 117 177</w:t>
            </w:r>
          </w:p>
        </w:tc>
      </w:tr>
      <w:tr w:rsidR="00B546D3" w:rsidRPr="009B5F0F" w14:paraId="2598EFF2" w14:textId="77777777" w:rsidTr="00B546D3">
        <w:trPr>
          <w:trHeight w:val="320"/>
        </w:trPr>
        <w:tc>
          <w:tcPr>
            <w:tcW w:w="1036" w:type="pct"/>
            <w:tcBorders>
              <w:top w:val="nil"/>
              <w:left w:val="single" w:sz="8" w:space="0" w:color="auto"/>
              <w:bottom w:val="single" w:sz="8" w:space="0" w:color="auto"/>
              <w:right w:val="single" w:sz="8" w:space="0" w:color="auto"/>
            </w:tcBorders>
            <w:shd w:val="clear" w:color="auto" w:fill="auto"/>
            <w:vAlign w:val="center"/>
            <w:hideMark/>
          </w:tcPr>
          <w:p w14:paraId="35B3AF04" w14:textId="77777777" w:rsidR="00B546D3" w:rsidRPr="009B5F0F" w:rsidRDefault="00B546D3" w:rsidP="00B546D3">
            <w:pPr>
              <w:spacing w:after="0" w:line="240" w:lineRule="auto"/>
              <w:rPr>
                <w:rFonts w:ascii="Times New Roman" w:eastAsia="Times New Roman" w:hAnsi="Times New Roman"/>
                <w:b/>
                <w:bCs/>
                <w:noProof/>
                <w:sz w:val="18"/>
                <w:szCs w:val="18"/>
              </w:rPr>
            </w:pPr>
            <w:r>
              <w:rPr>
                <w:rFonts w:ascii="Times New Roman" w:hAnsi="Times New Roman"/>
                <w:b/>
                <w:noProof/>
                <w:sz w:val="18"/>
              </w:rPr>
              <w:t>Platby celkem</w:t>
            </w:r>
          </w:p>
        </w:tc>
        <w:tc>
          <w:tcPr>
            <w:tcW w:w="785" w:type="pct"/>
            <w:tcBorders>
              <w:top w:val="nil"/>
              <w:left w:val="nil"/>
              <w:bottom w:val="single" w:sz="8" w:space="0" w:color="auto"/>
              <w:right w:val="single" w:sz="8" w:space="0" w:color="auto"/>
            </w:tcBorders>
            <w:shd w:val="clear" w:color="auto" w:fill="auto"/>
            <w:vAlign w:val="center"/>
            <w:hideMark/>
          </w:tcPr>
          <w:p w14:paraId="494E016C" w14:textId="36D49215"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362 400</w:t>
            </w:r>
          </w:p>
        </w:tc>
        <w:tc>
          <w:tcPr>
            <w:tcW w:w="785" w:type="pct"/>
            <w:tcBorders>
              <w:top w:val="nil"/>
              <w:left w:val="nil"/>
              <w:bottom w:val="single" w:sz="8" w:space="0" w:color="auto"/>
              <w:right w:val="single" w:sz="8" w:space="0" w:color="auto"/>
            </w:tcBorders>
            <w:shd w:val="clear" w:color="auto" w:fill="auto"/>
            <w:vAlign w:val="center"/>
            <w:hideMark/>
          </w:tcPr>
          <w:p w14:paraId="50996553" w14:textId="3B4DC8B2"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15 000 000</w:t>
            </w:r>
          </w:p>
        </w:tc>
        <w:tc>
          <w:tcPr>
            <w:tcW w:w="1610" w:type="pct"/>
            <w:tcBorders>
              <w:top w:val="nil"/>
              <w:left w:val="nil"/>
              <w:bottom w:val="single" w:sz="8" w:space="0" w:color="auto"/>
              <w:right w:val="single" w:sz="8" w:space="0" w:color="auto"/>
            </w:tcBorders>
            <w:shd w:val="clear" w:color="auto" w:fill="auto"/>
            <w:vAlign w:val="center"/>
            <w:hideMark/>
          </w:tcPr>
          <w:p w14:paraId="27D0F9DF" w14:textId="55CA0065"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32 718 845</w:t>
            </w:r>
          </w:p>
        </w:tc>
        <w:tc>
          <w:tcPr>
            <w:tcW w:w="785" w:type="pct"/>
            <w:tcBorders>
              <w:top w:val="nil"/>
              <w:left w:val="nil"/>
              <w:bottom w:val="single" w:sz="8" w:space="0" w:color="auto"/>
              <w:right w:val="single" w:sz="8" w:space="0" w:color="auto"/>
            </w:tcBorders>
            <w:shd w:val="clear" w:color="auto" w:fill="auto"/>
            <w:vAlign w:val="center"/>
            <w:hideMark/>
          </w:tcPr>
          <w:p w14:paraId="170E95E3" w14:textId="18B565EF"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57 367 177</w:t>
            </w:r>
          </w:p>
        </w:tc>
      </w:tr>
      <w:tr w:rsidR="00B546D3" w:rsidRPr="009B5F0F" w14:paraId="668D93A2" w14:textId="77777777" w:rsidTr="00B546D3">
        <w:trPr>
          <w:trHeight w:val="320"/>
        </w:trPr>
        <w:tc>
          <w:tcPr>
            <w:tcW w:w="1036" w:type="pct"/>
            <w:tcBorders>
              <w:top w:val="nil"/>
              <w:left w:val="single" w:sz="8" w:space="0" w:color="auto"/>
              <w:bottom w:val="single" w:sz="8" w:space="0" w:color="auto"/>
              <w:right w:val="single" w:sz="8" w:space="0" w:color="auto"/>
            </w:tcBorders>
            <w:shd w:val="clear" w:color="auto" w:fill="auto"/>
            <w:vAlign w:val="center"/>
            <w:hideMark/>
          </w:tcPr>
          <w:p w14:paraId="7739DF84" w14:textId="77777777" w:rsidR="00B546D3" w:rsidRPr="009B5F0F" w:rsidRDefault="00B546D3" w:rsidP="00B546D3">
            <w:pPr>
              <w:spacing w:after="0" w:line="240" w:lineRule="auto"/>
              <w:rPr>
                <w:rFonts w:ascii="Times New Roman" w:eastAsia="Times New Roman" w:hAnsi="Times New Roman"/>
                <w:noProof/>
                <w:sz w:val="18"/>
                <w:szCs w:val="18"/>
              </w:rPr>
            </w:pPr>
            <w:r>
              <w:rPr>
                <w:rFonts w:ascii="Times New Roman" w:hAnsi="Times New Roman"/>
                <w:noProof/>
                <w:sz w:val="18"/>
              </w:rPr>
              <w:t>Nevyužité příděly na grantové platby</w:t>
            </w:r>
          </w:p>
        </w:tc>
        <w:tc>
          <w:tcPr>
            <w:tcW w:w="785" w:type="pct"/>
            <w:tcBorders>
              <w:top w:val="nil"/>
              <w:left w:val="nil"/>
              <w:bottom w:val="single" w:sz="8" w:space="0" w:color="auto"/>
              <w:right w:val="single" w:sz="8" w:space="0" w:color="auto"/>
            </w:tcBorders>
            <w:shd w:val="clear" w:color="auto" w:fill="auto"/>
            <w:vAlign w:val="center"/>
            <w:hideMark/>
          </w:tcPr>
          <w:p w14:paraId="0240CB89" w14:textId="02144F74" w:rsidR="00B546D3" w:rsidRPr="009B5F0F" w:rsidRDefault="00B546D3" w:rsidP="00B546D3">
            <w:pPr>
              <w:spacing w:after="0" w:line="240" w:lineRule="auto"/>
              <w:jc w:val="right"/>
              <w:rPr>
                <w:rFonts w:ascii="Times New Roman" w:eastAsia="Times New Roman" w:hAnsi="Times New Roman"/>
                <w:noProof/>
                <w:sz w:val="18"/>
                <w:szCs w:val="18"/>
                <w:lang w:eastAsia="en-IE"/>
              </w:rPr>
            </w:pPr>
          </w:p>
        </w:tc>
        <w:tc>
          <w:tcPr>
            <w:tcW w:w="785" w:type="pct"/>
            <w:tcBorders>
              <w:top w:val="nil"/>
              <w:left w:val="nil"/>
              <w:bottom w:val="single" w:sz="8" w:space="0" w:color="auto"/>
              <w:right w:val="single" w:sz="8" w:space="0" w:color="auto"/>
            </w:tcBorders>
            <w:shd w:val="clear" w:color="auto" w:fill="auto"/>
            <w:vAlign w:val="center"/>
            <w:hideMark/>
          </w:tcPr>
          <w:p w14:paraId="0ACCEE8F" w14:textId="7E7D9B2C"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5 868 187</w:t>
            </w:r>
          </w:p>
        </w:tc>
        <w:tc>
          <w:tcPr>
            <w:tcW w:w="1610" w:type="pct"/>
            <w:tcBorders>
              <w:top w:val="nil"/>
              <w:left w:val="nil"/>
              <w:bottom w:val="single" w:sz="8" w:space="0" w:color="auto"/>
              <w:right w:val="single" w:sz="8" w:space="0" w:color="auto"/>
            </w:tcBorders>
            <w:shd w:val="clear" w:color="auto" w:fill="auto"/>
            <w:vAlign w:val="center"/>
            <w:hideMark/>
          </w:tcPr>
          <w:p w14:paraId="72E8A8BC" w14:textId="04CC542C"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7 161 155</w:t>
            </w:r>
          </w:p>
        </w:tc>
        <w:tc>
          <w:tcPr>
            <w:tcW w:w="785" w:type="pct"/>
            <w:tcBorders>
              <w:top w:val="nil"/>
              <w:left w:val="nil"/>
              <w:bottom w:val="single" w:sz="8" w:space="0" w:color="auto"/>
              <w:right w:val="single" w:sz="8" w:space="0" w:color="auto"/>
            </w:tcBorders>
            <w:shd w:val="clear" w:color="auto" w:fill="auto"/>
            <w:vAlign w:val="center"/>
            <w:hideMark/>
          </w:tcPr>
          <w:p w14:paraId="629E1B63" w14:textId="77777777" w:rsidR="00B546D3" w:rsidRPr="009B5F0F" w:rsidRDefault="00B546D3" w:rsidP="00B546D3">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174FD1F0"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55B2EEED" w14:textId="77777777" w:rsidR="00DA7222" w:rsidRPr="009B5F0F" w:rsidRDefault="00DA7222" w:rsidP="00DA7222">
            <w:pPr>
              <w:spacing w:after="0" w:line="240" w:lineRule="auto"/>
              <w:rPr>
                <w:rFonts w:ascii="Times New Roman" w:eastAsia="Times New Roman" w:hAnsi="Times New Roman"/>
                <w:b/>
                <w:bCs/>
                <w:noProof/>
                <w:sz w:val="18"/>
                <w:szCs w:val="18"/>
              </w:rPr>
            </w:pPr>
            <w:r>
              <w:rPr>
                <w:rFonts w:ascii="Times New Roman" w:hAnsi="Times New Roman"/>
                <w:b/>
                <w:noProof/>
                <w:sz w:val="18"/>
              </w:rPr>
              <w:t>Vyplácení úvěrů makrofinanční pomoci</w:t>
            </w:r>
          </w:p>
        </w:tc>
        <w:tc>
          <w:tcPr>
            <w:tcW w:w="785" w:type="pct"/>
            <w:tcBorders>
              <w:top w:val="nil"/>
              <w:left w:val="nil"/>
              <w:bottom w:val="nil"/>
              <w:right w:val="single" w:sz="8" w:space="0" w:color="auto"/>
            </w:tcBorders>
            <w:shd w:val="clear" w:color="auto" w:fill="auto"/>
            <w:vAlign w:val="center"/>
            <w:hideMark/>
          </w:tcPr>
          <w:p w14:paraId="4C84DFC6" w14:textId="6DA73C1B" w:rsidR="00DA7222" w:rsidRPr="009B5F0F" w:rsidRDefault="00DA7222" w:rsidP="00DA7222">
            <w:pPr>
              <w:spacing w:after="0" w:line="240" w:lineRule="auto"/>
              <w:jc w:val="right"/>
              <w:rPr>
                <w:rFonts w:ascii="Times New Roman" w:eastAsia="Times New Roman" w:hAnsi="Times New Roman"/>
                <w:noProof/>
                <w:sz w:val="18"/>
                <w:szCs w:val="18"/>
                <w:lang w:eastAsia="en-IE"/>
              </w:rPr>
            </w:pPr>
          </w:p>
        </w:tc>
        <w:tc>
          <w:tcPr>
            <w:tcW w:w="785" w:type="pct"/>
            <w:tcBorders>
              <w:top w:val="nil"/>
              <w:left w:val="nil"/>
              <w:bottom w:val="nil"/>
              <w:right w:val="single" w:sz="8" w:space="0" w:color="auto"/>
            </w:tcBorders>
            <w:shd w:val="clear" w:color="auto" w:fill="auto"/>
            <w:vAlign w:val="center"/>
            <w:hideMark/>
          </w:tcPr>
          <w:p w14:paraId="20899B6E" w14:textId="2DC5C592" w:rsidR="00DA7222" w:rsidRPr="009B5F0F" w:rsidRDefault="00DA7222" w:rsidP="00DA7222">
            <w:pPr>
              <w:spacing w:after="0" w:line="240" w:lineRule="auto"/>
              <w:jc w:val="right"/>
              <w:rPr>
                <w:rFonts w:ascii="Times New Roman" w:eastAsia="Times New Roman" w:hAnsi="Times New Roman"/>
                <w:noProof/>
                <w:sz w:val="18"/>
                <w:szCs w:val="18"/>
                <w:lang w:eastAsia="en-IE"/>
              </w:rPr>
            </w:pPr>
          </w:p>
        </w:tc>
        <w:tc>
          <w:tcPr>
            <w:tcW w:w="1610" w:type="pct"/>
            <w:tcBorders>
              <w:top w:val="nil"/>
              <w:left w:val="nil"/>
              <w:bottom w:val="nil"/>
              <w:right w:val="single" w:sz="8" w:space="0" w:color="auto"/>
            </w:tcBorders>
            <w:shd w:val="clear" w:color="auto" w:fill="auto"/>
            <w:vAlign w:val="center"/>
            <w:hideMark/>
          </w:tcPr>
          <w:p w14:paraId="5A1C7F09" w14:textId="1739449D" w:rsidR="00DA7222" w:rsidRPr="009B5F0F" w:rsidRDefault="00DA7222" w:rsidP="00DA7222">
            <w:pPr>
              <w:spacing w:after="0" w:line="240" w:lineRule="auto"/>
              <w:jc w:val="right"/>
              <w:rPr>
                <w:rFonts w:ascii="Times New Roman" w:eastAsia="Times New Roman" w:hAnsi="Times New Roman"/>
                <w:noProof/>
                <w:sz w:val="18"/>
                <w:szCs w:val="18"/>
                <w:lang w:eastAsia="en-IE"/>
              </w:rPr>
            </w:pPr>
          </w:p>
        </w:tc>
        <w:tc>
          <w:tcPr>
            <w:tcW w:w="785" w:type="pct"/>
            <w:tcBorders>
              <w:top w:val="nil"/>
              <w:left w:val="nil"/>
              <w:bottom w:val="nil"/>
              <w:right w:val="single" w:sz="8" w:space="0" w:color="auto"/>
            </w:tcBorders>
            <w:shd w:val="clear" w:color="auto" w:fill="auto"/>
            <w:vAlign w:val="center"/>
            <w:hideMark/>
          </w:tcPr>
          <w:p w14:paraId="12425F54" w14:textId="0B09F4F5" w:rsidR="00DA7222" w:rsidRPr="009B5F0F" w:rsidRDefault="00DA7222" w:rsidP="00DA7222">
            <w:pPr>
              <w:spacing w:after="0" w:line="240" w:lineRule="auto"/>
              <w:jc w:val="right"/>
              <w:rPr>
                <w:rFonts w:ascii="Times New Roman" w:eastAsia="Times New Roman" w:hAnsi="Times New Roman"/>
                <w:noProof/>
                <w:sz w:val="18"/>
                <w:szCs w:val="18"/>
                <w:lang w:eastAsia="en-IE"/>
              </w:rPr>
            </w:pPr>
          </w:p>
        </w:tc>
      </w:tr>
      <w:tr w:rsidR="00DA7222" w:rsidRPr="009B5F0F" w14:paraId="6FC84772"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6C35B568" w14:textId="18071E24"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III – Jordánsko (dokončena)</w:t>
            </w:r>
          </w:p>
        </w:tc>
        <w:tc>
          <w:tcPr>
            <w:tcW w:w="785" w:type="pct"/>
            <w:tcBorders>
              <w:top w:val="nil"/>
              <w:left w:val="nil"/>
              <w:bottom w:val="nil"/>
              <w:right w:val="single" w:sz="8" w:space="0" w:color="auto"/>
            </w:tcBorders>
            <w:shd w:val="clear" w:color="auto" w:fill="auto"/>
            <w:vAlign w:val="center"/>
            <w:hideMark/>
          </w:tcPr>
          <w:p w14:paraId="637D5316" w14:textId="25512D99"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200 000 000</w:t>
            </w:r>
          </w:p>
        </w:tc>
        <w:tc>
          <w:tcPr>
            <w:tcW w:w="785" w:type="pct"/>
            <w:tcBorders>
              <w:top w:val="nil"/>
              <w:left w:val="nil"/>
              <w:bottom w:val="nil"/>
              <w:right w:val="single" w:sz="8" w:space="0" w:color="auto"/>
            </w:tcBorders>
            <w:shd w:val="clear" w:color="auto" w:fill="auto"/>
            <w:vAlign w:val="center"/>
            <w:hideMark/>
          </w:tcPr>
          <w:p w14:paraId="59E95A04"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682F424A" w14:textId="131A723D"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200 000 000</w:t>
            </w:r>
          </w:p>
        </w:tc>
        <w:tc>
          <w:tcPr>
            <w:tcW w:w="785" w:type="pct"/>
            <w:tcBorders>
              <w:top w:val="nil"/>
              <w:left w:val="nil"/>
              <w:bottom w:val="nil"/>
              <w:right w:val="single" w:sz="8" w:space="0" w:color="auto"/>
            </w:tcBorders>
            <w:shd w:val="clear" w:color="auto" w:fill="auto"/>
            <w:vAlign w:val="center"/>
            <w:hideMark/>
          </w:tcPr>
          <w:p w14:paraId="780EEDDE"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5A2D8808"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137F44FE" w14:textId="789D5052"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Moldavsko</w:t>
            </w:r>
          </w:p>
        </w:tc>
        <w:tc>
          <w:tcPr>
            <w:tcW w:w="785" w:type="pct"/>
            <w:tcBorders>
              <w:top w:val="nil"/>
              <w:left w:val="nil"/>
              <w:bottom w:val="nil"/>
              <w:right w:val="single" w:sz="8" w:space="0" w:color="auto"/>
            </w:tcBorders>
            <w:shd w:val="clear" w:color="auto" w:fill="auto"/>
            <w:vAlign w:val="center"/>
            <w:hideMark/>
          </w:tcPr>
          <w:p w14:paraId="1486864A"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07DA7956" w14:textId="38487F93"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35 000 000</w:t>
            </w:r>
          </w:p>
        </w:tc>
        <w:tc>
          <w:tcPr>
            <w:tcW w:w="1610" w:type="pct"/>
            <w:tcBorders>
              <w:top w:val="nil"/>
              <w:left w:val="nil"/>
              <w:bottom w:val="nil"/>
              <w:right w:val="single" w:sz="8" w:space="0" w:color="auto"/>
            </w:tcBorders>
            <w:shd w:val="clear" w:color="auto" w:fill="auto"/>
            <w:vAlign w:val="center"/>
            <w:hideMark/>
          </w:tcPr>
          <w:p w14:paraId="636D9169" w14:textId="1BB131E1"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40 000 000</w:t>
            </w:r>
          </w:p>
        </w:tc>
        <w:tc>
          <w:tcPr>
            <w:tcW w:w="785" w:type="pct"/>
            <w:tcBorders>
              <w:top w:val="nil"/>
              <w:left w:val="nil"/>
              <w:bottom w:val="nil"/>
              <w:right w:val="single" w:sz="8" w:space="0" w:color="auto"/>
            </w:tcBorders>
            <w:shd w:val="clear" w:color="auto" w:fill="auto"/>
            <w:vAlign w:val="center"/>
            <w:hideMark/>
          </w:tcPr>
          <w:p w14:paraId="7D7059AF" w14:textId="7F56AE2C"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45 000 000</w:t>
            </w:r>
          </w:p>
        </w:tc>
      </w:tr>
      <w:tr w:rsidR="00DA7222" w:rsidRPr="009B5F0F" w14:paraId="42CB1E6D"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1FC885AE" w14:textId="3B64C798"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Ukrajina (nouzová)</w:t>
            </w:r>
          </w:p>
        </w:tc>
        <w:tc>
          <w:tcPr>
            <w:tcW w:w="785" w:type="pct"/>
            <w:tcBorders>
              <w:top w:val="nil"/>
              <w:left w:val="nil"/>
              <w:bottom w:val="nil"/>
              <w:right w:val="single" w:sz="8" w:space="0" w:color="auto"/>
            </w:tcBorders>
            <w:shd w:val="clear" w:color="auto" w:fill="auto"/>
            <w:vAlign w:val="center"/>
            <w:hideMark/>
          </w:tcPr>
          <w:p w14:paraId="6ABD37D4"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7813B520" w14:textId="3DD59A96"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1 200 000 000</w:t>
            </w:r>
          </w:p>
        </w:tc>
        <w:tc>
          <w:tcPr>
            <w:tcW w:w="1610" w:type="pct"/>
            <w:tcBorders>
              <w:top w:val="nil"/>
              <w:left w:val="nil"/>
              <w:bottom w:val="nil"/>
              <w:right w:val="single" w:sz="8" w:space="0" w:color="auto"/>
            </w:tcBorders>
            <w:shd w:val="clear" w:color="auto" w:fill="auto"/>
            <w:vAlign w:val="center"/>
            <w:hideMark/>
          </w:tcPr>
          <w:p w14:paraId="27188928"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7352992C"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5A261951"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055B15BE" w14:textId="46983B9E"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Ukrajina (mimořádná)</w:t>
            </w:r>
          </w:p>
        </w:tc>
        <w:tc>
          <w:tcPr>
            <w:tcW w:w="785" w:type="pct"/>
            <w:tcBorders>
              <w:top w:val="nil"/>
              <w:left w:val="nil"/>
              <w:bottom w:val="nil"/>
              <w:right w:val="single" w:sz="8" w:space="0" w:color="auto"/>
            </w:tcBorders>
            <w:shd w:val="clear" w:color="auto" w:fill="auto"/>
            <w:vAlign w:val="center"/>
            <w:hideMark/>
          </w:tcPr>
          <w:p w14:paraId="125DBAD8"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30D5B960" w14:textId="4A873644"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6 000 000 000</w:t>
            </w:r>
          </w:p>
        </w:tc>
        <w:tc>
          <w:tcPr>
            <w:tcW w:w="1610" w:type="pct"/>
            <w:tcBorders>
              <w:top w:val="nil"/>
              <w:left w:val="nil"/>
              <w:bottom w:val="nil"/>
              <w:right w:val="single" w:sz="8" w:space="0" w:color="auto"/>
            </w:tcBorders>
            <w:shd w:val="clear" w:color="auto" w:fill="auto"/>
            <w:vAlign w:val="center"/>
            <w:hideMark/>
          </w:tcPr>
          <w:p w14:paraId="1235679A"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25D43C9D"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10AC7E3E"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02A620CE" w14:textId="40399F54"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Moldavsko (doplnění)</w:t>
            </w:r>
          </w:p>
        </w:tc>
        <w:tc>
          <w:tcPr>
            <w:tcW w:w="785" w:type="pct"/>
            <w:tcBorders>
              <w:top w:val="nil"/>
              <w:left w:val="nil"/>
              <w:bottom w:val="nil"/>
              <w:right w:val="single" w:sz="8" w:space="0" w:color="auto"/>
            </w:tcBorders>
            <w:shd w:val="clear" w:color="auto" w:fill="auto"/>
            <w:vAlign w:val="center"/>
            <w:hideMark/>
          </w:tcPr>
          <w:p w14:paraId="3A453349"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0BCD570F"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5F919544" w14:textId="4F68A075"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50 000 000</w:t>
            </w:r>
          </w:p>
        </w:tc>
        <w:tc>
          <w:tcPr>
            <w:tcW w:w="785" w:type="pct"/>
            <w:tcBorders>
              <w:top w:val="nil"/>
              <w:left w:val="nil"/>
              <w:bottom w:val="nil"/>
              <w:right w:val="single" w:sz="8" w:space="0" w:color="auto"/>
            </w:tcBorders>
            <w:shd w:val="clear" w:color="auto" w:fill="auto"/>
            <w:vAlign w:val="center"/>
            <w:hideMark/>
          </w:tcPr>
          <w:p w14:paraId="6F184218" w14:textId="71D51A88"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50 000 000</w:t>
            </w:r>
          </w:p>
        </w:tc>
      </w:tr>
      <w:tr w:rsidR="00DA7222" w:rsidRPr="009B5F0F" w14:paraId="7EB039A4"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4473DD2D" w14:textId="1767C021"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Ukrajina</w:t>
            </w:r>
          </w:p>
        </w:tc>
        <w:tc>
          <w:tcPr>
            <w:tcW w:w="785" w:type="pct"/>
            <w:tcBorders>
              <w:top w:val="nil"/>
              <w:left w:val="nil"/>
              <w:bottom w:val="nil"/>
              <w:right w:val="single" w:sz="8" w:space="0" w:color="auto"/>
            </w:tcBorders>
            <w:shd w:val="clear" w:color="auto" w:fill="auto"/>
            <w:vAlign w:val="center"/>
            <w:hideMark/>
          </w:tcPr>
          <w:p w14:paraId="2BF8DA38"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04D86C24"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7DB953BA" w14:textId="36DF32D2"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18 000 000 000</w:t>
            </w:r>
          </w:p>
        </w:tc>
        <w:tc>
          <w:tcPr>
            <w:tcW w:w="785" w:type="pct"/>
            <w:tcBorders>
              <w:top w:val="nil"/>
              <w:left w:val="nil"/>
              <w:bottom w:val="nil"/>
              <w:right w:val="single" w:sz="8" w:space="0" w:color="auto"/>
            </w:tcBorders>
            <w:shd w:val="clear" w:color="auto" w:fill="auto"/>
            <w:vAlign w:val="center"/>
            <w:hideMark/>
          </w:tcPr>
          <w:p w14:paraId="49CDFEAE"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72A750D8"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49A04003" w14:textId="2BAD8053"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Severní Makedonie</w:t>
            </w:r>
          </w:p>
        </w:tc>
        <w:tc>
          <w:tcPr>
            <w:tcW w:w="785" w:type="pct"/>
            <w:tcBorders>
              <w:top w:val="nil"/>
              <w:left w:val="nil"/>
              <w:bottom w:val="nil"/>
              <w:right w:val="single" w:sz="8" w:space="0" w:color="auto"/>
            </w:tcBorders>
            <w:shd w:val="clear" w:color="auto" w:fill="auto"/>
            <w:vAlign w:val="center"/>
            <w:hideMark/>
          </w:tcPr>
          <w:p w14:paraId="23C4A19C" w14:textId="77777777"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w:t>
            </w:r>
          </w:p>
        </w:tc>
        <w:tc>
          <w:tcPr>
            <w:tcW w:w="785" w:type="pct"/>
            <w:tcBorders>
              <w:top w:val="nil"/>
              <w:left w:val="nil"/>
              <w:bottom w:val="nil"/>
              <w:right w:val="single" w:sz="8" w:space="0" w:color="auto"/>
            </w:tcBorders>
            <w:shd w:val="clear" w:color="auto" w:fill="auto"/>
            <w:vAlign w:val="center"/>
            <w:hideMark/>
          </w:tcPr>
          <w:p w14:paraId="4978B470" w14:textId="77777777"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w:t>
            </w:r>
          </w:p>
        </w:tc>
        <w:tc>
          <w:tcPr>
            <w:tcW w:w="1610" w:type="pct"/>
            <w:tcBorders>
              <w:top w:val="nil"/>
              <w:left w:val="nil"/>
              <w:bottom w:val="nil"/>
              <w:right w:val="single" w:sz="8" w:space="0" w:color="auto"/>
            </w:tcBorders>
            <w:shd w:val="clear" w:color="auto" w:fill="auto"/>
            <w:vAlign w:val="center"/>
            <w:hideMark/>
          </w:tcPr>
          <w:p w14:paraId="36AF1391" w14:textId="77777777"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w:t>
            </w:r>
          </w:p>
        </w:tc>
        <w:tc>
          <w:tcPr>
            <w:tcW w:w="785" w:type="pct"/>
            <w:tcBorders>
              <w:top w:val="nil"/>
              <w:left w:val="nil"/>
              <w:bottom w:val="nil"/>
              <w:right w:val="single" w:sz="8" w:space="0" w:color="auto"/>
            </w:tcBorders>
            <w:shd w:val="clear" w:color="auto" w:fill="auto"/>
            <w:vAlign w:val="center"/>
            <w:hideMark/>
          </w:tcPr>
          <w:p w14:paraId="758E6436" w14:textId="16B589AA"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100 000 000</w:t>
            </w:r>
          </w:p>
        </w:tc>
      </w:tr>
      <w:tr w:rsidR="00DA7222" w:rsidRPr="009B5F0F" w14:paraId="4E7BD334"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23A5DE2A" w14:textId="4D6EFB99"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Egypt (připravuje se)</w:t>
            </w:r>
          </w:p>
        </w:tc>
        <w:tc>
          <w:tcPr>
            <w:tcW w:w="785" w:type="pct"/>
            <w:tcBorders>
              <w:top w:val="nil"/>
              <w:left w:val="nil"/>
              <w:bottom w:val="nil"/>
              <w:right w:val="single" w:sz="8" w:space="0" w:color="auto"/>
            </w:tcBorders>
            <w:shd w:val="clear" w:color="auto" w:fill="auto"/>
            <w:vAlign w:val="center"/>
            <w:hideMark/>
          </w:tcPr>
          <w:p w14:paraId="2D48BFEF" w14:textId="35B7094E" w:rsidR="00DA7222" w:rsidRPr="009B5F0F" w:rsidRDefault="00DA7222" w:rsidP="00DA7222">
            <w:pPr>
              <w:spacing w:after="0" w:line="240" w:lineRule="auto"/>
              <w:rPr>
                <w:rFonts w:ascii="Times New Roman" w:eastAsia="Times New Roman" w:hAnsi="Times New Roman"/>
                <w:b/>
                <w:bCs/>
                <w:noProof/>
                <w:sz w:val="18"/>
                <w:szCs w:val="18"/>
              </w:rPr>
            </w:pPr>
            <w:r>
              <w:rPr>
                <w:rFonts w:ascii="Times New Roman" w:hAnsi="Times New Roman"/>
                <w:b/>
                <w:noProof/>
                <w:sz w:val="18"/>
              </w:rPr>
              <w:t>-</w:t>
            </w:r>
          </w:p>
        </w:tc>
        <w:tc>
          <w:tcPr>
            <w:tcW w:w="785" w:type="pct"/>
            <w:tcBorders>
              <w:top w:val="nil"/>
              <w:left w:val="nil"/>
              <w:bottom w:val="nil"/>
              <w:right w:val="single" w:sz="8" w:space="0" w:color="auto"/>
            </w:tcBorders>
            <w:shd w:val="clear" w:color="auto" w:fill="auto"/>
            <w:vAlign w:val="center"/>
            <w:hideMark/>
          </w:tcPr>
          <w:p w14:paraId="5AF80306" w14:textId="49ECBE51" w:rsidR="00DA7222" w:rsidRPr="009B5F0F" w:rsidRDefault="00DA7222" w:rsidP="00DA7222">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 </w:t>
            </w:r>
          </w:p>
        </w:tc>
        <w:tc>
          <w:tcPr>
            <w:tcW w:w="1610" w:type="pct"/>
            <w:tcBorders>
              <w:top w:val="nil"/>
              <w:left w:val="nil"/>
              <w:bottom w:val="nil"/>
              <w:right w:val="single" w:sz="8" w:space="0" w:color="auto"/>
            </w:tcBorders>
            <w:shd w:val="clear" w:color="auto" w:fill="auto"/>
            <w:vAlign w:val="center"/>
            <w:hideMark/>
          </w:tcPr>
          <w:p w14:paraId="7798D6CA" w14:textId="1A4E001F" w:rsidR="00DA7222" w:rsidRPr="009B5F0F" w:rsidRDefault="00DA7222" w:rsidP="00DA7222">
            <w:pPr>
              <w:spacing w:after="0" w:line="240" w:lineRule="auto"/>
              <w:rPr>
                <w:rFonts w:ascii="Times New Roman" w:eastAsia="Times New Roman" w:hAnsi="Times New Roman"/>
                <w:b/>
                <w:bCs/>
                <w:noProof/>
                <w:sz w:val="18"/>
                <w:szCs w:val="18"/>
              </w:rPr>
            </w:pPr>
            <w:r>
              <w:rPr>
                <w:rFonts w:ascii="Times New Roman" w:hAnsi="Times New Roman"/>
                <w:b/>
                <w:noProof/>
                <w:sz w:val="18"/>
              </w:rPr>
              <w:t>-</w:t>
            </w:r>
          </w:p>
        </w:tc>
        <w:tc>
          <w:tcPr>
            <w:tcW w:w="785" w:type="pct"/>
            <w:tcBorders>
              <w:top w:val="nil"/>
              <w:left w:val="nil"/>
              <w:bottom w:val="nil"/>
              <w:right w:val="single" w:sz="8" w:space="0" w:color="auto"/>
            </w:tcBorders>
            <w:shd w:val="clear" w:color="auto" w:fill="auto"/>
            <w:vAlign w:val="center"/>
            <w:hideMark/>
          </w:tcPr>
          <w:p w14:paraId="3D750CE0" w14:textId="22C7436A" w:rsidR="00DA7222" w:rsidRPr="009B5F0F" w:rsidRDefault="5755BCF2" w:rsidP="44B2C7AB">
            <w:pPr>
              <w:spacing w:after="0" w:line="240" w:lineRule="auto"/>
              <w:jc w:val="right"/>
              <w:rPr>
                <w:rFonts w:ascii="Times New Roman" w:eastAsia="Times New Roman" w:hAnsi="Times New Roman"/>
                <w:noProof/>
                <w:sz w:val="18"/>
                <w:szCs w:val="18"/>
              </w:rPr>
            </w:pPr>
            <w:r>
              <w:rPr>
                <w:rFonts w:ascii="Times New Roman" w:hAnsi="Times New Roman"/>
                <w:noProof/>
                <w:sz w:val="18"/>
              </w:rPr>
              <w:t>1 000 000 000</w:t>
            </w:r>
          </w:p>
        </w:tc>
      </w:tr>
      <w:tr w:rsidR="00DA7222" w:rsidRPr="009B5F0F" w14:paraId="19E3FF6D" w14:textId="77777777" w:rsidTr="00B546D3">
        <w:trPr>
          <w:trHeight w:val="320"/>
        </w:trPr>
        <w:tc>
          <w:tcPr>
            <w:tcW w:w="1036" w:type="pct"/>
            <w:tcBorders>
              <w:top w:val="nil"/>
              <w:left w:val="single" w:sz="8" w:space="0" w:color="auto"/>
              <w:bottom w:val="single" w:sz="8" w:space="0" w:color="auto"/>
              <w:right w:val="single" w:sz="8" w:space="0" w:color="auto"/>
            </w:tcBorders>
            <w:shd w:val="clear" w:color="auto" w:fill="auto"/>
            <w:vAlign w:val="center"/>
            <w:hideMark/>
          </w:tcPr>
          <w:p w14:paraId="7F6245F5" w14:textId="77777777" w:rsidR="00DA7222" w:rsidRPr="009B5F0F" w:rsidRDefault="00DA7222" w:rsidP="00DA7222">
            <w:pPr>
              <w:spacing w:after="0" w:line="240" w:lineRule="auto"/>
              <w:rPr>
                <w:rFonts w:ascii="Times New Roman" w:eastAsia="Times New Roman" w:hAnsi="Times New Roman"/>
                <w:b/>
                <w:bCs/>
                <w:noProof/>
                <w:sz w:val="18"/>
                <w:szCs w:val="18"/>
              </w:rPr>
            </w:pPr>
            <w:r>
              <w:rPr>
                <w:rFonts w:ascii="Times New Roman" w:hAnsi="Times New Roman"/>
                <w:b/>
                <w:noProof/>
                <w:sz w:val="18"/>
              </w:rPr>
              <w:t>Vyplacené úvěry makrofinanční pomoci celkem</w:t>
            </w:r>
          </w:p>
        </w:tc>
        <w:tc>
          <w:tcPr>
            <w:tcW w:w="785" w:type="pct"/>
            <w:tcBorders>
              <w:top w:val="nil"/>
              <w:left w:val="nil"/>
              <w:bottom w:val="single" w:sz="8" w:space="0" w:color="auto"/>
              <w:right w:val="single" w:sz="8" w:space="0" w:color="auto"/>
            </w:tcBorders>
            <w:shd w:val="clear" w:color="auto" w:fill="auto"/>
            <w:vAlign w:val="center"/>
            <w:hideMark/>
          </w:tcPr>
          <w:p w14:paraId="7822C08F" w14:textId="1D6BF0E4"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200 000 000</w:t>
            </w:r>
          </w:p>
        </w:tc>
        <w:tc>
          <w:tcPr>
            <w:tcW w:w="785" w:type="pct"/>
            <w:tcBorders>
              <w:top w:val="nil"/>
              <w:left w:val="nil"/>
              <w:bottom w:val="single" w:sz="8" w:space="0" w:color="auto"/>
              <w:right w:val="single" w:sz="8" w:space="0" w:color="auto"/>
            </w:tcBorders>
            <w:shd w:val="clear" w:color="auto" w:fill="auto"/>
            <w:vAlign w:val="center"/>
            <w:hideMark/>
          </w:tcPr>
          <w:p w14:paraId="68423831" w14:textId="2B427EAF"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7 235 000 000</w:t>
            </w:r>
          </w:p>
        </w:tc>
        <w:tc>
          <w:tcPr>
            <w:tcW w:w="1610" w:type="pct"/>
            <w:tcBorders>
              <w:top w:val="nil"/>
              <w:left w:val="nil"/>
              <w:bottom w:val="single" w:sz="8" w:space="0" w:color="auto"/>
              <w:right w:val="single" w:sz="8" w:space="0" w:color="auto"/>
            </w:tcBorders>
            <w:shd w:val="clear" w:color="auto" w:fill="auto"/>
            <w:vAlign w:val="center"/>
            <w:hideMark/>
          </w:tcPr>
          <w:p w14:paraId="4F728E96" w14:textId="78F9D85D"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18 290 000 000</w:t>
            </w:r>
          </w:p>
        </w:tc>
        <w:tc>
          <w:tcPr>
            <w:tcW w:w="785" w:type="pct"/>
            <w:tcBorders>
              <w:top w:val="nil"/>
              <w:left w:val="nil"/>
              <w:bottom w:val="single" w:sz="8" w:space="0" w:color="auto"/>
              <w:right w:val="single" w:sz="8" w:space="0" w:color="auto"/>
            </w:tcBorders>
            <w:shd w:val="clear" w:color="auto" w:fill="auto"/>
            <w:vAlign w:val="center"/>
            <w:hideMark/>
          </w:tcPr>
          <w:p w14:paraId="78D4E1B6" w14:textId="7A50F116" w:rsidR="00DA7222" w:rsidRPr="009B5F0F" w:rsidRDefault="00F50CF5"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1 195 000 000</w:t>
            </w:r>
          </w:p>
        </w:tc>
      </w:tr>
      <w:tr w:rsidR="00DA7222" w:rsidRPr="009B5F0F" w14:paraId="4F933634" w14:textId="77777777" w:rsidTr="00B546D3">
        <w:trPr>
          <w:trHeight w:val="320"/>
        </w:trPr>
        <w:tc>
          <w:tcPr>
            <w:tcW w:w="1036" w:type="pct"/>
            <w:tcBorders>
              <w:top w:val="nil"/>
              <w:left w:val="single" w:sz="8" w:space="0" w:color="auto"/>
              <w:bottom w:val="single" w:sz="8" w:space="0" w:color="auto"/>
              <w:right w:val="single" w:sz="8" w:space="0" w:color="auto"/>
            </w:tcBorders>
            <w:shd w:val="clear" w:color="auto" w:fill="DBE5F1" w:themeFill="accent1" w:themeFillTint="33"/>
            <w:vAlign w:val="center"/>
            <w:hideMark/>
          </w:tcPr>
          <w:p w14:paraId="5ACAB942" w14:textId="0E3DD740" w:rsidR="00DA7222" w:rsidRPr="009B5F0F" w:rsidRDefault="00DA7222" w:rsidP="00DA7222">
            <w:pPr>
              <w:spacing w:after="0" w:line="240" w:lineRule="auto"/>
              <w:rPr>
                <w:rFonts w:ascii="Times New Roman" w:eastAsia="Times New Roman" w:hAnsi="Times New Roman"/>
                <w:b/>
                <w:bCs/>
                <w:i/>
                <w:iCs/>
                <w:noProof/>
                <w:color w:val="000000"/>
                <w:sz w:val="18"/>
                <w:szCs w:val="18"/>
              </w:rPr>
            </w:pPr>
            <w:r>
              <w:rPr>
                <w:rFonts w:ascii="Times New Roman" w:hAnsi="Times New Roman"/>
                <w:b/>
                <w:i/>
                <w:noProof/>
                <w:color w:val="000000"/>
                <w:sz w:val="18"/>
              </w:rPr>
              <w:t>Operace makrofinanční pomoci v reakci na COVID-19</w:t>
            </w:r>
          </w:p>
        </w:tc>
        <w:tc>
          <w:tcPr>
            <w:tcW w:w="785" w:type="pct"/>
            <w:tcBorders>
              <w:top w:val="nil"/>
              <w:left w:val="nil"/>
              <w:bottom w:val="single" w:sz="8" w:space="0" w:color="auto"/>
              <w:right w:val="single" w:sz="8" w:space="0" w:color="auto"/>
            </w:tcBorders>
            <w:shd w:val="clear" w:color="auto" w:fill="DBE5F1" w:themeFill="accent1" w:themeFillTint="33"/>
            <w:vAlign w:val="center"/>
            <w:hideMark/>
          </w:tcPr>
          <w:p w14:paraId="2E320FD0" w14:textId="75776845" w:rsidR="00DA7222" w:rsidRPr="009B5F0F" w:rsidRDefault="00DA7222" w:rsidP="00DA7222">
            <w:pPr>
              <w:spacing w:after="0" w:line="240" w:lineRule="auto"/>
              <w:jc w:val="right"/>
              <w:rPr>
                <w:rFonts w:ascii="Times New Roman" w:eastAsia="Times New Roman" w:hAnsi="Times New Roman"/>
                <w:noProof/>
                <w:sz w:val="18"/>
                <w:szCs w:val="18"/>
                <w:lang w:eastAsia="en-IE"/>
              </w:rPr>
            </w:pPr>
          </w:p>
        </w:tc>
        <w:tc>
          <w:tcPr>
            <w:tcW w:w="785" w:type="pct"/>
            <w:tcBorders>
              <w:top w:val="nil"/>
              <w:left w:val="nil"/>
              <w:bottom w:val="single" w:sz="8" w:space="0" w:color="auto"/>
              <w:right w:val="single" w:sz="8" w:space="0" w:color="auto"/>
            </w:tcBorders>
            <w:shd w:val="clear" w:color="auto" w:fill="DBE5F1" w:themeFill="accent1" w:themeFillTint="33"/>
            <w:vAlign w:val="center"/>
            <w:hideMark/>
          </w:tcPr>
          <w:p w14:paraId="51957B8C" w14:textId="00E81DD9" w:rsidR="00DA7222" w:rsidRPr="009B5F0F" w:rsidRDefault="00DA7222" w:rsidP="00DA7222">
            <w:pPr>
              <w:spacing w:after="0" w:line="240" w:lineRule="auto"/>
              <w:jc w:val="right"/>
              <w:rPr>
                <w:rFonts w:ascii="Times New Roman" w:eastAsia="Times New Roman" w:hAnsi="Times New Roman"/>
                <w:noProof/>
                <w:sz w:val="18"/>
                <w:szCs w:val="18"/>
                <w:lang w:eastAsia="en-IE"/>
              </w:rPr>
            </w:pPr>
          </w:p>
        </w:tc>
        <w:tc>
          <w:tcPr>
            <w:tcW w:w="1610" w:type="pct"/>
            <w:tcBorders>
              <w:top w:val="nil"/>
              <w:left w:val="nil"/>
              <w:bottom w:val="single" w:sz="8" w:space="0" w:color="auto"/>
              <w:right w:val="single" w:sz="8" w:space="0" w:color="auto"/>
            </w:tcBorders>
            <w:shd w:val="clear" w:color="auto" w:fill="DBE5F1" w:themeFill="accent1" w:themeFillTint="33"/>
            <w:vAlign w:val="center"/>
            <w:hideMark/>
          </w:tcPr>
          <w:p w14:paraId="6EB193A8" w14:textId="63CDCE32" w:rsidR="00DA7222" w:rsidRPr="009B5F0F" w:rsidRDefault="00DA7222" w:rsidP="00DA7222">
            <w:pPr>
              <w:spacing w:after="0" w:line="240" w:lineRule="auto"/>
              <w:jc w:val="right"/>
              <w:rPr>
                <w:rFonts w:ascii="Times New Roman" w:eastAsia="Times New Roman" w:hAnsi="Times New Roman"/>
                <w:noProof/>
                <w:sz w:val="18"/>
                <w:szCs w:val="18"/>
                <w:lang w:eastAsia="en-IE"/>
              </w:rPr>
            </w:pPr>
          </w:p>
        </w:tc>
        <w:tc>
          <w:tcPr>
            <w:tcW w:w="785" w:type="pct"/>
            <w:tcBorders>
              <w:top w:val="nil"/>
              <w:left w:val="nil"/>
              <w:bottom w:val="single" w:sz="8" w:space="0" w:color="auto"/>
              <w:right w:val="single" w:sz="8" w:space="0" w:color="auto"/>
            </w:tcBorders>
            <w:shd w:val="clear" w:color="auto" w:fill="DBE5F1" w:themeFill="accent1" w:themeFillTint="33"/>
            <w:vAlign w:val="center"/>
            <w:hideMark/>
          </w:tcPr>
          <w:p w14:paraId="2D7A8027" w14:textId="696C2F20" w:rsidR="00DA7222" w:rsidRPr="009B5F0F" w:rsidRDefault="00DA7222" w:rsidP="00DA7222">
            <w:pPr>
              <w:spacing w:after="0" w:line="240" w:lineRule="auto"/>
              <w:jc w:val="right"/>
              <w:rPr>
                <w:rFonts w:ascii="Times New Roman" w:eastAsia="Times New Roman" w:hAnsi="Times New Roman"/>
                <w:noProof/>
                <w:sz w:val="18"/>
                <w:szCs w:val="18"/>
                <w:lang w:eastAsia="en-IE"/>
              </w:rPr>
            </w:pPr>
          </w:p>
        </w:tc>
      </w:tr>
      <w:tr w:rsidR="00DA7222" w:rsidRPr="009B5F0F" w14:paraId="096B72F7"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5D934128" w14:textId="7658D78E"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Moldavsko (dokončena)</w:t>
            </w:r>
          </w:p>
        </w:tc>
        <w:tc>
          <w:tcPr>
            <w:tcW w:w="785" w:type="pct"/>
            <w:tcBorders>
              <w:top w:val="nil"/>
              <w:left w:val="nil"/>
              <w:bottom w:val="nil"/>
              <w:right w:val="single" w:sz="8" w:space="0" w:color="auto"/>
            </w:tcBorders>
            <w:shd w:val="clear" w:color="auto" w:fill="auto"/>
            <w:vAlign w:val="center"/>
            <w:hideMark/>
          </w:tcPr>
          <w:p w14:paraId="75377451" w14:textId="799BE601"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50 000 000</w:t>
            </w:r>
          </w:p>
        </w:tc>
        <w:tc>
          <w:tcPr>
            <w:tcW w:w="785" w:type="pct"/>
            <w:tcBorders>
              <w:top w:val="nil"/>
              <w:left w:val="nil"/>
              <w:bottom w:val="nil"/>
              <w:right w:val="single" w:sz="8" w:space="0" w:color="auto"/>
            </w:tcBorders>
            <w:shd w:val="clear" w:color="auto" w:fill="auto"/>
            <w:vAlign w:val="center"/>
            <w:hideMark/>
          </w:tcPr>
          <w:p w14:paraId="6B7650FE"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350E0CFF"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77155BB0"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6BD990DB" w14:textId="77777777" w:rsidTr="00B546D3">
        <w:trPr>
          <w:trHeight w:val="399"/>
        </w:trPr>
        <w:tc>
          <w:tcPr>
            <w:tcW w:w="1036" w:type="pct"/>
            <w:tcBorders>
              <w:top w:val="nil"/>
              <w:left w:val="single" w:sz="8" w:space="0" w:color="auto"/>
              <w:bottom w:val="nil"/>
              <w:right w:val="single" w:sz="8" w:space="0" w:color="auto"/>
            </w:tcBorders>
            <w:shd w:val="clear" w:color="auto" w:fill="auto"/>
            <w:vAlign w:val="center"/>
            <w:hideMark/>
          </w:tcPr>
          <w:p w14:paraId="7A26234D" w14:textId="6CD3B1F1"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Ukrajina (dokončena)</w:t>
            </w:r>
          </w:p>
        </w:tc>
        <w:tc>
          <w:tcPr>
            <w:tcW w:w="785" w:type="pct"/>
            <w:tcBorders>
              <w:top w:val="nil"/>
              <w:left w:val="nil"/>
              <w:bottom w:val="nil"/>
              <w:right w:val="single" w:sz="8" w:space="0" w:color="auto"/>
            </w:tcBorders>
            <w:shd w:val="clear" w:color="auto" w:fill="auto"/>
            <w:vAlign w:val="center"/>
            <w:hideMark/>
          </w:tcPr>
          <w:p w14:paraId="24253C4F" w14:textId="0DEAE5A0"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600 000 000</w:t>
            </w:r>
          </w:p>
        </w:tc>
        <w:tc>
          <w:tcPr>
            <w:tcW w:w="785" w:type="pct"/>
            <w:tcBorders>
              <w:top w:val="nil"/>
              <w:left w:val="nil"/>
              <w:bottom w:val="nil"/>
              <w:right w:val="single" w:sz="8" w:space="0" w:color="auto"/>
            </w:tcBorders>
            <w:shd w:val="clear" w:color="auto" w:fill="auto"/>
            <w:vAlign w:val="center"/>
            <w:hideMark/>
          </w:tcPr>
          <w:p w14:paraId="43875593"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39EACF0E"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00162016"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7CE1BF8C"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1497097D" w14:textId="0777F336"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Jordánsko (dokončena)</w:t>
            </w:r>
          </w:p>
        </w:tc>
        <w:tc>
          <w:tcPr>
            <w:tcW w:w="785" w:type="pct"/>
            <w:tcBorders>
              <w:top w:val="nil"/>
              <w:left w:val="nil"/>
              <w:bottom w:val="nil"/>
              <w:right w:val="single" w:sz="8" w:space="0" w:color="auto"/>
            </w:tcBorders>
            <w:shd w:val="clear" w:color="auto" w:fill="auto"/>
            <w:vAlign w:val="center"/>
            <w:hideMark/>
          </w:tcPr>
          <w:p w14:paraId="0153BF21" w14:textId="3ED3C5B8"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50 000 000</w:t>
            </w:r>
          </w:p>
        </w:tc>
        <w:tc>
          <w:tcPr>
            <w:tcW w:w="785" w:type="pct"/>
            <w:tcBorders>
              <w:top w:val="nil"/>
              <w:left w:val="nil"/>
              <w:bottom w:val="nil"/>
              <w:right w:val="single" w:sz="8" w:space="0" w:color="auto"/>
            </w:tcBorders>
            <w:shd w:val="clear" w:color="auto" w:fill="auto"/>
            <w:vAlign w:val="center"/>
            <w:hideMark/>
          </w:tcPr>
          <w:p w14:paraId="04D809BE"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6EFA6CB4"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182920F3"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43D062BE"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7B7E63AE" w14:textId="5D550C5E"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Tunisko (dokončena)</w:t>
            </w:r>
          </w:p>
        </w:tc>
        <w:tc>
          <w:tcPr>
            <w:tcW w:w="785" w:type="pct"/>
            <w:tcBorders>
              <w:top w:val="nil"/>
              <w:left w:val="nil"/>
              <w:bottom w:val="nil"/>
              <w:right w:val="single" w:sz="8" w:space="0" w:color="auto"/>
            </w:tcBorders>
            <w:shd w:val="clear" w:color="auto" w:fill="auto"/>
            <w:vAlign w:val="center"/>
            <w:hideMark/>
          </w:tcPr>
          <w:p w14:paraId="3AC2F3EF" w14:textId="7B5400D8"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300 000 000</w:t>
            </w:r>
          </w:p>
        </w:tc>
        <w:tc>
          <w:tcPr>
            <w:tcW w:w="785" w:type="pct"/>
            <w:tcBorders>
              <w:top w:val="nil"/>
              <w:left w:val="nil"/>
              <w:bottom w:val="nil"/>
              <w:right w:val="single" w:sz="8" w:space="0" w:color="auto"/>
            </w:tcBorders>
            <w:shd w:val="clear" w:color="auto" w:fill="auto"/>
            <w:vAlign w:val="center"/>
            <w:hideMark/>
          </w:tcPr>
          <w:p w14:paraId="6414FD0D" w14:textId="0D4DB7E5"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300 000 000</w:t>
            </w:r>
          </w:p>
        </w:tc>
        <w:tc>
          <w:tcPr>
            <w:tcW w:w="1610" w:type="pct"/>
            <w:tcBorders>
              <w:top w:val="nil"/>
              <w:left w:val="nil"/>
              <w:bottom w:val="nil"/>
              <w:right w:val="single" w:sz="8" w:space="0" w:color="auto"/>
            </w:tcBorders>
            <w:shd w:val="clear" w:color="auto" w:fill="auto"/>
            <w:vAlign w:val="center"/>
            <w:hideMark/>
          </w:tcPr>
          <w:p w14:paraId="143CC4C6"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7A55ACBA"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4224ACF2"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2C68E093" w14:textId="79948DAD"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Albánie (dokončena)</w:t>
            </w:r>
          </w:p>
        </w:tc>
        <w:tc>
          <w:tcPr>
            <w:tcW w:w="785" w:type="pct"/>
            <w:tcBorders>
              <w:top w:val="nil"/>
              <w:left w:val="nil"/>
              <w:bottom w:val="nil"/>
              <w:right w:val="single" w:sz="8" w:space="0" w:color="auto"/>
            </w:tcBorders>
            <w:shd w:val="clear" w:color="auto" w:fill="auto"/>
            <w:vAlign w:val="center"/>
            <w:hideMark/>
          </w:tcPr>
          <w:p w14:paraId="4E7C412A" w14:textId="12B262C4"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180 000 000</w:t>
            </w:r>
          </w:p>
        </w:tc>
        <w:tc>
          <w:tcPr>
            <w:tcW w:w="785" w:type="pct"/>
            <w:tcBorders>
              <w:top w:val="nil"/>
              <w:left w:val="nil"/>
              <w:bottom w:val="nil"/>
              <w:right w:val="single" w:sz="8" w:space="0" w:color="auto"/>
            </w:tcBorders>
            <w:shd w:val="clear" w:color="auto" w:fill="auto"/>
            <w:vAlign w:val="center"/>
            <w:hideMark/>
          </w:tcPr>
          <w:p w14:paraId="0FDCD954"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268A22AA"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1C60A19C"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67248E42"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140BA080" w14:textId="3A921232"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Bosna a Hercegovina (částečně vyplacena)</w:t>
            </w:r>
          </w:p>
        </w:tc>
        <w:tc>
          <w:tcPr>
            <w:tcW w:w="785" w:type="pct"/>
            <w:tcBorders>
              <w:top w:val="nil"/>
              <w:left w:val="nil"/>
              <w:bottom w:val="nil"/>
              <w:right w:val="single" w:sz="8" w:space="0" w:color="auto"/>
            </w:tcBorders>
            <w:shd w:val="clear" w:color="auto" w:fill="auto"/>
            <w:vAlign w:val="center"/>
            <w:hideMark/>
          </w:tcPr>
          <w:p w14:paraId="1D190726" w14:textId="39AEA433"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125 000 000</w:t>
            </w:r>
          </w:p>
        </w:tc>
        <w:tc>
          <w:tcPr>
            <w:tcW w:w="785" w:type="pct"/>
            <w:tcBorders>
              <w:top w:val="nil"/>
              <w:left w:val="nil"/>
              <w:bottom w:val="nil"/>
              <w:right w:val="single" w:sz="8" w:space="0" w:color="auto"/>
            </w:tcBorders>
            <w:shd w:val="clear" w:color="auto" w:fill="auto"/>
            <w:vAlign w:val="center"/>
            <w:hideMark/>
          </w:tcPr>
          <w:p w14:paraId="6433FC91"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396D369F"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2DD5337A"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6421AF12"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00726A00" w14:textId="7BDDFEF5"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Kosovo (dokončena)</w:t>
            </w:r>
          </w:p>
        </w:tc>
        <w:tc>
          <w:tcPr>
            <w:tcW w:w="785" w:type="pct"/>
            <w:tcBorders>
              <w:top w:val="nil"/>
              <w:left w:val="nil"/>
              <w:bottom w:val="nil"/>
              <w:right w:val="single" w:sz="8" w:space="0" w:color="auto"/>
            </w:tcBorders>
            <w:shd w:val="clear" w:color="auto" w:fill="auto"/>
            <w:vAlign w:val="center"/>
            <w:hideMark/>
          </w:tcPr>
          <w:p w14:paraId="40592451" w14:textId="03A53D13"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50 000 000</w:t>
            </w:r>
          </w:p>
        </w:tc>
        <w:tc>
          <w:tcPr>
            <w:tcW w:w="785" w:type="pct"/>
            <w:tcBorders>
              <w:top w:val="nil"/>
              <w:left w:val="nil"/>
              <w:bottom w:val="nil"/>
              <w:right w:val="single" w:sz="8" w:space="0" w:color="auto"/>
            </w:tcBorders>
            <w:shd w:val="clear" w:color="auto" w:fill="auto"/>
            <w:vAlign w:val="center"/>
            <w:hideMark/>
          </w:tcPr>
          <w:p w14:paraId="36D3189C"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5B63EE2A"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23B4A4C4"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675010BD"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7B462465" w14:textId="7524C2CA"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Černá Hora (dokončena)</w:t>
            </w:r>
          </w:p>
        </w:tc>
        <w:tc>
          <w:tcPr>
            <w:tcW w:w="785" w:type="pct"/>
            <w:tcBorders>
              <w:top w:val="nil"/>
              <w:left w:val="nil"/>
              <w:bottom w:val="nil"/>
              <w:right w:val="single" w:sz="8" w:space="0" w:color="auto"/>
            </w:tcBorders>
            <w:shd w:val="clear" w:color="auto" w:fill="auto"/>
            <w:vAlign w:val="center"/>
            <w:hideMark/>
          </w:tcPr>
          <w:p w14:paraId="4CEF353F" w14:textId="3D2A9D8A"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30 000 000</w:t>
            </w:r>
          </w:p>
        </w:tc>
        <w:tc>
          <w:tcPr>
            <w:tcW w:w="785" w:type="pct"/>
            <w:tcBorders>
              <w:top w:val="nil"/>
              <w:left w:val="nil"/>
              <w:bottom w:val="nil"/>
              <w:right w:val="single" w:sz="8" w:space="0" w:color="auto"/>
            </w:tcBorders>
            <w:shd w:val="clear" w:color="auto" w:fill="auto"/>
            <w:vAlign w:val="center"/>
            <w:hideMark/>
          </w:tcPr>
          <w:p w14:paraId="0FDA83C9"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4CFE7DF3"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5A32BB80"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0C46541B"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059F0A71" w14:textId="26EA82AA" w:rsidR="00DA7222" w:rsidRPr="009B5F0F" w:rsidRDefault="00DA7222" w:rsidP="00DA7222">
            <w:pPr>
              <w:spacing w:after="0" w:line="240" w:lineRule="auto"/>
              <w:rPr>
                <w:rFonts w:ascii="Times New Roman" w:eastAsia="Times New Roman" w:hAnsi="Times New Roman"/>
                <w:noProof/>
                <w:sz w:val="18"/>
                <w:szCs w:val="18"/>
              </w:rPr>
            </w:pPr>
            <w:r>
              <w:rPr>
                <w:rFonts w:ascii="Times New Roman" w:hAnsi="Times New Roman"/>
                <w:noProof/>
                <w:sz w:val="18"/>
              </w:rPr>
              <w:t>MFA – Severní Makedonie (dokončena)</w:t>
            </w:r>
          </w:p>
        </w:tc>
        <w:tc>
          <w:tcPr>
            <w:tcW w:w="785" w:type="pct"/>
            <w:tcBorders>
              <w:top w:val="nil"/>
              <w:left w:val="nil"/>
              <w:bottom w:val="nil"/>
              <w:right w:val="single" w:sz="8" w:space="0" w:color="auto"/>
            </w:tcBorders>
            <w:shd w:val="clear" w:color="auto" w:fill="auto"/>
            <w:vAlign w:val="center"/>
            <w:hideMark/>
          </w:tcPr>
          <w:p w14:paraId="4160341E" w14:textId="51463443"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80 000 000</w:t>
            </w:r>
          </w:p>
        </w:tc>
        <w:tc>
          <w:tcPr>
            <w:tcW w:w="785" w:type="pct"/>
            <w:tcBorders>
              <w:top w:val="nil"/>
              <w:left w:val="nil"/>
              <w:bottom w:val="nil"/>
              <w:right w:val="single" w:sz="8" w:space="0" w:color="auto"/>
            </w:tcBorders>
            <w:shd w:val="clear" w:color="auto" w:fill="auto"/>
            <w:vAlign w:val="center"/>
            <w:hideMark/>
          </w:tcPr>
          <w:p w14:paraId="22BC3D0A"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1610" w:type="pct"/>
            <w:tcBorders>
              <w:top w:val="nil"/>
              <w:left w:val="nil"/>
              <w:bottom w:val="nil"/>
              <w:right w:val="single" w:sz="8" w:space="0" w:color="auto"/>
            </w:tcBorders>
            <w:shd w:val="clear" w:color="auto" w:fill="auto"/>
            <w:vAlign w:val="center"/>
            <w:hideMark/>
          </w:tcPr>
          <w:p w14:paraId="2A7E6FD1"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c>
          <w:tcPr>
            <w:tcW w:w="785" w:type="pct"/>
            <w:tcBorders>
              <w:top w:val="nil"/>
              <w:left w:val="nil"/>
              <w:bottom w:val="nil"/>
              <w:right w:val="single" w:sz="8" w:space="0" w:color="auto"/>
            </w:tcBorders>
            <w:shd w:val="clear" w:color="auto" w:fill="auto"/>
            <w:vAlign w:val="center"/>
            <w:hideMark/>
          </w:tcPr>
          <w:p w14:paraId="4F946DD5" w14:textId="77777777" w:rsidR="00DA7222" w:rsidRPr="009B5F0F" w:rsidRDefault="00DA7222" w:rsidP="00DA7222">
            <w:pPr>
              <w:spacing w:after="0" w:line="240" w:lineRule="auto"/>
              <w:jc w:val="right"/>
              <w:rPr>
                <w:rFonts w:ascii="Times New Roman" w:eastAsia="Times New Roman" w:hAnsi="Times New Roman"/>
                <w:noProof/>
                <w:sz w:val="18"/>
                <w:szCs w:val="18"/>
              </w:rPr>
            </w:pPr>
            <w:r>
              <w:rPr>
                <w:rFonts w:ascii="Times New Roman" w:hAnsi="Times New Roman"/>
                <w:noProof/>
                <w:sz w:val="18"/>
              </w:rPr>
              <w:t>-</w:t>
            </w:r>
          </w:p>
        </w:tc>
      </w:tr>
      <w:tr w:rsidR="00DA7222" w:rsidRPr="009B5F0F" w14:paraId="559EE514" w14:textId="77777777" w:rsidTr="00B546D3">
        <w:trPr>
          <w:trHeight w:val="320"/>
        </w:trPr>
        <w:tc>
          <w:tcPr>
            <w:tcW w:w="1036" w:type="pct"/>
            <w:tcBorders>
              <w:top w:val="nil"/>
              <w:left w:val="single" w:sz="8" w:space="0" w:color="auto"/>
              <w:bottom w:val="nil"/>
              <w:right w:val="single" w:sz="8" w:space="0" w:color="auto"/>
            </w:tcBorders>
            <w:shd w:val="clear" w:color="auto" w:fill="auto"/>
            <w:vAlign w:val="center"/>
            <w:hideMark/>
          </w:tcPr>
          <w:p w14:paraId="01154D7B" w14:textId="77777777" w:rsidR="00DA7222" w:rsidRPr="009B5F0F" w:rsidRDefault="00DA7222" w:rsidP="00DA7222">
            <w:pPr>
              <w:spacing w:after="0" w:line="240" w:lineRule="auto"/>
              <w:rPr>
                <w:rFonts w:ascii="Times New Roman" w:eastAsia="Times New Roman" w:hAnsi="Times New Roman"/>
                <w:b/>
                <w:bCs/>
                <w:noProof/>
                <w:sz w:val="18"/>
                <w:szCs w:val="18"/>
              </w:rPr>
            </w:pPr>
            <w:r>
              <w:rPr>
                <w:rFonts w:ascii="Times New Roman" w:hAnsi="Times New Roman"/>
                <w:b/>
                <w:noProof/>
                <w:sz w:val="18"/>
              </w:rPr>
              <w:t>Vyplacené úvěry makrofinanční pomoci v reakci na COVID-19 celkem</w:t>
            </w:r>
          </w:p>
        </w:tc>
        <w:tc>
          <w:tcPr>
            <w:tcW w:w="785" w:type="pct"/>
            <w:tcBorders>
              <w:top w:val="nil"/>
              <w:left w:val="nil"/>
              <w:bottom w:val="nil"/>
              <w:right w:val="single" w:sz="8" w:space="0" w:color="auto"/>
            </w:tcBorders>
            <w:shd w:val="clear" w:color="auto" w:fill="auto"/>
            <w:vAlign w:val="center"/>
            <w:hideMark/>
          </w:tcPr>
          <w:p w14:paraId="294A079B" w14:textId="64ED1C64"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1 465 000 000</w:t>
            </w:r>
          </w:p>
        </w:tc>
        <w:tc>
          <w:tcPr>
            <w:tcW w:w="785" w:type="pct"/>
            <w:tcBorders>
              <w:top w:val="nil"/>
              <w:left w:val="nil"/>
              <w:bottom w:val="nil"/>
              <w:right w:val="single" w:sz="8" w:space="0" w:color="auto"/>
            </w:tcBorders>
            <w:shd w:val="clear" w:color="auto" w:fill="auto"/>
            <w:vAlign w:val="center"/>
            <w:hideMark/>
          </w:tcPr>
          <w:p w14:paraId="18128753" w14:textId="4AB8E485"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300 000 000</w:t>
            </w:r>
          </w:p>
        </w:tc>
        <w:tc>
          <w:tcPr>
            <w:tcW w:w="1610" w:type="pct"/>
            <w:tcBorders>
              <w:top w:val="nil"/>
              <w:left w:val="nil"/>
              <w:bottom w:val="nil"/>
              <w:right w:val="single" w:sz="8" w:space="0" w:color="auto"/>
            </w:tcBorders>
            <w:shd w:val="clear" w:color="auto" w:fill="auto"/>
            <w:vAlign w:val="center"/>
            <w:hideMark/>
          </w:tcPr>
          <w:p w14:paraId="19DE3B1B" w14:textId="77777777"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w:t>
            </w:r>
          </w:p>
        </w:tc>
        <w:tc>
          <w:tcPr>
            <w:tcW w:w="785" w:type="pct"/>
            <w:tcBorders>
              <w:top w:val="nil"/>
              <w:left w:val="nil"/>
              <w:bottom w:val="nil"/>
              <w:right w:val="single" w:sz="8" w:space="0" w:color="auto"/>
            </w:tcBorders>
            <w:shd w:val="clear" w:color="auto" w:fill="auto"/>
            <w:vAlign w:val="center"/>
            <w:hideMark/>
          </w:tcPr>
          <w:p w14:paraId="7D8E42A0" w14:textId="77777777" w:rsidR="00DA7222" w:rsidRPr="009B5F0F" w:rsidRDefault="00DA7222" w:rsidP="00DA7222">
            <w:pPr>
              <w:spacing w:after="0" w:line="240" w:lineRule="auto"/>
              <w:jc w:val="right"/>
              <w:rPr>
                <w:rFonts w:ascii="Times New Roman" w:eastAsia="Times New Roman" w:hAnsi="Times New Roman"/>
                <w:b/>
                <w:bCs/>
                <w:noProof/>
                <w:sz w:val="18"/>
                <w:szCs w:val="18"/>
              </w:rPr>
            </w:pPr>
            <w:r>
              <w:rPr>
                <w:rFonts w:ascii="Times New Roman" w:hAnsi="Times New Roman"/>
                <w:b/>
                <w:noProof/>
                <w:sz w:val="18"/>
              </w:rPr>
              <w:t>-</w:t>
            </w:r>
          </w:p>
        </w:tc>
      </w:tr>
      <w:tr w:rsidR="005A69E7" w:rsidRPr="009B5F0F" w14:paraId="48CFD4EB" w14:textId="77777777" w:rsidTr="00B546D3">
        <w:trPr>
          <w:trHeight w:val="87"/>
        </w:trPr>
        <w:tc>
          <w:tcPr>
            <w:tcW w:w="1036" w:type="pct"/>
            <w:tcBorders>
              <w:top w:val="nil"/>
              <w:left w:val="single" w:sz="8" w:space="0" w:color="auto"/>
              <w:bottom w:val="single" w:sz="8" w:space="0" w:color="auto"/>
              <w:right w:val="single" w:sz="8" w:space="0" w:color="auto"/>
            </w:tcBorders>
            <w:shd w:val="clear" w:color="auto" w:fill="DBE5F1" w:themeFill="accent1" w:themeFillTint="33"/>
            <w:vAlign w:val="center"/>
            <w:hideMark/>
          </w:tcPr>
          <w:p w14:paraId="5DF48E85" w14:textId="77777777" w:rsidR="00DA7222" w:rsidRPr="009B5F0F" w:rsidRDefault="00DA7222" w:rsidP="00DA7222">
            <w:pPr>
              <w:spacing w:after="0" w:line="240" w:lineRule="auto"/>
              <w:rPr>
                <w:rFonts w:ascii="Times New Roman" w:eastAsia="Times New Roman" w:hAnsi="Times New Roman"/>
                <w:b/>
                <w:bCs/>
                <w:noProof/>
                <w:color w:val="000000"/>
                <w:sz w:val="18"/>
                <w:szCs w:val="18"/>
              </w:rPr>
            </w:pPr>
            <w:r>
              <w:rPr>
                <w:rFonts w:ascii="Times New Roman" w:hAnsi="Times New Roman"/>
                <w:b/>
                <w:noProof/>
                <w:color w:val="000000"/>
                <w:sz w:val="18"/>
              </w:rPr>
              <w:t>Všechny vyplacené úvěry makrofinanční pomoci celkem</w:t>
            </w:r>
          </w:p>
        </w:tc>
        <w:tc>
          <w:tcPr>
            <w:tcW w:w="785" w:type="pct"/>
            <w:tcBorders>
              <w:top w:val="nil"/>
              <w:left w:val="nil"/>
              <w:bottom w:val="single" w:sz="8" w:space="0" w:color="auto"/>
              <w:right w:val="single" w:sz="8" w:space="0" w:color="auto"/>
            </w:tcBorders>
            <w:shd w:val="clear" w:color="auto" w:fill="DBE5F1" w:themeFill="accent1" w:themeFillTint="33"/>
            <w:vAlign w:val="center"/>
            <w:hideMark/>
          </w:tcPr>
          <w:p w14:paraId="0A0C77DC" w14:textId="3C441DAF" w:rsidR="00DA7222" w:rsidRPr="009B5F0F" w:rsidRDefault="00DA7222" w:rsidP="00DA7222">
            <w:pPr>
              <w:spacing w:after="0" w:line="240" w:lineRule="auto"/>
              <w:jc w:val="right"/>
              <w:rPr>
                <w:rFonts w:ascii="Times New Roman" w:eastAsia="Times New Roman" w:hAnsi="Times New Roman"/>
                <w:b/>
                <w:bCs/>
                <w:noProof/>
                <w:color w:val="000000"/>
                <w:sz w:val="18"/>
                <w:szCs w:val="18"/>
              </w:rPr>
            </w:pPr>
            <w:r>
              <w:rPr>
                <w:rFonts w:ascii="Times New Roman" w:hAnsi="Times New Roman"/>
                <w:b/>
                <w:noProof/>
                <w:color w:val="000000"/>
                <w:sz w:val="18"/>
              </w:rPr>
              <w:t>1 665 000 000</w:t>
            </w:r>
          </w:p>
        </w:tc>
        <w:tc>
          <w:tcPr>
            <w:tcW w:w="785" w:type="pct"/>
            <w:tcBorders>
              <w:top w:val="nil"/>
              <w:left w:val="nil"/>
              <w:bottom w:val="single" w:sz="8" w:space="0" w:color="auto"/>
              <w:right w:val="single" w:sz="8" w:space="0" w:color="auto"/>
            </w:tcBorders>
            <w:shd w:val="clear" w:color="auto" w:fill="DBE5F1" w:themeFill="accent1" w:themeFillTint="33"/>
            <w:vAlign w:val="center"/>
            <w:hideMark/>
          </w:tcPr>
          <w:p w14:paraId="1B5EE9D9" w14:textId="67D66C14" w:rsidR="00DA7222" w:rsidRPr="009B5F0F" w:rsidRDefault="00DA7222" w:rsidP="00DA7222">
            <w:pPr>
              <w:spacing w:after="0" w:line="240" w:lineRule="auto"/>
              <w:jc w:val="right"/>
              <w:rPr>
                <w:rFonts w:ascii="Times New Roman" w:eastAsia="Times New Roman" w:hAnsi="Times New Roman"/>
                <w:b/>
                <w:bCs/>
                <w:noProof/>
                <w:color w:val="000000"/>
                <w:sz w:val="18"/>
                <w:szCs w:val="18"/>
              </w:rPr>
            </w:pPr>
            <w:r>
              <w:rPr>
                <w:rFonts w:ascii="Times New Roman" w:hAnsi="Times New Roman"/>
                <w:b/>
                <w:noProof/>
                <w:color w:val="000000"/>
                <w:sz w:val="18"/>
              </w:rPr>
              <w:t>7 535 000 000</w:t>
            </w:r>
          </w:p>
        </w:tc>
        <w:tc>
          <w:tcPr>
            <w:tcW w:w="1610" w:type="pct"/>
            <w:tcBorders>
              <w:top w:val="nil"/>
              <w:left w:val="nil"/>
              <w:bottom w:val="single" w:sz="8" w:space="0" w:color="auto"/>
              <w:right w:val="single" w:sz="8" w:space="0" w:color="auto"/>
            </w:tcBorders>
            <w:shd w:val="clear" w:color="auto" w:fill="DBE5F1" w:themeFill="accent1" w:themeFillTint="33"/>
            <w:vAlign w:val="center"/>
            <w:hideMark/>
          </w:tcPr>
          <w:p w14:paraId="233DE2C8" w14:textId="3C8B9FC2" w:rsidR="00DA7222" w:rsidRPr="009B5F0F" w:rsidRDefault="00DA7222" w:rsidP="00DA7222">
            <w:pPr>
              <w:spacing w:after="0" w:line="240" w:lineRule="auto"/>
              <w:jc w:val="right"/>
              <w:rPr>
                <w:rFonts w:ascii="Times New Roman" w:eastAsia="Times New Roman" w:hAnsi="Times New Roman"/>
                <w:b/>
                <w:bCs/>
                <w:noProof/>
                <w:color w:val="000000"/>
                <w:sz w:val="18"/>
                <w:szCs w:val="18"/>
              </w:rPr>
            </w:pPr>
            <w:r>
              <w:rPr>
                <w:rFonts w:ascii="Times New Roman" w:hAnsi="Times New Roman"/>
                <w:b/>
                <w:noProof/>
                <w:color w:val="000000" w:themeColor="text1"/>
                <w:sz w:val="18"/>
              </w:rPr>
              <w:t>18 290 000 000</w:t>
            </w:r>
          </w:p>
        </w:tc>
        <w:tc>
          <w:tcPr>
            <w:tcW w:w="785" w:type="pct"/>
            <w:tcBorders>
              <w:top w:val="nil"/>
              <w:left w:val="nil"/>
              <w:bottom w:val="single" w:sz="8" w:space="0" w:color="auto"/>
              <w:right w:val="single" w:sz="8" w:space="0" w:color="auto"/>
            </w:tcBorders>
            <w:shd w:val="clear" w:color="auto" w:fill="DBE5F1" w:themeFill="accent1" w:themeFillTint="33"/>
            <w:vAlign w:val="center"/>
            <w:hideMark/>
          </w:tcPr>
          <w:p w14:paraId="1831C7EF" w14:textId="4179FBE6" w:rsidR="00DA7222" w:rsidRPr="009B5F0F" w:rsidRDefault="00812635" w:rsidP="00DA7222">
            <w:pPr>
              <w:spacing w:after="0" w:line="240" w:lineRule="auto"/>
              <w:jc w:val="right"/>
              <w:rPr>
                <w:rFonts w:ascii="Times New Roman" w:eastAsia="Times New Roman" w:hAnsi="Times New Roman"/>
                <w:b/>
                <w:bCs/>
                <w:noProof/>
                <w:color w:val="000000"/>
                <w:sz w:val="18"/>
                <w:szCs w:val="18"/>
              </w:rPr>
            </w:pPr>
            <w:r>
              <w:rPr>
                <w:rFonts w:ascii="Times New Roman" w:hAnsi="Times New Roman"/>
                <w:b/>
                <w:noProof/>
                <w:color w:val="000000"/>
                <w:sz w:val="18"/>
              </w:rPr>
              <w:t>1 195 000 000</w:t>
            </w:r>
          </w:p>
        </w:tc>
      </w:tr>
    </w:tbl>
    <w:p w14:paraId="3F35AE82" w14:textId="6B72F9CD" w:rsidR="00A80828" w:rsidRPr="009B5F0F" w:rsidRDefault="00A80828" w:rsidP="00FE76EB">
      <w:pPr>
        <w:tabs>
          <w:tab w:val="left" w:pos="3405"/>
        </w:tabs>
        <w:rPr>
          <w:rFonts w:ascii="Times New Roman" w:eastAsia="Times New Roman" w:hAnsi="Times New Roman"/>
          <w:noProof/>
          <w:szCs w:val="24"/>
        </w:rPr>
      </w:pPr>
    </w:p>
    <w:sectPr w:rsidR="00A80828" w:rsidRPr="009B5F0F" w:rsidSect="00CD62D5">
      <w:headerReference w:type="even" r:id="rId18"/>
      <w:headerReference w:type="default" r:id="rId19"/>
      <w:footerReference w:type="even" r:id="rId20"/>
      <w:footerReference w:type="default" r:id="rId21"/>
      <w:headerReference w:type="first" r:id="rId22"/>
      <w:footerReference w:type="first" r:id="rId23"/>
      <w:pgSz w:w="11906" w:h="16838" w:code="9"/>
      <w:pgMar w:top="851" w:right="1701" w:bottom="1463"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2D4DA" w14:textId="77777777" w:rsidR="002C4608" w:rsidRPr="009B5F0F" w:rsidRDefault="002C4608">
      <w:pPr>
        <w:spacing w:after="0" w:line="240" w:lineRule="auto"/>
      </w:pPr>
      <w:r w:rsidRPr="009B5F0F">
        <w:separator/>
      </w:r>
    </w:p>
  </w:endnote>
  <w:endnote w:type="continuationSeparator" w:id="0">
    <w:p w14:paraId="7C779AE0" w14:textId="77777777" w:rsidR="002C4608" w:rsidRPr="009B5F0F" w:rsidRDefault="002C4608">
      <w:pPr>
        <w:spacing w:after="0" w:line="240" w:lineRule="auto"/>
      </w:pPr>
      <w:r w:rsidRPr="009B5F0F">
        <w:continuationSeparator/>
      </w:r>
    </w:p>
  </w:endnote>
  <w:endnote w:type="continuationNotice" w:id="1">
    <w:p w14:paraId="4F2DED88" w14:textId="77777777" w:rsidR="002C4608" w:rsidRPr="009B5F0F" w:rsidRDefault="002C46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Myriad Pro">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7D68C" w14:textId="1DF6EB66" w:rsidR="00AE0685" w:rsidRPr="00AE0685" w:rsidRDefault="00AE0685" w:rsidP="00AE0685">
    <w:pPr>
      <w:pStyle w:val="FooterCoverPage"/>
      <w:rPr>
        <w:rFonts w:ascii="Arial" w:hAnsi="Arial" w:cs="Arial"/>
        <w:b/>
        <w:sz w:val="48"/>
      </w:rPr>
    </w:pPr>
    <w:r w:rsidRPr="00AE0685">
      <w:rPr>
        <w:rFonts w:ascii="Arial" w:hAnsi="Arial" w:cs="Arial"/>
        <w:b/>
        <w:sz w:val="48"/>
      </w:rPr>
      <w:t>CS</w:t>
    </w:r>
    <w:r w:rsidRPr="00AE0685">
      <w:rPr>
        <w:rFonts w:ascii="Arial" w:hAnsi="Arial" w:cs="Arial"/>
        <w:b/>
        <w:sz w:val="48"/>
      </w:rPr>
      <w:tab/>
    </w:r>
    <w:r w:rsidRPr="00AE0685">
      <w:rPr>
        <w:rFonts w:ascii="Arial" w:hAnsi="Arial" w:cs="Arial"/>
        <w:b/>
        <w:sz w:val="48"/>
      </w:rPr>
      <w:tab/>
    </w:r>
    <w:r w:rsidRPr="00AE0685">
      <w:tab/>
    </w:r>
    <w:r w:rsidRPr="00AE0685">
      <w:rPr>
        <w:rFonts w:ascii="Arial" w:hAnsi="Arial" w:cs="Arial"/>
        <w:b/>
        <w:sz w:val="48"/>
      </w:rP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A3455" w14:textId="7BAC296E" w:rsidR="00AE0685" w:rsidRPr="00AE0685" w:rsidRDefault="00AE0685" w:rsidP="00AE0685">
    <w:pPr>
      <w:pStyle w:val="FooterCoverPage"/>
      <w:rPr>
        <w:rFonts w:ascii="Arial" w:hAnsi="Arial" w:cs="Arial"/>
        <w:b/>
        <w:sz w:val="48"/>
      </w:rPr>
    </w:pPr>
    <w:r w:rsidRPr="00AE0685">
      <w:rPr>
        <w:rFonts w:ascii="Arial" w:hAnsi="Arial" w:cs="Arial"/>
        <w:b/>
        <w:sz w:val="48"/>
      </w:rPr>
      <w:t>CS</w:t>
    </w:r>
    <w:r w:rsidRPr="00AE0685">
      <w:rPr>
        <w:rFonts w:ascii="Arial" w:hAnsi="Arial" w:cs="Arial"/>
        <w:b/>
        <w:sz w:val="48"/>
      </w:rPr>
      <w:tab/>
    </w:r>
    <w:r w:rsidRPr="00AE0685">
      <w:rPr>
        <w:rFonts w:ascii="Arial" w:hAnsi="Arial" w:cs="Arial"/>
        <w:b/>
        <w:sz w:val="48"/>
      </w:rPr>
      <w:tab/>
    </w:r>
    <w:r w:rsidRPr="00AE0685">
      <w:tab/>
    </w:r>
    <w:r w:rsidRPr="00AE0685">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12AF2" w14:textId="77777777" w:rsidR="00AE0685" w:rsidRPr="00AE0685" w:rsidRDefault="00AE0685" w:rsidP="00AE068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73DFB" w14:textId="77777777" w:rsidR="00612674" w:rsidRPr="009B5F0F" w:rsidRDefault="00612674">
    <w:pPr>
      <w:pStyle w:val="Footer"/>
      <w:jc w:val="center"/>
    </w:pPr>
    <w:r w:rsidRPr="009B5F0F">
      <w:fldChar w:fldCharType="begin"/>
    </w:r>
    <w:r w:rsidRPr="009B5F0F">
      <w:instrText xml:space="preserve"> PAGE   \* MERGEFORMAT </w:instrText>
    </w:r>
    <w:r w:rsidRPr="009B5F0F">
      <w:fldChar w:fldCharType="separate"/>
    </w:r>
    <w:r w:rsidRPr="009B5F0F">
      <w:t>0</w:t>
    </w:r>
    <w:r w:rsidRPr="009B5F0F">
      <w:fldChar w:fldCharType="end"/>
    </w:r>
  </w:p>
  <w:p w14:paraId="7581B0BB" w14:textId="77777777" w:rsidR="00612674" w:rsidRPr="009B5F0F" w:rsidRDefault="006126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DD47" w14:textId="312DCFBC" w:rsidR="00612674" w:rsidRPr="009B5F0F" w:rsidRDefault="00612674">
    <w:pPr>
      <w:pStyle w:val="Footer"/>
      <w:jc w:val="center"/>
    </w:pPr>
    <w:r w:rsidRPr="009B5F0F">
      <w:fldChar w:fldCharType="begin"/>
    </w:r>
    <w:r w:rsidRPr="009B5F0F">
      <w:instrText xml:space="preserve"> PAGE   \* MERGEFORMAT </w:instrText>
    </w:r>
    <w:r w:rsidRPr="009B5F0F">
      <w:fldChar w:fldCharType="separate"/>
    </w:r>
    <w:r w:rsidR="00AE0685">
      <w:rPr>
        <w:noProof/>
      </w:rPr>
      <w:t>1</w:t>
    </w:r>
    <w:r w:rsidRPr="009B5F0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5A298" w14:textId="77777777" w:rsidR="00612674" w:rsidRPr="009B5F0F" w:rsidRDefault="00612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7C760" w14:textId="77777777" w:rsidR="002C4608" w:rsidRPr="009B5F0F" w:rsidRDefault="002C4608">
      <w:pPr>
        <w:spacing w:after="0" w:line="240" w:lineRule="auto"/>
      </w:pPr>
      <w:r w:rsidRPr="009B5F0F">
        <w:separator/>
      </w:r>
    </w:p>
  </w:footnote>
  <w:footnote w:type="continuationSeparator" w:id="0">
    <w:p w14:paraId="50A490A7" w14:textId="77777777" w:rsidR="002C4608" w:rsidRPr="009B5F0F" w:rsidRDefault="002C4608">
      <w:pPr>
        <w:spacing w:after="0" w:line="240" w:lineRule="auto"/>
      </w:pPr>
      <w:r w:rsidRPr="009B5F0F">
        <w:continuationSeparator/>
      </w:r>
    </w:p>
  </w:footnote>
  <w:footnote w:type="continuationNotice" w:id="1">
    <w:p w14:paraId="57E9AE6A" w14:textId="77777777" w:rsidR="002C4608" w:rsidRPr="009B5F0F" w:rsidRDefault="002C4608">
      <w:pPr>
        <w:spacing w:after="0" w:line="240" w:lineRule="auto"/>
      </w:pPr>
    </w:p>
  </w:footnote>
  <w:footnote w:id="2">
    <w:p w14:paraId="746227BD" w14:textId="6F05C92D" w:rsidR="00612674" w:rsidRPr="009B5F0F" w:rsidRDefault="00612674">
      <w:pPr>
        <w:pStyle w:val="footnotetext1"/>
        <w:rPr>
          <w:sz w:val="18"/>
        </w:rPr>
      </w:pPr>
      <w:r>
        <w:rPr>
          <w:rStyle w:val="FootnoteReference"/>
        </w:rPr>
        <w:footnoteRef/>
      </w:r>
      <w:r>
        <w:t xml:space="preserve"> </w:t>
      </w:r>
      <w:r>
        <w:rPr>
          <w:rFonts w:ascii="Times New Roman" w:hAnsi="Times New Roman"/>
          <w:sz w:val="18"/>
        </w:rPr>
        <w:t>Tato zpráva vychází z informací dostupných do dubna 2024.</w:t>
      </w:r>
    </w:p>
  </w:footnote>
  <w:footnote w:id="3">
    <w:p w14:paraId="749B6B81" w14:textId="698123AE" w:rsidR="00612674" w:rsidRPr="009B5F0F" w:rsidRDefault="00612674">
      <w:pPr>
        <w:pStyle w:val="footnotetext1"/>
        <w:spacing w:line="240" w:lineRule="auto"/>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Právní základ pro makrofinanční pomoc třetím zemím s výjimkou rozvojových zemí tvoří článek 212 Smlouvy o fungování Evropské unie (SFEU). Pokud třetí země vyžaduje naléhavou finanční pomoc, lze jako právní základ použít článek 213 SFEU.</w:t>
      </w:r>
    </w:p>
  </w:footnote>
  <w:footnote w:id="4">
    <w:p w14:paraId="053AB9C2" w14:textId="1A42BC2E" w:rsidR="00F13CDB" w:rsidRPr="009B5F0F" w:rsidRDefault="00F13CDB" w:rsidP="00BF3DAB">
      <w:pPr>
        <w:pStyle w:val="FootnoteText"/>
        <w:jc w:val="both"/>
      </w:pPr>
      <w:r>
        <w:rPr>
          <w:rStyle w:val="FootnoteReference"/>
        </w:rPr>
        <w:footnoteRef/>
      </w:r>
      <w:r>
        <w:t xml:space="preserve"> </w:t>
      </w:r>
      <w:r>
        <w:rPr>
          <w:rFonts w:ascii="Times New Roman" w:hAnsi="Times New Roman"/>
          <w:sz w:val="18"/>
        </w:rPr>
        <w:t>Výjimku z této podmínky tvořila mimořádná podpora poskytnutá Ukrajině po ruské invazi v plném rozsahu v únoru 2022.</w:t>
      </w:r>
    </w:p>
  </w:footnote>
  <w:footnote w:id="5">
    <w:p w14:paraId="097818CC" w14:textId="0D39EEC1" w:rsidR="00612674" w:rsidRPr="009B5F0F" w:rsidRDefault="00612674" w:rsidP="00421509">
      <w:pPr>
        <w:spacing w:line="240" w:lineRule="auto"/>
        <w:jc w:val="both"/>
        <w:rPr>
          <w:rFonts w:ascii="Times New Roman" w:hAnsi="Times New Roman"/>
          <w:sz w:val="18"/>
          <w:szCs w:val="20"/>
        </w:rPr>
      </w:pPr>
      <w:r>
        <w:rPr>
          <w:rStyle w:val="FootnoteReference"/>
          <w:rFonts w:ascii="Times New Roman" w:hAnsi="Times New Roman"/>
          <w:sz w:val="18"/>
          <w:szCs w:val="20"/>
        </w:rPr>
        <w:footnoteRef/>
      </w:r>
      <w:r>
        <w:rPr>
          <w:rFonts w:ascii="Times New Roman" w:hAnsi="Times New Roman"/>
          <w:sz w:val="18"/>
        </w:rPr>
        <w:t xml:space="preserve"> </w:t>
      </w:r>
      <w:bookmarkStart w:id="6" w:name="_Hlk127280256"/>
      <w:r>
        <w:rPr>
          <w:rFonts w:ascii="Times New Roman" w:hAnsi="Times New Roman"/>
          <w:sz w:val="18"/>
        </w:rPr>
        <w:t xml:space="preserve">Makrofinanční pomoc rovněž doplňuje další vnější činnosti či nástroje EU určené pro země sousedství a západního Balkánu, včetně rozpočtové podpory, na niž bylo regionům v roce 2023 v podobě grantů poskytnuto celkem 980 milionů EUR. Nejnovější zpráva o rozpočtové podpoře je k dispozici na adrese: </w:t>
      </w:r>
      <w:hyperlink r:id="rId1" w:history="1">
        <w:r>
          <w:rPr>
            <w:rStyle w:val="Hyperlink"/>
            <w:rFonts w:ascii="Times New Roman" w:hAnsi="Times New Roman"/>
            <w:sz w:val="18"/>
          </w:rPr>
          <w:t>Rozpočtová podpora – Úřad pro úřední tisky EU (europa.eu)</w:t>
        </w:r>
      </w:hyperlink>
      <w:bookmarkEnd w:id="6"/>
      <w:r w:rsidR="00C61BD6" w:rsidRPr="009B5F0F">
        <w:rPr>
          <w:rFonts w:ascii="Times New Roman" w:hAnsi="Times New Roman"/>
          <w:sz w:val="18"/>
        </w:rPr>
        <w:fldChar w:fldCharType="begin"/>
      </w:r>
      <w:r w:rsidR="00C61BD6" w:rsidRPr="009B5F0F">
        <w:rPr>
          <w:rFonts w:ascii="Times New Roman" w:hAnsi="Times New Roman"/>
          <w:sz w:val="18"/>
        </w:rPr>
        <w:instrText>HYPERLINK ""</w:instrText>
      </w:r>
      <w:r w:rsidR="00C61BD6" w:rsidRPr="009B5F0F">
        <w:rPr>
          <w:rFonts w:ascii="Times New Roman" w:hAnsi="Times New Roman"/>
          <w:sz w:val="18"/>
        </w:rPr>
        <w:fldChar w:fldCharType="end"/>
      </w:r>
      <w:r>
        <w:rPr>
          <w:sz w:val="20"/>
        </w:rPr>
        <w:t>.</w:t>
      </w:r>
    </w:p>
  </w:footnote>
  <w:footnote w:id="6">
    <w:p w14:paraId="5F5BF0FF" w14:textId="772C5D21" w:rsidR="00612674" w:rsidRPr="009B5F0F" w:rsidRDefault="00612674">
      <w:pPr>
        <w:spacing w:line="240" w:lineRule="auto"/>
        <w:jc w:val="both"/>
      </w:pPr>
      <w:r>
        <w:rPr>
          <w:rStyle w:val="FootnoteReference"/>
          <w:sz w:val="20"/>
        </w:rPr>
        <w:footnoteRef/>
      </w:r>
      <w:r>
        <w:rPr>
          <w:sz w:val="20"/>
        </w:rPr>
        <w:t xml:space="preserve"> </w:t>
      </w:r>
      <w:r>
        <w:rPr>
          <w:rFonts w:ascii="Times New Roman" w:hAnsi="Times New Roman"/>
          <w:sz w:val="18"/>
        </w:rPr>
        <w:t xml:space="preserve">Všechna hodnocení jsou k dispozici na stránkách Komise: </w:t>
      </w:r>
      <w:hyperlink r:id="rId2" w:history="1">
        <w:r>
          <w:rPr>
            <w:rStyle w:val="Hyperlink"/>
            <w:rFonts w:ascii="Times New Roman" w:hAnsi="Times New Roman"/>
            <w:sz w:val="18"/>
          </w:rPr>
          <w:t>https://ec.europa.eu/info/evaluation-reports-economic-and-financial-affairs-policies-and-spending-activities_en</w:t>
        </w:r>
      </w:hyperlink>
    </w:p>
  </w:footnote>
  <w:footnote w:id="7">
    <w:p w14:paraId="35EBC2FD" w14:textId="4F8A6B83" w:rsidR="00F96ED0" w:rsidRPr="009B5F0F" w:rsidRDefault="00F96ED0" w:rsidP="00EE5847">
      <w:pPr>
        <w:pStyle w:val="FootnoteText"/>
        <w:jc w:val="both"/>
      </w:pPr>
      <w:r>
        <w:rPr>
          <w:rStyle w:val="FootnoteReference"/>
        </w:rPr>
        <w:footnoteRef/>
      </w:r>
      <w:r>
        <w:t xml:space="preserve"> </w:t>
      </w:r>
      <w:r>
        <w:rPr>
          <w:rFonts w:ascii="Times New Roman" w:hAnsi="Times New Roman"/>
          <w:sz w:val="18"/>
        </w:rPr>
        <w:t xml:space="preserve">COM(2023) 0016, final; Pracovní dokument útvarů Komise </w:t>
      </w:r>
      <w:r>
        <w:rPr>
          <w:rFonts w:ascii="Times New Roman" w:hAnsi="Times New Roman"/>
          <w:i/>
          <w:iCs/>
          <w:sz w:val="18"/>
        </w:rPr>
        <w:t>Hodnocení makrofinanční pomoci třetím zemím (metahodnocení operací za období 2010–2020)</w:t>
      </w:r>
      <w:r>
        <w:rPr>
          <w:rFonts w:ascii="Times New Roman" w:hAnsi="Times New Roman"/>
          <w:sz w:val="18"/>
        </w:rPr>
        <w:t xml:space="preserve"> [</w:t>
      </w:r>
      <w:r>
        <w:rPr>
          <w:rFonts w:ascii="Times New Roman" w:hAnsi="Times New Roman"/>
          <w:i/>
          <w:iCs/>
          <w:sz w:val="18"/>
        </w:rPr>
        <w:t>Evaluation of Macro financial assistance to third countries (Meta-evaluation of operations for 2010-2020)].</w:t>
      </w:r>
    </w:p>
  </w:footnote>
  <w:footnote w:id="8">
    <w:p w14:paraId="419A950D" w14:textId="23087820" w:rsidR="007B4EEE" w:rsidRPr="009B5F0F" w:rsidRDefault="007B4EEE">
      <w:pPr>
        <w:pStyle w:val="FootnoteText"/>
      </w:pPr>
    </w:p>
    <w:p w14:paraId="3A132199" w14:textId="0C4B587C" w:rsidR="00EE5847" w:rsidRPr="00505C89" w:rsidRDefault="00EE5847" w:rsidP="003C1208">
      <w:pPr>
        <w:pStyle w:val="FootnoteText"/>
        <w:jc w:val="both"/>
      </w:pPr>
      <w:r>
        <w:rPr>
          <w:rStyle w:val="FootnoteReference"/>
        </w:rPr>
        <w:footnoteRef/>
      </w:r>
      <w:r>
        <w:t> </w:t>
      </w:r>
      <w:r>
        <w:rPr>
          <w:rFonts w:ascii="Times New Roman" w:hAnsi="Times New Roman"/>
          <w:sz w:val="18"/>
        </w:rPr>
        <w:t>Rozhodnutí (EU) 2023/1165, kterým se mění rozhodnutí (EU) 2022/563;</w:t>
      </w:r>
      <w:r>
        <w:t> </w:t>
      </w:r>
      <w:r>
        <w:rPr>
          <w:rFonts w:ascii="Times New Roman" w:hAnsi="Times New Roman"/>
          <w:sz w:val="18"/>
        </w:rPr>
        <w:t>rozhodnutí (EU) 2023/1461;</w:t>
      </w:r>
      <w:r>
        <w:t xml:space="preserve"> </w:t>
      </w:r>
      <w:r>
        <w:rPr>
          <w:rFonts w:ascii="Times New Roman" w:hAnsi="Times New Roman"/>
          <w:sz w:val="18"/>
        </w:rPr>
        <w:t>rozhodnutí (EU) 2022/313; rozhodnutí (EU) 2022/1201; rozhodnutí (EU) 2022/1628; rozhodnutí (EU) 2022/2463; rozhodnutí (EU) 2022/563; rozhodnutí (EU) 2020/701; rozhodnutí (EU) 2020/33.</w:t>
      </w:r>
    </w:p>
  </w:footnote>
  <w:footnote w:id="9">
    <w:p w14:paraId="5F199E73" w14:textId="418E42FF" w:rsidR="00012725" w:rsidRPr="00505C89" w:rsidRDefault="00012725" w:rsidP="00012725">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Tento údaj nezahrnuje Kosovo, pro které nebyly údaje za 3. čtvrtletí k datu uzávěrky této zprávy k dispozici.</w:t>
      </w:r>
    </w:p>
  </w:footnote>
  <w:footnote w:id="10">
    <w:p w14:paraId="4118C7D8" w14:textId="74B8F358" w:rsidR="00927220" w:rsidRPr="00927220" w:rsidRDefault="00927220" w:rsidP="00505C89">
      <w:pPr>
        <w:pStyle w:val="FootnoteText"/>
        <w:jc w:val="both"/>
      </w:pPr>
      <w:r>
        <w:rPr>
          <w:rStyle w:val="FootnoteReference"/>
        </w:rPr>
        <w:footnoteRef/>
      </w:r>
      <w:r>
        <w:t xml:space="preserve"> </w:t>
      </w:r>
      <w:r>
        <w:rPr>
          <w:rFonts w:ascii="Times New Roman" w:hAnsi="Times New Roman"/>
          <w:sz w:val="18"/>
        </w:rPr>
        <w:t>Nařízení Evropského parlamentu a Rady (EU) 2022/2463 ze dne 14. prosince 2022, kterým se zřizuje nástroj pro poskytování podpory Ukrajině na rok 2023 (makrofinanční pomoc+) (Úř. věst. L 322, 16.12.2022, s. 1).</w:t>
      </w:r>
    </w:p>
  </w:footnote>
  <w:footnote w:id="11">
    <w:p w14:paraId="3CA8D885" w14:textId="1FE8A947" w:rsidR="00B42CDD" w:rsidRPr="00505C89" w:rsidRDefault="00B42CDD" w:rsidP="00505C89">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Přehled nových funkcí, kterými se nástroj makrofinanční pomoci+ liší od standardních operací makrofinanční pomoci, naleznete v pracovním dokument útvarů SWD (2023) 24 final, s. 16–17.</w:t>
      </w:r>
    </w:p>
  </w:footnote>
  <w:footnote w:id="12">
    <w:p w14:paraId="573EE0BD" w14:textId="068A1CDD" w:rsidR="009C450B" w:rsidRPr="00505C89" w:rsidRDefault="009C450B" w:rsidP="00004266">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Toto hodnocení celkového dobrého pokroku v reformním programu je rovněž v souladu se zjištěními MMF v souvislosti s druhým přezkumem v rámci dohody o rozšířené finanční facilitě ze dne 11. prosince 2023, v němž MMF ocenil výsledky programu ukrajinských orgánů a konstatoval trvalé silné odhodlání k reformám. Viz </w:t>
      </w:r>
      <w:hyperlink r:id="rId3" w:history="1">
        <w:r>
          <w:rPr>
            <w:rStyle w:val="Hyperlink"/>
            <w:rFonts w:ascii="Times New Roman" w:hAnsi="Times New Roman"/>
            <w:sz w:val="18"/>
          </w:rPr>
          <w:t>Výkonná rada MMF uzavřela konzultaci podle článku IV na rok 2023 a druhý přezkum v rámci dohody o rozšířené finanční facilitě pro Ukrajinu</w:t>
        </w:r>
      </w:hyperlink>
      <w:r>
        <w:rPr>
          <w:rFonts w:ascii="Times New Roman" w:hAnsi="Times New Roman"/>
          <w:sz w:val="18"/>
        </w:rPr>
        <w:t>.</w:t>
      </w:r>
    </w:p>
  </w:footnote>
  <w:footnote w:id="13">
    <w:p w14:paraId="29D218A0" w14:textId="467AC1CB" w:rsidR="613D8B4A" w:rsidRPr="00505C89" w:rsidRDefault="613D8B4A" w:rsidP="00004266">
      <w:pPr>
        <w:jc w:val="both"/>
        <w:rPr>
          <w:rFonts w:ascii="Times New Roman" w:hAnsi="Times New Roman"/>
          <w:sz w:val="18"/>
          <w:szCs w:val="18"/>
        </w:rPr>
      </w:pPr>
      <w:r>
        <w:rPr>
          <w:rFonts w:ascii="Times New Roman" w:hAnsi="Times New Roman"/>
          <w:sz w:val="18"/>
          <w:szCs w:val="18"/>
          <w:vertAlign w:val="superscript"/>
        </w:rPr>
        <w:footnoteRef/>
      </w:r>
      <w:r>
        <w:rPr>
          <w:rFonts w:ascii="Times New Roman" w:hAnsi="Times New Roman"/>
          <w:sz w:val="18"/>
        </w:rPr>
        <w:t xml:space="preserve"> Nařízení Evropského parlamentu a Rady (EU) 2024/792 ze dne 29. února 2024 o zřízení Nástroje pro Ukrajinu (Úř. věst. L, 2024/792, 29.2.2024).</w:t>
      </w:r>
    </w:p>
  </w:footnote>
  <w:footnote w:id="14">
    <w:p w14:paraId="068E32F9" w14:textId="6E696D13" w:rsidR="000D4F95" w:rsidRPr="00505C89" w:rsidRDefault="000D4F95" w:rsidP="00505C89">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Rozhodnutí (EU) 2022/1201 a (EU) 2022/1628.</w:t>
      </w:r>
    </w:p>
  </w:footnote>
  <w:footnote w:id="15">
    <w:p w14:paraId="168F4CE5" w14:textId="14742A85" w:rsidR="00646F7B" w:rsidRPr="009B5F0F" w:rsidRDefault="00646F7B" w:rsidP="00AE5053">
      <w:pPr>
        <w:pStyle w:val="footnotetext1"/>
        <w:spacing w:after="0" w:line="240" w:lineRule="auto"/>
      </w:pPr>
      <w:r>
        <w:rPr>
          <w:rStyle w:val="FootnoteReference"/>
          <w:rFonts w:ascii="Times New Roman" w:hAnsi="Times New Roman"/>
          <w:sz w:val="18"/>
          <w:szCs w:val="18"/>
        </w:rPr>
        <w:footnoteRef/>
      </w:r>
      <w:r>
        <w:rPr>
          <w:rFonts w:ascii="Times New Roman" w:hAnsi="Times New Roman"/>
          <w:sz w:val="18"/>
        </w:rPr>
        <w:t xml:space="preserve"> Všechna hodnocení jsou k dispozici na stránkách Komise: </w:t>
      </w:r>
      <w:hyperlink r:id="rId4" w:history="1">
        <w:r>
          <w:rPr>
            <w:rStyle w:val="Hyperlink"/>
            <w:rFonts w:ascii="Times New Roman" w:hAnsi="Times New Roman"/>
            <w:sz w:val="18"/>
          </w:rPr>
          <w:t>https://ec.europa.eu/info/evaluation-reports-economic-and-financial-affairs-policies-and-spending-activities_en</w:t>
        </w:r>
      </w:hyperlink>
    </w:p>
  </w:footnote>
  <w:footnote w:id="16">
    <w:p w14:paraId="4C09A6CA" w14:textId="646CF5B8" w:rsidR="008E4638" w:rsidRPr="00505C89" w:rsidRDefault="008E4638" w:rsidP="008E4638">
      <w:pPr>
        <w:pStyle w:val="footnotetext1"/>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Společné prohlášení Evropského parlamentu a Rady přijaté spolu s rozhodnutím o poskytnutí další makrofinanční pomoci Gruzii (rozhodnutí č. 778/2013/EU ze dne 12. srpna 2013). K dispozici na adrese: </w:t>
      </w:r>
      <w:r>
        <w:rPr>
          <w:rFonts w:ascii="Times New Roman" w:hAnsi="Times New Roman"/>
          <w:sz w:val="18"/>
        </w:rPr>
        <w:br/>
      </w:r>
      <w:hyperlink r:id="rId5" w:history="1">
        <w:r>
          <w:rPr>
            <w:rStyle w:val="Hyperlink"/>
            <w:rFonts w:ascii="Times New Roman" w:hAnsi="Times New Roman"/>
            <w:sz w:val="18"/>
          </w:rPr>
          <w:t>https://eur-lex.europa.eu/legal-content/CS/TXT/PDF/?uri=CELEX:32013D0778&amp;from=CS</w:t>
        </w:r>
      </w:hyperlink>
    </w:p>
  </w:footnote>
  <w:footnote w:id="17">
    <w:p w14:paraId="29507A30" w14:textId="431B8DE7" w:rsidR="008E4638" w:rsidRPr="00505C89" w:rsidRDefault="008E4638" w:rsidP="00505C89">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V roce 2023 proběhlo metahodnocení operací za poslední desetiletí – COM(2023) 0016, final; Pracovní dokument útvarů Komise Hodnocení makrofinanční pomoci třetím zemím (metahodnocení operací za období 2010–2020) [Commission Staff Working document Evaluation of Macro financial assistance to third countries (Meta-evaluation of operations for 2010-2020)].</w:t>
      </w:r>
    </w:p>
  </w:footnote>
  <w:footnote w:id="18">
    <w:p w14:paraId="785B379A" w14:textId="05B7648E" w:rsidR="0003744D" w:rsidRPr="00505C89" w:rsidRDefault="0003744D" w:rsidP="0003744D">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Nařízení (EU) 2021/947 o nástroji NDICI – Globální Evropa vstoupilo v platnost v červnu 2021 poté, co jej formálně přijaly Rada a Parlament. Zatímco nařízení proto hraje důležitou úlohu při sestavování rozpočtu makrofinanční pomoci, nástroj makrofinanční pomoci jako takový zůstává od nástroje NDICI – Globální Evropa oddělen a konkrétní operace makrofinanční pomoci jsou podle potřeby nadále aktivovány samostatnými rozhodnutími </w:t>
      </w:r>
      <w:r>
        <w:rPr>
          <w:rFonts w:ascii="Times New Roman" w:hAnsi="Times New Roman"/>
          <w:i/>
          <w:iCs/>
          <w:sz w:val="18"/>
        </w:rPr>
        <w:t>ad hoc</w:t>
      </w:r>
      <w:r>
        <w:rPr>
          <w:rFonts w:ascii="Times New Roman" w:hAnsi="Times New Roman"/>
          <w:sz w:val="18"/>
        </w:rPr>
        <w:t xml:space="preserve"> na základě použitelného právního základu Smlouvy.</w:t>
      </w:r>
    </w:p>
  </w:footnote>
  <w:footnote w:id="19">
    <w:p w14:paraId="5216EBDC" w14:textId="1C706B49" w:rsidR="006C22ED" w:rsidRPr="00505C89" w:rsidRDefault="006C22ED" w:rsidP="00004266">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Jedná se o mimořádnou operaci makrofinanční pomoci ve výši 1 miliardy EUR přijatou rozhodnutím (EU) 2022/1201 ze dne 12. července 2012 a mimořádnou operaci makrofinanční pomoci ve výši 5 miliard EUR přijatou rozhodnutím (EU) 2022/1628 ze dne 20. září 2023.</w:t>
      </w:r>
    </w:p>
  </w:footnote>
  <w:footnote w:id="20">
    <w:p w14:paraId="24BE4A0E" w14:textId="77777777" w:rsidR="006A6719" w:rsidRPr="00505C89" w:rsidRDefault="006A6719" w:rsidP="00AC6D06">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Nařízení rovněž obsahuje ustanovení o přezkumu míry tvorby rezerv, a to každých šest měsíců, vzhledem k mimořádné nejistotě způsobené současnou válkou.</w:t>
      </w:r>
    </w:p>
  </w:footnote>
  <w:footnote w:id="21">
    <w:p w14:paraId="225C2FC5" w14:textId="1FD08565" w:rsidR="006A6719" w:rsidRPr="00505C89" w:rsidRDefault="006A6719" w:rsidP="00004266">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Pracovní dokument útvarů Komise </w:t>
      </w:r>
      <w:r>
        <w:rPr>
          <w:rFonts w:ascii="Times New Roman" w:hAnsi="Times New Roman"/>
          <w:i/>
          <w:sz w:val="18"/>
        </w:rPr>
        <w:t>První přezkum 70% míry tvorby rezerv na makrofinanční pomoc (MFA) a některé výplaty úvěrů EIB, na které se vztahuje vnější zápůjční mandát (ELM) Ukrajině</w:t>
      </w:r>
      <w:r>
        <w:rPr>
          <w:rFonts w:ascii="Times New Roman" w:hAnsi="Times New Roman"/>
          <w:sz w:val="18"/>
        </w:rPr>
        <w:t xml:space="preserve"> (</w:t>
      </w:r>
      <w:r>
        <w:rPr>
          <w:rFonts w:ascii="Times New Roman" w:hAnsi="Times New Roman"/>
          <w:i/>
          <w:sz w:val="18"/>
        </w:rPr>
        <w:t>First review of the 70% provisioning rate for Macro-financial Assistance (MFA) and certain EIB loan disbursements covered by the External Lending Mandate (ELM) to Ukraine</w:t>
      </w:r>
      <w:r>
        <w:rPr>
          <w:rFonts w:ascii="Times New Roman" w:hAnsi="Times New Roman"/>
          <w:sz w:val="18"/>
        </w:rPr>
        <w:t>), SWD (2023) 264 final ze dne 18. 7. 2023.</w:t>
      </w:r>
    </w:p>
  </w:footnote>
  <w:footnote w:id="22">
    <w:p w14:paraId="02CF36DF" w14:textId="77777777" w:rsidR="00092EF1" w:rsidRPr="008739F7" w:rsidRDefault="00092EF1" w:rsidP="00092EF1">
      <w:pPr>
        <w:pStyle w:val="FootnoteText"/>
      </w:pPr>
      <w:r>
        <w:rPr>
          <w:rStyle w:val="FootnoteReference"/>
        </w:rPr>
        <w:footnoteRef/>
      </w:r>
      <w:r>
        <w:t xml:space="preserve"> Úř. věst. L 325, 20.12.2022, s. 11.</w:t>
      </w:r>
    </w:p>
  </w:footnote>
  <w:footnote w:id="23">
    <w:p w14:paraId="1141FD8D" w14:textId="77777777" w:rsidR="001E4C1F" w:rsidRPr="00A740A2" w:rsidRDefault="001E4C1F" w:rsidP="001E4C1F">
      <w:pPr>
        <w:pStyle w:val="FootnoteText"/>
      </w:pPr>
      <w:r>
        <w:rPr>
          <w:rStyle w:val="FootnoteReference"/>
        </w:rPr>
        <w:footnoteRef/>
      </w:r>
      <w:r>
        <w:t xml:space="preserve"> Úř. věst. L, 2024/765, 29.2.2024.</w:t>
      </w:r>
    </w:p>
  </w:footnote>
  <w:footnote w:id="24">
    <w:p w14:paraId="5B453A9C" w14:textId="64A9B212" w:rsidR="002A361E" w:rsidRPr="002A361E" w:rsidRDefault="002A361E">
      <w:pPr>
        <w:pStyle w:val="FootnoteText"/>
      </w:pPr>
      <w:r>
        <w:rPr>
          <w:rStyle w:val="FootnoteReference"/>
        </w:rPr>
        <w:footnoteRef/>
      </w:r>
      <w:r>
        <w:t xml:space="preserve"> COM(2024) 159 final.</w:t>
      </w:r>
    </w:p>
  </w:footnote>
  <w:footnote w:id="25">
    <w:p w14:paraId="1675D2E0" w14:textId="7D42DBB2" w:rsidR="00612674" w:rsidRPr="009B5F0F" w:rsidRDefault="00612674">
      <w:pPr>
        <w:pStyle w:val="FootnoteText"/>
      </w:pPr>
      <w:r>
        <w:rPr>
          <w:rStyle w:val="FootnoteReference"/>
        </w:rPr>
        <w:footnoteRef/>
      </w:r>
      <w:r>
        <w:t xml:space="preserve"> </w:t>
      </w:r>
      <w:r>
        <w:rPr>
          <w:rFonts w:ascii="Times New Roman" w:hAnsi="Times New Roman"/>
          <w:sz w:val="18"/>
        </w:rPr>
        <w:t>V tabulce nejsou zohledněny žádné návrhy na nové operace makrofinanční pomoci po dubnu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FD8D8" w14:textId="77777777" w:rsidR="00AE0685" w:rsidRPr="00AE0685" w:rsidRDefault="00AE0685" w:rsidP="00AE068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34A8C" w14:textId="77777777" w:rsidR="00AE0685" w:rsidRPr="00AE0685" w:rsidRDefault="00AE0685" w:rsidP="00AE068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BC618" w14:textId="77777777" w:rsidR="00AE0685" w:rsidRPr="00AE0685" w:rsidRDefault="00AE0685" w:rsidP="00AE068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6FDAC" w14:textId="77777777" w:rsidR="00612674" w:rsidRPr="009B5F0F" w:rsidRDefault="006126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8968" w14:textId="77777777" w:rsidR="00612674" w:rsidRPr="009B5F0F" w:rsidRDefault="006126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C62C5" w14:textId="77777777" w:rsidR="00612674" w:rsidRPr="009B5F0F" w:rsidRDefault="00612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multilevel"/>
    <w:tmpl w:val="0000000D"/>
    <w:name w:val="WW8Num13"/>
    <w:lvl w:ilvl="0">
      <w:start w:val="1"/>
      <w:numFmt w:val="decimal"/>
      <w:pStyle w:val="ListNumber2"/>
      <w:lvlText w:val="(%1)"/>
      <w:lvlJc w:val="left"/>
      <w:pPr>
        <w:tabs>
          <w:tab w:val="num" w:pos="1786"/>
        </w:tabs>
        <w:ind w:left="1786" w:hanging="709"/>
      </w:pPr>
      <w:rPr>
        <w:rFonts w:ascii="Symbol" w:hAnsi="Symbol"/>
      </w:rPr>
    </w:lvl>
    <w:lvl w:ilvl="1">
      <w:start w:val="1"/>
      <w:numFmt w:val="lowerLetter"/>
      <w:lvlText w:val="(%2)"/>
      <w:lvlJc w:val="left"/>
      <w:pPr>
        <w:tabs>
          <w:tab w:val="num" w:pos="2494"/>
        </w:tabs>
        <w:ind w:left="2494" w:hanging="708"/>
      </w:pPr>
      <w:rPr>
        <w:rFonts w:ascii="Symbol" w:hAnsi="Symbol"/>
      </w:rPr>
    </w:lvl>
    <w:lvl w:ilvl="2">
      <w:start w:val="1"/>
      <w:numFmt w:val="bullet"/>
      <w:lvlText w:val="–"/>
      <w:lvlJc w:val="left"/>
      <w:pPr>
        <w:tabs>
          <w:tab w:val="num" w:pos="3203"/>
        </w:tabs>
        <w:ind w:left="3203" w:hanging="709"/>
      </w:pPr>
      <w:rPr>
        <w:rFonts w:ascii="Times New Roman" w:hAnsi="Times New Roman"/>
      </w:rPr>
    </w:lvl>
    <w:lvl w:ilvl="3">
      <w:start w:val="1"/>
      <w:numFmt w:val="bullet"/>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rPr>
        <w:rFonts w:ascii="Symbol" w:hAnsi="Symbol"/>
      </w:rPr>
    </w:lvl>
    <w:lvl w:ilvl="5">
      <w:start w:val="1"/>
      <w:numFmt w:val="lowerRoman"/>
      <w:lvlText w:val="(%6)"/>
      <w:lvlJc w:val="left"/>
      <w:pPr>
        <w:tabs>
          <w:tab w:val="num" w:pos="2160"/>
        </w:tabs>
        <w:ind w:left="2160" w:hanging="360"/>
      </w:pPr>
      <w:rPr>
        <w:rFonts w:ascii="Symbol" w:hAnsi="Symbol"/>
      </w:rPr>
    </w:lvl>
    <w:lvl w:ilvl="6">
      <w:start w:val="1"/>
      <w:numFmt w:val="decimal"/>
      <w:lvlText w:val="%7."/>
      <w:lvlJc w:val="left"/>
      <w:pPr>
        <w:tabs>
          <w:tab w:val="num" w:pos="2520"/>
        </w:tabs>
        <w:ind w:left="2520" w:hanging="360"/>
      </w:pPr>
      <w:rPr>
        <w:rFonts w:ascii="Symbol" w:hAnsi="Symbol"/>
      </w:rPr>
    </w:lvl>
    <w:lvl w:ilvl="7">
      <w:start w:val="1"/>
      <w:numFmt w:val="lowerLetter"/>
      <w:lvlText w:val="%8."/>
      <w:lvlJc w:val="left"/>
      <w:pPr>
        <w:tabs>
          <w:tab w:val="num" w:pos="2880"/>
        </w:tabs>
        <w:ind w:left="2880" w:hanging="360"/>
      </w:pPr>
      <w:rPr>
        <w:rFonts w:ascii="Symbol" w:hAnsi="Symbol"/>
      </w:rPr>
    </w:lvl>
    <w:lvl w:ilvl="8">
      <w:start w:val="1"/>
      <w:numFmt w:val="lowerRoman"/>
      <w:lvlText w:val="%9."/>
      <w:lvlJc w:val="left"/>
      <w:pPr>
        <w:tabs>
          <w:tab w:val="num" w:pos="3240"/>
        </w:tabs>
        <w:ind w:left="3240" w:hanging="360"/>
      </w:pPr>
      <w:rPr>
        <w:rFonts w:ascii="Symbol" w:hAnsi="Symbol"/>
      </w:rPr>
    </w:lvl>
  </w:abstractNum>
  <w:abstractNum w:abstractNumId="1" w15:restartNumberingAfterBreak="0">
    <w:nsid w:val="06174134"/>
    <w:multiLevelType w:val="hybridMultilevel"/>
    <w:tmpl w:val="6C1E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77B30"/>
    <w:multiLevelType w:val="multilevel"/>
    <w:tmpl w:val="99ACED48"/>
    <w:lvl w:ilvl="0">
      <w:start w:val="1"/>
      <w:numFmt w:val="decimal"/>
      <w:lvlText w:val="%1"/>
      <w:lvlJc w:val="left"/>
      <w:pPr>
        <w:ind w:left="574" w:hanging="432"/>
      </w:pPr>
      <w:rPr>
        <w:rFonts w:hint="default"/>
      </w:rPr>
    </w:lvl>
    <w:lvl w:ilvl="1">
      <w:start w:val="1"/>
      <w:numFmt w:val="decimal"/>
      <w:pStyle w:val="Heading2"/>
      <w:lvlText w:val="%1.%2"/>
      <w:lvlJc w:val="left"/>
      <w:pPr>
        <w:ind w:left="718" w:hanging="576"/>
      </w:pPr>
      <w:rPr>
        <w:rFonts w:ascii="Times New Roman" w:hAnsi="Times New Roman" w:cs="Times New Roman" w:hint="default"/>
        <w:color w:val="auto"/>
        <w:sz w:val="24"/>
        <w:szCs w:val="24"/>
      </w:rPr>
    </w:lvl>
    <w:lvl w:ilvl="2">
      <w:start w:val="1"/>
      <w:numFmt w:val="bullet"/>
      <w:pStyle w:val="Heading3"/>
      <w:lvlText w:val=""/>
      <w:lvlJc w:val="left"/>
      <w:pPr>
        <w:ind w:left="709" w:hanging="567"/>
      </w:pPr>
      <w:rPr>
        <w:rFonts w:ascii="Symbol" w:hAnsi="Symbol" w:hint="default"/>
        <w:b w:val="0"/>
      </w:rPr>
    </w:lvl>
    <w:lvl w:ilvl="3">
      <w:start w:val="1"/>
      <w:numFmt w:val="bullet"/>
      <w:pStyle w:val="Heading4"/>
      <w:lvlText w:val=""/>
      <w:lvlJc w:val="left"/>
      <w:pPr>
        <w:ind w:left="284" w:hanging="284"/>
      </w:pPr>
      <w:rPr>
        <w:rFonts w:ascii="Symbol" w:hAnsi="Symbol"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647695C"/>
    <w:multiLevelType w:val="hybridMultilevel"/>
    <w:tmpl w:val="8D3EF23E"/>
    <w:lvl w:ilvl="0" w:tplc="F1BC6EC6">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9A3664"/>
    <w:multiLevelType w:val="hybridMultilevel"/>
    <w:tmpl w:val="C994D8F2"/>
    <w:lvl w:ilvl="0" w:tplc="F884633C">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CC059E"/>
    <w:multiLevelType w:val="multilevel"/>
    <w:tmpl w:val="FFFFFFFF"/>
    <w:lvl w:ilvl="0">
      <w:start w:val="1"/>
      <w:numFmt w:val="decimal"/>
      <w:lvlText w:val="%1"/>
      <w:lvlJc w:val="left"/>
      <w:pPr>
        <w:ind w:left="574"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73D788E"/>
    <w:multiLevelType w:val="hybridMultilevel"/>
    <w:tmpl w:val="753AD2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7B46FDC"/>
    <w:multiLevelType w:val="hybridMultilevel"/>
    <w:tmpl w:val="059C8F04"/>
    <w:lvl w:ilvl="0" w:tplc="A850879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2C127BBC"/>
    <w:multiLevelType w:val="multilevel"/>
    <w:tmpl w:val="8E667F62"/>
    <w:numStyleLink w:val="PPOLISTHyphened"/>
  </w:abstractNum>
  <w:abstractNum w:abstractNumId="13" w15:restartNumberingAfterBreak="0">
    <w:nsid w:val="2C980399"/>
    <w:multiLevelType w:val="hybridMultilevel"/>
    <w:tmpl w:val="7E0AE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DB724D"/>
    <w:multiLevelType w:val="hybridMultilevel"/>
    <w:tmpl w:val="A1CA2A30"/>
    <w:lvl w:ilvl="0" w:tplc="FFF2A42C">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16" w15:restartNumberingAfterBreak="0">
    <w:nsid w:val="2F2C64C5"/>
    <w:multiLevelType w:val="hybridMultilevel"/>
    <w:tmpl w:val="0096BABE"/>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7" w15:restartNumberingAfterBreak="0">
    <w:nsid w:val="30684144"/>
    <w:multiLevelType w:val="hybridMultilevel"/>
    <w:tmpl w:val="1C2070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7E038C"/>
    <w:multiLevelType w:val="hybridMultilevel"/>
    <w:tmpl w:val="8190EB3E"/>
    <w:lvl w:ilvl="0" w:tplc="ED846C16">
      <w:start w:val="1"/>
      <w:numFmt w:val="bullet"/>
      <w:pStyle w:val="LTTBullet"/>
      <w:lvlText w:val=""/>
      <w:lvlJc w:val="left"/>
      <w:pPr>
        <w:ind w:left="360" w:hanging="360"/>
      </w:pPr>
      <w:rPr>
        <w:rFonts w:ascii="Symbol" w:hAnsi="Symbol" w:hint="default"/>
      </w:rPr>
    </w:lvl>
    <w:lvl w:ilvl="1" w:tplc="7012E70C">
      <w:start w:val="1"/>
      <w:numFmt w:val="bullet"/>
      <w:pStyle w:val="LTTBullet2"/>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D6F21E"/>
    <w:multiLevelType w:val="hybridMultilevel"/>
    <w:tmpl w:val="FFFFFFFF"/>
    <w:lvl w:ilvl="0" w:tplc="3ABC9EB8">
      <w:start w:val="1"/>
      <w:numFmt w:val="bullet"/>
      <w:lvlText w:val="·"/>
      <w:lvlJc w:val="left"/>
      <w:pPr>
        <w:ind w:left="720" w:hanging="360"/>
      </w:pPr>
      <w:rPr>
        <w:rFonts w:ascii="Symbol" w:hAnsi="Symbol" w:hint="default"/>
      </w:rPr>
    </w:lvl>
    <w:lvl w:ilvl="1" w:tplc="7B887A2A">
      <w:start w:val="1"/>
      <w:numFmt w:val="bullet"/>
      <w:lvlText w:val="o"/>
      <w:lvlJc w:val="left"/>
      <w:pPr>
        <w:ind w:left="1440" w:hanging="360"/>
      </w:pPr>
      <w:rPr>
        <w:rFonts w:ascii="Courier New" w:hAnsi="Courier New" w:hint="default"/>
      </w:rPr>
    </w:lvl>
    <w:lvl w:ilvl="2" w:tplc="04BE4740">
      <w:start w:val="1"/>
      <w:numFmt w:val="bullet"/>
      <w:lvlText w:val=""/>
      <w:lvlJc w:val="left"/>
      <w:pPr>
        <w:ind w:left="2160" w:hanging="360"/>
      </w:pPr>
      <w:rPr>
        <w:rFonts w:ascii="Wingdings" w:hAnsi="Wingdings" w:hint="default"/>
      </w:rPr>
    </w:lvl>
    <w:lvl w:ilvl="3" w:tplc="CAE2E742">
      <w:start w:val="1"/>
      <w:numFmt w:val="bullet"/>
      <w:lvlText w:val=""/>
      <w:lvlJc w:val="left"/>
      <w:pPr>
        <w:ind w:left="2880" w:hanging="360"/>
      </w:pPr>
      <w:rPr>
        <w:rFonts w:ascii="Symbol" w:hAnsi="Symbol" w:hint="default"/>
      </w:rPr>
    </w:lvl>
    <w:lvl w:ilvl="4" w:tplc="5560DDF4">
      <w:start w:val="1"/>
      <w:numFmt w:val="bullet"/>
      <w:lvlText w:val="o"/>
      <w:lvlJc w:val="left"/>
      <w:pPr>
        <w:ind w:left="3600" w:hanging="360"/>
      </w:pPr>
      <w:rPr>
        <w:rFonts w:ascii="Courier New" w:hAnsi="Courier New" w:hint="default"/>
      </w:rPr>
    </w:lvl>
    <w:lvl w:ilvl="5" w:tplc="62EA3B9E">
      <w:start w:val="1"/>
      <w:numFmt w:val="bullet"/>
      <w:lvlText w:val=""/>
      <w:lvlJc w:val="left"/>
      <w:pPr>
        <w:ind w:left="4320" w:hanging="360"/>
      </w:pPr>
      <w:rPr>
        <w:rFonts w:ascii="Wingdings" w:hAnsi="Wingdings" w:hint="default"/>
      </w:rPr>
    </w:lvl>
    <w:lvl w:ilvl="6" w:tplc="6628907C">
      <w:start w:val="1"/>
      <w:numFmt w:val="bullet"/>
      <w:lvlText w:val=""/>
      <w:lvlJc w:val="left"/>
      <w:pPr>
        <w:ind w:left="5040" w:hanging="360"/>
      </w:pPr>
      <w:rPr>
        <w:rFonts w:ascii="Symbol" w:hAnsi="Symbol" w:hint="default"/>
      </w:rPr>
    </w:lvl>
    <w:lvl w:ilvl="7" w:tplc="85300032">
      <w:start w:val="1"/>
      <w:numFmt w:val="bullet"/>
      <w:lvlText w:val="o"/>
      <w:lvlJc w:val="left"/>
      <w:pPr>
        <w:ind w:left="5760" w:hanging="360"/>
      </w:pPr>
      <w:rPr>
        <w:rFonts w:ascii="Courier New" w:hAnsi="Courier New" w:hint="default"/>
      </w:rPr>
    </w:lvl>
    <w:lvl w:ilvl="8" w:tplc="FC7CB012">
      <w:start w:val="1"/>
      <w:numFmt w:val="bullet"/>
      <w:lvlText w:val=""/>
      <w:lvlJc w:val="left"/>
      <w:pPr>
        <w:ind w:left="6480" w:hanging="360"/>
      </w:pPr>
      <w:rPr>
        <w:rFonts w:ascii="Wingdings" w:hAnsi="Wingdings" w:hint="default"/>
      </w:rPr>
    </w:lvl>
  </w:abstractNum>
  <w:abstractNum w:abstractNumId="20" w15:restartNumberingAfterBreak="0">
    <w:nsid w:val="36133192"/>
    <w:multiLevelType w:val="hybridMultilevel"/>
    <w:tmpl w:val="234C9D8C"/>
    <w:lvl w:ilvl="0" w:tplc="4A0C41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C276B5"/>
    <w:multiLevelType w:val="hybridMultilevel"/>
    <w:tmpl w:val="33C2FCF6"/>
    <w:lvl w:ilvl="0" w:tplc="E0A4B9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FD62900"/>
    <w:multiLevelType w:val="hybridMultilevel"/>
    <w:tmpl w:val="37C85AAA"/>
    <w:lvl w:ilvl="0" w:tplc="8B8E4F72">
      <w:start w:val="3"/>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75B447E"/>
    <w:multiLevelType w:val="hybridMultilevel"/>
    <w:tmpl w:val="D4F6690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432656"/>
    <w:multiLevelType w:val="multilevel"/>
    <w:tmpl w:val="AC885D7A"/>
    <w:lvl w:ilvl="0">
      <w:start w:val="1"/>
      <w:numFmt w:val="decimal"/>
      <w:lvlText w:val="%1."/>
      <w:lvlJc w:val="left"/>
      <w:pPr>
        <w:tabs>
          <w:tab w:val="num" w:pos="480"/>
        </w:tabs>
        <w:ind w:left="480" w:hanging="480"/>
      </w:pPr>
    </w:lvl>
    <w:lvl w:ilvl="1">
      <w:start w:val="1"/>
      <w:numFmt w:val="decimal"/>
      <w:lvlText w:val="%1.%2."/>
      <w:lvlJc w:val="left"/>
      <w:pPr>
        <w:tabs>
          <w:tab w:val="num" w:pos="1080"/>
        </w:tabs>
        <w:ind w:left="1080" w:hanging="600"/>
      </w:pPr>
    </w:lvl>
    <w:lvl w:ilvl="2">
      <w:start w:val="1"/>
      <w:numFmt w:val="decimal"/>
      <w:lvlText w:val="%1.%2.%3."/>
      <w:lvlJc w:val="left"/>
      <w:pPr>
        <w:tabs>
          <w:tab w:val="num" w:pos="1920"/>
        </w:tabs>
        <w:ind w:left="1920" w:hanging="840"/>
      </w:p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EB000F4"/>
    <w:multiLevelType w:val="multilevel"/>
    <w:tmpl w:val="8E667F62"/>
    <w:styleLink w:val="PPOLISTHyphened"/>
    <w:lvl w:ilvl="0">
      <w:start w:val="1"/>
      <w:numFmt w:val="bullet"/>
      <w:pStyle w:val="ppoListHyphened-L1"/>
      <w:lvlText w:val="–"/>
      <w:lvlJc w:val="left"/>
      <w:pPr>
        <w:ind w:left="357" w:hanging="357"/>
      </w:pPr>
      <w:rPr>
        <w:rFonts w:ascii="Arial" w:hAnsi="Arial" w:cs="Times New Roman" w:hint="default"/>
      </w:rPr>
    </w:lvl>
    <w:lvl w:ilvl="1">
      <w:numFmt w:val="bullet"/>
      <w:pStyle w:val="ppoListHyphened-L2"/>
      <w:lvlText w:val=""/>
      <w:lvlJc w:val="left"/>
      <w:pPr>
        <w:ind w:left="1435" w:hanging="358"/>
      </w:pPr>
      <w:rPr>
        <w:rFonts w:ascii="Wingdings" w:hAnsi="Wingdings" w:hint="default"/>
      </w:rPr>
    </w:lvl>
    <w:lvl w:ilvl="2">
      <w:start w:val="1"/>
      <w:numFmt w:val="bullet"/>
      <w:pStyle w:val="ppoListHyphened-L3"/>
      <w:lvlText w:val="◊"/>
      <w:lvlJc w:val="left"/>
      <w:pPr>
        <w:ind w:left="2512" w:hanging="357"/>
      </w:pPr>
      <w:rPr>
        <w:rFonts w:ascii="EC Square Sans Pro" w:hAnsi="EC Square Sans Pro"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7C861F1"/>
    <w:multiLevelType w:val="hybridMultilevel"/>
    <w:tmpl w:val="1748873E"/>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61E859FC"/>
    <w:multiLevelType w:val="hybridMultilevel"/>
    <w:tmpl w:val="1A28D5D0"/>
    <w:lvl w:ilvl="0" w:tplc="437C69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2B5511"/>
    <w:multiLevelType w:val="singleLevel"/>
    <w:tmpl w:val="74A09970"/>
    <w:name w:val="Defaul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9" w15:restartNumberingAfterBreak="0">
    <w:nsid w:val="716F0781"/>
    <w:multiLevelType w:val="hybridMultilevel"/>
    <w:tmpl w:val="F4EA3702"/>
    <w:lvl w:ilvl="0" w:tplc="85B2746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262CCA"/>
    <w:multiLevelType w:val="multilevel"/>
    <w:tmpl w:val="C3EE17B4"/>
    <w:lvl w:ilvl="0">
      <w:start w:val="1"/>
      <w:numFmt w:val="decimal"/>
      <w:lvlText w:val="%1."/>
      <w:lvlJc w:val="left"/>
      <w:pPr>
        <w:ind w:left="36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num w:numId="1">
    <w:abstractNumId w:val="17"/>
  </w:num>
  <w:num w:numId="2">
    <w:abstractNumId w:val="3"/>
  </w:num>
  <w:num w:numId="3">
    <w:abstractNumId w:val="0"/>
  </w:num>
  <w:num w:numId="4">
    <w:abstractNumId w:val="11"/>
  </w:num>
  <w:num w:numId="5">
    <w:abstractNumId w:val="8"/>
  </w:num>
  <w:num w:numId="6">
    <w:abstractNumId w:val="2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4"/>
  </w:num>
  <w:num w:numId="10">
    <w:abstractNumId w:val="14"/>
  </w:num>
  <w:num w:numId="11">
    <w:abstractNumId w:val="3"/>
    <w:lvlOverride w:ilvl="0">
      <w:startOverride w:val="3"/>
    </w:lvlOverride>
    <w:lvlOverride w:ilvl="1">
      <w:startOverride w:val="1"/>
    </w:lvlOverride>
  </w:num>
  <w:num w:numId="12">
    <w:abstractNumId w:val="3"/>
    <w:lvlOverride w:ilvl="0">
      <w:startOverride w:val="3"/>
    </w:lvlOverride>
    <w:lvlOverride w:ilvl="1">
      <w:startOverride w:val="1"/>
    </w:lvlOverride>
  </w:num>
  <w:num w:numId="13">
    <w:abstractNumId w:val="3"/>
    <w:lvlOverride w:ilvl="0">
      <w:startOverride w:val="3"/>
    </w:lvlOverride>
    <w:lvlOverride w:ilvl="1">
      <w:startOverride w:val="1"/>
    </w:lvlOverride>
  </w:num>
  <w:num w:numId="14">
    <w:abstractNumId w:val="3"/>
  </w:num>
  <w:num w:numId="15">
    <w:abstractNumId w:val="3"/>
  </w:num>
  <w:num w:numId="16">
    <w:abstractNumId w:val="3"/>
  </w:num>
  <w:num w:numId="17">
    <w:abstractNumId w:val="3"/>
  </w:num>
  <w:num w:numId="18">
    <w:abstractNumId w:val="22"/>
  </w:num>
  <w:num w:numId="19">
    <w:abstractNumId w:val="22"/>
  </w:num>
  <w:num w:numId="20">
    <w:abstractNumId w:val="13"/>
  </w:num>
  <w:num w:numId="21">
    <w:abstractNumId w:val="1"/>
  </w:num>
  <w:num w:numId="22">
    <w:abstractNumId w:val="3"/>
  </w:num>
  <w:num w:numId="23">
    <w:abstractNumId w:val="18"/>
  </w:num>
  <w:num w:numId="24">
    <w:abstractNumId w:val="10"/>
  </w:num>
  <w:num w:numId="25">
    <w:abstractNumId w:val="29"/>
  </w:num>
  <w:num w:numId="26">
    <w:abstractNumId w:val="6"/>
  </w:num>
  <w:num w:numId="27">
    <w:abstractNumId w:val="4"/>
  </w:num>
  <w:num w:numId="28">
    <w:abstractNumId w:val="27"/>
  </w:num>
  <w:num w:numId="29">
    <w:abstractNumId w:val="5"/>
  </w:num>
  <w:num w:numId="30">
    <w:abstractNumId w:val="21"/>
  </w:num>
  <w:num w:numId="31">
    <w:abstractNumId w:val="20"/>
  </w:num>
  <w:num w:numId="32">
    <w:abstractNumId w:val="15"/>
  </w:num>
  <w:num w:numId="33">
    <w:abstractNumId w:val="3"/>
  </w:num>
  <w:num w:numId="34">
    <w:abstractNumId w:val="12"/>
  </w:num>
  <w:num w:numId="35">
    <w:abstractNumId w:val="25"/>
  </w:num>
  <w:num w:numId="36">
    <w:abstractNumId w:val="25"/>
  </w:num>
  <w:num w:numId="37">
    <w:abstractNumId w:val="26"/>
  </w:num>
  <w:num w:numId="38">
    <w:abstractNumId w:val="23"/>
  </w:num>
  <w:num w:numId="39">
    <w:abstractNumId w:val="2"/>
  </w:num>
  <w:num w:numId="40">
    <w:abstractNumId w:val="24"/>
  </w:num>
  <w:num w:numId="41">
    <w:abstractNumId w:val="3"/>
  </w:num>
  <w:num w:numId="42">
    <w:abstractNumId w:val="19"/>
  </w:num>
  <w:num w:numId="43">
    <w:abstractNumId w:val="9"/>
  </w:num>
  <w:num w:numId="44">
    <w:abstractNumId w:val="7"/>
  </w:num>
  <w:num w:numId="45">
    <w:abstractNumId w:val="30"/>
  </w:num>
  <w:num w:numId="46">
    <w:abstractNumId w:val="3"/>
    <w:lvlOverride w:ilvl="0">
      <w:startOverride w:val="3"/>
    </w:lvlOverride>
    <w:lvlOverride w:ilvl="1">
      <w:startOverride w:val="1"/>
    </w:lvlOverride>
  </w:num>
  <w:num w:numId="47">
    <w:abstractNumId w:val="3"/>
    <w:lvlOverride w:ilvl="0">
      <w:startOverride w:val="3"/>
    </w:lvlOverride>
    <w:lvlOverride w:ilvl="1">
      <w:startOverride w:val="1"/>
    </w:lvlOverride>
  </w:num>
  <w:num w:numId="4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cs-CZ"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C75EDF0E-3BE7-43B2-B06F-8EB351CAF5BB"/>
    <w:docVar w:name="LW_COVERPAGE_TYPE" w:val="1"/>
    <w:docVar w:name="LW_CROSSREFERENCE" w:val="&lt;UNUSED&gt;"/>
    <w:docVar w:name="LW_DocType" w:val="NORMAL"/>
    <w:docVar w:name="LW_EMISSION" w:val="10.6.2024"/>
    <w:docVar w:name="LW_EMISSION_ISODATE" w:val="2024-06-10"/>
    <w:docVar w:name="LW_EMISSION_LOCATION" w:val="BRX"/>
    <w:docVar w:name="LW_EMISSION_PREFIX" w:val="V Bruselu dne "/>
    <w:docVar w:name="LW_EMISSION_SUFFIX" w:val=" "/>
    <w:docVar w:name="LW_ID_DOCTYPE_NONLW" w:val="CP-006"/>
    <w:docVar w:name="LW_LANGUE" w:val="CS"/>
    <w:docVar w:name="LW_LEVEL_OF_SENSITIVITY" w:val="Standard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24) 2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o provád\u283?ní makrofinan\u269?ní pomoci t\u345?etím zemím v roce 2023"/>
    <w:docVar w:name="LW_TYPE.DOC.CP" w:val="ZPRÁVA KOMISE EVROPSKÉMU PARLAMENTU A RAD\u282?"/>
    <w:docVar w:name="LwApiVersions" w:val="LW4CoDe 1.24.5.0; LW 9.0, Build 20240221"/>
    <w:docVar w:name="Stamp" w:val="\\dossiers.dgt.cec.eu.int\dossiers\ECFIN\ECFIN-2024-00179\ECFIN-2024-00179-00-00-EN-EDT-00.202404120951594366989.DOCX"/>
  </w:docVars>
  <w:rsids>
    <w:rsidRoot w:val="00A73E70"/>
    <w:rsid w:val="000000FD"/>
    <w:rsid w:val="000004F5"/>
    <w:rsid w:val="00000646"/>
    <w:rsid w:val="0000167A"/>
    <w:rsid w:val="0000188F"/>
    <w:rsid w:val="00002155"/>
    <w:rsid w:val="000023C0"/>
    <w:rsid w:val="00002775"/>
    <w:rsid w:val="00003A96"/>
    <w:rsid w:val="00004266"/>
    <w:rsid w:val="00005CC1"/>
    <w:rsid w:val="00006113"/>
    <w:rsid w:val="00006548"/>
    <w:rsid w:val="00006727"/>
    <w:rsid w:val="000068C5"/>
    <w:rsid w:val="00006CCD"/>
    <w:rsid w:val="00007080"/>
    <w:rsid w:val="00007BBF"/>
    <w:rsid w:val="000101AA"/>
    <w:rsid w:val="000101C4"/>
    <w:rsid w:val="00010685"/>
    <w:rsid w:val="0001118E"/>
    <w:rsid w:val="00011375"/>
    <w:rsid w:val="00011B34"/>
    <w:rsid w:val="00012725"/>
    <w:rsid w:val="00012EFA"/>
    <w:rsid w:val="00012FAA"/>
    <w:rsid w:val="0001344B"/>
    <w:rsid w:val="0001347F"/>
    <w:rsid w:val="000139BC"/>
    <w:rsid w:val="00013A63"/>
    <w:rsid w:val="00013C0E"/>
    <w:rsid w:val="000144DD"/>
    <w:rsid w:val="00014D3B"/>
    <w:rsid w:val="00014DBC"/>
    <w:rsid w:val="00014F86"/>
    <w:rsid w:val="00015007"/>
    <w:rsid w:val="000156D5"/>
    <w:rsid w:val="00015E68"/>
    <w:rsid w:val="0001648C"/>
    <w:rsid w:val="00016AFA"/>
    <w:rsid w:val="00017286"/>
    <w:rsid w:val="00017E39"/>
    <w:rsid w:val="0002062E"/>
    <w:rsid w:val="00020E9D"/>
    <w:rsid w:val="00020F8C"/>
    <w:rsid w:val="00021D72"/>
    <w:rsid w:val="00022286"/>
    <w:rsid w:val="0002330E"/>
    <w:rsid w:val="00023F74"/>
    <w:rsid w:val="00024714"/>
    <w:rsid w:val="00024E8C"/>
    <w:rsid w:val="00025280"/>
    <w:rsid w:val="00025E9C"/>
    <w:rsid w:val="00026689"/>
    <w:rsid w:val="00026D45"/>
    <w:rsid w:val="00027183"/>
    <w:rsid w:val="0003002D"/>
    <w:rsid w:val="00031FAC"/>
    <w:rsid w:val="0003228F"/>
    <w:rsid w:val="00032B60"/>
    <w:rsid w:val="000333AD"/>
    <w:rsid w:val="00033D1D"/>
    <w:rsid w:val="000346CD"/>
    <w:rsid w:val="000358DF"/>
    <w:rsid w:val="0003693F"/>
    <w:rsid w:val="00036F33"/>
    <w:rsid w:val="000373D4"/>
    <w:rsid w:val="0003744D"/>
    <w:rsid w:val="00037CCC"/>
    <w:rsid w:val="00040F62"/>
    <w:rsid w:val="0004112A"/>
    <w:rsid w:val="00041361"/>
    <w:rsid w:val="00042366"/>
    <w:rsid w:val="00042546"/>
    <w:rsid w:val="0004297E"/>
    <w:rsid w:val="00042B7B"/>
    <w:rsid w:val="00042EDD"/>
    <w:rsid w:val="00042FD3"/>
    <w:rsid w:val="00044264"/>
    <w:rsid w:val="0004626F"/>
    <w:rsid w:val="000474C5"/>
    <w:rsid w:val="000478F2"/>
    <w:rsid w:val="00047C75"/>
    <w:rsid w:val="00047ECB"/>
    <w:rsid w:val="00050280"/>
    <w:rsid w:val="000502BB"/>
    <w:rsid w:val="0005190C"/>
    <w:rsid w:val="00051BBB"/>
    <w:rsid w:val="00051E4C"/>
    <w:rsid w:val="000522ED"/>
    <w:rsid w:val="000525F9"/>
    <w:rsid w:val="000527AF"/>
    <w:rsid w:val="00052C05"/>
    <w:rsid w:val="00052CA2"/>
    <w:rsid w:val="000532CC"/>
    <w:rsid w:val="00053668"/>
    <w:rsid w:val="00054539"/>
    <w:rsid w:val="000549CF"/>
    <w:rsid w:val="000549E2"/>
    <w:rsid w:val="00054CFD"/>
    <w:rsid w:val="00055EB2"/>
    <w:rsid w:val="0005683A"/>
    <w:rsid w:val="00057003"/>
    <w:rsid w:val="00057C8F"/>
    <w:rsid w:val="00057F95"/>
    <w:rsid w:val="00060D34"/>
    <w:rsid w:val="0006167B"/>
    <w:rsid w:val="0006178B"/>
    <w:rsid w:val="000628C0"/>
    <w:rsid w:val="00062E06"/>
    <w:rsid w:val="00062F23"/>
    <w:rsid w:val="00062FD2"/>
    <w:rsid w:val="000631F5"/>
    <w:rsid w:val="0006346E"/>
    <w:rsid w:val="000638B7"/>
    <w:rsid w:val="00063BC7"/>
    <w:rsid w:val="000649CC"/>
    <w:rsid w:val="00065D97"/>
    <w:rsid w:val="00066640"/>
    <w:rsid w:val="00066E59"/>
    <w:rsid w:val="00067186"/>
    <w:rsid w:val="00067187"/>
    <w:rsid w:val="00067FBF"/>
    <w:rsid w:val="00070D08"/>
    <w:rsid w:val="00071817"/>
    <w:rsid w:val="00071F61"/>
    <w:rsid w:val="00072170"/>
    <w:rsid w:val="0007246C"/>
    <w:rsid w:val="0007282F"/>
    <w:rsid w:val="000728C4"/>
    <w:rsid w:val="00072D05"/>
    <w:rsid w:val="000738E8"/>
    <w:rsid w:val="00073A81"/>
    <w:rsid w:val="000751DC"/>
    <w:rsid w:val="000762F8"/>
    <w:rsid w:val="00076427"/>
    <w:rsid w:val="00077BE8"/>
    <w:rsid w:val="00082059"/>
    <w:rsid w:val="000823A8"/>
    <w:rsid w:val="000828E7"/>
    <w:rsid w:val="000835C4"/>
    <w:rsid w:val="000838E4"/>
    <w:rsid w:val="000839C7"/>
    <w:rsid w:val="00083FE4"/>
    <w:rsid w:val="000843D1"/>
    <w:rsid w:val="0008479A"/>
    <w:rsid w:val="000847F0"/>
    <w:rsid w:val="00084A21"/>
    <w:rsid w:val="00084B35"/>
    <w:rsid w:val="00084DF6"/>
    <w:rsid w:val="00084F43"/>
    <w:rsid w:val="00085AD2"/>
    <w:rsid w:val="00086891"/>
    <w:rsid w:val="00087DFE"/>
    <w:rsid w:val="00090406"/>
    <w:rsid w:val="00090540"/>
    <w:rsid w:val="00090845"/>
    <w:rsid w:val="00090F05"/>
    <w:rsid w:val="00090F2E"/>
    <w:rsid w:val="00091512"/>
    <w:rsid w:val="000918CD"/>
    <w:rsid w:val="00092059"/>
    <w:rsid w:val="000920F1"/>
    <w:rsid w:val="00092EF1"/>
    <w:rsid w:val="00093CA5"/>
    <w:rsid w:val="000946E4"/>
    <w:rsid w:val="000948D6"/>
    <w:rsid w:val="00095CFC"/>
    <w:rsid w:val="00095F40"/>
    <w:rsid w:val="00096B74"/>
    <w:rsid w:val="00096E93"/>
    <w:rsid w:val="00097605"/>
    <w:rsid w:val="000A07CB"/>
    <w:rsid w:val="000A0D37"/>
    <w:rsid w:val="000A0E45"/>
    <w:rsid w:val="000A2D45"/>
    <w:rsid w:val="000A30B1"/>
    <w:rsid w:val="000A37D2"/>
    <w:rsid w:val="000A3E98"/>
    <w:rsid w:val="000A5C42"/>
    <w:rsid w:val="000A6129"/>
    <w:rsid w:val="000A6222"/>
    <w:rsid w:val="000A6734"/>
    <w:rsid w:val="000B0984"/>
    <w:rsid w:val="000B0D07"/>
    <w:rsid w:val="000B1612"/>
    <w:rsid w:val="000B17DF"/>
    <w:rsid w:val="000B205F"/>
    <w:rsid w:val="000B25B0"/>
    <w:rsid w:val="000B3249"/>
    <w:rsid w:val="000B3271"/>
    <w:rsid w:val="000B3628"/>
    <w:rsid w:val="000B4349"/>
    <w:rsid w:val="000B4DB5"/>
    <w:rsid w:val="000B51B1"/>
    <w:rsid w:val="000B5AF4"/>
    <w:rsid w:val="000B5B4A"/>
    <w:rsid w:val="000B61BD"/>
    <w:rsid w:val="000B6888"/>
    <w:rsid w:val="000B6CF1"/>
    <w:rsid w:val="000B7B57"/>
    <w:rsid w:val="000C0BC5"/>
    <w:rsid w:val="000C2FB5"/>
    <w:rsid w:val="000C341D"/>
    <w:rsid w:val="000C36E7"/>
    <w:rsid w:val="000C3D0E"/>
    <w:rsid w:val="000C53A4"/>
    <w:rsid w:val="000C6AA7"/>
    <w:rsid w:val="000C6AF9"/>
    <w:rsid w:val="000C6D82"/>
    <w:rsid w:val="000C7295"/>
    <w:rsid w:val="000C748C"/>
    <w:rsid w:val="000C7757"/>
    <w:rsid w:val="000D1988"/>
    <w:rsid w:val="000D24B1"/>
    <w:rsid w:val="000D2B81"/>
    <w:rsid w:val="000D2B90"/>
    <w:rsid w:val="000D3452"/>
    <w:rsid w:val="000D44EF"/>
    <w:rsid w:val="000D4A59"/>
    <w:rsid w:val="000D4F95"/>
    <w:rsid w:val="000D5298"/>
    <w:rsid w:val="000D5627"/>
    <w:rsid w:val="000D78BB"/>
    <w:rsid w:val="000E0429"/>
    <w:rsid w:val="000E0870"/>
    <w:rsid w:val="000E1DD5"/>
    <w:rsid w:val="000E205B"/>
    <w:rsid w:val="000E2D4B"/>
    <w:rsid w:val="000E318A"/>
    <w:rsid w:val="000E3704"/>
    <w:rsid w:val="000E3992"/>
    <w:rsid w:val="000E3EB8"/>
    <w:rsid w:val="000E40DF"/>
    <w:rsid w:val="000E4FF3"/>
    <w:rsid w:val="000E7188"/>
    <w:rsid w:val="000E7665"/>
    <w:rsid w:val="000E7B63"/>
    <w:rsid w:val="000F0258"/>
    <w:rsid w:val="000F10FB"/>
    <w:rsid w:val="000F12CF"/>
    <w:rsid w:val="000F1DB1"/>
    <w:rsid w:val="000F2EC9"/>
    <w:rsid w:val="000F2F08"/>
    <w:rsid w:val="000F31E0"/>
    <w:rsid w:val="000F33C1"/>
    <w:rsid w:val="000F3B6A"/>
    <w:rsid w:val="000F4062"/>
    <w:rsid w:val="000F437B"/>
    <w:rsid w:val="000F4869"/>
    <w:rsid w:val="000F4ADB"/>
    <w:rsid w:val="000F7EF6"/>
    <w:rsid w:val="00100112"/>
    <w:rsid w:val="001019CD"/>
    <w:rsid w:val="00102D44"/>
    <w:rsid w:val="00103007"/>
    <w:rsid w:val="00103356"/>
    <w:rsid w:val="00103866"/>
    <w:rsid w:val="0010424D"/>
    <w:rsid w:val="0010480B"/>
    <w:rsid w:val="00104AE5"/>
    <w:rsid w:val="00104F0E"/>
    <w:rsid w:val="00104FE5"/>
    <w:rsid w:val="001051F9"/>
    <w:rsid w:val="0010542F"/>
    <w:rsid w:val="00105553"/>
    <w:rsid w:val="00106429"/>
    <w:rsid w:val="0010657B"/>
    <w:rsid w:val="00106710"/>
    <w:rsid w:val="0010679E"/>
    <w:rsid w:val="00106C73"/>
    <w:rsid w:val="00107E14"/>
    <w:rsid w:val="0011031E"/>
    <w:rsid w:val="0011172E"/>
    <w:rsid w:val="00111C03"/>
    <w:rsid w:val="001126C1"/>
    <w:rsid w:val="00112B7E"/>
    <w:rsid w:val="00113397"/>
    <w:rsid w:val="001142D9"/>
    <w:rsid w:val="0011454D"/>
    <w:rsid w:val="001145BC"/>
    <w:rsid w:val="0011473C"/>
    <w:rsid w:val="00114C53"/>
    <w:rsid w:val="00114DA3"/>
    <w:rsid w:val="001151FE"/>
    <w:rsid w:val="00115EB9"/>
    <w:rsid w:val="00115F46"/>
    <w:rsid w:val="001161FF"/>
    <w:rsid w:val="00116BE6"/>
    <w:rsid w:val="0011732B"/>
    <w:rsid w:val="0011797A"/>
    <w:rsid w:val="00117E92"/>
    <w:rsid w:val="0012057A"/>
    <w:rsid w:val="00120585"/>
    <w:rsid w:val="00121512"/>
    <w:rsid w:val="00121A5A"/>
    <w:rsid w:val="0012200A"/>
    <w:rsid w:val="00122477"/>
    <w:rsid w:val="001239F1"/>
    <w:rsid w:val="00123D06"/>
    <w:rsid w:val="00124079"/>
    <w:rsid w:val="00124176"/>
    <w:rsid w:val="00124548"/>
    <w:rsid w:val="001245E9"/>
    <w:rsid w:val="001245F3"/>
    <w:rsid w:val="00124A6E"/>
    <w:rsid w:val="00124D72"/>
    <w:rsid w:val="00124EB9"/>
    <w:rsid w:val="00124FDB"/>
    <w:rsid w:val="00125D14"/>
    <w:rsid w:val="00126F89"/>
    <w:rsid w:val="00127B50"/>
    <w:rsid w:val="001302AB"/>
    <w:rsid w:val="00130950"/>
    <w:rsid w:val="0013095A"/>
    <w:rsid w:val="00130EF2"/>
    <w:rsid w:val="00131254"/>
    <w:rsid w:val="0013145D"/>
    <w:rsid w:val="0013403C"/>
    <w:rsid w:val="001349AC"/>
    <w:rsid w:val="00134EA3"/>
    <w:rsid w:val="00135404"/>
    <w:rsid w:val="001356F1"/>
    <w:rsid w:val="00135753"/>
    <w:rsid w:val="00135B15"/>
    <w:rsid w:val="00136665"/>
    <w:rsid w:val="00136921"/>
    <w:rsid w:val="0013750C"/>
    <w:rsid w:val="00137A21"/>
    <w:rsid w:val="00140274"/>
    <w:rsid w:val="0014029E"/>
    <w:rsid w:val="0014051B"/>
    <w:rsid w:val="00140753"/>
    <w:rsid w:val="00140C50"/>
    <w:rsid w:val="00141AC8"/>
    <w:rsid w:val="00141B0C"/>
    <w:rsid w:val="00143BD1"/>
    <w:rsid w:val="00143C23"/>
    <w:rsid w:val="00143DD2"/>
    <w:rsid w:val="0014404D"/>
    <w:rsid w:val="00144F35"/>
    <w:rsid w:val="001455C3"/>
    <w:rsid w:val="001473AD"/>
    <w:rsid w:val="00147505"/>
    <w:rsid w:val="00147F7D"/>
    <w:rsid w:val="001505A3"/>
    <w:rsid w:val="00150954"/>
    <w:rsid w:val="00150D6C"/>
    <w:rsid w:val="00150FE4"/>
    <w:rsid w:val="00151E47"/>
    <w:rsid w:val="001520BD"/>
    <w:rsid w:val="00152E61"/>
    <w:rsid w:val="00153276"/>
    <w:rsid w:val="00153ABF"/>
    <w:rsid w:val="00153E62"/>
    <w:rsid w:val="00154DCD"/>
    <w:rsid w:val="001550A3"/>
    <w:rsid w:val="00155B5C"/>
    <w:rsid w:val="0015635E"/>
    <w:rsid w:val="001565AB"/>
    <w:rsid w:val="001569D2"/>
    <w:rsid w:val="00157176"/>
    <w:rsid w:val="00160576"/>
    <w:rsid w:val="00161ADE"/>
    <w:rsid w:val="00162F88"/>
    <w:rsid w:val="001662EB"/>
    <w:rsid w:val="00166689"/>
    <w:rsid w:val="001669F4"/>
    <w:rsid w:val="00166AE0"/>
    <w:rsid w:val="0016750A"/>
    <w:rsid w:val="00167EE9"/>
    <w:rsid w:val="001706D4"/>
    <w:rsid w:val="00171123"/>
    <w:rsid w:val="00171685"/>
    <w:rsid w:val="00171B91"/>
    <w:rsid w:val="00171F2C"/>
    <w:rsid w:val="0017212B"/>
    <w:rsid w:val="001725C2"/>
    <w:rsid w:val="00173029"/>
    <w:rsid w:val="00173DFD"/>
    <w:rsid w:val="00175219"/>
    <w:rsid w:val="0017549F"/>
    <w:rsid w:val="0017576E"/>
    <w:rsid w:val="0017681C"/>
    <w:rsid w:val="00176B2B"/>
    <w:rsid w:val="00176CF9"/>
    <w:rsid w:val="001773F2"/>
    <w:rsid w:val="001777C6"/>
    <w:rsid w:val="00180EF8"/>
    <w:rsid w:val="001818EF"/>
    <w:rsid w:val="00182996"/>
    <w:rsid w:val="00182AB3"/>
    <w:rsid w:val="0018392B"/>
    <w:rsid w:val="00184197"/>
    <w:rsid w:val="0018427A"/>
    <w:rsid w:val="0018428C"/>
    <w:rsid w:val="00184698"/>
    <w:rsid w:val="001854C5"/>
    <w:rsid w:val="0018640C"/>
    <w:rsid w:val="0018690A"/>
    <w:rsid w:val="0018772A"/>
    <w:rsid w:val="0019036D"/>
    <w:rsid w:val="00190E45"/>
    <w:rsid w:val="0019185F"/>
    <w:rsid w:val="0019196A"/>
    <w:rsid w:val="001926DF"/>
    <w:rsid w:val="00193A2F"/>
    <w:rsid w:val="00193E8C"/>
    <w:rsid w:val="0019511F"/>
    <w:rsid w:val="00195260"/>
    <w:rsid w:val="00195AB6"/>
    <w:rsid w:val="0019614C"/>
    <w:rsid w:val="00197502"/>
    <w:rsid w:val="00197747"/>
    <w:rsid w:val="00197E98"/>
    <w:rsid w:val="00197F47"/>
    <w:rsid w:val="001A09DF"/>
    <w:rsid w:val="001A0E88"/>
    <w:rsid w:val="001A14E1"/>
    <w:rsid w:val="001A1BE2"/>
    <w:rsid w:val="001A1EDA"/>
    <w:rsid w:val="001A29A3"/>
    <w:rsid w:val="001A3CB8"/>
    <w:rsid w:val="001A438B"/>
    <w:rsid w:val="001A4777"/>
    <w:rsid w:val="001A477D"/>
    <w:rsid w:val="001A4BED"/>
    <w:rsid w:val="001A53EB"/>
    <w:rsid w:val="001A6C4F"/>
    <w:rsid w:val="001A7011"/>
    <w:rsid w:val="001A742E"/>
    <w:rsid w:val="001A75AC"/>
    <w:rsid w:val="001A7730"/>
    <w:rsid w:val="001A79D2"/>
    <w:rsid w:val="001B0393"/>
    <w:rsid w:val="001B1715"/>
    <w:rsid w:val="001B200C"/>
    <w:rsid w:val="001B35D0"/>
    <w:rsid w:val="001B3CD3"/>
    <w:rsid w:val="001B494B"/>
    <w:rsid w:val="001B655F"/>
    <w:rsid w:val="001B70E9"/>
    <w:rsid w:val="001B7B9C"/>
    <w:rsid w:val="001C023F"/>
    <w:rsid w:val="001C08D5"/>
    <w:rsid w:val="001C1093"/>
    <w:rsid w:val="001C12EB"/>
    <w:rsid w:val="001C2056"/>
    <w:rsid w:val="001C28D7"/>
    <w:rsid w:val="001C3917"/>
    <w:rsid w:val="001C3FCA"/>
    <w:rsid w:val="001C42C2"/>
    <w:rsid w:val="001C48F2"/>
    <w:rsid w:val="001C4C6B"/>
    <w:rsid w:val="001C655B"/>
    <w:rsid w:val="001C7452"/>
    <w:rsid w:val="001D070D"/>
    <w:rsid w:val="001D0C67"/>
    <w:rsid w:val="001D115C"/>
    <w:rsid w:val="001D132A"/>
    <w:rsid w:val="001D14A1"/>
    <w:rsid w:val="001D1822"/>
    <w:rsid w:val="001D1DA2"/>
    <w:rsid w:val="001D1E4A"/>
    <w:rsid w:val="001D217B"/>
    <w:rsid w:val="001D350A"/>
    <w:rsid w:val="001D3DC0"/>
    <w:rsid w:val="001D4165"/>
    <w:rsid w:val="001D55C3"/>
    <w:rsid w:val="001D5A94"/>
    <w:rsid w:val="001D5C55"/>
    <w:rsid w:val="001D6A5D"/>
    <w:rsid w:val="001D7ED0"/>
    <w:rsid w:val="001E02D5"/>
    <w:rsid w:val="001E0AC2"/>
    <w:rsid w:val="001E0D9B"/>
    <w:rsid w:val="001E2D8E"/>
    <w:rsid w:val="001E3692"/>
    <w:rsid w:val="001E3874"/>
    <w:rsid w:val="001E38E7"/>
    <w:rsid w:val="001E3EAE"/>
    <w:rsid w:val="001E4065"/>
    <w:rsid w:val="001E45AA"/>
    <w:rsid w:val="001E4A8B"/>
    <w:rsid w:val="001E4C1F"/>
    <w:rsid w:val="001E5233"/>
    <w:rsid w:val="001E582F"/>
    <w:rsid w:val="001E5A08"/>
    <w:rsid w:val="001E5BAD"/>
    <w:rsid w:val="001E639C"/>
    <w:rsid w:val="001E7319"/>
    <w:rsid w:val="001F0D7C"/>
    <w:rsid w:val="001F0E17"/>
    <w:rsid w:val="001F0E62"/>
    <w:rsid w:val="001F19F4"/>
    <w:rsid w:val="001F1D0E"/>
    <w:rsid w:val="001F2106"/>
    <w:rsid w:val="001F2456"/>
    <w:rsid w:val="001F333D"/>
    <w:rsid w:val="001F3AEA"/>
    <w:rsid w:val="001F42A8"/>
    <w:rsid w:val="001F4E32"/>
    <w:rsid w:val="001F510B"/>
    <w:rsid w:val="001F557B"/>
    <w:rsid w:val="001F60BC"/>
    <w:rsid w:val="001F69B5"/>
    <w:rsid w:val="001F7391"/>
    <w:rsid w:val="001F7657"/>
    <w:rsid w:val="002009DC"/>
    <w:rsid w:val="00200F68"/>
    <w:rsid w:val="00201E53"/>
    <w:rsid w:val="00201E76"/>
    <w:rsid w:val="0020225E"/>
    <w:rsid w:val="002026BC"/>
    <w:rsid w:val="002027A9"/>
    <w:rsid w:val="0020282D"/>
    <w:rsid w:val="00202B84"/>
    <w:rsid w:val="00202E3F"/>
    <w:rsid w:val="00202F82"/>
    <w:rsid w:val="00203BAF"/>
    <w:rsid w:val="00203D7C"/>
    <w:rsid w:val="00203DF9"/>
    <w:rsid w:val="00204998"/>
    <w:rsid w:val="002055AA"/>
    <w:rsid w:val="002066CB"/>
    <w:rsid w:val="00206D66"/>
    <w:rsid w:val="00207871"/>
    <w:rsid w:val="00207D2F"/>
    <w:rsid w:val="002100C6"/>
    <w:rsid w:val="0021059E"/>
    <w:rsid w:val="0021139A"/>
    <w:rsid w:val="0021274F"/>
    <w:rsid w:val="00213001"/>
    <w:rsid w:val="002131F6"/>
    <w:rsid w:val="00214022"/>
    <w:rsid w:val="00214075"/>
    <w:rsid w:val="00214676"/>
    <w:rsid w:val="0021482F"/>
    <w:rsid w:val="0021502E"/>
    <w:rsid w:val="00215365"/>
    <w:rsid w:val="00215A13"/>
    <w:rsid w:val="00215ED2"/>
    <w:rsid w:val="002168F2"/>
    <w:rsid w:val="00216C06"/>
    <w:rsid w:val="0021724C"/>
    <w:rsid w:val="00220004"/>
    <w:rsid w:val="002205A1"/>
    <w:rsid w:val="002206B8"/>
    <w:rsid w:val="00221623"/>
    <w:rsid w:val="00222036"/>
    <w:rsid w:val="002227C2"/>
    <w:rsid w:val="00222A53"/>
    <w:rsid w:val="00222A83"/>
    <w:rsid w:val="00222F43"/>
    <w:rsid w:val="00223815"/>
    <w:rsid w:val="0022517B"/>
    <w:rsid w:val="0022546E"/>
    <w:rsid w:val="00225635"/>
    <w:rsid w:val="0022572E"/>
    <w:rsid w:val="00225E79"/>
    <w:rsid w:val="00225FF3"/>
    <w:rsid w:val="0022635C"/>
    <w:rsid w:val="00226973"/>
    <w:rsid w:val="002269E6"/>
    <w:rsid w:val="00226E61"/>
    <w:rsid w:val="00226F19"/>
    <w:rsid w:val="002270EE"/>
    <w:rsid w:val="00227ACD"/>
    <w:rsid w:val="00231223"/>
    <w:rsid w:val="002314D4"/>
    <w:rsid w:val="00231FE4"/>
    <w:rsid w:val="00232909"/>
    <w:rsid w:val="00232FE4"/>
    <w:rsid w:val="00233AFB"/>
    <w:rsid w:val="00234B09"/>
    <w:rsid w:val="00234EB3"/>
    <w:rsid w:val="002350C0"/>
    <w:rsid w:val="00235CD6"/>
    <w:rsid w:val="0023613B"/>
    <w:rsid w:val="0023644A"/>
    <w:rsid w:val="00236470"/>
    <w:rsid w:val="0023775D"/>
    <w:rsid w:val="00237D90"/>
    <w:rsid w:val="0024017B"/>
    <w:rsid w:val="002402F2"/>
    <w:rsid w:val="00240A37"/>
    <w:rsid w:val="00241955"/>
    <w:rsid w:val="00242085"/>
    <w:rsid w:val="0024230A"/>
    <w:rsid w:val="002425F9"/>
    <w:rsid w:val="00242F20"/>
    <w:rsid w:val="002452A7"/>
    <w:rsid w:val="002461CE"/>
    <w:rsid w:val="00246B47"/>
    <w:rsid w:val="00246BC8"/>
    <w:rsid w:val="00250C18"/>
    <w:rsid w:val="002520A6"/>
    <w:rsid w:val="0025226F"/>
    <w:rsid w:val="00252990"/>
    <w:rsid w:val="00252A52"/>
    <w:rsid w:val="00253584"/>
    <w:rsid w:val="00254044"/>
    <w:rsid w:val="0025441C"/>
    <w:rsid w:val="00254CD4"/>
    <w:rsid w:val="002557EE"/>
    <w:rsid w:val="00255BE8"/>
    <w:rsid w:val="00255DF7"/>
    <w:rsid w:val="00256482"/>
    <w:rsid w:val="002564C0"/>
    <w:rsid w:val="00256C0E"/>
    <w:rsid w:val="00256D3C"/>
    <w:rsid w:val="00257381"/>
    <w:rsid w:val="002579F6"/>
    <w:rsid w:val="00257DC4"/>
    <w:rsid w:val="002613E1"/>
    <w:rsid w:val="002614F0"/>
    <w:rsid w:val="00261F2B"/>
    <w:rsid w:val="002626C1"/>
    <w:rsid w:val="00262BEC"/>
    <w:rsid w:val="00262C4F"/>
    <w:rsid w:val="002636C2"/>
    <w:rsid w:val="002638C8"/>
    <w:rsid w:val="00263928"/>
    <w:rsid w:val="00263C02"/>
    <w:rsid w:val="00263DD2"/>
    <w:rsid w:val="00264C3B"/>
    <w:rsid w:val="002654DA"/>
    <w:rsid w:val="00266C82"/>
    <w:rsid w:val="00266D03"/>
    <w:rsid w:val="0026750E"/>
    <w:rsid w:val="002706B1"/>
    <w:rsid w:val="00270904"/>
    <w:rsid w:val="00271710"/>
    <w:rsid w:val="00272228"/>
    <w:rsid w:val="002724C7"/>
    <w:rsid w:val="002732D2"/>
    <w:rsid w:val="002732ED"/>
    <w:rsid w:val="00273A0A"/>
    <w:rsid w:val="00273E1A"/>
    <w:rsid w:val="00274259"/>
    <w:rsid w:val="002745ED"/>
    <w:rsid w:val="00275083"/>
    <w:rsid w:val="00275716"/>
    <w:rsid w:val="00275D36"/>
    <w:rsid w:val="002777D5"/>
    <w:rsid w:val="00277830"/>
    <w:rsid w:val="00280683"/>
    <w:rsid w:val="002806D0"/>
    <w:rsid w:val="00280A05"/>
    <w:rsid w:val="00281052"/>
    <w:rsid w:val="00281A59"/>
    <w:rsid w:val="00282742"/>
    <w:rsid w:val="00282DF7"/>
    <w:rsid w:val="00282F47"/>
    <w:rsid w:val="00283F8D"/>
    <w:rsid w:val="0028442D"/>
    <w:rsid w:val="00284455"/>
    <w:rsid w:val="002844AF"/>
    <w:rsid w:val="002848CD"/>
    <w:rsid w:val="0028559C"/>
    <w:rsid w:val="002858BF"/>
    <w:rsid w:val="00285924"/>
    <w:rsid w:val="00285B4D"/>
    <w:rsid w:val="00285BCB"/>
    <w:rsid w:val="00286AF8"/>
    <w:rsid w:val="00286BCD"/>
    <w:rsid w:val="00286D64"/>
    <w:rsid w:val="00286FF6"/>
    <w:rsid w:val="002903B0"/>
    <w:rsid w:val="002907AC"/>
    <w:rsid w:val="00290D54"/>
    <w:rsid w:val="00291045"/>
    <w:rsid w:val="002916D9"/>
    <w:rsid w:val="00291DD0"/>
    <w:rsid w:val="00293B9C"/>
    <w:rsid w:val="00293DB8"/>
    <w:rsid w:val="00294042"/>
    <w:rsid w:val="00294E67"/>
    <w:rsid w:val="00294F09"/>
    <w:rsid w:val="002952E2"/>
    <w:rsid w:val="0029545A"/>
    <w:rsid w:val="002958D1"/>
    <w:rsid w:val="00296D3F"/>
    <w:rsid w:val="00297035"/>
    <w:rsid w:val="002A0156"/>
    <w:rsid w:val="002A064D"/>
    <w:rsid w:val="002A0A2B"/>
    <w:rsid w:val="002A0F90"/>
    <w:rsid w:val="002A1CBC"/>
    <w:rsid w:val="002A1CCA"/>
    <w:rsid w:val="002A1E42"/>
    <w:rsid w:val="002A35E9"/>
    <w:rsid w:val="002A361E"/>
    <w:rsid w:val="002A3B93"/>
    <w:rsid w:val="002A40B3"/>
    <w:rsid w:val="002A41BC"/>
    <w:rsid w:val="002A47C1"/>
    <w:rsid w:val="002A48B1"/>
    <w:rsid w:val="002A4C49"/>
    <w:rsid w:val="002A5585"/>
    <w:rsid w:val="002A660C"/>
    <w:rsid w:val="002A6660"/>
    <w:rsid w:val="002A691E"/>
    <w:rsid w:val="002A6B2B"/>
    <w:rsid w:val="002A6ECD"/>
    <w:rsid w:val="002A7040"/>
    <w:rsid w:val="002A7618"/>
    <w:rsid w:val="002A79CE"/>
    <w:rsid w:val="002A7CB7"/>
    <w:rsid w:val="002A7D35"/>
    <w:rsid w:val="002B0223"/>
    <w:rsid w:val="002B0531"/>
    <w:rsid w:val="002B0F2A"/>
    <w:rsid w:val="002B1509"/>
    <w:rsid w:val="002B1F17"/>
    <w:rsid w:val="002B2DB9"/>
    <w:rsid w:val="002B33A3"/>
    <w:rsid w:val="002B369B"/>
    <w:rsid w:val="002B393B"/>
    <w:rsid w:val="002B41FA"/>
    <w:rsid w:val="002B4D89"/>
    <w:rsid w:val="002B5B95"/>
    <w:rsid w:val="002B5DBF"/>
    <w:rsid w:val="002B5DF2"/>
    <w:rsid w:val="002B5E8A"/>
    <w:rsid w:val="002B64BB"/>
    <w:rsid w:val="002B64C5"/>
    <w:rsid w:val="002B6862"/>
    <w:rsid w:val="002B6971"/>
    <w:rsid w:val="002B6AA8"/>
    <w:rsid w:val="002B6CE3"/>
    <w:rsid w:val="002B6E77"/>
    <w:rsid w:val="002B6FCA"/>
    <w:rsid w:val="002B710E"/>
    <w:rsid w:val="002B75AD"/>
    <w:rsid w:val="002B7701"/>
    <w:rsid w:val="002C0028"/>
    <w:rsid w:val="002C0C51"/>
    <w:rsid w:val="002C1786"/>
    <w:rsid w:val="002C18BE"/>
    <w:rsid w:val="002C1DAF"/>
    <w:rsid w:val="002C22D1"/>
    <w:rsid w:val="002C25DD"/>
    <w:rsid w:val="002C38D4"/>
    <w:rsid w:val="002C4608"/>
    <w:rsid w:val="002C4D77"/>
    <w:rsid w:val="002C50EE"/>
    <w:rsid w:val="002C52FE"/>
    <w:rsid w:val="002C6175"/>
    <w:rsid w:val="002C69B2"/>
    <w:rsid w:val="002C6FED"/>
    <w:rsid w:val="002C7A11"/>
    <w:rsid w:val="002C7AAE"/>
    <w:rsid w:val="002C7C6F"/>
    <w:rsid w:val="002D00EA"/>
    <w:rsid w:val="002D0CD5"/>
    <w:rsid w:val="002D0E00"/>
    <w:rsid w:val="002D1C88"/>
    <w:rsid w:val="002D24D4"/>
    <w:rsid w:val="002D25EA"/>
    <w:rsid w:val="002D29BE"/>
    <w:rsid w:val="002D371B"/>
    <w:rsid w:val="002D43F5"/>
    <w:rsid w:val="002D4967"/>
    <w:rsid w:val="002D52A7"/>
    <w:rsid w:val="002D5521"/>
    <w:rsid w:val="002D5B60"/>
    <w:rsid w:val="002D626A"/>
    <w:rsid w:val="002D6861"/>
    <w:rsid w:val="002D7898"/>
    <w:rsid w:val="002D7ADD"/>
    <w:rsid w:val="002D7D3A"/>
    <w:rsid w:val="002D7EBD"/>
    <w:rsid w:val="002E0534"/>
    <w:rsid w:val="002E114E"/>
    <w:rsid w:val="002E13D9"/>
    <w:rsid w:val="002E1CE0"/>
    <w:rsid w:val="002E1D2C"/>
    <w:rsid w:val="002E1DEA"/>
    <w:rsid w:val="002E20AC"/>
    <w:rsid w:val="002E2B3B"/>
    <w:rsid w:val="002E3C3C"/>
    <w:rsid w:val="002E3F49"/>
    <w:rsid w:val="002E414A"/>
    <w:rsid w:val="002E4A01"/>
    <w:rsid w:val="002E5F6A"/>
    <w:rsid w:val="002E6CBB"/>
    <w:rsid w:val="002E6D08"/>
    <w:rsid w:val="002E7488"/>
    <w:rsid w:val="002E7E8E"/>
    <w:rsid w:val="002E7EBB"/>
    <w:rsid w:val="002F05C9"/>
    <w:rsid w:val="002F0F29"/>
    <w:rsid w:val="002F0FD7"/>
    <w:rsid w:val="002F191D"/>
    <w:rsid w:val="002F2586"/>
    <w:rsid w:val="002F28CA"/>
    <w:rsid w:val="002F29B5"/>
    <w:rsid w:val="002F2B5F"/>
    <w:rsid w:val="002F3910"/>
    <w:rsid w:val="002F504B"/>
    <w:rsid w:val="002F59CB"/>
    <w:rsid w:val="002F5B48"/>
    <w:rsid w:val="002F5FF8"/>
    <w:rsid w:val="002F6205"/>
    <w:rsid w:val="002F6250"/>
    <w:rsid w:val="003002F0"/>
    <w:rsid w:val="00300574"/>
    <w:rsid w:val="00300626"/>
    <w:rsid w:val="00301A15"/>
    <w:rsid w:val="00302160"/>
    <w:rsid w:val="00302735"/>
    <w:rsid w:val="00302B14"/>
    <w:rsid w:val="00303B2B"/>
    <w:rsid w:val="00303CF7"/>
    <w:rsid w:val="00303D8D"/>
    <w:rsid w:val="0030522B"/>
    <w:rsid w:val="003054FA"/>
    <w:rsid w:val="003058EE"/>
    <w:rsid w:val="00306153"/>
    <w:rsid w:val="003063DC"/>
    <w:rsid w:val="00306C43"/>
    <w:rsid w:val="00306E0B"/>
    <w:rsid w:val="003072C8"/>
    <w:rsid w:val="003078BF"/>
    <w:rsid w:val="00307C39"/>
    <w:rsid w:val="00307DAB"/>
    <w:rsid w:val="00307EDD"/>
    <w:rsid w:val="003107A2"/>
    <w:rsid w:val="00310993"/>
    <w:rsid w:val="00311734"/>
    <w:rsid w:val="00311CD6"/>
    <w:rsid w:val="00311EEB"/>
    <w:rsid w:val="003122E0"/>
    <w:rsid w:val="0031255C"/>
    <w:rsid w:val="0031306B"/>
    <w:rsid w:val="003135B3"/>
    <w:rsid w:val="003135C8"/>
    <w:rsid w:val="003141BE"/>
    <w:rsid w:val="00314735"/>
    <w:rsid w:val="00314868"/>
    <w:rsid w:val="003148F0"/>
    <w:rsid w:val="003156EC"/>
    <w:rsid w:val="0031573F"/>
    <w:rsid w:val="00315BB9"/>
    <w:rsid w:val="003162E6"/>
    <w:rsid w:val="00316A30"/>
    <w:rsid w:val="00317572"/>
    <w:rsid w:val="00320C93"/>
    <w:rsid w:val="0032138C"/>
    <w:rsid w:val="00322240"/>
    <w:rsid w:val="00323519"/>
    <w:rsid w:val="00323673"/>
    <w:rsid w:val="00323736"/>
    <w:rsid w:val="00323A56"/>
    <w:rsid w:val="00323C83"/>
    <w:rsid w:val="00324449"/>
    <w:rsid w:val="003246CA"/>
    <w:rsid w:val="00324E56"/>
    <w:rsid w:val="003250F0"/>
    <w:rsid w:val="0032611D"/>
    <w:rsid w:val="003264E6"/>
    <w:rsid w:val="00326673"/>
    <w:rsid w:val="00326707"/>
    <w:rsid w:val="00326B98"/>
    <w:rsid w:val="00326D35"/>
    <w:rsid w:val="00326E8B"/>
    <w:rsid w:val="00327975"/>
    <w:rsid w:val="00327A36"/>
    <w:rsid w:val="00327DE4"/>
    <w:rsid w:val="00330296"/>
    <w:rsid w:val="003302B5"/>
    <w:rsid w:val="0033046D"/>
    <w:rsid w:val="00330754"/>
    <w:rsid w:val="00330898"/>
    <w:rsid w:val="00332249"/>
    <w:rsid w:val="003323E2"/>
    <w:rsid w:val="00332D7D"/>
    <w:rsid w:val="00334231"/>
    <w:rsid w:val="0033432F"/>
    <w:rsid w:val="00336466"/>
    <w:rsid w:val="00336C47"/>
    <w:rsid w:val="00337921"/>
    <w:rsid w:val="003379D5"/>
    <w:rsid w:val="00337D56"/>
    <w:rsid w:val="00337DD4"/>
    <w:rsid w:val="00340238"/>
    <w:rsid w:val="00340459"/>
    <w:rsid w:val="00340550"/>
    <w:rsid w:val="00340C61"/>
    <w:rsid w:val="0034163B"/>
    <w:rsid w:val="003417FC"/>
    <w:rsid w:val="0034234F"/>
    <w:rsid w:val="003423A5"/>
    <w:rsid w:val="00342731"/>
    <w:rsid w:val="0034310E"/>
    <w:rsid w:val="00343405"/>
    <w:rsid w:val="00344772"/>
    <w:rsid w:val="00344855"/>
    <w:rsid w:val="0034565D"/>
    <w:rsid w:val="003459D9"/>
    <w:rsid w:val="00345B23"/>
    <w:rsid w:val="0034672E"/>
    <w:rsid w:val="003469D6"/>
    <w:rsid w:val="00347DD1"/>
    <w:rsid w:val="0035068C"/>
    <w:rsid w:val="003506CF"/>
    <w:rsid w:val="00350DA8"/>
    <w:rsid w:val="003510AB"/>
    <w:rsid w:val="00351396"/>
    <w:rsid w:val="00351F32"/>
    <w:rsid w:val="00352B65"/>
    <w:rsid w:val="003534DA"/>
    <w:rsid w:val="00353CD1"/>
    <w:rsid w:val="00353F95"/>
    <w:rsid w:val="00354202"/>
    <w:rsid w:val="003544D4"/>
    <w:rsid w:val="003549C5"/>
    <w:rsid w:val="00355C00"/>
    <w:rsid w:val="003574E8"/>
    <w:rsid w:val="00357985"/>
    <w:rsid w:val="00360BC1"/>
    <w:rsid w:val="00361AA6"/>
    <w:rsid w:val="00361E7F"/>
    <w:rsid w:val="00362212"/>
    <w:rsid w:val="00362626"/>
    <w:rsid w:val="0036337C"/>
    <w:rsid w:val="0036351A"/>
    <w:rsid w:val="00363BA5"/>
    <w:rsid w:val="00365053"/>
    <w:rsid w:val="00365C87"/>
    <w:rsid w:val="00366DC1"/>
    <w:rsid w:val="00367C65"/>
    <w:rsid w:val="003707DB"/>
    <w:rsid w:val="00372CFE"/>
    <w:rsid w:val="00373466"/>
    <w:rsid w:val="00373B35"/>
    <w:rsid w:val="003741A6"/>
    <w:rsid w:val="003745B4"/>
    <w:rsid w:val="003747F4"/>
    <w:rsid w:val="00374A43"/>
    <w:rsid w:val="00374AEB"/>
    <w:rsid w:val="00374C31"/>
    <w:rsid w:val="00375224"/>
    <w:rsid w:val="003753DC"/>
    <w:rsid w:val="003757A4"/>
    <w:rsid w:val="003772D2"/>
    <w:rsid w:val="00380DFD"/>
    <w:rsid w:val="003811EC"/>
    <w:rsid w:val="00381220"/>
    <w:rsid w:val="0038132D"/>
    <w:rsid w:val="00381E50"/>
    <w:rsid w:val="003826AA"/>
    <w:rsid w:val="0038340D"/>
    <w:rsid w:val="00383435"/>
    <w:rsid w:val="003836F8"/>
    <w:rsid w:val="00383EFC"/>
    <w:rsid w:val="00384323"/>
    <w:rsid w:val="003843FC"/>
    <w:rsid w:val="00384E4E"/>
    <w:rsid w:val="003851CD"/>
    <w:rsid w:val="003852B8"/>
    <w:rsid w:val="00385617"/>
    <w:rsid w:val="00385D50"/>
    <w:rsid w:val="0038695D"/>
    <w:rsid w:val="00390222"/>
    <w:rsid w:val="0039059E"/>
    <w:rsid w:val="00390ABA"/>
    <w:rsid w:val="00390B51"/>
    <w:rsid w:val="00390DEF"/>
    <w:rsid w:val="00390DFD"/>
    <w:rsid w:val="00393948"/>
    <w:rsid w:val="00393AA5"/>
    <w:rsid w:val="003946A0"/>
    <w:rsid w:val="00395149"/>
    <w:rsid w:val="00395670"/>
    <w:rsid w:val="003958DA"/>
    <w:rsid w:val="00395D2F"/>
    <w:rsid w:val="00395E6B"/>
    <w:rsid w:val="00395F25"/>
    <w:rsid w:val="0039610B"/>
    <w:rsid w:val="0039689D"/>
    <w:rsid w:val="003970EF"/>
    <w:rsid w:val="0039730F"/>
    <w:rsid w:val="00397944"/>
    <w:rsid w:val="00397B2A"/>
    <w:rsid w:val="00397B66"/>
    <w:rsid w:val="00397C22"/>
    <w:rsid w:val="003A01E0"/>
    <w:rsid w:val="003A0678"/>
    <w:rsid w:val="003A18B3"/>
    <w:rsid w:val="003A22E5"/>
    <w:rsid w:val="003A27A2"/>
    <w:rsid w:val="003A3F7E"/>
    <w:rsid w:val="003A42F7"/>
    <w:rsid w:val="003A490F"/>
    <w:rsid w:val="003A4D52"/>
    <w:rsid w:val="003A4E91"/>
    <w:rsid w:val="003A588A"/>
    <w:rsid w:val="003A5A3B"/>
    <w:rsid w:val="003A5B97"/>
    <w:rsid w:val="003A5E9A"/>
    <w:rsid w:val="003A654B"/>
    <w:rsid w:val="003A65A9"/>
    <w:rsid w:val="003A726B"/>
    <w:rsid w:val="003A7E60"/>
    <w:rsid w:val="003B03B5"/>
    <w:rsid w:val="003B2A0A"/>
    <w:rsid w:val="003B40A4"/>
    <w:rsid w:val="003B4284"/>
    <w:rsid w:val="003B5593"/>
    <w:rsid w:val="003B590B"/>
    <w:rsid w:val="003B5A3A"/>
    <w:rsid w:val="003B5B47"/>
    <w:rsid w:val="003B5BD3"/>
    <w:rsid w:val="003B5CF6"/>
    <w:rsid w:val="003B622A"/>
    <w:rsid w:val="003B6351"/>
    <w:rsid w:val="003B64FC"/>
    <w:rsid w:val="003B6F90"/>
    <w:rsid w:val="003B7549"/>
    <w:rsid w:val="003C01AC"/>
    <w:rsid w:val="003C038A"/>
    <w:rsid w:val="003C0FDC"/>
    <w:rsid w:val="003C1119"/>
    <w:rsid w:val="003C1208"/>
    <w:rsid w:val="003C18C2"/>
    <w:rsid w:val="003C2009"/>
    <w:rsid w:val="003C22F5"/>
    <w:rsid w:val="003C26B3"/>
    <w:rsid w:val="003C3171"/>
    <w:rsid w:val="003C4557"/>
    <w:rsid w:val="003C53E4"/>
    <w:rsid w:val="003C5529"/>
    <w:rsid w:val="003C587A"/>
    <w:rsid w:val="003C598E"/>
    <w:rsid w:val="003C5A08"/>
    <w:rsid w:val="003C5C41"/>
    <w:rsid w:val="003C60D2"/>
    <w:rsid w:val="003C60F9"/>
    <w:rsid w:val="003C6760"/>
    <w:rsid w:val="003C69E8"/>
    <w:rsid w:val="003C709C"/>
    <w:rsid w:val="003C70C2"/>
    <w:rsid w:val="003C719E"/>
    <w:rsid w:val="003C739B"/>
    <w:rsid w:val="003C78C5"/>
    <w:rsid w:val="003D03CD"/>
    <w:rsid w:val="003D107A"/>
    <w:rsid w:val="003D2A1D"/>
    <w:rsid w:val="003D335F"/>
    <w:rsid w:val="003D3B56"/>
    <w:rsid w:val="003D53B9"/>
    <w:rsid w:val="003D6022"/>
    <w:rsid w:val="003D6A94"/>
    <w:rsid w:val="003D6FC3"/>
    <w:rsid w:val="003D71ED"/>
    <w:rsid w:val="003D7450"/>
    <w:rsid w:val="003D7755"/>
    <w:rsid w:val="003D7C2D"/>
    <w:rsid w:val="003D7FE8"/>
    <w:rsid w:val="003E0341"/>
    <w:rsid w:val="003E0523"/>
    <w:rsid w:val="003E18A7"/>
    <w:rsid w:val="003E191A"/>
    <w:rsid w:val="003E1A0A"/>
    <w:rsid w:val="003E20B8"/>
    <w:rsid w:val="003E3253"/>
    <w:rsid w:val="003E37B3"/>
    <w:rsid w:val="003E3D7B"/>
    <w:rsid w:val="003E3FB8"/>
    <w:rsid w:val="003E45F6"/>
    <w:rsid w:val="003E47B3"/>
    <w:rsid w:val="003E4842"/>
    <w:rsid w:val="003E4D7E"/>
    <w:rsid w:val="003E4F4E"/>
    <w:rsid w:val="003E5BAA"/>
    <w:rsid w:val="003E5CB3"/>
    <w:rsid w:val="003E5DB8"/>
    <w:rsid w:val="003E5EEE"/>
    <w:rsid w:val="003E619D"/>
    <w:rsid w:val="003E63DB"/>
    <w:rsid w:val="003E668B"/>
    <w:rsid w:val="003E6B31"/>
    <w:rsid w:val="003E6DAB"/>
    <w:rsid w:val="003E724B"/>
    <w:rsid w:val="003E73CE"/>
    <w:rsid w:val="003E7634"/>
    <w:rsid w:val="003E7990"/>
    <w:rsid w:val="003F00A1"/>
    <w:rsid w:val="003F078D"/>
    <w:rsid w:val="003F0D8C"/>
    <w:rsid w:val="003F11E2"/>
    <w:rsid w:val="003F14EE"/>
    <w:rsid w:val="003F30AC"/>
    <w:rsid w:val="003F389F"/>
    <w:rsid w:val="003F4348"/>
    <w:rsid w:val="003F44D1"/>
    <w:rsid w:val="003F4D5C"/>
    <w:rsid w:val="003F4D8E"/>
    <w:rsid w:val="004002ED"/>
    <w:rsid w:val="00400776"/>
    <w:rsid w:val="00400E1F"/>
    <w:rsid w:val="00401411"/>
    <w:rsid w:val="00401789"/>
    <w:rsid w:val="00401B38"/>
    <w:rsid w:val="0040211B"/>
    <w:rsid w:val="00402674"/>
    <w:rsid w:val="00403134"/>
    <w:rsid w:val="00403D21"/>
    <w:rsid w:val="00403DEE"/>
    <w:rsid w:val="004048D5"/>
    <w:rsid w:val="00404A7A"/>
    <w:rsid w:val="00404CFA"/>
    <w:rsid w:val="0040699F"/>
    <w:rsid w:val="00406DB5"/>
    <w:rsid w:val="00407032"/>
    <w:rsid w:val="00407189"/>
    <w:rsid w:val="00407464"/>
    <w:rsid w:val="00407E04"/>
    <w:rsid w:val="00410B4C"/>
    <w:rsid w:val="004113C1"/>
    <w:rsid w:val="004114E0"/>
    <w:rsid w:val="00413405"/>
    <w:rsid w:val="00413D88"/>
    <w:rsid w:val="004140AD"/>
    <w:rsid w:val="004144A9"/>
    <w:rsid w:val="00414D4D"/>
    <w:rsid w:val="00415327"/>
    <w:rsid w:val="004153DF"/>
    <w:rsid w:val="00415460"/>
    <w:rsid w:val="004155DB"/>
    <w:rsid w:val="0041643F"/>
    <w:rsid w:val="00416710"/>
    <w:rsid w:val="00416768"/>
    <w:rsid w:val="00416A80"/>
    <w:rsid w:val="00416BF9"/>
    <w:rsid w:val="00416CB6"/>
    <w:rsid w:val="0041723A"/>
    <w:rsid w:val="00417880"/>
    <w:rsid w:val="00417ADA"/>
    <w:rsid w:val="00417F97"/>
    <w:rsid w:val="00417FE2"/>
    <w:rsid w:val="00420861"/>
    <w:rsid w:val="00420A1E"/>
    <w:rsid w:val="00420C85"/>
    <w:rsid w:val="00421509"/>
    <w:rsid w:val="00421918"/>
    <w:rsid w:val="004219D1"/>
    <w:rsid w:val="00421D0A"/>
    <w:rsid w:val="00422374"/>
    <w:rsid w:val="004227B4"/>
    <w:rsid w:val="00422E50"/>
    <w:rsid w:val="00422E57"/>
    <w:rsid w:val="00423510"/>
    <w:rsid w:val="00423AD1"/>
    <w:rsid w:val="00424D68"/>
    <w:rsid w:val="00424DE3"/>
    <w:rsid w:val="00425F68"/>
    <w:rsid w:val="00425F75"/>
    <w:rsid w:val="004266DD"/>
    <w:rsid w:val="0042700D"/>
    <w:rsid w:val="004272CA"/>
    <w:rsid w:val="004275FC"/>
    <w:rsid w:val="00427A59"/>
    <w:rsid w:val="00427DCE"/>
    <w:rsid w:val="0043011A"/>
    <w:rsid w:val="004302A0"/>
    <w:rsid w:val="004325E3"/>
    <w:rsid w:val="00432D64"/>
    <w:rsid w:val="00433C29"/>
    <w:rsid w:val="004358AC"/>
    <w:rsid w:val="00437031"/>
    <w:rsid w:val="0043752F"/>
    <w:rsid w:val="00437661"/>
    <w:rsid w:val="004410AF"/>
    <w:rsid w:val="00441A1B"/>
    <w:rsid w:val="00441CBB"/>
    <w:rsid w:val="004423AE"/>
    <w:rsid w:val="00442B5D"/>
    <w:rsid w:val="0044333E"/>
    <w:rsid w:val="004436C4"/>
    <w:rsid w:val="004444CF"/>
    <w:rsid w:val="00444A6F"/>
    <w:rsid w:val="00444C2E"/>
    <w:rsid w:val="00444CAC"/>
    <w:rsid w:val="00445F6B"/>
    <w:rsid w:val="00446C26"/>
    <w:rsid w:val="00446E00"/>
    <w:rsid w:val="00446E89"/>
    <w:rsid w:val="00447C5D"/>
    <w:rsid w:val="00450788"/>
    <w:rsid w:val="00450A9A"/>
    <w:rsid w:val="00450D86"/>
    <w:rsid w:val="00450FDE"/>
    <w:rsid w:val="00451367"/>
    <w:rsid w:val="004519D6"/>
    <w:rsid w:val="00452806"/>
    <w:rsid w:val="00452918"/>
    <w:rsid w:val="00452B00"/>
    <w:rsid w:val="004533FE"/>
    <w:rsid w:val="004535F2"/>
    <w:rsid w:val="0045394B"/>
    <w:rsid w:val="00455174"/>
    <w:rsid w:val="00455346"/>
    <w:rsid w:val="00455BBE"/>
    <w:rsid w:val="00457388"/>
    <w:rsid w:val="00457857"/>
    <w:rsid w:val="00457E58"/>
    <w:rsid w:val="004603BD"/>
    <w:rsid w:val="004615C3"/>
    <w:rsid w:val="00461913"/>
    <w:rsid w:val="00461D9A"/>
    <w:rsid w:val="004622C7"/>
    <w:rsid w:val="0046302C"/>
    <w:rsid w:val="0046327E"/>
    <w:rsid w:val="00463324"/>
    <w:rsid w:val="00463F08"/>
    <w:rsid w:val="00464144"/>
    <w:rsid w:val="004646B5"/>
    <w:rsid w:val="004646BB"/>
    <w:rsid w:val="00464891"/>
    <w:rsid w:val="004649BF"/>
    <w:rsid w:val="004649CF"/>
    <w:rsid w:val="00464FAD"/>
    <w:rsid w:val="004656A2"/>
    <w:rsid w:val="00465783"/>
    <w:rsid w:val="00465790"/>
    <w:rsid w:val="00465D68"/>
    <w:rsid w:val="00466160"/>
    <w:rsid w:val="004667AA"/>
    <w:rsid w:val="00466D17"/>
    <w:rsid w:val="0046746E"/>
    <w:rsid w:val="00467D7A"/>
    <w:rsid w:val="0047179A"/>
    <w:rsid w:val="00471D2E"/>
    <w:rsid w:val="00472EE8"/>
    <w:rsid w:val="0047349C"/>
    <w:rsid w:val="00473BEC"/>
    <w:rsid w:val="00474608"/>
    <w:rsid w:val="004747FD"/>
    <w:rsid w:val="004755A0"/>
    <w:rsid w:val="00475650"/>
    <w:rsid w:val="00476127"/>
    <w:rsid w:val="0047767D"/>
    <w:rsid w:val="0047794C"/>
    <w:rsid w:val="004801D7"/>
    <w:rsid w:val="00480A02"/>
    <w:rsid w:val="00480F69"/>
    <w:rsid w:val="00482521"/>
    <w:rsid w:val="00482C80"/>
    <w:rsid w:val="004830A8"/>
    <w:rsid w:val="0048344F"/>
    <w:rsid w:val="00484017"/>
    <w:rsid w:val="004845C0"/>
    <w:rsid w:val="00484855"/>
    <w:rsid w:val="004853F3"/>
    <w:rsid w:val="004854E8"/>
    <w:rsid w:val="0048711D"/>
    <w:rsid w:val="00487889"/>
    <w:rsid w:val="00487C3E"/>
    <w:rsid w:val="004900D3"/>
    <w:rsid w:val="004903B5"/>
    <w:rsid w:val="00490E7C"/>
    <w:rsid w:val="00490EAB"/>
    <w:rsid w:val="00491F9C"/>
    <w:rsid w:val="00492641"/>
    <w:rsid w:val="00493932"/>
    <w:rsid w:val="00493AE3"/>
    <w:rsid w:val="00493C4C"/>
    <w:rsid w:val="00493F2F"/>
    <w:rsid w:val="004949F6"/>
    <w:rsid w:val="00494AB7"/>
    <w:rsid w:val="00494DAE"/>
    <w:rsid w:val="00494EE2"/>
    <w:rsid w:val="004951E8"/>
    <w:rsid w:val="004960D3"/>
    <w:rsid w:val="00496604"/>
    <w:rsid w:val="0049687F"/>
    <w:rsid w:val="004968CA"/>
    <w:rsid w:val="00496D57"/>
    <w:rsid w:val="004970E8"/>
    <w:rsid w:val="004A038A"/>
    <w:rsid w:val="004A04A7"/>
    <w:rsid w:val="004A04E4"/>
    <w:rsid w:val="004A0E91"/>
    <w:rsid w:val="004A1AFD"/>
    <w:rsid w:val="004A2E66"/>
    <w:rsid w:val="004A307D"/>
    <w:rsid w:val="004A310B"/>
    <w:rsid w:val="004A3390"/>
    <w:rsid w:val="004A3F7F"/>
    <w:rsid w:val="004A40A7"/>
    <w:rsid w:val="004A4A1D"/>
    <w:rsid w:val="004A58DC"/>
    <w:rsid w:val="004A76B0"/>
    <w:rsid w:val="004A7F6A"/>
    <w:rsid w:val="004B112F"/>
    <w:rsid w:val="004B1BDD"/>
    <w:rsid w:val="004B1CB6"/>
    <w:rsid w:val="004B21F1"/>
    <w:rsid w:val="004B2879"/>
    <w:rsid w:val="004B307E"/>
    <w:rsid w:val="004B437C"/>
    <w:rsid w:val="004B4613"/>
    <w:rsid w:val="004B468C"/>
    <w:rsid w:val="004B4C4F"/>
    <w:rsid w:val="004B50A1"/>
    <w:rsid w:val="004B5A51"/>
    <w:rsid w:val="004B6716"/>
    <w:rsid w:val="004B6B19"/>
    <w:rsid w:val="004B7969"/>
    <w:rsid w:val="004B7A74"/>
    <w:rsid w:val="004C08D1"/>
    <w:rsid w:val="004C0AE5"/>
    <w:rsid w:val="004C0DB1"/>
    <w:rsid w:val="004C1184"/>
    <w:rsid w:val="004C1DEE"/>
    <w:rsid w:val="004C22FD"/>
    <w:rsid w:val="004C2734"/>
    <w:rsid w:val="004C3219"/>
    <w:rsid w:val="004C335C"/>
    <w:rsid w:val="004C4AF7"/>
    <w:rsid w:val="004C5B08"/>
    <w:rsid w:val="004C5DC5"/>
    <w:rsid w:val="004C6094"/>
    <w:rsid w:val="004C6286"/>
    <w:rsid w:val="004C6616"/>
    <w:rsid w:val="004C695A"/>
    <w:rsid w:val="004C699F"/>
    <w:rsid w:val="004C72B8"/>
    <w:rsid w:val="004C72EF"/>
    <w:rsid w:val="004C770C"/>
    <w:rsid w:val="004D075A"/>
    <w:rsid w:val="004D0931"/>
    <w:rsid w:val="004D1005"/>
    <w:rsid w:val="004D14FF"/>
    <w:rsid w:val="004D18BA"/>
    <w:rsid w:val="004D1B9B"/>
    <w:rsid w:val="004D1F32"/>
    <w:rsid w:val="004D2487"/>
    <w:rsid w:val="004D24C4"/>
    <w:rsid w:val="004D2B0D"/>
    <w:rsid w:val="004D2DE6"/>
    <w:rsid w:val="004D34BA"/>
    <w:rsid w:val="004D362E"/>
    <w:rsid w:val="004D3732"/>
    <w:rsid w:val="004D383A"/>
    <w:rsid w:val="004D3DBE"/>
    <w:rsid w:val="004D4F7F"/>
    <w:rsid w:val="004D5F1A"/>
    <w:rsid w:val="004D642B"/>
    <w:rsid w:val="004D648A"/>
    <w:rsid w:val="004D64ED"/>
    <w:rsid w:val="004D6AA8"/>
    <w:rsid w:val="004D6D3C"/>
    <w:rsid w:val="004E04FD"/>
    <w:rsid w:val="004E0761"/>
    <w:rsid w:val="004E106F"/>
    <w:rsid w:val="004E1310"/>
    <w:rsid w:val="004E1511"/>
    <w:rsid w:val="004E25BA"/>
    <w:rsid w:val="004E2925"/>
    <w:rsid w:val="004E2AEC"/>
    <w:rsid w:val="004E2B5B"/>
    <w:rsid w:val="004E317A"/>
    <w:rsid w:val="004E31E7"/>
    <w:rsid w:val="004E37CD"/>
    <w:rsid w:val="004E386B"/>
    <w:rsid w:val="004E4396"/>
    <w:rsid w:val="004E4944"/>
    <w:rsid w:val="004E4A60"/>
    <w:rsid w:val="004E4CC5"/>
    <w:rsid w:val="004E522E"/>
    <w:rsid w:val="004E5914"/>
    <w:rsid w:val="004E5968"/>
    <w:rsid w:val="004E6926"/>
    <w:rsid w:val="004E6962"/>
    <w:rsid w:val="004E6E3F"/>
    <w:rsid w:val="004E734F"/>
    <w:rsid w:val="004E76F2"/>
    <w:rsid w:val="004F0DF2"/>
    <w:rsid w:val="004F12E6"/>
    <w:rsid w:val="004F1CED"/>
    <w:rsid w:val="004F1D32"/>
    <w:rsid w:val="004F29C0"/>
    <w:rsid w:val="004F2E57"/>
    <w:rsid w:val="004F37BE"/>
    <w:rsid w:val="004F38B1"/>
    <w:rsid w:val="004F3CA2"/>
    <w:rsid w:val="004F3ED5"/>
    <w:rsid w:val="004F4045"/>
    <w:rsid w:val="004F4DD2"/>
    <w:rsid w:val="004F4E33"/>
    <w:rsid w:val="004F4F41"/>
    <w:rsid w:val="004F4FF6"/>
    <w:rsid w:val="004F5127"/>
    <w:rsid w:val="004F5900"/>
    <w:rsid w:val="004F59DB"/>
    <w:rsid w:val="004F6751"/>
    <w:rsid w:val="004F6F80"/>
    <w:rsid w:val="004F7563"/>
    <w:rsid w:val="005006AD"/>
    <w:rsid w:val="00500DA5"/>
    <w:rsid w:val="00500E34"/>
    <w:rsid w:val="0050124E"/>
    <w:rsid w:val="00501700"/>
    <w:rsid w:val="005025D4"/>
    <w:rsid w:val="00502C4A"/>
    <w:rsid w:val="00502C69"/>
    <w:rsid w:val="005033D5"/>
    <w:rsid w:val="00503C8A"/>
    <w:rsid w:val="005045C6"/>
    <w:rsid w:val="00504C52"/>
    <w:rsid w:val="00505997"/>
    <w:rsid w:val="00505BA9"/>
    <w:rsid w:val="00505C89"/>
    <w:rsid w:val="00505CD3"/>
    <w:rsid w:val="005063AE"/>
    <w:rsid w:val="00506D14"/>
    <w:rsid w:val="00506D5E"/>
    <w:rsid w:val="005070C9"/>
    <w:rsid w:val="0050726F"/>
    <w:rsid w:val="005074BF"/>
    <w:rsid w:val="005075B8"/>
    <w:rsid w:val="00507657"/>
    <w:rsid w:val="00507DC0"/>
    <w:rsid w:val="00510971"/>
    <w:rsid w:val="00511DE2"/>
    <w:rsid w:val="0051218A"/>
    <w:rsid w:val="00512484"/>
    <w:rsid w:val="00512549"/>
    <w:rsid w:val="005128E0"/>
    <w:rsid w:val="005129B2"/>
    <w:rsid w:val="00512A7B"/>
    <w:rsid w:val="005134BC"/>
    <w:rsid w:val="005138E2"/>
    <w:rsid w:val="00513AAC"/>
    <w:rsid w:val="00514797"/>
    <w:rsid w:val="0051511F"/>
    <w:rsid w:val="00515793"/>
    <w:rsid w:val="00515984"/>
    <w:rsid w:val="005169C7"/>
    <w:rsid w:val="00516CD0"/>
    <w:rsid w:val="0051746C"/>
    <w:rsid w:val="00517573"/>
    <w:rsid w:val="00517652"/>
    <w:rsid w:val="005176D1"/>
    <w:rsid w:val="005179A6"/>
    <w:rsid w:val="00517AF8"/>
    <w:rsid w:val="00517F64"/>
    <w:rsid w:val="00520AAE"/>
    <w:rsid w:val="00520AF1"/>
    <w:rsid w:val="00521C8E"/>
    <w:rsid w:val="00521EBF"/>
    <w:rsid w:val="0052210C"/>
    <w:rsid w:val="005225BE"/>
    <w:rsid w:val="0052380C"/>
    <w:rsid w:val="00523DDD"/>
    <w:rsid w:val="00524A31"/>
    <w:rsid w:val="00524D06"/>
    <w:rsid w:val="00524EB9"/>
    <w:rsid w:val="005258BC"/>
    <w:rsid w:val="00525DC4"/>
    <w:rsid w:val="005267BE"/>
    <w:rsid w:val="00526AB4"/>
    <w:rsid w:val="00526B8B"/>
    <w:rsid w:val="0052759C"/>
    <w:rsid w:val="00530CA0"/>
    <w:rsid w:val="00530F0F"/>
    <w:rsid w:val="00531540"/>
    <w:rsid w:val="00531C2F"/>
    <w:rsid w:val="005320CD"/>
    <w:rsid w:val="00532534"/>
    <w:rsid w:val="00532BB8"/>
    <w:rsid w:val="00533360"/>
    <w:rsid w:val="00534480"/>
    <w:rsid w:val="00534797"/>
    <w:rsid w:val="00535968"/>
    <w:rsid w:val="005363FC"/>
    <w:rsid w:val="005366BC"/>
    <w:rsid w:val="005369C1"/>
    <w:rsid w:val="00536D53"/>
    <w:rsid w:val="00536DA6"/>
    <w:rsid w:val="005372E6"/>
    <w:rsid w:val="00537CB3"/>
    <w:rsid w:val="005407D2"/>
    <w:rsid w:val="0054148E"/>
    <w:rsid w:val="00541D7E"/>
    <w:rsid w:val="00541FB9"/>
    <w:rsid w:val="0054205D"/>
    <w:rsid w:val="005424F6"/>
    <w:rsid w:val="00542F23"/>
    <w:rsid w:val="00543E23"/>
    <w:rsid w:val="00544259"/>
    <w:rsid w:val="00544C9A"/>
    <w:rsid w:val="00544EBF"/>
    <w:rsid w:val="00545063"/>
    <w:rsid w:val="005453AC"/>
    <w:rsid w:val="005458D1"/>
    <w:rsid w:val="005459FD"/>
    <w:rsid w:val="00545CC4"/>
    <w:rsid w:val="00546377"/>
    <w:rsid w:val="00546981"/>
    <w:rsid w:val="00546F94"/>
    <w:rsid w:val="0054721D"/>
    <w:rsid w:val="0054751A"/>
    <w:rsid w:val="0054751B"/>
    <w:rsid w:val="00547BED"/>
    <w:rsid w:val="00550341"/>
    <w:rsid w:val="0055055D"/>
    <w:rsid w:val="005505FD"/>
    <w:rsid w:val="00550930"/>
    <w:rsid w:val="00551142"/>
    <w:rsid w:val="00551582"/>
    <w:rsid w:val="00551B64"/>
    <w:rsid w:val="0055276A"/>
    <w:rsid w:val="0055358C"/>
    <w:rsid w:val="00553D56"/>
    <w:rsid w:val="00553F4D"/>
    <w:rsid w:val="00554679"/>
    <w:rsid w:val="005546E9"/>
    <w:rsid w:val="00554AEC"/>
    <w:rsid w:val="00555513"/>
    <w:rsid w:val="00555615"/>
    <w:rsid w:val="00555900"/>
    <w:rsid w:val="00555E53"/>
    <w:rsid w:val="0055611C"/>
    <w:rsid w:val="0055613F"/>
    <w:rsid w:val="0055674A"/>
    <w:rsid w:val="005604EE"/>
    <w:rsid w:val="00561ABA"/>
    <w:rsid w:val="00561EDA"/>
    <w:rsid w:val="00562583"/>
    <w:rsid w:val="0056273B"/>
    <w:rsid w:val="00562D74"/>
    <w:rsid w:val="00562E42"/>
    <w:rsid w:val="005634A4"/>
    <w:rsid w:val="0056380E"/>
    <w:rsid w:val="005643B3"/>
    <w:rsid w:val="0056470B"/>
    <w:rsid w:val="00564B05"/>
    <w:rsid w:val="00564FA2"/>
    <w:rsid w:val="00565782"/>
    <w:rsid w:val="00565E37"/>
    <w:rsid w:val="00566387"/>
    <w:rsid w:val="0056663A"/>
    <w:rsid w:val="00566FE3"/>
    <w:rsid w:val="00567118"/>
    <w:rsid w:val="0056720E"/>
    <w:rsid w:val="00567B1E"/>
    <w:rsid w:val="00572151"/>
    <w:rsid w:val="00572558"/>
    <w:rsid w:val="00572685"/>
    <w:rsid w:val="00573024"/>
    <w:rsid w:val="0057311E"/>
    <w:rsid w:val="0057339C"/>
    <w:rsid w:val="0057347C"/>
    <w:rsid w:val="005736A1"/>
    <w:rsid w:val="00573E8C"/>
    <w:rsid w:val="00574389"/>
    <w:rsid w:val="00574ED6"/>
    <w:rsid w:val="00575257"/>
    <w:rsid w:val="0057586B"/>
    <w:rsid w:val="00575BD2"/>
    <w:rsid w:val="0057686B"/>
    <w:rsid w:val="00576CC8"/>
    <w:rsid w:val="00576E70"/>
    <w:rsid w:val="0057706E"/>
    <w:rsid w:val="00577A7B"/>
    <w:rsid w:val="00580803"/>
    <w:rsid w:val="00580836"/>
    <w:rsid w:val="00580EE3"/>
    <w:rsid w:val="005819CA"/>
    <w:rsid w:val="00581D70"/>
    <w:rsid w:val="00582FB4"/>
    <w:rsid w:val="0058388B"/>
    <w:rsid w:val="005839CD"/>
    <w:rsid w:val="00583B50"/>
    <w:rsid w:val="0058477E"/>
    <w:rsid w:val="00584D6D"/>
    <w:rsid w:val="00585550"/>
    <w:rsid w:val="005857A9"/>
    <w:rsid w:val="00585BFA"/>
    <w:rsid w:val="005876F3"/>
    <w:rsid w:val="005900CC"/>
    <w:rsid w:val="00590EA3"/>
    <w:rsid w:val="00591784"/>
    <w:rsid w:val="00592B0B"/>
    <w:rsid w:val="00592C7D"/>
    <w:rsid w:val="005933FD"/>
    <w:rsid w:val="005937D2"/>
    <w:rsid w:val="005938D8"/>
    <w:rsid w:val="00593BA5"/>
    <w:rsid w:val="00593BD8"/>
    <w:rsid w:val="00594361"/>
    <w:rsid w:val="005947E1"/>
    <w:rsid w:val="00594BB9"/>
    <w:rsid w:val="0059501C"/>
    <w:rsid w:val="00595021"/>
    <w:rsid w:val="00595CA6"/>
    <w:rsid w:val="00595DFB"/>
    <w:rsid w:val="005966B4"/>
    <w:rsid w:val="00596B06"/>
    <w:rsid w:val="00597249"/>
    <w:rsid w:val="00597D3E"/>
    <w:rsid w:val="00597E44"/>
    <w:rsid w:val="005A00C1"/>
    <w:rsid w:val="005A017A"/>
    <w:rsid w:val="005A0710"/>
    <w:rsid w:val="005A1510"/>
    <w:rsid w:val="005A1794"/>
    <w:rsid w:val="005A1F2B"/>
    <w:rsid w:val="005A2008"/>
    <w:rsid w:val="005A2C1C"/>
    <w:rsid w:val="005A33E7"/>
    <w:rsid w:val="005A3AA5"/>
    <w:rsid w:val="005A3F0C"/>
    <w:rsid w:val="005A4191"/>
    <w:rsid w:val="005A4D5F"/>
    <w:rsid w:val="005A69E7"/>
    <w:rsid w:val="005A7AF4"/>
    <w:rsid w:val="005B01C0"/>
    <w:rsid w:val="005B0204"/>
    <w:rsid w:val="005B135F"/>
    <w:rsid w:val="005B1C0D"/>
    <w:rsid w:val="005B2507"/>
    <w:rsid w:val="005B2910"/>
    <w:rsid w:val="005B2F21"/>
    <w:rsid w:val="005B350D"/>
    <w:rsid w:val="005B4097"/>
    <w:rsid w:val="005B4380"/>
    <w:rsid w:val="005B5638"/>
    <w:rsid w:val="005B5C47"/>
    <w:rsid w:val="005B6302"/>
    <w:rsid w:val="005B7271"/>
    <w:rsid w:val="005B76DC"/>
    <w:rsid w:val="005B7CE4"/>
    <w:rsid w:val="005B7EA7"/>
    <w:rsid w:val="005C212F"/>
    <w:rsid w:val="005C27AE"/>
    <w:rsid w:val="005C284C"/>
    <w:rsid w:val="005C35D7"/>
    <w:rsid w:val="005C37EF"/>
    <w:rsid w:val="005C4688"/>
    <w:rsid w:val="005C4788"/>
    <w:rsid w:val="005C4A7B"/>
    <w:rsid w:val="005C4ABC"/>
    <w:rsid w:val="005C4D24"/>
    <w:rsid w:val="005C51E6"/>
    <w:rsid w:val="005C6031"/>
    <w:rsid w:val="005C63DD"/>
    <w:rsid w:val="005C694F"/>
    <w:rsid w:val="005C7128"/>
    <w:rsid w:val="005C7E98"/>
    <w:rsid w:val="005C7FCB"/>
    <w:rsid w:val="005D04C4"/>
    <w:rsid w:val="005D256D"/>
    <w:rsid w:val="005D29A5"/>
    <w:rsid w:val="005D34E5"/>
    <w:rsid w:val="005D3B99"/>
    <w:rsid w:val="005D42E3"/>
    <w:rsid w:val="005D4D31"/>
    <w:rsid w:val="005D5B8D"/>
    <w:rsid w:val="005D65A9"/>
    <w:rsid w:val="005D6667"/>
    <w:rsid w:val="005D668F"/>
    <w:rsid w:val="005D6C5B"/>
    <w:rsid w:val="005D7BBB"/>
    <w:rsid w:val="005E03AA"/>
    <w:rsid w:val="005E107D"/>
    <w:rsid w:val="005E1D01"/>
    <w:rsid w:val="005E1D04"/>
    <w:rsid w:val="005E22DE"/>
    <w:rsid w:val="005E273A"/>
    <w:rsid w:val="005E2A06"/>
    <w:rsid w:val="005E2D69"/>
    <w:rsid w:val="005E2DA7"/>
    <w:rsid w:val="005E3AB7"/>
    <w:rsid w:val="005E4135"/>
    <w:rsid w:val="005E452A"/>
    <w:rsid w:val="005E4681"/>
    <w:rsid w:val="005E488B"/>
    <w:rsid w:val="005E4B43"/>
    <w:rsid w:val="005E6496"/>
    <w:rsid w:val="005E6DC1"/>
    <w:rsid w:val="005F01D8"/>
    <w:rsid w:val="005F0D9B"/>
    <w:rsid w:val="005F1D3E"/>
    <w:rsid w:val="005F1D9D"/>
    <w:rsid w:val="005F1E9F"/>
    <w:rsid w:val="005F2340"/>
    <w:rsid w:val="005F25D1"/>
    <w:rsid w:val="005F2B00"/>
    <w:rsid w:val="005F2F27"/>
    <w:rsid w:val="005F4B2D"/>
    <w:rsid w:val="005F4EEC"/>
    <w:rsid w:val="005F5151"/>
    <w:rsid w:val="005F5FC8"/>
    <w:rsid w:val="005F60E6"/>
    <w:rsid w:val="005F6331"/>
    <w:rsid w:val="005F6834"/>
    <w:rsid w:val="005F6D24"/>
    <w:rsid w:val="005F71B0"/>
    <w:rsid w:val="005F7897"/>
    <w:rsid w:val="005F7BA6"/>
    <w:rsid w:val="005F7D0A"/>
    <w:rsid w:val="00601BF8"/>
    <w:rsid w:val="00601C3A"/>
    <w:rsid w:val="00601CFE"/>
    <w:rsid w:val="006022AA"/>
    <w:rsid w:val="00602751"/>
    <w:rsid w:val="00603978"/>
    <w:rsid w:val="006046CB"/>
    <w:rsid w:val="006046EF"/>
    <w:rsid w:val="00605059"/>
    <w:rsid w:val="006051EC"/>
    <w:rsid w:val="00605E0A"/>
    <w:rsid w:val="006064D4"/>
    <w:rsid w:val="0060650E"/>
    <w:rsid w:val="00606671"/>
    <w:rsid w:val="006066D1"/>
    <w:rsid w:val="00606A68"/>
    <w:rsid w:val="00606F5A"/>
    <w:rsid w:val="0060727F"/>
    <w:rsid w:val="00607F33"/>
    <w:rsid w:val="00610381"/>
    <w:rsid w:val="00610AD3"/>
    <w:rsid w:val="00610B32"/>
    <w:rsid w:val="00611945"/>
    <w:rsid w:val="00611D5F"/>
    <w:rsid w:val="0061216E"/>
    <w:rsid w:val="00612549"/>
    <w:rsid w:val="00612674"/>
    <w:rsid w:val="00612DC2"/>
    <w:rsid w:val="00613130"/>
    <w:rsid w:val="006139F3"/>
    <w:rsid w:val="00615898"/>
    <w:rsid w:val="006164F9"/>
    <w:rsid w:val="00616562"/>
    <w:rsid w:val="0061765D"/>
    <w:rsid w:val="006176C2"/>
    <w:rsid w:val="00617BFA"/>
    <w:rsid w:val="006209A8"/>
    <w:rsid w:val="00620B0C"/>
    <w:rsid w:val="00620D13"/>
    <w:rsid w:val="00620E11"/>
    <w:rsid w:val="00621FD9"/>
    <w:rsid w:val="006229BE"/>
    <w:rsid w:val="00622F7C"/>
    <w:rsid w:val="00622FAC"/>
    <w:rsid w:val="00623546"/>
    <w:rsid w:val="0062388F"/>
    <w:rsid w:val="00623E19"/>
    <w:rsid w:val="00624463"/>
    <w:rsid w:val="006244CD"/>
    <w:rsid w:val="00624615"/>
    <w:rsid w:val="00624779"/>
    <w:rsid w:val="00625B87"/>
    <w:rsid w:val="00626A46"/>
    <w:rsid w:val="00626D30"/>
    <w:rsid w:val="00626E77"/>
    <w:rsid w:val="00626F31"/>
    <w:rsid w:val="0062729C"/>
    <w:rsid w:val="006273C3"/>
    <w:rsid w:val="00630D6E"/>
    <w:rsid w:val="0063140E"/>
    <w:rsid w:val="00631DC5"/>
    <w:rsid w:val="00632951"/>
    <w:rsid w:val="00632C29"/>
    <w:rsid w:val="00633787"/>
    <w:rsid w:val="006345BF"/>
    <w:rsid w:val="006346C0"/>
    <w:rsid w:val="00635167"/>
    <w:rsid w:val="006358D6"/>
    <w:rsid w:val="00635FB1"/>
    <w:rsid w:val="006365C6"/>
    <w:rsid w:val="0063738F"/>
    <w:rsid w:val="00637805"/>
    <w:rsid w:val="00637C72"/>
    <w:rsid w:val="00640192"/>
    <w:rsid w:val="00640294"/>
    <w:rsid w:val="00641EDE"/>
    <w:rsid w:val="0064380D"/>
    <w:rsid w:val="0064394B"/>
    <w:rsid w:val="00643BDD"/>
    <w:rsid w:val="00643D82"/>
    <w:rsid w:val="00645FC0"/>
    <w:rsid w:val="0064622A"/>
    <w:rsid w:val="00646524"/>
    <w:rsid w:val="00646F7B"/>
    <w:rsid w:val="006477C3"/>
    <w:rsid w:val="00647F56"/>
    <w:rsid w:val="0065079C"/>
    <w:rsid w:val="0065111E"/>
    <w:rsid w:val="006512E5"/>
    <w:rsid w:val="006513EF"/>
    <w:rsid w:val="00651DA2"/>
    <w:rsid w:val="0065329D"/>
    <w:rsid w:val="006537B5"/>
    <w:rsid w:val="006539AC"/>
    <w:rsid w:val="0065442B"/>
    <w:rsid w:val="00655053"/>
    <w:rsid w:val="0065565A"/>
    <w:rsid w:val="0065646A"/>
    <w:rsid w:val="00656486"/>
    <w:rsid w:val="00657242"/>
    <w:rsid w:val="00657A3B"/>
    <w:rsid w:val="006602BD"/>
    <w:rsid w:val="0066127D"/>
    <w:rsid w:val="00662D15"/>
    <w:rsid w:val="00662ED3"/>
    <w:rsid w:val="00664707"/>
    <w:rsid w:val="00664A07"/>
    <w:rsid w:val="00664A70"/>
    <w:rsid w:val="00665DC7"/>
    <w:rsid w:val="00666C32"/>
    <w:rsid w:val="0067007C"/>
    <w:rsid w:val="00670348"/>
    <w:rsid w:val="00670BDF"/>
    <w:rsid w:val="00670EB4"/>
    <w:rsid w:val="0067107D"/>
    <w:rsid w:val="00672F2C"/>
    <w:rsid w:val="0067330C"/>
    <w:rsid w:val="00673D5B"/>
    <w:rsid w:val="00674098"/>
    <w:rsid w:val="00674D23"/>
    <w:rsid w:val="00674F4F"/>
    <w:rsid w:val="006750CF"/>
    <w:rsid w:val="006751B3"/>
    <w:rsid w:val="006753B4"/>
    <w:rsid w:val="00675911"/>
    <w:rsid w:val="00675F21"/>
    <w:rsid w:val="00677ACF"/>
    <w:rsid w:val="00677AED"/>
    <w:rsid w:val="00677B34"/>
    <w:rsid w:val="00677C3F"/>
    <w:rsid w:val="00677CB3"/>
    <w:rsid w:val="0068007A"/>
    <w:rsid w:val="006800CD"/>
    <w:rsid w:val="006803B3"/>
    <w:rsid w:val="0068059F"/>
    <w:rsid w:val="00680787"/>
    <w:rsid w:val="0068085A"/>
    <w:rsid w:val="00680872"/>
    <w:rsid w:val="0068147F"/>
    <w:rsid w:val="006815F5"/>
    <w:rsid w:val="0068182D"/>
    <w:rsid w:val="00682290"/>
    <w:rsid w:val="006824BD"/>
    <w:rsid w:val="0068255A"/>
    <w:rsid w:val="00682812"/>
    <w:rsid w:val="00682C9D"/>
    <w:rsid w:val="006838E0"/>
    <w:rsid w:val="00683C70"/>
    <w:rsid w:val="006841EB"/>
    <w:rsid w:val="00685ACB"/>
    <w:rsid w:val="0068624C"/>
    <w:rsid w:val="00686501"/>
    <w:rsid w:val="00686640"/>
    <w:rsid w:val="006867CD"/>
    <w:rsid w:val="006868CE"/>
    <w:rsid w:val="00686EB1"/>
    <w:rsid w:val="006872DA"/>
    <w:rsid w:val="00687328"/>
    <w:rsid w:val="00690577"/>
    <w:rsid w:val="00690CCE"/>
    <w:rsid w:val="00690DB0"/>
    <w:rsid w:val="00691205"/>
    <w:rsid w:val="00691E77"/>
    <w:rsid w:val="0069202B"/>
    <w:rsid w:val="006928C5"/>
    <w:rsid w:val="0069297B"/>
    <w:rsid w:val="00693299"/>
    <w:rsid w:val="00693405"/>
    <w:rsid w:val="00693D2D"/>
    <w:rsid w:val="00694179"/>
    <w:rsid w:val="00694889"/>
    <w:rsid w:val="00695F41"/>
    <w:rsid w:val="00695F56"/>
    <w:rsid w:val="006968E7"/>
    <w:rsid w:val="00696C0B"/>
    <w:rsid w:val="006976DB"/>
    <w:rsid w:val="00697C6B"/>
    <w:rsid w:val="006A00B0"/>
    <w:rsid w:val="006A02D2"/>
    <w:rsid w:val="006A05C8"/>
    <w:rsid w:val="006A0686"/>
    <w:rsid w:val="006A0D56"/>
    <w:rsid w:val="006A11B8"/>
    <w:rsid w:val="006A1969"/>
    <w:rsid w:val="006A2A2F"/>
    <w:rsid w:val="006A2C32"/>
    <w:rsid w:val="006A2F5D"/>
    <w:rsid w:val="006A2F66"/>
    <w:rsid w:val="006A3674"/>
    <w:rsid w:val="006A4249"/>
    <w:rsid w:val="006A4304"/>
    <w:rsid w:val="006A4821"/>
    <w:rsid w:val="006A4B55"/>
    <w:rsid w:val="006A4E1B"/>
    <w:rsid w:val="006A5B88"/>
    <w:rsid w:val="006A6719"/>
    <w:rsid w:val="006A6A27"/>
    <w:rsid w:val="006A7507"/>
    <w:rsid w:val="006A7514"/>
    <w:rsid w:val="006B0253"/>
    <w:rsid w:val="006B04EB"/>
    <w:rsid w:val="006B04F4"/>
    <w:rsid w:val="006B05A5"/>
    <w:rsid w:val="006B0A1F"/>
    <w:rsid w:val="006B1998"/>
    <w:rsid w:val="006B1F1A"/>
    <w:rsid w:val="006B24D6"/>
    <w:rsid w:val="006B30B3"/>
    <w:rsid w:val="006B372B"/>
    <w:rsid w:val="006B4671"/>
    <w:rsid w:val="006B4F34"/>
    <w:rsid w:val="006B5839"/>
    <w:rsid w:val="006B5A05"/>
    <w:rsid w:val="006B5B55"/>
    <w:rsid w:val="006B5C04"/>
    <w:rsid w:val="006B643F"/>
    <w:rsid w:val="006B6622"/>
    <w:rsid w:val="006B66A4"/>
    <w:rsid w:val="006B75FE"/>
    <w:rsid w:val="006B760D"/>
    <w:rsid w:val="006B77DE"/>
    <w:rsid w:val="006C0554"/>
    <w:rsid w:val="006C0728"/>
    <w:rsid w:val="006C099F"/>
    <w:rsid w:val="006C0CB8"/>
    <w:rsid w:val="006C1015"/>
    <w:rsid w:val="006C16B5"/>
    <w:rsid w:val="006C207D"/>
    <w:rsid w:val="006C22ED"/>
    <w:rsid w:val="006C2404"/>
    <w:rsid w:val="006C3770"/>
    <w:rsid w:val="006C3C4D"/>
    <w:rsid w:val="006C3ECB"/>
    <w:rsid w:val="006C603B"/>
    <w:rsid w:val="006C6DB5"/>
    <w:rsid w:val="006C7B56"/>
    <w:rsid w:val="006D0052"/>
    <w:rsid w:val="006D06E0"/>
    <w:rsid w:val="006D0F19"/>
    <w:rsid w:val="006D1344"/>
    <w:rsid w:val="006D1AEB"/>
    <w:rsid w:val="006D1BF4"/>
    <w:rsid w:val="006D1DFC"/>
    <w:rsid w:val="006D1F4F"/>
    <w:rsid w:val="006D1FA2"/>
    <w:rsid w:val="006D28A6"/>
    <w:rsid w:val="006D2DA0"/>
    <w:rsid w:val="006D320F"/>
    <w:rsid w:val="006D3620"/>
    <w:rsid w:val="006D3D73"/>
    <w:rsid w:val="006D3D82"/>
    <w:rsid w:val="006D3DA9"/>
    <w:rsid w:val="006D3FA7"/>
    <w:rsid w:val="006D413B"/>
    <w:rsid w:val="006D420B"/>
    <w:rsid w:val="006D4FD4"/>
    <w:rsid w:val="006D5E0E"/>
    <w:rsid w:val="006D6827"/>
    <w:rsid w:val="006D6C62"/>
    <w:rsid w:val="006D6D24"/>
    <w:rsid w:val="006D6ED6"/>
    <w:rsid w:val="006D7850"/>
    <w:rsid w:val="006D7ED3"/>
    <w:rsid w:val="006E05B9"/>
    <w:rsid w:val="006E1526"/>
    <w:rsid w:val="006E1633"/>
    <w:rsid w:val="006E16C2"/>
    <w:rsid w:val="006E1837"/>
    <w:rsid w:val="006E1B38"/>
    <w:rsid w:val="006E33BB"/>
    <w:rsid w:val="006E36AF"/>
    <w:rsid w:val="006E378E"/>
    <w:rsid w:val="006E42C1"/>
    <w:rsid w:val="006E5517"/>
    <w:rsid w:val="006E55E9"/>
    <w:rsid w:val="006E5CEF"/>
    <w:rsid w:val="006E6007"/>
    <w:rsid w:val="006E61F4"/>
    <w:rsid w:val="006E6A93"/>
    <w:rsid w:val="006E6D69"/>
    <w:rsid w:val="006E725E"/>
    <w:rsid w:val="006E78AE"/>
    <w:rsid w:val="006E7E30"/>
    <w:rsid w:val="006F06BB"/>
    <w:rsid w:val="006F08FC"/>
    <w:rsid w:val="006F0E1F"/>
    <w:rsid w:val="006F135C"/>
    <w:rsid w:val="006F176B"/>
    <w:rsid w:val="006F248D"/>
    <w:rsid w:val="006F2DF3"/>
    <w:rsid w:val="006F3DC7"/>
    <w:rsid w:val="006F41E1"/>
    <w:rsid w:val="006F4472"/>
    <w:rsid w:val="006F45D1"/>
    <w:rsid w:val="006F4B37"/>
    <w:rsid w:val="006F52A0"/>
    <w:rsid w:val="006F53EA"/>
    <w:rsid w:val="006F55B2"/>
    <w:rsid w:val="006F5792"/>
    <w:rsid w:val="006F5BCA"/>
    <w:rsid w:val="006F772B"/>
    <w:rsid w:val="006F781B"/>
    <w:rsid w:val="006F7E81"/>
    <w:rsid w:val="00700078"/>
    <w:rsid w:val="0070017B"/>
    <w:rsid w:val="0070039C"/>
    <w:rsid w:val="007004D5"/>
    <w:rsid w:val="0070090C"/>
    <w:rsid w:val="00700E6B"/>
    <w:rsid w:val="00700F35"/>
    <w:rsid w:val="007013D4"/>
    <w:rsid w:val="007015D9"/>
    <w:rsid w:val="00702911"/>
    <w:rsid w:val="00702E30"/>
    <w:rsid w:val="007034C5"/>
    <w:rsid w:val="00703852"/>
    <w:rsid w:val="0070471C"/>
    <w:rsid w:val="00704A44"/>
    <w:rsid w:val="00704B4F"/>
    <w:rsid w:val="007053C2"/>
    <w:rsid w:val="007057D3"/>
    <w:rsid w:val="00705B0B"/>
    <w:rsid w:val="00705B6B"/>
    <w:rsid w:val="00705BA5"/>
    <w:rsid w:val="00706EB8"/>
    <w:rsid w:val="00706FE8"/>
    <w:rsid w:val="00707AF5"/>
    <w:rsid w:val="00707FA2"/>
    <w:rsid w:val="007102A5"/>
    <w:rsid w:val="0071196E"/>
    <w:rsid w:val="00711BC1"/>
    <w:rsid w:val="00712295"/>
    <w:rsid w:val="007134A1"/>
    <w:rsid w:val="00713B7E"/>
    <w:rsid w:val="00714B41"/>
    <w:rsid w:val="00714F62"/>
    <w:rsid w:val="00715038"/>
    <w:rsid w:val="007162A7"/>
    <w:rsid w:val="007168C6"/>
    <w:rsid w:val="00716B71"/>
    <w:rsid w:val="00716FA8"/>
    <w:rsid w:val="007172F0"/>
    <w:rsid w:val="007178C5"/>
    <w:rsid w:val="00717B3E"/>
    <w:rsid w:val="00717DB0"/>
    <w:rsid w:val="00721F8D"/>
    <w:rsid w:val="00722195"/>
    <w:rsid w:val="007221A9"/>
    <w:rsid w:val="00722F71"/>
    <w:rsid w:val="00722FCD"/>
    <w:rsid w:val="00723547"/>
    <w:rsid w:val="0072373F"/>
    <w:rsid w:val="00723C71"/>
    <w:rsid w:val="00723DED"/>
    <w:rsid w:val="00724020"/>
    <w:rsid w:val="00724480"/>
    <w:rsid w:val="00725ACA"/>
    <w:rsid w:val="00726529"/>
    <w:rsid w:val="0072652B"/>
    <w:rsid w:val="0072655C"/>
    <w:rsid w:val="00726C0F"/>
    <w:rsid w:val="00730987"/>
    <w:rsid w:val="00730F27"/>
    <w:rsid w:val="00731036"/>
    <w:rsid w:val="00731463"/>
    <w:rsid w:val="007316BC"/>
    <w:rsid w:val="00731F2E"/>
    <w:rsid w:val="007320D6"/>
    <w:rsid w:val="0073222B"/>
    <w:rsid w:val="00732234"/>
    <w:rsid w:val="007322DC"/>
    <w:rsid w:val="00732556"/>
    <w:rsid w:val="00732A23"/>
    <w:rsid w:val="00733600"/>
    <w:rsid w:val="00733631"/>
    <w:rsid w:val="00733B23"/>
    <w:rsid w:val="00734277"/>
    <w:rsid w:val="007347FA"/>
    <w:rsid w:val="00734A7D"/>
    <w:rsid w:val="00735D2A"/>
    <w:rsid w:val="00735F44"/>
    <w:rsid w:val="007366FC"/>
    <w:rsid w:val="00737F4A"/>
    <w:rsid w:val="00737F8A"/>
    <w:rsid w:val="00740C25"/>
    <w:rsid w:val="00740EA1"/>
    <w:rsid w:val="0074165B"/>
    <w:rsid w:val="0074276F"/>
    <w:rsid w:val="00743117"/>
    <w:rsid w:val="0074357B"/>
    <w:rsid w:val="00743D1E"/>
    <w:rsid w:val="007448B3"/>
    <w:rsid w:val="00744C42"/>
    <w:rsid w:val="00745CF8"/>
    <w:rsid w:val="00745E3A"/>
    <w:rsid w:val="00745E5B"/>
    <w:rsid w:val="007464E6"/>
    <w:rsid w:val="0074668A"/>
    <w:rsid w:val="00746DA5"/>
    <w:rsid w:val="007476BF"/>
    <w:rsid w:val="00747FDA"/>
    <w:rsid w:val="007505A3"/>
    <w:rsid w:val="007507DC"/>
    <w:rsid w:val="00750C07"/>
    <w:rsid w:val="0075141D"/>
    <w:rsid w:val="007516EE"/>
    <w:rsid w:val="00751A4B"/>
    <w:rsid w:val="0075264F"/>
    <w:rsid w:val="00753CE7"/>
    <w:rsid w:val="00754037"/>
    <w:rsid w:val="0075415F"/>
    <w:rsid w:val="00754782"/>
    <w:rsid w:val="00755039"/>
    <w:rsid w:val="00755A2A"/>
    <w:rsid w:val="00755BA3"/>
    <w:rsid w:val="00756304"/>
    <w:rsid w:val="00756985"/>
    <w:rsid w:val="00757281"/>
    <w:rsid w:val="00757BB1"/>
    <w:rsid w:val="00760545"/>
    <w:rsid w:val="007605A9"/>
    <w:rsid w:val="007619FE"/>
    <w:rsid w:val="00761B31"/>
    <w:rsid w:val="007623E0"/>
    <w:rsid w:val="007648D2"/>
    <w:rsid w:val="00764D92"/>
    <w:rsid w:val="00765203"/>
    <w:rsid w:val="007653B4"/>
    <w:rsid w:val="00765AB4"/>
    <w:rsid w:val="00765D7E"/>
    <w:rsid w:val="00765F5D"/>
    <w:rsid w:val="007667DE"/>
    <w:rsid w:val="00766CA2"/>
    <w:rsid w:val="007673B2"/>
    <w:rsid w:val="007679F3"/>
    <w:rsid w:val="00767A65"/>
    <w:rsid w:val="00767DBD"/>
    <w:rsid w:val="00770401"/>
    <w:rsid w:val="007708BD"/>
    <w:rsid w:val="0077261C"/>
    <w:rsid w:val="00772FCB"/>
    <w:rsid w:val="0077308B"/>
    <w:rsid w:val="00773193"/>
    <w:rsid w:val="007732EE"/>
    <w:rsid w:val="00773311"/>
    <w:rsid w:val="00773671"/>
    <w:rsid w:val="007740C0"/>
    <w:rsid w:val="00774722"/>
    <w:rsid w:val="007755E6"/>
    <w:rsid w:val="00775810"/>
    <w:rsid w:val="00775D51"/>
    <w:rsid w:val="00775D9F"/>
    <w:rsid w:val="007760FD"/>
    <w:rsid w:val="007761DA"/>
    <w:rsid w:val="00776410"/>
    <w:rsid w:val="00776E25"/>
    <w:rsid w:val="00777376"/>
    <w:rsid w:val="00777577"/>
    <w:rsid w:val="00777B89"/>
    <w:rsid w:val="0078008D"/>
    <w:rsid w:val="0078105F"/>
    <w:rsid w:val="007817D7"/>
    <w:rsid w:val="00782270"/>
    <w:rsid w:val="00782D40"/>
    <w:rsid w:val="00782ED1"/>
    <w:rsid w:val="00783FDF"/>
    <w:rsid w:val="0078477D"/>
    <w:rsid w:val="00785144"/>
    <w:rsid w:val="00785BE6"/>
    <w:rsid w:val="007866CB"/>
    <w:rsid w:val="00786898"/>
    <w:rsid w:val="00786FD0"/>
    <w:rsid w:val="00787150"/>
    <w:rsid w:val="00787AFA"/>
    <w:rsid w:val="00790891"/>
    <w:rsid w:val="00791203"/>
    <w:rsid w:val="007915E3"/>
    <w:rsid w:val="00791EAA"/>
    <w:rsid w:val="007928CF"/>
    <w:rsid w:val="00793C37"/>
    <w:rsid w:val="00793CF4"/>
    <w:rsid w:val="00793EF7"/>
    <w:rsid w:val="00794711"/>
    <w:rsid w:val="00794968"/>
    <w:rsid w:val="007955A6"/>
    <w:rsid w:val="007964D2"/>
    <w:rsid w:val="007965AD"/>
    <w:rsid w:val="00797828"/>
    <w:rsid w:val="00797BA4"/>
    <w:rsid w:val="007A00BB"/>
    <w:rsid w:val="007A0635"/>
    <w:rsid w:val="007A10F0"/>
    <w:rsid w:val="007A148C"/>
    <w:rsid w:val="007A2289"/>
    <w:rsid w:val="007A2E1C"/>
    <w:rsid w:val="007A332B"/>
    <w:rsid w:val="007A3B54"/>
    <w:rsid w:val="007A3F7B"/>
    <w:rsid w:val="007A4479"/>
    <w:rsid w:val="007A4B88"/>
    <w:rsid w:val="007A65DF"/>
    <w:rsid w:val="007A6E49"/>
    <w:rsid w:val="007A719E"/>
    <w:rsid w:val="007A72E0"/>
    <w:rsid w:val="007A7B7A"/>
    <w:rsid w:val="007B07F2"/>
    <w:rsid w:val="007B0A1A"/>
    <w:rsid w:val="007B1049"/>
    <w:rsid w:val="007B16BA"/>
    <w:rsid w:val="007B1DEB"/>
    <w:rsid w:val="007B1E55"/>
    <w:rsid w:val="007B23CC"/>
    <w:rsid w:val="007B2EF8"/>
    <w:rsid w:val="007B2F53"/>
    <w:rsid w:val="007B36C6"/>
    <w:rsid w:val="007B3880"/>
    <w:rsid w:val="007B47E5"/>
    <w:rsid w:val="007B4857"/>
    <w:rsid w:val="007B4EEE"/>
    <w:rsid w:val="007B4F9D"/>
    <w:rsid w:val="007B5217"/>
    <w:rsid w:val="007B538A"/>
    <w:rsid w:val="007B5549"/>
    <w:rsid w:val="007B590D"/>
    <w:rsid w:val="007B5E4C"/>
    <w:rsid w:val="007B5F5C"/>
    <w:rsid w:val="007B5F6C"/>
    <w:rsid w:val="007B6057"/>
    <w:rsid w:val="007B6F8F"/>
    <w:rsid w:val="007B7A8F"/>
    <w:rsid w:val="007C0A23"/>
    <w:rsid w:val="007C0E3F"/>
    <w:rsid w:val="007C1B9D"/>
    <w:rsid w:val="007C2B41"/>
    <w:rsid w:val="007C3256"/>
    <w:rsid w:val="007C38BC"/>
    <w:rsid w:val="007C4DED"/>
    <w:rsid w:val="007C5BC1"/>
    <w:rsid w:val="007C5DE6"/>
    <w:rsid w:val="007C650F"/>
    <w:rsid w:val="007C67FC"/>
    <w:rsid w:val="007C7DD7"/>
    <w:rsid w:val="007D0492"/>
    <w:rsid w:val="007D161C"/>
    <w:rsid w:val="007D2961"/>
    <w:rsid w:val="007D32A7"/>
    <w:rsid w:val="007D3479"/>
    <w:rsid w:val="007D4358"/>
    <w:rsid w:val="007D4CE5"/>
    <w:rsid w:val="007D54F7"/>
    <w:rsid w:val="007D61FE"/>
    <w:rsid w:val="007D666F"/>
    <w:rsid w:val="007D73FB"/>
    <w:rsid w:val="007D76D0"/>
    <w:rsid w:val="007D793C"/>
    <w:rsid w:val="007D7BDA"/>
    <w:rsid w:val="007D7CBB"/>
    <w:rsid w:val="007E0CA8"/>
    <w:rsid w:val="007E1A82"/>
    <w:rsid w:val="007E1AA6"/>
    <w:rsid w:val="007E1BBE"/>
    <w:rsid w:val="007E2913"/>
    <w:rsid w:val="007E2D63"/>
    <w:rsid w:val="007E31A0"/>
    <w:rsid w:val="007E39A3"/>
    <w:rsid w:val="007E50AE"/>
    <w:rsid w:val="007E5777"/>
    <w:rsid w:val="007E5D27"/>
    <w:rsid w:val="007E6009"/>
    <w:rsid w:val="007E6042"/>
    <w:rsid w:val="007E6648"/>
    <w:rsid w:val="007E6EC3"/>
    <w:rsid w:val="007E72B2"/>
    <w:rsid w:val="007E758F"/>
    <w:rsid w:val="007E76A4"/>
    <w:rsid w:val="007E7AFA"/>
    <w:rsid w:val="007E7EEB"/>
    <w:rsid w:val="007F0328"/>
    <w:rsid w:val="007F0767"/>
    <w:rsid w:val="007F08ED"/>
    <w:rsid w:val="007F0B64"/>
    <w:rsid w:val="007F12CC"/>
    <w:rsid w:val="007F16AA"/>
    <w:rsid w:val="007F16C3"/>
    <w:rsid w:val="007F16F6"/>
    <w:rsid w:val="007F1B36"/>
    <w:rsid w:val="007F1F93"/>
    <w:rsid w:val="007F22D8"/>
    <w:rsid w:val="007F258F"/>
    <w:rsid w:val="007F2C78"/>
    <w:rsid w:val="007F4656"/>
    <w:rsid w:val="007F5258"/>
    <w:rsid w:val="007F574B"/>
    <w:rsid w:val="007F5797"/>
    <w:rsid w:val="007F67FF"/>
    <w:rsid w:val="007F75E8"/>
    <w:rsid w:val="007F767B"/>
    <w:rsid w:val="0080046A"/>
    <w:rsid w:val="00801146"/>
    <w:rsid w:val="00802EF4"/>
    <w:rsid w:val="008030E9"/>
    <w:rsid w:val="008038B6"/>
    <w:rsid w:val="00803BAA"/>
    <w:rsid w:val="0080459D"/>
    <w:rsid w:val="00804634"/>
    <w:rsid w:val="008064A6"/>
    <w:rsid w:val="00806B46"/>
    <w:rsid w:val="0080797D"/>
    <w:rsid w:val="00812531"/>
    <w:rsid w:val="00812635"/>
    <w:rsid w:val="00812DBA"/>
    <w:rsid w:val="0081396E"/>
    <w:rsid w:val="00813AD3"/>
    <w:rsid w:val="00813CE0"/>
    <w:rsid w:val="00814450"/>
    <w:rsid w:val="00814590"/>
    <w:rsid w:val="00814A7B"/>
    <w:rsid w:val="00815951"/>
    <w:rsid w:val="00815C7B"/>
    <w:rsid w:val="00816F50"/>
    <w:rsid w:val="00817466"/>
    <w:rsid w:val="0081750D"/>
    <w:rsid w:val="00817B03"/>
    <w:rsid w:val="00820346"/>
    <w:rsid w:val="008203BC"/>
    <w:rsid w:val="00820400"/>
    <w:rsid w:val="00820A17"/>
    <w:rsid w:val="008211DC"/>
    <w:rsid w:val="008215DE"/>
    <w:rsid w:val="00821BA9"/>
    <w:rsid w:val="00822621"/>
    <w:rsid w:val="00822B58"/>
    <w:rsid w:val="00822F45"/>
    <w:rsid w:val="00823484"/>
    <w:rsid w:val="00823B01"/>
    <w:rsid w:val="00824AFA"/>
    <w:rsid w:val="00824FB3"/>
    <w:rsid w:val="00826231"/>
    <w:rsid w:val="00826327"/>
    <w:rsid w:val="0082646A"/>
    <w:rsid w:val="00827F16"/>
    <w:rsid w:val="008304A8"/>
    <w:rsid w:val="00830548"/>
    <w:rsid w:val="00830BA2"/>
    <w:rsid w:val="00830D66"/>
    <w:rsid w:val="008317D9"/>
    <w:rsid w:val="0083269D"/>
    <w:rsid w:val="008327FC"/>
    <w:rsid w:val="008330EE"/>
    <w:rsid w:val="00833133"/>
    <w:rsid w:val="0083431F"/>
    <w:rsid w:val="00834495"/>
    <w:rsid w:val="008350C5"/>
    <w:rsid w:val="00836410"/>
    <w:rsid w:val="0083681D"/>
    <w:rsid w:val="00836ABF"/>
    <w:rsid w:val="00836BE5"/>
    <w:rsid w:val="00836FD6"/>
    <w:rsid w:val="008371E6"/>
    <w:rsid w:val="008376BB"/>
    <w:rsid w:val="00837865"/>
    <w:rsid w:val="00837D9D"/>
    <w:rsid w:val="00841131"/>
    <w:rsid w:val="0084240D"/>
    <w:rsid w:val="00842641"/>
    <w:rsid w:val="00842C83"/>
    <w:rsid w:val="0084325B"/>
    <w:rsid w:val="008436BF"/>
    <w:rsid w:val="00844342"/>
    <w:rsid w:val="00844569"/>
    <w:rsid w:val="00845A95"/>
    <w:rsid w:val="00845F53"/>
    <w:rsid w:val="0084703E"/>
    <w:rsid w:val="008471A0"/>
    <w:rsid w:val="008472C2"/>
    <w:rsid w:val="00847667"/>
    <w:rsid w:val="00850572"/>
    <w:rsid w:val="00850B42"/>
    <w:rsid w:val="00850E82"/>
    <w:rsid w:val="0085222B"/>
    <w:rsid w:val="00853045"/>
    <w:rsid w:val="008536AC"/>
    <w:rsid w:val="00854803"/>
    <w:rsid w:val="00854C53"/>
    <w:rsid w:val="00854CA0"/>
    <w:rsid w:val="00855534"/>
    <w:rsid w:val="00856221"/>
    <w:rsid w:val="00856548"/>
    <w:rsid w:val="00856B13"/>
    <w:rsid w:val="008574B1"/>
    <w:rsid w:val="0085783B"/>
    <w:rsid w:val="0085793D"/>
    <w:rsid w:val="00857C2F"/>
    <w:rsid w:val="00857D68"/>
    <w:rsid w:val="00860381"/>
    <w:rsid w:val="008603CA"/>
    <w:rsid w:val="008603D2"/>
    <w:rsid w:val="00860472"/>
    <w:rsid w:val="00861372"/>
    <w:rsid w:val="00862E7D"/>
    <w:rsid w:val="00863024"/>
    <w:rsid w:val="008631BA"/>
    <w:rsid w:val="008633DE"/>
    <w:rsid w:val="00863914"/>
    <w:rsid w:val="00863C5E"/>
    <w:rsid w:val="00864602"/>
    <w:rsid w:val="0086483F"/>
    <w:rsid w:val="00864B7F"/>
    <w:rsid w:val="0086535B"/>
    <w:rsid w:val="00865956"/>
    <w:rsid w:val="00865AD6"/>
    <w:rsid w:val="00865D1C"/>
    <w:rsid w:val="00867B6D"/>
    <w:rsid w:val="00867FFE"/>
    <w:rsid w:val="00870931"/>
    <w:rsid w:val="00871077"/>
    <w:rsid w:val="00871618"/>
    <w:rsid w:val="008716D7"/>
    <w:rsid w:val="00871898"/>
    <w:rsid w:val="00871A28"/>
    <w:rsid w:val="00871AFA"/>
    <w:rsid w:val="00871C14"/>
    <w:rsid w:val="00872498"/>
    <w:rsid w:val="008726B6"/>
    <w:rsid w:val="00872A3C"/>
    <w:rsid w:val="00873318"/>
    <w:rsid w:val="0087355B"/>
    <w:rsid w:val="008735B2"/>
    <w:rsid w:val="0087386D"/>
    <w:rsid w:val="00873CF1"/>
    <w:rsid w:val="00873D0C"/>
    <w:rsid w:val="00873F8E"/>
    <w:rsid w:val="008742E6"/>
    <w:rsid w:val="00875237"/>
    <w:rsid w:val="0087699B"/>
    <w:rsid w:val="008800ED"/>
    <w:rsid w:val="0088010A"/>
    <w:rsid w:val="008801DD"/>
    <w:rsid w:val="00880653"/>
    <w:rsid w:val="00880C79"/>
    <w:rsid w:val="00880F7B"/>
    <w:rsid w:val="008814F8"/>
    <w:rsid w:val="00881C77"/>
    <w:rsid w:val="00882250"/>
    <w:rsid w:val="008834FF"/>
    <w:rsid w:val="008835EF"/>
    <w:rsid w:val="0088385F"/>
    <w:rsid w:val="0088412F"/>
    <w:rsid w:val="008841A1"/>
    <w:rsid w:val="00885632"/>
    <w:rsid w:val="00885ACA"/>
    <w:rsid w:val="00885B49"/>
    <w:rsid w:val="00885D87"/>
    <w:rsid w:val="0088641A"/>
    <w:rsid w:val="00886C77"/>
    <w:rsid w:val="00886C9B"/>
    <w:rsid w:val="00886DEE"/>
    <w:rsid w:val="00887A36"/>
    <w:rsid w:val="00887A5D"/>
    <w:rsid w:val="00890D9E"/>
    <w:rsid w:val="00891305"/>
    <w:rsid w:val="00891BCE"/>
    <w:rsid w:val="00891BF9"/>
    <w:rsid w:val="00892F3A"/>
    <w:rsid w:val="00893C8E"/>
    <w:rsid w:val="008940F7"/>
    <w:rsid w:val="00894C45"/>
    <w:rsid w:val="008963EF"/>
    <w:rsid w:val="00896661"/>
    <w:rsid w:val="00896C38"/>
    <w:rsid w:val="008974F7"/>
    <w:rsid w:val="008A0082"/>
    <w:rsid w:val="008A1A96"/>
    <w:rsid w:val="008A1C51"/>
    <w:rsid w:val="008A2302"/>
    <w:rsid w:val="008A35D7"/>
    <w:rsid w:val="008A3DA0"/>
    <w:rsid w:val="008A41ED"/>
    <w:rsid w:val="008A4837"/>
    <w:rsid w:val="008A4CFE"/>
    <w:rsid w:val="008A5070"/>
    <w:rsid w:val="008A5475"/>
    <w:rsid w:val="008A56A1"/>
    <w:rsid w:val="008A5D1E"/>
    <w:rsid w:val="008A78B7"/>
    <w:rsid w:val="008A7902"/>
    <w:rsid w:val="008B0224"/>
    <w:rsid w:val="008B0CE0"/>
    <w:rsid w:val="008B1D18"/>
    <w:rsid w:val="008B3033"/>
    <w:rsid w:val="008B32E2"/>
    <w:rsid w:val="008B3F1D"/>
    <w:rsid w:val="008B4F4B"/>
    <w:rsid w:val="008B5609"/>
    <w:rsid w:val="008B5FE7"/>
    <w:rsid w:val="008B60FA"/>
    <w:rsid w:val="008B61F2"/>
    <w:rsid w:val="008B6450"/>
    <w:rsid w:val="008B6C2A"/>
    <w:rsid w:val="008B7679"/>
    <w:rsid w:val="008C03C7"/>
    <w:rsid w:val="008C0899"/>
    <w:rsid w:val="008C1E6B"/>
    <w:rsid w:val="008C2561"/>
    <w:rsid w:val="008C268B"/>
    <w:rsid w:val="008C2786"/>
    <w:rsid w:val="008C4FCE"/>
    <w:rsid w:val="008C5D84"/>
    <w:rsid w:val="008C6266"/>
    <w:rsid w:val="008C62B7"/>
    <w:rsid w:val="008C74CF"/>
    <w:rsid w:val="008C7C34"/>
    <w:rsid w:val="008C7E32"/>
    <w:rsid w:val="008D0AA6"/>
    <w:rsid w:val="008D112C"/>
    <w:rsid w:val="008D1E85"/>
    <w:rsid w:val="008D23B2"/>
    <w:rsid w:val="008D2507"/>
    <w:rsid w:val="008D2BE1"/>
    <w:rsid w:val="008D2F49"/>
    <w:rsid w:val="008D3058"/>
    <w:rsid w:val="008D3B78"/>
    <w:rsid w:val="008D4019"/>
    <w:rsid w:val="008D4533"/>
    <w:rsid w:val="008D675D"/>
    <w:rsid w:val="008D75B8"/>
    <w:rsid w:val="008D795F"/>
    <w:rsid w:val="008D7F16"/>
    <w:rsid w:val="008E03AD"/>
    <w:rsid w:val="008E18C3"/>
    <w:rsid w:val="008E1BD4"/>
    <w:rsid w:val="008E2C00"/>
    <w:rsid w:val="008E2F2D"/>
    <w:rsid w:val="008E33C1"/>
    <w:rsid w:val="008E38D1"/>
    <w:rsid w:val="008E3D2B"/>
    <w:rsid w:val="008E444E"/>
    <w:rsid w:val="008E4638"/>
    <w:rsid w:val="008E46A3"/>
    <w:rsid w:val="008E4CDA"/>
    <w:rsid w:val="008E4E11"/>
    <w:rsid w:val="008E6CCE"/>
    <w:rsid w:val="008F01F9"/>
    <w:rsid w:val="008F05E9"/>
    <w:rsid w:val="008F06DD"/>
    <w:rsid w:val="008F0D5C"/>
    <w:rsid w:val="008F1117"/>
    <w:rsid w:val="008F17D3"/>
    <w:rsid w:val="008F1814"/>
    <w:rsid w:val="008F1901"/>
    <w:rsid w:val="008F1A56"/>
    <w:rsid w:val="008F1C37"/>
    <w:rsid w:val="008F387C"/>
    <w:rsid w:val="008F39A4"/>
    <w:rsid w:val="008F3CF3"/>
    <w:rsid w:val="008F4628"/>
    <w:rsid w:val="008F46AF"/>
    <w:rsid w:val="008F4962"/>
    <w:rsid w:val="008F4AF5"/>
    <w:rsid w:val="008F6917"/>
    <w:rsid w:val="008F6FB3"/>
    <w:rsid w:val="008F7071"/>
    <w:rsid w:val="008F7078"/>
    <w:rsid w:val="008F71AF"/>
    <w:rsid w:val="008F75E9"/>
    <w:rsid w:val="009005E9"/>
    <w:rsid w:val="009009CA"/>
    <w:rsid w:val="00900DEB"/>
    <w:rsid w:val="00901147"/>
    <w:rsid w:val="00901531"/>
    <w:rsid w:val="0090225C"/>
    <w:rsid w:val="00903247"/>
    <w:rsid w:val="00904D4C"/>
    <w:rsid w:val="00906589"/>
    <w:rsid w:val="00907FE4"/>
    <w:rsid w:val="00910E39"/>
    <w:rsid w:val="00912775"/>
    <w:rsid w:val="009128FB"/>
    <w:rsid w:val="00912E99"/>
    <w:rsid w:val="00912EEF"/>
    <w:rsid w:val="0091331F"/>
    <w:rsid w:val="00913D85"/>
    <w:rsid w:val="0091436F"/>
    <w:rsid w:val="00915287"/>
    <w:rsid w:val="00915763"/>
    <w:rsid w:val="00915782"/>
    <w:rsid w:val="00915D56"/>
    <w:rsid w:val="009164F3"/>
    <w:rsid w:val="00916D1D"/>
    <w:rsid w:val="00916EC1"/>
    <w:rsid w:val="0091747E"/>
    <w:rsid w:val="00917DB8"/>
    <w:rsid w:val="009202ED"/>
    <w:rsid w:val="00920883"/>
    <w:rsid w:val="00920F6E"/>
    <w:rsid w:val="00921537"/>
    <w:rsid w:val="00921E65"/>
    <w:rsid w:val="009225CC"/>
    <w:rsid w:val="009226B5"/>
    <w:rsid w:val="00922BBA"/>
    <w:rsid w:val="00922ECF"/>
    <w:rsid w:val="0092361E"/>
    <w:rsid w:val="0092369C"/>
    <w:rsid w:val="00923EBB"/>
    <w:rsid w:val="009245EA"/>
    <w:rsid w:val="00925075"/>
    <w:rsid w:val="00925644"/>
    <w:rsid w:val="00927055"/>
    <w:rsid w:val="00927220"/>
    <w:rsid w:val="009274EE"/>
    <w:rsid w:val="00927F0B"/>
    <w:rsid w:val="009302D2"/>
    <w:rsid w:val="009304CF"/>
    <w:rsid w:val="00930556"/>
    <w:rsid w:val="00930779"/>
    <w:rsid w:val="00930AA6"/>
    <w:rsid w:val="00930F0A"/>
    <w:rsid w:val="00930FC7"/>
    <w:rsid w:val="009316C0"/>
    <w:rsid w:val="009318BA"/>
    <w:rsid w:val="00931A4E"/>
    <w:rsid w:val="00931F6C"/>
    <w:rsid w:val="00932426"/>
    <w:rsid w:val="009328D4"/>
    <w:rsid w:val="00932DA0"/>
    <w:rsid w:val="009335A8"/>
    <w:rsid w:val="0093373B"/>
    <w:rsid w:val="00933D66"/>
    <w:rsid w:val="009344FA"/>
    <w:rsid w:val="00935004"/>
    <w:rsid w:val="009353BB"/>
    <w:rsid w:val="00935FBE"/>
    <w:rsid w:val="009362D6"/>
    <w:rsid w:val="009365BE"/>
    <w:rsid w:val="0093676A"/>
    <w:rsid w:val="00937135"/>
    <w:rsid w:val="00937236"/>
    <w:rsid w:val="00937327"/>
    <w:rsid w:val="00937B16"/>
    <w:rsid w:val="00941880"/>
    <w:rsid w:val="009420D1"/>
    <w:rsid w:val="009421B6"/>
    <w:rsid w:val="009425DD"/>
    <w:rsid w:val="0094312D"/>
    <w:rsid w:val="0094388B"/>
    <w:rsid w:val="00943DC2"/>
    <w:rsid w:val="009442AB"/>
    <w:rsid w:val="009447C8"/>
    <w:rsid w:val="00944AFE"/>
    <w:rsid w:val="009450A5"/>
    <w:rsid w:val="00945544"/>
    <w:rsid w:val="00945553"/>
    <w:rsid w:val="00945611"/>
    <w:rsid w:val="0094589F"/>
    <w:rsid w:val="009460C6"/>
    <w:rsid w:val="009500B2"/>
    <w:rsid w:val="00950169"/>
    <w:rsid w:val="00950566"/>
    <w:rsid w:val="009506AC"/>
    <w:rsid w:val="009519D9"/>
    <w:rsid w:val="00952BEE"/>
    <w:rsid w:val="0095304F"/>
    <w:rsid w:val="00953D4A"/>
    <w:rsid w:val="0095430C"/>
    <w:rsid w:val="00954850"/>
    <w:rsid w:val="00954ACA"/>
    <w:rsid w:val="00955009"/>
    <w:rsid w:val="00955AAF"/>
    <w:rsid w:val="00956616"/>
    <w:rsid w:val="0095711F"/>
    <w:rsid w:val="00957C60"/>
    <w:rsid w:val="00957C6B"/>
    <w:rsid w:val="009609A8"/>
    <w:rsid w:val="009615EF"/>
    <w:rsid w:val="00961743"/>
    <w:rsid w:val="00961787"/>
    <w:rsid w:val="00961E1B"/>
    <w:rsid w:val="00962402"/>
    <w:rsid w:val="00962520"/>
    <w:rsid w:val="00962A6C"/>
    <w:rsid w:val="00962DC1"/>
    <w:rsid w:val="00962F60"/>
    <w:rsid w:val="0096362D"/>
    <w:rsid w:val="00963C1F"/>
    <w:rsid w:val="00964096"/>
    <w:rsid w:val="009644A6"/>
    <w:rsid w:val="00964AEA"/>
    <w:rsid w:val="00964B9C"/>
    <w:rsid w:val="00964D25"/>
    <w:rsid w:val="00965456"/>
    <w:rsid w:val="0096653B"/>
    <w:rsid w:val="00966B7C"/>
    <w:rsid w:val="00966D5A"/>
    <w:rsid w:val="0096717D"/>
    <w:rsid w:val="009672B8"/>
    <w:rsid w:val="009678AB"/>
    <w:rsid w:val="00967B10"/>
    <w:rsid w:val="00967C89"/>
    <w:rsid w:val="00967E58"/>
    <w:rsid w:val="0097093C"/>
    <w:rsid w:val="009711DB"/>
    <w:rsid w:val="0097186A"/>
    <w:rsid w:val="0097187F"/>
    <w:rsid w:val="00971932"/>
    <w:rsid w:val="00971A0D"/>
    <w:rsid w:val="00971D45"/>
    <w:rsid w:val="00971E87"/>
    <w:rsid w:val="00971FB3"/>
    <w:rsid w:val="00972309"/>
    <w:rsid w:val="0097249C"/>
    <w:rsid w:val="009727DD"/>
    <w:rsid w:val="00972AF0"/>
    <w:rsid w:val="00972EFE"/>
    <w:rsid w:val="00973167"/>
    <w:rsid w:val="009740CA"/>
    <w:rsid w:val="009741F2"/>
    <w:rsid w:val="009752A8"/>
    <w:rsid w:val="0097551A"/>
    <w:rsid w:val="00975582"/>
    <w:rsid w:val="00975D03"/>
    <w:rsid w:val="009764E5"/>
    <w:rsid w:val="00976A83"/>
    <w:rsid w:val="00977250"/>
    <w:rsid w:val="00977DC6"/>
    <w:rsid w:val="00980A18"/>
    <w:rsid w:val="00980DE8"/>
    <w:rsid w:val="0098158F"/>
    <w:rsid w:val="00982783"/>
    <w:rsid w:val="0098312F"/>
    <w:rsid w:val="009836BD"/>
    <w:rsid w:val="00983A50"/>
    <w:rsid w:val="00983D1C"/>
    <w:rsid w:val="009847D1"/>
    <w:rsid w:val="00984B59"/>
    <w:rsid w:val="00985665"/>
    <w:rsid w:val="0098621C"/>
    <w:rsid w:val="009864D1"/>
    <w:rsid w:val="00986898"/>
    <w:rsid w:val="00987263"/>
    <w:rsid w:val="00990CC3"/>
    <w:rsid w:val="00990EC4"/>
    <w:rsid w:val="009911B3"/>
    <w:rsid w:val="009915E7"/>
    <w:rsid w:val="00991687"/>
    <w:rsid w:val="00991D03"/>
    <w:rsid w:val="00992B91"/>
    <w:rsid w:val="0099307C"/>
    <w:rsid w:val="00993651"/>
    <w:rsid w:val="009942FF"/>
    <w:rsid w:val="00994C71"/>
    <w:rsid w:val="00995677"/>
    <w:rsid w:val="00995FBD"/>
    <w:rsid w:val="00996542"/>
    <w:rsid w:val="0099693F"/>
    <w:rsid w:val="00997440"/>
    <w:rsid w:val="009974E5"/>
    <w:rsid w:val="00997A09"/>
    <w:rsid w:val="00997D43"/>
    <w:rsid w:val="009A03FF"/>
    <w:rsid w:val="009A04FD"/>
    <w:rsid w:val="009A063C"/>
    <w:rsid w:val="009A0883"/>
    <w:rsid w:val="009A0BA4"/>
    <w:rsid w:val="009A0DB7"/>
    <w:rsid w:val="009A1234"/>
    <w:rsid w:val="009A169C"/>
    <w:rsid w:val="009A17E3"/>
    <w:rsid w:val="009A1D74"/>
    <w:rsid w:val="009A26E0"/>
    <w:rsid w:val="009A2939"/>
    <w:rsid w:val="009A2F84"/>
    <w:rsid w:val="009A30C2"/>
    <w:rsid w:val="009A33D9"/>
    <w:rsid w:val="009A3FD9"/>
    <w:rsid w:val="009A4C06"/>
    <w:rsid w:val="009A51FE"/>
    <w:rsid w:val="009A6BC4"/>
    <w:rsid w:val="009A748A"/>
    <w:rsid w:val="009A77C6"/>
    <w:rsid w:val="009A7E83"/>
    <w:rsid w:val="009AD9EC"/>
    <w:rsid w:val="009B00C6"/>
    <w:rsid w:val="009B0102"/>
    <w:rsid w:val="009B05F4"/>
    <w:rsid w:val="009B0C03"/>
    <w:rsid w:val="009B1B66"/>
    <w:rsid w:val="009B1C3A"/>
    <w:rsid w:val="009B1CDE"/>
    <w:rsid w:val="009B2029"/>
    <w:rsid w:val="009B3387"/>
    <w:rsid w:val="009B3636"/>
    <w:rsid w:val="009B3BFB"/>
    <w:rsid w:val="009B43AE"/>
    <w:rsid w:val="009B4AC7"/>
    <w:rsid w:val="009B4D52"/>
    <w:rsid w:val="009B4F76"/>
    <w:rsid w:val="009B5310"/>
    <w:rsid w:val="009B55CE"/>
    <w:rsid w:val="009B5E47"/>
    <w:rsid w:val="009B5F0F"/>
    <w:rsid w:val="009B6A62"/>
    <w:rsid w:val="009B6F19"/>
    <w:rsid w:val="009B7729"/>
    <w:rsid w:val="009B77FE"/>
    <w:rsid w:val="009B7A57"/>
    <w:rsid w:val="009C0832"/>
    <w:rsid w:val="009C09E4"/>
    <w:rsid w:val="009C12F2"/>
    <w:rsid w:val="009C14D1"/>
    <w:rsid w:val="009C1BF2"/>
    <w:rsid w:val="009C2D5C"/>
    <w:rsid w:val="009C40B9"/>
    <w:rsid w:val="009C40E0"/>
    <w:rsid w:val="009C450B"/>
    <w:rsid w:val="009C45F7"/>
    <w:rsid w:val="009C4713"/>
    <w:rsid w:val="009C509E"/>
    <w:rsid w:val="009C5BC6"/>
    <w:rsid w:val="009C61AE"/>
    <w:rsid w:val="009C680B"/>
    <w:rsid w:val="009C6A84"/>
    <w:rsid w:val="009C6CD6"/>
    <w:rsid w:val="009C6D9A"/>
    <w:rsid w:val="009C794F"/>
    <w:rsid w:val="009D00CC"/>
    <w:rsid w:val="009D1C0A"/>
    <w:rsid w:val="009D1CFE"/>
    <w:rsid w:val="009D20FC"/>
    <w:rsid w:val="009D2157"/>
    <w:rsid w:val="009D435E"/>
    <w:rsid w:val="009D4B1D"/>
    <w:rsid w:val="009D4C21"/>
    <w:rsid w:val="009D51EE"/>
    <w:rsid w:val="009D597E"/>
    <w:rsid w:val="009D5A74"/>
    <w:rsid w:val="009D60C6"/>
    <w:rsid w:val="009D6FA7"/>
    <w:rsid w:val="009D73C6"/>
    <w:rsid w:val="009E0D4F"/>
    <w:rsid w:val="009E0DB0"/>
    <w:rsid w:val="009E0F4D"/>
    <w:rsid w:val="009E1AE3"/>
    <w:rsid w:val="009E1E9F"/>
    <w:rsid w:val="009E282B"/>
    <w:rsid w:val="009E3267"/>
    <w:rsid w:val="009E3ED7"/>
    <w:rsid w:val="009E3FD7"/>
    <w:rsid w:val="009E50BD"/>
    <w:rsid w:val="009E53AF"/>
    <w:rsid w:val="009E54BB"/>
    <w:rsid w:val="009E655D"/>
    <w:rsid w:val="009E77D7"/>
    <w:rsid w:val="009E7953"/>
    <w:rsid w:val="009E7A3C"/>
    <w:rsid w:val="009E7FB9"/>
    <w:rsid w:val="009F033F"/>
    <w:rsid w:val="009F04C7"/>
    <w:rsid w:val="009F0FC5"/>
    <w:rsid w:val="009F1134"/>
    <w:rsid w:val="009F11E5"/>
    <w:rsid w:val="009F162E"/>
    <w:rsid w:val="009F1D7A"/>
    <w:rsid w:val="009F244A"/>
    <w:rsid w:val="009F2C39"/>
    <w:rsid w:val="009F2F28"/>
    <w:rsid w:val="009F5015"/>
    <w:rsid w:val="009F5282"/>
    <w:rsid w:val="009F55A6"/>
    <w:rsid w:val="009F5B56"/>
    <w:rsid w:val="009F6FCC"/>
    <w:rsid w:val="009F73C5"/>
    <w:rsid w:val="009F7773"/>
    <w:rsid w:val="00A00BE8"/>
    <w:rsid w:val="00A01988"/>
    <w:rsid w:val="00A02A3E"/>
    <w:rsid w:val="00A02B49"/>
    <w:rsid w:val="00A032B3"/>
    <w:rsid w:val="00A0370E"/>
    <w:rsid w:val="00A04710"/>
    <w:rsid w:val="00A04D08"/>
    <w:rsid w:val="00A05F1F"/>
    <w:rsid w:val="00A06599"/>
    <w:rsid w:val="00A0717C"/>
    <w:rsid w:val="00A07DEE"/>
    <w:rsid w:val="00A07E21"/>
    <w:rsid w:val="00A10F39"/>
    <w:rsid w:val="00A11D83"/>
    <w:rsid w:val="00A12BC4"/>
    <w:rsid w:val="00A132F4"/>
    <w:rsid w:val="00A13956"/>
    <w:rsid w:val="00A13C53"/>
    <w:rsid w:val="00A14199"/>
    <w:rsid w:val="00A15B0C"/>
    <w:rsid w:val="00A16095"/>
    <w:rsid w:val="00A17073"/>
    <w:rsid w:val="00A170D7"/>
    <w:rsid w:val="00A1733C"/>
    <w:rsid w:val="00A17474"/>
    <w:rsid w:val="00A1782D"/>
    <w:rsid w:val="00A209D3"/>
    <w:rsid w:val="00A20BF3"/>
    <w:rsid w:val="00A21001"/>
    <w:rsid w:val="00A219F2"/>
    <w:rsid w:val="00A22D39"/>
    <w:rsid w:val="00A22F5A"/>
    <w:rsid w:val="00A23259"/>
    <w:rsid w:val="00A23B80"/>
    <w:rsid w:val="00A23CC4"/>
    <w:rsid w:val="00A23F0B"/>
    <w:rsid w:val="00A2547F"/>
    <w:rsid w:val="00A25E53"/>
    <w:rsid w:val="00A2669D"/>
    <w:rsid w:val="00A272B4"/>
    <w:rsid w:val="00A277FC"/>
    <w:rsid w:val="00A3026A"/>
    <w:rsid w:val="00A30EB3"/>
    <w:rsid w:val="00A3186E"/>
    <w:rsid w:val="00A31F64"/>
    <w:rsid w:val="00A325F5"/>
    <w:rsid w:val="00A3279E"/>
    <w:rsid w:val="00A32A57"/>
    <w:rsid w:val="00A32B2F"/>
    <w:rsid w:val="00A33B75"/>
    <w:rsid w:val="00A352A1"/>
    <w:rsid w:val="00A3542E"/>
    <w:rsid w:val="00A354EF"/>
    <w:rsid w:val="00A354F3"/>
    <w:rsid w:val="00A35908"/>
    <w:rsid w:val="00A35A4C"/>
    <w:rsid w:val="00A35A9C"/>
    <w:rsid w:val="00A36255"/>
    <w:rsid w:val="00A367D0"/>
    <w:rsid w:val="00A36947"/>
    <w:rsid w:val="00A373E6"/>
    <w:rsid w:val="00A378E0"/>
    <w:rsid w:val="00A40287"/>
    <w:rsid w:val="00A40357"/>
    <w:rsid w:val="00A40893"/>
    <w:rsid w:val="00A40CF0"/>
    <w:rsid w:val="00A40DA6"/>
    <w:rsid w:val="00A40DF4"/>
    <w:rsid w:val="00A41107"/>
    <w:rsid w:val="00A41AC1"/>
    <w:rsid w:val="00A428CD"/>
    <w:rsid w:val="00A43DAE"/>
    <w:rsid w:val="00A43EA3"/>
    <w:rsid w:val="00A43F88"/>
    <w:rsid w:val="00A446FE"/>
    <w:rsid w:val="00A44BEE"/>
    <w:rsid w:val="00A45149"/>
    <w:rsid w:val="00A45962"/>
    <w:rsid w:val="00A466F7"/>
    <w:rsid w:val="00A468E0"/>
    <w:rsid w:val="00A47EB4"/>
    <w:rsid w:val="00A504EB"/>
    <w:rsid w:val="00A50747"/>
    <w:rsid w:val="00A51234"/>
    <w:rsid w:val="00A51CD2"/>
    <w:rsid w:val="00A51FB6"/>
    <w:rsid w:val="00A52D06"/>
    <w:rsid w:val="00A53284"/>
    <w:rsid w:val="00A53285"/>
    <w:rsid w:val="00A53519"/>
    <w:rsid w:val="00A53603"/>
    <w:rsid w:val="00A54052"/>
    <w:rsid w:val="00A54617"/>
    <w:rsid w:val="00A546FE"/>
    <w:rsid w:val="00A553E0"/>
    <w:rsid w:val="00A557B9"/>
    <w:rsid w:val="00A55CCD"/>
    <w:rsid w:val="00A55D7B"/>
    <w:rsid w:val="00A55DB8"/>
    <w:rsid w:val="00A56992"/>
    <w:rsid w:val="00A56D47"/>
    <w:rsid w:val="00A57783"/>
    <w:rsid w:val="00A57DA9"/>
    <w:rsid w:val="00A5B6D5"/>
    <w:rsid w:val="00A60102"/>
    <w:rsid w:val="00A60296"/>
    <w:rsid w:val="00A606B8"/>
    <w:rsid w:val="00A60E80"/>
    <w:rsid w:val="00A614B5"/>
    <w:rsid w:val="00A616CB"/>
    <w:rsid w:val="00A632CD"/>
    <w:rsid w:val="00A633AC"/>
    <w:rsid w:val="00A63A85"/>
    <w:rsid w:val="00A6415E"/>
    <w:rsid w:val="00A64F90"/>
    <w:rsid w:val="00A64FEA"/>
    <w:rsid w:val="00A65762"/>
    <w:rsid w:val="00A65A93"/>
    <w:rsid w:val="00A65D17"/>
    <w:rsid w:val="00A66314"/>
    <w:rsid w:val="00A66B2C"/>
    <w:rsid w:val="00A66BFD"/>
    <w:rsid w:val="00A671CE"/>
    <w:rsid w:val="00A6749D"/>
    <w:rsid w:val="00A675A8"/>
    <w:rsid w:val="00A67783"/>
    <w:rsid w:val="00A67B6F"/>
    <w:rsid w:val="00A705EF"/>
    <w:rsid w:val="00A708D1"/>
    <w:rsid w:val="00A71A3B"/>
    <w:rsid w:val="00A71DD4"/>
    <w:rsid w:val="00A72B35"/>
    <w:rsid w:val="00A73B44"/>
    <w:rsid w:val="00A73E70"/>
    <w:rsid w:val="00A74B6C"/>
    <w:rsid w:val="00A74BED"/>
    <w:rsid w:val="00A7532D"/>
    <w:rsid w:val="00A7533D"/>
    <w:rsid w:val="00A76508"/>
    <w:rsid w:val="00A768B8"/>
    <w:rsid w:val="00A76BCC"/>
    <w:rsid w:val="00A76DF2"/>
    <w:rsid w:val="00A770E4"/>
    <w:rsid w:val="00A77506"/>
    <w:rsid w:val="00A778B4"/>
    <w:rsid w:val="00A80270"/>
    <w:rsid w:val="00A8048F"/>
    <w:rsid w:val="00A80828"/>
    <w:rsid w:val="00A80C86"/>
    <w:rsid w:val="00A80DFE"/>
    <w:rsid w:val="00A81450"/>
    <w:rsid w:val="00A8168F"/>
    <w:rsid w:val="00A81DB0"/>
    <w:rsid w:val="00A82490"/>
    <w:rsid w:val="00A824BE"/>
    <w:rsid w:val="00A83B96"/>
    <w:rsid w:val="00A83C8F"/>
    <w:rsid w:val="00A83DCB"/>
    <w:rsid w:val="00A83F3A"/>
    <w:rsid w:val="00A85015"/>
    <w:rsid w:val="00A853C7"/>
    <w:rsid w:val="00A86111"/>
    <w:rsid w:val="00A87575"/>
    <w:rsid w:val="00A875A9"/>
    <w:rsid w:val="00A91C6A"/>
    <w:rsid w:val="00A91DC0"/>
    <w:rsid w:val="00A92D69"/>
    <w:rsid w:val="00A92F19"/>
    <w:rsid w:val="00A93412"/>
    <w:rsid w:val="00A93736"/>
    <w:rsid w:val="00A94349"/>
    <w:rsid w:val="00A947E9"/>
    <w:rsid w:val="00A94AB6"/>
    <w:rsid w:val="00A9565F"/>
    <w:rsid w:val="00A95D6A"/>
    <w:rsid w:val="00A962EA"/>
    <w:rsid w:val="00A965C1"/>
    <w:rsid w:val="00A96820"/>
    <w:rsid w:val="00A96EA2"/>
    <w:rsid w:val="00A97440"/>
    <w:rsid w:val="00A9782C"/>
    <w:rsid w:val="00A9793A"/>
    <w:rsid w:val="00A97B2C"/>
    <w:rsid w:val="00A97C58"/>
    <w:rsid w:val="00A97D48"/>
    <w:rsid w:val="00AA014E"/>
    <w:rsid w:val="00AA0987"/>
    <w:rsid w:val="00AA0AA8"/>
    <w:rsid w:val="00AA14C5"/>
    <w:rsid w:val="00AA1C81"/>
    <w:rsid w:val="00AA1F87"/>
    <w:rsid w:val="00AA22F0"/>
    <w:rsid w:val="00AA251D"/>
    <w:rsid w:val="00AA2A4F"/>
    <w:rsid w:val="00AA338A"/>
    <w:rsid w:val="00AA39A9"/>
    <w:rsid w:val="00AA3F0E"/>
    <w:rsid w:val="00AA51CD"/>
    <w:rsid w:val="00AA54DF"/>
    <w:rsid w:val="00AA5537"/>
    <w:rsid w:val="00AA565F"/>
    <w:rsid w:val="00AA64C6"/>
    <w:rsid w:val="00AA712F"/>
    <w:rsid w:val="00AA716B"/>
    <w:rsid w:val="00AA7816"/>
    <w:rsid w:val="00AA78A0"/>
    <w:rsid w:val="00AB0559"/>
    <w:rsid w:val="00AB0CAF"/>
    <w:rsid w:val="00AB1336"/>
    <w:rsid w:val="00AB150B"/>
    <w:rsid w:val="00AB1530"/>
    <w:rsid w:val="00AB2F0A"/>
    <w:rsid w:val="00AB2F0D"/>
    <w:rsid w:val="00AB374D"/>
    <w:rsid w:val="00AB4C03"/>
    <w:rsid w:val="00AB5218"/>
    <w:rsid w:val="00AB5304"/>
    <w:rsid w:val="00AB593D"/>
    <w:rsid w:val="00AB599F"/>
    <w:rsid w:val="00AB5A46"/>
    <w:rsid w:val="00AB5ED7"/>
    <w:rsid w:val="00AB60E3"/>
    <w:rsid w:val="00AB6EA1"/>
    <w:rsid w:val="00AB71FE"/>
    <w:rsid w:val="00AB7317"/>
    <w:rsid w:val="00AB7658"/>
    <w:rsid w:val="00AB79C6"/>
    <w:rsid w:val="00AC0625"/>
    <w:rsid w:val="00AC0917"/>
    <w:rsid w:val="00AC18E2"/>
    <w:rsid w:val="00AC1AE0"/>
    <w:rsid w:val="00AC1BB5"/>
    <w:rsid w:val="00AC23DE"/>
    <w:rsid w:val="00AC2BBA"/>
    <w:rsid w:val="00AC2C1F"/>
    <w:rsid w:val="00AC4641"/>
    <w:rsid w:val="00AC49E0"/>
    <w:rsid w:val="00AC4A8A"/>
    <w:rsid w:val="00AC4DFA"/>
    <w:rsid w:val="00AC4E3D"/>
    <w:rsid w:val="00AC500A"/>
    <w:rsid w:val="00AC5A10"/>
    <w:rsid w:val="00AC63BE"/>
    <w:rsid w:val="00AC6AA2"/>
    <w:rsid w:val="00AC6B2B"/>
    <w:rsid w:val="00AC6D06"/>
    <w:rsid w:val="00AC7215"/>
    <w:rsid w:val="00AC72A6"/>
    <w:rsid w:val="00AD03F9"/>
    <w:rsid w:val="00AD078F"/>
    <w:rsid w:val="00AD11FB"/>
    <w:rsid w:val="00AD1BFF"/>
    <w:rsid w:val="00AD26C3"/>
    <w:rsid w:val="00AD2A1B"/>
    <w:rsid w:val="00AD2D69"/>
    <w:rsid w:val="00AD30FE"/>
    <w:rsid w:val="00AD3435"/>
    <w:rsid w:val="00AD3572"/>
    <w:rsid w:val="00AD3A2C"/>
    <w:rsid w:val="00AD3A83"/>
    <w:rsid w:val="00AD3AA5"/>
    <w:rsid w:val="00AD57AC"/>
    <w:rsid w:val="00AD58DD"/>
    <w:rsid w:val="00AD5A08"/>
    <w:rsid w:val="00AD5A21"/>
    <w:rsid w:val="00AD5C36"/>
    <w:rsid w:val="00AD5EF9"/>
    <w:rsid w:val="00AD7088"/>
    <w:rsid w:val="00AD75D0"/>
    <w:rsid w:val="00AD7BEC"/>
    <w:rsid w:val="00AE0096"/>
    <w:rsid w:val="00AE02EE"/>
    <w:rsid w:val="00AE0685"/>
    <w:rsid w:val="00AE1437"/>
    <w:rsid w:val="00AE1D23"/>
    <w:rsid w:val="00AE223E"/>
    <w:rsid w:val="00AE2459"/>
    <w:rsid w:val="00AE25CA"/>
    <w:rsid w:val="00AE285D"/>
    <w:rsid w:val="00AE2C43"/>
    <w:rsid w:val="00AE2D64"/>
    <w:rsid w:val="00AE310A"/>
    <w:rsid w:val="00AE3519"/>
    <w:rsid w:val="00AE36A1"/>
    <w:rsid w:val="00AE4498"/>
    <w:rsid w:val="00AE5053"/>
    <w:rsid w:val="00AE52AB"/>
    <w:rsid w:val="00AE5EA2"/>
    <w:rsid w:val="00AE6031"/>
    <w:rsid w:val="00AE6BB0"/>
    <w:rsid w:val="00AE6F1C"/>
    <w:rsid w:val="00AE7224"/>
    <w:rsid w:val="00AF0958"/>
    <w:rsid w:val="00AF09B3"/>
    <w:rsid w:val="00AF0A31"/>
    <w:rsid w:val="00AF0DCF"/>
    <w:rsid w:val="00AF0FD0"/>
    <w:rsid w:val="00AF11DA"/>
    <w:rsid w:val="00AF15EB"/>
    <w:rsid w:val="00AF16E7"/>
    <w:rsid w:val="00AF1FB5"/>
    <w:rsid w:val="00AF27C3"/>
    <w:rsid w:val="00AF28DF"/>
    <w:rsid w:val="00AF2D9B"/>
    <w:rsid w:val="00AF3226"/>
    <w:rsid w:val="00AF34CA"/>
    <w:rsid w:val="00AF53F7"/>
    <w:rsid w:val="00AF5C5D"/>
    <w:rsid w:val="00AF6256"/>
    <w:rsid w:val="00AF708B"/>
    <w:rsid w:val="00AF7530"/>
    <w:rsid w:val="00AF75AE"/>
    <w:rsid w:val="00AF774D"/>
    <w:rsid w:val="00B0011B"/>
    <w:rsid w:val="00B00AAC"/>
    <w:rsid w:val="00B00BA1"/>
    <w:rsid w:val="00B01127"/>
    <w:rsid w:val="00B017B8"/>
    <w:rsid w:val="00B019CF"/>
    <w:rsid w:val="00B01DF1"/>
    <w:rsid w:val="00B01E33"/>
    <w:rsid w:val="00B03827"/>
    <w:rsid w:val="00B04F2C"/>
    <w:rsid w:val="00B05968"/>
    <w:rsid w:val="00B05AEC"/>
    <w:rsid w:val="00B06B94"/>
    <w:rsid w:val="00B1124A"/>
    <w:rsid w:val="00B11285"/>
    <w:rsid w:val="00B112C5"/>
    <w:rsid w:val="00B11FC7"/>
    <w:rsid w:val="00B1214C"/>
    <w:rsid w:val="00B122FA"/>
    <w:rsid w:val="00B12AEF"/>
    <w:rsid w:val="00B12F03"/>
    <w:rsid w:val="00B1307E"/>
    <w:rsid w:val="00B1363F"/>
    <w:rsid w:val="00B1378C"/>
    <w:rsid w:val="00B13D20"/>
    <w:rsid w:val="00B1437E"/>
    <w:rsid w:val="00B14A5E"/>
    <w:rsid w:val="00B14FE3"/>
    <w:rsid w:val="00B15202"/>
    <w:rsid w:val="00B1576F"/>
    <w:rsid w:val="00B15CAE"/>
    <w:rsid w:val="00B16089"/>
    <w:rsid w:val="00B16373"/>
    <w:rsid w:val="00B17350"/>
    <w:rsid w:val="00B175C1"/>
    <w:rsid w:val="00B17736"/>
    <w:rsid w:val="00B20938"/>
    <w:rsid w:val="00B20AE8"/>
    <w:rsid w:val="00B21082"/>
    <w:rsid w:val="00B21105"/>
    <w:rsid w:val="00B212F7"/>
    <w:rsid w:val="00B21EB1"/>
    <w:rsid w:val="00B2342F"/>
    <w:rsid w:val="00B239E0"/>
    <w:rsid w:val="00B24B70"/>
    <w:rsid w:val="00B24E5A"/>
    <w:rsid w:val="00B2569A"/>
    <w:rsid w:val="00B259C5"/>
    <w:rsid w:val="00B259F2"/>
    <w:rsid w:val="00B25AD5"/>
    <w:rsid w:val="00B26041"/>
    <w:rsid w:val="00B26439"/>
    <w:rsid w:val="00B2714F"/>
    <w:rsid w:val="00B27AAE"/>
    <w:rsid w:val="00B308C7"/>
    <w:rsid w:val="00B313B9"/>
    <w:rsid w:val="00B318B8"/>
    <w:rsid w:val="00B319DF"/>
    <w:rsid w:val="00B31A43"/>
    <w:rsid w:val="00B32812"/>
    <w:rsid w:val="00B3291D"/>
    <w:rsid w:val="00B33625"/>
    <w:rsid w:val="00B33BD5"/>
    <w:rsid w:val="00B34155"/>
    <w:rsid w:val="00B349DF"/>
    <w:rsid w:val="00B35FAA"/>
    <w:rsid w:val="00B363B3"/>
    <w:rsid w:val="00B36730"/>
    <w:rsid w:val="00B36CB3"/>
    <w:rsid w:val="00B372FE"/>
    <w:rsid w:val="00B373A3"/>
    <w:rsid w:val="00B37C55"/>
    <w:rsid w:val="00B407A0"/>
    <w:rsid w:val="00B40F19"/>
    <w:rsid w:val="00B40F4F"/>
    <w:rsid w:val="00B415A9"/>
    <w:rsid w:val="00B425C1"/>
    <w:rsid w:val="00B4270E"/>
    <w:rsid w:val="00B42CDD"/>
    <w:rsid w:val="00B42F9D"/>
    <w:rsid w:val="00B43067"/>
    <w:rsid w:val="00B43A33"/>
    <w:rsid w:val="00B43F04"/>
    <w:rsid w:val="00B452F2"/>
    <w:rsid w:val="00B45680"/>
    <w:rsid w:val="00B4580A"/>
    <w:rsid w:val="00B45DBC"/>
    <w:rsid w:val="00B45E26"/>
    <w:rsid w:val="00B466DE"/>
    <w:rsid w:val="00B46967"/>
    <w:rsid w:val="00B4750B"/>
    <w:rsid w:val="00B4782F"/>
    <w:rsid w:val="00B4790B"/>
    <w:rsid w:val="00B50288"/>
    <w:rsid w:val="00B504C7"/>
    <w:rsid w:val="00B50767"/>
    <w:rsid w:val="00B5081F"/>
    <w:rsid w:val="00B50D06"/>
    <w:rsid w:val="00B511B2"/>
    <w:rsid w:val="00B51EC3"/>
    <w:rsid w:val="00B524A9"/>
    <w:rsid w:val="00B52DE5"/>
    <w:rsid w:val="00B531BA"/>
    <w:rsid w:val="00B535CF"/>
    <w:rsid w:val="00B537B0"/>
    <w:rsid w:val="00B546D3"/>
    <w:rsid w:val="00B54884"/>
    <w:rsid w:val="00B54CFD"/>
    <w:rsid w:val="00B5616C"/>
    <w:rsid w:val="00B56ED6"/>
    <w:rsid w:val="00B5747C"/>
    <w:rsid w:val="00B605D8"/>
    <w:rsid w:val="00B6214B"/>
    <w:rsid w:val="00B63870"/>
    <w:rsid w:val="00B63E17"/>
    <w:rsid w:val="00B63E90"/>
    <w:rsid w:val="00B6533B"/>
    <w:rsid w:val="00B65732"/>
    <w:rsid w:val="00B659DC"/>
    <w:rsid w:val="00B663E5"/>
    <w:rsid w:val="00B66685"/>
    <w:rsid w:val="00B66B30"/>
    <w:rsid w:val="00B66EBE"/>
    <w:rsid w:val="00B67092"/>
    <w:rsid w:val="00B67152"/>
    <w:rsid w:val="00B67659"/>
    <w:rsid w:val="00B67730"/>
    <w:rsid w:val="00B67B2A"/>
    <w:rsid w:val="00B71888"/>
    <w:rsid w:val="00B71C15"/>
    <w:rsid w:val="00B7262E"/>
    <w:rsid w:val="00B72714"/>
    <w:rsid w:val="00B72E0D"/>
    <w:rsid w:val="00B7400B"/>
    <w:rsid w:val="00B7420F"/>
    <w:rsid w:val="00B75A12"/>
    <w:rsid w:val="00B76B5C"/>
    <w:rsid w:val="00B76C1A"/>
    <w:rsid w:val="00B76D71"/>
    <w:rsid w:val="00B770C7"/>
    <w:rsid w:val="00B7716D"/>
    <w:rsid w:val="00B7735B"/>
    <w:rsid w:val="00B77768"/>
    <w:rsid w:val="00B77FA8"/>
    <w:rsid w:val="00B80AF2"/>
    <w:rsid w:val="00B80B93"/>
    <w:rsid w:val="00B80C70"/>
    <w:rsid w:val="00B80F3B"/>
    <w:rsid w:val="00B81EB0"/>
    <w:rsid w:val="00B83D0F"/>
    <w:rsid w:val="00B84FD5"/>
    <w:rsid w:val="00B85328"/>
    <w:rsid w:val="00B85458"/>
    <w:rsid w:val="00B85C3E"/>
    <w:rsid w:val="00B864AE"/>
    <w:rsid w:val="00B86B27"/>
    <w:rsid w:val="00B8777E"/>
    <w:rsid w:val="00B90181"/>
    <w:rsid w:val="00B90263"/>
    <w:rsid w:val="00B909C3"/>
    <w:rsid w:val="00B90CE5"/>
    <w:rsid w:val="00B90DB3"/>
    <w:rsid w:val="00B91E8C"/>
    <w:rsid w:val="00B92307"/>
    <w:rsid w:val="00B923CC"/>
    <w:rsid w:val="00B92812"/>
    <w:rsid w:val="00B92E04"/>
    <w:rsid w:val="00B93168"/>
    <w:rsid w:val="00B93352"/>
    <w:rsid w:val="00B93C63"/>
    <w:rsid w:val="00B93D44"/>
    <w:rsid w:val="00B949D7"/>
    <w:rsid w:val="00B94CA0"/>
    <w:rsid w:val="00B95138"/>
    <w:rsid w:val="00B95401"/>
    <w:rsid w:val="00B9653A"/>
    <w:rsid w:val="00B96967"/>
    <w:rsid w:val="00B96D56"/>
    <w:rsid w:val="00B97301"/>
    <w:rsid w:val="00B97DBE"/>
    <w:rsid w:val="00BA00D4"/>
    <w:rsid w:val="00BA049B"/>
    <w:rsid w:val="00BA04A6"/>
    <w:rsid w:val="00BA0EA7"/>
    <w:rsid w:val="00BA120D"/>
    <w:rsid w:val="00BA1A7F"/>
    <w:rsid w:val="00BA3144"/>
    <w:rsid w:val="00BA3B4B"/>
    <w:rsid w:val="00BA3DE2"/>
    <w:rsid w:val="00BA402C"/>
    <w:rsid w:val="00BA50D4"/>
    <w:rsid w:val="00BA7626"/>
    <w:rsid w:val="00BA7B61"/>
    <w:rsid w:val="00BB05C6"/>
    <w:rsid w:val="00BB0B40"/>
    <w:rsid w:val="00BB0CE5"/>
    <w:rsid w:val="00BB0D41"/>
    <w:rsid w:val="00BB115B"/>
    <w:rsid w:val="00BB18DA"/>
    <w:rsid w:val="00BB1AFA"/>
    <w:rsid w:val="00BB23AE"/>
    <w:rsid w:val="00BB24D2"/>
    <w:rsid w:val="00BB2EE8"/>
    <w:rsid w:val="00BB3BB8"/>
    <w:rsid w:val="00BB3ED9"/>
    <w:rsid w:val="00BB4299"/>
    <w:rsid w:val="00BB4C2A"/>
    <w:rsid w:val="00BB560E"/>
    <w:rsid w:val="00BB60A6"/>
    <w:rsid w:val="00BB6977"/>
    <w:rsid w:val="00BB74CC"/>
    <w:rsid w:val="00BC075B"/>
    <w:rsid w:val="00BC141D"/>
    <w:rsid w:val="00BC195B"/>
    <w:rsid w:val="00BC23A8"/>
    <w:rsid w:val="00BC26DC"/>
    <w:rsid w:val="00BC27E2"/>
    <w:rsid w:val="00BC2802"/>
    <w:rsid w:val="00BC28C2"/>
    <w:rsid w:val="00BC295F"/>
    <w:rsid w:val="00BC2CD3"/>
    <w:rsid w:val="00BC38ED"/>
    <w:rsid w:val="00BC4090"/>
    <w:rsid w:val="00BC42D3"/>
    <w:rsid w:val="00BC4476"/>
    <w:rsid w:val="00BC4D23"/>
    <w:rsid w:val="00BC5BCF"/>
    <w:rsid w:val="00BC5BDB"/>
    <w:rsid w:val="00BC60CE"/>
    <w:rsid w:val="00BC675D"/>
    <w:rsid w:val="00BC6CA6"/>
    <w:rsid w:val="00BC70EF"/>
    <w:rsid w:val="00BC723F"/>
    <w:rsid w:val="00BD10C5"/>
    <w:rsid w:val="00BD12E8"/>
    <w:rsid w:val="00BD14B6"/>
    <w:rsid w:val="00BD2D4C"/>
    <w:rsid w:val="00BD349B"/>
    <w:rsid w:val="00BD42A9"/>
    <w:rsid w:val="00BD4367"/>
    <w:rsid w:val="00BD4374"/>
    <w:rsid w:val="00BD4A88"/>
    <w:rsid w:val="00BD5971"/>
    <w:rsid w:val="00BD78FF"/>
    <w:rsid w:val="00BD7BF9"/>
    <w:rsid w:val="00BE0142"/>
    <w:rsid w:val="00BE050F"/>
    <w:rsid w:val="00BE09FD"/>
    <w:rsid w:val="00BE19AC"/>
    <w:rsid w:val="00BE22DE"/>
    <w:rsid w:val="00BE23EE"/>
    <w:rsid w:val="00BE2628"/>
    <w:rsid w:val="00BE2A0C"/>
    <w:rsid w:val="00BE31A0"/>
    <w:rsid w:val="00BE3346"/>
    <w:rsid w:val="00BE3AAF"/>
    <w:rsid w:val="00BE4C23"/>
    <w:rsid w:val="00BE4E60"/>
    <w:rsid w:val="00BE517A"/>
    <w:rsid w:val="00BE6A6D"/>
    <w:rsid w:val="00BE6F20"/>
    <w:rsid w:val="00BE748D"/>
    <w:rsid w:val="00BE77E6"/>
    <w:rsid w:val="00BE7F11"/>
    <w:rsid w:val="00BE7F7E"/>
    <w:rsid w:val="00BF035A"/>
    <w:rsid w:val="00BF06A4"/>
    <w:rsid w:val="00BF0D98"/>
    <w:rsid w:val="00BF0E4B"/>
    <w:rsid w:val="00BF15D8"/>
    <w:rsid w:val="00BF330A"/>
    <w:rsid w:val="00BF38FE"/>
    <w:rsid w:val="00BF3A6B"/>
    <w:rsid w:val="00BF3DAB"/>
    <w:rsid w:val="00BF3E33"/>
    <w:rsid w:val="00BF4D07"/>
    <w:rsid w:val="00BF5672"/>
    <w:rsid w:val="00BF6AA0"/>
    <w:rsid w:val="00BF6E9F"/>
    <w:rsid w:val="00BF7509"/>
    <w:rsid w:val="00BF7885"/>
    <w:rsid w:val="00C0060E"/>
    <w:rsid w:val="00C006EA"/>
    <w:rsid w:val="00C008A2"/>
    <w:rsid w:val="00C010B8"/>
    <w:rsid w:val="00C01407"/>
    <w:rsid w:val="00C01501"/>
    <w:rsid w:val="00C02231"/>
    <w:rsid w:val="00C02C49"/>
    <w:rsid w:val="00C0336C"/>
    <w:rsid w:val="00C03942"/>
    <w:rsid w:val="00C03B19"/>
    <w:rsid w:val="00C0503A"/>
    <w:rsid w:val="00C05A3A"/>
    <w:rsid w:val="00C068BD"/>
    <w:rsid w:val="00C06BFC"/>
    <w:rsid w:val="00C06C72"/>
    <w:rsid w:val="00C077AE"/>
    <w:rsid w:val="00C07D25"/>
    <w:rsid w:val="00C10157"/>
    <w:rsid w:val="00C10FE2"/>
    <w:rsid w:val="00C114F3"/>
    <w:rsid w:val="00C1201F"/>
    <w:rsid w:val="00C120A4"/>
    <w:rsid w:val="00C1221A"/>
    <w:rsid w:val="00C12349"/>
    <w:rsid w:val="00C125A7"/>
    <w:rsid w:val="00C13277"/>
    <w:rsid w:val="00C137F6"/>
    <w:rsid w:val="00C139AF"/>
    <w:rsid w:val="00C142C2"/>
    <w:rsid w:val="00C14512"/>
    <w:rsid w:val="00C148F0"/>
    <w:rsid w:val="00C15C0D"/>
    <w:rsid w:val="00C1662D"/>
    <w:rsid w:val="00C20215"/>
    <w:rsid w:val="00C20957"/>
    <w:rsid w:val="00C20A5B"/>
    <w:rsid w:val="00C20DBB"/>
    <w:rsid w:val="00C213B1"/>
    <w:rsid w:val="00C213E0"/>
    <w:rsid w:val="00C2153B"/>
    <w:rsid w:val="00C2218E"/>
    <w:rsid w:val="00C23483"/>
    <w:rsid w:val="00C23907"/>
    <w:rsid w:val="00C23BF3"/>
    <w:rsid w:val="00C23E1C"/>
    <w:rsid w:val="00C23EDF"/>
    <w:rsid w:val="00C24166"/>
    <w:rsid w:val="00C241AF"/>
    <w:rsid w:val="00C249DF"/>
    <w:rsid w:val="00C24C01"/>
    <w:rsid w:val="00C24E91"/>
    <w:rsid w:val="00C25BF1"/>
    <w:rsid w:val="00C26060"/>
    <w:rsid w:val="00C265C0"/>
    <w:rsid w:val="00C27C70"/>
    <w:rsid w:val="00C27CEF"/>
    <w:rsid w:val="00C30234"/>
    <w:rsid w:val="00C306F1"/>
    <w:rsid w:val="00C30BC3"/>
    <w:rsid w:val="00C316D7"/>
    <w:rsid w:val="00C31BFF"/>
    <w:rsid w:val="00C31F51"/>
    <w:rsid w:val="00C3290C"/>
    <w:rsid w:val="00C32B7A"/>
    <w:rsid w:val="00C33516"/>
    <w:rsid w:val="00C34028"/>
    <w:rsid w:val="00C3408A"/>
    <w:rsid w:val="00C34371"/>
    <w:rsid w:val="00C34C9F"/>
    <w:rsid w:val="00C3560A"/>
    <w:rsid w:val="00C35708"/>
    <w:rsid w:val="00C36BDD"/>
    <w:rsid w:val="00C37020"/>
    <w:rsid w:val="00C3743A"/>
    <w:rsid w:val="00C37ABC"/>
    <w:rsid w:val="00C407F7"/>
    <w:rsid w:val="00C40E07"/>
    <w:rsid w:val="00C415FE"/>
    <w:rsid w:val="00C419EC"/>
    <w:rsid w:val="00C42328"/>
    <w:rsid w:val="00C43329"/>
    <w:rsid w:val="00C4375C"/>
    <w:rsid w:val="00C43999"/>
    <w:rsid w:val="00C43F37"/>
    <w:rsid w:val="00C44480"/>
    <w:rsid w:val="00C44691"/>
    <w:rsid w:val="00C451BF"/>
    <w:rsid w:val="00C452C4"/>
    <w:rsid w:val="00C455A2"/>
    <w:rsid w:val="00C4575C"/>
    <w:rsid w:val="00C45B9D"/>
    <w:rsid w:val="00C462DB"/>
    <w:rsid w:val="00C46B56"/>
    <w:rsid w:val="00C4798E"/>
    <w:rsid w:val="00C47B6C"/>
    <w:rsid w:val="00C47EC7"/>
    <w:rsid w:val="00C50419"/>
    <w:rsid w:val="00C50E97"/>
    <w:rsid w:val="00C51CCE"/>
    <w:rsid w:val="00C5206E"/>
    <w:rsid w:val="00C52186"/>
    <w:rsid w:val="00C524F7"/>
    <w:rsid w:val="00C52C04"/>
    <w:rsid w:val="00C54225"/>
    <w:rsid w:val="00C54928"/>
    <w:rsid w:val="00C54AE9"/>
    <w:rsid w:val="00C54CAD"/>
    <w:rsid w:val="00C54EC6"/>
    <w:rsid w:val="00C54F2E"/>
    <w:rsid w:val="00C55187"/>
    <w:rsid w:val="00C55AA1"/>
    <w:rsid w:val="00C57157"/>
    <w:rsid w:val="00C573C6"/>
    <w:rsid w:val="00C57542"/>
    <w:rsid w:val="00C57648"/>
    <w:rsid w:val="00C57EF0"/>
    <w:rsid w:val="00C57F5C"/>
    <w:rsid w:val="00C60674"/>
    <w:rsid w:val="00C61861"/>
    <w:rsid w:val="00C618D8"/>
    <w:rsid w:val="00C619E7"/>
    <w:rsid w:val="00C61B17"/>
    <w:rsid w:val="00C61BD6"/>
    <w:rsid w:val="00C61CD2"/>
    <w:rsid w:val="00C61E6C"/>
    <w:rsid w:val="00C6257E"/>
    <w:rsid w:val="00C6278D"/>
    <w:rsid w:val="00C62940"/>
    <w:rsid w:val="00C62E9D"/>
    <w:rsid w:val="00C64473"/>
    <w:rsid w:val="00C6451A"/>
    <w:rsid w:val="00C64B13"/>
    <w:rsid w:val="00C65EDF"/>
    <w:rsid w:val="00C670F3"/>
    <w:rsid w:val="00C673FA"/>
    <w:rsid w:val="00C6753F"/>
    <w:rsid w:val="00C67759"/>
    <w:rsid w:val="00C67D5B"/>
    <w:rsid w:val="00C67D8B"/>
    <w:rsid w:val="00C7023E"/>
    <w:rsid w:val="00C703A3"/>
    <w:rsid w:val="00C70433"/>
    <w:rsid w:val="00C7095D"/>
    <w:rsid w:val="00C70B7E"/>
    <w:rsid w:val="00C715F9"/>
    <w:rsid w:val="00C71CA0"/>
    <w:rsid w:val="00C71F9D"/>
    <w:rsid w:val="00C7214F"/>
    <w:rsid w:val="00C722F9"/>
    <w:rsid w:val="00C7295F"/>
    <w:rsid w:val="00C73054"/>
    <w:rsid w:val="00C7398A"/>
    <w:rsid w:val="00C742A0"/>
    <w:rsid w:val="00C7464B"/>
    <w:rsid w:val="00C74FAE"/>
    <w:rsid w:val="00C75B1E"/>
    <w:rsid w:val="00C75DAD"/>
    <w:rsid w:val="00C75EB8"/>
    <w:rsid w:val="00C762E5"/>
    <w:rsid w:val="00C7640E"/>
    <w:rsid w:val="00C76A88"/>
    <w:rsid w:val="00C76D32"/>
    <w:rsid w:val="00C76EB0"/>
    <w:rsid w:val="00C773A4"/>
    <w:rsid w:val="00C775F2"/>
    <w:rsid w:val="00C77AE0"/>
    <w:rsid w:val="00C77D37"/>
    <w:rsid w:val="00C812B4"/>
    <w:rsid w:val="00C81F87"/>
    <w:rsid w:val="00C825E4"/>
    <w:rsid w:val="00C82D3A"/>
    <w:rsid w:val="00C82D43"/>
    <w:rsid w:val="00C82FC2"/>
    <w:rsid w:val="00C83937"/>
    <w:rsid w:val="00C84D58"/>
    <w:rsid w:val="00C85D2D"/>
    <w:rsid w:val="00C8621B"/>
    <w:rsid w:val="00C8731C"/>
    <w:rsid w:val="00C87948"/>
    <w:rsid w:val="00C9052C"/>
    <w:rsid w:val="00C91127"/>
    <w:rsid w:val="00C917C1"/>
    <w:rsid w:val="00C91AD4"/>
    <w:rsid w:val="00C91E49"/>
    <w:rsid w:val="00C92492"/>
    <w:rsid w:val="00C93965"/>
    <w:rsid w:val="00C93D5F"/>
    <w:rsid w:val="00C94EE6"/>
    <w:rsid w:val="00C95676"/>
    <w:rsid w:val="00C95F45"/>
    <w:rsid w:val="00C96226"/>
    <w:rsid w:val="00C96430"/>
    <w:rsid w:val="00C96640"/>
    <w:rsid w:val="00C96C2D"/>
    <w:rsid w:val="00C96FFE"/>
    <w:rsid w:val="00C9730B"/>
    <w:rsid w:val="00C976ED"/>
    <w:rsid w:val="00CA011C"/>
    <w:rsid w:val="00CA02DE"/>
    <w:rsid w:val="00CA2FAC"/>
    <w:rsid w:val="00CA437C"/>
    <w:rsid w:val="00CA5211"/>
    <w:rsid w:val="00CA6219"/>
    <w:rsid w:val="00CA659E"/>
    <w:rsid w:val="00CA6702"/>
    <w:rsid w:val="00CA6840"/>
    <w:rsid w:val="00CA6DC6"/>
    <w:rsid w:val="00CA6F89"/>
    <w:rsid w:val="00CA7212"/>
    <w:rsid w:val="00CA725E"/>
    <w:rsid w:val="00CA7CC9"/>
    <w:rsid w:val="00CA7DCE"/>
    <w:rsid w:val="00CB0116"/>
    <w:rsid w:val="00CB086C"/>
    <w:rsid w:val="00CB094B"/>
    <w:rsid w:val="00CB0BF6"/>
    <w:rsid w:val="00CB1914"/>
    <w:rsid w:val="00CB3DB4"/>
    <w:rsid w:val="00CB3EE6"/>
    <w:rsid w:val="00CB425C"/>
    <w:rsid w:val="00CB4284"/>
    <w:rsid w:val="00CB5918"/>
    <w:rsid w:val="00CB5B2D"/>
    <w:rsid w:val="00CB5E05"/>
    <w:rsid w:val="00CB651A"/>
    <w:rsid w:val="00CB65A5"/>
    <w:rsid w:val="00CB67B4"/>
    <w:rsid w:val="00CB70DB"/>
    <w:rsid w:val="00CB779D"/>
    <w:rsid w:val="00CB77D9"/>
    <w:rsid w:val="00CC0502"/>
    <w:rsid w:val="00CC06E8"/>
    <w:rsid w:val="00CC1242"/>
    <w:rsid w:val="00CC12B9"/>
    <w:rsid w:val="00CC1C0A"/>
    <w:rsid w:val="00CC1F7E"/>
    <w:rsid w:val="00CC20FD"/>
    <w:rsid w:val="00CC23E4"/>
    <w:rsid w:val="00CC23FD"/>
    <w:rsid w:val="00CC2541"/>
    <w:rsid w:val="00CC29D4"/>
    <w:rsid w:val="00CC2A03"/>
    <w:rsid w:val="00CC2B90"/>
    <w:rsid w:val="00CC2D30"/>
    <w:rsid w:val="00CC2E40"/>
    <w:rsid w:val="00CC2FD2"/>
    <w:rsid w:val="00CC4352"/>
    <w:rsid w:val="00CC4EBB"/>
    <w:rsid w:val="00CC57A4"/>
    <w:rsid w:val="00CC58BD"/>
    <w:rsid w:val="00CC5D7A"/>
    <w:rsid w:val="00CC616E"/>
    <w:rsid w:val="00CC6E6D"/>
    <w:rsid w:val="00CC7981"/>
    <w:rsid w:val="00CD00CF"/>
    <w:rsid w:val="00CD052D"/>
    <w:rsid w:val="00CD13C9"/>
    <w:rsid w:val="00CD2E50"/>
    <w:rsid w:val="00CD3341"/>
    <w:rsid w:val="00CD38BD"/>
    <w:rsid w:val="00CD491E"/>
    <w:rsid w:val="00CD5AA4"/>
    <w:rsid w:val="00CD5DE9"/>
    <w:rsid w:val="00CD5DEB"/>
    <w:rsid w:val="00CD6028"/>
    <w:rsid w:val="00CD62D5"/>
    <w:rsid w:val="00CD64D6"/>
    <w:rsid w:val="00CD66D8"/>
    <w:rsid w:val="00CD6855"/>
    <w:rsid w:val="00CD7358"/>
    <w:rsid w:val="00CD7501"/>
    <w:rsid w:val="00CD769D"/>
    <w:rsid w:val="00CD76BB"/>
    <w:rsid w:val="00CD795E"/>
    <w:rsid w:val="00CE000D"/>
    <w:rsid w:val="00CE07D8"/>
    <w:rsid w:val="00CE08F2"/>
    <w:rsid w:val="00CE0AD3"/>
    <w:rsid w:val="00CE0D80"/>
    <w:rsid w:val="00CE1098"/>
    <w:rsid w:val="00CE13AD"/>
    <w:rsid w:val="00CE1C64"/>
    <w:rsid w:val="00CE294D"/>
    <w:rsid w:val="00CE2A07"/>
    <w:rsid w:val="00CE3855"/>
    <w:rsid w:val="00CE385E"/>
    <w:rsid w:val="00CE4F05"/>
    <w:rsid w:val="00CE4F97"/>
    <w:rsid w:val="00CE50FE"/>
    <w:rsid w:val="00CE551A"/>
    <w:rsid w:val="00CE647B"/>
    <w:rsid w:val="00CE6730"/>
    <w:rsid w:val="00CE7D1C"/>
    <w:rsid w:val="00CF0C34"/>
    <w:rsid w:val="00CF160C"/>
    <w:rsid w:val="00CF2898"/>
    <w:rsid w:val="00CF29B3"/>
    <w:rsid w:val="00CF3218"/>
    <w:rsid w:val="00CF33D0"/>
    <w:rsid w:val="00CF33D9"/>
    <w:rsid w:val="00CF40D9"/>
    <w:rsid w:val="00CF4D9C"/>
    <w:rsid w:val="00CF4FE1"/>
    <w:rsid w:val="00CF525F"/>
    <w:rsid w:val="00CF55B4"/>
    <w:rsid w:val="00CF6799"/>
    <w:rsid w:val="00CF6ACA"/>
    <w:rsid w:val="00CF6C76"/>
    <w:rsid w:val="00CF782A"/>
    <w:rsid w:val="00CF7FB7"/>
    <w:rsid w:val="00D000D7"/>
    <w:rsid w:val="00D01009"/>
    <w:rsid w:val="00D02E0C"/>
    <w:rsid w:val="00D036E8"/>
    <w:rsid w:val="00D036F6"/>
    <w:rsid w:val="00D03D95"/>
    <w:rsid w:val="00D0408F"/>
    <w:rsid w:val="00D04BFB"/>
    <w:rsid w:val="00D0503C"/>
    <w:rsid w:val="00D058DC"/>
    <w:rsid w:val="00D064F2"/>
    <w:rsid w:val="00D065E7"/>
    <w:rsid w:val="00D0699B"/>
    <w:rsid w:val="00D06A95"/>
    <w:rsid w:val="00D071A3"/>
    <w:rsid w:val="00D0796E"/>
    <w:rsid w:val="00D07997"/>
    <w:rsid w:val="00D07FA4"/>
    <w:rsid w:val="00D1140F"/>
    <w:rsid w:val="00D116E0"/>
    <w:rsid w:val="00D11782"/>
    <w:rsid w:val="00D11A95"/>
    <w:rsid w:val="00D11FE5"/>
    <w:rsid w:val="00D12437"/>
    <w:rsid w:val="00D127BB"/>
    <w:rsid w:val="00D12D6A"/>
    <w:rsid w:val="00D13676"/>
    <w:rsid w:val="00D13882"/>
    <w:rsid w:val="00D13A7D"/>
    <w:rsid w:val="00D13C1F"/>
    <w:rsid w:val="00D14656"/>
    <w:rsid w:val="00D14A69"/>
    <w:rsid w:val="00D14E32"/>
    <w:rsid w:val="00D1647D"/>
    <w:rsid w:val="00D2071C"/>
    <w:rsid w:val="00D2076C"/>
    <w:rsid w:val="00D20EEE"/>
    <w:rsid w:val="00D21120"/>
    <w:rsid w:val="00D214F5"/>
    <w:rsid w:val="00D217A2"/>
    <w:rsid w:val="00D217C6"/>
    <w:rsid w:val="00D21EBD"/>
    <w:rsid w:val="00D22424"/>
    <w:rsid w:val="00D22787"/>
    <w:rsid w:val="00D22B37"/>
    <w:rsid w:val="00D22BEF"/>
    <w:rsid w:val="00D22CB9"/>
    <w:rsid w:val="00D22E23"/>
    <w:rsid w:val="00D23C76"/>
    <w:rsid w:val="00D24725"/>
    <w:rsid w:val="00D250C1"/>
    <w:rsid w:val="00D25740"/>
    <w:rsid w:val="00D2613A"/>
    <w:rsid w:val="00D2616B"/>
    <w:rsid w:val="00D27D10"/>
    <w:rsid w:val="00D30985"/>
    <w:rsid w:val="00D30A8C"/>
    <w:rsid w:val="00D31353"/>
    <w:rsid w:val="00D31E35"/>
    <w:rsid w:val="00D32449"/>
    <w:rsid w:val="00D32639"/>
    <w:rsid w:val="00D3267C"/>
    <w:rsid w:val="00D3277F"/>
    <w:rsid w:val="00D32E8E"/>
    <w:rsid w:val="00D33A37"/>
    <w:rsid w:val="00D33F3B"/>
    <w:rsid w:val="00D34D6A"/>
    <w:rsid w:val="00D351DF"/>
    <w:rsid w:val="00D353AB"/>
    <w:rsid w:val="00D35449"/>
    <w:rsid w:val="00D35E9B"/>
    <w:rsid w:val="00D373CE"/>
    <w:rsid w:val="00D37934"/>
    <w:rsid w:val="00D40972"/>
    <w:rsid w:val="00D40BAD"/>
    <w:rsid w:val="00D41B9F"/>
    <w:rsid w:val="00D41D0C"/>
    <w:rsid w:val="00D426A9"/>
    <w:rsid w:val="00D42D24"/>
    <w:rsid w:val="00D4362A"/>
    <w:rsid w:val="00D43909"/>
    <w:rsid w:val="00D43DE2"/>
    <w:rsid w:val="00D442D8"/>
    <w:rsid w:val="00D44700"/>
    <w:rsid w:val="00D4527B"/>
    <w:rsid w:val="00D45953"/>
    <w:rsid w:val="00D45AE6"/>
    <w:rsid w:val="00D46195"/>
    <w:rsid w:val="00D46DF5"/>
    <w:rsid w:val="00D47123"/>
    <w:rsid w:val="00D478EB"/>
    <w:rsid w:val="00D47BA7"/>
    <w:rsid w:val="00D504BB"/>
    <w:rsid w:val="00D50C28"/>
    <w:rsid w:val="00D512B1"/>
    <w:rsid w:val="00D521E4"/>
    <w:rsid w:val="00D52299"/>
    <w:rsid w:val="00D52E39"/>
    <w:rsid w:val="00D536CA"/>
    <w:rsid w:val="00D53813"/>
    <w:rsid w:val="00D541E1"/>
    <w:rsid w:val="00D54AC6"/>
    <w:rsid w:val="00D54EBF"/>
    <w:rsid w:val="00D558D2"/>
    <w:rsid w:val="00D55B5D"/>
    <w:rsid w:val="00D55B74"/>
    <w:rsid w:val="00D56383"/>
    <w:rsid w:val="00D56534"/>
    <w:rsid w:val="00D565FB"/>
    <w:rsid w:val="00D57490"/>
    <w:rsid w:val="00D575B0"/>
    <w:rsid w:val="00D57DA7"/>
    <w:rsid w:val="00D57DC6"/>
    <w:rsid w:val="00D603B6"/>
    <w:rsid w:val="00D606ED"/>
    <w:rsid w:val="00D60890"/>
    <w:rsid w:val="00D60D82"/>
    <w:rsid w:val="00D60E0C"/>
    <w:rsid w:val="00D60EEB"/>
    <w:rsid w:val="00D61AAC"/>
    <w:rsid w:val="00D61C29"/>
    <w:rsid w:val="00D61C48"/>
    <w:rsid w:val="00D61CB9"/>
    <w:rsid w:val="00D620CD"/>
    <w:rsid w:val="00D6238A"/>
    <w:rsid w:val="00D623FA"/>
    <w:rsid w:val="00D6320F"/>
    <w:rsid w:val="00D65757"/>
    <w:rsid w:val="00D666FD"/>
    <w:rsid w:val="00D66B6D"/>
    <w:rsid w:val="00D678F2"/>
    <w:rsid w:val="00D67C64"/>
    <w:rsid w:val="00D67D0E"/>
    <w:rsid w:val="00D70255"/>
    <w:rsid w:val="00D70291"/>
    <w:rsid w:val="00D704B6"/>
    <w:rsid w:val="00D709E7"/>
    <w:rsid w:val="00D713E8"/>
    <w:rsid w:val="00D71420"/>
    <w:rsid w:val="00D7223E"/>
    <w:rsid w:val="00D72505"/>
    <w:rsid w:val="00D7269F"/>
    <w:rsid w:val="00D7320D"/>
    <w:rsid w:val="00D73B3C"/>
    <w:rsid w:val="00D750C8"/>
    <w:rsid w:val="00D7524F"/>
    <w:rsid w:val="00D75427"/>
    <w:rsid w:val="00D758F2"/>
    <w:rsid w:val="00D75CBB"/>
    <w:rsid w:val="00D767FF"/>
    <w:rsid w:val="00D769A7"/>
    <w:rsid w:val="00D77957"/>
    <w:rsid w:val="00D77B13"/>
    <w:rsid w:val="00D812CC"/>
    <w:rsid w:val="00D814A9"/>
    <w:rsid w:val="00D81867"/>
    <w:rsid w:val="00D8188B"/>
    <w:rsid w:val="00D81D95"/>
    <w:rsid w:val="00D82B65"/>
    <w:rsid w:val="00D83FF5"/>
    <w:rsid w:val="00D84500"/>
    <w:rsid w:val="00D84674"/>
    <w:rsid w:val="00D84EF5"/>
    <w:rsid w:val="00D857A9"/>
    <w:rsid w:val="00D85B53"/>
    <w:rsid w:val="00D8720B"/>
    <w:rsid w:val="00D875EE"/>
    <w:rsid w:val="00D90439"/>
    <w:rsid w:val="00D9077A"/>
    <w:rsid w:val="00D90958"/>
    <w:rsid w:val="00D90D02"/>
    <w:rsid w:val="00D90ECB"/>
    <w:rsid w:val="00D90F5E"/>
    <w:rsid w:val="00D91149"/>
    <w:rsid w:val="00D9141A"/>
    <w:rsid w:val="00D9191F"/>
    <w:rsid w:val="00D91939"/>
    <w:rsid w:val="00D93055"/>
    <w:rsid w:val="00D93326"/>
    <w:rsid w:val="00D93D1A"/>
    <w:rsid w:val="00D940BE"/>
    <w:rsid w:val="00D94399"/>
    <w:rsid w:val="00D944DF"/>
    <w:rsid w:val="00D9472B"/>
    <w:rsid w:val="00D95249"/>
    <w:rsid w:val="00D96831"/>
    <w:rsid w:val="00D96A2D"/>
    <w:rsid w:val="00D97211"/>
    <w:rsid w:val="00D979BE"/>
    <w:rsid w:val="00D97EF2"/>
    <w:rsid w:val="00D97F19"/>
    <w:rsid w:val="00DA00AA"/>
    <w:rsid w:val="00DA0209"/>
    <w:rsid w:val="00DA11E7"/>
    <w:rsid w:val="00DA1BB6"/>
    <w:rsid w:val="00DA247E"/>
    <w:rsid w:val="00DA2507"/>
    <w:rsid w:val="00DA26DB"/>
    <w:rsid w:val="00DA26E0"/>
    <w:rsid w:val="00DA3A86"/>
    <w:rsid w:val="00DA3B6A"/>
    <w:rsid w:val="00DA3F6D"/>
    <w:rsid w:val="00DA3FEF"/>
    <w:rsid w:val="00DA443C"/>
    <w:rsid w:val="00DA44E3"/>
    <w:rsid w:val="00DA4ACC"/>
    <w:rsid w:val="00DA5C97"/>
    <w:rsid w:val="00DA627C"/>
    <w:rsid w:val="00DA66B1"/>
    <w:rsid w:val="00DA6938"/>
    <w:rsid w:val="00DA7222"/>
    <w:rsid w:val="00DA73BF"/>
    <w:rsid w:val="00DA74DA"/>
    <w:rsid w:val="00DA7B3A"/>
    <w:rsid w:val="00DA7B95"/>
    <w:rsid w:val="00DA7D69"/>
    <w:rsid w:val="00DB0243"/>
    <w:rsid w:val="00DB2018"/>
    <w:rsid w:val="00DB2ED1"/>
    <w:rsid w:val="00DB3408"/>
    <w:rsid w:val="00DB3ECF"/>
    <w:rsid w:val="00DB4827"/>
    <w:rsid w:val="00DB4DFA"/>
    <w:rsid w:val="00DB50D8"/>
    <w:rsid w:val="00DB62B8"/>
    <w:rsid w:val="00DB7641"/>
    <w:rsid w:val="00DB76E3"/>
    <w:rsid w:val="00DB7D75"/>
    <w:rsid w:val="00DB7EA2"/>
    <w:rsid w:val="00DC0713"/>
    <w:rsid w:val="00DC09E4"/>
    <w:rsid w:val="00DC10BB"/>
    <w:rsid w:val="00DC2CF6"/>
    <w:rsid w:val="00DC3BE8"/>
    <w:rsid w:val="00DC3D19"/>
    <w:rsid w:val="00DC3E58"/>
    <w:rsid w:val="00DC5746"/>
    <w:rsid w:val="00DC57DA"/>
    <w:rsid w:val="00DC58E5"/>
    <w:rsid w:val="00DC596F"/>
    <w:rsid w:val="00DC5999"/>
    <w:rsid w:val="00DC5AF9"/>
    <w:rsid w:val="00DC5C9F"/>
    <w:rsid w:val="00DC671A"/>
    <w:rsid w:val="00DC6724"/>
    <w:rsid w:val="00DC74E3"/>
    <w:rsid w:val="00DC77F3"/>
    <w:rsid w:val="00DD0035"/>
    <w:rsid w:val="00DD0BBB"/>
    <w:rsid w:val="00DD0CF2"/>
    <w:rsid w:val="00DD1CDC"/>
    <w:rsid w:val="00DD233A"/>
    <w:rsid w:val="00DD2B69"/>
    <w:rsid w:val="00DD2BCB"/>
    <w:rsid w:val="00DD35F1"/>
    <w:rsid w:val="00DD37F6"/>
    <w:rsid w:val="00DD3826"/>
    <w:rsid w:val="00DD3AE3"/>
    <w:rsid w:val="00DD3C8E"/>
    <w:rsid w:val="00DD3F39"/>
    <w:rsid w:val="00DD45AF"/>
    <w:rsid w:val="00DD505B"/>
    <w:rsid w:val="00DD54DF"/>
    <w:rsid w:val="00DD6171"/>
    <w:rsid w:val="00DD6190"/>
    <w:rsid w:val="00DD63A4"/>
    <w:rsid w:val="00DD68BA"/>
    <w:rsid w:val="00DD69C9"/>
    <w:rsid w:val="00DE0385"/>
    <w:rsid w:val="00DE167B"/>
    <w:rsid w:val="00DE1741"/>
    <w:rsid w:val="00DE27C2"/>
    <w:rsid w:val="00DE35F7"/>
    <w:rsid w:val="00DE3781"/>
    <w:rsid w:val="00DE3DC7"/>
    <w:rsid w:val="00DE401A"/>
    <w:rsid w:val="00DE4674"/>
    <w:rsid w:val="00DE48E7"/>
    <w:rsid w:val="00DE4973"/>
    <w:rsid w:val="00DE4E05"/>
    <w:rsid w:val="00DE56C0"/>
    <w:rsid w:val="00DE5ABC"/>
    <w:rsid w:val="00DE6346"/>
    <w:rsid w:val="00DE64B3"/>
    <w:rsid w:val="00DE65B8"/>
    <w:rsid w:val="00DE6665"/>
    <w:rsid w:val="00DE6794"/>
    <w:rsid w:val="00DE67AC"/>
    <w:rsid w:val="00DE77FE"/>
    <w:rsid w:val="00DF0338"/>
    <w:rsid w:val="00DF0869"/>
    <w:rsid w:val="00DF087F"/>
    <w:rsid w:val="00DF0F4C"/>
    <w:rsid w:val="00DF1A01"/>
    <w:rsid w:val="00DF21A9"/>
    <w:rsid w:val="00DF21FA"/>
    <w:rsid w:val="00DF2247"/>
    <w:rsid w:val="00DF2319"/>
    <w:rsid w:val="00DF24A6"/>
    <w:rsid w:val="00DF24EE"/>
    <w:rsid w:val="00DF2D8F"/>
    <w:rsid w:val="00DF326F"/>
    <w:rsid w:val="00DF3A20"/>
    <w:rsid w:val="00DF414C"/>
    <w:rsid w:val="00DF4369"/>
    <w:rsid w:val="00DF44AB"/>
    <w:rsid w:val="00DF4E64"/>
    <w:rsid w:val="00DF52F3"/>
    <w:rsid w:val="00DF5787"/>
    <w:rsid w:val="00DF603F"/>
    <w:rsid w:val="00DF7585"/>
    <w:rsid w:val="00DF7CA9"/>
    <w:rsid w:val="00E01588"/>
    <w:rsid w:val="00E0199B"/>
    <w:rsid w:val="00E0359A"/>
    <w:rsid w:val="00E03859"/>
    <w:rsid w:val="00E03B44"/>
    <w:rsid w:val="00E03F82"/>
    <w:rsid w:val="00E042FA"/>
    <w:rsid w:val="00E044E0"/>
    <w:rsid w:val="00E04DE1"/>
    <w:rsid w:val="00E05153"/>
    <w:rsid w:val="00E06105"/>
    <w:rsid w:val="00E07CDE"/>
    <w:rsid w:val="00E07ED1"/>
    <w:rsid w:val="00E10161"/>
    <w:rsid w:val="00E10CF2"/>
    <w:rsid w:val="00E12421"/>
    <w:rsid w:val="00E129EC"/>
    <w:rsid w:val="00E12C4D"/>
    <w:rsid w:val="00E13363"/>
    <w:rsid w:val="00E135E2"/>
    <w:rsid w:val="00E1381B"/>
    <w:rsid w:val="00E13B82"/>
    <w:rsid w:val="00E141B1"/>
    <w:rsid w:val="00E1435A"/>
    <w:rsid w:val="00E14F57"/>
    <w:rsid w:val="00E15001"/>
    <w:rsid w:val="00E1607D"/>
    <w:rsid w:val="00E1640C"/>
    <w:rsid w:val="00E16E49"/>
    <w:rsid w:val="00E16E7B"/>
    <w:rsid w:val="00E1746B"/>
    <w:rsid w:val="00E17A19"/>
    <w:rsid w:val="00E20ED1"/>
    <w:rsid w:val="00E225DF"/>
    <w:rsid w:val="00E22CB3"/>
    <w:rsid w:val="00E24139"/>
    <w:rsid w:val="00E24190"/>
    <w:rsid w:val="00E24B63"/>
    <w:rsid w:val="00E24C29"/>
    <w:rsid w:val="00E252A0"/>
    <w:rsid w:val="00E25974"/>
    <w:rsid w:val="00E2598E"/>
    <w:rsid w:val="00E25A50"/>
    <w:rsid w:val="00E265EF"/>
    <w:rsid w:val="00E267D1"/>
    <w:rsid w:val="00E26837"/>
    <w:rsid w:val="00E26E67"/>
    <w:rsid w:val="00E30C10"/>
    <w:rsid w:val="00E30FC5"/>
    <w:rsid w:val="00E32112"/>
    <w:rsid w:val="00E3270B"/>
    <w:rsid w:val="00E32DC6"/>
    <w:rsid w:val="00E33395"/>
    <w:rsid w:val="00E346FD"/>
    <w:rsid w:val="00E349AA"/>
    <w:rsid w:val="00E34D8B"/>
    <w:rsid w:val="00E34E1F"/>
    <w:rsid w:val="00E369CF"/>
    <w:rsid w:val="00E36B89"/>
    <w:rsid w:val="00E36E64"/>
    <w:rsid w:val="00E36F81"/>
    <w:rsid w:val="00E375BB"/>
    <w:rsid w:val="00E37957"/>
    <w:rsid w:val="00E404F2"/>
    <w:rsid w:val="00E40BCC"/>
    <w:rsid w:val="00E40CB5"/>
    <w:rsid w:val="00E41306"/>
    <w:rsid w:val="00E41670"/>
    <w:rsid w:val="00E41A2C"/>
    <w:rsid w:val="00E41FBA"/>
    <w:rsid w:val="00E41FD3"/>
    <w:rsid w:val="00E4205F"/>
    <w:rsid w:val="00E426EC"/>
    <w:rsid w:val="00E42A77"/>
    <w:rsid w:val="00E43AE9"/>
    <w:rsid w:val="00E43E0C"/>
    <w:rsid w:val="00E44825"/>
    <w:rsid w:val="00E44E00"/>
    <w:rsid w:val="00E45251"/>
    <w:rsid w:val="00E45AF7"/>
    <w:rsid w:val="00E463F6"/>
    <w:rsid w:val="00E4679F"/>
    <w:rsid w:val="00E469E1"/>
    <w:rsid w:val="00E46BB6"/>
    <w:rsid w:val="00E46D52"/>
    <w:rsid w:val="00E47663"/>
    <w:rsid w:val="00E517BF"/>
    <w:rsid w:val="00E51A3A"/>
    <w:rsid w:val="00E5246B"/>
    <w:rsid w:val="00E52825"/>
    <w:rsid w:val="00E52FDB"/>
    <w:rsid w:val="00E531D5"/>
    <w:rsid w:val="00E53448"/>
    <w:rsid w:val="00E54B6C"/>
    <w:rsid w:val="00E5567F"/>
    <w:rsid w:val="00E55A45"/>
    <w:rsid w:val="00E5688F"/>
    <w:rsid w:val="00E576ED"/>
    <w:rsid w:val="00E604EE"/>
    <w:rsid w:val="00E6057E"/>
    <w:rsid w:val="00E6091A"/>
    <w:rsid w:val="00E60E63"/>
    <w:rsid w:val="00E614E9"/>
    <w:rsid w:val="00E61ABB"/>
    <w:rsid w:val="00E61E0E"/>
    <w:rsid w:val="00E62006"/>
    <w:rsid w:val="00E622B4"/>
    <w:rsid w:val="00E635C8"/>
    <w:rsid w:val="00E638BD"/>
    <w:rsid w:val="00E63D0F"/>
    <w:rsid w:val="00E64375"/>
    <w:rsid w:val="00E64531"/>
    <w:rsid w:val="00E65094"/>
    <w:rsid w:val="00E65103"/>
    <w:rsid w:val="00E65A17"/>
    <w:rsid w:val="00E665D1"/>
    <w:rsid w:val="00E66ECB"/>
    <w:rsid w:val="00E6712C"/>
    <w:rsid w:val="00E674C4"/>
    <w:rsid w:val="00E67B85"/>
    <w:rsid w:val="00E71B82"/>
    <w:rsid w:val="00E724D4"/>
    <w:rsid w:val="00E725C2"/>
    <w:rsid w:val="00E72824"/>
    <w:rsid w:val="00E72E2A"/>
    <w:rsid w:val="00E7313E"/>
    <w:rsid w:val="00E73222"/>
    <w:rsid w:val="00E73878"/>
    <w:rsid w:val="00E7392C"/>
    <w:rsid w:val="00E742B0"/>
    <w:rsid w:val="00E745DE"/>
    <w:rsid w:val="00E74DF9"/>
    <w:rsid w:val="00E74E59"/>
    <w:rsid w:val="00E755A0"/>
    <w:rsid w:val="00E76029"/>
    <w:rsid w:val="00E771A5"/>
    <w:rsid w:val="00E77541"/>
    <w:rsid w:val="00E775EF"/>
    <w:rsid w:val="00E803C5"/>
    <w:rsid w:val="00E81DDD"/>
    <w:rsid w:val="00E8229F"/>
    <w:rsid w:val="00E82836"/>
    <w:rsid w:val="00E83CE0"/>
    <w:rsid w:val="00E83D70"/>
    <w:rsid w:val="00E84C32"/>
    <w:rsid w:val="00E85D5C"/>
    <w:rsid w:val="00E85EFE"/>
    <w:rsid w:val="00E85FD2"/>
    <w:rsid w:val="00E86466"/>
    <w:rsid w:val="00E86C85"/>
    <w:rsid w:val="00E86F56"/>
    <w:rsid w:val="00E87124"/>
    <w:rsid w:val="00E87273"/>
    <w:rsid w:val="00E87514"/>
    <w:rsid w:val="00E909AF"/>
    <w:rsid w:val="00E90CC2"/>
    <w:rsid w:val="00E90F7E"/>
    <w:rsid w:val="00E9154D"/>
    <w:rsid w:val="00E915A3"/>
    <w:rsid w:val="00E917A7"/>
    <w:rsid w:val="00E923FB"/>
    <w:rsid w:val="00E93077"/>
    <w:rsid w:val="00E934DF"/>
    <w:rsid w:val="00E93FAC"/>
    <w:rsid w:val="00E941CF"/>
    <w:rsid w:val="00E94B5B"/>
    <w:rsid w:val="00E94EC1"/>
    <w:rsid w:val="00E951C8"/>
    <w:rsid w:val="00E95AA7"/>
    <w:rsid w:val="00E95D99"/>
    <w:rsid w:val="00E96220"/>
    <w:rsid w:val="00E9668F"/>
    <w:rsid w:val="00E97639"/>
    <w:rsid w:val="00E97707"/>
    <w:rsid w:val="00E978D4"/>
    <w:rsid w:val="00E97BC8"/>
    <w:rsid w:val="00EA160C"/>
    <w:rsid w:val="00EA1742"/>
    <w:rsid w:val="00EA1E1A"/>
    <w:rsid w:val="00EA28ED"/>
    <w:rsid w:val="00EA2F5C"/>
    <w:rsid w:val="00EA3CC1"/>
    <w:rsid w:val="00EA43BF"/>
    <w:rsid w:val="00EA5DE9"/>
    <w:rsid w:val="00EA60DC"/>
    <w:rsid w:val="00EA63D4"/>
    <w:rsid w:val="00EA68D8"/>
    <w:rsid w:val="00EA6B75"/>
    <w:rsid w:val="00EA6DEE"/>
    <w:rsid w:val="00EA75C4"/>
    <w:rsid w:val="00EA75EC"/>
    <w:rsid w:val="00EA7867"/>
    <w:rsid w:val="00EA7B2D"/>
    <w:rsid w:val="00EB046C"/>
    <w:rsid w:val="00EB048A"/>
    <w:rsid w:val="00EB09B2"/>
    <w:rsid w:val="00EB0A92"/>
    <w:rsid w:val="00EB1045"/>
    <w:rsid w:val="00EB12D6"/>
    <w:rsid w:val="00EB1A19"/>
    <w:rsid w:val="00EB1BC1"/>
    <w:rsid w:val="00EB1D10"/>
    <w:rsid w:val="00EB1D30"/>
    <w:rsid w:val="00EB2119"/>
    <w:rsid w:val="00EB2714"/>
    <w:rsid w:val="00EB29C7"/>
    <w:rsid w:val="00EB2A77"/>
    <w:rsid w:val="00EB3951"/>
    <w:rsid w:val="00EB502A"/>
    <w:rsid w:val="00EB5549"/>
    <w:rsid w:val="00EB5D42"/>
    <w:rsid w:val="00EB5FF0"/>
    <w:rsid w:val="00EB6BD1"/>
    <w:rsid w:val="00EB6DD9"/>
    <w:rsid w:val="00EB6EBD"/>
    <w:rsid w:val="00EB6F7A"/>
    <w:rsid w:val="00EB6F80"/>
    <w:rsid w:val="00EB7A3E"/>
    <w:rsid w:val="00EB7E02"/>
    <w:rsid w:val="00EC0609"/>
    <w:rsid w:val="00EC0841"/>
    <w:rsid w:val="00EC0AAF"/>
    <w:rsid w:val="00EC0F87"/>
    <w:rsid w:val="00EC1170"/>
    <w:rsid w:val="00EC13AD"/>
    <w:rsid w:val="00EC3970"/>
    <w:rsid w:val="00EC488B"/>
    <w:rsid w:val="00EC4F27"/>
    <w:rsid w:val="00EC52CD"/>
    <w:rsid w:val="00EC5440"/>
    <w:rsid w:val="00EC5897"/>
    <w:rsid w:val="00EC5974"/>
    <w:rsid w:val="00EC5B5E"/>
    <w:rsid w:val="00EC67E9"/>
    <w:rsid w:val="00EC694A"/>
    <w:rsid w:val="00EC6D99"/>
    <w:rsid w:val="00EC7659"/>
    <w:rsid w:val="00EC79FA"/>
    <w:rsid w:val="00EC7C77"/>
    <w:rsid w:val="00EC7F7C"/>
    <w:rsid w:val="00ED089E"/>
    <w:rsid w:val="00ED10D5"/>
    <w:rsid w:val="00ED172A"/>
    <w:rsid w:val="00ED1D56"/>
    <w:rsid w:val="00ED208B"/>
    <w:rsid w:val="00ED29B9"/>
    <w:rsid w:val="00ED3143"/>
    <w:rsid w:val="00ED343B"/>
    <w:rsid w:val="00ED48E9"/>
    <w:rsid w:val="00ED4914"/>
    <w:rsid w:val="00ED4E9C"/>
    <w:rsid w:val="00ED5444"/>
    <w:rsid w:val="00ED5FAD"/>
    <w:rsid w:val="00ED5FDE"/>
    <w:rsid w:val="00ED61DA"/>
    <w:rsid w:val="00ED681C"/>
    <w:rsid w:val="00ED74E5"/>
    <w:rsid w:val="00ED76ED"/>
    <w:rsid w:val="00ED7869"/>
    <w:rsid w:val="00ED78E3"/>
    <w:rsid w:val="00ED7E0D"/>
    <w:rsid w:val="00EE0283"/>
    <w:rsid w:val="00EE0400"/>
    <w:rsid w:val="00EE1899"/>
    <w:rsid w:val="00EE230B"/>
    <w:rsid w:val="00EE379C"/>
    <w:rsid w:val="00EE4245"/>
    <w:rsid w:val="00EE48DD"/>
    <w:rsid w:val="00EE4977"/>
    <w:rsid w:val="00EE5847"/>
    <w:rsid w:val="00EE58A8"/>
    <w:rsid w:val="00EE5E96"/>
    <w:rsid w:val="00EE720B"/>
    <w:rsid w:val="00EE7487"/>
    <w:rsid w:val="00EE7C62"/>
    <w:rsid w:val="00EE7DA6"/>
    <w:rsid w:val="00EF0038"/>
    <w:rsid w:val="00EF01EC"/>
    <w:rsid w:val="00EF1F2F"/>
    <w:rsid w:val="00EF2673"/>
    <w:rsid w:val="00EF27D9"/>
    <w:rsid w:val="00EF28F7"/>
    <w:rsid w:val="00EF30A8"/>
    <w:rsid w:val="00EF3DA4"/>
    <w:rsid w:val="00EF49C7"/>
    <w:rsid w:val="00EF4F8A"/>
    <w:rsid w:val="00EF6276"/>
    <w:rsid w:val="00EF668A"/>
    <w:rsid w:val="00EF70F2"/>
    <w:rsid w:val="00EF7B40"/>
    <w:rsid w:val="00EF7F46"/>
    <w:rsid w:val="00F00269"/>
    <w:rsid w:val="00F00561"/>
    <w:rsid w:val="00F00CF9"/>
    <w:rsid w:val="00F00FEF"/>
    <w:rsid w:val="00F0134A"/>
    <w:rsid w:val="00F01860"/>
    <w:rsid w:val="00F01E31"/>
    <w:rsid w:val="00F022F9"/>
    <w:rsid w:val="00F036BC"/>
    <w:rsid w:val="00F03977"/>
    <w:rsid w:val="00F041D8"/>
    <w:rsid w:val="00F06B3B"/>
    <w:rsid w:val="00F06B73"/>
    <w:rsid w:val="00F072AB"/>
    <w:rsid w:val="00F07CA5"/>
    <w:rsid w:val="00F10FD5"/>
    <w:rsid w:val="00F1128E"/>
    <w:rsid w:val="00F118EA"/>
    <w:rsid w:val="00F12045"/>
    <w:rsid w:val="00F1251F"/>
    <w:rsid w:val="00F13261"/>
    <w:rsid w:val="00F13364"/>
    <w:rsid w:val="00F13845"/>
    <w:rsid w:val="00F13B86"/>
    <w:rsid w:val="00F13CDB"/>
    <w:rsid w:val="00F1455A"/>
    <w:rsid w:val="00F14A19"/>
    <w:rsid w:val="00F14F4A"/>
    <w:rsid w:val="00F14FAE"/>
    <w:rsid w:val="00F15ADB"/>
    <w:rsid w:val="00F1607C"/>
    <w:rsid w:val="00F1683F"/>
    <w:rsid w:val="00F16E10"/>
    <w:rsid w:val="00F16F64"/>
    <w:rsid w:val="00F20BBD"/>
    <w:rsid w:val="00F20FD8"/>
    <w:rsid w:val="00F21960"/>
    <w:rsid w:val="00F21F88"/>
    <w:rsid w:val="00F2240C"/>
    <w:rsid w:val="00F22684"/>
    <w:rsid w:val="00F22E07"/>
    <w:rsid w:val="00F22E33"/>
    <w:rsid w:val="00F22FCB"/>
    <w:rsid w:val="00F233DD"/>
    <w:rsid w:val="00F2381D"/>
    <w:rsid w:val="00F23922"/>
    <w:rsid w:val="00F24AB7"/>
    <w:rsid w:val="00F24D5E"/>
    <w:rsid w:val="00F254E6"/>
    <w:rsid w:val="00F2700D"/>
    <w:rsid w:val="00F27276"/>
    <w:rsid w:val="00F27A15"/>
    <w:rsid w:val="00F27DE5"/>
    <w:rsid w:val="00F31667"/>
    <w:rsid w:val="00F31734"/>
    <w:rsid w:val="00F31743"/>
    <w:rsid w:val="00F31ABE"/>
    <w:rsid w:val="00F31EF4"/>
    <w:rsid w:val="00F31F5F"/>
    <w:rsid w:val="00F32215"/>
    <w:rsid w:val="00F32796"/>
    <w:rsid w:val="00F328C1"/>
    <w:rsid w:val="00F32BCA"/>
    <w:rsid w:val="00F33260"/>
    <w:rsid w:val="00F3349D"/>
    <w:rsid w:val="00F34226"/>
    <w:rsid w:val="00F34468"/>
    <w:rsid w:val="00F35044"/>
    <w:rsid w:val="00F35319"/>
    <w:rsid w:val="00F35F4F"/>
    <w:rsid w:val="00F36467"/>
    <w:rsid w:val="00F3647C"/>
    <w:rsid w:val="00F365D1"/>
    <w:rsid w:val="00F36841"/>
    <w:rsid w:val="00F369F4"/>
    <w:rsid w:val="00F36D33"/>
    <w:rsid w:val="00F37720"/>
    <w:rsid w:val="00F4015F"/>
    <w:rsid w:val="00F40BC9"/>
    <w:rsid w:val="00F41083"/>
    <w:rsid w:val="00F41549"/>
    <w:rsid w:val="00F415F4"/>
    <w:rsid w:val="00F41BA3"/>
    <w:rsid w:val="00F43157"/>
    <w:rsid w:val="00F43BB9"/>
    <w:rsid w:val="00F44522"/>
    <w:rsid w:val="00F45686"/>
    <w:rsid w:val="00F46F53"/>
    <w:rsid w:val="00F47679"/>
    <w:rsid w:val="00F50CF5"/>
    <w:rsid w:val="00F519C9"/>
    <w:rsid w:val="00F51F1A"/>
    <w:rsid w:val="00F51FD2"/>
    <w:rsid w:val="00F520E4"/>
    <w:rsid w:val="00F524A8"/>
    <w:rsid w:val="00F526FD"/>
    <w:rsid w:val="00F52AAB"/>
    <w:rsid w:val="00F534C7"/>
    <w:rsid w:val="00F5350E"/>
    <w:rsid w:val="00F5381F"/>
    <w:rsid w:val="00F54444"/>
    <w:rsid w:val="00F55379"/>
    <w:rsid w:val="00F55E23"/>
    <w:rsid w:val="00F562C6"/>
    <w:rsid w:val="00F60CDE"/>
    <w:rsid w:val="00F6140C"/>
    <w:rsid w:val="00F61640"/>
    <w:rsid w:val="00F61714"/>
    <w:rsid w:val="00F61BCF"/>
    <w:rsid w:val="00F6221A"/>
    <w:rsid w:val="00F62768"/>
    <w:rsid w:val="00F629E8"/>
    <w:rsid w:val="00F63EBA"/>
    <w:rsid w:val="00F6457A"/>
    <w:rsid w:val="00F645DF"/>
    <w:rsid w:val="00F64622"/>
    <w:rsid w:val="00F64CBE"/>
    <w:rsid w:val="00F66579"/>
    <w:rsid w:val="00F66607"/>
    <w:rsid w:val="00F669CE"/>
    <w:rsid w:val="00F67068"/>
    <w:rsid w:val="00F67356"/>
    <w:rsid w:val="00F6766D"/>
    <w:rsid w:val="00F677A9"/>
    <w:rsid w:val="00F67920"/>
    <w:rsid w:val="00F70598"/>
    <w:rsid w:val="00F705A2"/>
    <w:rsid w:val="00F7069B"/>
    <w:rsid w:val="00F70A17"/>
    <w:rsid w:val="00F70E7E"/>
    <w:rsid w:val="00F71371"/>
    <w:rsid w:val="00F714EA"/>
    <w:rsid w:val="00F71556"/>
    <w:rsid w:val="00F716F7"/>
    <w:rsid w:val="00F720D3"/>
    <w:rsid w:val="00F7211B"/>
    <w:rsid w:val="00F72CF0"/>
    <w:rsid w:val="00F72E23"/>
    <w:rsid w:val="00F72FE0"/>
    <w:rsid w:val="00F7317A"/>
    <w:rsid w:val="00F742B3"/>
    <w:rsid w:val="00F74439"/>
    <w:rsid w:val="00F745E7"/>
    <w:rsid w:val="00F746E3"/>
    <w:rsid w:val="00F749DB"/>
    <w:rsid w:val="00F74F4F"/>
    <w:rsid w:val="00F75951"/>
    <w:rsid w:val="00F76BBD"/>
    <w:rsid w:val="00F80006"/>
    <w:rsid w:val="00F80AF1"/>
    <w:rsid w:val="00F81226"/>
    <w:rsid w:val="00F8159C"/>
    <w:rsid w:val="00F81A2C"/>
    <w:rsid w:val="00F81BDE"/>
    <w:rsid w:val="00F8344F"/>
    <w:rsid w:val="00F838E3"/>
    <w:rsid w:val="00F83D9C"/>
    <w:rsid w:val="00F84052"/>
    <w:rsid w:val="00F84237"/>
    <w:rsid w:val="00F84564"/>
    <w:rsid w:val="00F845BF"/>
    <w:rsid w:val="00F84B46"/>
    <w:rsid w:val="00F85626"/>
    <w:rsid w:val="00F86444"/>
    <w:rsid w:val="00F86BD3"/>
    <w:rsid w:val="00F90143"/>
    <w:rsid w:val="00F90897"/>
    <w:rsid w:val="00F91D49"/>
    <w:rsid w:val="00F91DE2"/>
    <w:rsid w:val="00F92081"/>
    <w:rsid w:val="00F921A6"/>
    <w:rsid w:val="00F928F0"/>
    <w:rsid w:val="00F92DD1"/>
    <w:rsid w:val="00F93200"/>
    <w:rsid w:val="00F9415C"/>
    <w:rsid w:val="00F964C0"/>
    <w:rsid w:val="00F96548"/>
    <w:rsid w:val="00F96ED0"/>
    <w:rsid w:val="00F9790C"/>
    <w:rsid w:val="00F97E3B"/>
    <w:rsid w:val="00F97EF1"/>
    <w:rsid w:val="00FA11DF"/>
    <w:rsid w:val="00FA1368"/>
    <w:rsid w:val="00FA1A19"/>
    <w:rsid w:val="00FA1B37"/>
    <w:rsid w:val="00FA1BD9"/>
    <w:rsid w:val="00FA1CA9"/>
    <w:rsid w:val="00FA2044"/>
    <w:rsid w:val="00FA23FE"/>
    <w:rsid w:val="00FA270B"/>
    <w:rsid w:val="00FA3477"/>
    <w:rsid w:val="00FA3DAB"/>
    <w:rsid w:val="00FA3F92"/>
    <w:rsid w:val="00FA429D"/>
    <w:rsid w:val="00FA527F"/>
    <w:rsid w:val="00FA587E"/>
    <w:rsid w:val="00FA589A"/>
    <w:rsid w:val="00FA5E28"/>
    <w:rsid w:val="00FA6020"/>
    <w:rsid w:val="00FA69A4"/>
    <w:rsid w:val="00FA73D0"/>
    <w:rsid w:val="00FA76CF"/>
    <w:rsid w:val="00FB0D7A"/>
    <w:rsid w:val="00FB0F1E"/>
    <w:rsid w:val="00FB13FE"/>
    <w:rsid w:val="00FB1CBB"/>
    <w:rsid w:val="00FB25C0"/>
    <w:rsid w:val="00FB272E"/>
    <w:rsid w:val="00FB457C"/>
    <w:rsid w:val="00FB46AF"/>
    <w:rsid w:val="00FB4A1B"/>
    <w:rsid w:val="00FB4A7D"/>
    <w:rsid w:val="00FB4E07"/>
    <w:rsid w:val="00FB50B4"/>
    <w:rsid w:val="00FB5430"/>
    <w:rsid w:val="00FB5580"/>
    <w:rsid w:val="00FB5703"/>
    <w:rsid w:val="00FB5B89"/>
    <w:rsid w:val="00FB648D"/>
    <w:rsid w:val="00FB7525"/>
    <w:rsid w:val="00FB7613"/>
    <w:rsid w:val="00FB7962"/>
    <w:rsid w:val="00FC0205"/>
    <w:rsid w:val="00FC0FF4"/>
    <w:rsid w:val="00FC14D1"/>
    <w:rsid w:val="00FC2AFA"/>
    <w:rsid w:val="00FC2BAA"/>
    <w:rsid w:val="00FC5054"/>
    <w:rsid w:val="00FC50C2"/>
    <w:rsid w:val="00FC6078"/>
    <w:rsid w:val="00FC6F47"/>
    <w:rsid w:val="00FC71F3"/>
    <w:rsid w:val="00FC73F1"/>
    <w:rsid w:val="00FC757F"/>
    <w:rsid w:val="00FC7C57"/>
    <w:rsid w:val="00FD0195"/>
    <w:rsid w:val="00FD09B8"/>
    <w:rsid w:val="00FD1135"/>
    <w:rsid w:val="00FD1772"/>
    <w:rsid w:val="00FD22B5"/>
    <w:rsid w:val="00FD2343"/>
    <w:rsid w:val="00FD2C45"/>
    <w:rsid w:val="00FD40EE"/>
    <w:rsid w:val="00FD4139"/>
    <w:rsid w:val="00FD446A"/>
    <w:rsid w:val="00FD4F19"/>
    <w:rsid w:val="00FD4FE6"/>
    <w:rsid w:val="00FD6A12"/>
    <w:rsid w:val="00FE025E"/>
    <w:rsid w:val="00FE08B1"/>
    <w:rsid w:val="00FE1A95"/>
    <w:rsid w:val="00FE283A"/>
    <w:rsid w:val="00FE31E5"/>
    <w:rsid w:val="00FE35CA"/>
    <w:rsid w:val="00FE3886"/>
    <w:rsid w:val="00FE3894"/>
    <w:rsid w:val="00FE38EA"/>
    <w:rsid w:val="00FE42C4"/>
    <w:rsid w:val="00FE52A9"/>
    <w:rsid w:val="00FE54DF"/>
    <w:rsid w:val="00FE555F"/>
    <w:rsid w:val="00FE55AF"/>
    <w:rsid w:val="00FE5AEB"/>
    <w:rsid w:val="00FE6E39"/>
    <w:rsid w:val="00FE76EB"/>
    <w:rsid w:val="00FF027C"/>
    <w:rsid w:val="00FF043B"/>
    <w:rsid w:val="00FF05CC"/>
    <w:rsid w:val="00FF12A9"/>
    <w:rsid w:val="00FF14AD"/>
    <w:rsid w:val="00FF1513"/>
    <w:rsid w:val="00FF226A"/>
    <w:rsid w:val="00FF28B9"/>
    <w:rsid w:val="00FF340C"/>
    <w:rsid w:val="00FF36F2"/>
    <w:rsid w:val="00FF419A"/>
    <w:rsid w:val="00FF488B"/>
    <w:rsid w:val="00FF4DC2"/>
    <w:rsid w:val="00FF4F27"/>
    <w:rsid w:val="00FF5257"/>
    <w:rsid w:val="00FF624B"/>
    <w:rsid w:val="00FF65B8"/>
    <w:rsid w:val="00FF7722"/>
    <w:rsid w:val="00FF7BC9"/>
    <w:rsid w:val="00FF7C6C"/>
    <w:rsid w:val="01292AB4"/>
    <w:rsid w:val="01569ECF"/>
    <w:rsid w:val="0167EE2D"/>
    <w:rsid w:val="016D04D4"/>
    <w:rsid w:val="016F4F98"/>
    <w:rsid w:val="016FE5D7"/>
    <w:rsid w:val="0171B896"/>
    <w:rsid w:val="01A4FBF4"/>
    <w:rsid w:val="01CA7C91"/>
    <w:rsid w:val="01D426F1"/>
    <w:rsid w:val="01DC0298"/>
    <w:rsid w:val="01E8EDD5"/>
    <w:rsid w:val="01ED20D2"/>
    <w:rsid w:val="01FC6F3C"/>
    <w:rsid w:val="020EB91F"/>
    <w:rsid w:val="02254C2B"/>
    <w:rsid w:val="0229A02B"/>
    <w:rsid w:val="02431163"/>
    <w:rsid w:val="02832B54"/>
    <w:rsid w:val="0285C5A2"/>
    <w:rsid w:val="029B52D3"/>
    <w:rsid w:val="029DBD89"/>
    <w:rsid w:val="02B878CF"/>
    <w:rsid w:val="02C3E896"/>
    <w:rsid w:val="02D41CCF"/>
    <w:rsid w:val="02D69A93"/>
    <w:rsid w:val="02DA6198"/>
    <w:rsid w:val="02E2ADC1"/>
    <w:rsid w:val="02E9A16A"/>
    <w:rsid w:val="02F89296"/>
    <w:rsid w:val="030BE80E"/>
    <w:rsid w:val="030FB380"/>
    <w:rsid w:val="034567D6"/>
    <w:rsid w:val="03465028"/>
    <w:rsid w:val="034D10C5"/>
    <w:rsid w:val="035058B6"/>
    <w:rsid w:val="0350C77D"/>
    <w:rsid w:val="037B0A66"/>
    <w:rsid w:val="03D1E431"/>
    <w:rsid w:val="03FF6E37"/>
    <w:rsid w:val="0430B808"/>
    <w:rsid w:val="04A68B09"/>
    <w:rsid w:val="04AD5C3B"/>
    <w:rsid w:val="051386BD"/>
    <w:rsid w:val="05508D18"/>
    <w:rsid w:val="057047DC"/>
    <w:rsid w:val="0580B24B"/>
    <w:rsid w:val="059D0EF9"/>
    <w:rsid w:val="05C48A3D"/>
    <w:rsid w:val="060096AF"/>
    <w:rsid w:val="0685EDE6"/>
    <w:rsid w:val="069AC381"/>
    <w:rsid w:val="06B093C4"/>
    <w:rsid w:val="06C5BE2D"/>
    <w:rsid w:val="06CFAE89"/>
    <w:rsid w:val="0713450F"/>
    <w:rsid w:val="071F12AE"/>
    <w:rsid w:val="072280E4"/>
    <w:rsid w:val="07455249"/>
    <w:rsid w:val="076F1D90"/>
    <w:rsid w:val="0837F5A3"/>
    <w:rsid w:val="084A9007"/>
    <w:rsid w:val="0878A013"/>
    <w:rsid w:val="087E2618"/>
    <w:rsid w:val="088634E4"/>
    <w:rsid w:val="08927DC6"/>
    <w:rsid w:val="089797FA"/>
    <w:rsid w:val="089D0F94"/>
    <w:rsid w:val="08F4FB55"/>
    <w:rsid w:val="08FCB015"/>
    <w:rsid w:val="08FFC925"/>
    <w:rsid w:val="0933B713"/>
    <w:rsid w:val="093AC85E"/>
    <w:rsid w:val="09516A4D"/>
    <w:rsid w:val="095AC075"/>
    <w:rsid w:val="09824CCF"/>
    <w:rsid w:val="09A22EEA"/>
    <w:rsid w:val="09B67290"/>
    <w:rsid w:val="0A28220B"/>
    <w:rsid w:val="0A3D055A"/>
    <w:rsid w:val="0A3F2C7C"/>
    <w:rsid w:val="0A933835"/>
    <w:rsid w:val="0AECEBD4"/>
    <w:rsid w:val="0B1EE5A4"/>
    <w:rsid w:val="0B403B03"/>
    <w:rsid w:val="0B50EBB4"/>
    <w:rsid w:val="0B65E372"/>
    <w:rsid w:val="0B9E6C41"/>
    <w:rsid w:val="0BB0D515"/>
    <w:rsid w:val="0BBA0C51"/>
    <w:rsid w:val="0BC47FD2"/>
    <w:rsid w:val="0BDE451B"/>
    <w:rsid w:val="0C0F7FA9"/>
    <w:rsid w:val="0C561C60"/>
    <w:rsid w:val="0C7EDFFA"/>
    <w:rsid w:val="0CC74677"/>
    <w:rsid w:val="0CDA5339"/>
    <w:rsid w:val="0CF726BD"/>
    <w:rsid w:val="0D001062"/>
    <w:rsid w:val="0D4FC63D"/>
    <w:rsid w:val="0D585E52"/>
    <w:rsid w:val="0D5CCD06"/>
    <w:rsid w:val="0D60441D"/>
    <w:rsid w:val="0DA7B929"/>
    <w:rsid w:val="0DBDF2D0"/>
    <w:rsid w:val="0DBE95BE"/>
    <w:rsid w:val="0DEF6DB1"/>
    <w:rsid w:val="0DF6521A"/>
    <w:rsid w:val="0E2F1C81"/>
    <w:rsid w:val="0E5129FC"/>
    <w:rsid w:val="0E8C09C0"/>
    <w:rsid w:val="0ED4104D"/>
    <w:rsid w:val="0F59B6E3"/>
    <w:rsid w:val="0F75C496"/>
    <w:rsid w:val="0F828B5D"/>
    <w:rsid w:val="0FD3B704"/>
    <w:rsid w:val="0FE2F1D3"/>
    <w:rsid w:val="104141BC"/>
    <w:rsid w:val="10475795"/>
    <w:rsid w:val="10CE53F8"/>
    <w:rsid w:val="11068731"/>
    <w:rsid w:val="115D2A72"/>
    <w:rsid w:val="117B7974"/>
    <w:rsid w:val="117D9B0E"/>
    <w:rsid w:val="1199B03C"/>
    <w:rsid w:val="11E455C9"/>
    <w:rsid w:val="11FE77D3"/>
    <w:rsid w:val="12454633"/>
    <w:rsid w:val="1287E176"/>
    <w:rsid w:val="12C95916"/>
    <w:rsid w:val="12D74F90"/>
    <w:rsid w:val="12DE76AA"/>
    <w:rsid w:val="1318BE87"/>
    <w:rsid w:val="1348E6CB"/>
    <w:rsid w:val="135CB432"/>
    <w:rsid w:val="1376B759"/>
    <w:rsid w:val="13992B48"/>
    <w:rsid w:val="13C84240"/>
    <w:rsid w:val="13DE4A27"/>
    <w:rsid w:val="13DEC61C"/>
    <w:rsid w:val="13F238B8"/>
    <w:rsid w:val="140B8460"/>
    <w:rsid w:val="14310889"/>
    <w:rsid w:val="144FD3CC"/>
    <w:rsid w:val="147604FB"/>
    <w:rsid w:val="14DEFAED"/>
    <w:rsid w:val="14EC9C46"/>
    <w:rsid w:val="14F378EB"/>
    <w:rsid w:val="156D3CA7"/>
    <w:rsid w:val="15E0A254"/>
    <w:rsid w:val="1600BA81"/>
    <w:rsid w:val="1612EEB6"/>
    <w:rsid w:val="16525479"/>
    <w:rsid w:val="16595817"/>
    <w:rsid w:val="165D831F"/>
    <w:rsid w:val="1668C92E"/>
    <w:rsid w:val="1699214B"/>
    <w:rsid w:val="16FDCBC0"/>
    <w:rsid w:val="172EF1C9"/>
    <w:rsid w:val="1732FA90"/>
    <w:rsid w:val="17365FBA"/>
    <w:rsid w:val="17552DD6"/>
    <w:rsid w:val="177F36D6"/>
    <w:rsid w:val="17A79A28"/>
    <w:rsid w:val="17C48B28"/>
    <w:rsid w:val="17E3B3D1"/>
    <w:rsid w:val="17F0283E"/>
    <w:rsid w:val="1842D018"/>
    <w:rsid w:val="184BBB8D"/>
    <w:rsid w:val="1881C2C4"/>
    <w:rsid w:val="18A9BA23"/>
    <w:rsid w:val="18E54A21"/>
    <w:rsid w:val="191DC246"/>
    <w:rsid w:val="195F3D92"/>
    <w:rsid w:val="19732DCC"/>
    <w:rsid w:val="198334B9"/>
    <w:rsid w:val="198B330A"/>
    <w:rsid w:val="19A34FF1"/>
    <w:rsid w:val="1A053780"/>
    <w:rsid w:val="1A135CB1"/>
    <w:rsid w:val="1A2ABC75"/>
    <w:rsid w:val="1A549583"/>
    <w:rsid w:val="1A9D483B"/>
    <w:rsid w:val="1AE22FF6"/>
    <w:rsid w:val="1B329DA3"/>
    <w:rsid w:val="1BC5FFF8"/>
    <w:rsid w:val="1C09F02E"/>
    <w:rsid w:val="1C100841"/>
    <w:rsid w:val="1C1DB35F"/>
    <w:rsid w:val="1C4D5640"/>
    <w:rsid w:val="1C8E6F71"/>
    <w:rsid w:val="1CCE614A"/>
    <w:rsid w:val="1CDAA0F3"/>
    <w:rsid w:val="1CDE326C"/>
    <w:rsid w:val="1D37AC16"/>
    <w:rsid w:val="1D52E011"/>
    <w:rsid w:val="1D62EC72"/>
    <w:rsid w:val="1D8ADA1F"/>
    <w:rsid w:val="1DA48634"/>
    <w:rsid w:val="1DCC978F"/>
    <w:rsid w:val="1DFFD62D"/>
    <w:rsid w:val="1E082933"/>
    <w:rsid w:val="1E0C7CA2"/>
    <w:rsid w:val="1E3DD963"/>
    <w:rsid w:val="1E4D5790"/>
    <w:rsid w:val="1E562693"/>
    <w:rsid w:val="1E8E21B7"/>
    <w:rsid w:val="1ED390C4"/>
    <w:rsid w:val="1EFA71AC"/>
    <w:rsid w:val="1F346A6A"/>
    <w:rsid w:val="1F3EABD7"/>
    <w:rsid w:val="1F46EE61"/>
    <w:rsid w:val="1F675F64"/>
    <w:rsid w:val="1FBD2C83"/>
    <w:rsid w:val="1FE3CD32"/>
    <w:rsid w:val="203FEABD"/>
    <w:rsid w:val="20898083"/>
    <w:rsid w:val="20A77AC6"/>
    <w:rsid w:val="20F6CA83"/>
    <w:rsid w:val="20F80B7F"/>
    <w:rsid w:val="2129D312"/>
    <w:rsid w:val="2139102F"/>
    <w:rsid w:val="213D5F0B"/>
    <w:rsid w:val="21726FAD"/>
    <w:rsid w:val="2179521B"/>
    <w:rsid w:val="21857A73"/>
    <w:rsid w:val="21BE9480"/>
    <w:rsid w:val="21DC0627"/>
    <w:rsid w:val="21E94F87"/>
    <w:rsid w:val="2272FAE6"/>
    <w:rsid w:val="228077E6"/>
    <w:rsid w:val="229EBDEB"/>
    <w:rsid w:val="230A1AB7"/>
    <w:rsid w:val="235545FF"/>
    <w:rsid w:val="235DB20C"/>
    <w:rsid w:val="23741DF3"/>
    <w:rsid w:val="23787FF2"/>
    <w:rsid w:val="237D9BB4"/>
    <w:rsid w:val="239ED096"/>
    <w:rsid w:val="239FB43F"/>
    <w:rsid w:val="23B2B57E"/>
    <w:rsid w:val="23BCBCCE"/>
    <w:rsid w:val="23D7F84B"/>
    <w:rsid w:val="23D84E99"/>
    <w:rsid w:val="23DEB6E1"/>
    <w:rsid w:val="241AD90A"/>
    <w:rsid w:val="24428664"/>
    <w:rsid w:val="245BE26F"/>
    <w:rsid w:val="24B7D8F4"/>
    <w:rsid w:val="24CFEB5E"/>
    <w:rsid w:val="24D71419"/>
    <w:rsid w:val="24E1B139"/>
    <w:rsid w:val="24EF372D"/>
    <w:rsid w:val="251B619E"/>
    <w:rsid w:val="252B5BBF"/>
    <w:rsid w:val="257BB632"/>
    <w:rsid w:val="25A1AF50"/>
    <w:rsid w:val="25BC5921"/>
    <w:rsid w:val="25DDC425"/>
    <w:rsid w:val="261426AF"/>
    <w:rsid w:val="26625B93"/>
    <w:rsid w:val="266B159F"/>
    <w:rsid w:val="2675C0D4"/>
    <w:rsid w:val="267EDB32"/>
    <w:rsid w:val="267EE9F8"/>
    <w:rsid w:val="268EE931"/>
    <w:rsid w:val="26C4CBAF"/>
    <w:rsid w:val="26F5F0E7"/>
    <w:rsid w:val="271BFD20"/>
    <w:rsid w:val="273E8F2C"/>
    <w:rsid w:val="27506B3E"/>
    <w:rsid w:val="27695327"/>
    <w:rsid w:val="276B7D57"/>
    <w:rsid w:val="276EE646"/>
    <w:rsid w:val="2779C27F"/>
    <w:rsid w:val="2782CE0F"/>
    <w:rsid w:val="27FE2BF4"/>
    <w:rsid w:val="280DF749"/>
    <w:rsid w:val="282A20FD"/>
    <w:rsid w:val="2840983A"/>
    <w:rsid w:val="28F57999"/>
    <w:rsid w:val="29356F22"/>
    <w:rsid w:val="2976B4FE"/>
    <w:rsid w:val="298B60B2"/>
    <w:rsid w:val="2995AE5D"/>
    <w:rsid w:val="29F84DA1"/>
    <w:rsid w:val="2A0DC8F1"/>
    <w:rsid w:val="2A406C41"/>
    <w:rsid w:val="2A5D289C"/>
    <w:rsid w:val="2A90C445"/>
    <w:rsid w:val="2A9BB8FD"/>
    <w:rsid w:val="2ABC640B"/>
    <w:rsid w:val="2ACC9461"/>
    <w:rsid w:val="2AF57859"/>
    <w:rsid w:val="2AF9A44F"/>
    <w:rsid w:val="2B183F7C"/>
    <w:rsid w:val="2B37813C"/>
    <w:rsid w:val="2B41DDB3"/>
    <w:rsid w:val="2BBCEBB3"/>
    <w:rsid w:val="2BDA2186"/>
    <w:rsid w:val="2BDD71CC"/>
    <w:rsid w:val="2C12BB41"/>
    <w:rsid w:val="2C7AC7FF"/>
    <w:rsid w:val="2C7FF778"/>
    <w:rsid w:val="2C82F8A1"/>
    <w:rsid w:val="2C929EE6"/>
    <w:rsid w:val="2CC822E7"/>
    <w:rsid w:val="2CE5AA79"/>
    <w:rsid w:val="2CF2B537"/>
    <w:rsid w:val="2CFD2E96"/>
    <w:rsid w:val="2D359DC2"/>
    <w:rsid w:val="2D3BA535"/>
    <w:rsid w:val="2D4762EC"/>
    <w:rsid w:val="2D5123E7"/>
    <w:rsid w:val="2D63576D"/>
    <w:rsid w:val="2DE080CF"/>
    <w:rsid w:val="2E704C89"/>
    <w:rsid w:val="2EAC8D94"/>
    <w:rsid w:val="2EF53601"/>
    <w:rsid w:val="2F500CA3"/>
    <w:rsid w:val="2F80B728"/>
    <w:rsid w:val="2F91BF2E"/>
    <w:rsid w:val="2FA896FD"/>
    <w:rsid w:val="2FB05897"/>
    <w:rsid w:val="2FBF5428"/>
    <w:rsid w:val="301BC576"/>
    <w:rsid w:val="302C65C7"/>
    <w:rsid w:val="3057B91D"/>
    <w:rsid w:val="30841F27"/>
    <w:rsid w:val="30C2AD62"/>
    <w:rsid w:val="30DD5216"/>
    <w:rsid w:val="30E46D16"/>
    <w:rsid w:val="3107B4AD"/>
    <w:rsid w:val="313A3A63"/>
    <w:rsid w:val="31465D7E"/>
    <w:rsid w:val="319143ED"/>
    <w:rsid w:val="31A01636"/>
    <w:rsid w:val="31EBA7EF"/>
    <w:rsid w:val="3217486E"/>
    <w:rsid w:val="3235AFC8"/>
    <w:rsid w:val="323EE5CE"/>
    <w:rsid w:val="3257120C"/>
    <w:rsid w:val="3283F0DE"/>
    <w:rsid w:val="32A11470"/>
    <w:rsid w:val="32A390DF"/>
    <w:rsid w:val="32BECF59"/>
    <w:rsid w:val="32DC8CD2"/>
    <w:rsid w:val="32F2968F"/>
    <w:rsid w:val="32F4536E"/>
    <w:rsid w:val="32FF5EB7"/>
    <w:rsid w:val="33001B99"/>
    <w:rsid w:val="330A98D5"/>
    <w:rsid w:val="3310F12D"/>
    <w:rsid w:val="3327AFD9"/>
    <w:rsid w:val="3355C8E7"/>
    <w:rsid w:val="33580165"/>
    <w:rsid w:val="338AC159"/>
    <w:rsid w:val="339B771F"/>
    <w:rsid w:val="33E52749"/>
    <w:rsid w:val="33FF8A1C"/>
    <w:rsid w:val="341CBBFE"/>
    <w:rsid w:val="3460973E"/>
    <w:rsid w:val="34640EB3"/>
    <w:rsid w:val="34A62403"/>
    <w:rsid w:val="34B76F67"/>
    <w:rsid w:val="34D44C8E"/>
    <w:rsid w:val="34F5CCB0"/>
    <w:rsid w:val="351344F9"/>
    <w:rsid w:val="35605B5A"/>
    <w:rsid w:val="3586432F"/>
    <w:rsid w:val="35BD04A9"/>
    <w:rsid w:val="362AAC56"/>
    <w:rsid w:val="363B5A81"/>
    <w:rsid w:val="36469A37"/>
    <w:rsid w:val="367C0D95"/>
    <w:rsid w:val="36A81201"/>
    <w:rsid w:val="36B23C26"/>
    <w:rsid w:val="36B78231"/>
    <w:rsid w:val="36B7C8A4"/>
    <w:rsid w:val="36E69514"/>
    <w:rsid w:val="36F361E4"/>
    <w:rsid w:val="376A2398"/>
    <w:rsid w:val="377C33BF"/>
    <w:rsid w:val="378F98BF"/>
    <w:rsid w:val="37A49FC7"/>
    <w:rsid w:val="37B1509D"/>
    <w:rsid w:val="37B23530"/>
    <w:rsid w:val="37C216F8"/>
    <w:rsid w:val="37C3A9D2"/>
    <w:rsid w:val="37FBF716"/>
    <w:rsid w:val="3818DF79"/>
    <w:rsid w:val="3823EE09"/>
    <w:rsid w:val="3880E3B4"/>
    <w:rsid w:val="388AD3EA"/>
    <w:rsid w:val="38F16C1B"/>
    <w:rsid w:val="38FB6401"/>
    <w:rsid w:val="3909218E"/>
    <w:rsid w:val="39096CA9"/>
    <w:rsid w:val="3924A416"/>
    <w:rsid w:val="39462AF7"/>
    <w:rsid w:val="3948477B"/>
    <w:rsid w:val="3962E9C1"/>
    <w:rsid w:val="397C74A7"/>
    <w:rsid w:val="39A6A569"/>
    <w:rsid w:val="39BFACE7"/>
    <w:rsid w:val="39D7C404"/>
    <w:rsid w:val="39FEDCBF"/>
    <w:rsid w:val="3A98D7A4"/>
    <w:rsid w:val="3A9A82D8"/>
    <w:rsid w:val="3A9DF1FD"/>
    <w:rsid w:val="3AA44FC9"/>
    <w:rsid w:val="3AAE1AEE"/>
    <w:rsid w:val="3B0C3653"/>
    <w:rsid w:val="3B153942"/>
    <w:rsid w:val="3B4FB7F2"/>
    <w:rsid w:val="3B608603"/>
    <w:rsid w:val="3B77D670"/>
    <w:rsid w:val="3BAA1973"/>
    <w:rsid w:val="3BBE1D2E"/>
    <w:rsid w:val="3BDCD704"/>
    <w:rsid w:val="3BF33A0C"/>
    <w:rsid w:val="3C23BA47"/>
    <w:rsid w:val="3C3228F5"/>
    <w:rsid w:val="3C7B2228"/>
    <w:rsid w:val="3C89D6D2"/>
    <w:rsid w:val="3C952B90"/>
    <w:rsid w:val="3CB2C1C8"/>
    <w:rsid w:val="3CB9CA78"/>
    <w:rsid w:val="3CC730F6"/>
    <w:rsid w:val="3CDC0B42"/>
    <w:rsid w:val="3CEE0B74"/>
    <w:rsid w:val="3D27F5AB"/>
    <w:rsid w:val="3D330BA3"/>
    <w:rsid w:val="3D4F2FFC"/>
    <w:rsid w:val="3D621270"/>
    <w:rsid w:val="3D81C341"/>
    <w:rsid w:val="3D84939D"/>
    <w:rsid w:val="3DC5468B"/>
    <w:rsid w:val="3DCB554D"/>
    <w:rsid w:val="3DD76594"/>
    <w:rsid w:val="3DDE62E5"/>
    <w:rsid w:val="3DE70067"/>
    <w:rsid w:val="3E2A702C"/>
    <w:rsid w:val="3E43B8F8"/>
    <w:rsid w:val="3E4C0373"/>
    <w:rsid w:val="3E4CE405"/>
    <w:rsid w:val="3EC9F38F"/>
    <w:rsid w:val="3F2FF66F"/>
    <w:rsid w:val="3F6562E2"/>
    <w:rsid w:val="3F9E94AC"/>
    <w:rsid w:val="3FE2B188"/>
    <w:rsid w:val="3FECE47F"/>
    <w:rsid w:val="402625A5"/>
    <w:rsid w:val="40304873"/>
    <w:rsid w:val="405258DE"/>
    <w:rsid w:val="4062C06E"/>
    <w:rsid w:val="4085AF8B"/>
    <w:rsid w:val="40A7C156"/>
    <w:rsid w:val="40D1CA1C"/>
    <w:rsid w:val="40D9220C"/>
    <w:rsid w:val="4138B277"/>
    <w:rsid w:val="4195E2C1"/>
    <w:rsid w:val="419DB7E7"/>
    <w:rsid w:val="41B2836A"/>
    <w:rsid w:val="41DEE7EB"/>
    <w:rsid w:val="41EE45FE"/>
    <w:rsid w:val="41EEF388"/>
    <w:rsid w:val="41FB55F0"/>
    <w:rsid w:val="42169201"/>
    <w:rsid w:val="42286684"/>
    <w:rsid w:val="4252D450"/>
    <w:rsid w:val="427E8A4A"/>
    <w:rsid w:val="42863677"/>
    <w:rsid w:val="428E3208"/>
    <w:rsid w:val="42D56B1C"/>
    <w:rsid w:val="43280366"/>
    <w:rsid w:val="4398906B"/>
    <w:rsid w:val="43A87695"/>
    <w:rsid w:val="43BE1DDA"/>
    <w:rsid w:val="43ED75C1"/>
    <w:rsid w:val="44B2C7AB"/>
    <w:rsid w:val="4503B8FF"/>
    <w:rsid w:val="45415C53"/>
    <w:rsid w:val="45841B23"/>
    <w:rsid w:val="45ADF2C2"/>
    <w:rsid w:val="45DBDB6A"/>
    <w:rsid w:val="45DCB561"/>
    <w:rsid w:val="45E8C634"/>
    <w:rsid w:val="45ED18CE"/>
    <w:rsid w:val="45F89E11"/>
    <w:rsid w:val="46018B4A"/>
    <w:rsid w:val="463413E3"/>
    <w:rsid w:val="46627178"/>
    <w:rsid w:val="466F2742"/>
    <w:rsid w:val="467713CD"/>
    <w:rsid w:val="4686457D"/>
    <w:rsid w:val="46A7D4D9"/>
    <w:rsid w:val="46C0EA43"/>
    <w:rsid w:val="46EC5D7E"/>
    <w:rsid w:val="47210E05"/>
    <w:rsid w:val="475EF95A"/>
    <w:rsid w:val="476D638F"/>
    <w:rsid w:val="478728A6"/>
    <w:rsid w:val="479BF348"/>
    <w:rsid w:val="47CD56C2"/>
    <w:rsid w:val="4855C145"/>
    <w:rsid w:val="485984AF"/>
    <w:rsid w:val="486BE40E"/>
    <w:rsid w:val="48B99E28"/>
    <w:rsid w:val="48BC83FA"/>
    <w:rsid w:val="48C0105C"/>
    <w:rsid w:val="48D3E823"/>
    <w:rsid w:val="4922AFE5"/>
    <w:rsid w:val="4935AEAB"/>
    <w:rsid w:val="494BA1D2"/>
    <w:rsid w:val="496DBA4B"/>
    <w:rsid w:val="4974133F"/>
    <w:rsid w:val="4976BE7C"/>
    <w:rsid w:val="49772906"/>
    <w:rsid w:val="49A72CAB"/>
    <w:rsid w:val="49DFE0F1"/>
    <w:rsid w:val="4A041D07"/>
    <w:rsid w:val="4A4C033D"/>
    <w:rsid w:val="4A8ED95F"/>
    <w:rsid w:val="4A9095DC"/>
    <w:rsid w:val="4AA44B3C"/>
    <w:rsid w:val="4AD1915E"/>
    <w:rsid w:val="4AFE1F85"/>
    <w:rsid w:val="4B1C98A1"/>
    <w:rsid w:val="4BA0A950"/>
    <w:rsid w:val="4BA6CF1F"/>
    <w:rsid w:val="4BB187D0"/>
    <w:rsid w:val="4BB52A92"/>
    <w:rsid w:val="4BD5090D"/>
    <w:rsid w:val="4BF51CFE"/>
    <w:rsid w:val="4BFF8A04"/>
    <w:rsid w:val="4C09B194"/>
    <w:rsid w:val="4C227CFC"/>
    <w:rsid w:val="4C33669C"/>
    <w:rsid w:val="4C406933"/>
    <w:rsid w:val="4C745847"/>
    <w:rsid w:val="4CA4C395"/>
    <w:rsid w:val="4CF9617D"/>
    <w:rsid w:val="4D40FABA"/>
    <w:rsid w:val="4D561FAE"/>
    <w:rsid w:val="4D58E13A"/>
    <w:rsid w:val="4D98F52D"/>
    <w:rsid w:val="4DE9329C"/>
    <w:rsid w:val="4DF922B7"/>
    <w:rsid w:val="4E5D0C98"/>
    <w:rsid w:val="4E6A91E7"/>
    <w:rsid w:val="4E6AC30B"/>
    <w:rsid w:val="4E7443A1"/>
    <w:rsid w:val="4E8D09F0"/>
    <w:rsid w:val="4EC49EDD"/>
    <w:rsid w:val="4ED8EAA9"/>
    <w:rsid w:val="4F1B340B"/>
    <w:rsid w:val="4F230EAA"/>
    <w:rsid w:val="4F731670"/>
    <w:rsid w:val="4F8F1102"/>
    <w:rsid w:val="4F96016E"/>
    <w:rsid w:val="4FDF8BE4"/>
    <w:rsid w:val="5008FD1C"/>
    <w:rsid w:val="500DF083"/>
    <w:rsid w:val="503E0DA3"/>
    <w:rsid w:val="506FA081"/>
    <w:rsid w:val="508D8562"/>
    <w:rsid w:val="50902718"/>
    <w:rsid w:val="50BB1342"/>
    <w:rsid w:val="50BFD74D"/>
    <w:rsid w:val="50C55B3E"/>
    <w:rsid w:val="50EC9625"/>
    <w:rsid w:val="50F03243"/>
    <w:rsid w:val="5109BAB5"/>
    <w:rsid w:val="514A9FBE"/>
    <w:rsid w:val="51671E8D"/>
    <w:rsid w:val="516E22A0"/>
    <w:rsid w:val="51713B73"/>
    <w:rsid w:val="518075B9"/>
    <w:rsid w:val="5194DFA0"/>
    <w:rsid w:val="51A43BB1"/>
    <w:rsid w:val="51AD77FA"/>
    <w:rsid w:val="51CF6F53"/>
    <w:rsid w:val="51DC7A86"/>
    <w:rsid w:val="5210363F"/>
    <w:rsid w:val="52224CE2"/>
    <w:rsid w:val="524D0D36"/>
    <w:rsid w:val="52563946"/>
    <w:rsid w:val="52E9992F"/>
    <w:rsid w:val="530DAB89"/>
    <w:rsid w:val="532B5E35"/>
    <w:rsid w:val="5380E0DC"/>
    <w:rsid w:val="538121CB"/>
    <w:rsid w:val="53B3F32B"/>
    <w:rsid w:val="53D6352E"/>
    <w:rsid w:val="53E02035"/>
    <w:rsid w:val="53E80377"/>
    <w:rsid w:val="542ADFCA"/>
    <w:rsid w:val="546D90C8"/>
    <w:rsid w:val="548D8535"/>
    <w:rsid w:val="5491827D"/>
    <w:rsid w:val="54CAAFD6"/>
    <w:rsid w:val="54D8C586"/>
    <w:rsid w:val="54EDEC14"/>
    <w:rsid w:val="54FB935D"/>
    <w:rsid w:val="5504FAD7"/>
    <w:rsid w:val="5522C6EF"/>
    <w:rsid w:val="552BD28D"/>
    <w:rsid w:val="5566E501"/>
    <w:rsid w:val="5589BC99"/>
    <w:rsid w:val="56022916"/>
    <w:rsid w:val="561611F4"/>
    <w:rsid w:val="565E60EC"/>
    <w:rsid w:val="56787DFD"/>
    <w:rsid w:val="56A377EE"/>
    <w:rsid w:val="56AFB09B"/>
    <w:rsid w:val="56BEBCCF"/>
    <w:rsid w:val="5723C709"/>
    <w:rsid w:val="573EF6BF"/>
    <w:rsid w:val="5751C110"/>
    <w:rsid w:val="5754B530"/>
    <w:rsid w:val="5755BCF2"/>
    <w:rsid w:val="5785367E"/>
    <w:rsid w:val="5786FDDE"/>
    <w:rsid w:val="5815703C"/>
    <w:rsid w:val="5824ED8A"/>
    <w:rsid w:val="582CC06B"/>
    <w:rsid w:val="58604B9E"/>
    <w:rsid w:val="58AA4A36"/>
    <w:rsid w:val="58BE604F"/>
    <w:rsid w:val="58CA0076"/>
    <w:rsid w:val="58F48738"/>
    <w:rsid w:val="59342CE0"/>
    <w:rsid w:val="59429241"/>
    <w:rsid w:val="598E99DD"/>
    <w:rsid w:val="59B84480"/>
    <w:rsid w:val="59F87478"/>
    <w:rsid w:val="5A0008FA"/>
    <w:rsid w:val="5A7CBE9F"/>
    <w:rsid w:val="5ABC4A78"/>
    <w:rsid w:val="5B06DA76"/>
    <w:rsid w:val="5B5A59F4"/>
    <w:rsid w:val="5BC5C3A6"/>
    <w:rsid w:val="5BF31183"/>
    <w:rsid w:val="5C3F1057"/>
    <w:rsid w:val="5C8F5BDE"/>
    <w:rsid w:val="5CA3169B"/>
    <w:rsid w:val="5CE5E0A3"/>
    <w:rsid w:val="5CE8447B"/>
    <w:rsid w:val="5CF849FD"/>
    <w:rsid w:val="5D169C5E"/>
    <w:rsid w:val="5D21F6AC"/>
    <w:rsid w:val="5D795C29"/>
    <w:rsid w:val="5D8360D6"/>
    <w:rsid w:val="5DD1E874"/>
    <w:rsid w:val="5DDFDD72"/>
    <w:rsid w:val="5DE49F3E"/>
    <w:rsid w:val="5DF1D522"/>
    <w:rsid w:val="5E3385FD"/>
    <w:rsid w:val="5E6E9ECB"/>
    <w:rsid w:val="5E980B8C"/>
    <w:rsid w:val="5E9B3A15"/>
    <w:rsid w:val="5EB13DCF"/>
    <w:rsid w:val="5F07C589"/>
    <w:rsid w:val="5F2AECF5"/>
    <w:rsid w:val="5F3B24DA"/>
    <w:rsid w:val="5F421C19"/>
    <w:rsid w:val="5F48A7DE"/>
    <w:rsid w:val="5F8F71A2"/>
    <w:rsid w:val="5FEC6162"/>
    <w:rsid w:val="600188F1"/>
    <w:rsid w:val="608DAF01"/>
    <w:rsid w:val="60A270B3"/>
    <w:rsid w:val="60BE681B"/>
    <w:rsid w:val="60E4AB10"/>
    <w:rsid w:val="6127114E"/>
    <w:rsid w:val="613D8B4A"/>
    <w:rsid w:val="614CC36A"/>
    <w:rsid w:val="615E5B6F"/>
    <w:rsid w:val="61BCA7D2"/>
    <w:rsid w:val="61C1AFF3"/>
    <w:rsid w:val="61D219AB"/>
    <w:rsid w:val="61F2C155"/>
    <w:rsid w:val="620DBCB7"/>
    <w:rsid w:val="6219436E"/>
    <w:rsid w:val="62432729"/>
    <w:rsid w:val="6285AA77"/>
    <w:rsid w:val="629320DA"/>
    <w:rsid w:val="62CD1EF4"/>
    <w:rsid w:val="62D4C341"/>
    <w:rsid w:val="62E5B805"/>
    <w:rsid w:val="632B8A08"/>
    <w:rsid w:val="632CA732"/>
    <w:rsid w:val="634FC40A"/>
    <w:rsid w:val="637A70F4"/>
    <w:rsid w:val="638C88BF"/>
    <w:rsid w:val="6390FC33"/>
    <w:rsid w:val="63EFAE69"/>
    <w:rsid w:val="643E4F41"/>
    <w:rsid w:val="6447B5BD"/>
    <w:rsid w:val="648F15FE"/>
    <w:rsid w:val="6496C7DA"/>
    <w:rsid w:val="64AB3985"/>
    <w:rsid w:val="64B9B8B9"/>
    <w:rsid w:val="64D039BF"/>
    <w:rsid w:val="650607CB"/>
    <w:rsid w:val="651224C6"/>
    <w:rsid w:val="654E144D"/>
    <w:rsid w:val="654EA7E8"/>
    <w:rsid w:val="6556F7FD"/>
    <w:rsid w:val="6586EF08"/>
    <w:rsid w:val="6593A8D3"/>
    <w:rsid w:val="65BA718E"/>
    <w:rsid w:val="65C85639"/>
    <w:rsid w:val="65E01DAA"/>
    <w:rsid w:val="65F98652"/>
    <w:rsid w:val="660013D0"/>
    <w:rsid w:val="66079C2F"/>
    <w:rsid w:val="660E8C9B"/>
    <w:rsid w:val="6616FED8"/>
    <w:rsid w:val="664496C7"/>
    <w:rsid w:val="66565E68"/>
    <w:rsid w:val="66AD4BBD"/>
    <w:rsid w:val="66ADBE32"/>
    <w:rsid w:val="66CED372"/>
    <w:rsid w:val="66DA4D08"/>
    <w:rsid w:val="66F95C5D"/>
    <w:rsid w:val="6722FD9B"/>
    <w:rsid w:val="6723C6E9"/>
    <w:rsid w:val="6736C32E"/>
    <w:rsid w:val="67F9DF12"/>
    <w:rsid w:val="681BB9F5"/>
    <w:rsid w:val="6839D698"/>
    <w:rsid w:val="685BA7CD"/>
    <w:rsid w:val="68BB108F"/>
    <w:rsid w:val="68C32FEB"/>
    <w:rsid w:val="693AB6BC"/>
    <w:rsid w:val="694DABB9"/>
    <w:rsid w:val="69B4C855"/>
    <w:rsid w:val="69F7E87C"/>
    <w:rsid w:val="6A21DA25"/>
    <w:rsid w:val="6A226D7C"/>
    <w:rsid w:val="6A23117D"/>
    <w:rsid w:val="6A495D77"/>
    <w:rsid w:val="6A578A5A"/>
    <w:rsid w:val="6A6042D8"/>
    <w:rsid w:val="6A6FD67C"/>
    <w:rsid w:val="6A88EDF0"/>
    <w:rsid w:val="6A92BC64"/>
    <w:rsid w:val="6A9C52E2"/>
    <w:rsid w:val="6ABC2A31"/>
    <w:rsid w:val="6AC9C1D2"/>
    <w:rsid w:val="6B4CA973"/>
    <w:rsid w:val="6B94C572"/>
    <w:rsid w:val="6BD2A322"/>
    <w:rsid w:val="6BD7AB9B"/>
    <w:rsid w:val="6C327C08"/>
    <w:rsid w:val="6C3D4DE3"/>
    <w:rsid w:val="6C4DB24E"/>
    <w:rsid w:val="6C5B82C2"/>
    <w:rsid w:val="6C8F9B2C"/>
    <w:rsid w:val="6C93D96B"/>
    <w:rsid w:val="6CAB9EB2"/>
    <w:rsid w:val="6CC09A9B"/>
    <w:rsid w:val="6CDB951B"/>
    <w:rsid w:val="6CFECD25"/>
    <w:rsid w:val="6D1D24B9"/>
    <w:rsid w:val="6D4CC4DE"/>
    <w:rsid w:val="6D5AECC5"/>
    <w:rsid w:val="6D7E6405"/>
    <w:rsid w:val="6DB34F48"/>
    <w:rsid w:val="6E0902FE"/>
    <w:rsid w:val="6E18802B"/>
    <w:rsid w:val="6E295333"/>
    <w:rsid w:val="6E84B55C"/>
    <w:rsid w:val="6F0A8F13"/>
    <w:rsid w:val="6F0CBAA4"/>
    <w:rsid w:val="6F0D840E"/>
    <w:rsid w:val="6F11F49B"/>
    <w:rsid w:val="6F23F763"/>
    <w:rsid w:val="6F32048B"/>
    <w:rsid w:val="6F4BBAD7"/>
    <w:rsid w:val="6F6138AC"/>
    <w:rsid w:val="6F685896"/>
    <w:rsid w:val="6F90C291"/>
    <w:rsid w:val="6FEF454B"/>
    <w:rsid w:val="70D6C6CE"/>
    <w:rsid w:val="70E6BE3E"/>
    <w:rsid w:val="70FEC819"/>
    <w:rsid w:val="7116F616"/>
    <w:rsid w:val="712C92F2"/>
    <w:rsid w:val="7178CE29"/>
    <w:rsid w:val="717A20EC"/>
    <w:rsid w:val="7190CF5A"/>
    <w:rsid w:val="719B1DB6"/>
    <w:rsid w:val="71B336F9"/>
    <w:rsid w:val="71BCA7EE"/>
    <w:rsid w:val="71DE81DD"/>
    <w:rsid w:val="71F46F3E"/>
    <w:rsid w:val="71FC1A6B"/>
    <w:rsid w:val="721F98EE"/>
    <w:rsid w:val="727FCEC9"/>
    <w:rsid w:val="7289C925"/>
    <w:rsid w:val="729CFBC3"/>
    <w:rsid w:val="72DA9065"/>
    <w:rsid w:val="72FB234C"/>
    <w:rsid w:val="72FCCC74"/>
    <w:rsid w:val="732465E9"/>
    <w:rsid w:val="734D57F9"/>
    <w:rsid w:val="737F5181"/>
    <w:rsid w:val="739A04AF"/>
    <w:rsid w:val="73EC6028"/>
    <w:rsid w:val="73F5FA25"/>
    <w:rsid w:val="741379A5"/>
    <w:rsid w:val="744DDFCD"/>
    <w:rsid w:val="745FD1C5"/>
    <w:rsid w:val="746ACAAD"/>
    <w:rsid w:val="74A19C8C"/>
    <w:rsid w:val="74B17B97"/>
    <w:rsid w:val="74C61C3E"/>
    <w:rsid w:val="74C817E8"/>
    <w:rsid w:val="74CC227D"/>
    <w:rsid w:val="755707DA"/>
    <w:rsid w:val="7557482D"/>
    <w:rsid w:val="75D90832"/>
    <w:rsid w:val="75DE92D6"/>
    <w:rsid w:val="75F2EEE6"/>
    <w:rsid w:val="761F7EEB"/>
    <w:rsid w:val="762117C4"/>
    <w:rsid w:val="762AC5BD"/>
    <w:rsid w:val="76CF7A49"/>
    <w:rsid w:val="76D337D2"/>
    <w:rsid w:val="76EB65FD"/>
    <w:rsid w:val="7777BE65"/>
    <w:rsid w:val="7780B700"/>
    <w:rsid w:val="77DB6727"/>
    <w:rsid w:val="77DF4302"/>
    <w:rsid w:val="78066972"/>
    <w:rsid w:val="78160E32"/>
    <w:rsid w:val="781CC094"/>
    <w:rsid w:val="782DB88F"/>
    <w:rsid w:val="785E98C2"/>
    <w:rsid w:val="788018AD"/>
    <w:rsid w:val="789DE578"/>
    <w:rsid w:val="78C2A373"/>
    <w:rsid w:val="793DAC11"/>
    <w:rsid w:val="797B9E6E"/>
    <w:rsid w:val="79868051"/>
    <w:rsid w:val="79C0A1CA"/>
    <w:rsid w:val="79C6BB80"/>
    <w:rsid w:val="7A072C50"/>
    <w:rsid w:val="7A324981"/>
    <w:rsid w:val="7A5492FB"/>
    <w:rsid w:val="7A70CD5E"/>
    <w:rsid w:val="7A7439E9"/>
    <w:rsid w:val="7AB7FF28"/>
    <w:rsid w:val="7AE10456"/>
    <w:rsid w:val="7AF25DD8"/>
    <w:rsid w:val="7AFFE894"/>
    <w:rsid w:val="7B11F00E"/>
    <w:rsid w:val="7B23367C"/>
    <w:rsid w:val="7B300021"/>
    <w:rsid w:val="7B4FB940"/>
    <w:rsid w:val="7B621A17"/>
    <w:rsid w:val="7B651CFF"/>
    <w:rsid w:val="7B9760DE"/>
    <w:rsid w:val="7BBBAF22"/>
    <w:rsid w:val="7BCCE0F1"/>
    <w:rsid w:val="7BFBCAE3"/>
    <w:rsid w:val="7C31D3A7"/>
    <w:rsid w:val="7C6B3534"/>
    <w:rsid w:val="7C7C2B72"/>
    <w:rsid w:val="7C86A655"/>
    <w:rsid w:val="7CB798E2"/>
    <w:rsid w:val="7CBAD59F"/>
    <w:rsid w:val="7CBC24CC"/>
    <w:rsid w:val="7CCB4042"/>
    <w:rsid w:val="7CCDDEBE"/>
    <w:rsid w:val="7D3451F4"/>
    <w:rsid w:val="7D68CB03"/>
    <w:rsid w:val="7E1A8622"/>
    <w:rsid w:val="7E41C536"/>
    <w:rsid w:val="7E46BD64"/>
    <w:rsid w:val="7E9F492D"/>
    <w:rsid w:val="7EA48476"/>
    <w:rsid w:val="7ED2590B"/>
    <w:rsid w:val="7EEB7307"/>
    <w:rsid w:val="7EFFA692"/>
    <w:rsid w:val="7F1D5CE6"/>
    <w:rsid w:val="7F27D54A"/>
    <w:rsid w:val="7F43CEA3"/>
    <w:rsid w:val="7F4419CB"/>
    <w:rsid w:val="7F492264"/>
    <w:rsid w:val="7F49A445"/>
    <w:rsid w:val="7FA22F7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32AFFC"/>
  <w15:docId w15:val="{27CC5A6A-0BEC-4513-BE31-5ADDC87AD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spacing w:before="240" w:after="60"/>
      <w:ind w:left="574" w:hanging="432"/>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pPr>
      <w:keepNext/>
      <w:numPr>
        <w:ilvl w:val="1"/>
        <w:numId w:val="2"/>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pPr>
      <w:keepNext/>
      <w:numPr>
        <w:ilvl w:val="2"/>
        <w:numId w:val="2"/>
      </w:numPr>
      <w:spacing w:before="240" w:after="60"/>
      <w:outlineLvl w:val="2"/>
    </w:pPr>
    <w:rPr>
      <w:rFonts w:ascii="Times New Roman" w:eastAsia="Times New Roman" w:hAnsi="Times New Roman"/>
      <w:b/>
      <w:bCs/>
      <w:noProof/>
      <w:sz w:val="24"/>
      <w:szCs w:val="26"/>
    </w:rPr>
  </w:style>
  <w:style w:type="paragraph" w:styleId="Heading4">
    <w:name w:val="heading 4"/>
    <w:basedOn w:val="Normal"/>
    <w:next w:val="Normal"/>
    <w:link w:val="Heading4Char"/>
    <w:uiPriority w:val="9"/>
    <w:unhideWhenUsed/>
    <w:qFormat/>
    <w:pPr>
      <w:keepNext/>
      <w:keepLines/>
      <w:numPr>
        <w:ilvl w:val="3"/>
        <w:numId w:val="2"/>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unhideWhenUsed/>
    <w:qFormat/>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customStyle="1" w:styleId="footnotetext1">
    <w:name w:val="footnote text1"/>
    <w:aliases w:val="Footnote,Fußnote,Fußnotentextf,Note de bas de page,ft"/>
    <w:basedOn w:val="Normal"/>
    <w:uiPriority w:val="99"/>
    <w:unhideWhenUsed/>
    <w:qFormat/>
    <w:rPr>
      <w:sz w:val="20"/>
      <w:szCs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E Fußnotenzeichen,BVI fnr,Footnote symbol, BVI fnr,fr"/>
    <w:link w:val="BVIfnrCarCarCarCarCharCharCharChar"/>
    <w:qFormat/>
    <w:rPr>
      <w:shd w:val="clear" w:color="auto" w:fill="auto"/>
      <w:vertAlign w:val="superscript"/>
    </w:rPr>
  </w:style>
  <w:style w:type="character" w:styleId="CommentReference">
    <w:name w:val="annotation reference"/>
    <w:uiPriority w:val="99"/>
    <w:rPr>
      <w:sz w:val="16"/>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CommentText">
    <w:name w:val="annotation text"/>
    <w:basedOn w:val="Normal"/>
    <w:link w:val="CommentTextChar"/>
    <w:unhideWhenUsed/>
    <w:rPr>
      <w:sz w:val="20"/>
      <w:szCs w:val="20"/>
    </w:rPr>
  </w:style>
  <w:style w:type="character" w:customStyle="1" w:styleId="CommentTextChar">
    <w:name w:val="Comment Text Char"/>
    <w:link w:val="CommentText"/>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character" w:customStyle="1" w:styleId="Heading1Char">
    <w:name w:val="Heading 1 Char"/>
    <w:link w:val="Heading1"/>
    <w:uiPriority w:val="9"/>
    <w:rPr>
      <w:rFonts w:ascii="Cambria" w:eastAsia="Times New Roman" w:hAnsi="Cambria"/>
      <w:b/>
      <w:bCs/>
      <w:kern w:val="32"/>
      <w:sz w:val="32"/>
      <w:szCs w:val="32"/>
      <w:lang w:eastAsia="en-US"/>
    </w:rPr>
  </w:style>
  <w:style w:type="character" w:customStyle="1" w:styleId="Heading2Char">
    <w:name w:val="Heading 2 Char"/>
    <w:link w:val="Heading2"/>
    <w:uiPriority w:val="9"/>
    <w:rPr>
      <w:rFonts w:ascii="Cambria" w:eastAsia="Times New Roman" w:hAnsi="Cambria"/>
      <w:b/>
      <w:bCs/>
      <w:i/>
      <w:iCs/>
      <w:sz w:val="28"/>
      <w:szCs w:val="28"/>
      <w:lang w:eastAsia="en-US"/>
    </w:rPr>
  </w:style>
  <w:style w:type="character" w:customStyle="1" w:styleId="Heading3Char">
    <w:name w:val="Heading 3 Char"/>
    <w:link w:val="Heading3"/>
    <w:uiPriority w:val="9"/>
    <w:rPr>
      <w:rFonts w:ascii="Times New Roman" w:eastAsia="Times New Roman" w:hAnsi="Times New Roman"/>
      <w:b/>
      <w:bCs/>
      <w:noProof/>
      <w:sz w:val="24"/>
      <w:szCs w:val="26"/>
      <w:lang w:eastAsia="en-US"/>
    </w:rPr>
  </w:style>
  <w:style w:type="paragraph" w:styleId="TOC1">
    <w:name w:val="toc 1"/>
    <w:basedOn w:val="Normal"/>
    <w:next w:val="Normal"/>
    <w:autoRedefine/>
    <w:uiPriority w:val="39"/>
    <w:unhideWhenUsed/>
    <w:rsid w:val="00AC6AA2"/>
    <w:pPr>
      <w:tabs>
        <w:tab w:val="left" w:pos="440"/>
        <w:tab w:val="right" w:leader="dot" w:pos="8608"/>
      </w:tabs>
    </w:pPr>
    <w:rPr>
      <w:rFonts w:ascii="Times New Roman" w:eastAsia="Times New Roman" w:hAnsi="Times New Roman"/>
      <w:b/>
      <w:caps/>
      <w:noProof/>
      <w:sz w:val="24"/>
      <w:szCs w:val="24"/>
    </w:rPr>
  </w:style>
  <w:style w:type="paragraph" w:styleId="TOC2">
    <w:name w:val="toc 2"/>
    <w:basedOn w:val="Normal"/>
    <w:next w:val="Normal"/>
    <w:autoRedefine/>
    <w:uiPriority w:val="39"/>
    <w:unhideWhenUsed/>
    <w:rsid w:val="00C37020"/>
    <w:pPr>
      <w:tabs>
        <w:tab w:val="left" w:pos="880"/>
        <w:tab w:val="right" w:leader="dot" w:pos="8608"/>
      </w:tabs>
      <w:spacing w:after="120" w:line="240" w:lineRule="auto"/>
      <w:ind w:left="221"/>
    </w:pPr>
  </w:style>
  <w:style w:type="paragraph" w:styleId="TOC3">
    <w:name w:val="toc 3"/>
    <w:basedOn w:val="Normal"/>
    <w:next w:val="Normal"/>
    <w:autoRedefine/>
    <w:uiPriority w:val="39"/>
    <w:unhideWhenUsed/>
    <w:rsid w:val="00071817"/>
    <w:pPr>
      <w:tabs>
        <w:tab w:val="left" w:pos="880"/>
        <w:tab w:val="right" w:leader="dot" w:pos="8608"/>
      </w:tabs>
      <w:spacing w:line="240" w:lineRule="auto"/>
      <w:ind w:left="851" w:hanging="360"/>
    </w:pPr>
    <w:rPr>
      <w:rFonts w:ascii="Times New Roman" w:hAnsi="Times New Roman"/>
      <w:noProof/>
    </w:rPr>
  </w:style>
  <w:style w:type="paragraph" w:styleId="Revision">
    <w:name w:val="Revision"/>
    <w:hidden/>
    <w:uiPriority w:val="99"/>
    <w:semiHidden/>
    <w:rPr>
      <w:sz w:val="22"/>
      <w:szCs w:val="22"/>
      <w:lang w:eastAsia="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styleId="ListParagraph">
    <w:name w:val="List Paragraph"/>
    <w:aliases w:val="1st level - Bullet List Paragraph,Lettre d'introduction,Normal bullet 2,Bullet list,List Paragraph1,Medium Grid 1 - Accent 21,FooterText,Paragraphe de liste1,Bullet List Paragraph,Numbered List,List Paragraph11,Paragrafo elenco"/>
    <w:basedOn w:val="Normal"/>
    <w:link w:val="ListParagraphChar"/>
    <w:uiPriority w:val="34"/>
    <w:qFormat/>
    <w:pPr>
      <w:spacing w:after="0" w:line="240" w:lineRule="auto"/>
      <w:ind w:left="720"/>
      <w:contextualSpacing/>
      <w:jc w:val="both"/>
    </w:pPr>
    <w:rPr>
      <w:rFonts w:ascii="Times New Roman" w:eastAsia="Times New Roman" w:hAnsi="Times New Roman"/>
      <w:sz w:val="20"/>
      <w:szCs w:val="20"/>
      <w:lang w:eastAsia="en-GB"/>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lang w:val="cs-CZ"/>
    </w:rPr>
  </w:style>
  <w:style w:type="character" w:styleId="EndnoteReference">
    <w:name w:val="endnote reference"/>
    <w:uiPriority w:val="99"/>
    <w:semiHidden/>
    <w:unhideWhenUsed/>
    <w:rPr>
      <w:vertAlign w:val="superscript"/>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szCs w:val="22"/>
      <w:lang w:eastAsia="en-U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sz w:val="22"/>
      <w:szCs w:val="22"/>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lang w:eastAsia="en-US"/>
    </w:rPr>
  </w:style>
  <w:style w:type="paragraph" w:customStyle="1" w:styleId="Text2">
    <w:name w:val="Text 2"/>
    <w:basedOn w:val="Normal"/>
    <w:pPr>
      <w:tabs>
        <w:tab w:val="left" w:pos="2160"/>
      </w:tabs>
      <w:suppressAutoHyphens/>
      <w:spacing w:after="240" w:line="240" w:lineRule="auto"/>
      <w:ind w:left="1077"/>
      <w:jc w:val="both"/>
    </w:pPr>
    <w:rPr>
      <w:rFonts w:ascii="Times New Roman" w:eastAsia="Times New Roman" w:hAnsi="Times New Roman"/>
      <w:sz w:val="24"/>
      <w:szCs w:val="20"/>
      <w:lang w:eastAsia="ar-SA"/>
    </w:rPr>
  </w:style>
  <w:style w:type="character" w:styleId="Strong">
    <w:name w:val="Strong"/>
    <w:basedOn w:val="DefaultParagraphFont"/>
    <w:uiPriority w:val="22"/>
    <w:qFormat/>
    <w:rPr>
      <w:b/>
      <w:bCs/>
    </w:rPr>
  </w:style>
  <w:style w:type="paragraph" w:customStyle="1" w:styleId="Pa34">
    <w:name w:val="Pa34"/>
    <w:basedOn w:val="Default"/>
    <w:next w:val="Default"/>
    <w:uiPriority w:val="99"/>
    <w:pPr>
      <w:spacing w:line="261" w:lineRule="atLeast"/>
    </w:pPr>
    <w:rPr>
      <w:rFonts w:ascii="Myriad Pro" w:hAnsi="Myriad Pro" w:cs="Times New Roman"/>
      <w:color w:val="auto"/>
    </w:rPr>
  </w:style>
  <w:style w:type="paragraph" w:styleId="ListNumber2">
    <w:name w:val="List Number 2"/>
    <w:basedOn w:val="Text2"/>
    <w:pPr>
      <w:numPr>
        <w:numId w:val="3"/>
      </w:numPr>
      <w:tabs>
        <w:tab w:val="clear" w:pos="2160"/>
      </w:tabs>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CommentTextChar1">
    <w:name w:val="Comment Text Char1"/>
    <w:uiPriority w:val="99"/>
    <w:rPr>
      <w:rFonts w:ascii="Times New Roman" w:eastAsia="Times New Roman" w:hAnsi="Times New Roman"/>
      <w:lang w:val="cs-CZ" w:eastAsia="ar-SA"/>
    </w:rPr>
  </w:style>
  <w:style w:type="paragraph" w:customStyle="1" w:styleId="Bullet1">
    <w:name w:val="Bullet 1"/>
    <w:basedOn w:val="Normal"/>
    <w:pPr>
      <w:numPr>
        <w:numId w:val="4"/>
      </w:numPr>
      <w:spacing w:after="0" w:line="240" w:lineRule="auto"/>
      <w:jc w:val="both"/>
    </w:pPr>
    <w:rPr>
      <w:rFonts w:ascii="Times New Roman" w:eastAsia="Times New Roman" w:hAnsi="Times New Roman"/>
      <w:sz w:val="24"/>
      <w:szCs w:val="24"/>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rPr>
  </w:style>
  <w:style w:type="paragraph" w:customStyle="1" w:styleId="Point0number">
    <w:name w:val="Point 0 (number)"/>
    <w:basedOn w:val="Normal"/>
    <w:pPr>
      <w:numPr>
        <w:numId w:val="5"/>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pPr>
      <w:numPr>
        <w:ilvl w:val="2"/>
        <w:numId w:val="5"/>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pPr>
      <w:numPr>
        <w:ilvl w:val="4"/>
        <w:numId w:val="5"/>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pPr>
      <w:numPr>
        <w:ilvl w:val="6"/>
        <w:numId w:val="5"/>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pPr>
      <w:numPr>
        <w:ilvl w:val="1"/>
        <w:numId w:val="5"/>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pPr>
      <w:numPr>
        <w:ilvl w:val="3"/>
        <w:numId w:val="5"/>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pPr>
      <w:numPr>
        <w:ilvl w:val="5"/>
        <w:numId w:val="5"/>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pPr>
      <w:numPr>
        <w:ilvl w:val="7"/>
        <w:numId w:val="5"/>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pPr>
      <w:numPr>
        <w:ilvl w:val="8"/>
        <w:numId w:val="5"/>
      </w:numPr>
      <w:spacing w:before="120" w:after="120" w:line="240" w:lineRule="auto"/>
      <w:jc w:val="both"/>
    </w:pPr>
    <w:rPr>
      <w:rFonts w:ascii="Times New Roman" w:eastAsia="Times New Roman" w:hAnsi="Times New Roman"/>
      <w:sz w:val="24"/>
      <w:lang w:eastAsia="en-GB"/>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ListBullet">
    <w:name w:val="List Bullet"/>
    <w:basedOn w:val="Normal"/>
    <w:uiPriority w:val="99"/>
    <w:pPr>
      <w:numPr>
        <w:numId w:val="6"/>
      </w:numPr>
      <w:spacing w:before="120" w:after="120" w:line="240" w:lineRule="auto"/>
      <w:jc w:val="both"/>
    </w:pPr>
    <w:rPr>
      <w:rFonts w:ascii="Times New Roman" w:eastAsia="Times New Roman" w:hAnsi="Times New Roman"/>
      <w:sz w:val="24"/>
      <w:szCs w:val="24"/>
      <w:lang w:eastAsia="de-DE"/>
    </w:rPr>
  </w:style>
  <w:style w:type="character" w:customStyle="1" w:styleId="ListParagraphChar">
    <w:name w:val="List Paragraph Char"/>
    <w:aliases w:val="1st level - Bullet List Paragraph Char,Lettre d'introduction Char,Normal bullet 2 Char,Bullet list Char,List Paragraph1 Char,Medium Grid 1 - Accent 21 Char,FooterText Char,Paragraphe de liste1 Char,Bullet List Paragraph Char"/>
    <w:link w:val="ListParagraph"/>
    <w:uiPriority w:val="34"/>
    <w:locked/>
    <w:rPr>
      <w:rFonts w:ascii="Times New Roman" w:eastAsia="Times New Roman" w:hAnsi="Times New Roma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LegalNumPar">
    <w:name w:val="LegalNumPar"/>
    <w:basedOn w:val="Normal"/>
    <w:pPr>
      <w:numPr>
        <w:numId w:val="10"/>
      </w:numPr>
      <w:spacing w:line="360" w:lineRule="auto"/>
    </w:pPr>
    <w:rPr>
      <w:sz w:val="24"/>
    </w:rPr>
  </w:style>
  <w:style w:type="paragraph" w:customStyle="1" w:styleId="LegalNumPar2">
    <w:name w:val="LegalNumPar2"/>
    <w:basedOn w:val="Normal"/>
    <w:pPr>
      <w:numPr>
        <w:ilvl w:val="1"/>
        <w:numId w:val="10"/>
      </w:numPr>
      <w:spacing w:line="360" w:lineRule="auto"/>
    </w:pPr>
    <w:rPr>
      <w:sz w:val="24"/>
    </w:rPr>
  </w:style>
  <w:style w:type="paragraph" w:customStyle="1" w:styleId="LegalNumPar3">
    <w:name w:val="LegalNumPar3"/>
    <w:basedOn w:val="Normal"/>
    <w:pPr>
      <w:numPr>
        <w:ilvl w:val="2"/>
        <w:numId w:val="10"/>
      </w:numPr>
      <w:spacing w:line="360" w:lineRule="auto"/>
    </w:pPr>
    <w:rPr>
      <w:sz w:val="24"/>
    </w:rPr>
  </w:style>
  <w:style w:type="paragraph" w:customStyle="1" w:styleId="LTTBullet">
    <w:name w:val="LTT Bullet"/>
    <w:basedOn w:val="Normal"/>
    <w:qFormat/>
    <w:pPr>
      <w:numPr>
        <w:numId w:val="23"/>
      </w:numPr>
      <w:spacing w:after="0" w:line="240" w:lineRule="auto"/>
    </w:pPr>
    <w:rPr>
      <w:rFonts w:eastAsia="Times New Roman" w:cs="Calibri"/>
      <w:sz w:val="28"/>
      <w:szCs w:val="28"/>
      <w:lang w:eastAsia="en-GB"/>
    </w:rPr>
  </w:style>
  <w:style w:type="paragraph" w:customStyle="1" w:styleId="LTTBullet2">
    <w:name w:val="LTT Bullet 2"/>
    <w:basedOn w:val="LTTBullet"/>
    <w:qFormat/>
    <w:pPr>
      <w:numPr>
        <w:ilvl w:val="1"/>
      </w:numPr>
    </w:pPr>
  </w:style>
  <w:style w:type="paragraph" w:styleId="FootnoteText">
    <w:name w:val="footnote text"/>
    <w:aliases w:val="Footnote Text Char1,Footnote Text Char Char,Footnote Text Char3 Char Char,Footnote Text Char2 Char Char Char,Footnote Text Char1 Char Char Char Char,Footnote Text Char Char Char Char Char Char,fn,single space,o,Char,f,Fußnot,EMPL6,FOOTNOTE"/>
    <w:basedOn w:val="Normal"/>
    <w:unhideWhenUsed/>
    <w:qFormat/>
    <w:pPr>
      <w:spacing w:after="0" w:line="240" w:lineRule="auto"/>
    </w:pPr>
    <w:rPr>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basedOn w:val="DefaultParagraphFont"/>
    <w:qFormat/>
    <w:rPr>
      <w:lang w:eastAsia="en-US"/>
    </w:rPr>
  </w:style>
  <w:style w:type="table" w:styleId="TableGrid">
    <w:name w:val="Table Grid"/>
    <w:basedOn w:val="TableNormal"/>
    <w:uiPriority w:val="39"/>
    <w:rsid w:val="00125D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CharCharChar">
    <w:name w:val="BVI fnr Car Car Car Car Char Char Char Char"/>
    <w:basedOn w:val="Normal"/>
    <w:link w:val="FootnoteReference"/>
    <w:autoRedefine/>
    <w:uiPriority w:val="99"/>
    <w:qFormat/>
    <w:locked/>
    <w:rsid w:val="00FB13FE"/>
    <w:pPr>
      <w:spacing w:after="0" w:line="240" w:lineRule="auto"/>
      <w:ind w:left="720" w:hanging="720"/>
    </w:pPr>
    <w:rPr>
      <w:sz w:val="20"/>
      <w:szCs w:val="20"/>
      <w:vertAlign w:val="superscript"/>
      <w:lang w:eastAsia="en-GB"/>
    </w:rPr>
  </w:style>
  <w:style w:type="paragraph" w:customStyle="1" w:styleId="PSNormal">
    <w:name w:val="PS_Normal"/>
    <w:basedOn w:val="Normal"/>
    <w:rsid w:val="00FB13FE"/>
    <w:pPr>
      <w:spacing w:after="0" w:line="240" w:lineRule="auto"/>
    </w:pPr>
    <w:rPr>
      <w:rFonts w:ascii="Times New Roman" w:eastAsia="Times New Roman" w:hAnsi="Times New Roman"/>
      <w:sz w:val="20"/>
      <w:szCs w:val="20"/>
      <w:lang w:eastAsia="en-GB"/>
    </w:rPr>
  </w:style>
  <w:style w:type="character" w:customStyle="1" w:styleId="markedcontent">
    <w:name w:val="markedcontent"/>
    <w:basedOn w:val="DefaultParagraphFont"/>
    <w:rsid w:val="00F35044"/>
  </w:style>
  <w:style w:type="paragraph" w:customStyle="1" w:styleId="ppoListHyphened-L1">
    <w:name w:val="[ppo_List] Hyphened [ – ][ * ][ ◊ ] - L1"/>
    <w:basedOn w:val="Normal"/>
    <w:qFormat/>
    <w:rsid w:val="00324E56"/>
    <w:pPr>
      <w:numPr>
        <w:numId w:val="34"/>
      </w:numPr>
      <w:spacing w:before="120" w:after="120" w:line="264" w:lineRule="auto"/>
    </w:pPr>
    <w:rPr>
      <w:rFonts w:ascii="EC Square Sans Pro" w:eastAsiaTheme="minorHAnsi" w:hAnsi="EC Square Sans Pro" w:cstheme="minorBidi"/>
    </w:rPr>
  </w:style>
  <w:style w:type="paragraph" w:customStyle="1" w:styleId="ppoListHyphened-L2">
    <w:name w:val="[ppo_List] Hyphened [ – ][ * ][ ◊ ] - L2"/>
    <w:basedOn w:val="Normal"/>
    <w:qFormat/>
    <w:rsid w:val="00324E56"/>
    <w:pPr>
      <w:numPr>
        <w:ilvl w:val="1"/>
        <w:numId w:val="34"/>
      </w:numPr>
      <w:spacing w:before="120" w:after="120" w:line="264" w:lineRule="auto"/>
    </w:pPr>
    <w:rPr>
      <w:rFonts w:ascii="EC Square Sans Pro" w:eastAsiaTheme="minorHAnsi" w:hAnsi="EC Square Sans Pro" w:cstheme="minorBidi"/>
    </w:rPr>
  </w:style>
  <w:style w:type="paragraph" w:customStyle="1" w:styleId="ppoListHyphened-L3">
    <w:name w:val="[ppo_List] Hyphened [ – ][ * ][ ◊ ] - L3"/>
    <w:basedOn w:val="Normal"/>
    <w:qFormat/>
    <w:rsid w:val="00324E56"/>
    <w:pPr>
      <w:numPr>
        <w:ilvl w:val="2"/>
        <w:numId w:val="34"/>
      </w:numPr>
      <w:spacing w:before="120" w:after="120" w:line="264" w:lineRule="auto"/>
    </w:pPr>
    <w:rPr>
      <w:rFonts w:ascii="EC Square Sans Pro" w:eastAsiaTheme="minorHAnsi" w:hAnsi="EC Square Sans Pro" w:cstheme="minorBidi"/>
    </w:rPr>
  </w:style>
  <w:style w:type="numbering" w:customStyle="1" w:styleId="PPOLISTHyphened">
    <w:name w:val="[PPO_LIST] Hyphened [ – ][ * ][ ◊ ]"/>
    <w:uiPriority w:val="99"/>
    <w:rsid w:val="00324E56"/>
    <w:pPr>
      <w:numPr>
        <w:numId w:val="35"/>
      </w:numPr>
    </w:pPr>
  </w:style>
  <w:style w:type="character" w:customStyle="1" w:styleId="UnresolvedMention">
    <w:name w:val="Unresolved Mention"/>
    <w:basedOn w:val="DefaultParagraphFont"/>
    <w:uiPriority w:val="99"/>
    <w:semiHidden/>
    <w:unhideWhenUsed/>
    <w:rsid w:val="0021482F"/>
    <w:rPr>
      <w:color w:val="605E5C"/>
      <w:shd w:val="clear" w:color="auto" w:fill="E1DFDD"/>
    </w:rPr>
  </w:style>
  <w:style w:type="paragraph" w:customStyle="1" w:styleId="5Normal">
    <w:name w:val="5 Normal"/>
    <w:basedOn w:val="Normal"/>
    <w:link w:val="5NormalChar"/>
    <w:qFormat/>
    <w:rsid w:val="0017168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spacing w:val="-2"/>
      <w:sz w:val="20"/>
      <w:szCs w:val="24"/>
      <w:lang w:eastAsia="en-GB"/>
    </w:rPr>
  </w:style>
  <w:style w:type="character" w:customStyle="1" w:styleId="5NormalChar">
    <w:name w:val="5 Normal Char"/>
    <w:link w:val="5Normal"/>
    <w:locked/>
    <w:rsid w:val="00171685"/>
    <w:rPr>
      <w:rFonts w:ascii="Verdana" w:eastAsia="Times New Roman" w:hAnsi="Verdana"/>
      <w:spacing w:val="-2"/>
      <w:szCs w:val="24"/>
    </w:rPr>
  </w:style>
  <w:style w:type="paragraph" w:customStyle="1" w:styleId="Text1">
    <w:name w:val="Text 1"/>
    <w:basedOn w:val="Normal"/>
    <w:rsid w:val="00171685"/>
    <w:pPr>
      <w:spacing w:after="240" w:line="240" w:lineRule="auto"/>
      <w:ind w:left="482"/>
      <w:jc w:val="both"/>
    </w:pPr>
    <w:rPr>
      <w:rFonts w:ascii="Times New Roman" w:eastAsia="Times New Roman" w:hAnsi="Times New Roman"/>
      <w:sz w:val="24"/>
      <w:szCs w:val="20"/>
    </w:rPr>
  </w:style>
  <w:style w:type="paragraph" w:customStyle="1" w:styleId="BVIfnrCharCharCharCharCharChar">
    <w:name w:val="BVI fnr Char Char Char Char Char Char"/>
    <w:aliases w:val="BVI fnr Car Car Char Char Char Char Char Char,BVI fnr Car Char Char Char Char Char Char,BVI fnr Car Car Car Car Char Char1 Char Char Char Char Char"/>
    <w:basedOn w:val="Normal"/>
    <w:uiPriority w:val="99"/>
    <w:rsid w:val="00171685"/>
    <w:pPr>
      <w:spacing w:after="160" w:line="240" w:lineRule="exact"/>
    </w:pPr>
    <w:rPr>
      <w:rFonts w:asciiTheme="minorHAnsi" w:eastAsiaTheme="minorHAnsi" w:hAnsiTheme="minorHAnsi" w:cstheme="minorBidi"/>
      <w:vertAlign w:val="superscript"/>
    </w:rPr>
  </w:style>
  <w:style w:type="paragraph" w:customStyle="1" w:styleId="paragraph">
    <w:name w:val="paragraph"/>
    <w:basedOn w:val="Normal"/>
    <w:rsid w:val="00526AB4"/>
    <w:pPr>
      <w:spacing w:before="100" w:beforeAutospacing="1" w:after="100" w:afterAutospacing="1" w:line="240" w:lineRule="auto"/>
    </w:pPr>
    <w:rPr>
      <w:rFonts w:ascii="Times New Roman" w:eastAsia="Times New Roman" w:hAnsi="Times New Roman"/>
      <w:sz w:val="24"/>
      <w:szCs w:val="24"/>
      <w:lang w:eastAsia="fr-BE"/>
    </w:rPr>
  </w:style>
  <w:style w:type="character" w:customStyle="1" w:styleId="normaltextrun">
    <w:name w:val="normaltextrun"/>
    <w:basedOn w:val="DefaultParagraphFont"/>
    <w:rsid w:val="00526AB4"/>
  </w:style>
  <w:style w:type="character" w:customStyle="1" w:styleId="eop">
    <w:name w:val="eop"/>
    <w:basedOn w:val="DefaultParagraphFont"/>
    <w:rsid w:val="00526AB4"/>
  </w:style>
  <w:style w:type="character" w:customStyle="1" w:styleId="Mention">
    <w:name w:val="Mention"/>
    <w:basedOn w:val="DefaultParagraphFont"/>
    <w:uiPriority w:val="99"/>
    <w:unhideWhenUsed/>
    <w:rsid w:val="006A3674"/>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rsid w:val="00EA63D4"/>
    <w:pPr>
      <w:spacing w:after="160" w:line="240" w:lineRule="exact"/>
    </w:pPr>
    <w:rPr>
      <w:rFonts w:asciiTheme="minorHAnsi" w:eastAsiaTheme="minorHAnsi" w:hAnsiTheme="minorHAnsi" w:cstheme="minorBidi"/>
      <w:vertAlign w:val="superscript"/>
    </w:rPr>
  </w:style>
  <w:style w:type="character" w:customStyle="1" w:styleId="superscript">
    <w:name w:val="superscript"/>
    <w:basedOn w:val="DefaultParagraphFont"/>
    <w:rsid w:val="00F36841"/>
  </w:style>
  <w:style w:type="character" w:customStyle="1" w:styleId="findhit">
    <w:name w:val="findhit"/>
    <w:basedOn w:val="DefaultParagraphFont"/>
    <w:rsid w:val="00CE2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81944">
      <w:bodyDiv w:val="1"/>
      <w:marLeft w:val="0"/>
      <w:marRight w:val="0"/>
      <w:marTop w:val="0"/>
      <w:marBottom w:val="0"/>
      <w:divBdr>
        <w:top w:val="none" w:sz="0" w:space="0" w:color="auto"/>
        <w:left w:val="none" w:sz="0" w:space="0" w:color="auto"/>
        <w:bottom w:val="none" w:sz="0" w:space="0" w:color="auto"/>
        <w:right w:val="none" w:sz="0" w:space="0" w:color="auto"/>
      </w:divBdr>
    </w:div>
    <w:div w:id="216017287">
      <w:bodyDiv w:val="1"/>
      <w:marLeft w:val="0"/>
      <w:marRight w:val="0"/>
      <w:marTop w:val="0"/>
      <w:marBottom w:val="0"/>
      <w:divBdr>
        <w:top w:val="none" w:sz="0" w:space="0" w:color="auto"/>
        <w:left w:val="none" w:sz="0" w:space="0" w:color="auto"/>
        <w:bottom w:val="none" w:sz="0" w:space="0" w:color="auto"/>
        <w:right w:val="none" w:sz="0" w:space="0" w:color="auto"/>
      </w:divBdr>
    </w:div>
    <w:div w:id="392392969">
      <w:bodyDiv w:val="1"/>
      <w:marLeft w:val="0"/>
      <w:marRight w:val="0"/>
      <w:marTop w:val="0"/>
      <w:marBottom w:val="0"/>
      <w:divBdr>
        <w:top w:val="none" w:sz="0" w:space="0" w:color="auto"/>
        <w:left w:val="none" w:sz="0" w:space="0" w:color="auto"/>
        <w:bottom w:val="none" w:sz="0" w:space="0" w:color="auto"/>
        <w:right w:val="none" w:sz="0" w:space="0" w:color="auto"/>
      </w:divBdr>
    </w:div>
    <w:div w:id="395053504">
      <w:bodyDiv w:val="1"/>
      <w:marLeft w:val="0"/>
      <w:marRight w:val="0"/>
      <w:marTop w:val="0"/>
      <w:marBottom w:val="0"/>
      <w:divBdr>
        <w:top w:val="none" w:sz="0" w:space="0" w:color="auto"/>
        <w:left w:val="none" w:sz="0" w:space="0" w:color="auto"/>
        <w:bottom w:val="none" w:sz="0" w:space="0" w:color="auto"/>
        <w:right w:val="none" w:sz="0" w:space="0" w:color="auto"/>
      </w:divBdr>
    </w:div>
    <w:div w:id="442923736">
      <w:bodyDiv w:val="1"/>
      <w:marLeft w:val="0"/>
      <w:marRight w:val="0"/>
      <w:marTop w:val="0"/>
      <w:marBottom w:val="0"/>
      <w:divBdr>
        <w:top w:val="none" w:sz="0" w:space="0" w:color="auto"/>
        <w:left w:val="none" w:sz="0" w:space="0" w:color="auto"/>
        <w:bottom w:val="none" w:sz="0" w:space="0" w:color="auto"/>
        <w:right w:val="none" w:sz="0" w:space="0" w:color="auto"/>
      </w:divBdr>
    </w:div>
    <w:div w:id="452214359">
      <w:bodyDiv w:val="1"/>
      <w:marLeft w:val="0"/>
      <w:marRight w:val="0"/>
      <w:marTop w:val="0"/>
      <w:marBottom w:val="0"/>
      <w:divBdr>
        <w:top w:val="none" w:sz="0" w:space="0" w:color="auto"/>
        <w:left w:val="none" w:sz="0" w:space="0" w:color="auto"/>
        <w:bottom w:val="none" w:sz="0" w:space="0" w:color="auto"/>
        <w:right w:val="none" w:sz="0" w:space="0" w:color="auto"/>
      </w:divBdr>
    </w:div>
    <w:div w:id="470371217">
      <w:bodyDiv w:val="1"/>
      <w:marLeft w:val="0"/>
      <w:marRight w:val="0"/>
      <w:marTop w:val="0"/>
      <w:marBottom w:val="0"/>
      <w:divBdr>
        <w:top w:val="none" w:sz="0" w:space="0" w:color="auto"/>
        <w:left w:val="none" w:sz="0" w:space="0" w:color="auto"/>
        <w:bottom w:val="none" w:sz="0" w:space="0" w:color="auto"/>
        <w:right w:val="none" w:sz="0" w:space="0" w:color="auto"/>
      </w:divBdr>
    </w:div>
    <w:div w:id="493836581">
      <w:bodyDiv w:val="1"/>
      <w:marLeft w:val="0"/>
      <w:marRight w:val="0"/>
      <w:marTop w:val="0"/>
      <w:marBottom w:val="0"/>
      <w:divBdr>
        <w:top w:val="none" w:sz="0" w:space="0" w:color="auto"/>
        <w:left w:val="none" w:sz="0" w:space="0" w:color="auto"/>
        <w:bottom w:val="none" w:sz="0" w:space="0" w:color="auto"/>
        <w:right w:val="none" w:sz="0" w:space="0" w:color="auto"/>
      </w:divBdr>
    </w:div>
    <w:div w:id="557329476">
      <w:bodyDiv w:val="1"/>
      <w:marLeft w:val="0"/>
      <w:marRight w:val="0"/>
      <w:marTop w:val="0"/>
      <w:marBottom w:val="0"/>
      <w:divBdr>
        <w:top w:val="none" w:sz="0" w:space="0" w:color="auto"/>
        <w:left w:val="none" w:sz="0" w:space="0" w:color="auto"/>
        <w:bottom w:val="none" w:sz="0" w:space="0" w:color="auto"/>
        <w:right w:val="none" w:sz="0" w:space="0" w:color="auto"/>
      </w:divBdr>
    </w:div>
    <w:div w:id="571963293">
      <w:bodyDiv w:val="1"/>
      <w:marLeft w:val="0"/>
      <w:marRight w:val="0"/>
      <w:marTop w:val="0"/>
      <w:marBottom w:val="0"/>
      <w:divBdr>
        <w:top w:val="none" w:sz="0" w:space="0" w:color="auto"/>
        <w:left w:val="none" w:sz="0" w:space="0" w:color="auto"/>
        <w:bottom w:val="none" w:sz="0" w:space="0" w:color="auto"/>
        <w:right w:val="none" w:sz="0" w:space="0" w:color="auto"/>
      </w:divBdr>
    </w:div>
    <w:div w:id="665010993">
      <w:bodyDiv w:val="1"/>
      <w:marLeft w:val="0"/>
      <w:marRight w:val="0"/>
      <w:marTop w:val="0"/>
      <w:marBottom w:val="0"/>
      <w:divBdr>
        <w:top w:val="none" w:sz="0" w:space="0" w:color="auto"/>
        <w:left w:val="none" w:sz="0" w:space="0" w:color="auto"/>
        <w:bottom w:val="none" w:sz="0" w:space="0" w:color="auto"/>
        <w:right w:val="none" w:sz="0" w:space="0" w:color="auto"/>
      </w:divBdr>
    </w:div>
    <w:div w:id="665714978">
      <w:bodyDiv w:val="1"/>
      <w:marLeft w:val="0"/>
      <w:marRight w:val="0"/>
      <w:marTop w:val="0"/>
      <w:marBottom w:val="0"/>
      <w:divBdr>
        <w:top w:val="none" w:sz="0" w:space="0" w:color="auto"/>
        <w:left w:val="none" w:sz="0" w:space="0" w:color="auto"/>
        <w:bottom w:val="none" w:sz="0" w:space="0" w:color="auto"/>
        <w:right w:val="none" w:sz="0" w:space="0" w:color="auto"/>
      </w:divBdr>
    </w:div>
    <w:div w:id="721517718">
      <w:bodyDiv w:val="1"/>
      <w:marLeft w:val="0"/>
      <w:marRight w:val="0"/>
      <w:marTop w:val="0"/>
      <w:marBottom w:val="0"/>
      <w:divBdr>
        <w:top w:val="none" w:sz="0" w:space="0" w:color="auto"/>
        <w:left w:val="none" w:sz="0" w:space="0" w:color="auto"/>
        <w:bottom w:val="none" w:sz="0" w:space="0" w:color="auto"/>
        <w:right w:val="none" w:sz="0" w:space="0" w:color="auto"/>
      </w:divBdr>
    </w:div>
    <w:div w:id="760414284">
      <w:bodyDiv w:val="1"/>
      <w:marLeft w:val="0"/>
      <w:marRight w:val="0"/>
      <w:marTop w:val="0"/>
      <w:marBottom w:val="0"/>
      <w:divBdr>
        <w:top w:val="none" w:sz="0" w:space="0" w:color="auto"/>
        <w:left w:val="none" w:sz="0" w:space="0" w:color="auto"/>
        <w:bottom w:val="none" w:sz="0" w:space="0" w:color="auto"/>
        <w:right w:val="none" w:sz="0" w:space="0" w:color="auto"/>
      </w:divBdr>
    </w:div>
    <w:div w:id="818379079">
      <w:bodyDiv w:val="1"/>
      <w:marLeft w:val="0"/>
      <w:marRight w:val="0"/>
      <w:marTop w:val="0"/>
      <w:marBottom w:val="0"/>
      <w:divBdr>
        <w:top w:val="none" w:sz="0" w:space="0" w:color="auto"/>
        <w:left w:val="none" w:sz="0" w:space="0" w:color="auto"/>
        <w:bottom w:val="none" w:sz="0" w:space="0" w:color="auto"/>
        <w:right w:val="none" w:sz="0" w:space="0" w:color="auto"/>
      </w:divBdr>
    </w:div>
    <w:div w:id="873419915">
      <w:bodyDiv w:val="1"/>
      <w:marLeft w:val="0"/>
      <w:marRight w:val="0"/>
      <w:marTop w:val="0"/>
      <w:marBottom w:val="0"/>
      <w:divBdr>
        <w:top w:val="none" w:sz="0" w:space="0" w:color="auto"/>
        <w:left w:val="none" w:sz="0" w:space="0" w:color="auto"/>
        <w:bottom w:val="none" w:sz="0" w:space="0" w:color="auto"/>
        <w:right w:val="none" w:sz="0" w:space="0" w:color="auto"/>
      </w:divBdr>
    </w:div>
    <w:div w:id="883834961">
      <w:bodyDiv w:val="1"/>
      <w:marLeft w:val="0"/>
      <w:marRight w:val="0"/>
      <w:marTop w:val="0"/>
      <w:marBottom w:val="0"/>
      <w:divBdr>
        <w:top w:val="none" w:sz="0" w:space="0" w:color="auto"/>
        <w:left w:val="none" w:sz="0" w:space="0" w:color="auto"/>
        <w:bottom w:val="none" w:sz="0" w:space="0" w:color="auto"/>
        <w:right w:val="none" w:sz="0" w:space="0" w:color="auto"/>
      </w:divBdr>
    </w:div>
    <w:div w:id="895702182">
      <w:bodyDiv w:val="1"/>
      <w:marLeft w:val="0"/>
      <w:marRight w:val="0"/>
      <w:marTop w:val="0"/>
      <w:marBottom w:val="0"/>
      <w:divBdr>
        <w:top w:val="none" w:sz="0" w:space="0" w:color="auto"/>
        <w:left w:val="none" w:sz="0" w:space="0" w:color="auto"/>
        <w:bottom w:val="none" w:sz="0" w:space="0" w:color="auto"/>
        <w:right w:val="none" w:sz="0" w:space="0" w:color="auto"/>
      </w:divBdr>
    </w:div>
    <w:div w:id="961770636">
      <w:bodyDiv w:val="1"/>
      <w:marLeft w:val="0"/>
      <w:marRight w:val="0"/>
      <w:marTop w:val="0"/>
      <w:marBottom w:val="0"/>
      <w:divBdr>
        <w:top w:val="none" w:sz="0" w:space="0" w:color="auto"/>
        <w:left w:val="none" w:sz="0" w:space="0" w:color="auto"/>
        <w:bottom w:val="none" w:sz="0" w:space="0" w:color="auto"/>
        <w:right w:val="none" w:sz="0" w:space="0" w:color="auto"/>
      </w:divBdr>
    </w:div>
    <w:div w:id="997538435">
      <w:bodyDiv w:val="1"/>
      <w:marLeft w:val="0"/>
      <w:marRight w:val="0"/>
      <w:marTop w:val="0"/>
      <w:marBottom w:val="0"/>
      <w:divBdr>
        <w:top w:val="none" w:sz="0" w:space="0" w:color="auto"/>
        <w:left w:val="none" w:sz="0" w:space="0" w:color="auto"/>
        <w:bottom w:val="none" w:sz="0" w:space="0" w:color="auto"/>
        <w:right w:val="none" w:sz="0" w:space="0" w:color="auto"/>
      </w:divBdr>
    </w:div>
    <w:div w:id="1026296122">
      <w:bodyDiv w:val="1"/>
      <w:marLeft w:val="0"/>
      <w:marRight w:val="0"/>
      <w:marTop w:val="0"/>
      <w:marBottom w:val="0"/>
      <w:divBdr>
        <w:top w:val="none" w:sz="0" w:space="0" w:color="auto"/>
        <w:left w:val="none" w:sz="0" w:space="0" w:color="auto"/>
        <w:bottom w:val="none" w:sz="0" w:space="0" w:color="auto"/>
        <w:right w:val="none" w:sz="0" w:space="0" w:color="auto"/>
      </w:divBdr>
    </w:div>
    <w:div w:id="1033576781">
      <w:bodyDiv w:val="1"/>
      <w:marLeft w:val="0"/>
      <w:marRight w:val="0"/>
      <w:marTop w:val="0"/>
      <w:marBottom w:val="0"/>
      <w:divBdr>
        <w:top w:val="none" w:sz="0" w:space="0" w:color="auto"/>
        <w:left w:val="none" w:sz="0" w:space="0" w:color="auto"/>
        <w:bottom w:val="none" w:sz="0" w:space="0" w:color="auto"/>
        <w:right w:val="none" w:sz="0" w:space="0" w:color="auto"/>
      </w:divBdr>
    </w:div>
    <w:div w:id="1042167773">
      <w:bodyDiv w:val="1"/>
      <w:marLeft w:val="0"/>
      <w:marRight w:val="0"/>
      <w:marTop w:val="0"/>
      <w:marBottom w:val="0"/>
      <w:divBdr>
        <w:top w:val="none" w:sz="0" w:space="0" w:color="auto"/>
        <w:left w:val="none" w:sz="0" w:space="0" w:color="auto"/>
        <w:bottom w:val="none" w:sz="0" w:space="0" w:color="auto"/>
        <w:right w:val="none" w:sz="0" w:space="0" w:color="auto"/>
      </w:divBdr>
    </w:div>
    <w:div w:id="1124735535">
      <w:bodyDiv w:val="1"/>
      <w:marLeft w:val="0"/>
      <w:marRight w:val="0"/>
      <w:marTop w:val="0"/>
      <w:marBottom w:val="0"/>
      <w:divBdr>
        <w:top w:val="none" w:sz="0" w:space="0" w:color="auto"/>
        <w:left w:val="none" w:sz="0" w:space="0" w:color="auto"/>
        <w:bottom w:val="none" w:sz="0" w:space="0" w:color="auto"/>
        <w:right w:val="none" w:sz="0" w:space="0" w:color="auto"/>
      </w:divBdr>
    </w:div>
    <w:div w:id="1140685857">
      <w:bodyDiv w:val="1"/>
      <w:marLeft w:val="0"/>
      <w:marRight w:val="0"/>
      <w:marTop w:val="0"/>
      <w:marBottom w:val="0"/>
      <w:divBdr>
        <w:top w:val="none" w:sz="0" w:space="0" w:color="auto"/>
        <w:left w:val="none" w:sz="0" w:space="0" w:color="auto"/>
        <w:bottom w:val="none" w:sz="0" w:space="0" w:color="auto"/>
        <w:right w:val="none" w:sz="0" w:space="0" w:color="auto"/>
      </w:divBdr>
    </w:div>
    <w:div w:id="1159536238">
      <w:bodyDiv w:val="1"/>
      <w:marLeft w:val="0"/>
      <w:marRight w:val="0"/>
      <w:marTop w:val="0"/>
      <w:marBottom w:val="0"/>
      <w:divBdr>
        <w:top w:val="none" w:sz="0" w:space="0" w:color="auto"/>
        <w:left w:val="none" w:sz="0" w:space="0" w:color="auto"/>
        <w:bottom w:val="none" w:sz="0" w:space="0" w:color="auto"/>
        <w:right w:val="none" w:sz="0" w:space="0" w:color="auto"/>
      </w:divBdr>
    </w:div>
    <w:div w:id="1174688848">
      <w:bodyDiv w:val="1"/>
      <w:marLeft w:val="0"/>
      <w:marRight w:val="0"/>
      <w:marTop w:val="0"/>
      <w:marBottom w:val="0"/>
      <w:divBdr>
        <w:top w:val="none" w:sz="0" w:space="0" w:color="auto"/>
        <w:left w:val="none" w:sz="0" w:space="0" w:color="auto"/>
        <w:bottom w:val="none" w:sz="0" w:space="0" w:color="auto"/>
        <w:right w:val="none" w:sz="0" w:space="0" w:color="auto"/>
      </w:divBdr>
    </w:div>
    <w:div w:id="1212838027">
      <w:bodyDiv w:val="1"/>
      <w:marLeft w:val="0"/>
      <w:marRight w:val="0"/>
      <w:marTop w:val="0"/>
      <w:marBottom w:val="0"/>
      <w:divBdr>
        <w:top w:val="none" w:sz="0" w:space="0" w:color="auto"/>
        <w:left w:val="none" w:sz="0" w:space="0" w:color="auto"/>
        <w:bottom w:val="none" w:sz="0" w:space="0" w:color="auto"/>
        <w:right w:val="none" w:sz="0" w:space="0" w:color="auto"/>
      </w:divBdr>
    </w:div>
    <w:div w:id="1213885941">
      <w:bodyDiv w:val="1"/>
      <w:marLeft w:val="0"/>
      <w:marRight w:val="0"/>
      <w:marTop w:val="0"/>
      <w:marBottom w:val="0"/>
      <w:divBdr>
        <w:top w:val="none" w:sz="0" w:space="0" w:color="auto"/>
        <w:left w:val="none" w:sz="0" w:space="0" w:color="auto"/>
        <w:bottom w:val="none" w:sz="0" w:space="0" w:color="auto"/>
        <w:right w:val="none" w:sz="0" w:space="0" w:color="auto"/>
      </w:divBdr>
    </w:div>
    <w:div w:id="1232808648">
      <w:bodyDiv w:val="1"/>
      <w:marLeft w:val="0"/>
      <w:marRight w:val="0"/>
      <w:marTop w:val="0"/>
      <w:marBottom w:val="0"/>
      <w:divBdr>
        <w:top w:val="none" w:sz="0" w:space="0" w:color="auto"/>
        <w:left w:val="none" w:sz="0" w:space="0" w:color="auto"/>
        <w:bottom w:val="none" w:sz="0" w:space="0" w:color="auto"/>
        <w:right w:val="none" w:sz="0" w:space="0" w:color="auto"/>
      </w:divBdr>
    </w:div>
    <w:div w:id="1302350020">
      <w:bodyDiv w:val="1"/>
      <w:marLeft w:val="0"/>
      <w:marRight w:val="0"/>
      <w:marTop w:val="0"/>
      <w:marBottom w:val="0"/>
      <w:divBdr>
        <w:top w:val="none" w:sz="0" w:space="0" w:color="auto"/>
        <w:left w:val="none" w:sz="0" w:space="0" w:color="auto"/>
        <w:bottom w:val="none" w:sz="0" w:space="0" w:color="auto"/>
        <w:right w:val="none" w:sz="0" w:space="0" w:color="auto"/>
      </w:divBdr>
    </w:div>
    <w:div w:id="1326974830">
      <w:bodyDiv w:val="1"/>
      <w:marLeft w:val="0"/>
      <w:marRight w:val="0"/>
      <w:marTop w:val="0"/>
      <w:marBottom w:val="0"/>
      <w:divBdr>
        <w:top w:val="none" w:sz="0" w:space="0" w:color="auto"/>
        <w:left w:val="none" w:sz="0" w:space="0" w:color="auto"/>
        <w:bottom w:val="none" w:sz="0" w:space="0" w:color="auto"/>
        <w:right w:val="none" w:sz="0" w:space="0" w:color="auto"/>
      </w:divBdr>
    </w:div>
    <w:div w:id="1368874719">
      <w:bodyDiv w:val="1"/>
      <w:marLeft w:val="0"/>
      <w:marRight w:val="0"/>
      <w:marTop w:val="0"/>
      <w:marBottom w:val="0"/>
      <w:divBdr>
        <w:top w:val="none" w:sz="0" w:space="0" w:color="auto"/>
        <w:left w:val="none" w:sz="0" w:space="0" w:color="auto"/>
        <w:bottom w:val="none" w:sz="0" w:space="0" w:color="auto"/>
        <w:right w:val="none" w:sz="0" w:space="0" w:color="auto"/>
      </w:divBdr>
      <w:divsChild>
        <w:div w:id="504519325">
          <w:marLeft w:val="0"/>
          <w:marRight w:val="0"/>
          <w:marTop w:val="0"/>
          <w:marBottom w:val="0"/>
          <w:divBdr>
            <w:top w:val="none" w:sz="0" w:space="0" w:color="auto"/>
            <w:left w:val="none" w:sz="0" w:space="0" w:color="auto"/>
            <w:bottom w:val="none" w:sz="0" w:space="0" w:color="auto"/>
            <w:right w:val="none" w:sz="0" w:space="0" w:color="auto"/>
          </w:divBdr>
        </w:div>
        <w:div w:id="1356541355">
          <w:marLeft w:val="0"/>
          <w:marRight w:val="0"/>
          <w:marTop w:val="0"/>
          <w:marBottom w:val="0"/>
          <w:divBdr>
            <w:top w:val="none" w:sz="0" w:space="0" w:color="auto"/>
            <w:left w:val="none" w:sz="0" w:space="0" w:color="auto"/>
            <w:bottom w:val="none" w:sz="0" w:space="0" w:color="auto"/>
            <w:right w:val="none" w:sz="0" w:space="0" w:color="auto"/>
          </w:divBdr>
        </w:div>
        <w:div w:id="1819687672">
          <w:marLeft w:val="0"/>
          <w:marRight w:val="0"/>
          <w:marTop w:val="0"/>
          <w:marBottom w:val="0"/>
          <w:divBdr>
            <w:top w:val="none" w:sz="0" w:space="0" w:color="auto"/>
            <w:left w:val="none" w:sz="0" w:space="0" w:color="auto"/>
            <w:bottom w:val="none" w:sz="0" w:space="0" w:color="auto"/>
            <w:right w:val="none" w:sz="0" w:space="0" w:color="auto"/>
          </w:divBdr>
        </w:div>
        <w:div w:id="2126997037">
          <w:marLeft w:val="0"/>
          <w:marRight w:val="0"/>
          <w:marTop w:val="0"/>
          <w:marBottom w:val="0"/>
          <w:divBdr>
            <w:top w:val="none" w:sz="0" w:space="0" w:color="auto"/>
            <w:left w:val="none" w:sz="0" w:space="0" w:color="auto"/>
            <w:bottom w:val="none" w:sz="0" w:space="0" w:color="auto"/>
            <w:right w:val="none" w:sz="0" w:space="0" w:color="auto"/>
          </w:divBdr>
        </w:div>
      </w:divsChild>
    </w:div>
    <w:div w:id="1378358756">
      <w:bodyDiv w:val="1"/>
      <w:marLeft w:val="0"/>
      <w:marRight w:val="0"/>
      <w:marTop w:val="0"/>
      <w:marBottom w:val="0"/>
      <w:divBdr>
        <w:top w:val="none" w:sz="0" w:space="0" w:color="auto"/>
        <w:left w:val="none" w:sz="0" w:space="0" w:color="auto"/>
        <w:bottom w:val="none" w:sz="0" w:space="0" w:color="auto"/>
        <w:right w:val="none" w:sz="0" w:space="0" w:color="auto"/>
      </w:divBdr>
    </w:div>
    <w:div w:id="1381202335">
      <w:bodyDiv w:val="1"/>
      <w:marLeft w:val="0"/>
      <w:marRight w:val="0"/>
      <w:marTop w:val="0"/>
      <w:marBottom w:val="0"/>
      <w:divBdr>
        <w:top w:val="none" w:sz="0" w:space="0" w:color="auto"/>
        <w:left w:val="none" w:sz="0" w:space="0" w:color="auto"/>
        <w:bottom w:val="none" w:sz="0" w:space="0" w:color="auto"/>
        <w:right w:val="none" w:sz="0" w:space="0" w:color="auto"/>
      </w:divBdr>
    </w:div>
    <w:div w:id="1382435605">
      <w:bodyDiv w:val="1"/>
      <w:marLeft w:val="0"/>
      <w:marRight w:val="0"/>
      <w:marTop w:val="0"/>
      <w:marBottom w:val="0"/>
      <w:divBdr>
        <w:top w:val="none" w:sz="0" w:space="0" w:color="auto"/>
        <w:left w:val="none" w:sz="0" w:space="0" w:color="auto"/>
        <w:bottom w:val="none" w:sz="0" w:space="0" w:color="auto"/>
        <w:right w:val="none" w:sz="0" w:space="0" w:color="auto"/>
      </w:divBdr>
    </w:div>
    <w:div w:id="1420561290">
      <w:bodyDiv w:val="1"/>
      <w:marLeft w:val="0"/>
      <w:marRight w:val="0"/>
      <w:marTop w:val="0"/>
      <w:marBottom w:val="0"/>
      <w:divBdr>
        <w:top w:val="none" w:sz="0" w:space="0" w:color="auto"/>
        <w:left w:val="none" w:sz="0" w:space="0" w:color="auto"/>
        <w:bottom w:val="none" w:sz="0" w:space="0" w:color="auto"/>
        <w:right w:val="none" w:sz="0" w:space="0" w:color="auto"/>
      </w:divBdr>
    </w:div>
    <w:div w:id="1427579113">
      <w:bodyDiv w:val="1"/>
      <w:marLeft w:val="0"/>
      <w:marRight w:val="0"/>
      <w:marTop w:val="0"/>
      <w:marBottom w:val="0"/>
      <w:divBdr>
        <w:top w:val="none" w:sz="0" w:space="0" w:color="auto"/>
        <w:left w:val="none" w:sz="0" w:space="0" w:color="auto"/>
        <w:bottom w:val="none" w:sz="0" w:space="0" w:color="auto"/>
        <w:right w:val="none" w:sz="0" w:space="0" w:color="auto"/>
      </w:divBdr>
    </w:div>
    <w:div w:id="1474299559">
      <w:bodyDiv w:val="1"/>
      <w:marLeft w:val="0"/>
      <w:marRight w:val="0"/>
      <w:marTop w:val="0"/>
      <w:marBottom w:val="0"/>
      <w:divBdr>
        <w:top w:val="none" w:sz="0" w:space="0" w:color="auto"/>
        <w:left w:val="none" w:sz="0" w:space="0" w:color="auto"/>
        <w:bottom w:val="none" w:sz="0" w:space="0" w:color="auto"/>
        <w:right w:val="none" w:sz="0" w:space="0" w:color="auto"/>
      </w:divBdr>
    </w:div>
    <w:div w:id="1502619935">
      <w:bodyDiv w:val="1"/>
      <w:marLeft w:val="0"/>
      <w:marRight w:val="0"/>
      <w:marTop w:val="0"/>
      <w:marBottom w:val="0"/>
      <w:divBdr>
        <w:top w:val="none" w:sz="0" w:space="0" w:color="auto"/>
        <w:left w:val="none" w:sz="0" w:space="0" w:color="auto"/>
        <w:bottom w:val="none" w:sz="0" w:space="0" w:color="auto"/>
        <w:right w:val="none" w:sz="0" w:space="0" w:color="auto"/>
      </w:divBdr>
    </w:div>
    <w:div w:id="1587033566">
      <w:bodyDiv w:val="1"/>
      <w:marLeft w:val="0"/>
      <w:marRight w:val="0"/>
      <w:marTop w:val="0"/>
      <w:marBottom w:val="0"/>
      <w:divBdr>
        <w:top w:val="none" w:sz="0" w:space="0" w:color="auto"/>
        <w:left w:val="none" w:sz="0" w:space="0" w:color="auto"/>
        <w:bottom w:val="none" w:sz="0" w:space="0" w:color="auto"/>
        <w:right w:val="none" w:sz="0" w:space="0" w:color="auto"/>
      </w:divBdr>
    </w:div>
    <w:div w:id="1672180971">
      <w:bodyDiv w:val="1"/>
      <w:marLeft w:val="0"/>
      <w:marRight w:val="0"/>
      <w:marTop w:val="0"/>
      <w:marBottom w:val="0"/>
      <w:divBdr>
        <w:top w:val="none" w:sz="0" w:space="0" w:color="auto"/>
        <w:left w:val="none" w:sz="0" w:space="0" w:color="auto"/>
        <w:bottom w:val="none" w:sz="0" w:space="0" w:color="auto"/>
        <w:right w:val="none" w:sz="0" w:space="0" w:color="auto"/>
      </w:divBdr>
    </w:div>
    <w:div w:id="1682127558">
      <w:bodyDiv w:val="1"/>
      <w:marLeft w:val="0"/>
      <w:marRight w:val="0"/>
      <w:marTop w:val="0"/>
      <w:marBottom w:val="0"/>
      <w:divBdr>
        <w:top w:val="none" w:sz="0" w:space="0" w:color="auto"/>
        <w:left w:val="none" w:sz="0" w:space="0" w:color="auto"/>
        <w:bottom w:val="none" w:sz="0" w:space="0" w:color="auto"/>
        <w:right w:val="none" w:sz="0" w:space="0" w:color="auto"/>
      </w:divBdr>
    </w:div>
    <w:div w:id="1692491240">
      <w:bodyDiv w:val="1"/>
      <w:marLeft w:val="0"/>
      <w:marRight w:val="0"/>
      <w:marTop w:val="0"/>
      <w:marBottom w:val="0"/>
      <w:divBdr>
        <w:top w:val="none" w:sz="0" w:space="0" w:color="auto"/>
        <w:left w:val="none" w:sz="0" w:space="0" w:color="auto"/>
        <w:bottom w:val="none" w:sz="0" w:space="0" w:color="auto"/>
        <w:right w:val="none" w:sz="0" w:space="0" w:color="auto"/>
      </w:divBdr>
    </w:div>
    <w:div w:id="1772240821">
      <w:bodyDiv w:val="1"/>
      <w:marLeft w:val="0"/>
      <w:marRight w:val="0"/>
      <w:marTop w:val="0"/>
      <w:marBottom w:val="0"/>
      <w:divBdr>
        <w:top w:val="none" w:sz="0" w:space="0" w:color="auto"/>
        <w:left w:val="none" w:sz="0" w:space="0" w:color="auto"/>
        <w:bottom w:val="none" w:sz="0" w:space="0" w:color="auto"/>
        <w:right w:val="none" w:sz="0" w:space="0" w:color="auto"/>
      </w:divBdr>
    </w:div>
    <w:div w:id="1776556317">
      <w:bodyDiv w:val="1"/>
      <w:marLeft w:val="0"/>
      <w:marRight w:val="0"/>
      <w:marTop w:val="0"/>
      <w:marBottom w:val="0"/>
      <w:divBdr>
        <w:top w:val="none" w:sz="0" w:space="0" w:color="auto"/>
        <w:left w:val="none" w:sz="0" w:space="0" w:color="auto"/>
        <w:bottom w:val="none" w:sz="0" w:space="0" w:color="auto"/>
        <w:right w:val="none" w:sz="0" w:space="0" w:color="auto"/>
      </w:divBdr>
    </w:div>
    <w:div w:id="1882857810">
      <w:bodyDiv w:val="1"/>
      <w:marLeft w:val="0"/>
      <w:marRight w:val="0"/>
      <w:marTop w:val="0"/>
      <w:marBottom w:val="0"/>
      <w:divBdr>
        <w:top w:val="none" w:sz="0" w:space="0" w:color="auto"/>
        <w:left w:val="none" w:sz="0" w:space="0" w:color="auto"/>
        <w:bottom w:val="none" w:sz="0" w:space="0" w:color="auto"/>
        <w:right w:val="none" w:sz="0" w:space="0" w:color="auto"/>
      </w:divBdr>
    </w:div>
    <w:div w:id="1890149378">
      <w:bodyDiv w:val="1"/>
      <w:marLeft w:val="0"/>
      <w:marRight w:val="0"/>
      <w:marTop w:val="0"/>
      <w:marBottom w:val="0"/>
      <w:divBdr>
        <w:top w:val="none" w:sz="0" w:space="0" w:color="auto"/>
        <w:left w:val="none" w:sz="0" w:space="0" w:color="auto"/>
        <w:bottom w:val="none" w:sz="0" w:space="0" w:color="auto"/>
        <w:right w:val="none" w:sz="0" w:space="0" w:color="auto"/>
      </w:divBdr>
    </w:div>
    <w:div w:id="1905986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imf.org/en/News/Articles/2023/12/11/pr23433-ukraine-2023-article-iv-consultation-and-the-second-review-under-the-eff-arrangement" TargetMode="External"/><Relationship Id="rId2" Type="http://schemas.openxmlformats.org/officeDocument/2006/relationships/hyperlink" Target="https://ec.europa.eu/info/evaluation-reports-economic-and-financial-affairs-policies-and-spending-activities_en" TargetMode="External"/><Relationship Id="rId1" Type="http://schemas.openxmlformats.org/officeDocument/2006/relationships/hyperlink" Target="https://op.europa.eu/en/publication-detail/-/publication/627a8bb9-51db-11ee-9220-01aa75ed71a1/language-en/format-PDF/source-search" TargetMode="External"/><Relationship Id="rId5" Type="http://schemas.openxmlformats.org/officeDocument/2006/relationships/hyperlink" Target="https://eur-lex.europa.eu/legal-content/CS/TXT/PDF/?uri=CELEX:32013D0778&amp;from=CS" TargetMode="External"/><Relationship Id="rId4" Type="http://schemas.openxmlformats.org/officeDocument/2006/relationships/hyperlink" Target="https://ec.europa.eu/info/evaluation-reports-economic-and-financial-affairs-policies-and-spending-activities_en" TargetMode="External"/></Relationships>
</file>

<file path=word/documenttasks/documenttasks1.xml><?xml version="1.0" encoding="utf-8"?>
<t:Tasks xmlns:t="http://schemas.microsoft.com/office/tasks/2019/documenttasks" xmlns:oel="http://schemas.microsoft.com/office/2019/extlst">
  <t:Task id="{6BD715C7-5765-4E46-B337-66438BFCB66E}">
    <t:Anchor>
      <t:Comment id="696969170"/>
    </t:Anchor>
    <t:History>
      <t:Event id="{A2BF2409-75F8-4202-B824-669470D76512}" time="2024-02-29T10:24:02.367Z">
        <t:Attribution userId="S::Joana.MONTEIRO-DA-MOTA@ec.europa.eu::1c499a55-8234-4d30-bdf9-25b2a179ed99" userProvider="AD" userName="MONTEIRO DA MOTA Joana (ECFIN)"/>
        <t:Anchor>
          <t:Comment id="696969170"/>
        </t:Anchor>
        <t:Create/>
      </t:Event>
      <t:Event id="{33C2BB12-F625-42B6-BF52-770EEC4E0E1A}" time="2024-02-29T10:24:02.367Z">
        <t:Attribution userId="S::Joana.MONTEIRO-DA-MOTA@ec.europa.eu::1c499a55-8234-4d30-bdf9-25b2a179ed99" userProvider="AD" userName="MONTEIRO DA MOTA Joana (ECFIN)"/>
        <t:Anchor>
          <t:Comment id="696969170"/>
        </t:Anchor>
        <t:Assign userId="S::Maria.GERHARDT@ec.europa.eu::553fca97-1098-49c9-8343-c1a601e349a6" userProvider="AD" userName="GERHARDT Maria (ECFIN)"/>
      </t:Event>
      <t:Event id="{3A22289F-A471-4298-8A8A-12C8F728DF3A}" time="2024-02-29T10:24:02.367Z">
        <t:Attribution userId="S::Joana.MONTEIRO-DA-MOTA@ec.europa.eu::1c499a55-8234-4d30-bdf9-25b2a179ed99" userProvider="AD" userName="MONTEIRO DA MOTA Joana (ECFIN)"/>
        <t:Anchor>
          <t:Comment id="696969170"/>
        </t:Anchor>
        <t:SetTitle title="@GERHARDT Maria (ECFIN) could you please add a small paragraph (similar to the one of Tunisia below) on potential MFA operation for Jordan this year? "/>
      </t:Event>
    </t:History>
  </t:Task>
  <t:Task id="{0F693270-7623-4793-BB4A-EE729E5CF742}">
    <t:Anchor>
      <t:Comment id="697987538"/>
    </t:Anchor>
    <t:History>
      <t:Event id="{B6CC68F4-A725-4FA6-96D2-EE743CFFA843}" time="2024-03-12T10:15:42.298Z">
        <t:Attribution userId="S::Joana.MONTEIRO-DA-MOTA@ec.europa.eu::1c499a55-8234-4d30-bdf9-25b2a179ed99" userProvider="AD" userName="MONTEIRO DA MOTA Joana (ECFIN)"/>
        <t:Anchor>
          <t:Comment id="698005470"/>
        </t:Anchor>
        <t:Create/>
      </t:Event>
      <t:Event id="{02110F30-71B0-4DB4-99A3-611FE8FB13A2}" time="2024-03-12T10:15:42.298Z">
        <t:Attribution userId="S::Joana.MONTEIRO-DA-MOTA@ec.europa.eu::1c499a55-8234-4d30-bdf9-25b2a179ed99" userProvider="AD" userName="MONTEIRO DA MOTA Joana (ECFIN)"/>
        <t:Anchor>
          <t:Comment id="698005470"/>
        </t:Anchor>
        <t:Assign userId="S::Maria.GERHARDT@ec.europa.eu::553fca97-1098-49c9-8343-c1a601e349a6" userProvider="AD" userName="GERHARDT Maria (ECFIN)"/>
      </t:Event>
      <t:Event id="{34F0E897-EEF8-4A98-B96A-7791194CA088}" time="2024-03-12T10:15:42.298Z">
        <t:Attribution userId="S::Joana.MONTEIRO-DA-MOTA@ec.europa.eu::1c499a55-8234-4d30-bdf9-25b2a179ed99" userProvider="AD" userName="MONTEIRO DA MOTA Joana (ECFIN)"/>
        <t:Anchor>
          <t:Comment id="698005470"/>
        </t:Anchor>
        <t:SetTitle title="@GERHARDT Maria (ECFIN)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6C08CCF0D84043B4E7C315EFB8EAF3" ma:contentTypeVersion="6" ma:contentTypeDescription="Create a new document." ma:contentTypeScope="" ma:versionID="bd00b0e57bd85af5622f31280b12553e">
  <xsd:schema xmlns:xsd="http://www.w3.org/2001/XMLSchema" xmlns:xs="http://www.w3.org/2001/XMLSchema" xmlns:p="http://schemas.microsoft.com/office/2006/metadata/properties" xmlns:ns2="c7440682-6439-415b-99df-de01877f7c9b" xmlns:ns3="909deea8-02af-466b-99ae-402c61f4ebdb" targetNamespace="http://schemas.microsoft.com/office/2006/metadata/properties" ma:root="true" ma:fieldsID="b3014d7e681e3d3ad1cd04465cd19e1d" ns2:_="" ns3:_="">
    <xsd:import namespace="c7440682-6439-415b-99df-de01877f7c9b"/>
    <xsd:import namespace="909deea8-02af-466b-99ae-402c61f4eb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40682-6439-415b-99df-de01877f7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deea8-02af-466b-99ae-402c61f4eb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09deea8-02af-466b-99ae-402c61f4ebdb">
      <UserInfo>
        <DisplayName>STEARNS-BLASING Barbara (ECFIN)</DisplayName>
        <AccountId>61</AccountId>
        <AccountType/>
      </UserInfo>
      <UserInfo>
        <DisplayName>GERHARDT Maria (ECFIN)</DisplayName>
        <AccountId>19</AccountId>
        <AccountType/>
      </UserInfo>
      <UserInfo>
        <DisplayName>KLINGER Lisa (ECFIN)</DisplayName>
        <AccountId>64</AccountId>
        <AccountType/>
      </UserInfo>
      <UserInfo>
        <DisplayName>BLANKEN Marcus (ECFIN)</DisplayName>
        <AccountId>16</AccountId>
        <AccountType/>
      </UserInfo>
      <UserInfo>
        <DisplayName>CASAUX Suzanne (ECFIN)</DisplayName>
        <AccountId>20</AccountId>
        <AccountType/>
      </UserInfo>
      <UserInfo>
        <DisplayName>TARI Andras (ECFIN)</DisplayName>
        <AccountId>60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64E00-E112-49D1-894F-02CF5204DF55}">
  <ds:schemaRefs>
    <ds:schemaRef ds:uri="http://schemas.microsoft.com/sharepoint/v3/contenttype/forms"/>
  </ds:schemaRefs>
</ds:datastoreItem>
</file>

<file path=customXml/itemProps2.xml><?xml version="1.0" encoding="utf-8"?>
<ds:datastoreItem xmlns:ds="http://schemas.openxmlformats.org/officeDocument/2006/customXml" ds:itemID="{AFCB1B56-0FBE-4611-BBE4-E91379EF4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40682-6439-415b-99df-de01877f7c9b"/>
    <ds:schemaRef ds:uri="909deea8-02af-466b-99ae-402c61f4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41A8F-60C7-4C52-AE31-C599CE6916D2}">
  <ds:schemaRefs>
    <ds:schemaRef ds:uri="http://schemas.microsoft.com/office/2006/metadata/properties"/>
    <ds:schemaRef ds:uri="http://schemas.microsoft.com/office/infopath/2007/PartnerControls"/>
    <ds:schemaRef ds:uri="909deea8-02af-466b-99ae-402c61f4ebdb"/>
  </ds:schemaRefs>
</ds:datastoreItem>
</file>

<file path=customXml/itemProps4.xml><?xml version="1.0" encoding="utf-8"?>
<ds:datastoreItem xmlns:ds="http://schemas.openxmlformats.org/officeDocument/2006/customXml" ds:itemID="{6A16E091-899D-4C97-BA81-5E5AD097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7650</Words>
  <Characters>43607</Characters>
  <Application>Microsoft Office Word</Application>
  <DocSecurity>0</DocSecurity>
  <Lines>363</Lines>
  <Paragraphs>102</Paragraphs>
  <ScaleCrop>false</ScaleCrop>
  <Manager/>
  <Company/>
  <LinksUpToDate>false</LinksUpToDate>
  <CharactersWithSpaces>51155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9</cp:revision>
  <cp:lastPrinted>2024-04-12T16:55:00Z</cp:lastPrinted>
  <dcterms:created xsi:type="dcterms:W3CDTF">2024-05-06T09:23:00Z</dcterms:created>
  <dcterms:modified xsi:type="dcterms:W3CDTF">2024-06-06T06:30:00Z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Level of sensitivity">
    <vt:lpwstr>Standard treatment</vt:lpwstr>
  </property>
  <property fmtid="{D5CDD505-2E9C-101B-9397-08002B2CF9AE}" pid="5" name="Last edited using">
    <vt:lpwstr>LW 9.0, Build 20230317</vt:lpwstr>
  </property>
  <property fmtid="{D5CDD505-2E9C-101B-9397-08002B2CF9AE}" pid="6" name="Created using">
    <vt:lpwstr>LW 6.0.1, Build 20180503</vt:lpwstr>
  </property>
  <property fmtid="{D5CDD505-2E9C-101B-9397-08002B2CF9AE}" pid="7" name="_DocHome">
    <vt:i4>472048022</vt:i4>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2022-05-02T08:51:36Z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8938d338-2829-4567-b5b1-6bbc9886d708</vt:lpwstr>
  </property>
  <property fmtid="{D5CDD505-2E9C-101B-9397-08002B2CF9AE}" pid="15" name="MSIP_Label_6bd9ddd1-4d20-43f6-abfa-fc3c07406f94_ContentBits">
    <vt:lpwstr>0</vt:lpwstr>
  </property>
  <property fmtid="{D5CDD505-2E9C-101B-9397-08002B2CF9AE}" pid="16" name="ContentTypeId">
    <vt:lpwstr>0x010100B56C08CCF0D84043B4E7C315EFB8EAF3</vt:lpwstr>
  </property>
  <property fmtid="{D5CDD505-2E9C-101B-9397-08002B2CF9AE}" pid="17" name="DocStatus">
    <vt:lpwstr>Green</vt:lpwstr>
  </property>
  <property name="OP_sanitized" fmtid="{D5CDD505-2E9C-101B-9397-08002B2CF9AE}" pid="18">
    <vt:lpwstr>True</vt:lpwstr>
  </property>
</Properties>
</file>