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5A4E" w14:textId="103717A6" w:rsidR="00772EC3" w:rsidRDefault="00073E91" w:rsidP="00073E91">
      <w:pPr>
        <w:pStyle w:val="Pagedecouverture"/>
        <w:rPr>
          <w:noProof/>
        </w:rPr>
      </w:pPr>
      <w:bookmarkStart w:id="0" w:name="LW_BM_COVERPAGE"/>
      <w:r>
        <w:rPr>
          <w:noProof/>
        </w:rPr>
        <w:pict w14:anchorId="3977F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518FE94-C1C3-4C05-828F-79D69A5C3E6E" style="width:455.25pt;height:324pt">
            <v:imagedata r:id="rId10" o:title=""/>
          </v:shape>
        </w:pict>
      </w:r>
    </w:p>
    <w:bookmarkEnd w:id="0"/>
    <w:p w14:paraId="20A2312A" w14:textId="77777777" w:rsidR="00772EC3" w:rsidRDefault="00772EC3" w:rsidP="00245D7E">
      <w:pPr>
        <w:rPr>
          <w:noProof/>
        </w:rPr>
        <w:sectPr w:rsidR="00772EC3" w:rsidSect="00073E91">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6" w:h="16838"/>
          <w:pgMar w:top="1134" w:right="1417" w:bottom="1134" w:left="1417" w:header="709" w:footer="709" w:gutter="0"/>
          <w:pgNumType w:start="0"/>
          <w:cols w:space="720"/>
          <w:docGrid w:linePitch="326"/>
        </w:sectPr>
      </w:pPr>
    </w:p>
    <w:p w14:paraId="0944CF09" w14:textId="02C3C91E" w:rsidR="00772EC3" w:rsidRPr="00FF453A" w:rsidRDefault="00772EC3" w:rsidP="00933599">
      <w:pPr>
        <w:pStyle w:val="Heading1"/>
        <w:rPr>
          <w:noProof/>
        </w:rPr>
      </w:pPr>
      <w:bookmarkStart w:id="1" w:name="_GoBack"/>
      <w:bookmarkEnd w:id="1"/>
      <w:r>
        <w:rPr>
          <w:noProof/>
        </w:rPr>
        <w:lastRenderedPageBreak/>
        <w:t>Právní rámec</w:t>
      </w:r>
    </w:p>
    <w:p w14:paraId="2FC73748" w14:textId="77777777" w:rsidR="00772EC3" w:rsidRPr="006F1EAF" w:rsidRDefault="00772EC3" w:rsidP="00933599">
      <w:pPr>
        <w:rPr>
          <w:noProof/>
        </w:rPr>
      </w:pPr>
      <w:r>
        <w:rPr>
          <w:noProof/>
        </w:rPr>
        <w:t>Článek 51a vízového kodexu</w:t>
      </w:r>
      <w:r w:rsidRPr="006F1EAF">
        <w:rPr>
          <w:rStyle w:val="FootnoteReference"/>
          <w:noProof/>
          <w:szCs w:val="24"/>
        </w:rPr>
        <w:footnoteReference w:id="1"/>
      </w:r>
      <w:r>
        <w:rPr>
          <w:noProof/>
        </w:rPr>
        <w:t xml:space="preserve"> svěřuje Komisi pravomoc přijímat akty v přenesené pravomoci za účelem revize výše vízových poplatků na dobu pěti let od 1. srpna 2019. Devět měsíců před koncem tohoto pětiletého období je Komise povinna vypracovat zprávu o přenesené pravomoci. </w:t>
      </w:r>
    </w:p>
    <w:p w14:paraId="08A082AD" w14:textId="77777777" w:rsidR="00772EC3" w:rsidRPr="00933599" w:rsidRDefault="00772EC3" w:rsidP="00933599">
      <w:pPr>
        <w:rPr>
          <w:b/>
          <w:bCs/>
          <w:noProof/>
        </w:rPr>
      </w:pPr>
      <w:r>
        <w:rPr>
          <w:b/>
          <w:noProof/>
        </w:rPr>
        <w:t>Posouzení potřeby revize vízových poplatků</w:t>
      </w:r>
    </w:p>
    <w:p w14:paraId="10C1DF32" w14:textId="36E9B77A" w:rsidR="00772EC3" w:rsidRPr="006F1EAF" w:rsidRDefault="00772EC3" w:rsidP="00933599">
      <w:pPr>
        <w:rPr>
          <w:noProof/>
        </w:rPr>
      </w:pPr>
      <w:r>
        <w:rPr>
          <w:noProof/>
        </w:rPr>
        <w:t xml:space="preserve">V souladu s čl. 16 odst. 9 vízového kodexu je Komise povinna provést posouzení potřeby revize vízových poplatků na základě objektivních kritérií, jako jsou obecná míra inflace v Unii a platy zaměstnanců ve veřejné službě členských států. Zpráva obsahuje i toto posouzení. V případě potřeby se k posouzení připojí akt v přenesené pravomoci, kterým se v souladu s článkem 51a vízového kodexu upraví vízové poplatky. </w:t>
      </w:r>
    </w:p>
    <w:p w14:paraId="789C4B6A" w14:textId="77777777" w:rsidR="00772EC3" w:rsidRDefault="00772EC3" w:rsidP="00933599">
      <w:pPr>
        <w:rPr>
          <w:noProof/>
        </w:rPr>
      </w:pPr>
      <w:r>
        <w:rPr>
          <w:noProof/>
        </w:rPr>
        <w:t>Vzhledem k tomu, že Komise má toto posouzení provádět jednou za tři roky a toto ustanovení se poprvé stalo použitelným dne 2. února 2020, bylo posouzení provedeno poprvé na základě údajů z roku 2023.</w:t>
      </w:r>
    </w:p>
    <w:p w14:paraId="1F0621F0" w14:textId="77777777" w:rsidR="00772EC3" w:rsidRPr="00933599" w:rsidRDefault="00772EC3" w:rsidP="00933599">
      <w:pPr>
        <w:rPr>
          <w:b/>
          <w:bCs/>
          <w:noProof/>
        </w:rPr>
      </w:pPr>
      <w:r>
        <w:rPr>
          <w:b/>
          <w:noProof/>
        </w:rPr>
        <w:t>Stávající poplatky a dohody o zjednodušení vízového režimu</w:t>
      </w:r>
    </w:p>
    <w:p w14:paraId="4950B48D" w14:textId="77777777" w:rsidR="00772EC3" w:rsidRDefault="00772EC3" w:rsidP="00933599">
      <w:pPr>
        <w:rPr>
          <w:noProof/>
        </w:rPr>
      </w:pPr>
      <w:r>
        <w:rPr>
          <w:noProof/>
        </w:rPr>
        <w:t>V současné době činí poplatek za žádost o krátkodobé vízum 80 EUR</w:t>
      </w:r>
      <w:r>
        <w:rPr>
          <w:rStyle w:val="FootnoteReference"/>
          <w:noProof/>
          <w:szCs w:val="24"/>
        </w:rPr>
        <w:footnoteReference w:id="2"/>
      </w:r>
      <w:r>
        <w:rPr>
          <w:noProof/>
        </w:rPr>
        <w:t xml:space="preserve"> pro dospělé osoby (starší než 12 let) a 40 EUR pro žadatele ve věku od 6 do 12 let. Mladší žadatelé jsou od vízového poplatku osvobozeni. Kromě toho může být žádost o víza zadána externím poskytovatelům služeb, kteří mohou účtovat poplatek za služby ve výši maximálně poloviny standardního vízového poplatku (v současné době 40 EUR).</w:t>
      </w:r>
    </w:p>
    <w:p w14:paraId="382B6030" w14:textId="77777777" w:rsidR="00772EC3" w:rsidRPr="002B53CC" w:rsidRDefault="00772EC3" w:rsidP="00245D7E">
      <w:pPr>
        <w:rPr>
          <w:noProof/>
          <w:szCs w:val="24"/>
        </w:rPr>
      </w:pPr>
      <w:r>
        <w:rPr>
          <w:noProof/>
        </w:rPr>
        <w:t>V případě, že Rada přijme prováděcí rozhodnutí podle čl. 25a odst. 5 písm. b) z důvodu nedostatečné spolupráce třetí země v oblasti zpětného přebírání osob, je žadatelům ve věku 12 let a více účtován vízový poplatek ve výši 120 EUR nebo 160 EUR.</w:t>
      </w:r>
    </w:p>
    <w:p w14:paraId="7315D88B" w14:textId="77777777" w:rsidR="00772EC3" w:rsidRPr="002B53CC" w:rsidRDefault="00772EC3" w:rsidP="00245D7E">
      <w:pPr>
        <w:rPr>
          <w:noProof/>
          <w:szCs w:val="24"/>
        </w:rPr>
      </w:pPr>
      <w:r>
        <w:rPr>
          <w:noProof/>
        </w:rPr>
        <w:t>Kromě toho EU podepsala dohody o zjednodušení vízového režimu s několika třetími zeměmi, z nichž čtyři jsou v současné době stále v platnosti:</w:t>
      </w:r>
    </w:p>
    <w:p w14:paraId="282134CC" w14:textId="77777777" w:rsidR="00772EC3" w:rsidRPr="001B322F" w:rsidRDefault="00772EC3" w:rsidP="00933599">
      <w:pPr>
        <w:pStyle w:val="ListDash1"/>
        <w:rPr>
          <w:noProof/>
        </w:rPr>
      </w:pPr>
      <w:r>
        <w:rPr>
          <w:noProof/>
        </w:rPr>
        <w:t>Arménie</w:t>
      </w:r>
      <w:r>
        <w:rPr>
          <w:rStyle w:val="FootnoteReference"/>
          <w:noProof/>
          <w:szCs w:val="24"/>
        </w:rPr>
        <w:footnoteReference w:id="3"/>
      </w:r>
      <w:r>
        <w:rPr>
          <w:noProof/>
        </w:rPr>
        <w:t>: vízový poplatek je snížen na 35 EUR pro dospělé žadatele a žadatelé mladší 12 let jsou od něj osvobozeni.</w:t>
      </w:r>
    </w:p>
    <w:p w14:paraId="1CF349F5" w14:textId="77777777" w:rsidR="00772EC3" w:rsidRPr="001B322F" w:rsidRDefault="00772EC3" w:rsidP="00933599">
      <w:pPr>
        <w:pStyle w:val="ListDash1"/>
        <w:rPr>
          <w:noProof/>
        </w:rPr>
      </w:pPr>
      <w:r>
        <w:rPr>
          <w:noProof/>
        </w:rPr>
        <w:t>Ázerbájdžán</w:t>
      </w:r>
      <w:r>
        <w:rPr>
          <w:rStyle w:val="FootnoteReference"/>
          <w:noProof/>
          <w:szCs w:val="24"/>
        </w:rPr>
        <w:footnoteReference w:id="4"/>
      </w:r>
      <w:r>
        <w:rPr>
          <w:noProof/>
        </w:rPr>
        <w:t>: vízový poplatek je snížen na 35 EUR pro dospělé žadatele a žadatelé mladší 12 let jsou od něj osvobozeni.</w:t>
      </w:r>
    </w:p>
    <w:p w14:paraId="3C68F94C" w14:textId="71EC7628" w:rsidR="00772EC3" w:rsidRPr="001B322F" w:rsidRDefault="00772EC3" w:rsidP="003D0F28">
      <w:pPr>
        <w:pStyle w:val="ListDash1"/>
        <w:widowControl w:val="0"/>
        <w:ind w:left="766" w:hanging="284"/>
        <w:rPr>
          <w:noProof/>
        </w:rPr>
      </w:pPr>
      <w:r>
        <w:rPr>
          <w:noProof/>
        </w:rPr>
        <w:t>Bělorusko</w:t>
      </w:r>
      <w:r>
        <w:rPr>
          <w:rStyle w:val="FootnoteReference"/>
          <w:noProof/>
          <w:szCs w:val="24"/>
        </w:rPr>
        <w:footnoteReference w:id="5"/>
      </w:r>
      <w:r>
        <w:rPr>
          <w:noProof/>
        </w:rPr>
        <w:t xml:space="preserve">: vízový poplatek je snížen na 35 EUR pro dospělé žadatele a žadatelé mladší 12 let jsou od něj osvobozeni. </w:t>
      </w:r>
      <w:r>
        <w:rPr>
          <w:i/>
          <w:noProof/>
        </w:rPr>
        <w:t>(Částečně pozastaveno pro členy běloruské vlády nebo oficiálních delegací.)</w:t>
      </w:r>
      <w:r>
        <w:rPr>
          <w:rStyle w:val="FootnoteReference"/>
          <w:i/>
          <w:iCs/>
          <w:noProof/>
          <w:szCs w:val="24"/>
        </w:rPr>
        <w:footnoteReference w:id="6"/>
      </w:r>
    </w:p>
    <w:p w14:paraId="2230A26A" w14:textId="77777777" w:rsidR="00772EC3" w:rsidRPr="001B322F" w:rsidRDefault="00772EC3" w:rsidP="002A45DA">
      <w:pPr>
        <w:pStyle w:val="ListDash1"/>
        <w:rPr>
          <w:noProof/>
        </w:rPr>
      </w:pPr>
      <w:r>
        <w:rPr>
          <w:noProof/>
        </w:rPr>
        <w:t>Kapverdy</w:t>
      </w:r>
      <w:r>
        <w:rPr>
          <w:rStyle w:val="FootnoteReference"/>
          <w:noProof/>
          <w:szCs w:val="24"/>
        </w:rPr>
        <w:footnoteReference w:id="7"/>
      </w:r>
      <w:r>
        <w:rPr>
          <w:noProof/>
        </w:rPr>
        <w:t>: vízový poplatek je snížen na 75 % standardního poplatku pro státní příslušníky zemí, které nejsou smluvními stranami dohody o zjednodušení vízového režimu (tj. v současné době činí 60 EUR), a žadatelé mladší 12 let jsou od něj osvobozeni.</w:t>
      </w:r>
    </w:p>
    <w:p w14:paraId="3ED39320" w14:textId="77777777" w:rsidR="00772EC3" w:rsidRPr="002B53CC" w:rsidRDefault="00772EC3" w:rsidP="00245D7E">
      <w:pPr>
        <w:rPr>
          <w:noProof/>
          <w:szCs w:val="24"/>
        </w:rPr>
      </w:pPr>
      <w:r>
        <w:rPr>
          <w:noProof/>
        </w:rPr>
        <w:t>Jakékoli zvýšení vízového poplatku prostřednictvím aktu v přenesené pravomoci se nebude vztahovat na žadatele z Arménie, Ázerbájdžánu nebo Běloruska, neboť příslušné dohody o zjednodušení vízového režimu stanoví vízové poplatky, které nejsou aktem v přenesené pravomoci dotčeny. Pro kapverdské státní příslušníky by se však vízový poplatek zvýšil, neboť dohoda o zjednodušení vízového režimu s Kapverdami stanoví namísto pevně stanovené částky procentní podíl standardního vízového poplatku.</w:t>
      </w:r>
    </w:p>
    <w:p w14:paraId="55C00B90" w14:textId="77777777" w:rsidR="00772EC3" w:rsidRPr="002B53CC" w:rsidRDefault="00772EC3" w:rsidP="00245D7E">
      <w:pPr>
        <w:rPr>
          <w:noProof/>
          <w:szCs w:val="24"/>
        </w:rPr>
      </w:pPr>
      <w:r>
        <w:rPr>
          <w:noProof/>
        </w:rPr>
        <w:t>Další dohody o zjednodušení vízového režimu byly podepsány s Albánií, Bosnou a Hercegovinou, Černou Horou, Gruzií, Moldavskem, Severní Makedonií, Srbskem a Ukrajinou. Jelikož však tyto země byly přesunuty do přílohy II nařízení o vízech 2018/1806</w:t>
      </w:r>
      <w:r>
        <w:rPr>
          <w:rStyle w:val="FootnoteReference"/>
          <w:noProof/>
          <w:szCs w:val="24"/>
        </w:rPr>
        <w:footnoteReference w:id="8"/>
      </w:r>
      <w:r>
        <w:rPr>
          <w:noProof/>
        </w:rPr>
        <w:t>, nemusí jejich státní příslušníci již žádat o vízum, a proto již dohody o zjednodušení vízového režimu nejsou v praxi z velké části relevantní</w:t>
      </w:r>
      <w:r>
        <w:rPr>
          <w:rStyle w:val="FootnoteReference"/>
          <w:noProof/>
          <w:szCs w:val="24"/>
        </w:rPr>
        <w:footnoteReference w:id="9"/>
      </w:r>
      <w:r>
        <w:rPr>
          <w:noProof/>
        </w:rPr>
        <w:t>.</w:t>
      </w:r>
    </w:p>
    <w:p w14:paraId="43888474" w14:textId="77777777" w:rsidR="00772EC3" w:rsidRPr="002B53CC" w:rsidRDefault="00772EC3" w:rsidP="00245D7E">
      <w:pPr>
        <w:rPr>
          <w:noProof/>
          <w:szCs w:val="24"/>
        </w:rPr>
      </w:pPr>
      <w:r>
        <w:rPr>
          <w:noProof/>
        </w:rPr>
        <w:t>Dohoda o zjednodušení vízového režimu podepsaná s Ruskou federací byla pozastavena v důsledku útočné války Ruska proti Ukrajině</w:t>
      </w:r>
      <w:r>
        <w:rPr>
          <w:rStyle w:val="FootnoteReference"/>
          <w:noProof/>
          <w:szCs w:val="24"/>
        </w:rPr>
        <w:footnoteReference w:id="10"/>
      </w:r>
      <w:r>
        <w:rPr>
          <w:noProof/>
        </w:rPr>
        <w:t>.</w:t>
      </w:r>
    </w:p>
    <w:p w14:paraId="674E3A9E" w14:textId="03A9CF5B" w:rsidR="00772EC3" w:rsidRPr="00FF453A" w:rsidRDefault="00772EC3" w:rsidP="00DC5B3E">
      <w:pPr>
        <w:pStyle w:val="Heading1"/>
        <w:rPr>
          <w:noProof/>
        </w:rPr>
      </w:pPr>
      <w:r>
        <w:rPr>
          <w:noProof/>
        </w:rPr>
        <w:t>Výpočet revidovaného vízového poplatku</w:t>
      </w:r>
    </w:p>
    <w:p w14:paraId="3F2BAF7E" w14:textId="68B21282" w:rsidR="00772EC3" w:rsidRDefault="00772EC3" w:rsidP="00245D7E">
      <w:pPr>
        <w:rPr>
          <w:noProof/>
          <w:szCs w:val="24"/>
        </w:rPr>
      </w:pPr>
      <w:r>
        <w:rPr>
          <w:noProof/>
        </w:rPr>
        <w:t xml:space="preserve">V souladu s čl. 16 odst. 9 vízového kodexu Evropská komise každé tři roky posoudí vízové poplatky, přičemž zohlední objektivní kritéria, jako je obecná míra inflace v Unii a platy zaměstnanců ve veřejné službě členských států. </w:t>
      </w:r>
    </w:p>
    <w:p w14:paraId="09F8446D" w14:textId="77777777" w:rsidR="00772EC3" w:rsidRDefault="00772EC3" w:rsidP="00245D7E">
      <w:pPr>
        <w:rPr>
          <w:noProof/>
          <w:szCs w:val="24"/>
        </w:rPr>
      </w:pPr>
      <w:r>
        <w:rPr>
          <w:noProof/>
        </w:rPr>
        <w:t>Mechanismus revize poplatků má odrážet zvýšení nákladů členských států při zpracovávání žádostí o víza po celém světě. Kromě výdajů na zaměstnance jsou hlavními nákladovými složkami nemovitosti, vybavení a služby, zejména v oblasti IT. Zvýšení nákladů na zaměstnance zachycují platy zaměstnanců ve veřejné službě členských států, zatímco obecná míra inflace v Unii má odrážet nárůst nákladů v ostatních složkách.</w:t>
      </w:r>
    </w:p>
    <w:p w14:paraId="1465C04C" w14:textId="77777777" w:rsidR="00772EC3" w:rsidRDefault="00772EC3" w:rsidP="00245D7E">
      <w:pPr>
        <w:rPr>
          <w:noProof/>
          <w:szCs w:val="24"/>
        </w:rPr>
      </w:pPr>
      <w:r>
        <w:rPr>
          <w:noProof/>
        </w:rPr>
        <w:t>I když by Komise mohla při výpočtu revize poplatků použít dodatečné ukazatele, od této možnosti bylo v rané fázi upuštěno. Bylo například zváženo, zda by do výpočtu měla být přidána složka inflace specifická pro danou lokalitu, neboť většina vyřizování víz probíhá mimo Evropskou unii. Náklady členských států jsou tedy nejen ovlivněny inflací v EU, ale diferencovaným způsobem také inflací v místě, kde se konzuláty jednotlivých členských států nacházejí. Přidání inflační složky specifické pro danou lokalitu by však vyžadovalo údaje pro stovky měst po celém světě a vyvolalo by to otázku stanovení vhodné váhy specifické pro danou lokalitu. Vzhledem k tomu, že členské státy mají konzulární sítě velmi odlišné velikosti a zeměpisného rozsahu, přineslo by to rovněž potenciální nerovnováhu v zacházení s členskými státy.</w:t>
      </w:r>
    </w:p>
    <w:p w14:paraId="1E8EEE04" w14:textId="77777777" w:rsidR="00772EC3" w:rsidRPr="002B53CC" w:rsidRDefault="00772EC3" w:rsidP="00245D7E">
      <w:pPr>
        <w:rPr>
          <w:noProof/>
          <w:szCs w:val="24"/>
        </w:rPr>
      </w:pPr>
      <w:r>
        <w:rPr>
          <w:noProof/>
        </w:rPr>
        <w:t>V důsledku toho se Komise rozhodla omezit výpočet na dva ukazatele konkrétně uvedené ve vízovém kodexu, a to obecnou míru inflace v Unii a vážený průměr platů zaměstnanců ve veřejné službě členských států.</w:t>
      </w:r>
    </w:p>
    <w:p w14:paraId="6C4DD117" w14:textId="782A28EB" w:rsidR="00772EC3" w:rsidRDefault="00DE37EF" w:rsidP="00DE37EF">
      <w:pPr>
        <w:pStyle w:val="Heading2"/>
        <w:numPr>
          <w:ilvl w:val="0"/>
          <w:numId w:val="0"/>
        </w:numPr>
        <w:ind w:left="482"/>
        <w:rPr>
          <w:noProof/>
        </w:rPr>
      </w:pPr>
      <w:r>
        <w:rPr>
          <w:noProof/>
        </w:rPr>
        <w:t>2.1</w:t>
      </w:r>
      <w:r>
        <w:rPr>
          <w:noProof/>
        </w:rPr>
        <w:tab/>
      </w:r>
      <w:r w:rsidR="00772EC3">
        <w:rPr>
          <w:noProof/>
        </w:rPr>
        <w:t>Inflace</w:t>
      </w:r>
    </w:p>
    <w:p w14:paraId="005B3DB2" w14:textId="77777777" w:rsidR="00772EC3" w:rsidRPr="002B53CC" w:rsidRDefault="00772EC3" w:rsidP="00245D7E">
      <w:pPr>
        <w:rPr>
          <w:noProof/>
          <w:szCs w:val="24"/>
        </w:rPr>
      </w:pPr>
      <w:r>
        <w:rPr>
          <w:noProof/>
        </w:rPr>
        <w:t>Jak je stanoveno ve vízovém kodexu, používá se obecná míra inflace v Unii zveřejňovaná Eurostatem, tj. harmonizovaný index spotřebitelských cen (HISC)</w:t>
      </w:r>
      <w:r>
        <w:rPr>
          <w:rStyle w:val="FootnoteReference"/>
          <w:noProof/>
          <w:szCs w:val="24"/>
        </w:rPr>
        <w:footnoteReference w:id="11"/>
      </w:r>
      <w:r>
        <w:rPr>
          <w:noProof/>
        </w:rPr>
        <w:t>. Roční míra inflace se vypočítá takto:</w:t>
      </w:r>
    </w:p>
    <w:p w14:paraId="475A7D27" w14:textId="08B9FF84" w:rsidR="00772EC3" w:rsidRPr="006B68FC" w:rsidRDefault="0098148A" w:rsidP="006B68FC">
      <w:pPr>
        <w:rPr>
          <w:noProof/>
          <w:szCs w:val="24"/>
        </w:rPr>
      </w:pPr>
      <m:oMathPara>
        <m:oMathParaPr>
          <m:jc m:val="left"/>
        </m:oMathParaPr>
        <m:oMath>
          <m:r>
            <w:rPr>
              <w:rFonts w:ascii="Cambria Math" w:hAnsi="Cambria Math"/>
              <w:noProof/>
              <w:szCs w:val="24"/>
            </w:rPr>
            <m:t>Míra inflace</m:t>
          </m:r>
          <m:r>
            <m:rPr>
              <m:sty m:val="p"/>
            </m:rPr>
            <w:rPr>
              <w:rFonts w:ascii="Cambria Math" w:hAnsi="Cambria Math"/>
              <w:noProof/>
              <w:szCs w:val="24"/>
            </w:rPr>
            <m:t xml:space="preserve">= </m:t>
          </m:r>
          <m:f>
            <m:fPr>
              <m:ctrlPr>
                <w:rPr>
                  <w:rFonts w:ascii="Cambria Math" w:hAnsi="Cambria Math"/>
                  <w:noProof/>
                  <w:szCs w:val="24"/>
                </w:rPr>
              </m:ctrlPr>
            </m:fPr>
            <m:num>
              <m:d>
                <m:dPr>
                  <m:ctrlPr>
                    <w:rPr>
                      <w:rFonts w:ascii="Cambria Math" w:hAnsi="Cambria Math"/>
                      <w:noProof/>
                      <w:szCs w:val="24"/>
                    </w:rPr>
                  </m:ctrlPr>
                </m:dPr>
                <m:e>
                  <m:r>
                    <w:rPr>
                      <w:rFonts w:ascii="Cambria Math" w:hAnsi="Cambria Math"/>
                      <w:noProof/>
                      <w:szCs w:val="24"/>
                    </w:rPr>
                    <m:t>index</m:t>
                  </m:r>
                  <m:r>
                    <m:rPr>
                      <m:sty m:val="p"/>
                    </m:rPr>
                    <w:rPr>
                      <w:rFonts w:ascii="Cambria Math" w:hAnsi="Cambria Math"/>
                      <w:noProof/>
                      <w:szCs w:val="24"/>
                    </w:rPr>
                    <m:t xml:space="preserve"> </m:t>
                  </m:r>
                  <m:r>
                    <w:rPr>
                      <w:rFonts w:ascii="Cambria Math" w:hAnsi="Cambria Math"/>
                      <w:noProof/>
                      <w:szCs w:val="24"/>
                    </w:rPr>
                    <m:t>z roku</m:t>
                  </m:r>
                  <m:r>
                    <m:rPr>
                      <m:sty m:val="p"/>
                    </m:rPr>
                    <w:rPr>
                      <w:rFonts w:ascii="Cambria Math" w:hAnsi="Cambria Math"/>
                      <w:noProof/>
                      <w:szCs w:val="24"/>
                    </w:rPr>
                    <m:t xml:space="preserve"> </m:t>
                  </m:r>
                  <m:r>
                    <w:rPr>
                      <w:rFonts w:ascii="Cambria Math" w:hAnsi="Cambria Math"/>
                      <w:noProof/>
                      <w:szCs w:val="24"/>
                    </w:rPr>
                    <m:t>N</m:t>
                  </m:r>
                  <m:r>
                    <m:rPr>
                      <m:sty m:val="p"/>
                    </m:rPr>
                    <w:rPr>
                      <w:rFonts w:ascii="Cambria Math" w:hAnsi="Cambria Math"/>
                      <w:noProof/>
                      <w:szCs w:val="24"/>
                    </w:rPr>
                    <m:t>+1</m:t>
                  </m:r>
                </m:e>
              </m:d>
              <m:r>
                <m:rPr>
                  <m:sty m:val="p"/>
                </m:rPr>
                <w:rPr>
                  <w:rFonts w:ascii="Cambria Math" w:hAnsi="Cambria Math"/>
                  <w:noProof/>
                  <w:szCs w:val="24"/>
                </w:rPr>
                <m:t>-(</m:t>
              </m:r>
              <m:r>
                <w:rPr>
                  <w:rFonts w:ascii="Cambria Math" w:hAnsi="Cambria Math"/>
                  <w:noProof/>
                  <w:szCs w:val="24"/>
                </w:rPr>
                <m:t>index</m:t>
              </m:r>
              <m:r>
                <m:rPr>
                  <m:sty m:val="p"/>
                </m:rPr>
                <w:rPr>
                  <w:rFonts w:ascii="Cambria Math" w:hAnsi="Cambria Math"/>
                  <w:noProof/>
                  <w:szCs w:val="24"/>
                </w:rPr>
                <m:t xml:space="preserve"> </m:t>
              </m:r>
              <m:r>
                <w:rPr>
                  <w:rFonts w:ascii="Cambria Math" w:hAnsi="Cambria Math"/>
                  <w:noProof/>
                  <w:szCs w:val="24"/>
                </w:rPr>
                <m:t>z roku</m:t>
              </m:r>
              <m:r>
                <m:rPr>
                  <m:sty m:val="p"/>
                </m:rPr>
                <w:rPr>
                  <w:rFonts w:ascii="Cambria Math" w:hAnsi="Cambria Math"/>
                  <w:noProof/>
                  <w:szCs w:val="24"/>
                </w:rPr>
                <m:t xml:space="preserve"> </m:t>
              </m:r>
              <m:r>
                <w:rPr>
                  <w:rFonts w:ascii="Cambria Math" w:hAnsi="Cambria Math"/>
                  <w:noProof/>
                  <w:szCs w:val="24"/>
                </w:rPr>
                <m:t>N</m:t>
              </m:r>
              <m:r>
                <m:rPr>
                  <m:sty m:val="p"/>
                </m:rPr>
                <w:rPr>
                  <w:rFonts w:ascii="Cambria Math" w:hAnsi="Cambria Math"/>
                  <w:noProof/>
                  <w:szCs w:val="24"/>
                </w:rPr>
                <m:t>)</m:t>
              </m:r>
            </m:num>
            <m:den>
              <m:r>
                <w:rPr>
                  <w:rFonts w:ascii="Cambria Math" w:hAnsi="Cambria Math"/>
                  <w:noProof/>
                  <w:szCs w:val="24"/>
                </w:rPr>
                <m:t>index</m:t>
              </m:r>
              <m:r>
                <m:rPr>
                  <m:sty m:val="p"/>
                </m:rPr>
                <w:rPr>
                  <w:rFonts w:ascii="Cambria Math" w:hAnsi="Cambria Math"/>
                  <w:noProof/>
                  <w:szCs w:val="24"/>
                </w:rPr>
                <m:t xml:space="preserve"> </m:t>
              </m:r>
              <m:r>
                <w:rPr>
                  <w:rFonts w:ascii="Cambria Math" w:hAnsi="Cambria Math"/>
                  <w:noProof/>
                  <w:szCs w:val="24"/>
                </w:rPr>
                <m:t>z roku</m:t>
              </m:r>
              <m:r>
                <m:rPr>
                  <m:sty m:val="p"/>
                </m:rPr>
                <w:rPr>
                  <w:rFonts w:ascii="Cambria Math" w:hAnsi="Cambria Math"/>
                  <w:noProof/>
                  <w:szCs w:val="24"/>
                </w:rPr>
                <m:t xml:space="preserve"> </m:t>
              </m:r>
              <m:r>
                <w:rPr>
                  <w:rFonts w:ascii="Cambria Math" w:hAnsi="Cambria Math"/>
                  <w:noProof/>
                  <w:szCs w:val="24"/>
                </w:rPr>
                <m:t>N</m:t>
              </m:r>
            </m:den>
          </m:f>
        </m:oMath>
      </m:oMathPara>
    </w:p>
    <w:p w14:paraId="75801071" w14:textId="77777777" w:rsidR="00772EC3" w:rsidRDefault="00772EC3" w:rsidP="00245D7E">
      <w:pPr>
        <w:rPr>
          <w:noProof/>
          <w:szCs w:val="24"/>
        </w:rPr>
      </w:pPr>
      <w:r>
        <w:rPr>
          <w:noProof/>
        </w:rPr>
        <w:t>Na základě výše uvedeného výpočtu lze získat tyto údaje: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15"/>
        <w:gridCol w:w="2115"/>
        <w:gridCol w:w="2115"/>
      </w:tblGrid>
      <w:tr w:rsidR="00772EC3" w:rsidRPr="004C6A35" w14:paraId="64395B03" w14:textId="77777777" w:rsidTr="00DC5B3E">
        <w:tc>
          <w:tcPr>
            <w:tcW w:w="2263" w:type="dxa"/>
            <w:shd w:val="clear" w:color="auto" w:fill="auto"/>
          </w:tcPr>
          <w:p w14:paraId="2137D01B" w14:textId="3346A955" w:rsidR="00772EC3" w:rsidRPr="004C6A35" w:rsidRDefault="00772EC3" w:rsidP="004C6A35">
            <w:pPr>
              <w:spacing w:after="0"/>
              <w:rPr>
                <w:b/>
                <w:bCs/>
                <w:noProof/>
                <w:szCs w:val="24"/>
              </w:rPr>
            </w:pPr>
          </w:p>
        </w:tc>
        <w:tc>
          <w:tcPr>
            <w:tcW w:w="2115" w:type="dxa"/>
            <w:shd w:val="clear" w:color="auto" w:fill="auto"/>
          </w:tcPr>
          <w:p w14:paraId="753770ED" w14:textId="77777777" w:rsidR="00772EC3" w:rsidRPr="004C6A35" w:rsidRDefault="00772EC3" w:rsidP="00DC5B3E">
            <w:pPr>
              <w:spacing w:after="0"/>
              <w:jc w:val="center"/>
              <w:rPr>
                <w:b/>
                <w:bCs/>
                <w:noProof/>
                <w:szCs w:val="24"/>
              </w:rPr>
            </w:pPr>
            <w:r>
              <w:rPr>
                <w:b/>
                <w:noProof/>
              </w:rPr>
              <w:t>2020–2021</w:t>
            </w:r>
          </w:p>
        </w:tc>
        <w:tc>
          <w:tcPr>
            <w:tcW w:w="2115" w:type="dxa"/>
            <w:shd w:val="clear" w:color="auto" w:fill="auto"/>
          </w:tcPr>
          <w:p w14:paraId="6AF41B1F" w14:textId="77777777" w:rsidR="00772EC3" w:rsidRPr="004C6A35" w:rsidRDefault="00772EC3" w:rsidP="00DC5B3E">
            <w:pPr>
              <w:spacing w:after="0"/>
              <w:jc w:val="center"/>
              <w:rPr>
                <w:b/>
                <w:bCs/>
                <w:noProof/>
                <w:szCs w:val="24"/>
              </w:rPr>
            </w:pPr>
            <w:r>
              <w:rPr>
                <w:b/>
                <w:noProof/>
              </w:rPr>
              <w:t>2021–2022</w:t>
            </w:r>
          </w:p>
        </w:tc>
        <w:tc>
          <w:tcPr>
            <w:tcW w:w="2115" w:type="dxa"/>
            <w:shd w:val="clear" w:color="auto" w:fill="auto"/>
          </w:tcPr>
          <w:p w14:paraId="31C16B2D" w14:textId="77777777" w:rsidR="00772EC3" w:rsidRPr="004C6A35" w:rsidRDefault="00772EC3" w:rsidP="00DC5B3E">
            <w:pPr>
              <w:spacing w:after="0"/>
              <w:jc w:val="center"/>
              <w:rPr>
                <w:b/>
                <w:bCs/>
                <w:noProof/>
                <w:szCs w:val="24"/>
              </w:rPr>
            </w:pPr>
            <w:r>
              <w:rPr>
                <w:b/>
                <w:noProof/>
              </w:rPr>
              <w:t>2022–2023</w:t>
            </w:r>
          </w:p>
        </w:tc>
      </w:tr>
      <w:tr w:rsidR="00772EC3" w:rsidRPr="004C6A35" w14:paraId="3684479F" w14:textId="77777777" w:rsidTr="00DC5B3E">
        <w:tc>
          <w:tcPr>
            <w:tcW w:w="2263" w:type="dxa"/>
            <w:shd w:val="clear" w:color="auto" w:fill="auto"/>
          </w:tcPr>
          <w:p w14:paraId="07656EBD" w14:textId="77777777" w:rsidR="00772EC3" w:rsidRPr="004C6A35" w:rsidRDefault="00772EC3" w:rsidP="004C6A35">
            <w:pPr>
              <w:spacing w:after="0"/>
              <w:rPr>
                <w:noProof/>
                <w:szCs w:val="24"/>
              </w:rPr>
            </w:pPr>
            <w:r>
              <w:rPr>
                <w:noProof/>
              </w:rPr>
              <w:t>červen roku N</w:t>
            </w:r>
          </w:p>
        </w:tc>
        <w:tc>
          <w:tcPr>
            <w:tcW w:w="2115" w:type="dxa"/>
            <w:shd w:val="clear" w:color="auto" w:fill="auto"/>
          </w:tcPr>
          <w:p w14:paraId="59560AAC" w14:textId="77777777" w:rsidR="00772EC3" w:rsidRPr="004C6A35" w:rsidRDefault="00772EC3" w:rsidP="00DC5B3E">
            <w:pPr>
              <w:spacing w:after="0"/>
              <w:jc w:val="center"/>
              <w:rPr>
                <w:noProof/>
                <w:szCs w:val="24"/>
              </w:rPr>
            </w:pPr>
            <w:r>
              <w:rPr>
                <w:noProof/>
              </w:rPr>
              <w:t>106,31</w:t>
            </w:r>
          </w:p>
        </w:tc>
        <w:tc>
          <w:tcPr>
            <w:tcW w:w="2115" w:type="dxa"/>
            <w:shd w:val="clear" w:color="auto" w:fill="auto"/>
          </w:tcPr>
          <w:p w14:paraId="54E4434C" w14:textId="77777777" w:rsidR="00772EC3" w:rsidRPr="004C6A35" w:rsidRDefault="00772EC3" w:rsidP="00DC5B3E">
            <w:pPr>
              <w:spacing w:after="0"/>
              <w:jc w:val="center"/>
              <w:rPr>
                <w:noProof/>
                <w:szCs w:val="24"/>
              </w:rPr>
            </w:pPr>
            <w:r>
              <w:rPr>
                <w:noProof/>
              </w:rPr>
              <w:t>108,65</w:t>
            </w:r>
          </w:p>
        </w:tc>
        <w:tc>
          <w:tcPr>
            <w:tcW w:w="2115" w:type="dxa"/>
            <w:shd w:val="clear" w:color="auto" w:fill="auto"/>
          </w:tcPr>
          <w:p w14:paraId="53F69A24" w14:textId="77777777" w:rsidR="00772EC3" w:rsidRPr="004C6A35" w:rsidRDefault="00772EC3" w:rsidP="00DC5B3E">
            <w:pPr>
              <w:spacing w:after="0"/>
              <w:jc w:val="center"/>
              <w:rPr>
                <w:noProof/>
                <w:szCs w:val="24"/>
              </w:rPr>
            </w:pPr>
            <w:r>
              <w:rPr>
                <w:noProof/>
              </w:rPr>
              <w:t>119,03</w:t>
            </w:r>
          </w:p>
        </w:tc>
      </w:tr>
      <w:tr w:rsidR="00772EC3" w:rsidRPr="004C6A35" w14:paraId="056D0338" w14:textId="77777777" w:rsidTr="00DC5B3E">
        <w:tc>
          <w:tcPr>
            <w:tcW w:w="2263" w:type="dxa"/>
            <w:shd w:val="clear" w:color="auto" w:fill="auto"/>
          </w:tcPr>
          <w:p w14:paraId="0BBC71DC" w14:textId="77777777" w:rsidR="00772EC3" w:rsidRPr="004C6A35" w:rsidRDefault="00772EC3" w:rsidP="004C6A35">
            <w:pPr>
              <w:spacing w:after="0"/>
              <w:rPr>
                <w:noProof/>
                <w:szCs w:val="24"/>
              </w:rPr>
            </w:pPr>
            <w:r>
              <w:rPr>
                <w:noProof/>
              </w:rPr>
              <w:t>červen roku N+1</w:t>
            </w:r>
          </w:p>
        </w:tc>
        <w:tc>
          <w:tcPr>
            <w:tcW w:w="2115" w:type="dxa"/>
            <w:shd w:val="clear" w:color="auto" w:fill="auto"/>
          </w:tcPr>
          <w:p w14:paraId="5768C941" w14:textId="77777777" w:rsidR="00772EC3" w:rsidRPr="004C6A35" w:rsidRDefault="00772EC3" w:rsidP="00DC5B3E">
            <w:pPr>
              <w:spacing w:after="0"/>
              <w:jc w:val="center"/>
              <w:rPr>
                <w:noProof/>
                <w:szCs w:val="24"/>
              </w:rPr>
            </w:pPr>
            <w:r>
              <w:rPr>
                <w:noProof/>
              </w:rPr>
              <w:t>108,65</w:t>
            </w:r>
          </w:p>
        </w:tc>
        <w:tc>
          <w:tcPr>
            <w:tcW w:w="2115" w:type="dxa"/>
            <w:shd w:val="clear" w:color="auto" w:fill="auto"/>
          </w:tcPr>
          <w:p w14:paraId="69FDB5A0" w14:textId="77777777" w:rsidR="00772EC3" w:rsidRPr="004C6A35" w:rsidRDefault="00772EC3" w:rsidP="00DC5B3E">
            <w:pPr>
              <w:spacing w:after="0"/>
              <w:jc w:val="center"/>
              <w:rPr>
                <w:noProof/>
                <w:szCs w:val="24"/>
              </w:rPr>
            </w:pPr>
            <w:r>
              <w:rPr>
                <w:noProof/>
              </w:rPr>
              <w:t>119,03</w:t>
            </w:r>
          </w:p>
        </w:tc>
        <w:tc>
          <w:tcPr>
            <w:tcW w:w="2115" w:type="dxa"/>
            <w:shd w:val="clear" w:color="auto" w:fill="auto"/>
          </w:tcPr>
          <w:p w14:paraId="452DB45C" w14:textId="77777777" w:rsidR="00772EC3" w:rsidRPr="004C6A35" w:rsidRDefault="00772EC3" w:rsidP="00DC5B3E">
            <w:pPr>
              <w:spacing w:after="0"/>
              <w:jc w:val="center"/>
              <w:rPr>
                <w:noProof/>
                <w:szCs w:val="24"/>
              </w:rPr>
            </w:pPr>
            <w:r>
              <w:rPr>
                <w:noProof/>
              </w:rPr>
              <w:t>126,69</w:t>
            </w:r>
          </w:p>
        </w:tc>
      </w:tr>
      <w:tr w:rsidR="00772EC3" w:rsidRPr="004C6A35" w14:paraId="2198C516" w14:textId="77777777" w:rsidTr="00DC5B3E">
        <w:tc>
          <w:tcPr>
            <w:tcW w:w="2263" w:type="dxa"/>
            <w:shd w:val="clear" w:color="auto" w:fill="auto"/>
          </w:tcPr>
          <w:p w14:paraId="42212DFF" w14:textId="77777777" w:rsidR="00772EC3" w:rsidRPr="004C6A35" w:rsidRDefault="00772EC3" w:rsidP="004C6A35">
            <w:pPr>
              <w:spacing w:after="0"/>
              <w:rPr>
                <w:noProof/>
                <w:szCs w:val="24"/>
              </w:rPr>
            </w:pPr>
            <w:r>
              <w:rPr>
                <w:noProof/>
              </w:rPr>
              <w:t>Roční míra inflace</w:t>
            </w:r>
          </w:p>
        </w:tc>
        <w:tc>
          <w:tcPr>
            <w:tcW w:w="2115" w:type="dxa"/>
            <w:shd w:val="clear" w:color="auto" w:fill="auto"/>
          </w:tcPr>
          <w:p w14:paraId="0DEE6163" w14:textId="77777777" w:rsidR="00772EC3" w:rsidRPr="004C6A35" w:rsidRDefault="00772EC3" w:rsidP="00DC5B3E">
            <w:pPr>
              <w:spacing w:after="0"/>
              <w:jc w:val="center"/>
              <w:rPr>
                <w:noProof/>
                <w:szCs w:val="24"/>
              </w:rPr>
            </w:pPr>
            <w:r>
              <w:rPr>
                <w:noProof/>
              </w:rPr>
              <w:t>2,2 %</w:t>
            </w:r>
          </w:p>
        </w:tc>
        <w:tc>
          <w:tcPr>
            <w:tcW w:w="2115" w:type="dxa"/>
            <w:shd w:val="clear" w:color="auto" w:fill="auto"/>
          </w:tcPr>
          <w:p w14:paraId="0D1ACCF6" w14:textId="77777777" w:rsidR="00772EC3" w:rsidRPr="004C6A35" w:rsidRDefault="00772EC3" w:rsidP="00DC5B3E">
            <w:pPr>
              <w:spacing w:after="0"/>
              <w:jc w:val="center"/>
              <w:rPr>
                <w:noProof/>
                <w:szCs w:val="24"/>
              </w:rPr>
            </w:pPr>
            <w:r>
              <w:rPr>
                <w:noProof/>
              </w:rPr>
              <w:t>9,6 %</w:t>
            </w:r>
          </w:p>
        </w:tc>
        <w:tc>
          <w:tcPr>
            <w:tcW w:w="2115" w:type="dxa"/>
            <w:shd w:val="clear" w:color="auto" w:fill="auto"/>
          </w:tcPr>
          <w:p w14:paraId="5835C378" w14:textId="77777777" w:rsidR="00772EC3" w:rsidRPr="004C6A35" w:rsidRDefault="00772EC3" w:rsidP="00DC5B3E">
            <w:pPr>
              <w:spacing w:after="0"/>
              <w:jc w:val="center"/>
              <w:rPr>
                <w:noProof/>
                <w:szCs w:val="24"/>
              </w:rPr>
            </w:pPr>
            <w:r>
              <w:rPr>
                <w:noProof/>
              </w:rPr>
              <w:t>6,4 %</w:t>
            </w:r>
          </w:p>
        </w:tc>
      </w:tr>
    </w:tbl>
    <w:p w14:paraId="7CCDA572" w14:textId="77777777" w:rsidR="00772EC3" w:rsidRDefault="00772EC3" w:rsidP="00245D7E">
      <w:pPr>
        <w:rPr>
          <w:b/>
          <w:bCs/>
          <w:noProof/>
          <w:szCs w:val="24"/>
        </w:rPr>
      </w:pPr>
    </w:p>
    <w:p w14:paraId="7850F90D" w14:textId="1B16FAA1" w:rsidR="00772EC3" w:rsidRDefault="00DE37EF" w:rsidP="00DE37EF">
      <w:pPr>
        <w:pStyle w:val="Heading2"/>
        <w:numPr>
          <w:ilvl w:val="0"/>
          <w:numId w:val="0"/>
        </w:numPr>
        <w:ind w:left="482"/>
        <w:rPr>
          <w:noProof/>
        </w:rPr>
      </w:pPr>
      <w:r>
        <w:rPr>
          <w:noProof/>
        </w:rPr>
        <w:t>2.2</w:t>
      </w:r>
      <w:r>
        <w:rPr>
          <w:noProof/>
        </w:rPr>
        <w:tab/>
      </w:r>
      <w:r w:rsidR="00772EC3">
        <w:rPr>
          <w:noProof/>
        </w:rPr>
        <w:t>Ukazatel kupní síly zaměstnanců ve veřejné službě členských států</w:t>
      </w:r>
    </w:p>
    <w:p w14:paraId="556F64A1" w14:textId="77777777" w:rsidR="00772EC3" w:rsidRPr="002B53CC" w:rsidRDefault="00772EC3" w:rsidP="00245D7E">
      <w:pPr>
        <w:rPr>
          <w:b/>
          <w:bCs/>
          <w:noProof/>
          <w:sz w:val="28"/>
          <w:szCs w:val="28"/>
        </w:rPr>
      </w:pPr>
      <w:r>
        <w:rPr>
          <w:noProof/>
        </w:rPr>
        <w:t>Vážený průměr kupní síly platů zaměstnanců ve veřejné službě členských států byl vypočten takto (podrobný výpočet v příloze):</w:t>
      </w:r>
    </w:p>
    <w:p w14:paraId="2D744689" w14:textId="77777777" w:rsidR="00772EC3" w:rsidRDefault="00772EC3" w:rsidP="00772EC3">
      <w:pPr>
        <w:pStyle w:val="ListParagraph"/>
        <w:numPr>
          <w:ilvl w:val="0"/>
          <w:numId w:val="23"/>
        </w:numPr>
        <w:spacing w:line="240" w:lineRule="auto"/>
        <w:jc w:val="both"/>
        <w:rPr>
          <w:rFonts w:ascii="Times New Roman" w:hAnsi="Times New Roman"/>
          <w:noProof/>
          <w:sz w:val="24"/>
          <w:szCs w:val="24"/>
        </w:rPr>
      </w:pPr>
      <w:r>
        <w:rPr>
          <w:rFonts w:ascii="Times New Roman" w:hAnsi="Times New Roman"/>
          <w:noProof/>
          <w:sz w:val="24"/>
        </w:rPr>
        <w:t>vynásobením vývoje reálné čisté odměny v každém členském státě mezi rokem N a N+1 (= vývoj kupní síly) s váhou každého členského státu na celkovém HDP EU. Jako váhový faktor se používá HDP vyjádřený paritou kupní síly jako podíl na celkovém HDP EU. Ukazatel reálné čisté odměny pro každý členský stát, jakož i odpovídající váhy HDP zveřejňuje Eurostat každoročně v říjnu a pokrývá předchozí rok až do července</w:t>
      </w:r>
      <w:r>
        <w:rPr>
          <w:rStyle w:val="FootnoteReference"/>
          <w:rFonts w:ascii="Times New Roman" w:hAnsi="Times New Roman"/>
          <w:noProof/>
          <w:sz w:val="24"/>
          <w:szCs w:val="24"/>
        </w:rPr>
        <w:footnoteReference w:id="12"/>
      </w:r>
      <w:r>
        <w:rPr>
          <w:rFonts w:ascii="Times New Roman" w:hAnsi="Times New Roman"/>
          <w:noProof/>
          <w:sz w:val="24"/>
        </w:rPr>
        <w:t>.</w:t>
      </w:r>
    </w:p>
    <w:p w14:paraId="60C2CBA3" w14:textId="77777777" w:rsidR="00772EC3" w:rsidRPr="002B53CC" w:rsidRDefault="00772EC3" w:rsidP="00245D7E">
      <w:pPr>
        <w:pStyle w:val="ListParagraph"/>
        <w:spacing w:line="240" w:lineRule="auto"/>
        <w:jc w:val="both"/>
        <w:rPr>
          <w:rFonts w:ascii="Times New Roman" w:hAnsi="Times New Roman"/>
          <w:noProof/>
          <w:sz w:val="24"/>
          <w:szCs w:val="24"/>
        </w:rPr>
      </w:pPr>
    </w:p>
    <w:p w14:paraId="2C0B0C33" w14:textId="77777777" w:rsidR="00772EC3" w:rsidRDefault="00772EC3" w:rsidP="00772EC3">
      <w:pPr>
        <w:pStyle w:val="ListParagraph"/>
        <w:numPr>
          <w:ilvl w:val="0"/>
          <w:numId w:val="23"/>
        </w:numPr>
        <w:spacing w:line="240" w:lineRule="auto"/>
        <w:jc w:val="both"/>
        <w:rPr>
          <w:rFonts w:ascii="Times New Roman" w:hAnsi="Times New Roman"/>
          <w:noProof/>
          <w:sz w:val="24"/>
          <w:szCs w:val="24"/>
        </w:rPr>
      </w:pPr>
      <w:r>
        <w:rPr>
          <w:rFonts w:ascii="Times New Roman" w:hAnsi="Times New Roman"/>
          <w:noProof/>
          <w:sz w:val="24"/>
        </w:rPr>
        <w:t>Celkový ukazatel platu v EU se vypočítá jako součet ukazatelů váženého HDP každého členského státu.</w:t>
      </w:r>
    </w:p>
    <w:p w14:paraId="2AF48EE7" w14:textId="079C7BF8" w:rsidR="00772EC3" w:rsidRDefault="00DE37EF" w:rsidP="00DE37EF">
      <w:pPr>
        <w:pStyle w:val="Heading2"/>
        <w:numPr>
          <w:ilvl w:val="0"/>
          <w:numId w:val="0"/>
        </w:numPr>
        <w:ind w:left="482"/>
        <w:rPr>
          <w:noProof/>
        </w:rPr>
      </w:pPr>
      <w:r>
        <w:rPr>
          <w:noProof/>
        </w:rPr>
        <w:t>2.3</w:t>
      </w:r>
      <w:r>
        <w:rPr>
          <w:noProof/>
        </w:rPr>
        <w:tab/>
      </w:r>
      <w:r w:rsidR="00772EC3">
        <w:rPr>
          <w:noProof/>
        </w:rPr>
        <w:t>Ukazatel úpravy vízového poplatku</w:t>
      </w:r>
    </w:p>
    <w:p w14:paraId="031AFA81" w14:textId="562EDD9C" w:rsidR="00772EC3" w:rsidRDefault="00772EC3" w:rsidP="00DC5B3E">
      <w:pPr>
        <w:rPr>
          <w:noProof/>
        </w:rPr>
      </w:pPr>
      <w:r>
        <w:rPr>
          <w:noProof/>
        </w:rPr>
        <w:t xml:space="preserve">Pro každé roční období byl vypočítán celkový </w:t>
      </w:r>
      <w:r>
        <w:rPr>
          <w:b/>
          <w:noProof/>
        </w:rPr>
        <w:t>ukazatel</w:t>
      </w:r>
      <w:r>
        <w:rPr>
          <w:noProof/>
        </w:rPr>
        <w:t xml:space="preserve"> odrážející vývoj obou faktorů. Tento ukazatel se vypočítá stejným způsobem jako každoroční aktualizace platů úředníků EU, která kombinuje ukazatel inflace s ukazatelem vývoje kupní síly zaměstnanců ve veřejné službě členských států</w:t>
      </w:r>
      <w:r w:rsidRPr="00294283">
        <w:rPr>
          <w:noProof/>
          <w:vertAlign w:val="superscript"/>
          <w:lang w:eastAsia="en-IE"/>
        </w:rPr>
        <w:footnoteReference w:id="13"/>
      </w:r>
      <w:r>
        <w:rPr>
          <w:noProof/>
        </w:rPr>
        <w:t>:</w:t>
      </w:r>
    </w:p>
    <w:p w14:paraId="27BDA348" w14:textId="51375724" w:rsidR="00772EC3" w:rsidRPr="006B68FC" w:rsidRDefault="00203D90" w:rsidP="00245D7E">
      <w:pPr>
        <w:rPr>
          <w:noProof/>
          <w:sz w:val="18"/>
          <w:szCs w:val="18"/>
        </w:rPr>
      </w:pPr>
      <m:oMathPara>
        <m:oMathParaPr>
          <m:jc m:val="left"/>
        </m:oMathParaPr>
        <m:oMath>
          <m:r>
            <w:rPr>
              <w:rFonts w:ascii="Cambria Math" w:hAnsi="Cambria Math"/>
              <w:noProof/>
              <w:sz w:val="18"/>
              <w:szCs w:val="18"/>
            </w:rPr>
            <m:t xml:space="preserve">Ukazatel úpravy vízového poplatku= </m:t>
          </m:r>
          <m:f>
            <m:fPr>
              <m:ctrlPr>
                <w:rPr>
                  <w:rFonts w:ascii="Cambria Math" w:hAnsi="Cambria Math"/>
                  <w:i/>
                  <w:noProof/>
                  <w:sz w:val="18"/>
                  <w:szCs w:val="18"/>
                </w:rPr>
              </m:ctrlPr>
            </m:fPr>
            <m:num>
              <m:d>
                <m:dPr>
                  <m:ctrlPr>
                    <w:rPr>
                      <w:rFonts w:ascii="Cambria Math" w:hAnsi="Cambria Math"/>
                      <w:i/>
                      <w:noProof/>
                      <w:sz w:val="18"/>
                      <w:szCs w:val="18"/>
                    </w:rPr>
                  </m:ctrlPr>
                </m:dPr>
                <m:e>
                  <m:r>
                    <w:rPr>
                      <w:rFonts w:ascii="Cambria Math" w:hAnsi="Cambria Math"/>
                      <w:noProof/>
                      <w:sz w:val="18"/>
                      <w:szCs w:val="18"/>
                    </w:rPr>
                    <m:t>100+míra inflace</m:t>
                  </m:r>
                </m:e>
              </m:d>
              <m:r>
                <w:rPr>
                  <w:rFonts w:ascii="Cambria Math" w:hAnsi="Cambria Math"/>
                  <w:noProof/>
                  <w:sz w:val="18"/>
                  <w:szCs w:val="18"/>
                </w:rPr>
                <m:t>*(100+ukazatel kupní síly platů)</m:t>
              </m:r>
            </m:num>
            <m:den>
              <m:r>
                <w:rPr>
                  <w:rFonts w:ascii="Cambria Math" w:hAnsi="Cambria Math"/>
                  <w:noProof/>
                  <w:sz w:val="18"/>
                  <w:szCs w:val="18"/>
                </w:rPr>
                <m:t>100</m:t>
              </m:r>
            </m:den>
          </m:f>
          <m:r>
            <w:rPr>
              <w:rFonts w:ascii="Cambria Math" w:hAnsi="Cambria Math"/>
              <w:noProof/>
              <w:sz w:val="18"/>
              <w:szCs w:val="18"/>
            </w:rPr>
            <m:t>-100</m:t>
          </m:r>
        </m:oMath>
      </m:oMathPara>
    </w:p>
    <w:p w14:paraId="4725FB16" w14:textId="77777777" w:rsidR="00772EC3" w:rsidRPr="004C6A35" w:rsidRDefault="00772EC3" w:rsidP="00245D7E">
      <w:pPr>
        <w:rPr>
          <w:noProof/>
          <w:szCs w:val="24"/>
        </w:rPr>
      </w:pPr>
      <w:r>
        <w:rPr>
          <w:noProof/>
        </w:rPr>
        <w:t>Na základě tohoto ukazatele lze vypočítat následující úpravu vízového poplatku:</w:t>
      </w:r>
    </w:p>
    <w:tbl>
      <w:tblPr>
        <w:tblStyle w:val="TableGrid"/>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2268"/>
        <w:gridCol w:w="2255"/>
        <w:gridCol w:w="1804"/>
      </w:tblGrid>
      <w:tr w:rsidR="00772EC3" w:rsidRPr="004C6A35" w14:paraId="0BB031AE" w14:textId="77777777" w:rsidTr="00DC5B3E">
        <w:tc>
          <w:tcPr>
            <w:tcW w:w="1271" w:type="dxa"/>
            <w:shd w:val="clear" w:color="auto" w:fill="auto"/>
          </w:tcPr>
          <w:p w14:paraId="171E46BF" w14:textId="3BCB12DB" w:rsidR="00772EC3" w:rsidRPr="004C6A35" w:rsidRDefault="00772EC3" w:rsidP="004C6A35">
            <w:pPr>
              <w:spacing w:after="0"/>
              <w:rPr>
                <w:b/>
                <w:bCs/>
                <w:noProof/>
                <w:szCs w:val="24"/>
              </w:rPr>
            </w:pPr>
          </w:p>
        </w:tc>
        <w:tc>
          <w:tcPr>
            <w:tcW w:w="1418" w:type="dxa"/>
            <w:shd w:val="clear" w:color="auto" w:fill="auto"/>
          </w:tcPr>
          <w:p w14:paraId="7F8CD95C" w14:textId="77777777" w:rsidR="00772EC3" w:rsidRPr="004C6A35" w:rsidRDefault="00772EC3" w:rsidP="00DC5B3E">
            <w:pPr>
              <w:spacing w:after="0"/>
              <w:jc w:val="center"/>
              <w:rPr>
                <w:b/>
                <w:bCs/>
                <w:noProof/>
                <w:szCs w:val="24"/>
              </w:rPr>
            </w:pPr>
            <w:r>
              <w:rPr>
                <w:b/>
                <w:noProof/>
              </w:rPr>
              <w:t>Míra inflace</w:t>
            </w:r>
          </w:p>
        </w:tc>
        <w:tc>
          <w:tcPr>
            <w:tcW w:w="2268" w:type="dxa"/>
            <w:shd w:val="clear" w:color="auto" w:fill="auto"/>
          </w:tcPr>
          <w:p w14:paraId="597BA5AB" w14:textId="77777777" w:rsidR="00772EC3" w:rsidRPr="004C6A35" w:rsidRDefault="00772EC3" w:rsidP="00DC5B3E">
            <w:pPr>
              <w:spacing w:after="0"/>
              <w:jc w:val="center"/>
              <w:rPr>
                <w:b/>
                <w:bCs/>
                <w:noProof/>
                <w:szCs w:val="24"/>
              </w:rPr>
            </w:pPr>
            <w:r>
              <w:rPr>
                <w:b/>
                <w:noProof/>
              </w:rPr>
              <w:t>Ukazatel kupní síly platů</w:t>
            </w:r>
          </w:p>
        </w:tc>
        <w:tc>
          <w:tcPr>
            <w:tcW w:w="2255" w:type="dxa"/>
            <w:shd w:val="clear" w:color="auto" w:fill="auto"/>
          </w:tcPr>
          <w:p w14:paraId="778F65B6" w14:textId="77777777" w:rsidR="00772EC3" w:rsidRPr="004C6A35" w:rsidRDefault="00772EC3" w:rsidP="00DC5B3E">
            <w:pPr>
              <w:spacing w:after="0"/>
              <w:jc w:val="center"/>
              <w:rPr>
                <w:b/>
                <w:bCs/>
                <w:noProof/>
                <w:szCs w:val="24"/>
              </w:rPr>
            </w:pPr>
            <w:r>
              <w:rPr>
                <w:b/>
                <w:noProof/>
              </w:rPr>
              <w:t>Ukazatel úpravy vízového poplatku</w:t>
            </w:r>
          </w:p>
        </w:tc>
        <w:tc>
          <w:tcPr>
            <w:tcW w:w="1804" w:type="dxa"/>
            <w:shd w:val="clear" w:color="auto" w:fill="auto"/>
          </w:tcPr>
          <w:p w14:paraId="533DFA17" w14:textId="77777777" w:rsidR="00772EC3" w:rsidRPr="004C6A35" w:rsidRDefault="00772EC3" w:rsidP="00DC5B3E">
            <w:pPr>
              <w:spacing w:after="0"/>
              <w:jc w:val="center"/>
              <w:rPr>
                <w:b/>
                <w:bCs/>
                <w:noProof/>
                <w:szCs w:val="24"/>
              </w:rPr>
            </w:pPr>
            <w:r>
              <w:rPr>
                <w:b/>
                <w:noProof/>
              </w:rPr>
              <w:t>Upravený vízový poplatek (EUR)</w:t>
            </w:r>
          </w:p>
        </w:tc>
      </w:tr>
      <w:tr w:rsidR="00772EC3" w:rsidRPr="004C6A35" w14:paraId="10D5B171" w14:textId="77777777" w:rsidTr="00DC5B3E">
        <w:tc>
          <w:tcPr>
            <w:tcW w:w="1271" w:type="dxa"/>
            <w:shd w:val="clear" w:color="auto" w:fill="auto"/>
          </w:tcPr>
          <w:p w14:paraId="016E9437" w14:textId="77777777" w:rsidR="00772EC3" w:rsidRPr="004C6A35" w:rsidRDefault="00772EC3" w:rsidP="004C6A35">
            <w:pPr>
              <w:spacing w:after="0"/>
              <w:rPr>
                <w:noProof/>
                <w:szCs w:val="24"/>
              </w:rPr>
            </w:pPr>
            <w:r>
              <w:rPr>
                <w:noProof/>
              </w:rPr>
              <w:t>Zahájení</w:t>
            </w:r>
          </w:p>
        </w:tc>
        <w:tc>
          <w:tcPr>
            <w:tcW w:w="1418" w:type="dxa"/>
            <w:shd w:val="clear" w:color="auto" w:fill="auto"/>
          </w:tcPr>
          <w:p w14:paraId="0A38B7B5" w14:textId="77777777" w:rsidR="00772EC3" w:rsidRPr="004C6A35" w:rsidRDefault="00772EC3" w:rsidP="00DC5B3E">
            <w:pPr>
              <w:spacing w:after="0"/>
              <w:jc w:val="center"/>
              <w:rPr>
                <w:noProof/>
                <w:szCs w:val="24"/>
              </w:rPr>
            </w:pPr>
          </w:p>
        </w:tc>
        <w:tc>
          <w:tcPr>
            <w:tcW w:w="2268" w:type="dxa"/>
            <w:shd w:val="clear" w:color="auto" w:fill="auto"/>
          </w:tcPr>
          <w:p w14:paraId="3CEC574C" w14:textId="77777777" w:rsidR="00772EC3" w:rsidRPr="004C6A35" w:rsidRDefault="00772EC3" w:rsidP="00DC5B3E">
            <w:pPr>
              <w:spacing w:after="0"/>
              <w:jc w:val="center"/>
              <w:rPr>
                <w:noProof/>
                <w:szCs w:val="24"/>
              </w:rPr>
            </w:pPr>
          </w:p>
        </w:tc>
        <w:tc>
          <w:tcPr>
            <w:tcW w:w="2255" w:type="dxa"/>
            <w:shd w:val="clear" w:color="auto" w:fill="auto"/>
          </w:tcPr>
          <w:p w14:paraId="51DDDAF5" w14:textId="77777777" w:rsidR="00772EC3" w:rsidRPr="004C6A35" w:rsidRDefault="00772EC3" w:rsidP="00DC5B3E">
            <w:pPr>
              <w:spacing w:after="0"/>
              <w:jc w:val="center"/>
              <w:rPr>
                <w:noProof/>
                <w:szCs w:val="24"/>
              </w:rPr>
            </w:pPr>
          </w:p>
        </w:tc>
        <w:tc>
          <w:tcPr>
            <w:tcW w:w="1804" w:type="dxa"/>
            <w:shd w:val="clear" w:color="auto" w:fill="auto"/>
          </w:tcPr>
          <w:p w14:paraId="4725D127" w14:textId="77777777" w:rsidR="00772EC3" w:rsidRPr="004C6A35" w:rsidRDefault="00772EC3" w:rsidP="00DC5B3E">
            <w:pPr>
              <w:spacing w:after="0"/>
              <w:jc w:val="center"/>
              <w:rPr>
                <w:noProof/>
                <w:szCs w:val="24"/>
              </w:rPr>
            </w:pPr>
            <w:r>
              <w:rPr>
                <w:noProof/>
              </w:rPr>
              <w:t>80,00</w:t>
            </w:r>
          </w:p>
        </w:tc>
      </w:tr>
      <w:tr w:rsidR="00772EC3" w:rsidRPr="004C6A35" w14:paraId="5F2825A3" w14:textId="77777777" w:rsidTr="00DC5B3E">
        <w:tc>
          <w:tcPr>
            <w:tcW w:w="1271" w:type="dxa"/>
            <w:shd w:val="clear" w:color="auto" w:fill="auto"/>
          </w:tcPr>
          <w:p w14:paraId="71050195" w14:textId="77777777" w:rsidR="00772EC3" w:rsidRPr="004C6A35" w:rsidRDefault="00772EC3" w:rsidP="004C6A35">
            <w:pPr>
              <w:spacing w:after="0"/>
              <w:rPr>
                <w:noProof/>
                <w:szCs w:val="24"/>
              </w:rPr>
            </w:pPr>
            <w:r>
              <w:rPr>
                <w:noProof/>
              </w:rPr>
              <w:t>2020–2021</w:t>
            </w:r>
          </w:p>
        </w:tc>
        <w:tc>
          <w:tcPr>
            <w:tcW w:w="1418" w:type="dxa"/>
            <w:shd w:val="clear" w:color="auto" w:fill="auto"/>
          </w:tcPr>
          <w:p w14:paraId="681AA08C" w14:textId="77777777" w:rsidR="00772EC3" w:rsidRPr="004C6A35" w:rsidRDefault="00772EC3" w:rsidP="00DC5B3E">
            <w:pPr>
              <w:spacing w:after="0"/>
              <w:jc w:val="center"/>
              <w:rPr>
                <w:noProof/>
                <w:szCs w:val="24"/>
              </w:rPr>
            </w:pPr>
            <w:r>
              <w:rPr>
                <w:noProof/>
              </w:rPr>
              <w:t>2,2 %</w:t>
            </w:r>
          </w:p>
        </w:tc>
        <w:tc>
          <w:tcPr>
            <w:tcW w:w="2268" w:type="dxa"/>
            <w:shd w:val="clear" w:color="auto" w:fill="auto"/>
          </w:tcPr>
          <w:p w14:paraId="608DF898" w14:textId="77777777" w:rsidR="00772EC3" w:rsidRPr="004C6A35" w:rsidRDefault="00772EC3" w:rsidP="00DC5B3E">
            <w:pPr>
              <w:spacing w:after="0"/>
              <w:jc w:val="center"/>
              <w:rPr>
                <w:noProof/>
                <w:szCs w:val="24"/>
              </w:rPr>
            </w:pPr>
            <w:r>
              <w:rPr>
                <w:noProof/>
              </w:rPr>
              <w:t>0,2 %</w:t>
            </w:r>
          </w:p>
        </w:tc>
        <w:tc>
          <w:tcPr>
            <w:tcW w:w="2255" w:type="dxa"/>
            <w:shd w:val="clear" w:color="auto" w:fill="auto"/>
          </w:tcPr>
          <w:p w14:paraId="4186C1F9" w14:textId="77777777" w:rsidR="00772EC3" w:rsidRPr="004C6A35" w:rsidRDefault="00772EC3" w:rsidP="00DC5B3E">
            <w:pPr>
              <w:spacing w:after="0"/>
              <w:jc w:val="center"/>
              <w:rPr>
                <w:noProof/>
                <w:szCs w:val="24"/>
              </w:rPr>
            </w:pPr>
            <w:r>
              <w:rPr>
                <w:noProof/>
              </w:rPr>
              <w:t>2,4 %</w:t>
            </w:r>
          </w:p>
        </w:tc>
        <w:tc>
          <w:tcPr>
            <w:tcW w:w="1804" w:type="dxa"/>
            <w:shd w:val="clear" w:color="auto" w:fill="auto"/>
          </w:tcPr>
          <w:p w14:paraId="69CC56BB" w14:textId="77777777" w:rsidR="00772EC3" w:rsidRPr="004C6A35" w:rsidRDefault="00772EC3" w:rsidP="00DC5B3E">
            <w:pPr>
              <w:spacing w:after="0"/>
              <w:jc w:val="center"/>
              <w:rPr>
                <w:noProof/>
                <w:szCs w:val="24"/>
              </w:rPr>
            </w:pPr>
            <w:r>
              <w:rPr>
                <w:noProof/>
              </w:rPr>
              <w:t>81,92</w:t>
            </w:r>
          </w:p>
        </w:tc>
      </w:tr>
      <w:tr w:rsidR="00772EC3" w:rsidRPr="004C6A35" w14:paraId="38960AB1" w14:textId="77777777" w:rsidTr="00DC5B3E">
        <w:tc>
          <w:tcPr>
            <w:tcW w:w="1271" w:type="dxa"/>
            <w:shd w:val="clear" w:color="auto" w:fill="auto"/>
          </w:tcPr>
          <w:p w14:paraId="2238D906" w14:textId="77777777" w:rsidR="00772EC3" w:rsidRPr="004C6A35" w:rsidRDefault="00772EC3" w:rsidP="004C6A35">
            <w:pPr>
              <w:spacing w:after="0"/>
              <w:rPr>
                <w:noProof/>
                <w:szCs w:val="24"/>
              </w:rPr>
            </w:pPr>
            <w:r>
              <w:rPr>
                <w:noProof/>
              </w:rPr>
              <w:t>2021–2022</w:t>
            </w:r>
          </w:p>
        </w:tc>
        <w:tc>
          <w:tcPr>
            <w:tcW w:w="1418" w:type="dxa"/>
            <w:shd w:val="clear" w:color="auto" w:fill="auto"/>
          </w:tcPr>
          <w:p w14:paraId="79EA89DA" w14:textId="77777777" w:rsidR="00772EC3" w:rsidRPr="004C6A35" w:rsidRDefault="00772EC3" w:rsidP="00DC5B3E">
            <w:pPr>
              <w:spacing w:after="0"/>
              <w:jc w:val="center"/>
              <w:rPr>
                <w:noProof/>
                <w:szCs w:val="24"/>
              </w:rPr>
            </w:pPr>
            <w:r>
              <w:rPr>
                <w:noProof/>
              </w:rPr>
              <w:t>9,6 %</w:t>
            </w:r>
          </w:p>
        </w:tc>
        <w:tc>
          <w:tcPr>
            <w:tcW w:w="2268" w:type="dxa"/>
            <w:shd w:val="clear" w:color="auto" w:fill="auto"/>
          </w:tcPr>
          <w:p w14:paraId="35B765C2" w14:textId="77777777" w:rsidR="00772EC3" w:rsidRPr="004C6A35" w:rsidRDefault="00772EC3" w:rsidP="00DC5B3E">
            <w:pPr>
              <w:spacing w:after="0"/>
              <w:jc w:val="center"/>
              <w:rPr>
                <w:noProof/>
                <w:szCs w:val="24"/>
              </w:rPr>
            </w:pPr>
            <w:r>
              <w:rPr>
                <w:noProof/>
              </w:rPr>
              <w:t>–4,6 %</w:t>
            </w:r>
          </w:p>
        </w:tc>
        <w:tc>
          <w:tcPr>
            <w:tcW w:w="2255" w:type="dxa"/>
            <w:shd w:val="clear" w:color="auto" w:fill="auto"/>
          </w:tcPr>
          <w:p w14:paraId="57C79D2A" w14:textId="77777777" w:rsidR="00772EC3" w:rsidRPr="004C6A35" w:rsidRDefault="00772EC3" w:rsidP="00DC5B3E">
            <w:pPr>
              <w:spacing w:after="0"/>
              <w:jc w:val="center"/>
              <w:rPr>
                <w:noProof/>
                <w:szCs w:val="24"/>
              </w:rPr>
            </w:pPr>
            <w:r>
              <w:rPr>
                <w:noProof/>
              </w:rPr>
              <w:t>4,6 %</w:t>
            </w:r>
          </w:p>
        </w:tc>
        <w:tc>
          <w:tcPr>
            <w:tcW w:w="1804" w:type="dxa"/>
            <w:shd w:val="clear" w:color="auto" w:fill="auto"/>
          </w:tcPr>
          <w:p w14:paraId="1FE53E5C" w14:textId="77777777" w:rsidR="00772EC3" w:rsidRPr="004C6A35" w:rsidRDefault="00772EC3" w:rsidP="00DC5B3E">
            <w:pPr>
              <w:spacing w:after="0"/>
              <w:jc w:val="center"/>
              <w:rPr>
                <w:noProof/>
                <w:szCs w:val="24"/>
              </w:rPr>
            </w:pPr>
            <w:r>
              <w:rPr>
                <w:noProof/>
              </w:rPr>
              <w:t>85,69</w:t>
            </w:r>
          </w:p>
        </w:tc>
      </w:tr>
      <w:tr w:rsidR="00772EC3" w:rsidRPr="004C6A35" w14:paraId="5052FADD" w14:textId="77777777" w:rsidTr="00DC5B3E">
        <w:tc>
          <w:tcPr>
            <w:tcW w:w="1271" w:type="dxa"/>
            <w:shd w:val="clear" w:color="auto" w:fill="auto"/>
          </w:tcPr>
          <w:p w14:paraId="6F24F5C6" w14:textId="77777777" w:rsidR="00772EC3" w:rsidRPr="004C6A35" w:rsidRDefault="00772EC3" w:rsidP="004C6A35">
            <w:pPr>
              <w:spacing w:after="0"/>
              <w:rPr>
                <w:noProof/>
                <w:szCs w:val="24"/>
              </w:rPr>
            </w:pPr>
            <w:r>
              <w:rPr>
                <w:noProof/>
              </w:rPr>
              <w:t>2022–2023</w:t>
            </w:r>
          </w:p>
        </w:tc>
        <w:tc>
          <w:tcPr>
            <w:tcW w:w="1418" w:type="dxa"/>
            <w:shd w:val="clear" w:color="auto" w:fill="auto"/>
          </w:tcPr>
          <w:p w14:paraId="77F5A616" w14:textId="77777777" w:rsidR="00772EC3" w:rsidRPr="004C6A35" w:rsidRDefault="00772EC3" w:rsidP="00DC5B3E">
            <w:pPr>
              <w:spacing w:after="0"/>
              <w:jc w:val="center"/>
              <w:rPr>
                <w:noProof/>
                <w:szCs w:val="24"/>
              </w:rPr>
            </w:pPr>
            <w:r>
              <w:rPr>
                <w:noProof/>
              </w:rPr>
              <w:t>6,4 %</w:t>
            </w:r>
          </w:p>
        </w:tc>
        <w:tc>
          <w:tcPr>
            <w:tcW w:w="2268" w:type="dxa"/>
            <w:shd w:val="clear" w:color="auto" w:fill="auto"/>
          </w:tcPr>
          <w:p w14:paraId="25F18F42" w14:textId="77777777" w:rsidR="00772EC3" w:rsidRPr="004C6A35" w:rsidRDefault="00772EC3" w:rsidP="00DC5B3E">
            <w:pPr>
              <w:spacing w:after="0"/>
              <w:jc w:val="center"/>
              <w:rPr>
                <w:noProof/>
                <w:szCs w:val="24"/>
              </w:rPr>
            </w:pPr>
            <w:r>
              <w:rPr>
                <w:noProof/>
              </w:rPr>
              <w:t>–1,7 %</w:t>
            </w:r>
          </w:p>
        </w:tc>
        <w:tc>
          <w:tcPr>
            <w:tcW w:w="2255" w:type="dxa"/>
            <w:shd w:val="clear" w:color="auto" w:fill="auto"/>
          </w:tcPr>
          <w:p w14:paraId="3F1194CB" w14:textId="77777777" w:rsidR="00772EC3" w:rsidRPr="004C6A35" w:rsidRDefault="00772EC3" w:rsidP="00DC5B3E">
            <w:pPr>
              <w:spacing w:after="0"/>
              <w:jc w:val="center"/>
              <w:rPr>
                <w:noProof/>
                <w:szCs w:val="24"/>
              </w:rPr>
            </w:pPr>
            <w:r>
              <w:rPr>
                <w:noProof/>
              </w:rPr>
              <w:t>4,6 %</w:t>
            </w:r>
          </w:p>
        </w:tc>
        <w:tc>
          <w:tcPr>
            <w:tcW w:w="1804" w:type="dxa"/>
            <w:shd w:val="clear" w:color="auto" w:fill="auto"/>
          </w:tcPr>
          <w:p w14:paraId="208603F8" w14:textId="77777777" w:rsidR="00772EC3" w:rsidRPr="004C6A35" w:rsidRDefault="00772EC3" w:rsidP="00DC5B3E">
            <w:pPr>
              <w:spacing w:after="0"/>
              <w:jc w:val="center"/>
              <w:rPr>
                <w:noProof/>
                <w:szCs w:val="24"/>
              </w:rPr>
            </w:pPr>
            <w:r>
              <w:rPr>
                <w:noProof/>
              </w:rPr>
              <w:t>89,63</w:t>
            </w:r>
          </w:p>
        </w:tc>
      </w:tr>
    </w:tbl>
    <w:p w14:paraId="1A6ECBDA" w14:textId="77777777" w:rsidR="00772EC3" w:rsidRDefault="00772EC3" w:rsidP="00245D7E">
      <w:pPr>
        <w:rPr>
          <w:noProof/>
          <w:szCs w:val="24"/>
        </w:rPr>
      </w:pP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17"/>
        <w:gridCol w:w="1563"/>
        <w:gridCol w:w="2267"/>
        <w:gridCol w:w="2267"/>
      </w:tblGrid>
      <w:tr w:rsidR="00772EC3" w:rsidRPr="004C6A35" w14:paraId="565C08EC" w14:textId="77777777" w:rsidTr="00756462">
        <w:tc>
          <w:tcPr>
            <w:tcW w:w="1413" w:type="dxa"/>
            <w:shd w:val="clear" w:color="auto" w:fill="auto"/>
          </w:tcPr>
          <w:p w14:paraId="1DBC96E4" w14:textId="77777777" w:rsidR="00772EC3" w:rsidRDefault="00772EC3" w:rsidP="004C6A35">
            <w:pPr>
              <w:spacing w:after="0"/>
              <w:rPr>
                <w:noProof/>
                <w:szCs w:val="24"/>
              </w:rPr>
            </w:pPr>
          </w:p>
          <w:p w14:paraId="278F1C53" w14:textId="59F0D12E" w:rsidR="00756462" w:rsidRPr="004C6A35" w:rsidRDefault="00756462" w:rsidP="00756462">
            <w:pPr>
              <w:spacing w:after="0"/>
              <w:jc w:val="center"/>
              <w:rPr>
                <w:noProof/>
                <w:szCs w:val="24"/>
              </w:rPr>
            </w:pPr>
            <w:r>
              <w:rPr>
                <w:noProof/>
              </w:rPr>
              <w:t>(Poplatky v EUR)</w:t>
            </w:r>
          </w:p>
        </w:tc>
        <w:tc>
          <w:tcPr>
            <w:tcW w:w="1417" w:type="dxa"/>
            <w:shd w:val="clear" w:color="auto" w:fill="auto"/>
          </w:tcPr>
          <w:p w14:paraId="383E637C" w14:textId="79CB7CDA" w:rsidR="00772EC3" w:rsidRPr="00756462" w:rsidRDefault="00772EC3" w:rsidP="003D0F28">
            <w:pPr>
              <w:spacing w:after="0"/>
              <w:jc w:val="center"/>
              <w:rPr>
                <w:b/>
                <w:bCs/>
                <w:noProof/>
                <w:szCs w:val="24"/>
              </w:rPr>
            </w:pPr>
            <w:r>
              <w:rPr>
                <w:b/>
                <w:noProof/>
              </w:rPr>
              <w:t>Snížený vízový poplatek pro děti</w:t>
            </w:r>
          </w:p>
        </w:tc>
        <w:tc>
          <w:tcPr>
            <w:tcW w:w="1560" w:type="dxa"/>
            <w:shd w:val="clear" w:color="auto" w:fill="auto"/>
          </w:tcPr>
          <w:p w14:paraId="4C7B62E3" w14:textId="4F5528CD" w:rsidR="00772EC3" w:rsidRPr="00756462" w:rsidRDefault="00772EC3" w:rsidP="003D0F28">
            <w:pPr>
              <w:spacing w:after="0"/>
              <w:jc w:val="center"/>
              <w:rPr>
                <w:b/>
                <w:bCs/>
                <w:noProof/>
                <w:szCs w:val="24"/>
              </w:rPr>
            </w:pPr>
            <w:r>
              <w:rPr>
                <w:b/>
                <w:noProof/>
              </w:rPr>
              <w:t>Vízový poplatek podle dohody o zjednodušení vízového režimu pro kapverdské státní příslušníky</w:t>
            </w:r>
          </w:p>
        </w:tc>
        <w:tc>
          <w:tcPr>
            <w:tcW w:w="2268" w:type="dxa"/>
            <w:shd w:val="clear" w:color="auto" w:fill="auto"/>
          </w:tcPr>
          <w:p w14:paraId="348D8C50" w14:textId="2B1166B0" w:rsidR="00772EC3" w:rsidRPr="00756462" w:rsidRDefault="00772EC3" w:rsidP="003D0F28">
            <w:pPr>
              <w:spacing w:after="0"/>
              <w:jc w:val="center"/>
              <w:rPr>
                <w:b/>
                <w:bCs/>
                <w:noProof/>
                <w:szCs w:val="24"/>
              </w:rPr>
            </w:pPr>
            <w:r>
              <w:rPr>
                <w:b/>
                <w:noProof/>
              </w:rPr>
              <w:t>Zvýšený vízový poplatek v důsledku prováděcího rozhodnutí Rady (1)</w:t>
            </w:r>
          </w:p>
        </w:tc>
        <w:tc>
          <w:tcPr>
            <w:tcW w:w="2268" w:type="dxa"/>
            <w:shd w:val="clear" w:color="auto" w:fill="auto"/>
          </w:tcPr>
          <w:p w14:paraId="354C977B" w14:textId="2DBD74FC" w:rsidR="00772EC3" w:rsidRPr="00756462" w:rsidRDefault="00772EC3" w:rsidP="003D0F28">
            <w:pPr>
              <w:spacing w:after="0"/>
              <w:jc w:val="center"/>
              <w:rPr>
                <w:b/>
                <w:bCs/>
                <w:noProof/>
                <w:szCs w:val="24"/>
              </w:rPr>
            </w:pPr>
            <w:r>
              <w:rPr>
                <w:b/>
                <w:noProof/>
              </w:rPr>
              <w:t>Zvýšený vízový poplatek v důsledku prováděcího rozhodnutí Rady (2)</w:t>
            </w:r>
          </w:p>
        </w:tc>
      </w:tr>
      <w:tr w:rsidR="00772EC3" w:rsidRPr="004C6A35" w14:paraId="0686E981" w14:textId="77777777" w:rsidTr="00756462">
        <w:tc>
          <w:tcPr>
            <w:tcW w:w="1413" w:type="dxa"/>
            <w:shd w:val="clear" w:color="auto" w:fill="auto"/>
          </w:tcPr>
          <w:p w14:paraId="23CF2B44" w14:textId="77777777" w:rsidR="00772EC3" w:rsidRPr="004C6A35" w:rsidRDefault="00772EC3" w:rsidP="004C6A35">
            <w:pPr>
              <w:spacing w:after="0"/>
              <w:rPr>
                <w:noProof/>
                <w:szCs w:val="24"/>
              </w:rPr>
            </w:pPr>
            <w:r>
              <w:rPr>
                <w:noProof/>
              </w:rPr>
              <w:t>Zahájení</w:t>
            </w:r>
          </w:p>
        </w:tc>
        <w:tc>
          <w:tcPr>
            <w:tcW w:w="1417" w:type="dxa"/>
            <w:shd w:val="clear" w:color="auto" w:fill="auto"/>
          </w:tcPr>
          <w:p w14:paraId="5DBB87E6" w14:textId="77777777" w:rsidR="00772EC3" w:rsidRPr="004C6A35" w:rsidRDefault="00772EC3" w:rsidP="003D0F28">
            <w:pPr>
              <w:spacing w:after="0"/>
              <w:jc w:val="center"/>
              <w:rPr>
                <w:noProof/>
                <w:szCs w:val="24"/>
              </w:rPr>
            </w:pPr>
            <w:r>
              <w:rPr>
                <w:noProof/>
              </w:rPr>
              <w:t>40,00</w:t>
            </w:r>
          </w:p>
        </w:tc>
        <w:tc>
          <w:tcPr>
            <w:tcW w:w="1560" w:type="dxa"/>
            <w:shd w:val="clear" w:color="auto" w:fill="auto"/>
          </w:tcPr>
          <w:p w14:paraId="7E59653B" w14:textId="77777777" w:rsidR="00772EC3" w:rsidRPr="004C6A35" w:rsidRDefault="00772EC3" w:rsidP="003D0F28">
            <w:pPr>
              <w:spacing w:after="0"/>
              <w:jc w:val="center"/>
              <w:rPr>
                <w:noProof/>
                <w:szCs w:val="24"/>
              </w:rPr>
            </w:pPr>
            <w:r>
              <w:rPr>
                <w:noProof/>
              </w:rPr>
              <w:t>60,00</w:t>
            </w:r>
          </w:p>
        </w:tc>
        <w:tc>
          <w:tcPr>
            <w:tcW w:w="2268" w:type="dxa"/>
            <w:shd w:val="clear" w:color="auto" w:fill="auto"/>
          </w:tcPr>
          <w:p w14:paraId="468D911A" w14:textId="77777777" w:rsidR="00772EC3" w:rsidRPr="004C6A35" w:rsidRDefault="00772EC3" w:rsidP="003D0F28">
            <w:pPr>
              <w:spacing w:after="0"/>
              <w:jc w:val="center"/>
              <w:rPr>
                <w:noProof/>
                <w:szCs w:val="24"/>
              </w:rPr>
            </w:pPr>
            <w:r>
              <w:rPr>
                <w:noProof/>
              </w:rPr>
              <w:t>120,00</w:t>
            </w:r>
          </w:p>
        </w:tc>
        <w:tc>
          <w:tcPr>
            <w:tcW w:w="2268" w:type="dxa"/>
            <w:shd w:val="clear" w:color="auto" w:fill="auto"/>
          </w:tcPr>
          <w:p w14:paraId="40047846" w14:textId="77777777" w:rsidR="00772EC3" w:rsidRPr="004C6A35" w:rsidRDefault="00772EC3" w:rsidP="003D0F28">
            <w:pPr>
              <w:spacing w:after="0"/>
              <w:jc w:val="center"/>
              <w:rPr>
                <w:noProof/>
                <w:szCs w:val="24"/>
              </w:rPr>
            </w:pPr>
            <w:r>
              <w:rPr>
                <w:noProof/>
              </w:rPr>
              <w:t>160,00</w:t>
            </w:r>
          </w:p>
        </w:tc>
      </w:tr>
      <w:tr w:rsidR="00772EC3" w:rsidRPr="004C6A35" w14:paraId="1F18F35D" w14:textId="77777777" w:rsidTr="00756462">
        <w:tc>
          <w:tcPr>
            <w:tcW w:w="1413" w:type="dxa"/>
            <w:shd w:val="clear" w:color="auto" w:fill="auto"/>
          </w:tcPr>
          <w:p w14:paraId="00B8A5B3" w14:textId="77777777" w:rsidR="00772EC3" w:rsidRPr="004C6A35" w:rsidRDefault="00772EC3" w:rsidP="004C6A35">
            <w:pPr>
              <w:spacing w:after="0"/>
              <w:rPr>
                <w:noProof/>
                <w:szCs w:val="24"/>
              </w:rPr>
            </w:pPr>
            <w:r>
              <w:rPr>
                <w:noProof/>
              </w:rPr>
              <w:t>2020–2021</w:t>
            </w:r>
          </w:p>
        </w:tc>
        <w:tc>
          <w:tcPr>
            <w:tcW w:w="1417" w:type="dxa"/>
            <w:shd w:val="clear" w:color="auto" w:fill="auto"/>
          </w:tcPr>
          <w:p w14:paraId="46B98178" w14:textId="77777777" w:rsidR="00772EC3" w:rsidRPr="004C6A35" w:rsidRDefault="00772EC3" w:rsidP="003D0F28">
            <w:pPr>
              <w:spacing w:after="0"/>
              <w:jc w:val="center"/>
              <w:rPr>
                <w:noProof/>
                <w:szCs w:val="24"/>
              </w:rPr>
            </w:pPr>
            <w:r>
              <w:rPr>
                <w:noProof/>
              </w:rPr>
              <w:t>40,96</w:t>
            </w:r>
          </w:p>
        </w:tc>
        <w:tc>
          <w:tcPr>
            <w:tcW w:w="1560" w:type="dxa"/>
            <w:shd w:val="clear" w:color="auto" w:fill="auto"/>
          </w:tcPr>
          <w:p w14:paraId="55A8B056" w14:textId="77777777" w:rsidR="00772EC3" w:rsidRPr="004C6A35" w:rsidRDefault="00772EC3" w:rsidP="003D0F28">
            <w:pPr>
              <w:spacing w:after="0"/>
              <w:jc w:val="center"/>
              <w:rPr>
                <w:noProof/>
                <w:szCs w:val="24"/>
              </w:rPr>
            </w:pPr>
            <w:r>
              <w:rPr>
                <w:noProof/>
              </w:rPr>
              <w:t>61,44</w:t>
            </w:r>
          </w:p>
        </w:tc>
        <w:tc>
          <w:tcPr>
            <w:tcW w:w="2268" w:type="dxa"/>
            <w:shd w:val="clear" w:color="auto" w:fill="auto"/>
          </w:tcPr>
          <w:p w14:paraId="4381AD15" w14:textId="77777777" w:rsidR="00772EC3" w:rsidRPr="004C6A35" w:rsidRDefault="00772EC3" w:rsidP="003D0F28">
            <w:pPr>
              <w:spacing w:after="0"/>
              <w:jc w:val="center"/>
              <w:rPr>
                <w:noProof/>
                <w:szCs w:val="24"/>
              </w:rPr>
            </w:pPr>
            <w:r>
              <w:rPr>
                <w:noProof/>
              </w:rPr>
              <w:t>122,88</w:t>
            </w:r>
          </w:p>
        </w:tc>
        <w:tc>
          <w:tcPr>
            <w:tcW w:w="2268" w:type="dxa"/>
            <w:shd w:val="clear" w:color="auto" w:fill="auto"/>
          </w:tcPr>
          <w:p w14:paraId="60D9D04D" w14:textId="77777777" w:rsidR="00772EC3" w:rsidRPr="004C6A35" w:rsidRDefault="00772EC3" w:rsidP="003D0F28">
            <w:pPr>
              <w:spacing w:after="0"/>
              <w:jc w:val="center"/>
              <w:rPr>
                <w:noProof/>
                <w:szCs w:val="24"/>
              </w:rPr>
            </w:pPr>
            <w:r>
              <w:rPr>
                <w:noProof/>
              </w:rPr>
              <w:t>163,84</w:t>
            </w:r>
          </w:p>
        </w:tc>
      </w:tr>
      <w:tr w:rsidR="00772EC3" w:rsidRPr="004C6A35" w14:paraId="03EF56A3" w14:textId="77777777" w:rsidTr="00756462">
        <w:tc>
          <w:tcPr>
            <w:tcW w:w="1413" w:type="dxa"/>
            <w:shd w:val="clear" w:color="auto" w:fill="auto"/>
          </w:tcPr>
          <w:p w14:paraId="1B3D0503" w14:textId="77777777" w:rsidR="00772EC3" w:rsidRPr="004C6A35" w:rsidRDefault="00772EC3" w:rsidP="004C6A35">
            <w:pPr>
              <w:spacing w:after="0"/>
              <w:rPr>
                <w:noProof/>
                <w:szCs w:val="24"/>
              </w:rPr>
            </w:pPr>
            <w:r>
              <w:rPr>
                <w:noProof/>
              </w:rPr>
              <w:t>2021–2022</w:t>
            </w:r>
          </w:p>
        </w:tc>
        <w:tc>
          <w:tcPr>
            <w:tcW w:w="1417" w:type="dxa"/>
            <w:shd w:val="clear" w:color="auto" w:fill="auto"/>
          </w:tcPr>
          <w:p w14:paraId="0EF60FD8" w14:textId="77777777" w:rsidR="00772EC3" w:rsidRPr="004C6A35" w:rsidRDefault="00772EC3" w:rsidP="003D0F28">
            <w:pPr>
              <w:spacing w:after="0"/>
              <w:jc w:val="center"/>
              <w:rPr>
                <w:noProof/>
                <w:szCs w:val="24"/>
              </w:rPr>
            </w:pPr>
            <w:r>
              <w:rPr>
                <w:noProof/>
              </w:rPr>
              <w:t>42,84</w:t>
            </w:r>
          </w:p>
        </w:tc>
        <w:tc>
          <w:tcPr>
            <w:tcW w:w="1560" w:type="dxa"/>
            <w:shd w:val="clear" w:color="auto" w:fill="auto"/>
          </w:tcPr>
          <w:p w14:paraId="10CA9D73" w14:textId="77777777" w:rsidR="00772EC3" w:rsidRPr="004C6A35" w:rsidRDefault="00772EC3" w:rsidP="003D0F28">
            <w:pPr>
              <w:spacing w:after="0"/>
              <w:jc w:val="center"/>
              <w:rPr>
                <w:noProof/>
                <w:szCs w:val="24"/>
              </w:rPr>
            </w:pPr>
            <w:r>
              <w:rPr>
                <w:noProof/>
              </w:rPr>
              <w:t>64,26</w:t>
            </w:r>
          </w:p>
        </w:tc>
        <w:tc>
          <w:tcPr>
            <w:tcW w:w="2268" w:type="dxa"/>
            <w:shd w:val="clear" w:color="auto" w:fill="auto"/>
          </w:tcPr>
          <w:p w14:paraId="4806FF4C" w14:textId="77777777" w:rsidR="00772EC3" w:rsidRPr="004C6A35" w:rsidRDefault="00772EC3" w:rsidP="003D0F28">
            <w:pPr>
              <w:spacing w:after="0"/>
              <w:jc w:val="center"/>
              <w:rPr>
                <w:noProof/>
                <w:szCs w:val="24"/>
              </w:rPr>
            </w:pPr>
            <w:r>
              <w:rPr>
                <w:noProof/>
              </w:rPr>
              <w:t>128,53</w:t>
            </w:r>
          </w:p>
        </w:tc>
        <w:tc>
          <w:tcPr>
            <w:tcW w:w="2268" w:type="dxa"/>
            <w:shd w:val="clear" w:color="auto" w:fill="auto"/>
          </w:tcPr>
          <w:p w14:paraId="4F7CDB21" w14:textId="77777777" w:rsidR="00772EC3" w:rsidRPr="004C6A35" w:rsidRDefault="00772EC3" w:rsidP="003D0F28">
            <w:pPr>
              <w:spacing w:after="0"/>
              <w:jc w:val="center"/>
              <w:rPr>
                <w:noProof/>
                <w:szCs w:val="24"/>
              </w:rPr>
            </w:pPr>
            <w:r>
              <w:rPr>
                <w:noProof/>
              </w:rPr>
              <w:t>171,38</w:t>
            </w:r>
          </w:p>
        </w:tc>
      </w:tr>
      <w:tr w:rsidR="00772EC3" w:rsidRPr="004C6A35" w14:paraId="3B9BFE2C" w14:textId="77777777" w:rsidTr="00756462">
        <w:tc>
          <w:tcPr>
            <w:tcW w:w="1413" w:type="dxa"/>
            <w:shd w:val="clear" w:color="auto" w:fill="auto"/>
          </w:tcPr>
          <w:p w14:paraId="0FDB4FEF" w14:textId="77777777" w:rsidR="00772EC3" w:rsidRPr="004C6A35" w:rsidRDefault="00772EC3" w:rsidP="004C6A35">
            <w:pPr>
              <w:spacing w:after="0"/>
              <w:rPr>
                <w:noProof/>
                <w:szCs w:val="24"/>
              </w:rPr>
            </w:pPr>
            <w:r>
              <w:rPr>
                <w:noProof/>
              </w:rPr>
              <w:t>2022–2023</w:t>
            </w:r>
          </w:p>
        </w:tc>
        <w:tc>
          <w:tcPr>
            <w:tcW w:w="1417" w:type="dxa"/>
            <w:shd w:val="clear" w:color="auto" w:fill="auto"/>
          </w:tcPr>
          <w:p w14:paraId="6B963773" w14:textId="77777777" w:rsidR="00772EC3" w:rsidRPr="004C6A35" w:rsidRDefault="00772EC3" w:rsidP="003D0F28">
            <w:pPr>
              <w:spacing w:after="0"/>
              <w:jc w:val="center"/>
              <w:rPr>
                <w:noProof/>
                <w:szCs w:val="24"/>
              </w:rPr>
            </w:pPr>
            <w:r>
              <w:rPr>
                <w:noProof/>
              </w:rPr>
              <w:t>44,81</w:t>
            </w:r>
          </w:p>
        </w:tc>
        <w:tc>
          <w:tcPr>
            <w:tcW w:w="1560" w:type="dxa"/>
            <w:shd w:val="clear" w:color="auto" w:fill="auto"/>
          </w:tcPr>
          <w:p w14:paraId="7CDA1662" w14:textId="77777777" w:rsidR="00772EC3" w:rsidRPr="004C6A35" w:rsidRDefault="00772EC3" w:rsidP="003D0F28">
            <w:pPr>
              <w:spacing w:after="0"/>
              <w:jc w:val="center"/>
              <w:rPr>
                <w:noProof/>
                <w:szCs w:val="24"/>
              </w:rPr>
            </w:pPr>
            <w:r>
              <w:rPr>
                <w:noProof/>
              </w:rPr>
              <w:t>67,22</w:t>
            </w:r>
          </w:p>
        </w:tc>
        <w:tc>
          <w:tcPr>
            <w:tcW w:w="2268" w:type="dxa"/>
            <w:shd w:val="clear" w:color="auto" w:fill="auto"/>
          </w:tcPr>
          <w:p w14:paraId="5599A51C" w14:textId="77777777" w:rsidR="00772EC3" w:rsidRPr="004C6A35" w:rsidRDefault="00772EC3" w:rsidP="003D0F28">
            <w:pPr>
              <w:spacing w:after="0"/>
              <w:jc w:val="center"/>
              <w:rPr>
                <w:noProof/>
                <w:szCs w:val="24"/>
              </w:rPr>
            </w:pPr>
            <w:r>
              <w:rPr>
                <w:noProof/>
              </w:rPr>
              <w:t>134,44</w:t>
            </w:r>
          </w:p>
        </w:tc>
        <w:tc>
          <w:tcPr>
            <w:tcW w:w="2268" w:type="dxa"/>
            <w:shd w:val="clear" w:color="auto" w:fill="auto"/>
          </w:tcPr>
          <w:p w14:paraId="02601897" w14:textId="77777777" w:rsidR="00772EC3" w:rsidRPr="004C6A35" w:rsidRDefault="00772EC3" w:rsidP="003D0F28">
            <w:pPr>
              <w:spacing w:after="0"/>
              <w:jc w:val="center"/>
              <w:rPr>
                <w:noProof/>
                <w:szCs w:val="24"/>
              </w:rPr>
            </w:pPr>
            <w:r>
              <w:rPr>
                <w:noProof/>
              </w:rPr>
              <w:t>179,26</w:t>
            </w:r>
          </w:p>
        </w:tc>
      </w:tr>
    </w:tbl>
    <w:p w14:paraId="462A8A3D" w14:textId="77777777" w:rsidR="003D0F28" w:rsidRDefault="003D0F28" w:rsidP="00245D7E">
      <w:pPr>
        <w:rPr>
          <w:noProof/>
          <w:szCs w:val="24"/>
        </w:rPr>
      </w:pPr>
    </w:p>
    <w:p w14:paraId="4AE3E648" w14:textId="359592B9" w:rsidR="00772EC3" w:rsidRPr="002B53CC" w:rsidRDefault="00772EC3" w:rsidP="00245D7E">
      <w:pPr>
        <w:rPr>
          <w:noProof/>
          <w:szCs w:val="24"/>
        </w:rPr>
      </w:pPr>
      <w:r>
        <w:rPr>
          <w:noProof/>
        </w:rPr>
        <w:t>Rok „zahájení“ je stanoven na rok 2020, neboť se jedná o rok, kdy se stávající mechanismus pro revizi vízového poplatku stal použitelným.</w:t>
      </w:r>
    </w:p>
    <w:p w14:paraId="1A828ECA" w14:textId="026620D6" w:rsidR="00772EC3" w:rsidRDefault="00772EC3" w:rsidP="003D0F28">
      <w:pPr>
        <w:pStyle w:val="Heading1"/>
        <w:rPr>
          <w:noProof/>
        </w:rPr>
      </w:pPr>
      <w:r>
        <w:rPr>
          <w:noProof/>
        </w:rPr>
        <w:t>Posouzení a dopad</w:t>
      </w:r>
    </w:p>
    <w:p w14:paraId="1DAC94A1" w14:textId="77777777" w:rsidR="00772EC3" w:rsidRDefault="00772EC3" w:rsidP="00245D7E">
      <w:pPr>
        <w:rPr>
          <w:noProof/>
          <w:szCs w:val="24"/>
        </w:rPr>
      </w:pPr>
      <w:r>
        <w:rPr>
          <w:noProof/>
        </w:rPr>
        <w:t>Výsledkem výpočtu revize poplatku je zvýšení poplatku z 80 EUR na 90 EUR pro dospělé, ze 40 EUR na 45 EUR pro děti a ze 120 EUR na 135 EUR, respektive ze 160 EUR na 180 EUR, jestliže Rada přijala prováděcí rozhodnutí podle čl. 25a odst. 5 písm. b) z důvodu nedostatečné spolupráce v oblasti zpětného přebírání osob. Poplatek pro státní příslušníky Kapverd v rámci příslušné dohody o zjednodušení vízového režimu by se zvýšil z 60 EUR na 67,50 EUR. Maximální poplatek za služby účtované externími poskytovateli služeb by se zvýšil ze 40 EUR na 45 EUR. To odpovídá plošnému zvýšení poplatku o 12,5 % za tři roky.</w:t>
      </w:r>
    </w:p>
    <w:p w14:paraId="00CEB5A4" w14:textId="77777777" w:rsidR="00772EC3" w:rsidRDefault="00772EC3" w:rsidP="00245D7E">
      <w:pPr>
        <w:rPr>
          <w:noProof/>
          <w:szCs w:val="24"/>
        </w:rPr>
      </w:pPr>
      <w:r>
        <w:rPr>
          <w:noProof/>
        </w:rPr>
        <w:t>Na základě interních výpočtů by zvýšení vízového poplatku o 12,5 % vedlo k předpokládanému dodatečnému příjmu ve výši přibližně 71 milionů EUR pro všechny členské státy</w:t>
      </w:r>
      <w:r>
        <w:rPr>
          <w:rStyle w:val="FootnoteReference"/>
          <w:noProof/>
          <w:szCs w:val="24"/>
        </w:rPr>
        <w:footnoteReference w:id="14"/>
      </w:r>
      <w:r>
        <w:rPr>
          <w:noProof/>
        </w:rPr>
        <w:t xml:space="preserve">. </w:t>
      </w:r>
    </w:p>
    <w:p w14:paraId="151AFD31" w14:textId="77777777" w:rsidR="00772EC3" w:rsidRDefault="00772EC3" w:rsidP="00245D7E">
      <w:pPr>
        <w:rPr>
          <w:noProof/>
          <w:szCs w:val="24"/>
        </w:rPr>
      </w:pPr>
      <w:r>
        <w:rPr>
          <w:noProof/>
        </w:rPr>
        <w:t>Komise zvažovala, zda je vhodné přijmout akt v přenesené pravomoci, kterým se mění vízové poplatky, přezkoumáním poplatků účtovaných za vízové služby v jurisdikcích mimo EU. Ve srovnání s většinou ostatních velkých cílových zemí je cena schengenského víza stále poměrně nízká. Spojené státy například nedávno zvýšily vízové poplatky ze 160 USD na 185 USD, což představuje zvýšení vízového poplatku o 15 %</w:t>
      </w:r>
      <w:r>
        <w:rPr>
          <w:rStyle w:val="FootnoteReference"/>
          <w:noProof/>
          <w:szCs w:val="24"/>
        </w:rPr>
        <w:footnoteReference w:id="15"/>
      </w:r>
      <w:r>
        <w:rPr>
          <w:noProof/>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78"/>
        <w:gridCol w:w="2892"/>
      </w:tblGrid>
      <w:tr w:rsidR="00772EC3" w:rsidRPr="004C6A35" w14:paraId="4A03AEB6" w14:textId="77777777" w:rsidTr="003D0F28">
        <w:tc>
          <w:tcPr>
            <w:tcW w:w="1838" w:type="dxa"/>
            <w:shd w:val="clear" w:color="auto" w:fill="auto"/>
          </w:tcPr>
          <w:p w14:paraId="2F904739" w14:textId="77777777" w:rsidR="00772EC3" w:rsidRPr="004C6A35" w:rsidRDefault="00772EC3" w:rsidP="004C6A35">
            <w:pPr>
              <w:spacing w:after="0"/>
              <w:rPr>
                <w:b/>
                <w:bCs/>
                <w:noProof/>
                <w:szCs w:val="24"/>
              </w:rPr>
            </w:pPr>
            <w:r>
              <w:rPr>
                <w:b/>
                <w:noProof/>
              </w:rPr>
              <w:t>Země</w:t>
            </w:r>
          </w:p>
        </w:tc>
        <w:tc>
          <w:tcPr>
            <w:tcW w:w="3878" w:type="dxa"/>
            <w:shd w:val="clear" w:color="auto" w:fill="auto"/>
          </w:tcPr>
          <w:p w14:paraId="4D092295" w14:textId="77777777" w:rsidR="00772EC3" w:rsidRPr="004C6A35" w:rsidRDefault="00772EC3" w:rsidP="003D0F28">
            <w:pPr>
              <w:spacing w:after="0"/>
              <w:jc w:val="left"/>
              <w:rPr>
                <w:b/>
                <w:bCs/>
                <w:noProof/>
                <w:szCs w:val="24"/>
              </w:rPr>
            </w:pPr>
            <w:r>
              <w:rPr>
                <w:b/>
                <w:noProof/>
              </w:rPr>
              <w:t>Poplatek v národní měně</w:t>
            </w:r>
          </w:p>
        </w:tc>
        <w:tc>
          <w:tcPr>
            <w:tcW w:w="2892" w:type="dxa"/>
            <w:shd w:val="clear" w:color="auto" w:fill="auto"/>
          </w:tcPr>
          <w:p w14:paraId="728095E7" w14:textId="77777777" w:rsidR="00772EC3" w:rsidRPr="004C6A35" w:rsidRDefault="00772EC3" w:rsidP="003D0F28">
            <w:pPr>
              <w:spacing w:after="0"/>
              <w:jc w:val="left"/>
              <w:rPr>
                <w:b/>
                <w:bCs/>
                <w:noProof/>
                <w:szCs w:val="24"/>
              </w:rPr>
            </w:pPr>
            <w:r>
              <w:rPr>
                <w:b/>
                <w:noProof/>
              </w:rPr>
              <w:t>Přibližné poplatky v EUR</w:t>
            </w:r>
          </w:p>
        </w:tc>
      </w:tr>
      <w:tr w:rsidR="00772EC3" w:rsidRPr="004C6A35" w14:paraId="3F109232" w14:textId="77777777" w:rsidTr="003D0F28">
        <w:tc>
          <w:tcPr>
            <w:tcW w:w="1838" w:type="dxa"/>
            <w:shd w:val="clear" w:color="auto" w:fill="auto"/>
          </w:tcPr>
          <w:p w14:paraId="0A525642" w14:textId="77777777" w:rsidR="00772EC3" w:rsidRPr="004C6A35" w:rsidRDefault="00772EC3" w:rsidP="004C6A35">
            <w:pPr>
              <w:spacing w:after="0"/>
              <w:rPr>
                <w:noProof/>
                <w:szCs w:val="24"/>
              </w:rPr>
            </w:pPr>
            <w:r>
              <w:rPr>
                <w:noProof/>
              </w:rPr>
              <w:t>USA</w:t>
            </w:r>
          </w:p>
        </w:tc>
        <w:tc>
          <w:tcPr>
            <w:tcW w:w="3878" w:type="dxa"/>
            <w:shd w:val="clear" w:color="auto" w:fill="auto"/>
          </w:tcPr>
          <w:p w14:paraId="13C3E929" w14:textId="77777777" w:rsidR="00772EC3" w:rsidRPr="004C6A35" w:rsidRDefault="00772EC3" w:rsidP="003D0F28">
            <w:pPr>
              <w:spacing w:after="0"/>
              <w:jc w:val="left"/>
              <w:rPr>
                <w:noProof/>
                <w:szCs w:val="24"/>
              </w:rPr>
            </w:pPr>
            <w:r>
              <w:rPr>
                <w:noProof/>
              </w:rPr>
              <w:t>185 (USD)</w:t>
            </w:r>
          </w:p>
        </w:tc>
        <w:tc>
          <w:tcPr>
            <w:tcW w:w="2892" w:type="dxa"/>
            <w:shd w:val="clear" w:color="auto" w:fill="auto"/>
          </w:tcPr>
          <w:p w14:paraId="5DD492CC" w14:textId="77777777" w:rsidR="00772EC3" w:rsidRPr="004C6A35" w:rsidRDefault="00772EC3" w:rsidP="003D0F28">
            <w:pPr>
              <w:spacing w:after="0"/>
              <w:jc w:val="left"/>
              <w:rPr>
                <w:noProof/>
                <w:szCs w:val="24"/>
              </w:rPr>
            </w:pPr>
            <w:r>
              <w:rPr>
                <w:noProof/>
              </w:rPr>
              <w:t>172</w:t>
            </w:r>
          </w:p>
        </w:tc>
      </w:tr>
      <w:tr w:rsidR="00772EC3" w:rsidRPr="004C6A35" w14:paraId="7EFC48EF" w14:textId="77777777" w:rsidTr="003D0F28">
        <w:tc>
          <w:tcPr>
            <w:tcW w:w="1838" w:type="dxa"/>
            <w:shd w:val="clear" w:color="auto" w:fill="auto"/>
          </w:tcPr>
          <w:p w14:paraId="79C56C31" w14:textId="77777777" w:rsidR="00772EC3" w:rsidRPr="004C6A35" w:rsidRDefault="00772EC3" w:rsidP="004C6A35">
            <w:pPr>
              <w:spacing w:after="0"/>
              <w:rPr>
                <w:noProof/>
                <w:szCs w:val="24"/>
              </w:rPr>
            </w:pPr>
            <w:r>
              <w:rPr>
                <w:noProof/>
              </w:rPr>
              <w:t>Spojené království</w:t>
            </w:r>
          </w:p>
        </w:tc>
        <w:tc>
          <w:tcPr>
            <w:tcW w:w="3878" w:type="dxa"/>
            <w:shd w:val="clear" w:color="auto" w:fill="auto"/>
          </w:tcPr>
          <w:p w14:paraId="25D48073" w14:textId="77777777" w:rsidR="00772EC3" w:rsidRPr="004C6A35" w:rsidRDefault="00772EC3" w:rsidP="003D0F28">
            <w:pPr>
              <w:spacing w:after="0"/>
              <w:jc w:val="left"/>
              <w:rPr>
                <w:noProof/>
                <w:szCs w:val="24"/>
              </w:rPr>
            </w:pPr>
            <w:r>
              <w:rPr>
                <w:noProof/>
              </w:rPr>
              <w:t>115–771, v závislosti na délce platnosti (GBP)</w:t>
            </w:r>
          </w:p>
        </w:tc>
        <w:tc>
          <w:tcPr>
            <w:tcW w:w="2892" w:type="dxa"/>
            <w:shd w:val="clear" w:color="auto" w:fill="auto"/>
          </w:tcPr>
          <w:p w14:paraId="64507DF0" w14:textId="77777777" w:rsidR="00772EC3" w:rsidRPr="004C6A35" w:rsidRDefault="00772EC3" w:rsidP="003D0F28">
            <w:pPr>
              <w:spacing w:after="0"/>
              <w:jc w:val="left"/>
              <w:rPr>
                <w:noProof/>
                <w:szCs w:val="24"/>
              </w:rPr>
            </w:pPr>
            <w:r>
              <w:rPr>
                <w:noProof/>
              </w:rPr>
              <w:t>135–900</w:t>
            </w:r>
          </w:p>
        </w:tc>
      </w:tr>
      <w:tr w:rsidR="00772EC3" w:rsidRPr="004C6A35" w14:paraId="494653BC" w14:textId="77777777" w:rsidTr="003D0F28">
        <w:tc>
          <w:tcPr>
            <w:tcW w:w="1838" w:type="dxa"/>
            <w:shd w:val="clear" w:color="auto" w:fill="auto"/>
          </w:tcPr>
          <w:p w14:paraId="2F86F67B" w14:textId="77777777" w:rsidR="00772EC3" w:rsidRPr="004C6A35" w:rsidRDefault="00772EC3" w:rsidP="004C6A35">
            <w:pPr>
              <w:spacing w:after="0"/>
              <w:rPr>
                <w:noProof/>
                <w:szCs w:val="24"/>
              </w:rPr>
            </w:pPr>
            <w:r>
              <w:rPr>
                <w:noProof/>
              </w:rPr>
              <w:t>Kanada</w:t>
            </w:r>
          </w:p>
        </w:tc>
        <w:tc>
          <w:tcPr>
            <w:tcW w:w="3878" w:type="dxa"/>
            <w:shd w:val="clear" w:color="auto" w:fill="auto"/>
          </w:tcPr>
          <w:p w14:paraId="67AA97AF" w14:textId="77777777" w:rsidR="00772EC3" w:rsidRPr="004C6A35" w:rsidRDefault="00772EC3" w:rsidP="003D0F28">
            <w:pPr>
              <w:spacing w:after="0"/>
              <w:jc w:val="left"/>
              <w:rPr>
                <w:noProof/>
                <w:szCs w:val="24"/>
              </w:rPr>
            </w:pPr>
            <w:r>
              <w:rPr>
                <w:noProof/>
              </w:rPr>
              <w:t>100 + 85 poplatek za biometrické údaje (CAD)</w:t>
            </w:r>
          </w:p>
        </w:tc>
        <w:tc>
          <w:tcPr>
            <w:tcW w:w="2892" w:type="dxa"/>
            <w:shd w:val="clear" w:color="auto" w:fill="auto"/>
          </w:tcPr>
          <w:p w14:paraId="168A0DF6" w14:textId="77777777" w:rsidR="00772EC3" w:rsidRPr="004C6A35" w:rsidRDefault="00772EC3" w:rsidP="003D0F28">
            <w:pPr>
              <w:spacing w:after="0"/>
              <w:jc w:val="left"/>
              <w:rPr>
                <w:noProof/>
                <w:szCs w:val="24"/>
              </w:rPr>
            </w:pPr>
            <w:r>
              <w:rPr>
                <w:noProof/>
              </w:rPr>
              <w:t>130</w:t>
            </w:r>
          </w:p>
        </w:tc>
      </w:tr>
      <w:tr w:rsidR="00772EC3" w:rsidRPr="004C6A35" w14:paraId="0C5B8CC1" w14:textId="77777777" w:rsidTr="003D0F28">
        <w:tc>
          <w:tcPr>
            <w:tcW w:w="1838" w:type="dxa"/>
            <w:shd w:val="clear" w:color="auto" w:fill="auto"/>
          </w:tcPr>
          <w:p w14:paraId="2A072412" w14:textId="77777777" w:rsidR="00772EC3" w:rsidRPr="004C6A35" w:rsidRDefault="00772EC3" w:rsidP="004C6A35">
            <w:pPr>
              <w:spacing w:after="0"/>
              <w:rPr>
                <w:noProof/>
                <w:szCs w:val="24"/>
              </w:rPr>
            </w:pPr>
            <w:r>
              <w:rPr>
                <w:noProof/>
              </w:rPr>
              <w:t>Austrálie</w:t>
            </w:r>
          </w:p>
        </w:tc>
        <w:tc>
          <w:tcPr>
            <w:tcW w:w="3878" w:type="dxa"/>
            <w:shd w:val="clear" w:color="auto" w:fill="auto"/>
          </w:tcPr>
          <w:p w14:paraId="6EFF9908" w14:textId="77777777" w:rsidR="00772EC3" w:rsidRPr="004C6A35" w:rsidRDefault="00772EC3" w:rsidP="003D0F28">
            <w:pPr>
              <w:spacing w:after="0"/>
              <w:jc w:val="left"/>
              <w:rPr>
                <w:noProof/>
                <w:szCs w:val="24"/>
              </w:rPr>
            </w:pPr>
            <w:r>
              <w:rPr>
                <w:noProof/>
              </w:rPr>
              <w:t>190 (AUD)</w:t>
            </w:r>
          </w:p>
        </w:tc>
        <w:tc>
          <w:tcPr>
            <w:tcW w:w="2892" w:type="dxa"/>
            <w:shd w:val="clear" w:color="auto" w:fill="auto"/>
          </w:tcPr>
          <w:p w14:paraId="5E9EC795" w14:textId="77777777" w:rsidR="00772EC3" w:rsidRPr="004C6A35" w:rsidRDefault="00772EC3" w:rsidP="003D0F28">
            <w:pPr>
              <w:spacing w:after="0"/>
              <w:jc w:val="left"/>
              <w:rPr>
                <w:noProof/>
                <w:szCs w:val="24"/>
              </w:rPr>
            </w:pPr>
            <w:r>
              <w:rPr>
                <w:noProof/>
              </w:rPr>
              <w:t>117</w:t>
            </w:r>
          </w:p>
        </w:tc>
      </w:tr>
      <w:tr w:rsidR="00772EC3" w:rsidRPr="004C6A35" w14:paraId="358BF295" w14:textId="77777777" w:rsidTr="003D0F28">
        <w:tc>
          <w:tcPr>
            <w:tcW w:w="1838" w:type="dxa"/>
            <w:shd w:val="clear" w:color="auto" w:fill="auto"/>
          </w:tcPr>
          <w:p w14:paraId="2F3371A0" w14:textId="77777777" w:rsidR="00772EC3" w:rsidRPr="004C6A35" w:rsidRDefault="00772EC3" w:rsidP="004C6A35">
            <w:pPr>
              <w:spacing w:after="0"/>
              <w:rPr>
                <w:noProof/>
                <w:szCs w:val="24"/>
              </w:rPr>
            </w:pPr>
            <w:r>
              <w:rPr>
                <w:noProof/>
              </w:rPr>
              <w:t>Nový Zéland</w:t>
            </w:r>
          </w:p>
        </w:tc>
        <w:tc>
          <w:tcPr>
            <w:tcW w:w="3878" w:type="dxa"/>
            <w:shd w:val="clear" w:color="auto" w:fill="auto"/>
          </w:tcPr>
          <w:p w14:paraId="639AD2BA" w14:textId="77777777" w:rsidR="00772EC3" w:rsidRPr="004C6A35" w:rsidRDefault="00772EC3" w:rsidP="003D0F28">
            <w:pPr>
              <w:spacing w:after="0"/>
              <w:jc w:val="left"/>
              <w:rPr>
                <w:noProof/>
                <w:szCs w:val="24"/>
              </w:rPr>
            </w:pPr>
            <w:r>
              <w:rPr>
                <w:noProof/>
              </w:rPr>
              <w:t>211, bez daně z cestovního ruchu (NZD)</w:t>
            </w:r>
          </w:p>
        </w:tc>
        <w:tc>
          <w:tcPr>
            <w:tcW w:w="2892" w:type="dxa"/>
            <w:shd w:val="clear" w:color="auto" w:fill="auto"/>
          </w:tcPr>
          <w:p w14:paraId="45930DF9" w14:textId="77777777" w:rsidR="00772EC3" w:rsidRPr="004C6A35" w:rsidRDefault="00772EC3" w:rsidP="003D0F28">
            <w:pPr>
              <w:spacing w:after="0"/>
              <w:jc w:val="left"/>
              <w:rPr>
                <w:noProof/>
                <w:szCs w:val="24"/>
              </w:rPr>
            </w:pPr>
            <w:r>
              <w:rPr>
                <w:noProof/>
              </w:rPr>
              <w:t>120</w:t>
            </w:r>
          </w:p>
        </w:tc>
      </w:tr>
      <w:tr w:rsidR="00772EC3" w:rsidRPr="004C6A35" w14:paraId="17A81306" w14:textId="77777777" w:rsidTr="003D0F28">
        <w:tc>
          <w:tcPr>
            <w:tcW w:w="1838" w:type="dxa"/>
            <w:shd w:val="clear" w:color="auto" w:fill="auto"/>
          </w:tcPr>
          <w:p w14:paraId="54E611E6" w14:textId="77777777" w:rsidR="00772EC3" w:rsidRPr="004C6A35" w:rsidRDefault="00772EC3" w:rsidP="004C6A35">
            <w:pPr>
              <w:spacing w:after="0"/>
              <w:rPr>
                <w:noProof/>
                <w:szCs w:val="24"/>
              </w:rPr>
            </w:pPr>
            <w:r>
              <w:rPr>
                <w:noProof/>
              </w:rPr>
              <w:t>Japonsko</w:t>
            </w:r>
          </w:p>
        </w:tc>
        <w:tc>
          <w:tcPr>
            <w:tcW w:w="3878" w:type="dxa"/>
            <w:shd w:val="clear" w:color="auto" w:fill="auto"/>
          </w:tcPr>
          <w:p w14:paraId="1949813E" w14:textId="77777777" w:rsidR="00772EC3" w:rsidRPr="004C6A35" w:rsidRDefault="00772EC3" w:rsidP="003D0F28">
            <w:pPr>
              <w:spacing w:after="0"/>
              <w:jc w:val="left"/>
              <w:rPr>
                <w:noProof/>
                <w:szCs w:val="24"/>
              </w:rPr>
            </w:pPr>
            <w:r>
              <w:rPr>
                <w:noProof/>
              </w:rPr>
              <w:t>3 000 jednorázový vstup</w:t>
            </w:r>
            <w:r>
              <w:rPr>
                <w:noProof/>
              </w:rPr>
              <w:br/>
              <w:t>6 000 vícenásobný vstup (JPY)</w:t>
            </w:r>
          </w:p>
        </w:tc>
        <w:tc>
          <w:tcPr>
            <w:tcW w:w="2892" w:type="dxa"/>
            <w:shd w:val="clear" w:color="auto" w:fill="auto"/>
          </w:tcPr>
          <w:p w14:paraId="33EFF573" w14:textId="77777777" w:rsidR="00772EC3" w:rsidRPr="004C6A35" w:rsidRDefault="00772EC3" w:rsidP="003D0F28">
            <w:pPr>
              <w:spacing w:after="0"/>
              <w:jc w:val="left"/>
              <w:rPr>
                <w:noProof/>
                <w:szCs w:val="24"/>
              </w:rPr>
            </w:pPr>
            <w:r>
              <w:rPr>
                <w:noProof/>
              </w:rPr>
              <w:t>19</w:t>
            </w:r>
            <w:r>
              <w:rPr>
                <w:noProof/>
              </w:rPr>
              <w:br/>
              <w:t>38</w:t>
            </w:r>
          </w:p>
        </w:tc>
      </w:tr>
    </w:tbl>
    <w:p w14:paraId="25EE8348" w14:textId="77777777" w:rsidR="00772EC3" w:rsidRDefault="00772EC3" w:rsidP="00245D7E">
      <w:pPr>
        <w:rPr>
          <w:noProof/>
          <w:szCs w:val="24"/>
        </w:rPr>
      </w:pPr>
    </w:p>
    <w:p w14:paraId="4A2F1A2D" w14:textId="77777777" w:rsidR="00772EC3" w:rsidRDefault="00772EC3" w:rsidP="00245D7E">
      <w:pPr>
        <w:rPr>
          <w:noProof/>
          <w:szCs w:val="24"/>
        </w:rPr>
      </w:pPr>
      <w:r>
        <w:rPr>
          <w:noProof/>
        </w:rPr>
        <w:t>Vzhledem k inflačnímu prostředí posledních několika let a zvýšení nákladů, které musely členské státy absorbovat, se Komise domnívá, že vypočtené zvýšení poplatků by mělo být přeneseno na žadatele o víza. Souběžně s touto zprávou proto přijala akt v přenesené pravomoci s cílem zavést nové vízové poplatky.</w:t>
      </w:r>
    </w:p>
    <w:p w14:paraId="0C0C12F5" w14:textId="77777777" w:rsidR="00772EC3" w:rsidRDefault="00772EC3" w:rsidP="00245D7E">
      <w:pPr>
        <w:rPr>
          <w:noProof/>
          <w:szCs w:val="24"/>
        </w:rPr>
      </w:pPr>
      <w:r>
        <w:rPr>
          <w:noProof/>
        </w:rPr>
        <w:t xml:space="preserve">Zvýšení vízového poplatku o 12,5 % povede k téměř 12,5 % předpokládanému zvýšení příjmů členských států z víz. </w:t>
      </w:r>
    </w:p>
    <w:p w14:paraId="463FF5FA" w14:textId="1EEDB2AD" w:rsidR="00772EC3" w:rsidRPr="002B53CC" w:rsidRDefault="00772EC3" w:rsidP="00245D7E">
      <w:pPr>
        <w:rPr>
          <w:b/>
          <w:bCs/>
          <w:noProof/>
          <w:sz w:val="32"/>
          <w:szCs w:val="32"/>
        </w:rPr>
      </w:pPr>
      <w:r>
        <w:rPr>
          <w:noProof/>
        </w:rPr>
        <w:t>Tento dodatečný příjem by měl být podle 7. bodu odůvodnění nařízení 2019/1155</w:t>
      </w:r>
      <w:r>
        <w:rPr>
          <w:rStyle w:val="FootnoteReference"/>
          <w:noProof/>
          <w:szCs w:val="24"/>
        </w:rPr>
        <w:footnoteReference w:id="16"/>
      </w:r>
      <w:r>
        <w:rPr>
          <w:noProof/>
        </w:rPr>
        <w:t xml:space="preserve"> použit k poskytnutí dostatečných zdrojů, včetně personálu, aby žádosti o víza byly vyřizovány v patnáctidenní lhůtě stanovené v článku 23 vízového kodexu a v souladu se zrychleným postupem stanoveným ve směrnici 2004/38/ES pro rodinné příslušníky občanů EU</w:t>
      </w:r>
      <w:r>
        <w:rPr>
          <w:rStyle w:val="FootnoteReference"/>
          <w:noProof/>
          <w:szCs w:val="24"/>
        </w:rPr>
        <w:footnoteReference w:id="17"/>
      </w:r>
      <w:r>
        <w:rPr>
          <w:noProof/>
        </w:rPr>
        <w:t xml:space="preserve">. Měl by rovněž pomoci zajistit, aby se schůzky za účelem podání žádosti o vízum mohly konat do dvou týdnů, jak vyžaduje článek 9 vízového kodexu. </w:t>
      </w:r>
    </w:p>
    <w:p w14:paraId="1ECC61C5" w14:textId="77777777" w:rsidR="00772EC3" w:rsidRDefault="00772EC3" w:rsidP="00245D7E">
      <w:pPr>
        <w:rPr>
          <w:noProof/>
          <w:szCs w:val="24"/>
        </w:rPr>
      </w:pPr>
      <w:r>
        <w:rPr>
          <w:noProof/>
        </w:rPr>
        <w:t>Rezervace schůzky za účelem podání žádosti o schengenské vízum je v mnoha třetích zemích obtížná, neboť žadatelé si často mohou rezervovat schůzky pouze na termíny, které překračují dvoutýdenní lhůtu stanovenou vízovým kodexem</w:t>
      </w:r>
      <w:r>
        <w:rPr>
          <w:rStyle w:val="FootnoteReference"/>
          <w:noProof/>
          <w:szCs w:val="24"/>
        </w:rPr>
        <w:footnoteReference w:id="18"/>
      </w:r>
      <w:r>
        <w:rPr>
          <w:noProof/>
        </w:rPr>
        <w:t xml:space="preserve">. To může rovněž zabránit rodinným příslušníkům občanů EU v tom, aby využili zrychleného postupu stanoveného směrnicí 2004/38/ES. Současná situace má negativní dopad na obraz EU v zahraničí a na její vztahy s některými jejími partnery, a proto je třeba ji řešit. </w:t>
      </w:r>
    </w:p>
    <w:p w14:paraId="21CF9643" w14:textId="77777777" w:rsidR="00772EC3" w:rsidRDefault="00772EC3" w:rsidP="00245D7E">
      <w:pPr>
        <w:rPr>
          <w:noProof/>
          <w:szCs w:val="24"/>
        </w:rPr>
      </w:pPr>
      <w:r>
        <w:rPr>
          <w:noProof/>
        </w:rPr>
        <w:t>Hospodářský dopad změny vízového poplatku byl rovněž zvážen, neboť státní příslušníci, kterým je uděleno vízum a cestují do schengenského prostoru za jakýmkoli účelem, přinášejí ekonomický kapitál a přispívají k místním ekonomikám. Minimální zvýšení o 12,5 % nebo 10 EUR pravděpodobně nebude mít odrazující účinek na žadatele o víza vzhledem k relativně vyšším nákladům na dopravu do schengenského prostoru nebo ubytování během cesty. Stejného závěru bylo dosaženo v roce 2018, tedy před posledním zvýšením vízového poplatku</w:t>
      </w:r>
      <w:r>
        <w:rPr>
          <w:rStyle w:val="FootnoteReference"/>
          <w:noProof/>
          <w:szCs w:val="24"/>
        </w:rPr>
        <w:footnoteReference w:id="19"/>
      </w:r>
      <w:r>
        <w:rPr>
          <w:noProof/>
        </w:rPr>
        <w:t>. Neočekává se tedy žádný negativní hospodářský dopad a Komise neočekává žádný podstatný dopad na počet žadatelů o víza, zejména v oblasti cestovního ruchu nebo podnikání.</w:t>
      </w:r>
    </w:p>
    <w:p w14:paraId="0F593780" w14:textId="5D16E4A0" w:rsidR="00772EC3" w:rsidRDefault="00772EC3" w:rsidP="003D0F28">
      <w:pPr>
        <w:pStyle w:val="Heading1"/>
        <w:rPr>
          <w:noProof/>
        </w:rPr>
      </w:pPr>
      <w:r>
        <w:rPr>
          <w:noProof/>
        </w:rPr>
        <w:t>Zpráva o přenesení pravomocí</w:t>
      </w:r>
    </w:p>
    <w:p w14:paraId="400A224F" w14:textId="1E4D47BC" w:rsidR="003D0F28" w:rsidRDefault="00772EC3" w:rsidP="00245D7E">
      <w:pPr>
        <w:rPr>
          <w:noProof/>
          <w:szCs w:val="24"/>
        </w:rPr>
      </w:pPr>
      <w:r>
        <w:rPr>
          <w:noProof/>
        </w:rPr>
        <w:t>Vzhledem k tomu, že přenesení pravomoci bylo Komisi svěřeno v roce 2019, je to poprvé, co jej Komise využívá a přijímá akt v přenesené pravomoci, kterým se revidují vízové poplatky. Komise mohla bez problémů vykonat přenesení pravomocí, jak zamýšleli spolunormotvůrci, a omezila se na objektivní ukazatele výslovně uvedené ve vízovém kodexu (obecná míra inflace v Unii a vážený průměr platů zaměstnanců ve veřejné službě členských států). Nezbytné údaje byly Eurostatem včas poskytnuty k dispozici a umožnily Komisi posoudit vhodnost revize vízového poplatku. Komise využila přenesené pravomoci ke stanovení nových vízových poplatků v souladu s výsledky výpočtů.</w:t>
      </w:r>
    </w:p>
    <w:p w14:paraId="6CB2D901" w14:textId="0CC36BC5" w:rsidR="00772EC3" w:rsidRPr="006F1EAF" w:rsidRDefault="00772EC3" w:rsidP="00245D7E">
      <w:pPr>
        <w:rPr>
          <w:noProof/>
          <w:szCs w:val="24"/>
        </w:rPr>
      </w:pPr>
      <w:r>
        <w:rPr>
          <w:noProof/>
        </w:rPr>
        <w:t>Komise nevidí žádnou překážku bránící automatickému prodloužení přenesení pravomocí, jak je stanoveno v čl. 51a odst. 2 vízového kodexu, což by znamenalo, že Komise znovu posoudí potřebu revize výše vízových poplatků v letech 2026/27.</w:t>
      </w:r>
    </w:p>
    <w:p w14:paraId="243BDB59" w14:textId="12103799" w:rsidR="00772EC3" w:rsidRDefault="00772EC3" w:rsidP="003D0F28">
      <w:pPr>
        <w:pStyle w:val="Heading1"/>
        <w:rPr>
          <w:noProof/>
        </w:rPr>
      </w:pPr>
      <w:r>
        <w:rPr>
          <w:noProof/>
        </w:rPr>
        <w:t>Závěr</w:t>
      </w:r>
    </w:p>
    <w:p w14:paraId="275AB309" w14:textId="77777777" w:rsidR="00772EC3" w:rsidRDefault="00772EC3" w:rsidP="00245D7E">
      <w:pPr>
        <w:rPr>
          <w:noProof/>
          <w:szCs w:val="24"/>
        </w:rPr>
      </w:pPr>
      <w:r>
        <w:rPr>
          <w:noProof/>
        </w:rPr>
        <w:t>Na základě výše uvedené metodiky a posouzení Komise společně s touto zprávou přijímá akt v přenesené pravomoci, který zvyšuje vízové poplatky o 12,5 %, což znamená, že dospělí od nynějška zaplatí poplatek ve výši 90 EUR.</w:t>
      </w:r>
    </w:p>
    <w:p w14:paraId="5D93219B" w14:textId="77777777" w:rsidR="00772EC3" w:rsidRDefault="00772EC3" w:rsidP="00245D7E">
      <w:pPr>
        <w:rPr>
          <w:noProof/>
          <w:szCs w:val="24"/>
        </w:rPr>
      </w:pPr>
      <w:r>
        <w:rPr>
          <w:noProof/>
        </w:rPr>
        <w:t>Komise dále využívá této příležitosti k tomu, aby připomněla členským státům 7. bod odůvodnění nařízení 2019/1155, jakož i článek 9 vízového kodexu v platném znění, a vyzývá členské státy, aby využily nově vytvořené příjmy k navýšení zdrojů, včetně počtu pracovníků, ke zvýšení kapacity pro vyřizování víz na konzulátech a ke zkrácení čekací doby pro žadatele, čímž se odstraní situace, kdy se nedodržují lhůty stanovené ve vízovém kodexu a nevyužívá se zrychleného postupu předepsaného pro rodinné příslušníky občanů EU podle směrnice 2004/38/ES.</w:t>
      </w:r>
    </w:p>
    <w:p w14:paraId="707D2021" w14:textId="77777777" w:rsidR="00772EC3" w:rsidRPr="002B53CC" w:rsidRDefault="00772EC3" w:rsidP="00245D7E">
      <w:pPr>
        <w:rPr>
          <w:noProof/>
          <w:szCs w:val="24"/>
        </w:rPr>
      </w:pPr>
      <w:r>
        <w:rPr>
          <w:noProof/>
        </w:rPr>
        <w:t>Touto zprávou je rovněž splněn požadavek na vypracování zprávy podle čl. 51a odst. 2 vízového kodexu. Komise žádá Evropský parlament a Radu, aby vzaly tuto zprávu na vědomí.</w:t>
      </w:r>
    </w:p>
    <w:p w14:paraId="0B46969D" w14:textId="77777777" w:rsidR="00772EC3" w:rsidRPr="00FF453A" w:rsidRDefault="00772EC3" w:rsidP="00245D7E">
      <w:pPr>
        <w:rPr>
          <w:noProof/>
        </w:rPr>
      </w:pPr>
    </w:p>
    <w:p w14:paraId="2E0CCBFE" w14:textId="77777777" w:rsidR="00772EC3" w:rsidRDefault="00772EC3" w:rsidP="00245D7E">
      <w:pPr>
        <w:rPr>
          <w:noProof/>
          <w:szCs w:val="24"/>
        </w:rPr>
      </w:pPr>
      <w:r>
        <w:rPr>
          <w:noProof/>
        </w:rPr>
        <w:br w:type="page"/>
      </w:r>
    </w:p>
    <w:p w14:paraId="3BFAA9A3" w14:textId="77777777" w:rsidR="00772EC3" w:rsidRPr="00702148" w:rsidRDefault="00772EC3" w:rsidP="003D0F28">
      <w:pPr>
        <w:pStyle w:val="AnnexTitle"/>
        <w:numPr>
          <w:ilvl w:val="0"/>
          <w:numId w:val="0"/>
        </w:numPr>
        <w:jc w:val="center"/>
        <w:rPr>
          <w:noProof/>
        </w:rPr>
      </w:pPr>
      <w:r>
        <w:rPr>
          <w:noProof/>
        </w:rPr>
        <w:t>Příloha – Výpočet ukazatele (kupní síly) platu</w:t>
      </w:r>
    </w:p>
    <w:p w14:paraId="1A4AAE4E" w14:textId="77777777" w:rsidR="00772EC3" w:rsidRPr="00702148" w:rsidRDefault="00772EC3" w:rsidP="00245D7E">
      <w:pPr>
        <w:spacing w:after="200" w:line="276" w:lineRule="auto"/>
        <w:rPr>
          <w:b/>
          <w:bCs/>
          <w:i/>
          <w:iCs/>
          <w:noProof/>
          <w:szCs w:val="24"/>
        </w:rPr>
      </w:pPr>
      <w:r>
        <w:rPr>
          <w:b/>
          <w:i/>
          <w:noProof/>
        </w:rPr>
        <w:t>2020–21</w:t>
      </w:r>
    </w:p>
    <w:tbl>
      <w:tblPr>
        <w:tblStyle w:val="TableGrid"/>
        <w:tblW w:w="87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3060"/>
        <w:gridCol w:w="2840"/>
        <w:gridCol w:w="1840"/>
      </w:tblGrid>
      <w:tr w:rsidR="00772EC3" w:rsidRPr="004C6A35" w14:paraId="06575D2A" w14:textId="77777777" w:rsidTr="003C405A">
        <w:trPr>
          <w:trHeight w:val="300"/>
        </w:trPr>
        <w:tc>
          <w:tcPr>
            <w:tcW w:w="960" w:type="dxa"/>
            <w:shd w:val="clear" w:color="auto" w:fill="auto"/>
            <w:noWrap/>
            <w:vAlign w:val="bottom"/>
          </w:tcPr>
          <w:p w14:paraId="3E0DA2E1" w14:textId="77777777" w:rsidR="00772EC3" w:rsidRPr="00702148" w:rsidRDefault="00772EC3" w:rsidP="003C405A">
            <w:pPr>
              <w:spacing w:after="0"/>
              <w:rPr>
                <w:noProof/>
                <w:color w:val="000000"/>
              </w:rPr>
            </w:pPr>
            <w:r>
              <w:rPr>
                <w:noProof/>
                <w:color w:val="000000"/>
              </w:rPr>
              <w:t>Členský stát</w:t>
            </w:r>
          </w:p>
        </w:tc>
        <w:tc>
          <w:tcPr>
            <w:tcW w:w="3060" w:type="dxa"/>
            <w:shd w:val="clear" w:color="auto" w:fill="auto"/>
            <w:noWrap/>
            <w:vAlign w:val="bottom"/>
          </w:tcPr>
          <w:p w14:paraId="2C2E6296" w14:textId="77777777" w:rsidR="00772EC3" w:rsidRPr="00702148" w:rsidRDefault="00772EC3" w:rsidP="003C405A">
            <w:pPr>
              <w:spacing w:after="0"/>
              <w:rPr>
                <w:noProof/>
                <w:color w:val="000000"/>
              </w:rPr>
            </w:pPr>
            <w:r>
              <w:rPr>
                <w:noProof/>
                <w:color w:val="000000"/>
              </w:rPr>
              <w:t>Ukazatel reálné čisté odměny</w:t>
            </w:r>
          </w:p>
        </w:tc>
        <w:tc>
          <w:tcPr>
            <w:tcW w:w="2840" w:type="dxa"/>
            <w:shd w:val="clear" w:color="auto" w:fill="auto"/>
            <w:noWrap/>
            <w:vAlign w:val="bottom"/>
          </w:tcPr>
          <w:p w14:paraId="0A88EDF6" w14:textId="77777777" w:rsidR="00772EC3" w:rsidRPr="00933599" w:rsidRDefault="00772EC3" w:rsidP="003C405A">
            <w:pPr>
              <w:spacing w:after="0"/>
              <w:rPr>
                <w:noProof/>
                <w:color w:val="000000"/>
              </w:rPr>
            </w:pPr>
            <w:r>
              <w:rPr>
                <w:noProof/>
                <w:color w:val="000000"/>
              </w:rPr>
              <w:t>Vážený HDP v PPS (EU-27 = 100)</w:t>
            </w:r>
          </w:p>
        </w:tc>
        <w:tc>
          <w:tcPr>
            <w:tcW w:w="1840" w:type="dxa"/>
            <w:shd w:val="clear" w:color="auto" w:fill="auto"/>
            <w:noWrap/>
            <w:vAlign w:val="bottom"/>
          </w:tcPr>
          <w:p w14:paraId="421DA533" w14:textId="77777777" w:rsidR="00772EC3" w:rsidRPr="00702148" w:rsidRDefault="00772EC3" w:rsidP="003C405A">
            <w:pPr>
              <w:spacing w:after="0"/>
              <w:rPr>
                <w:noProof/>
                <w:color w:val="000000"/>
              </w:rPr>
            </w:pPr>
            <w:r>
              <w:rPr>
                <w:noProof/>
                <w:color w:val="000000"/>
              </w:rPr>
              <w:t>Vliv na celkovou částku</w:t>
            </w:r>
          </w:p>
        </w:tc>
      </w:tr>
      <w:tr w:rsidR="00772EC3" w:rsidRPr="004C6A35" w14:paraId="48E994C3" w14:textId="77777777" w:rsidTr="003C405A">
        <w:trPr>
          <w:trHeight w:val="300"/>
        </w:trPr>
        <w:tc>
          <w:tcPr>
            <w:tcW w:w="960" w:type="dxa"/>
            <w:shd w:val="clear" w:color="auto" w:fill="auto"/>
            <w:noWrap/>
            <w:vAlign w:val="bottom"/>
          </w:tcPr>
          <w:p w14:paraId="609DBA3F" w14:textId="77777777" w:rsidR="00772EC3" w:rsidRPr="00702148" w:rsidRDefault="00772EC3" w:rsidP="003C405A">
            <w:pPr>
              <w:spacing w:after="0"/>
              <w:rPr>
                <w:noProof/>
                <w:color w:val="000000"/>
                <w:lang w:eastAsia="en-IE"/>
              </w:rPr>
            </w:pPr>
          </w:p>
        </w:tc>
        <w:tc>
          <w:tcPr>
            <w:tcW w:w="3060" w:type="dxa"/>
            <w:shd w:val="clear" w:color="auto" w:fill="auto"/>
            <w:noWrap/>
            <w:vAlign w:val="bottom"/>
          </w:tcPr>
          <w:p w14:paraId="1DFEE040" w14:textId="77777777" w:rsidR="00772EC3" w:rsidRPr="00702148" w:rsidRDefault="00772EC3" w:rsidP="003C405A">
            <w:pPr>
              <w:spacing w:after="0"/>
              <w:rPr>
                <w:noProof/>
                <w:sz w:val="20"/>
                <w:lang w:eastAsia="en-IE"/>
              </w:rPr>
            </w:pPr>
          </w:p>
        </w:tc>
        <w:tc>
          <w:tcPr>
            <w:tcW w:w="2840" w:type="dxa"/>
            <w:shd w:val="clear" w:color="auto" w:fill="auto"/>
            <w:noWrap/>
            <w:vAlign w:val="bottom"/>
          </w:tcPr>
          <w:p w14:paraId="55EDB72A" w14:textId="77777777" w:rsidR="00772EC3" w:rsidRPr="00702148" w:rsidRDefault="00772EC3" w:rsidP="003C405A">
            <w:pPr>
              <w:spacing w:after="0"/>
              <w:rPr>
                <w:noProof/>
                <w:sz w:val="20"/>
                <w:lang w:eastAsia="en-IE"/>
              </w:rPr>
            </w:pPr>
          </w:p>
        </w:tc>
        <w:tc>
          <w:tcPr>
            <w:tcW w:w="1840" w:type="dxa"/>
            <w:shd w:val="clear" w:color="auto" w:fill="auto"/>
            <w:noWrap/>
            <w:vAlign w:val="bottom"/>
          </w:tcPr>
          <w:p w14:paraId="1B989DC7" w14:textId="77777777" w:rsidR="00772EC3" w:rsidRPr="00702148" w:rsidRDefault="00772EC3" w:rsidP="003C405A">
            <w:pPr>
              <w:spacing w:after="0"/>
              <w:rPr>
                <w:noProof/>
                <w:sz w:val="20"/>
                <w:lang w:eastAsia="en-IE"/>
              </w:rPr>
            </w:pPr>
          </w:p>
        </w:tc>
      </w:tr>
      <w:tr w:rsidR="00772EC3" w:rsidRPr="004C6A35" w14:paraId="1148B5E7" w14:textId="77777777" w:rsidTr="003C405A">
        <w:trPr>
          <w:trHeight w:val="300"/>
        </w:trPr>
        <w:tc>
          <w:tcPr>
            <w:tcW w:w="960" w:type="dxa"/>
            <w:shd w:val="clear" w:color="auto" w:fill="auto"/>
            <w:noWrap/>
            <w:vAlign w:val="bottom"/>
          </w:tcPr>
          <w:p w14:paraId="43FCE2E4" w14:textId="77777777" w:rsidR="00772EC3" w:rsidRPr="00702148" w:rsidRDefault="00772EC3" w:rsidP="003C405A">
            <w:pPr>
              <w:spacing w:after="0"/>
              <w:rPr>
                <w:noProof/>
                <w:color w:val="000000"/>
              </w:rPr>
            </w:pPr>
            <w:r>
              <w:rPr>
                <w:noProof/>
                <w:color w:val="000000"/>
              </w:rPr>
              <w:t>BE</w:t>
            </w:r>
          </w:p>
        </w:tc>
        <w:tc>
          <w:tcPr>
            <w:tcW w:w="3060" w:type="dxa"/>
            <w:shd w:val="clear" w:color="auto" w:fill="auto"/>
            <w:noWrap/>
            <w:vAlign w:val="bottom"/>
          </w:tcPr>
          <w:p w14:paraId="57992DCD" w14:textId="77777777" w:rsidR="00772EC3" w:rsidRPr="00702148" w:rsidRDefault="00772EC3" w:rsidP="003C405A">
            <w:pPr>
              <w:spacing w:after="0"/>
              <w:jc w:val="right"/>
              <w:rPr>
                <w:noProof/>
                <w:color w:val="000000"/>
              </w:rPr>
            </w:pPr>
            <w:r>
              <w:rPr>
                <w:noProof/>
                <w:color w:val="000000"/>
              </w:rPr>
              <w:t>–2,3 %</w:t>
            </w:r>
          </w:p>
        </w:tc>
        <w:tc>
          <w:tcPr>
            <w:tcW w:w="2840" w:type="dxa"/>
            <w:shd w:val="clear" w:color="auto" w:fill="auto"/>
            <w:noWrap/>
            <w:vAlign w:val="bottom"/>
          </w:tcPr>
          <w:p w14:paraId="2A7EFDAC" w14:textId="77777777" w:rsidR="00772EC3" w:rsidRPr="00702148" w:rsidRDefault="00772EC3" w:rsidP="003C405A">
            <w:pPr>
              <w:spacing w:after="0"/>
              <w:jc w:val="right"/>
              <w:rPr>
                <w:noProof/>
                <w:color w:val="000000"/>
              </w:rPr>
            </w:pPr>
            <w:r>
              <w:rPr>
                <w:noProof/>
                <w:color w:val="000000"/>
              </w:rPr>
              <w:t>3,0 %</w:t>
            </w:r>
          </w:p>
        </w:tc>
        <w:tc>
          <w:tcPr>
            <w:tcW w:w="1840" w:type="dxa"/>
            <w:shd w:val="clear" w:color="auto" w:fill="auto"/>
            <w:noWrap/>
            <w:vAlign w:val="bottom"/>
          </w:tcPr>
          <w:p w14:paraId="64D66E0C" w14:textId="77777777" w:rsidR="00772EC3" w:rsidRPr="00702148" w:rsidRDefault="00772EC3" w:rsidP="003C405A">
            <w:pPr>
              <w:spacing w:after="0"/>
              <w:jc w:val="right"/>
              <w:rPr>
                <w:noProof/>
                <w:color w:val="000000"/>
              </w:rPr>
            </w:pPr>
            <w:r>
              <w:rPr>
                <w:noProof/>
                <w:color w:val="000000"/>
              </w:rPr>
              <w:t>–0,1 %</w:t>
            </w:r>
          </w:p>
        </w:tc>
      </w:tr>
      <w:tr w:rsidR="00772EC3" w:rsidRPr="004C6A35" w14:paraId="4EF7A947" w14:textId="77777777" w:rsidTr="003C405A">
        <w:trPr>
          <w:trHeight w:val="300"/>
        </w:trPr>
        <w:tc>
          <w:tcPr>
            <w:tcW w:w="960" w:type="dxa"/>
            <w:shd w:val="clear" w:color="auto" w:fill="auto"/>
            <w:noWrap/>
            <w:vAlign w:val="bottom"/>
          </w:tcPr>
          <w:p w14:paraId="2D7715D8" w14:textId="77777777" w:rsidR="00772EC3" w:rsidRPr="00702148" w:rsidRDefault="00772EC3" w:rsidP="003C405A">
            <w:pPr>
              <w:spacing w:after="0"/>
              <w:rPr>
                <w:noProof/>
                <w:color w:val="000000"/>
              </w:rPr>
            </w:pPr>
            <w:r>
              <w:rPr>
                <w:noProof/>
                <w:color w:val="000000"/>
              </w:rPr>
              <w:t>BG</w:t>
            </w:r>
          </w:p>
        </w:tc>
        <w:tc>
          <w:tcPr>
            <w:tcW w:w="3060" w:type="dxa"/>
            <w:shd w:val="clear" w:color="auto" w:fill="auto"/>
            <w:noWrap/>
            <w:vAlign w:val="bottom"/>
          </w:tcPr>
          <w:p w14:paraId="4C8DB86A" w14:textId="77777777" w:rsidR="00772EC3" w:rsidRPr="00702148" w:rsidRDefault="00772EC3" w:rsidP="003C405A">
            <w:pPr>
              <w:spacing w:after="0"/>
              <w:jc w:val="right"/>
              <w:rPr>
                <w:noProof/>
                <w:color w:val="000000"/>
              </w:rPr>
            </w:pPr>
            <w:r>
              <w:rPr>
                <w:noProof/>
                <w:color w:val="000000"/>
              </w:rPr>
              <w:t>10,4 %</w:t>
            </w:r>
          </w:p>
        </w:tc>
        <w:tc>
          <w:tcPr>
            <w:tcW w:w="2840" w:type="dxa"/>
            <w:shd w:val="clear" w:color="auto" w:fill="auto"/>
            <w:noWrap/>
            <w:vAlign w:val="bottom"/>
          </w:tcPr>
          <w:p w14:paraId="73E89624" w14:textId="77777777" w:rsidR="00772EC3" w:rsidRPr="00702148" w:rsidRDefault="00772EC3" w:rsidP="003C405A">
            <w:pPr>
              <w:spacing w:after="0"/>
              <w:jc w:val="right"/>
              <w:rPr>
                <w:noProof/>
                <w:color w:val="000000"/>
              </w:rPr>
            </w:pPr>
            <w:r>
              <w:rPr>
                <w:noProof/>
                <w:color w:val="000000"/>
              </w:rPr>
              <w:t>0,8 %</w:t>
            </w:r>
          </w:p>
        </w:tc>
        <w:tc>
          <w:tcPr>
            <w:tcW w:w="1840" w:type="dxa"/>
            <w:shd w:val="clear" w:color="auto" w:fill="auto"/>
            <w:noWrap/>
            <w:vAlign w:val="bottom"/>
          </w:tcPr>
          <w:p w14:paraId="3CD4E8E7" w14:textId="77777777" w:rsidR="00772EC3" w:rsidRPr="00702148" w:rsidRDefault="00772EC3" w:rsidP="003C405A">
            <w:pPr>
              <w:spacing w:after="0"/>
              <w:jc w:val="right"/>
              <w:rPr>
                <w:noProof/>
                <w:color w:val="000000"/>
              </w:rPr>
            </w:pPr>
            <w:r>
              <w:rPr>
                <w:noProof/>
                <w:color w:val="000000"/>
              </w:rPr>
              <w:t>0,1 %</w:t>
            </w:r>
          </w:p>
        </w:tc>
      </w:tr>
      <w:tr w:rsidR="00772EC3" w:rsidRPr="004C6A35" w14:paraId="29908BAD" w14:textId="77777777" w:rsidTr="003C405A">
        <w:trPr>
          <w:trHeight w:val="300"/>
        </w:trPr>
        <w:tc>
          <w:tcPr>
            <w:tcW w:w="960" w:type="dxa"/>
            <w:shd w:val="clear" w:color="auto" w:fill="auto"/>
            <w:noWrap/>
            <w:vAlign w:val="bottom"/>
          </w:tcPr>
          <w:p w14:paraId="0E25EDF3" w14:textId="77777777" w:rsidR="00772EC3" w:rsidRPr="00702148" w:rsidRDefault="00772EC3" w:rsidP="003C405A">
            <w:pPr>
              <w:spacing w:after="0"/>
              <w:rPr>
                <w:noProof/>
                <w:color w:val="000000"/>
              </w:rPr>
            </w:pPr>
            <w:r>
              <w:rPr>
                <w:noProof/>
                <w:color w:val="000000"/>
              </w:rPr>
              <w:t>CZ</w:t>
            </w:r>
          </w:p>
        </w:tc>
        <w:tc>
          <w:tcPr>
            <w:tcW w:w="3060" w:type="dxa"/>
            <w:shd w:val="clear" w:color="auto" w:fill="auto"/>
            <w:noWrap/>
            <w:vAlign w:val="bottom"/>
          </w:tcPr>
          <w:p w14:paraId="60263EFE" w14:textId="77777777" w:rsidR="00772EC3" w:rsidRPr="00702148" w:rsidRDefault="00772EC3" w:rsidP="003C405A">
            <w:pPr>
              <w:spacing w:after="0"/>
              <w:jc w:val="right"/>
              <w:rPr>
                <w:noProof/>
                <w:color w:val="000000"/>
              </w:rPr>
            </w:pPr>
            <w:r>
              <w:rPr>
                <w:noProof/>
                <w:color w:val="000000"/>
              </w:rPr>
              <w:t>6,2 %</w:t>
            </w:r>
          </w:p>
        </w:tc>
        <w:tc>
          <w:tcPr>
            <w:tcW w:w="2840" w:type="dxa"/>
            <w:shd w:val="clear" w:color="auto" w:fill="auto"/>
            <w:noWrap/>
            <w:vAlign w:val="bottom"/>
          </w:tcPr>
          <w:p w14:paraId="364B8D8F" w14:textId="77777777" w:rsidR="00772EC3" w:rsidRPr="00702148" w:rsidRDefault="00772EC3" w:rsidP="003C405A">
            <w:pPr>
              <w:spacing w:after="0"/>
              <w:jc w:val="right"/>
              <w:rPr>
                <w:noProof/>
                <w:color w:val="000000"/>
              </w:rPr>
            </w:pPr>
            <w:r>
              <w:rPr>
                <w:noProof/>
                <w:color w:val="000000"/>
              </w:rPr>
              <w:t>2,2 %</w:t>
            </w:r>
          </w:p>
        </w:tc>
        <w:tc>
          <w:tcPr>
            <w:tcW w:w="1840" w:type="dxa"/>
            <w:shd w:val="clear" w:color="auto" w:fill="auto"/>
            <w:noWrap/>
            <w:vAlign w:val="bottom"/>
          </w:tcPr>
          <w:p w14:paraId="0B828763" w14:textId="77777777" w:rsidR="00772EC3" w:rsidRPr="00702148" w:rsidRDefault="00772EC3" w:rsidP="003C405A">
            <w:pPr>
              <w:spacing w:after="0"/>
              <w:jc w:val="right"/>
              <w:rPr>
                <w:noProof/>
                <w:color w:val="000000"/>
              </w:rPr>
            </w:pPr>
            <w:r>
              <w:rPr>
                <w:noProof/>
                <w:color w:val="000000"/>
              </w:rPr>
              <w:t>0,1 %</w:t>
            </w:r>
          </w:p>
        </w:tc>
      </w:tr>
      <w:tr w:rsidR="00772EC3" w:rsidRPr="004C6A35" w14:paraId="0449C991" w14:textId="77777777" w:rsidTr="003C405A">
        <w:trPr>
          <w:trHeight w:val="300"/>
        </w:trPr>
        <w:tc>
          <w:tcPr>
            <w:tcW w:w="960" w:type="dxa"/>
            <w:shd w:val="clear" w:color="auto" w:fill="auto"/>
            <w:noWrap/>
            <w:vAlign w:val="bottom"/>
          </w:tcPr>
          <w:p w14:paraId="294B33DB" w14:textId="77777777" w:rsidR="00772EC3" w:rsidRPr="00702148" w:rsidRDefault="00772EC3" w:rsidP="003C405A">
            <w:pPr>
              <w:spacing w:after="0"/>
              <w:rPr>
                <w:noProof/>
                <w:color w:val="000000"/>
              </w:rPr>
            </w:pPr>
            <w:r>
              <w:rPr>
                <w:noProof/>
                <w:color w:val="000000"/>
              </w:rPr>
              <w:t>DK</w:t>
            </w:r>
          </w:p>
        </w:tc>
        <w:tc>
          <w:tcPr>
            <w:tcW w:w="3060" w:type="dxa"/>
            <w:shd w:val="clear" w:color="auto" w:fill="auto"/>
            <w:noWrap/>
            <w:vAlign w:val="bottom"/>
          </w:tcPr>
          <w:p w14:paraId="45112164" w14:textId="77777777" w:rsidR="00772EC3" w:rsidRPr="00702148" w:rsidRDefault="00772EC3" w:rsidP="003C405A">
            <w:pPr>
              <w:spacing w:after="0"/>
              <w:jc w:val="right"/>
              <w:rPr>
                <w:noProof/>
                <w:color w:val="000000"/>
              </w:rPr>
            </w:pPr>
            <w:r>
              <w:rPr>
                <w:noProof/>
                <w:color w:val="000000"/>
              </w:rPr>
              <w:t>–0,4 %</w:t>
            </w:r>
          </w:p>
        </w:tc>
        <w:tc>
          <w:tcPr>
            <w:tcW w:w="2840" w:type="dxa"/>
            <w:shd w:val="clear" w:color="auto" w:fill="auto"/>
            <w:noWrap/>
            <w:vAlign w:val="bottom"/>
          </w:tcPr>
          <w:p w14:paraId="3D3AC216" w14:textId="77777777" w:rsidR="00772EC3" w:rsidRPr="00702148" w:rsidRDefault="00772EC3" w:rsidP="003C405A">
            <w:pPr>
              <w:spacing w:after="0"/>
              <w:jc w:val="right"/>
              <w:rPr>
                <w:noProof/>
                <w:color w:val="000000"/>
              </w:rPr>
            </w:pPr>
            <w:r>
              <w:rPr>
                <w:noProof/>
                <w:color w:val="000000"/>
              </w:rPr>
              <w:t>1,8 %</w:t>
            </w:r>
          </w:p>
        </w:tc>
        <w:tc>
          <w:tcPr>
            <w:tcW w:w="1840" w:type="dxa"/>
            <w:shd w:val="clear" w:color="auto" w:fill="auto"/>
            <w:noWrap/>
            <w:vAlign w:val="bottom"/>
          </w:tcPr>
          <w:p w14:paraId="123487C8" w14:textId="77777777" w:rsidR="00772EC3" w:rsidRPr="00702148" w:rsidRDefault="00772EC3" w:rsidP="003C405A">
            <w:pPr>
              <w:spacing w:after="0"/>
              <w:jc w:val="right"/>
              <w:rPr>
                <w:noProof/>
                <w:color w:val="000000"/>
              </w:rPr>
            </w:pPr>
            <w:r>
              <w:rPr>
                <w:noProof/>
                <w:color w:val="000000"/>
              </w:rPr>
              <w:t>0,0 %</w:t>
            </w:r>
          </w:p>
        </w:tc>
      </w:tr>
      <w:tr w:rsidR="00772EC3" w:rsidRPr="004C6A35" w14:paraId="2577C278" w14:textId="77777777" w:rsidTr="003C405A">
        <w:trPr>
          <w:trHeight w:val="300"/>
        </w:trPr>
        <w:tc>
          <w:tcPr>
            <w:tcW w:w="960" w:type="dxa"/>
            <w:shd w:val="clear" w:color="auto" w:fill="auto"/>
            <w:noWrap/>
            <w:vAlign w:val="bottom"/>
          </w:tcPr>
          <w:p w14:paraId="1DC68536" w14:textId="77777777" w:rsidR="00772EC3" w:rsidRPr="00702148" w:rsidRDefault="00772EC3" w:rsidP="003C405A">
            <w:pPr>
              <w:spacing w:after="0"/>
              <w:rPr>
                <w:noProof/>
                <w:color w:val="000000"/>
              </w:rPr>
            </w:pPr>
            <w:r>
              <w:rPr>
                <w:noProof/>
                <w:color w:val="000000"/>
              </w:rPr>
              <w:t>DE</w:t>
            </w:r>
          </w:p>
        </w:tc>
        <w:tc>
          <w:tcPr>
            <w:tcW w:w="3060" w:type="dxa"/>
            <w:shd w:val="clear" w:color="auto" w:fill="auto"/>
            <w:noWrap/>
            <w:vAlign w:val="bottom"/>
          </w:tcPr>
          <w:p w14:paraId="63F131AC" w14:textId="77777777" w:rsidR="00772EC3" w:rsidRPr="00702148" w:rsidRDefault="00772EC3" w:rsidP="003C405A">
            <w:pPr>
              <w:spacing w:after="0"/>
              <w:jc w:val="right"/>
              <w:rPr>
                <w:noProof/>
                <w:color w:val="000000"/>
              </w:rPr>
            </w:pPr>
            <w:r>
              <w:rPr>
                <w:noProof/>
                <w:color w:val="000000"/>
              </w:rPr>
              <w:t>0,1 %</w:t>
            </w:r>
          </w:p>
        </w:tc>
        <w:tc>
          <w:tcPr>
            <w:tcW w:w="2840" w:type="dxa"/>
            <w:shd w:val="clear" w:color="auto" w:fill="auto"/>
            <w:noWrap/>
            <w:vAlign w:val="bottom"/>
          </w:tcPr>
          <w:p w14:paraId="370B7125" w14:textId="77777777" w:rsidR="00772EC3" w:rsidRPr="00702148" w:rsidRDefault="00772EC3" w:rsidP="003C405A">
            <w:pPr>
              <w:spacing w:after="0"/>
              <w:jc w:val="right"/>
              <w:rPr>
                <w:noProof/>
                <w:color w:val="000000"/>
              </w:rPr>
            </w:pPr>
            <w:r>
              <w:rPr>
                <w:noProof/>
                <w:color w:val="000000"/>
              </w:rPr>
              <w:t>22,6 %</w:t>
            </w:r>
          </w:p>
        </w:tc>
        <w:tc>
          <w:tcPr>
            <w:tcW w:w="1840" w:type="dxa"/>
            <w:shd w:val="clear" w:color="auto" w:fill="auto"/>
            <w:noWrap/>
            <w:vAlign w:val="bottom"/>
          </w:tcPr>
          <w:p w14:paraId="4D00743A" w14:textId="77777777" w:rsidR="00772EC3" w:rsidRPr="00702148" w:rsidRDefault="00772EC3" w:rsidP="003C405A">
            <w:pPr>
              <w:spacing w:after="0"/>
              <w:jc w:val="right"/>
              <w:rPr>
                <w:noProof/>
                <w:color w:val="000000"/>
              </w:rPr>
            </w:pPr>
            <w:r>
              <w:rPr>
                <w:noProof/>
                <w:color w:val="000000"/>
              </w:rPr>
              <w:t>0,0 %</w:t>
            </w:r>
          </w:p>
        </w:tc>
      </w:tr>
      <w:tr w:rsidR="00772EC3" w:rsidRPr="004C6A35" w14:paraId="29C90913" w14:textId="77777777" w:rsidTr="003C405A">
        <w:trPr>
          <w:trHeight w:val="300"/>
        </w:trPr>
        <w:tc>
          <w:tcPr>
            <w:tcW w:w="960" w:type="dxa"/>
            <w:shd w:val="clear" w:color="auto" w:fill="auto"/>
            <w:noWrap/>
            <w:vAlign w:val="bottom"/>
          </w:tcPr>
          <w:p w14:paraId="7E6C308F" w14:textId="77777777" w:rsidR="00772EC3" w:rsidRPr="00702148" w:rsidRDefault="00772EC3" w:rsidP="003C405A">
            <w:pPr>
              <w:spacing w:after="0"/>
              <w:rPr>
                <w:noProof/>
                <w:color w:val="000000"/>
              </w:rPr>
            </w:pPr>
            <w:r>
              <w:rPr>
                <w:noProof/>
                <w:color w:val="000000"/>
              </w:rPr>
              <w:t>EE</w:t>
            </w:r>
          </w:p>
        </w:tc>
        <w:tc>
          <w:tcPr>
            <w:tcW w:w="3060" w:type="dxa"/>
            <w:shd w:val="clear" w:color="auto" w:fill="auto"/>
            <w:noWrap/>
            <w:vAlign w:val="bottom"/>
          </w:tcPr>
          <w:p w14:paraId="178FDC48" w14:textId="77777777" w:rsidR="00772EC3" w:rsidRPr="00702148" w:rsidRDefault="00772EC3" w:rsidP="003C405A">
            <w:pPr>
              <w:spacing w:after="0"/>
              <w:jc w:val="right"/>
              <w:rPr>
                <w:noProof/>
                <w:color w:val="000000"/>
              </w:rPr>
            </w:pPr>
            <w:r>
              <w:rPr>
                <w:noProof/>
                <w:color w:val="000000"/>
              </w:rPr>
              <w:t>12,5 %</w:t>
            </w:r>
          </w:p>
        </w:tc>
        <w:tc>
          <w:tcPr>
            <w:tcW w:w="2840" w:type="dxa"/>
            <w:shd w:val="clear" w:color="auto" w:fill="auto"/>
            <w:noWrap/>
            <w:vAlign w:val="bottom"/>
          </w:tcPr>
          <w:p w14:paraId="0502733A" w14:textId="77777777" w:rsidR="00772EC3" w:rsidRPr="00702148" w:rsidRDefault="00772EC3" w:rsidP="003C405A">
            <w:pPr>
              <w:spacing w:after="0"/>
              <w:jc w:val="right"/>
              <w:rPr>
                <w:noProof/>
                <w:color w:val="000000"/>
              </w:rPr>
            </w:pPr>
            <w:r>
              <w:rPr>
                <w:noProof/>
                <w:color w:val="000000"/>
              </w:rPr>
              <w:t>0,3 %</w:t>
            </w:r>
          </w:p>
        </w:tc>
        <w:tc>
          <w:tcPr>
            <w:tcW w:w="1840" w:type="dxa"/>
            <w:shd w:val="clear" w:color="auto" w:fill="auto"/>
            <w:noWrap/>
            <w:vAlign w:val="bottom"/>
          </w:tcPr>
          <w:p w14:paraId="4A0B2CF8" w14:textId="77777777" w:rsidR="00772EC3" w:rsidRPr="00702148" w:rsidRDefault="00772EC3" w:rsidP="003C405A">
            <w:pPr>
              <w:spacing w:after="0"/>
              <w:jc w:val="right"/>
              <w:rPr>
                <w:noProof/>
                <w:color w:val="000000"/>
              </w:rPr>
            </w:pPr>
            <w:r>
              <w:rPr>
                <w:noProof/>
                <w:color w:val="000000"/>
              </w:rPr>
              <w:t>0,0 %</w:t>
            </w:r>
          </w:p>
        </w:tc>
      </w:tr>
      <w:tr w:rsidR="00772EC3" w:rsidRPr="004C6A35" w14:paraId="4C924BDA" w14:textId="77777777" w:rsidTr="003C405A">
        <w:trPr>
          <w:trHeight w:val="300"/>
        </w:trPr>
        <w:tc>
          <w:tcPr>
            <w:tcW w:w="960" w:type="dxa"/>
            <w:shd w:val="clear" w:color="auto" w:fill="auto"/>
            <w:noWrap/>
            <w:vAlign w:val="bottom"/>
          </w:tcPr>
          <w:p w14:paraId="206DF5B8" w14:textId="77777777" w:rsidR="00772EC3" w:rsidRPr="00702148" w:rsidRDefault="00772EC3" w:rsidP="003C405A">
            <w:pPr>
              <w:spacing w:after="0"/>
              <w:rPr>
                <w:noProof/>
                <w:color w:val="000000"/>
              </w:rPr>
            </w:pPr>
            <w:r>
              <w:rPr>
                <w:noProof/>
                <w:color w:val="000000"/>
              </w:rPr>
              <w:t>IE</w:t>
            </w:r>
          </w:p>
        </w:tc>
        <w:tc>
          <w:tcPr>
            <w:tcW w:w="3060" w:type="dxa"/>
            <w:shd w:val="clear" w:color="auto" w:fill="auto"/>
            <w:noWrap/>
            <w:vAlign w:val="bottom"/>
          </w:tcPr>
          <w:p w14:paraId="35786930" w14:textId="77777777" w:rsidR="00772EC3" w:rsidRPr="00702148" w:rsidRDefault="00772EC3" w:rsidP="003C405A">
            <w:pPr>
              <w:spacing w:after="0"/>
              <w:jc w:val="right"/>
              <w:rPr>
                <w:noProof/>
                <w:color w:val="000000"/>
              </w:rPr>
            </w:pPr>
            <w:r>
              <w:rPr>
                <w:noProof/>
                <w:color w:val="000000"/>
              </w:rPr>
              <w:t>0,3 %</w:t>
            </w:r>
          </w:p>
        </w:tc>
        <w:tc>
          <w:tcPr>
            <w:tcW w:w="2840" w:type="dxa"/>
            <w:shd w:val="clear" w:color="auto" w:fill="auto"/>
            <w:noWrap/>
            <w:vAlign w:val="bottom"/>
          </w:tcPr>
          <w:p w14:paraId="67682C01" w14:textId="77777777" w:rsidR="00772EC3" w:rsidRPr="00702148" w:rsidRDefault="00772EC3" w:rsidP="003C405A">
            <w:pPr>
              <w:spacing w:after="0"/>
              <w:jc w:val="right"/>
              <w:rPr>
                <w:noProof/>
                <w:color w:val="000000"/>
              </w:rPr>
            </w:pPr>
            <w:r>
              <w:rPr>
                <w:noProof/>
                <w:color w:val="000000"/>
              </w:rPr>
              <w:t>2,4 %</w:t>
            </w:r>
          </w:p>
        </w:tc>
        <w:tc>
          <w:tcPr>
            <w:tcW w:w="1840" w:type="dxa"/>
            <w:shd w:val="clear" w:color="auto" w:fill="auto"/>
            <w:noWrap/>
            <w:vAlign w:val="bottom"/>
          </w:tcPr>
          <w:p w14:paraId="226D0CD7" w14:textId="77777777" w:rsidR="00772EC3" w:rsidRPr="00702148" w:rsidRDefault="00772EC3" w:rsidP="003C405A">
            <w:pPr>
              <w:spacing w:after="0"/>
              <w:jc w:val="right"/>
              <w:rPr>
                <w:noProof/>
                <w:color w:val="000000"/>
              </w:rPr>
            </w:pPr>
            <w:r>
              <w:rPr>
                <w:noProof/>
                <w:color w:val="000000"/>
              </w:rPr>
              <w:t>0,0 %</w:t>
            </w:r>
          </w:p>
        </w:tc>
      </w:tr>
      <w:tr w:rsidR="00772EC3" w:rsidRPr="004C6A35" w14:paraId="48648B9D" w14:textId="77777777" w:rsidTr="003C405A">
        <w:trPr>
          <w:trHeight w:val="300"/>
        </w:trPr>
        <w:tc>
          <w:tcPr>
            <w:tcW w:w="960" w:type="dxa"/>
            <w:shd w:val="clear" w:color="auto" w:fill="auto"/>
            <w:noWrap/>
            <w:vAlign w:val="bottom"/>
          </w:tcPr>
          <w:p w14:paraId="2374C96E" w14:textId="77777777" w:rsidR="00772EC3" w:rsidRPr="00702148" w:rsidRDefault="00772EC3" w:rsidP="003C405A">
            <w:pPr>
              <w:spacing w:after="0"/>
              <w:rPr>
                <w:noProof/>
                <w:color w:val="000000"/>
              </w:rPr>
            </w:pPr>
            <w:r>
              <w:rPr>
                <w:noProof/>
                <w:color w:val="000000"/>
              </w:rPr>
              <w:t>EL</w:t>
            </w:r>
          </w:p>
        </w:tc>
        <w:tc>
          <w:tcPr>
            <w:tcW w:w="3060" w:type="dxa"/>
            <w:shd w:val="clear" w:color="auto" w:fill="auto"/>
            <w:noWrap/>
            <w:vAlign w:val="bottom"/>
          </w:tcPr>
          <w:p w14:paraId="526055A1" w14:textId="77777777" w:rsidR="00772EC3" w:rsidRPr="00702148" w:rsidRDefault="00772EC3" w:rsidP="003C405A">
            <w:pPr>
              <w:spacing w:after="0"/>
              <w:jc w:val="right"/>
              <w:rPr>
                <w:noProof/>
                <w:color w:val="000000"/>
              </w:rPr>
            </w:pPr>
            <w:r>
              <w:rPr>
                <w:noProof/>
                <w:color w:val="000000"/>
              </w:rPr>
              <w:t>–0,6 %</w:t>
            </w:r>
          </w:p>
        </w:tc>
        <w:tc>
          <w:tcPr>
            <w:tcW w:w="2840" w:type="dxa"/>
            <w:shd w:val="clear" w:color="auto" w:fill="auto"/>
            <w:noWrap/>
            <w:vAlign w:val="bottom"/>
          </w:tcPr>
          <w:p w14:paraId="54C1E511" w14:textId="77777777" w:rsidR="00772EC3" w:rsidRPr="00702148" w:rsidRDefault="00772EC3" w:rsidP="003C405A">
            <w:pPr>
              <w:spacing w:after="0"/>
              <w:jc w:val="right"/>
              <w:rPr>
                <w:noProof/>
                <w:color w:val="000000"/>
              </w:rPr>
            </w:pPr>
            <w:r>
              <w:rPr>
                <w:noProof/>
                <w:color w:val="000000"/>
              </w:rPr>
              <w:t>1,5 %</w:t>
            </w:r>
          </w:p>
        </w:tc>
        <w:tc>
          <w:tcPr>
            <w:tcW w:w="1840" w:type="dxa"/>
            <w:shd w:val="clear" w:color="auto" w:fill="auto"/>
            <w:noWrap/>
            <w:vAlign w:val="bottom"/>
          </w:tcPr>
          <w:p w14:paraId="2D7DA660" w14:textId="77777777" w:rsidR="00772EC3" w:rsidRPr="00702148" w:rsidRDefault="00772EC3" w:rsidP="003C405A">
            <w:pPr>
              <w:spacing w:after="0"/>
              <w:jc w:val="right"/>
              <w:rPr>
                <w:noProof/>
                <w:color w:val="000000"/>
              </w:rPr>
            </w:pPr>
            <w:r>
              <w:rPr>
                <w:noProof/>
                <w:color w:val="000000"/>
              </w:rPr>
              <w:t>0,0 %</w:t>
            </w:r>
          </w:p>
        </w:tc>
      </w:tr>
      <w:tr w:rsidR="00772EC3" w:rsidRPr="004C6A35" w14:paraId="5C7BE74C" w14:textId="77777777" w:rsidTr="003C405A">
        <w:trPr>
          <w:trHeight w:val="300"/>
        </w:trPr>
        <w:tc>
          <w:tcPr>
            <w:tcW w:w="960" w:type="dxa"/>
            <w:shd w:val="clear" w:color="auto" w:fill="auto"/>
            <w:noWrap/>
            <w:vAlign w:val="bottom"/>
          </w:tcPr>
          <w:p w14:paraId="544CDE99" w14:textId="77777777" w:rsidR="00772EC3" w:rsidRPr="00702148" w:rsidRDefault="00772EC3" w:rsidP="003C405A">
            <w:pPr>
              <w:spacing w:after="0"/>
              <w:rPr>
                <w:noProof/>
                <w:color w:val="000000"/>
              </w:rPr>
            </w:pPr>
            <w:r>
              <w:rPr>
                <w:noProof/>
                <w:color w:val="000000"/>
              </w:rPr>
              <w:t>ES</w:t>
            </w:r>
          </w:p>
        </w:tc>
        <w:tc>
          <w:tcPr>
            <w:tcW w:w="3060" w:type="dxa"/>
            <w:shd w:val="clear" w:color="auto" w:fill="auto"/>
            <w:noWrap/>
            <w:vAlign w:val="bottom"/>
          </w:tcPr>
          <w:p w14:paraId="2404883F" w14:textId="77777777" w:rsidR="00772EC3" w:rsidRPr="00702148" w:rsidRDefault="00772EC3" w:rsidP="003C405A">
            <w:pPr>
              <w:spacing w:after="0"/>
              <w:jc w:val="right"/>
              <w:rPr>
                <w:noProof/>
                <w:color w:val="000000"/>
              </w:rPr>
            </w:pPr>
            <w:r>
              <w:rPr>
                <w:noProof/>
                <w:color w:val="000000"/>
              </w:rPr>
              <w:t>–0,5 %</w:t>
            </w:r>
          </w:p>
        </w:tc>
        <w:tc>
          <w:tcPr>
            <w:tcW w:w="2840" w:type="dxa"/>
            <w:shd w:val="clear" w:color="auto" w:fill="auto"/>
            <w:noWrap/>
            <w:vAlign w:val="bottom"/>
          </w:tcPr>
          <w:p w14:paraId="5CEBAB9B" w14:textId="77777777" w:rsidR="00772EC3" w:rsidRPr="00702148" w:rsidRDefault="00772EC3" w:rsidP="003C405A">
            <w:pPr>
              <w:spacing w:after="0"/>
              <w:jc w:val="right"/>
              <w:rPr>
                <w:noProof/>
                <w:color w:val="000000"/>
              </w:rPr>
            </w:pPr>
            <w:r>
              <w:rPr>
                <w:noProof/>
                <w:color w:val="000000"/>
              </w:rPr>
              <w:t>9,1 %</w:t>
            </w:r>
          </w:p>
        </w:tc>
        <w:tc>
          <w:tcPr>
            <w:tcW w:w="1840" w:type="dxa"/>
            <w:shd w:val="clear" w:color="auto" w:fill="auto"/>
            <w:noWrap/>
            <w:vAlign w:val="bottom"/>
          </w:tcPr>
          <w:p w14:paraId="58234787" w14:textId="77777777" w:rsidR="00772EC3" w:rsidRPr="00702148" w:rsidRDefault="00772EC3" w:rsidP="003C405A">
            <w:pPr>
              <w:spacing w:after="0"/>
              <w:jc w:val="right"/>
              <w:rPr>
                <w:noProof/>
                <w:color w:val="000000"/>
              </w:rPr>
            </w:pPr>
            <w:r>
              <w:rPr>
                <w:noProof/>
                <w:color w:val="000000"/>
              </w:rPr>
              <w:t>0,0 %</w:t>
            </w:r>
          </w:p>
        </w:tc>
      </w:tr>
      <w:tr w:rsidR="00772EC3" w:rsidRPr="004C6A35" w14:paraId="019C1F5C" w14:textId="77777777" w:rsidTr="003C405A">
        <w:trPr>
          <w:trHeight w:val="300"/>
        </w:trPr>
        <w:tc>
          <w:tcPr>
            <w:tcW w:w="960" w:type="dxa"/>
            <w:shd w:val="clear" w:color="auto" w:fill="auto"/>
            <w:noWrap/>
            <w:vAlign w:val="bottom"/>
          </w:tcPr>
          <w:p w14:paraId="186545F9" w14:textId="77777777" w:rsidR="00772EC3" w:rsidRPr="00702148" w:rsidRDefault="00772EC3" w:rsidP="003C405A">
            <w:pPr>
              <w:spacing w:after="0"/>
              <w:rPr>
                <w:noProof/>
                <w:color w:val="000000"/>
              </w:rPr>
            </w:pPr>
            <w:r>
              <w:rPr>
                <w:noProof/>
                <w:color w:val="000000"/>
              </w:rPr>
              <w:t>FR</w:t>
            </w:r>
          </w:p>
        </w:tc>
        <w:tc>
          <w:tcPr>
            <w:tcW w:w="3060" w:type="dxa"/>
            <w:shd w:val="clear" w:color="auto" w:fill="auto"/>
            <w:noWrap/>
            <w:vAlign w:val="bottom"/>
          </w:tcPr>
          <w:p w14:paraId="003A2280" w14:textId="77777777" w:rsidR="00772EC3" w:rsidRPr="00702148" w:rsidRDefault="00772EC3" w:rsidP="003C405A">
            <w:pPr>
              <w:spacing w:after="0"/>
              <w:jc w:val="right"/>
              <w:rPr>
                <w:noProof/>
                <w:color w:val="000000"/>
              </w:rPr>
            </w:pPr>
            <w:r>
              <w:rPr>
                <w:noProof/>
                <w:color w:val="000000"/>
              </w:rPr>
              <w:t>–0,8 %</w:t>
            </w:r>
          </w:p>
        </w:tc>
        <w:tc>
          <w:tcPr>
            <w:tcW w:w="2840" w:type="dxa"/>
            <w:shd w:val="clear" w:color="auto" w:fill="auto"/>
            <w:noWrap/>
            <w:vAlign w:val="bottom"/>
          </w:tcPr>
          <w:p w14:paraId="514A2F16" w14:textId="77777777" w:rsidR="00772EC3" w:rsidRPr="00702148" w:rsidRDefault="00772EC3" w:rsidP="003C405A">
            <w:pPr>
              <w:spacing w:after="0"/>
              <w:jc w:val="right"/>
              <w:rPr>
                <w:noProof/>
                <w:color w:val="000000"/>
              </w:rPr>
            </w:pPr>
            <w:r>
              <w:rPr>
                <w:noProof/>
                <w:color w:val="000000"/>
              </w:rPr>
              <w:t>15,7 %</w:t>
            </w:r>
          </w:p>
        </w:tc>
        <w:tc>
          <w:tcPr>
            <w:tcW w:w="1840" w:type="dxa"/>
            <w:shd w:val="clear" w:color="auto" w:fill="auto"/>
            <w:noWrap/>
            <w:vAlign w:val="bottom"/>
          </w:tcPr>
          <w:p w14:paraId="25FD4DBD" w14:textId="77777777" w:rsidR="00772EC3" w:rsidRPr="00702148" w:rsidRDefault="00772EC3" w:rsidP="003C405A">
            <w:pPr>
              <w:spacing w:after="0"/>
              <w:jc w:val="right"/>
              <w:rPr>
                <w:noProof/>
                <w:color w:val="000000"/>
              </w:rPr>
            </w:pPr>
            <w:r>
              <w:rPr>
                <w:noProof/>
                <w:color w:val="000000"/>
              </w:rPr>
              <w:t>–0,1 %</w:t>
            </w:r>
          </w:p>
        </w:tc>
      </w:tr>
      <w:tr w:rsidR="00772EC3" w:rsidRPr="004C6A35" w14:paraId="3AC88773" w14:textId="77777777" w:rsidTr="003C405A">
        <w:trPr>
          <w:trHeight w:val="300"/>
        </w:trPr>
        <w:tc>
          <w:tcPr>
            <w:tcW w:w="960" w:type="dxa"/>
            <w:shd w:val="clear" w:color="auto" w:fill="auto"/>
            <w:noWrap/>
            <w:vAlign w:val="bottom"/>
          </w:tcPr>
          <w:p w14:paraId="5D6BBBC6" w14:textId="77777777" w:rsidR="00772EC3" w:rsidRPr="00702148" w:rsidRDefault="00772EC3" w:rsidP="003C405A">
            <w:pPr>
              <w:spacing w:after="0"/>
              <w:rPr>
                <w:noProof/>
                <w:color w:val="000000"/>
              </w:rPr>
            </w:pPr>
            <w:r>
              <w:rPr>
                <w:noProof/>
                <w:color w:val="000000"/>
              </w:rPr>
              <w:t>HR</w:t>
            </w:r>
          </w:p>
        </w:tc>
        <w:tc>
          <w:tcPr>
            <w:tcW w:w="3060" w:type="dxa"/>
            <w:shd w:val="clear" w:color="auto" w:fill="auto"/>
            <w:noWrap/>
            <w:vAlign w:val="bottom"/>
          </w:tcPr>
          <w:p w14:paraId="090F9358" w14:textId="77777777" w:rsidR="00772EC3" w:rsidRPr="00702148" w:rsidRDefault="00772EC3" w:rsidP="003C405A">
            <w:pPr>
              <w:spacing w:after="0"/>
              <w:jc w:val="right"/>
              <w:rPr>
                <w:noProof/>
                <w:color w:val="000000"/>
              </w:rPr>
            </w:pPr>
            <w:r>
              <w:rPr>
                <w:noProof/>
                <w:color w:val="000000"/>
              </w:rPr>
              <w:t>2,3 %</w:t>
            </w:r>
          </w:p>
        </w:tc>
        <w:tc>
          <w:tcPr>
            <w:tcW w:w="2840" w:type="dxa"/>
            <w:shd w:val="clear" w:color="auto" w:fill="auto"/>
            <w:noWrap/>
            <w:vAlign w:val="bottom"/>
          </w:tcPr>
          <w:p w14:paraId="359451F0" w14:textId="77777777" w:rsidR="00772EC3" w:rsidRPr="00702148" w:rsidRDefault="00772EC3" w:rsidP="003C405A">
            <w:pPr>
              <w:spacing w:after="0"/>
              <w:jc w:val="right"/>
              <w:rPr>
                <w:noProof/>
                <w:color w:val="000000"/>
              </w:rPr>
            </w:pPr>
            <w:r>
              <w:rPr>
                <w:noProof/>
                <w:color w:val="000000"/>
              </w:rPr>
              <w:t>0,6 %</w:t>
            </w:r>
          </w:p>
        </w:tc>
        <w:tc>
          <w:tcPr>
            <w:tcW w:w="1840" w:type="dxa"/>
            <w:shd w:val="clear" w:color="auto" w:fill="auto"/>
            <w:noWrap/>
            <w:vAlign w:val="bottom"/>
          </w:tcPr>
          <w:p w14:paraId="16183C28" w14:textId="77777777" w:rsidR="00772EC3" w:rsidRPr="00702148" w:rsidRDefault="00772EC3" w:rsidP="003C405A">
            <w:pPr>
              <w:spacing w:after="0"/>
              <w:jc w:val="right"/>
              <w:rPr>
                <w:noProof/>
                <w:color w:val="000000"/>
              </w:rPr>
            </w:pPr>
            <w:r>
              <w:rPr>
                <w:noProof/>
                <w:color w:val="000000"/>
              </w:rPr>
              <w:t>0,0 %</w:t>
            </w:r>
          </w:p>
        </w:tc>
      </w:tr>
      <w:tr w:rsidR="00772EC3" w:rsidRPr="004C6A35" w14:paraId="4F330311" w14:textId="77777777" w:rsidTr="003C405A">
        <w:trPr>
          <w:trHeight w:val="300"/>
        </w:trPr>
        <w:tc>
          <w:tcPr>
            <w:tcW w:w="960" w:type="dxa"/>
            <w:shd w:val="clear" w:color="auto" w:fill="auto"/>
            <w:noWrap/>
            <w:vAlign w:val="bottom"/>
          </w:tcPr>
          <w:p w14:paraId="3A01141B" w14:textId="77777777" w:rsidR="00772EC3" w:rsidRPr="00702148" w:rsidRDefault="00772EC3" w:rsidP="003C405A">
            <w:pPr>
              <w:spacing w:after="0"/>
              <w:rPr>
                <w:noProof/>
                <w:color w:val="000000"/>
              </w:rPr>
            </w:pPr>
            <w:r>
              <w:rPr>
                <w:noProof/>
                <w:color w:val="000000"/>
              </w:rPr>
              <w:t>IT</w:t>
            </w:r>
          </w:p>
        </w:tc>
        <w:tc>
          <w:tcPr>
            <w:tcW w:w="3060" w:type="dxa"/>
            <w:shd w:val="clear" w:color="auto" w:fill="auto"/>
            <w:noWrap/>
            <w:vAlign w:val="bottom"/>
          </w:tcPr>
          <w:p w14:paraId="566D14AB" w14:textId="77777777" w:rsidR="00772EC3" w:rsidRPr="00702148" w:rsidRDefault="00772EC3" w:rsidP="003C405A">
            <w:pPr>
              <w:spacing w:after="0"/>
              <w:jc w:val="right"/>
              <w:rPr>
                <w:noProof/>
                <w:color w:val="000000"/>
              </w:rPr>
            </w:pPr>
            <w:r>
              <w:rPr>
                <w:noProof/>
                <w:color w:val="000000"/>
              </w:rPr>
              <w:t>–1,3 %</w:t>
            </w:r>
          </w:p>
        </w:tc>
        <w:tc>
          <w:tcPr>
            <w:tcW w:w="2840" w:type="dxa"/>
            <w:shd w:val="clear" w:color="auto" w:fill="auto"/>
            <w:noWrap/>
            <w:vAlign w:val="bottom"/>
          </w:tcPr>
          <w:p w14:paraId="31BEBB30" w14:textId="77777777" w:rsidR="00772EC3" w:rsidRPr="00702148" w:rsidRDefault="00772EC3" w:rsidP="003C405A">
            <w:pPr>
              <w:spacing w:after="0"/>
              <w:jc w:val="right"/>
              <w:rPr>
                <w:noProof/>
                <w:color w:val="000000"/>
              </w:rPr>
            </w:pPr>
            <w:r>
              <w:rPr>
                <w:noProof/>
                <w:color w:val="000000"/>
              </w:rPr>
              <w:t>12,5 %</w:t>
            </w:r>
          </w:p>
        </w:tc>
        <w:tc>
          <w:tcPr>
            <w:tcW w:w="1840" w:type="dxa"/>
            <w:shd w:val="clear" w:color="auto" w:fill="auto"/>
            <w:noWrap/>
            <w:vAlign w:val="bottom"/>
          </w:tcPr>
          <w:p w14:paraId="7D1FFCD2" w14:textId="77777777" w:rsidR="00772EC3" w:rsidRPr="00702148" w:rsidRDefault="00772EC3" w:rsidP="003C405A">
            <w:pPr>
              <w:spacing w:after="0"/>
              <w:jc w:val="right"/>
              <w:rPr>
                <w:noProof/>
                <w:color w:val="000000"/>
              </w:rPr>
            </w:pPr>
            <w:r>
              <w:rPr>
                <w:noProof/>
                <w:color w:val="000000"/>
              </w:rPr>
              <w:t>–0,2 %</w:t>
            </w:r>
          </w:p>
        </w:tc>
      </w:tr>
      <w:tr w:rsidR="00772EC3" w:rsidRPr="004C6A35" w14:paraId="2F7D8237" w14:textId="77777777" w:rsidTr="003C405A">
        <w:trPr>
          <w:trHeight w:val="300"/>
        </w:trPr>
        <w:tc>
          <w:tcPr>
            <w:tcW w:w="960" w:type="dxa"/>
            <w:shd w:val="clear" w:color="auto" w:fill="auto"/>
            <w:noWrap/>
            <w:vAlign w:val="bottom"/>
          </w:tcPr>
          <w:p w14:paraId="730989E6" w14:textId="77777777" w:rsidR="00772EC3" w:rsidRPr="00702148" w:rsidRDefault="00772EC3" w:rsidP="003C405A">
            <w:pPr>
              <w:spacing w:after="0"/>
              <w:rPr>
                <w:noProof/>
                <w:color w:val="000000"/>
              </w:rPr>
            </w:pPr>
            <w:r>
              <w:rPr>
                <w:noProof/>
                <w:color w:val="000000"/>
              </w:rPr>
              <w:t>CY</w:t>
            </w:r>
          </w:p>
        </w:tc>
        <w:tc>
          <w:tcPr>
            <w:tcW w:w="3060" w:type="dxa"/>
            <w:shd w:val="clear" w:color="auto" w:fill="auto"/>
            <w:noWrap/>
            <w:vAlign w:val="bottom"/>
          </w:tcPr>
          <w:p w14:paraId="4FFC3DE1" w14:textId="77777777" w:rsidR="00772EC3" w:rsidRPr="00702148" w:rsidRDefault="00772EC3" w:rsidP="003C405A">
            <w:pPr>
              <w:spacing w:after="0"/>
              <w:jc w:val="right"/>
              <w:rPr>
                <w:noProof/>
                <w:color w:val="000000"/>
              </w:rPr>
            </w:pPr>
            <w:r>
              <w:rPr>
                <w:noProof/>
                <w:color w:val="000000"/>
              </w:rPr>
              <w:t>–0,7 %</w:t>
            </w:r>
          </w:p>
        </w:tc>
        <w:tc>
          <w:tcPr>
            <w:tcW w:w="2840" w:type="dxa"/>
            <w:shd w:val="clear" w:color="auto" w:fill="auto"/>
            <w:noWrap/>
            <w:vAlign w:val="bottom"/>
          </w:tcPr>
          <w:p w14:paraId="1ADECE5C" w14:textId="77777777" w:rsidR="00772EC3" w:rsidRPr="00702148" w:rsidRDefault="00772EC3" w:rsidP="003C405A">
            <w:pPr>
              <w:spacing w:after="0"/>
              <w:jc w:val="right"/>
              <w:rPr>
                <w:noProof/>
                <w:color w:val="000000"/>
              </w:rPr>
            </w:pPr>
            <w:r>
              <w:rPr>
                <w:noProof/>
                <w:color w:val="000000"/>
              </w:rPr>
              <w:t>0,2 %</w:t>
            </w:r>
          </w:p>
        </w:tc>
        <w:tc>
          <w:tcPr>
            <w:tcW w:w="1840" w:type="dxa"/>
            <w:shd w:val="clear" w:color="auto" w:fill="auto"/>
            <w:noWrap/>
            <w:vAlign w:val="bottom"/>
          </w:tcPr>
          <w:p w14:paraId="709F6F4B" w14:textId="77777777" w:rsidR="00772EC3" w:rsidRPr="00702148" w:rsidRDefault="00772EC3" w:rsidP="003C405A">
            <w:pPr>
              <w:spacing w:after="0"/>
              <w:jc w:val="right"/>
              <w:rPr>
                <w:noProof/>
                <w:color w:val="000000"/>
              </w:rPr>
            </w:pPr>
            <w:r>
              <w:rPr>
                <w:noProof/>
                <w:color w:val="000000"/>
              </w:rPr>
              <w:t>0,0 %</w:t>
            </w:r>
          </w:p>
        </w:tc>
      </w:tr>
      <w:tr w:rsidR="00772EC3" w:rsidRPr="004C6A35" w14:paraId="3697327C" w14:textId="77777777" w:rsidTr="003C405A">
        <w:trPr>
          <w:trHeight w:val="300"/>
        </w:trPr>
        <w:tc>
          <w:tcPr>
            <w:tcW w:w="960" w:type="dxa"/>
            <w:shd w:val="clear" w:color="auto" w:fill="auto"/>
            <w:noWrap/>
            <w:vAlign w:val="bottom"/>
          </w:tcPr>
          <w:p w14:paraId="7CF93618" w14:textId="77777777" w:rsidR="00772EC3" w:rsidRPr="00702148" w:rsidRDefault="00772EC3" w:rsidP="003C405A">
            <w:pPr>
              <w:spacing w:after="0"/>
              <w:rPr>
                <w:noProof/>
                <w:color w:val="000000"/>
              </w:rPr>
            </w:pPr>
            <w:r>
              <w:rPr>
                <w:noProof/>
                <w:color w:val="000000"/>
              </w:rPr>
              <w:t>LV</w:t>
            </w:r>
          </w:p>
        </w:tc>
        <w:tc>
          <w:tcPr>
            <w:tcW w:w="3060" w:type="dxa"/>
            <w:shd w:val="clear" w:color="auto" w:fill="auto"/>
            <w:noWrap/>
            <w:vAlign w:val="bottom"/>
          </w:tcPr>
          <w:p w14:paraId="7F9D26CF" w14:textId="77777777" w:rsidR="00772EC3" w:rsidRPr="00702148" w:rsidRDefault="00772EC3" w:rsidP="003C405A">
            <w:pPr>
              <w:spacing w:after="0"/>
              <w:jc w:val="right"/>
              <w:rPr>
                <w:noProof/>
                <w:color w:val="000000"/>
              </w:rPr>
            </w:pPr>
            <w:r>
              <w:rPr>
                <w:noProof/>
                <w:color w:val="000000"/>
              </w:rPr>
              <w:t>0,8 %</w:t>
            </w:r>
          </w:p>
        </w:tc>
        <w:tc>
          <w:tcPr>
            <w:tcW w:w="2840" w:type="dxa"/>
            <w:shd w:val="clear" w:color="auto" w:fill="auto"/>
            <w:noWrap/>
            <w:vAlign w:val="bottom"/>
          </w:tcPr>
          <w:p w14:paraId="4AE6C936" w14:textId="77777777" w:rsidR="00772EC3" w:rsidRPr="00702148" w:rsidRDefault="00772EC3" w:rsidP="003C405A">
            <w:pPr>
              <w:spacing w:after="0"/>
              <w:jc w:val="right"/>
              <w:rPr>
                <w:noProof/>
                <w:color w:val="000000"/>
              </w:rPr>
            </w:pPr>
            <w:r>
              <w:rPr>
                <w:noProof/>
                <w:color w:val="000000"/>
              </w:rPr>
              <w:t>0,3 %</w:t>
            </w:r>
          </w:p>
        </w:tc>
        <w:tc>
          <w:tcPr>
            <w:tcW w:w="1840" w:type="dxa"/>
            <w:shd w:val="clear" w:color="auto" w:fill="auto"/>
            <w:noWrap/>
            <w:vAlign w:val="bottom"/>
          </w:tcPr>
          <w:p w14:paraId="12C1F9C2" w14:textId="77777777" w:rsidR="00772EC3" w:rsidRPr="00702148" w:rsidRDefault="00772EC3" w:rsidP="003C405A">
            <w:pPr>
              <w:spacing w:after="0"/>
              <w:jc w:val="right"/>
              <w:rPr>
                <w:noProof/>
                <w:color w:val="000000"/>
              </w:rPr>
            </w:pPr>
            <w:r>
              <w:rPr>
                <w:noProof/>
                <w:color w:val="000000"/>
              </w:rPr>
              <w:t>0,0 %</w:t>
            </w:r>
          </w:p>
        </w:tc>
      </w:tr>
      <w:tr w:rsidR="00772EC3" w:rsidRPr="004C6A35" w14:paraId="07601058" w14:textId="77777777" w:rsidTr="003C405A">
        <w:trPr>
          <w:trHeight w:val="300"/>
        </w:trPr>
        <w:tc>
          <w:tcPr>
            <w:tcW w:w="960" w:type="dxa"/>
            <w:shd w:val="clear" w:color="auto" w:fill="auto"/>
            <w:noWrap/>
            <w:vAlign w:val="bottom"/>
          </w:tcPr>
          <w:p w14:paraId="6178A2ED" w14:textId="77777777" w:rsidR="00772EC3" w:rsidRPr="00702148" w:rsidRDefault="00772EC3" w:rsidP="003C405A">
            <w:pPr>
              <w:spacing w:after="0"/>
              <w:rPr>
                <w:noProof/>
                <w:color w:val="000000"/>
              </w:rPr>
            </w:pPr>
            <w:r>
              <w:rPr>
                <w:noProof/>
                <w:color w:val="000000"/>
              </w:rPr>
              <w:t>LT</w:t>
            </w:r>
          </w:p>
        </w:tc>
        <w:tc>
          <w:tcPr>
            <w:tcW w:w="3060" w:type="dxa"/>
            <w:shd w:val="clear" w:color="auto" w:fill="auto"/>
            <w:noWrap/>
            <w:vAlign w:val="bottom"/>
          </w:tcPr>
          <w:p w14:paraId="6C0F3CCE" w14:textId="77777777" w:rsidR="00772EC3" w:rsidRPr="00702148" w:rsidRDefault="00772EC3" w:rsidP="003C405A">
            <w:pPr>
              <w:spacing w:after="0"/>
              <w:jc w:val="right"/>
              <w:rPr>
                <w:noProof/>
                <w:color w:val="000000"/>
              </w:rPr>
            </w:pPr>
            <w:r>
              <w:rPr>
                <w:noProof/>
                <w:color w:val="000000"/>
              </w:rPr>
              <w:t>0,7 %</w:t>
            </w:r>
          </w:p>
        </w:tc>
        <w:tc>
          <w:tcPr>
            <w:tcW w:w="2840" w:type="dxa"/>
            <w:shd w:val="clear" w:color="auto" w:fill="auto"/>
            <w:noWrap/>
            <w:vAlign w:val="bottom"/>
          </w:tcPr>
          <w:p w14:paraId="1F9C9B75" w14:textId="77777777" w:rsidR="00772EC3" w:rsidRPr="00702148" w:rsidRDefault="00772EC3" w:rsidP="003C405A">
            <w:pPr>
              <w:spacing w:after="0"/>
              <w:jc w:val="right"/>
              <w:rPr>
                <w:noProof/>
                <w:color w:val="000000"/>
              </w:rPr>
            </w:pPr>
            <w:r>
              <w:rPr>
                <w:noProof/>
                <w:color w:val="000000"/>
              </w:rPr>
              <w:t>0,5 %</w:t>
            </w:r>
          </w:p>
        </w:tc>
        <w:tc>
          <w:tcPr>
            <w:tcW w:w="1840" w:type="dxa"/>
            <w:shd w:val="clear" w:color="auto" w:fill="auto"/>
            <w:noWrap/>
            <w:vAlign w:val="bottom"/>
          </w:tcPr>
          <w:p w14:paraId="56048B47" w14:textId="77777777" w:rsidR="00772EC3" w:rsidRPr="00702148" w:rsidRDefault="00772EC3" w:rsidP="003C405A">
            <w:pPr>
              <w:spacing w:after="0"/>
              <w:jc w:val="right"/>
              <w:rPr>
                <w:noProof/>
                <w:color w:val="000000"/>
              </w:rPr>
            </w:pPr>
            <w:r>
              <w:rPr>
                <w:noProof/>
                <w:color w:val="000000"/>
              </w:rPr>
              <w:t>0,0 %</w:t>
            </w:r>
          </w:p>
        </w:tc>
      </w:tr>
      <w:tr w:rsidR="00772EC3" w:rsidRPr="004C6A35" w14:paraId="67ED6B3E" w14:textId="77777777" w:rsidTr="003C405A">
        <w:trPr>
          <w:trHeight w:val="300"/>
        </w:trPr>
        <w:tc>
          <w:tcPr>
            <w:tcW w:w="960" w:type="dxa"/>
            <w:shd w:val="clear" w:color="auto" w:fill="auto"/>
            <w:noWrap/>
            <w:vAlign w:val="bottom"/>
          </w:tcPr>
          <w:p w14:paraId="0B5FA284" w14:textId="77777777" w:rsidR="00772EC3" w:rsidRPr="00702148" w:rsidRDefault="00772EC3" w:rsidP="003C405A">
            <w:pPr>
              <w:spacing w:after="0"/>
              <w:rPr>
                <w:noProof/>
                <w:color w:val="000000"/>
              </w:rPr>
            </w:pPr>
            <w:r>
              <w:rPr>
                <w:noProof/>
                <w:color w:val="000000"/>
              </w:rPr>
              <w:t>LU</w:t>
            </w:r>
          </w:p>
        </w:tc>
        <w:tc>
          <w:tcPr>
            <w:tcW w:w="3060" w:type="dxa"/>
            <w:shd w:val="clear" w:color="auto" w:fill="auto"/>
            <w:noWrap/>
            <w:vAlign w:val="bottom"/>
          </w:tcPr>
          <w:p w14:paraId="6EEA4B50" w14:textId="77777777" w:rsidR="00772EC3" w:rsidRPr="00702148" w:rsidRDefault="00772EC3" w:rsidP="003C405A">
            <w:pPr>
              <w:spacing w:after="0"/>
              <w:jc w:val="right"/>
              <w:rPr>
                <w:noProof/>
                <w:color w:val="000000"/>
              </w:rPr>
            </w:pPr>
            <w:r>
              <w:rPr>
                <w:noProof/>
                <w:color w:val="000000"/>
              </w:rPr>
              <w:t>–3,3 %</w:t>
            </w:r>
          </w:p>
        </w:tc>
        <w:tc>
          <w:tcPr>
            <w:tcW w:w="2840" w:type="dxa"/>
            <w:shd w:val="clear" w:color="auto" w:fill="auto"/>
            <w:noWrap/>
            <w:vAlign w:val="bottom"/>
          </w:tcPr>
          <w:p w14:paraId="2D582018" w14:textId="77777777" w:rsidR="00772EC3" w:rsidRPr="00702148" w:rsidRDefault="00772EC3" w:rsidP="003C405A">
            <w:pPr>
              <w:spacing w:after="0"/>
              <w:jc w:val="right"/>
              <w:rPr>
                <w:noProof/>
                <w:color w:val="000000"/>
              </w:rPr>
            </w:pPr>
            <w:r>
              <w:rPr>
                <w:noProof/>
                <w:color w:val="000000"/>
              </w:rPr>
              <w:t>0,4 %</w:t>
            </w:r>
          </w:p>
        </w:tc>
        <w:tc>
          <w:tcPr>
            <w:tcW w:w="1840" w:type="dxa"/>
            <w:shd w:val="clear" w:color="auto" w:fill="auto"/>
            <w:noWrap/>
            <w:vAlign w:val="bottom"/>
          </w:tcPr>
          <w:p w14:paraId="28D3FF14" w14:textId="77777777" w:rsidR="00772EC3" w:rsidRPr="00702148" w:rsidRDefault="00772EC3" w:rsidP="003C405A">
            <w:pPr>
              <w:spacing w:after="0"/>
              <w:jc w:val="right"/>
              <w:rPr>
                <w:noProof/>
                <w:color w:val="000000"/>
              </w:rPr>
            </w:pPr>
            <w:r>
              <w:rPr>
                <w:noProof/>
                <w:color w:val="000000"/>
              </w:rPr>
              <w:t>0,0 %</w:t>
            </w:r>
          </w:p>
        </w:tc>
      </w:tr>
      <w:tr w:rsidR="00772EC3" w:rsidRPr="004C6A35" w14:paraId="0ED7BFED" w14:textId="77777777" w:rsidTr="003C405A">
        <w:trPr>
          <w:trHeight w:val="300"/>
        </w:trPr>
        <w:tc>
          <w:tcPr>
            <w:tcW w:w="960" w:type="dxa"/>
            <w:shd w:val="clear" w:color="auto" w:fill="auto"/>
            <w:noWrap/>
            <w:vAlign w:val="bottom"/>
          </w:tcPr>
          <w:p w14:paraId="1A382695" w14:textId="77777777" w:rsidR="00772EC3" w:rsidRPr="00702148" w:rsidRDefault="00772EC3" w:rsidP="003C405A">
            <w:pPr>
              <w:spacing w:after="0"/>
              <w:rPr>
                <w:noProof/>
                <w:color w:val="000000"/>
              </w:rPr>
            </w:pPr>
            <w:r>
              <w:rPr>
                <w:noProof/>
                <w:color w:val="000000"/>
              </w:rPr>
              <w:t>HU</w:t>
            </w:r>
          </w:p>
        </w:tc>
        <w:tc>
          <w:tcPr>
            <w:tcW w:w="3060" w:type="dxa"/>
            <w:shd w:val="clear" w:color="auto" w:fill="auto"/>
            <w:noWrap/>
            <w:vAlign w:val="bottom"/>
          </w:tcPr>
          <w:p w14:paraId="772CDBAC" w14:textId="77777777" w:rsidR="00772EC3" w:rsidRPr="00702148" w:rsidRDefault="00772EC3" w:rsidP="003C405A">
            <w:pPr>
              <w:spacing w:after="0"/>
              <w:jc w:val="right"/>
              <w:rPr>
                <w:noProof/>
                <w:color w:val="000000"/>
              </w:rPr>
            </w:pPr>
            <w:r>
              <w:rPr>
                <w:noProof/>
                <w:color w:val="000000"/>
              </w:rPr>
              <w:t>1,7 %</w:t>
            </w:r>
          </w:p>
        </w:tc>
        <w:tc>
          <w:tcPr>
            <w:tcW w:w="2840" w:type="dxa"/>
            <w:shd w:val="clear" w:color="auto" w:fill="auto"/>
            <w:noWrap/>
            <w:vAlign w:val="bottom"/>
          </w:tcPr>
          <w:p w14:paraId="0EF44282" w14:textId="77777777" w:rsidR="00772EC3" w:rsidRPr="00702148" w:rsidRDefault="00772EC3" w:rsidP="003C405A">
            <w:pPr>
              <w:spacing w:after="0"/>
              <w:jc w:val="right"/>
              <w:rPr>
                <w:noProof/>
                <w:color w:val="000000"/>
              </w:rPr>
            </w:pPr>
            <w:r>
              <w:rPr>
                <w:noProof/>
                <w:color w:val="000000"/>
              </w:rPr>
              <w:t>1,6 %</w:t>
            </w:r>
          </w:p>
        </w:tc>
        <w:tc>
          <w:tcPr>
            <w:tcW w:w="1840" w:type="dxa"/>
            <w:shd w:val="clear" w:color="auto" w:fill="auto"/>
            <w:noWrap/>
            <w:vAlign w:val="bottom"/>
          </w:tcPr>
          <w:p w14:paraId="4BA833CB" w14:textId="77777777" w:rsidR="00772EC3" w:rsidRPr="00702148" w:rsidRDefault="00772EC3" w:rsidP="003C405A">
            <w:pPr>
              <w:spacing w:after="0"/>
              <w:jc w:val="right"/>
              <w:rPr>
                <w:noProof/>
                <w:color w:val="000000"/>
              </w:rPr>
            </w:pPr>
            <w:r>
              <w:rPr>
                <w:noProof/>
                <w:color w:val="000000"/>
              </w:rPr>
              <w:t>0,0 %</w:t>
            </w:r>
          </w:p>
        </w:tc>
      </w:tr>
      <w:tr w:rsidR="00772EC3" w:rsidRPr="004C6A35" w14:paraId="6DD458AE" w14:textId="77777777" w:rsidTr="003C405A">
        <w:trPr>
          <w:trHeight w:val="300"/>
        </w:trPr>
        <w:tc>
          <w:tcPr>
            <w:tcW w:w="960" w:type="dxa"/>
            <w:shd w:val="clear" w:color="auto" w:fill="auto"/>
            <w:noWrap/>
            <w:vAlign w:val="bottom"/>
          </w:tcPr>
          <w:p w14:paraId="05EA9E06" w14:textId="77777777" w:rsidR="00772EC3" w:rsidRPr="00702148" w:rsidRDefault="00772EC3" w:rsidP="003C405A">
            <w:pPr>
              <w:spacing w:after="0"/>
              <w:rPr>
                <w:noProof/>
                <w:color w:val="000000"/>
              </w:rPr>
            </w:pPr>
            <w:r>
              <w:rPr>
                <w:noProof/>
                <w:color w:val="000000"/>
              </w:rPr>
              <w:t>MT</w:t>
            </w:r>
          </w:p>
        </w:tc>
        <w:tc>
          <w:tcPr>
            <w:tcW w:w="3060" w:type="dxa"/>
            <w:shd w:val="clear" w:color="auto" w:fill="auto"/>
            <w:noWrap/>
            <w:vAlign w:val="bottom"/>
          </w:tcPr>
          <w:p w14:paraId="14BD0521" w14:textId="77777777" w:rsidR="00772EC3" w:rsidRPr="00702148" w:rsidRDefault="00772EC3" w:rsidP="003C405A">
            <w:pPr>
              <w:spacing w:after="0"/>
              <w:jc w:val="right"/>
              <w:rPr>
                <w:noProof/>
                <w:color w:val="000000"/>
              </w:rPr>
            </w:pPr>
            <w:r>
              <w:rPr>
                <w:noProof/>
                <w:color w:val="000000"/>
              </w:rPr>
              <w:t>5,0 %</w:t>
            </w:r>
          </w:p>
        </w:tc>
        <w:tc>
          <w:tcPr>
            <w:tcW w:w="2840" w:type="dxa"/>
            <w:shd w:val="clear" w:color="auto" w:fill="auto"/>
            <w:noWrap/>
            <w:vAlign w:val="bottom"/>
          </w:tcPr>
          <w:p w14:paraId="327A7843" w14:textId="77777777" w:rsidR="00772EC3" w:rsidRPr="00702148" w:rsidRDefault="00772EC3" w:rsidP="003C405A">
            <w:pPr>
              <w:spacing w:after="0"/>
              <w:jc w:val="right"/>
              <w:rPr>
                <w:noProof/>
                <w:color w:val="000000"/>
              </w:rPr>
            </w:pPr>
            <w:r>
              <w:rPr>
                <w:noProof/>
                <w:color w:val="000000"/>
              </w:rPr>
              <w:t>0,1 %</w:t>
            </w:r>
          </w:p>
        </w:tc>
        <w:tc>
          <w:tcPr>
            <w:tcW w:w="1840" w:type="dxa"/>
            <w:shd w:val="clear" w:color="auto" w:fill="auto"/>
            <w:noWrap/>
            <w:vAlign w:val="bottom"/>
          </w:tcPr>
          <w:p w14:paraId="1F6481CD" w14:textId="77777777" w:rsidR="00772EC3" w:rsidRPr="00702148" w:rsidRDefault="00772EC3" w:rsidP="003C405A">
            <w:pPr>
              <w:spacing w:after="0"/>
              <w:jc w:val="right"/>
              <w:rPr>
                <w:noProof/>
                <w:color w:val="000000"/>
              </w:rPr>
            </w:pPr>
            <w:r>
              <w:rPr>
                <w:noProof/>
                <w:color w:val="000000"/>
              </w:rPr>
              <w:t>0,0 %</w:t>
            </w:r>
          </w:p>
        </w:tc>
      </w:tr>
      <w:tr w:rsidR="00772EC3" w:rsidRPr="004C6A35" w14:paraId="1C889411" w14:textId="77777777" w:rsidTr="003C405A">
        <w:trPr>
          <w:trHeight w:val="300"/>
        </w:trPr>
        <w:tc>
          <w:tcPr>
            <w:tcW w:w="960" w:type="dxa"/>
            <w:shd w:val="clear" w:color="auto" w:fill="auto"/>
            <w:noWrap/>
            <w:vAlign w:val="bottom"/>
          </w:tcPr>
          <w:p w14:paraId="065B08CB" w14:textId="77777777" w:rsidR="00772EC3" w:rsidRPr="00702148" w:rsidRDefault="00772EC3" w:rsidP="003C405A">
            <w:pPr>
              <w:spacing w:after="0"/>
              <w:rPr>
                <w:noProof/>
                <w:color w:val="000000"/>
              </w:rPr>
            </w:pPr>
            <w:r>
              <w:rPr>
                <w:noProof/>
                <w:color w:val="000000"/>
              </w:rPr>
              <w:t>NL</w:t>
            </w:r>
          </w:p>
        </w:tc>
        <w:tc>
          <w:tcPr>
            <w:tcW w:w="3060" w:type="dxa"/>
            <w:shd w:val="clear" w:color="auto" w:fill="auto"/>
            <w:noWrap/>
            <w:vAlign w:val="bottom"/>
          </w:tcPr>
          <w:p w14:paraId="6D6D17B4" w14:textId="77777777" w:rsidR="00772EC3" w:rsidRPr="00702148" w:rsidRDefault="00772EC3" w:rsidP="003C405A">
            <w:pPr>
              <w:spacing w:after="0"/>
              <w:jc w:val="right"/>
              <w:rPr>
                <w:noProof/>
                <w:color w:val="000000"/>
              </w:rPr>
            </w:pPr>
            <w:r>
              <w:rPr>
                <w:noProof/>
                <w:color w:val="000000"/>
              </w:rPr>
              <w:t>0,2 %</w:t>
            </w:r>
          </w:p>
        </w:tc>
        <w:tc>
          <w:tcPr>
            <w:tcW w:w="2840" w:type="dxa"/>
            <w:shd w:val="clear" w:color="auto" w:fill="auto"/>
            <w:noWrap/>
            <w:vAlign w:val="bottom"/>
          </w:tcPr>
          <w:p w14:paraId="0D334AEE" w14:textId="77777777" w:rsidR="00772EC3" w:rsidRPr="00702148" w:rsidRDefault="00772EC3" w:rsidP="003C405A">
            <w:pPr>
              <w:spacing w:after="0"/>
              <w:jc w:val="right"/>
              <w:rPr>
                <w:noProof/>
                <w:color w:val="000000"/>
              </w:rPr>
            </w:pPr>
            <w:r>
              <w:rPr>
                <w:noProof/>
                <w:color w:val="000000"/>
              </w:rPr>
              <w:t>5,2 %</w:t>
            </w:r>
          </w:p>
        </w:tc>
        <w:tc>
          <w:tcPr>
            <w:tcW w:w="1840" w:type="dxa"/>
            <w:shd w:val="clear" w:color="auto" w:fill="auto"/>
            <w:noWrap/>
            <w:vAlign w:val="bottom"/>
          </w:tcPr>
          <w:p w14:paraId="03CE4DBA" w14:textId="77777777" w:rsidR="00772EC3" w:rsidRPr="00702148" w:rsidRDefault="00772EC3" w:rsidP="003C405A">
            <w:pPr>
              <w:spacing w:after="0"/>
              <w:jc w:val="right"/>
              <w:rPr>
                <w:noProof/>
                <w:color w:val="000000"/>
              </w:rPr>
            </w:pPr>
            <w:r>
              <w:rPr>
                <w:noProof/>
                <w:color w:val="000000"/>
              </w:rPr>
              <w:t>0,0 %</w:t>
            </w:r>
          </w:p>
        </w:tc>
      </w:tr>
      <w:tr w:rsidR="00772EC3" w:rsidRPr="004C6A35" w14:paraId="0D846342" w14:textId="77777777" w:rsidTr="003C405A">
        <w:trPr>
          <w:trHeight w:val="300"/>
        </w:trPr>
        <w:tc>
          <w:tcPr>
            <w:tcW w:w="960" w:type="dxa"/>
            <w:shd w:val="clear" w:color="auto" w:fill="auto"/>
            <w:noWrap/>
            <w:vAlign w:val="bottom"/>
          </w:tcPr>
          <w:p w14:paraId="3EA50C32" w14:textId="77777777" w:rsidR="00772EC3" w:rsidRPr="00702148" w:rsidRDefault="00772EC3" w:rsidP="003C405A">
            <w:pPr>
              <w:spacing w:after="0"/>
              <w:rPr>
                <w:noProof/>
                <w:color w:val="000000"/>
              </w:rPr>
            </w:pPr>
            <w:r>
              <w:rPr>
                <w:noProof/>
                <w:color w:val="000000"/>
              </w:rPr>
              <w:t>AT</w:t>
            </w:r>
          </w:p>
        </w:tc>
        <w:tc>
          <w:tcPr>
            <w:tcW w:w="3060" w:type="dxa"/>
            <w:shd w:val="clear" w:color="auto" w:fill="auto"/>
            <w:noWrap/>
            <w:vAlign w:val="bottom"/>
          </w:tcPr>
          <w:p w14:paraId="5CD1A098" w14:textId="77777777" w:rsidR="00772EC3" w:rsidRPr="00702148" w:rsidRDefault="00772EC3" w:rsidP="003C405A">
            <w:pPr>
              <w:spacing w:after="0"/>
              <w:jc w:val="right"/>
              <w:rPr>
                <w:noProof/>
                <w:color w:val="000000"/>
              </w:rPr>
            </w:pPr>
            <w:r>
              <w:rPr>
                <w:noProof/>
                <w:color w:val="000000"/>
              </w:rPr>
              <w:t>–0,9 %</w:t>
            </w:r>
          </w:p>
        </w:tc>
        <w:tc>
          <w:tcPr>
            <w:tcW w:w="2840" w:type="dxa"/>
            <w:shd w:val="clear" w:color="auto" w:fill="auto"/>
            <w:noWrap/>
            <w:vAlign w:val="bottom"/>
          </w:tcPr>
          <w:p w14:paraId="710ADD87" w14:textId="77777777" w:rsidR="00772EC3" w:rsidRPr="00702148" w:rsidRDefault="00772EC3" w:rsidP="003C405A">
            <w:pPr>
              <w:spacing w:after="0"/>
              <w:jc w:val="right"/>
              <w:rPr>
                <w:noProof/>
                <w:color w:val="000000"/>
              </w:rPr>
            </w:pPr>
            <w:r>
              <w:rPr>
                <w:noProof/>
                <w:color w:val="000000"/>
              </w:rPr>
              <w:t>2,5 %</w:t>
            </w:r>
          </w:p>
        </w:tc>
        <w:tc>
          <w:tcPr>
            <w:tcW w:w="1840" w:type="dxa"/>
            <w:shd w:val="clear" w:color="auto" w:fill="auto"/>
            <w:noWrap/>
            <w:vAlign w:val="bottom"/>
          </w:tcPr>
          <w:p w14:paraId="48E17CFA" w14:textId="77777777" w:rsidR="00772EC3" w:rsidRPr="00702148" w:rsidRDefault="00772EC3" w:rsidP="003C405A">
            <w:pPr>
              <w:spacing w:after="0"/>
              <w:jc w:val="right"/>
              <w:rPr>
                <w:noProof/>
                <w:color w:val="000000"/>
              </w:rPr>
            </w:pPr>
            <w:r>
              <w:rPr>
                <w:noProof/>
                <w:color w:val="000000"/>
              </w:rPr>
              <w:t>0,0 %</w:t>
            </w:r>
          </w:p>
        </w:tc>
      </w:tr>
      <w:tr w:rsidR="00772EC3" w:rsidRPr="004C6A35" w14:paraId="5BF6F03B" w14:textId="77777777" w:rsidTr="003C405A">
        <w:trPr>
          <w:trHeight w:val="300"/>
        </w:trPr>
        <w:tc>
          <w:tcPr>
            <w:tcW w:w="960" w:type="dxa"/>
            <w:shd w:val="clear" w:color="auto" w:fill="auto"/>
            <w:noWrap/>
            <w:vAlign w:val="bottom"/>
          </w:tcPr>
          <w:p w14:paraId="2AE085B0" w14:textId="77777777" w:rsidR="00772EC3" w:rsidRPr="00702148" w:rsidRDefault="00772EC3" w:rsidP="003C405A">
            <w:pPr>
              <w:spacing w:after="0"/>
              <w:rPr>
                <w:noProof/>
                <w:color w:val="000000"/>
              </w:rPr>
            </w:pPr>
            <w:r>
              <w:rPr>
                <w:noProof/>
                <w:color w:val="000000"/>
              </w:rPr>
              <w:t>PL</w:t>
            </w:r>
          </w:p>
        </w:tc>
        <w:tc>
          <w:tcPr>
            <w:tcW w:w="3060" w:type="dxa"/>
            <w:shd w:val="clear" w:color="auto" w:fill="auto"/>
            <w:noWrap/>
            <w:vAlign w:val="bottom"/>
          </w:tcPr>
          <w:p w14:paraId="027578F3" w14:textId="77777777" w:rsidR="00772EC3" w:rsidRPr="00702148" w:rsidRDefault="00772EC3" w:rsidP="003C405A">
            <w:pPr>
              <w:spacing w:after="0"/>
              <w:jc w:val="right"/>
              <w:rPr>
                <w:noProof/>
                <w:color w:val="000000"/>
              </w:rPr>
            </w:pPr>
            <w:r>
              <w:rPr>
                <w:noProof/>
                <w:color w:val="000000"/>
              </w:rPr>
              <w:t>3,8 %</w:t>
            </w:r>
          </w:p>
        </w:tc>
        <w:tc>
          <w:tcPr>
            <w:tcW w:w="2840" w:type="dxa"/>
            <w:shd w:val="clear" w:color="auto" w:fill="auto"/>
            <w:noWrap/>
            <w:vAlign w:val="bottom"/>
          </w:tcPr>
          <w:p w14:paraId="6FADA4BE" w14:textId="77777777" w:rsidR="00772EC3" w:rsidRPr="00702148" w:rsidRDefault="00772EC3" w:rsidP="003C405A">
            <w:pPr>
              <w:spacing w:after="0"/>
              <w:jc w:val="right"/>
              <w:rPr>
                <w:noProof/>
                <w:color w:val="000000"/>
              </w:rPr>
            </w:pPr>
            <w:r>
              <w:rPr>
                <w:noProof/>
                <w:color w:val="000000"/>
              </w:rPr>
              <w:t>6,5 %</w:t>
            </w:r>
          </w:p>
        </w:tc>
        <w:tc>
          <w:tcPr>
            <w:tcW w:w="1840" w:type="dxa"/>
            <w:shd w:val="clear" w:color="auto" w:fill="auto"/>
            <w:noWrap/>
            <w:vAlign w:val="bottom"/>
          </w:tcPr>
          <w:p w14:paraId="7395FC24" w14:textId="77777777" w:rsidR="00772EC3" w:rsidRPr="00702148" w:rsidRDefault="00772EC3" w:rsidP="003C405A">
            <w:pPr>
              <w:spacing w:after="0"/>
              <w:jc w:val="right"/>
              <w:rPr>
                <w:noProof/>
                <w:color w:val="000000"/>
              </w:rPr>
            </w:pPr>
            <w:r>
              <w:rPr>
                <w:noProof/>
                <w:color w:val="000000"/>
              </w:rPr>
              <w:t>0,2 %</w:t>
            </w:r>
          </w:p>
        </w:tc>
      </w:tr>
      <w:tr w:rsidR="00772EC3" w:rsidRPr="004C6A35" w14:paraId="32236357" w14:textId="77777777" w:rsidTr="003C405A">
        <w:trPr>
          <w:trHeight w:val="300"/>
        </w:trPr>
        <w:tc>
          <w:tcPr>
            <w:tcW w:w="960" w:type="dxa"/>
            <w:shd w:val="clear" w:color="auto" w:fill="auto"/>
            <w:noWrap/>
            <w:vAlign w:val="bottom"/>
          </w:tcPr>
          <w:p w14:paraId="2B6AEAB7" w14:textId="77777777" w:rsidR="00772EC3" w:rsidRPr="00702148" w:rsidRDefault="00772EC3" w:rsidP="003C405A">
            <w:pPr>
              <w:spacing w:after="0"/>
              <w:rPr>
                <w:noProof/>
                <w:color w:val="000000"/>
              </w:rPr>
            </w:pPr>
            <w:r>
              <w:rPr>
                <w:noProof/>
                <w:color w:val="000000"/>
              </w:rPr>
              <w:t>PT</w:t>
            </w:r>
          </w:p>
        </w:tc>
        <w:tc>
          <w:tcPr>
            <w:tcW w:w="3060" w:type="dxa"/>
            <w:shd w:val="clear" w:color="auto" w:fill="auto"/>
            <w:noWrap/>
            <w:vAlign w:val="bottom"/>
          </w:tcPr>
          <w:p w14:paraId="3FBB3BCF" w14:textId="77777777" w:rsidR="00772EC3" w:rsidRPr="00702148" w:rsidRDefault="00772EC3" w:rsidP="003C405A">
            <w:pPr>
              <w:spacing w:after="0"/>
              <w:jc w:val="right"/>
              <w:rPr>
                <w:noProof/>
                <w:color w:val="000000"/>
              </w:rPr>
            </w:pPr>
            <w:r>
              <w:rPr>
                <w:noProof/>
                <w:color w:val="000000"/>
              </w:rPr>
              <w:t>1,2 %</w:t>
            </w:r>
          </w:p>
        </w:tc>
        <w:tc>
          <w:tcPr>
            <w:tcW w:w="2840" w:type="dxa"/>
            <w:shd w:val="clear" w:color="auto" w:fill="auto"/>
            <w:noWrap/>
            <w:vAlign w:val="bottom"/>
          </w:tcPr>
          <w:p w14:paraId="0CF23910" w14:textId="77777777" w:rsidR="00772EC3" w:rsidRPr="00702148" w:rsidRDefault="00772EC3" w:rsidP="003C405A">
            <w:pPr>
              <w:spacing w:after="0"/>
              <w:jc w:val="right"/>
              <w:rPr>
                <w:noProof/>
                <w:color w:val="000000"/>
              </w:rPr>
            </w:pPr>
            <w:r>
              <w:rPr>
                <w:noProof/>
                <w:color w:val="000000"/>
              </w:rPr>
              <w:t>1,8 %</w:t>
            </w:r>
          </w:p>
        </w:tc>
        <w:tc>
          <w:tcPr>
            <w:tcW w:w="1840" w:type="dxa"/>
            <w:shd w:val="clear" w:color="auto" w:fill="auto"/>
            <w:noWrap/>
            <w:vAlign w:val="bottom"/>
          </w:tcPr>
          <w:p w14:paraId="4383CB84" w14:textId="77777777" w:rsidR="00772EC3" w:rsidRPr="00702148" w:rsidRDefault="00772EC3" w:rsidP="003C405A">
            <w:pPr>
              <w:spacing w:after="0"/>
              <w:jc w:val="right"/>
              <w:rPr>
                <w:noProof/>
                <w:color w:val="000000"/>
              </w:rPr>
            </w:pPr>
            <w:r>
              <w:rPr>
                <w:noProof/>
                <w:color w:val="000000"/>
              </w:rPr>
              <w:t>0,0 %</w:t>
            </w:r>
          </w:p>
        </w:tc>
      </w:tr>
      <w:tr w:rsidR="00772EC3" w:rsidRPr="004C6A35" w14:paraId="35C087C2" w14:textId="77777777" w:rsidTr="003C405A">
        <w:trPr>
          <w:trHeight w:val="300"/>
        </w:trPr>
        <w:tc>
          <w:tcPr>
            <w:tcW w:w="960" w:type="dxa"/>
            <w:shd w:val="clear" w:color="auto" w:fill="auto"/>
            <w:noWrap/>
            <w:vAlign w:val="bottom"/>
          </w:tcPr>
          <w:p w14:paraId="12A6D906" w14:textId="77777777" w:rsidR="00772EC3" w:rsidRPr="00702148" w:rsidRDefault="00772EC3" w:rsidP="003C405A">
            <w:pPr>
              <w:spacing w:after="0"/>
              <w:rPr>
                <w:noProof/>
                <w:color w:val="000000"/>
              </w:rPr>
            </w:pPr>
            <w:r>
              <w:rPr>
                <w:noProof/>
                <w:color w:val="000000"/>
              </w:rPr>
              <w:t>RO</w:t>
            </w:r>
          </w:p>
        </w:tc>
        <w:tc>
          <w:tcPr>
            <w:tcW w:w="3060" w:type="dxa"/>
            <w:shd w:val="clear" w:color="auto" w:fill="auto"/>
            <w:noWrap/>
            <w:vAlign w:val="bottom"/>
          </w:tcPr>
          <w:p w14:paraId="25E07B8C" w14:textId="77777777" w:rsidR="00772EC3" w:rsidRPr="00702148" w:rsidRDefault="00772EC3" w:rsidP="003C405A">
            <w:pPr>
              <w:spacing w:after="0"/>
              <w:jc w:val="right"/>
              <w:rPr>
                <w:noProof/>
                <w:color w:val="000000"/>
              </w:rPr>
            </w:pPr>
            <w:r>
              <w:rPr>
                <w:noProof/>
                <w:color w:val="000000"/>
              </w:rPr>
              <w:t>–1,9 %</w:t>
            </w:r>
          </w:p>
        </w:tc>
        <w:tc>
          <w:tcPr>
            <w:tcW w:w="2840" w:type="dxa"/>
            <w:shd w:val="clear" w:color="auto" w:fill="auto"/>
            <w:noWrap/>
            <w:vAlign w:val="bottom"/>
          </w:tcPr>
          <w:p w14:paraId="2FF05E76" w14:textId="77777777" w:rsidR="00772EC3" w:rsidRPr="00702148" w:rsidRDefault="00772EC3" w:rsidP="003C405A">
            <w:pPr>
              <w:spacing w:after="0"/>
              <w:jc w:val="right"/>
              <w:rPr>
                <w:noProof/>
                <w:color w:val="000000"/>
              </w:rPr>
            </w:pPr>
            <w:r>
              <w:rPr>
                <w:noProof/>
                <w:color w:val="000000"/>
              </w:rPr>
              <w:t>3,1 %</w:t>
            </w:r>
          </w:p>
        </w:tc>
        <w:tc>
          <w:tcPr>
            <w:tcW w:w="1840" w:type="dxa"/>
            <w:shd w:val="clear" w:color="auto" w:fill="auto"/>
            <w:noWrap/>
            <w:vAlign w:val="bottom"/>
          </w:tcPr>
          <w:p w14:paraId="33649BFA" w14:textId="77777777" w:rsidR="00772EC3" w:rsidRPr="00702148" w:rsidRDefault="00772EC3" w:rsidP="003C405A">
            <w:pPr>
              <w:spacing w:after="0"/>
              <w:jc w:val="right"/>
              <w:rPr>
                <w:noProof/>
                <w:color w:val="000000"/>
              </w:rPr>
            </w:pPr>
            <w:r>
              <w:rPr>
                <w:noProof/>
                <w:color w:val="000000"/>
              </w:rPr>
              <w:t>–0,1 %</w:t>
            </w:r>
          </w:p>
        </w:tc>
      </w:tr>
      <w:tr w:rsidR="00772EC3" w:rsidRPr="004C6A35" w14:paraId="4C60814E" w14:textId="77777777" w:rsidTr="003C405A">
        <w:trPr>
          <w:trHeight w:val="300"/>
        </w:trPr>
        <w:tc>
          <w:tcPr>
            <w:tcW w:w="960" w:type="dxa"/>
            <w:shd w:val="clear" w:color="auto" w:fill="auto"/>
            <w:noWrap/>
            <w:vAlign w:val="bottom"/>
          </w:tcPr>
          <w:p w14:paraId="3624F152" w14:textId="77777777" w:rsidR="00772EC3" w:rsidRPr="00702148" w:rsidRDefault="00772EC3" w:rsidP="003C405A">
            <w:pPr>
              <w:spacing w:after="0"/>
              <w:rPr>
                <w:noProof/>
                <w:color w:val="000000"/>
              </w:rPr>
            </w:pPr>
            <w:r>
              <w:rPr>
                <w:noProof/>
                <w:color w:val="000000"/>
              </w:rPr>
              <w:t>SI</w:t>
            </w:r>
          </w:p>
        </w:tc>
        <w:tc>
          <w:tcPr>
            <w:tcW w:w="3060" w:type="dxa"/>
            <w:shd w:val="clear" w:color="auto" w:fill="auto"/>
            <w:noWrap/>
            <w:vAlign w:val="bottom"/>
          </w:tcPr>
          <w:p w14:paraId="424ABA72" w14:textId="77777777" w:rsidR="00772EC3" w:rsidRPr="00702148" w:rsidRDefault="00772EC3" w:rsidP="003C405A">
            <w:pPr>
              <w:spacing w:after="0"/>
              <w:jc w:val="right"/>
              <w:rPr>
                <w:noProof/>
                <w:color w:val="000000"/>
              </w:rPr>
            </w:pPr>
            <w:r>
              <w:rPr>
                <w:noProof/>
                <w:color w:val="000000"/>
              </w:rPr>
              <w:t>–1,1 %</w:t>
            </w:r>
          </w:p>
        </w:tc>
        <w:tc>
          <w:tcPr>
            <w:tcW w:w="2840" w:type="dxa"/>
            <w:shd w:val="clear" w:color="auto" w:fill="auto"/>
            <w:noWrap/>
            <w:vAlign w:val="bottom"/>
          </w:tcPr>
          <w:p w14:paraId="47DF7138" w14:textId="77777777" w:rsidR="00772EC3" w:rsidRPr="00702148" w:rsidRDefault="00772EC3" w:rsidP="003C405A">
            <w:pPr>
              <w:spacing w:after="0"/>
              <w:jc w:val="right"/>
              <w:rPr>
                <w:noProof/>
                <w:color w:val="000000"/>
              </w:rPr>
            </w:pPr>
            <w:r>
              <w:rPr>
                <w:noProof/>
                <w:color w:val="000000"/>
              </w:rPr>
              <w:t>0,4 %</w:t>
            </w:r>
          </w:p>
        </w:tc>
        <w:tc>
          <w:tcPr>
            <w:tcW w:w="1840" w:type="dxa"/>
            <w:shd w:val="clear" w:color="auto" w:fill="auto"/>
            <w:noWrap/>
            <w:vAlign w:val="bottom"/>
          </w:tcPr>
          <w:p w14:paraId="620747F6" w14:textId="77777777" w:rsidR="00772EC3" w:rsidRPr="00702148" w:rsidRDefault="00772EC3" w:rsidP="003C405A">
            <w:pPr>
              <w:spacing w:after="0"/>
              <w:jc w:val="right"/>
              <w:rPr>
                <w:noProof/>
                <w:color w:val="000000"/>
              </w:rPr>
            </w:pPr>
            <w:r>
              <w:rPr>
                <w:noProof/>
                <w:color w:val="000000"/>
              </w:rPr>
              <w:t>0,0 %</w:t>
            </w:r>
          </w:p>
        </w:tc>
      </w:tr>
      <w:tr w:rsidR="00772EC3" w:rsidRPr="004C6A35" w14:paraId="028E4933" w14:textId="77777777" w:rsidTr="003C405A">
        <w:trPr>
          <w:trHeight w:val="300"/>
        </w:trPr>
        <w:tc>
          <w:tcPr>
            <w:tcW w:w="960" w:type="dxa"/>
            <w:shd w:val="clear" w:color="auto" w:fill="auto"/>
            <w:noWrap/>
            <w:vAlign w:val="bottom"/>
          </w:tcPr>
          <w:p w14:paraId="2D4D7E7B" w14:textId="77777777" w:rsidR="00772EC3" w:rsidRPr="00702148" w:rsidRDefault="00772EC3" w:rsidP="003C405A">
            <w:pPr>
              <w:spacing w:after="0"/>
              <w:rPr>
                <w:noProof/>
                <w:color w:val="000000"/>
              </w:rPr>
            </w:pPr>
            <w:r>
              <w:rPr>
                <w:noProof/>
                <w:color w:val="000000"/>
              </w:rPr>
              <w:t>SK</w:t>
            </w:r>
          </w:p>
        </w:tc>
        <w:tc>
          <w:tcPr>
            <w:tcW w:w="3060" w:type="dxa"/>
            <w:shd w:val="clear" w:color="auto" w:fill="auto"/>
            <w:noWrap/>
            <w:vAlign w:val="bottom"/>
          </w:tcPr>
          <w:p w14:paraId="10F9F2CD" w14:textId="77777777" w:rsidR="00772EC3" w:rsidRPr="00702148" w:rsidRDefault="00772EC3" w:rsidP="003C405A">
            <w:pPr>
              <w:spacing w:after="0"/>
              <w:jc w:val="right"/>
              <w:rPr>
                <w:noProof/>
                <w:color w:val="000000"/>
              </w:rPr>
            </w:pPr>
            <w:r>
              <w:rPr>
                <w:noProof/>
                <w:color w:val="000000"/>
              </w:rPr>
              <w:t>6,2 %</w:t>
            </w:r>
          </w:p>
        </w:tc>
        <w:tc>
          <w:tcPr>
            <w:tcW w:w="2840" w:type="dxa"/>
            <w:shd w:val="clear" w:color="auto" w:fill="auto"/>
            <w:noWrap/>
            <w:vAlign w:val="bottom"/>
          </w:tcPr>
          <w:p w14:paraId="5FE46C33" w14:textId="77777777" w:rsidR="00772EC3" w:rsidRPr="00702148" w:rsidRDefault="00772EC3" w:rsidP="003C405A">
            <w:pPr>
              <w:spacing w:after="0"/>
              <w:jc w:val="right"/>
              <w:rPr>
                <w:noProof/>
                <w:color w:val="000000"/>
              </w:rPr>
            </w:pPr>
            <w:r>
              <w:rPr>
                <w:noProof/>
                <w:color w:val="000000"/>
              </w:rPr>
              <w:t>0,9 %</w:t>
            </w:r>
          </w:p>
        </w:tc>
        <w:tc>
          <w:tcPr>
            <w:tcW w:w="1840" w:type="dxa"/>
            <w:shd w:val="clear" w:color="auto" w:fill="auto"/>
            <w:noWrap/>
            <w:vAlign w:val="bottom"/>
          </w:tcPr>
          <w:p w14:paraId="5917D68A" w14:textId="77777777" w:rsidR="00772EC3" w:rsidRPr="00702148" w:rsidRDefault="00772EC3" w:rsidP="003C405A">
            <w:pPr>
              <w:spacing w:after="0"/>
              <w:jc w:val="right"/>
              <w:rPr>
                <w:noProof/>
                <w:color w:val="000000"/>
              </w:rPr>
            </w:pPr>
            <w:r>
              <w:rPr>
                <w:noProof/>
                <w:color w:val="000000"/>
              </w:rPr>
              <w:t>0,1 %</w:t>
            </w:r>
          </w:p>
        </w:tc>
      </w:tr>
      <w:tr w:rsidR="00772EC3" w:rsidRPr="004C6A35" w14:paraId="665791C0" w14:textId="77777777" w:rsidTr="003C405A">
        <w:trPr>
          <w:trHeight w:val="300"/>
        </w:trPr>
        <w:tc>
          <w:tcPr>
            <w:tcW w:w="960" w:type="dxa"/>
            <w:shd w:val="clear" w:color="auto" w:fill="auto"/>
            <w:noWrap/>
            <w:vAlign w:val="bottom"/>
          </w:tcPr>
          <w:p w14:paraId="279ACD92" w14:textId="77777777" w:rsidR="00772EC3" w:rsidRPr="00702148" w:rsidRDefault="00772EC3" w:rsidP="003C405A">
            <w:pPr>
              <w:spacing w:after="0"/>
              <w:rPr>
                <w:noProof/>
                <w:color w:val="000000"/>
              </w:rPr>
            </w:pPr>
            <w:r>
              <w:rPr>
                <w:noProof/>
                <w:color w:val="000000"/>
              </w:rPr>
              <w:t>FI</w:t>
            </w:r>
          </w:p>
        </w:tc>
        <w:tc>
          <w:tcPr>
            <w:tcW w:w="3060" w:type="dxa"/>
            <w:shd w:val="clear" w:color="auto" w:fill="auto"/>
            <w:noWrap/>
            <w:vAlign w:val="bottom"/>
          </w:tcPr>
          <w:p w14:paraId="78CD1BAD" w14:textId="77777777" w:rsidR="00772EC3" w:rsidRPr="00702148" w:rsidRDefault="00772EC3" w:rsidP="003C405A">
            <w:pPr>
              <w:spacing w:after="0"/>
              <w:jc w:val="right"/>
              <w:rPr>
                <w:noProof/>
                <w:color w:val="000000"/>
              </w:rPr>
            </w:pPr>
            <w:r>
              <w:rPr>
                <w:noProof/>
                <w:color w:val="000000"/>
              </w:rPr>
              <w:t>0,6 %</w:t>
            </w:r>
          </w:p>
        </w:tc>
        <w:tc>
          <w:tcPr>
            <w:tcW w:w="2840" w:type="dxa"/>
            <w:shd w:val="clear" w:color="auto" w:fill="auto"/>
            <w:noWrap/>
            <w:vAlign w:val="bottom"/>
          </w:tcPr>
          <w:p w14:paraId="6FABB12F" w14:textId="77777777" w:rsidR="00772EC3" w:rsidRPr="00702148" w:rsidRDefault="00772EC3" w:rsidP="003C405A">
            <w:pPr>
              <w:spacing w:after="0"/>
              <w:jc w:val="right"/>
              <w:rPr>
                <w:noProof/>
                <w:color w:val="000000"/>
              </w:rPr>
            </w:pPr>
            <w:r>
              <w:rPr>
                <w:noProof/>
                <w:color w:val="000000"/>
              </w:rPr>
              <w:t>1,4 %</w:t>
            </w:r>
          </w:p>
        </w:tc>
        <w:tc>
          <w:tcPr>
            <w:tcW w:w="1840" w:type="dxa"/>
            <w:shd w:val="clear" w:color="auto" w:fill="auto"/>
            <w:noWrap/>
            <w:vAlign w:val="bottom"/>
          </w:tcPr>
          <w:p w14:paraId="28B9434C" w14:textId="77777777" w:rsidR="00772EC3" w:rsidRPr="00702148" w:rsidRDefault="00772EC3" w:rsidP="003C405A">
            <w:pPr>
              <w:spacing w:after="0"/>
              <w:jc w:val="right"/>
              <w:rPr>
                <w:noProof/>
                <w:color w:val="000000"/>
              </w:rPr>
            </w:pPr>
            <w:r>
              <w:rPr>
                <w:noProof/>
                <w:color w:val="000000"/>
              </w:rPr>
              <w:t>0,0 %</w:t>
            </w:r>
          </w:p>
        </w:tc>
      </w:tr>
      <w:tr w:rsidR="00772EC3" w:rsidRPr="004C6A35" w14:paraId="583D6ED6" w14:textId="77777777" w:rsidTr="003C405A">
        <w:trPr>
          <w:trHeight w:val="300"/>
        </w:trPr>
        <w:tc>
          <w:tcPr>
            <w:tcW w:w="960" w:type="dxa"/>
            <w:shd w:val="clear" w:color="auto" w:fill="auto"/>
            <w:noWrap/>
            <w:vAlign w:val="bottom"/>
          </w:tcPr>
          <w:p w14:paraId="487F561B" w14:textId="77777777" w:rsidR="00772EC3" w:rsidRPr="00702148" w:rsidRDefault="00772EC3" w:rsidP="003C405A">
            <w:pPr>
              <w:spacing w:after="0"/>
              <w:rPr>
                <w:noProof/>
                <w:color w:val="000000"/>
              </w:rPr>
            </w:pPr>
            <w:r>
              <w:rPr>
                <w:noProof/>
                <w:color w:val="000000"/>
              </w:rPr>
              <w:t>SE</w:t>
            </w:r>
          </w:p>
        </w:tc>
        <w:tc>
          <w:tcPr>
            <w:tcW w:w="3060" w:type="dxa"/>
            <w:shd w:val="clear" w:color="auto" w:fill="auto"/>
            <w:noWrap/>
            <w:vAlign w:val="bottom"/>
          </w:tcPr>
          <w:p w14:paraId="58171E1A" w14:textId="77777777" w:rsidR="00772EC3" w:rsidRPr="00702148" w:rsidRDefault="00772EC3" w:rsidP="003C405A">
            <w:pPr>
              <w:spacing w:after="0"/>
              <w:jc w:val="right"/>
              <w:rPr>
                <w:noProof/>
                <w:color w:val="000000"/>
              </w:rPr>
            </w:pPr>
            <w:r>
              <w:rPr>
                <w:noProof/>
                <w:color w:val="000000"/>
              </w:rPr>
              <w:t>0,0 %</w:t>
            </w:r>
          </w:p>
        </w:tc>
        <w:tc>
          <w:tcPr>
            <w:tcW w:w="2840" w:type="dxa"/>
            <w:shd w:val="clear" w:color="auto" w:fill="auto"/>
            <w:noWrap/>
            <w:vAlign w:val="bottom"/>
          </w:tcPr>
          <w:p w14:paraId="09EAB28D" w14:textId="77777777" w:rsidR="00772EC3" w:rsidRPr="00702148" w:rsidRDefault="00772EC3" w:rsidP="003C405A">
            <w:pPr>
              <w:spacing w:after="0"/>
              <w:jc w:val="right"/>
              <w:rPr>
                <w:noProof/>
                <w:color w:val="000000"/>
              </w:rPr>
            </w:pPr>
            <w:r>
              <w:rPr>
                <w:noProof/>
                <w:color w:val="000000"/>
              </w:rPr>
              <w:t>2,8 %</w:t>
            </w:r>
          </w:p>
        </w:tc>
        <w:tc>
          <w:tcPr>
            <w:tcW w:w="1840" w:type="dxa"/>
            <w:shd w:val="clear" w:color="auto" w:fill="auto"/>
            <w:noWrap/>
            <w:vAlign w:val="bottom"/>
          </w:tcPr>
          <w:p w14:paraId="0BD07C4E" w14:textId="77777777" w:rsidR="00772EC3" w:rsidRPr="00702148" w:rsidRDefault="00772EC3" w:rsidP="003C405A">
            <w:pPr>
              <w:spacing w:after="0"/>
              <w:jc w:val="right"/>
              <w:rPr>
                <w:noProof/>
                <w:color w:val="000000"/>
              </w:rPr>
            </w:pPr>
            <w:r>
              <w:rPr>
                <w:noProof/>
                <w:color w:val="000000"/>
              </w:rPr>
              <w:t>0,0 %</w:t>
            </w:r>
          </w:p>
        </w:tc>
      </w:tr>
    </w:tbl>
    <w:p w14:paraId="47D1F1EA" w14:textId="77777777" w:rsidR="00772EC3" w:rsidRPr="00702148" w:rsidRDefault="00772EC3" w:rsidP="00245D7E">
      <w:pPr>
        <w:tabs>
          <w:tab w:val="right" w:pos="8647"/>
        </w:tabs>
        <w:spacing w:after="200" w:line="276" w:lineRule="auto"/>
        <w:rPr>
          <w:b/>
          <w:bCs/>
          <w:i/>
          <w:iCs/>
          <w:noProof/>
          <w:szCs w:val="24"/>
        </w:rPr>
      </w:pPr>
      <w:r>
        <w:rPr>
          <w:b/>
          <w:i/>
          <w:noProof/>
        </w:rPr>
        <w:tab/>
        <w:t>Celkový ukazatel za období 2020–21: 0,2 %</w:t>
      </w:r>
    </w:p>
    <w:p w14:paraId="5C3A869B" w14:textId="77777777" w:rsidR="00772EC3" w:rsidRPr="00702148" w:rsidRDefault="00772EC3" w:rsidP="00245D7E">
      <w:pPr>
        <w:spacing w:after="200" w:line="276" w:lineRule="auto"/>
        <w:rPr>
          <w:b/>
          <w:bCs/>
          <w:i/>
          <w:iCs/>
          <w:noProof/>
          <w:szCs w:val="24"/>
        </w:rPr>
      </w:pPr>
      <w:r>
        <w:rPr>
          <w:noProof/>
        </w:rPr>
        <w:br w:type="page"/>
      </w:r>
    </w:p>
    <w:p w14:paraId="4C4AD807" w14:textId="77777777" w:rsidR="00772EC3" w:rsidRPr="00702148" w:rsidRDefault="00772EC3" w:rsidP="00245D7E">
      <w:pPr>
        <w:tabs>
          <w:tab w:val="right" w:pos="8647"/>
        </w:tabs>
        <w:spacing w:after="200" w:line="276" w:lineRule="auto"/>
        <w:rPr>
          <w:b/>
          <w:bCs/>
          <w:i/>
          <w:iCs/>
          <w:noProof/>
          <w:szCs w:val="24"/>
        </w:rPr>
      </w:pPr>
      <w:r>
        <w:rPr>
          <w:b/>
          <w:i/>
          <w:noProof/>
        </w:rPr>
        <w:t>2021–22</w:t>
      </w:r>
    </w:p>
    <w:tbl>
      <w:tblPr>
        <w:tblStyle w:val="TableGrid"/>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3120"/>
        <w:gridCol w:w="2724"/>
        <w:gridCol w:w="1843"/>
      </w:tblGrid>
      <w:tr w:rsidR="00772EC3" w:rsidRPr="004C6A35" w14:paraId="03E454C2" w14:textId="77777777" w:rsidTr="003C405A">
        <w:trPr>
          <w:trHeight w:val="300"/>
        </w:trPr>
        <w:tc>
          <w:tcPr>
            <w:tcW w:w="960" w:type="dxa"/>
            <w:shd w:val="clear" w:color="auto" w:fill="auto"/>
            <w:noWrap/>
            <w:vAlign w:val="bottom"/>
          </w:tcPr>
          <w:p w14:paraId="6E4E57B6" w14:textId="77777777" w:rsidR="00772EC3" w:rsidRPr="00702148" w:rsidRDefault="00772EC3" w:rsidP="003C405A">
            <w:pPr>
              <w:spacing w:after="0"/>
              <w:rPr>
                <w:noProof/>
                <w:color w:val="000000"/>
              </w:rPr>
            </w:pPr>
            <w:r>
              <w:rPr>
                <w:noProof/>
                <w:color w:val="000000"/>
              </w:rPr>
              <w:t>Členský stát</w:t>
            </w:r>
          </w:p>
        </w:tc>
        <w:tc>
          <w:tcPr>
            <w:tcW w:w="3120" w:type="dxa"/>
            <w:shd w:val="clear" w:color="auto" w:fill="auto"/>
            <w:noWrap/>
            <w:vAlign w:val="bottom"/>
          </w:tcPr>
          <w:p w14:paraId="4E87D2C8" w14:textId="77777777" w:rsidR="00772EC3" w:rsidRPr="00702148" w:rsidRDefault="00772EC3" w:rsidP="003C405A">
            <w:pPr>
              <w:spacing w:after="0"/>
              <w:rPr>
                <w:noProof/>
                <w:color w:val="000000"/>
              </w:rPr>
            </w:pPr>
            <w:r>
              <w:rPr>
                <w:noProof/>
                <w:color w:val="000000"/>
              </w:rPr>
              <w:t>Ukazatel reálné čisté odměny</w:t>
            </w:r>
          </w:p>
        </w:tc>
        <w:tc>
          <w:tcPr>
            <w:tcW w:w="2724" w:type="dxa"/>
            <w:shd w:val="clear" w:color="auto" w:fill="auto"/>
            <w:noWrap/>
            <w:vAlign w:val="bottom"/>
          </w:tcPr>
          <w:p w14:paraId="4BAE31A0" w14:textId="77777777" w:rsidR="00772EC3" w:rsidRPr="00933599" w:rsidRDefault="00772EC3" w:rsidP="003C405A">
            <w:pPr>
              <w:spacing w:after="0"/>
              <w:rPr>
                <w:noProof/>
                <w:color w:val="000000"/>
              </w:rPr>
            </w:pPr>
            <w:r>
              <w:rPr>
                <w:noProof/>
                <w:color w:val="000000"/>
              </w:rPr>
              <w:t>Vážený HDP v PPS (EU-27 = 100)</w:t>
            </w:r>
          </w:p>
        </w:tc>
        <w:tc>
          <w:tcPr>
            <w:tcW w:w="1843" w:type="dxa"/>
            <w:shd w:val="clear" w:color="auto" w:fill="auto"/>
            <w:noWrap/>
            <w:vAlign w:val="bottom"/>
          </w:tcPr>
          <w:p w14:paraId="74B2A156" w14:textId="77777777" w:rsidR="00772EC3" w:rsidRPr="00702148" w:rsidRDefault="00772EC3" w:rsidP="003C405A">
            <w:pPr>
              <w:spacing w:after="0"/>
              <w:rPr>
                <w:noProof/>
                <w:color w:val="000000"/>
              </w:rPr>
            </w:pPr>
            <w:r>
              <w:rPr>
                <w:noProof/>
                <w:color w:val="000000"/>
              </w:rPr>
              <w:t>Vliv na celkovou částku</w:t>
            </w:r>
          </w:p>
        </w:tc>
      </w:tr>
      <w:tr w:rsidR="00772EC3" w:rsidRPr="004C6A35" w14:paraId="166BE862" w14:textId="77777777" w:rsidTr="003C405A">
        <w:trPr>
          <w:trHeight w:val="300"/>
        </w:trPr>
        <w:tc>
          <w:tcPr>
            <w:tcW w:w="960" w:type="dxa"/>
            <w:shd w:val="clear" w:color="auto" w:fill="auto"/>
            <w:noWrap/>
            <w:vAlign w:val="bottom"/>
          </w:tcPr>
          <w:p w14:paraId="69945B55" w14:textId="77777777" w:rsidR="00772EC3" w:rsidRPr="00702148" w:rsidRDefault="00772EC3" w:rsidP="003C405A">
            <w:pPr>
              <w:spacing w:after="0"/>
              <w:rPr>
                <w:noProof/>
                <w:color w:val="000000"/>
                <w:lang w:eastAsia="en-IE"/>
              </w:rPr>
            </w:pPr>
          </w:p>
        </w:tc>
        <w:tc>
          <w:tcPr>
            <w:tcW w:w="3120" w:type="dxa"/>
            <w:shd w:val="clear" w:color="auto" w:fill="auto"/>
            <w:noWrap/>
            <w:vAlign w:val="bottom"/>
          </w:tcPr>
          <w:p w14:paraId="7B80C94E" w14:textId="77777777" w:rsidR="00772EC3" w:rsidRPr="00702148" w:rsidRDefault="00772EC3" w:rsidP="003C405A">
            <w:pPr>
              <w:spacing w:after="0"/>
              <w:rPr>
                <w:noProof/>
                <w:sz w:val="20"/>
                <w:lang w:eastAsia="en-IE"/>
              </w:rPr>
            </w:pPr>
          </w:p>
        </w:tc>
        <w:tc>
          <w:tcPr>
            <w:tcW w:w="2724" w:type="dxa"/>
            <w:shd w:val="clear" w:color="auto" w:fill="auto"/>
            <w:noWrap/>
            <w:vAlign w:val="bottom"/>
          </w:tcPr>
          <w:p w14:paraId="16B7B817" w14:textId="77777777" w:rsidR="00772EC3" w:rsidRPr="00702148" w:rsidRDefault="00772EC3" w:rsidP="003C405A">
            <w:pPr>
              <w:spacing w:after="0"/>
              <w:rPr>
                <w:noProof/>
                <w:sz w:val="20"/>
                <w:lang w:eastAsia="en-IE"/>
              </w:rPr>
            </w:pPr>
          </w:p>
        </w:tc>
        <w:tc>
          <w:tcPr>
            <w:tcW w:w="1843" w:type="dxa"/>
            <w:shd w:val="clear" w:color="auto" w:fill="auto"/>
            <w:noWrap/>
            <w:vAlign w:val="bottom"/>
          </w:tcPr>
          <w:p w14:paraId="211DFC7C" w14:textId="77777777" w:rsidR="00772EC3" w:rsidRPr="00702148" w:rsidRDefault="00772EC3" w:rsidP="003C405A">
            <w:pPr>
              <w:spacing w:after="0"/>
              <w:rPr>
                <w:noProof/>
                <w:sz w:val="20"/>
                <w:lang w:eastAsia="en-IE"/>
              </w:rPr>
            </w:pPr>
          </w:p>
        </w:tc>
      </w:tr>
      <w:tr w:rsidR="00772EC3" w:rsidRPr="004C6A35" w14:paraId="3A315F44" w14:textId="77777777" w:rsidTr="003C405A">
        <w:trPr>
          <w:trHeight w:val="300"/>
        </w:trPr>
        <w:tc>
          <w:tcPr>
            <w:tcW w:w="960" w:type="dxa"/>
            <w:shd w:val="clear" w:color="auto" w:fill="auto"/>
            <w:noWrap/>
            <w:vAlign w:val="bottom"/>
          </w:tcPr>
          <w:p w14:paraId="44BEA815" w14:textId="77777777" w:rsidR="00772EC3" w:rsidRPr="00702148" w:rsidRDefault="00772EC3" w:rsidP="003C405A">
            <w:pPr>
              <w:spacing w:after="0"/>
              <w:rPr>
                <w:noProof/>
                <w:color w:val="000000"/>
              </w:rPr>
            </w:pPr>
            <w:r>
              <w:rPr>
                <w:noProof/>
                <w:color w:val="000000"/>
              </w:rPr>
              <w:t>BE</w:t>
            </w:r>
          </w:p>
        </w:tc>
        <w:tc>
          <w:tcPr>
            <w:tcW w:w="3120" w:type="dxa"/>
            <w:shd w:val="clear" w:color="auto" w:fill="auto"/>
            <w:noWrap/>
            <w:vAlign w:val="bottom"/>
          </w:tcPr>
          <w:p w14:paraId="6142F51C" w14:textId="77777777" w:rsidR="00772EC3" w:rsidRPr="00702148" w:rsidRDefault="00772EC3" w:rsidP="003C405A">
            <w:pPr>
              <w:spacing w:after="0"/>
              <w:jc w:val="right"/>
              <w:rPr>
                <w:noProof/>
                <w:color w:val="000000"/>
              </w:rPr>
            </w:pPr>
            <w:r>
              <w:rPr>
                <w:noProof/>
                <w:color w:val="000000"/>
              </w:rPr>
              <w:t>–3,3 %</w:t>
            </w:r>
          </w:p>
        </w:tc>
        <w:tc>
          <w:tcPr>
            <w:tcW w:w="2724" w:type="dxa"/>
            <w:shd w:val="clear" w:color="auto" w:fill="auto"/>
            <w:noWrap/>
            <w:vAlign w:val="bottom"/>
          </w:tcPr>
          <w:p w14:paraId="60C217F3" w14:textId="77777777" w:rsidR="00772EC3" w:rsidRPr="00702148" w:rsidRDefault="00772EC3" w:rsidP="003C405A">
            <w:pPr>
              <w:spacing w:after="0"/>
              <w:jc w:val="right"/>
              <w:rPr>
                <w:noProof/>
                <w:color w:val="000000"/>
              </w:rPr>
            </w:pPr>
            <w:r>
              <w:rPr>
                <w:noProof/>
                <w:color w:val="000000"/>
              </w:rPr>
              <w:t>3,2 %</w:t>
            </w:r>
          </w:p>
        </w:tc>
        <w:tc>
          <w:tcPr>
            <w:tcW w:w="1843" w:type="dxa"/>
            <w:shd w:val="clear" w:color="auto" w:fill="auto"/>
            <w:noWrap/>
            <w:vAlign w:val="bottom"/>
          </w:tcPr>
          <w:p w14:paraId="111DAAE2" w14:textId="77777777" w:rsidR="00772EC3" w:rsidRPr="00702148" w:rsidRDefault="00772EC3" w:rsidP="003C405A">
            <w:pPr>
              <w:spacing w:after="0"/>
              <w:jc w:val="right"/>
              <w:rPr>
                <w:noProof/>
                <w:color w:val="000000"/>
              </w:rPr>
            </w:pPr>
            <w:r>
              <w:rPr>
                <w:noProof/>
                <w:color w:val="000000"/>
              </w:rPr>
              <w:t>–0,1 %</w:t>
            </w:r>
          </w:p>
        </w:tc>
      </w:tr>
      <w:tr w:rsidR="00772EC3" w:rsidRPr="004C6A35" w14:paraId="774FCA6C" w14:textId="77777777" w:rsidTr="003C405A">
        <w:trPr>
          <w:trHeight w:val="300"/>
        </w:trPr>
        <w:tc>
          <w:tcPr>
            <w:tcW w:w="960" w:type="dxa"/>
            <w:shd w:val="clear" w:color="auto" w:fill="auto"/>
            <w:noWrap/>
            <w:vAlign w:val="bottom"/>
          </w:tcPr>
          <w:p w14:paraId="13209244" w14:textId="77777777" w:rsidR="00772EC3" w:rsidRPr="00702148" w:rsidRDefault="00772EC3" w:rsidP="003C405A">
            <w:pPr>
              <w:spacing w:after="0"/>
              <w:rPr>
                <w:noProof/>
                <w:color w:val="000000"/>
              </w:rPr>
            </w:pPr>
            <w:r>
              <w:rPr>
                <w:noProof/>
                <w:color w:val="000000"/>
              </w:rPr>
              <w:t>BG</w:t>
            </w:r>
          </w:p>
        </w:tc>
        <w:tc>
          <w:tcPr>
            <w:tcW w:w="3120" w:type="dxa"/>
            <w:shd w:val="clear" w:color="auto" w:fill="auto"/>
            <w:noWrap/>
            <w:vAlign w:val="bottom"/>
          </w:tcPr>
          <w:p w14:paraId="6397F705" w14:textId="77777777" w:rsidR="00772EC3" w:rsidRPr="00702148" w:rsidRDefault="00772EC3" w:rsidP="003C405A">
            <w:pPr>
              <w:spacing w:after="0"/>
              <w:jc w:val="right"/>
              <w:rPr>
                <w:noProof/>
                <w:color w:val="000000"/>
              </w:rPr>
            </w:pPr>
            <w:r>
              <w:rPr>
                <w:noProof/>
                <w:color w:val="000000"/>
              </w:rPr>
              <w:t>–9,6 %</w:t>
            </w:r>
          </w:p>
        </w:tc>
        <w:tc>
          <w:tcPr>
            <w:tcW w:w="2724" w:type="dxa"/>
            <w:shd w:val="clear" w:color="auto" w:fill="auto"/>
            <w:noWrap/>
            <w:vAlign w:val="bottom"/>
          </w:tcPr>
          <w:p w14:paraId="57EC5D1F" w14:textId="77777777" w:rsidR="00772EC3" w:rsidRPr="00702148" w:rsidRDefault="00772EC3" w:rsidP="003C405A">
            <w:pPr>
              <w:spacing w:after="0"/>
              <w:jc w:val="right"/>
              <w:rPr>
                <w:noProof/>
                <w:color w:val="000000"/>
              </w:rPr>
            </w:pPr>
            <w:r>
              <w:rPr>
                <w:noProof/>
                <w:color w:val="000000"/>
              </w:rPr>
              <w:t>0,8 %</w:t>
            </w:r>
          </w:p>
        </w:tc>
        <w:tc>
          <w:tcPr>
            <w:tcW w:w="1843" w:type="dxa"/>
            <w:shd w:val="clear" w:color="auto" w:fill="auto"/>
            <w:noWrap/>
            <w:vAlign w:val="bottom"/>
          </w:tcPr>
          <w:p w14:paraId="21BD5417" w14:textId="77777777" w:rsidR="00772EC3" w:rsidRPr="00702148" w:rsidRDefault="00772EC3" w:rsidP="003C405A">
            <w:pPr>
              <w:spacing w:after="0"/>
              <w:jc w:val="right"/>
              <w:rPr>
                <w:noProof/>
                <w:color w:val="000000"/>
              </w:rPr>
            </w:pPr>
            <w:r>
              <w:rPr>
                <w:noProof/>
                <w:color w:val="000000"/>
              </w:rPr>
              <w:t>–0,1 %</w:t>
            </w:r>
          </w:p>
        </w:tc>
      </w:tr>
      <w:tr w:rsidR="00772EC3" w:rsidRPr="004C6A35" w14:paraId="5FAA9BC6" w14:textId="77777777" w:rsidTr="003C405A">
        <w:trPr>
          <w:trHeight w:val="300"/>
        </w:trPr>
        <w:tc>
          <w:tcPr>
            <w:tcW w:w="960" w:type="dxa"/>
            <w:shd w:val="clear" w:color="auto" w:fill="auto"/>
            <w:noWrap/>
            <w:vAlign w:val="bottom"/>
          </w:tcPr>
          <w:p w14:paraId="4B1589CB" w14:textId="77777777" w:rsidR="00772EC3" w:rsidRPr="00702148" w:rsidRDefault="00772EC3" w:rsidP="003C405A">
            <w:pPr>
              <w:spacing w:after="0"/>
              <w:rPr>
                <w:noProof/>
                <w:color w:val="000000"/>
              </w:rPr>
            </w:pPr>
            <w:r>
              <w:rPr>
                <w:noProof/>
                <w:color w:val="000000"/>
              </w:rPr>
              <w:t>CZ</w:t>
            </w:r>
          </w:p>
        </w:tc>
        <w:tc>
          <w:tcPr>
            <w:tcW w:w="3120" w:type="dxa"/>
            <w:shd w:val="clear" w:color="auto" w:fill="auto"/>
            <w:noWrap/>
            <w:vAlign w:val="bottom"/>
          </w:tcPr>
          <w:p w14:paraId="145414A1" w14:textId="77777777" w:rsidR="00772EC3" w:rsidRPr="00702148" w:rsidRDefault="00772EC3" w:rsidP="003C405A">
            <w:pPr>
              <w:spacing w:after="0"/>
              <w:jc w:val="right"/>
              <w:rPr>
                <w:noProof/>
                <w:color w:val="000000"/>
              </w:rPr>
            </w:pPr>
            <w:r>
              <w:rPr>
                <w:noProof/>
                <w:color w:val="000000"/>
              </w:rPr>
              <w:t>–11,3 %</w:t>
            </w:r>
          </w:p>
        </w:tc>
        <w:tc>
          <w:tcPr>
            <w:tcW w:w="2724" w:type="dxa"/>
            <w:shd w:val="clear" w:color="auto" w:fill="auto"/>
            <w:noWrap/>
            <w:vAlign w:val="bottom"/>
          </w:tcPr>
          <w:p w14:paraId="78A81CD5" w14:textId="77777777" w:rsidR="00772EC3" w:rsidRPr="00702148" w:rsidRDefault="00772EC3" w:rsidP="003C405A">
            <w:pPr>
              <w:spacing w:after="0"/>
              <w:jc w:val="right"/>
              <w:rPr>
                <w:noProof/>
                <w:color w:val="000000"/>
              </w:rPr>
            </w:pPr>
            <w:r>
              <w:rPr>
                <w:noProof/>
                <w:color w:val="000000"/>
              </w:rPr>
              <w:t>2,2 %</w:t>
            </w:r>
          </w:p>
        </w:tc>
        <w:tc>
          <w:tcPr>
            <w:tcW w:w="1843" w:type="dxa"/>
            <w:shd w:val="clear" w:color="auto" w:fill="auto"/>
            <w:noWrap/>
            <w:vAlign w:val="bottom"/>
          </w:tcPr>
          <w:p w14:paraId="646707FF" w14:textId="77777777" w:rsidR="00772EC3" w:rsidRPr="00702148" w:rsidRDefault="00772EC3" w:rsidP="003C405A">
            <w:pPr>
              <w:spacing w:after="0"/>
              <w:jc w:val="right"/>
              <w:rPr>
                <w:noProof/>
                <w:color w:val="000000"/>
              </w:rPr>
            </w:pPr>
            <w:r>
              <w:rPr>
                <w:noProof/>
                <w:color w:val="000000"/>
              </w:rPr>
              <w:t>–0,2 %</w:t>
            </w:r>
          </w:p>
        </w:tc>
      </w:tr>
      <w:tr w:rsidR="00772EC3" w:rsidRPr="004C6A35" w14:paraId="01009F95" w14:textId="77777777" w:rsidTr="003C405A">
        <w:trPr>
          <w:trHeight w:val="300"/>
        </w:trPr>
        <w:tc>
          <w:tcPr>
            <w:tcW w:w="960" w:type="dxa"/>
            <w:shd w:val="clear" w:color="auto" w:fill="auto"/>
            <w:noWrap/>
            <w:vAlign w:val="bottom"/>
          </w:tcPr>
          <w:p w14:paraId="2F26E87A" w14:textId="77777777" w:rsidR="00772EC3" w:rsidRPr="00702148" w:rsidRDefault="00772EC3" w:rsidP="003C405A">
            <w:pPr>
              <w:spacing w:after="0"/>
              <w:rPr>
                <w:noProof/>
                <w:color w:val="000000"/>
              </w:rPr>
            </w:pPr>
            <w:r>
              <w:rPr>
                <w:noProof/>
                <w:color w:val="000000"/>
              </w:rPr>
              <w:t>DK</w:t>
            </w:r>
          </w:p>
        </w:tc>
        <w:tc>
          <w:tcPr>
            <w:tcW w:w="3120" w:type="dxa"/>
            <w:shd w:val="clear" w:color="auto" w:fill="auto"/>
            <w:noWrap/>
            <w:vAlign w:val="bottom"/>
          </w:tcPr>
          <w:p w14:paraId="02B1593B" w14:textId="77777777" w:rsidR="00772EC3" w:rsidRPr="00702148" w:rsidRDefault="00772EC3" w:rsidP="003C405A">
            <w:pPr>
              <w:spacing w:after="0"/>
              <w:jc w:val="right"/>
              <w:rPr>
                <w:noProof/>
                <w:color w:val="000000"/>
              </w:rPr>
            </w:pPr>
            <w:r>
              <w:rPr>
                <w:noProof/>
                <w:color w:val="000000"/>
              </w:rPr>
              <w:t>–6,6 %</w:t>
            </w:r>
          </w:p>
        </w:tc>
        <w:tc>
          <w:tcPr>
            <w:tcW w:w="2724" w:type="dxa"/>
            <w:shd w:val="clear" w:color="auto" w:fill="auto"/>
            <w:noWrap/>
            <w:vAlign w:val="bottom"/>
          </w:tcPr>
          <w:p w14:paraId="68B8D5CB" w14:textId="77777777" w:rsidR="00772EC3" w:rsidRPr="00702148" w:rsidRDefault="00772EC3" w:rsidP="003C405A">
            <w:pPr>
              <w:spacing w:after="0"/>
              <w:jc w:val="right"/>
              <w:rPr>
                <w:noProof/>
                <w:color w:val="000000"/>
              </w:rPr>
            </w:pPr>
            <w:r>
              <w:rPr>
                <w:noProof/>
                <w:color w:val="000000"/>
              </w:rPr>
              <w:t>1,7 %</w:t>
            </w:r>
          </w:p>
        </w:tc>
        <w:tc>
          <w:tcPr>
            <w:tcW w:w="1843" w:type="dxa"/>
            <w:shd w:val="clear" w:color="auto" w:fill="auto"/>
            <w:noWrap/>
            <w:vAlign w:val="bottom"/>
          </w:tcPr>
          <w:p w14:paraId="15EEB0C8" w14:textId="77777777" w:rsidR="00772EC3" w:rsidRPr="00702148" w:rsidRDefault="00772EC3" w:rsidP="003C405A">
            <w:pPr>
              <w:spacing w:after="0"/>
              <w:jc w:val="right"/>
              <w:rPr>
                <w:noProof/>
                <w:color w:val="000000"/>
              </w:rPr>
            </w:pPr>
            <w:r>
              <w:rPr>
                <w:noProof/>
                <w:color w:val="000000"/>
              </w:rPr>
              <w:t>–0,1 %</w:t>
            </w:r>
          </w:p>
        </w:tc>
      </w:tr>
      <w:tr w:rsidR="00772EC3" w:rsidRPr="004C6A35" w14:paraId="2049FC66" w14:textId="77777777" w:rsidTr="003C405A">
        <w:trPr>
          <w:trHeight w:val="300"/>
        </w:trPr>
        <w:tc>
          <w:tcPr>
            <w:tcW w:w="960" w:type="dxa"/>
            <w:shd w:val="clear" w:color="auto" w:fill="auto"/>
            <w:noWrap/>
            <w:vAlign w:val="bottom"/>
          </w:tcPr>
          <w:p w14:paraId="0FF6D014" w14:textId="77777777" w:rsidR="00772EC3" w:rsidRPr="00702148" w:rsidRDefault="00772EC3" w:rsidP="003C405A">
            <w:pPr>
              <w:spacing w:after="0"/>
              <w:rPr>
                <w:noProof/>
                <w:color w:val="000000"/>
              </w:rPr>
            </w:pPr>
            <w:r>
              <w:rPr>
                <w:noProof/>
                <w:color w:val="000000"/>
              </w:rPr>
              <w:t>DE</w:t>
            </w:r>
          </w:p>
        </w:tc>
        <w:tc>
          <w:tcPr>
            <w:tcW w:w="3120" w:type="dxa"/>
            <w:shd w:val="clear" w:color="auto" w:fill="auto"/>
            <w:noWrap/>
            <w:vAlign w:val="bottom"/>
          </w:tcPr>
          <w:p w14:paraId="0A99448B" w14:textId="77777777" w:rsidR="00772EC3" w:rsidRPr="00702148" w:rsidRDefault="00772EC3" w:rsidP="003C405A">
            <w:pPr>
              <w:spacing w:after="0"/>
              <w:jc w:val="right"/>
              <w:rPr>
                <w:noProof/>
                <w:color w:val="000000"/>
              </w:rPr>
            </w:pPr>
            <w:r>
              <w:rPr>
                <w:noProof/>
                <w:color w:val="000000"/>
              </w:rPr>
              <w:t>–5,5 %</w:t>
            </w:r>
          </w:p>
        </w:tc>
        <w:tc>
          <w:tcPr>
            <w:tcW w:w="2724" w:type="dxa"/>
            <w:shd w:val="clear" w:color="auto" w:fill="auto"/>
            <w:noWrap/>
            <w:vAlign w:val="bottom"/>
          </w:tcPr>
          <w:p w14:paraId="34E74D18" w14:textId="77777777" w:rsidR="00772EC3" w:rsidRPr="00702148" w:rsidRDefault="00772EC3" w:rsidP="003C405A">
            <w:pPr>
              <w:spacing w:after="0"/>
              <w:jc w:val="right"/>
              <w:rPr>
                <w:noProof/>
                <w:color w:val="000000"/>
              </w:rPr>
            </w:pPr>
            <w:r>
              <w:rPr>
                <w:noProof/>
                <w:color w:val="000000"/>
              </w:rPr>
              <w:t>22,2 %</w:t>
            </w:r>
          </w:p>
        </w:tc>
        <w:tc>
          <w:tcPr>
            <w:tcW w:w="1843" w:type="dxa"/>
            <w:shd w:val="clear" w:color="auto" w:fill="auto"/>
            <w:noWrap/>
            <w:vAlign w:val="bottom"/>
          </w:tcPr>
          <w:p w14:paraId="28856394" w14:textId="77777777" w:rsidR="00772EC3" w:rsidRPr="00702148" w:rsidRDefault="00772EC3" w:rsidP="003C405A">
            <w:pPr>
              <w:spacing w:after="0"/>
              <w:jc w:val="right"/>
              <w:rPr>
                <w:noProof/>
                <w:color w:val="000000"/>
              </w:rPr>
            </w:pPr>
            <w:r>
              <w:rPr>
                <w:noProof/>
                <w:color w:val="000000"/>
              </w:rPr>
              <w:t>–1,2 %</w:t>
            </w:r>
          </w:p>
        </w:tc>
      </w:tr>
      <w:tr w:rsidR="00772EC3" w:rsidRPr="004C6A35" w14:paraId="724493D0" w14:textId="77777777" w:rsidTr="003C405A">
        <w:trPr>
          <w:trHeight w:val="300"/>
        </w:trPr>
        <w:tc>
          <w:tcPr>
            <w:tcW w:w="960" w:type="dxa"/>
            <w:shd w:val="clear" w:color="auto" w:fill="auto"/>
            <w:noWrap/>
            <w:vAlign w:val="bottom"/>
          </w:tcPr>
          <w:p w14:paraId="516485CB" w14:textId="77777777" w:rsidR="00772EC3" w:rsidRPr="00702148" w:rsidRDefault="00772EC3" w:rsidP="003C405A">
            <w:pPr>
              <w:spacing w:after="0"/>
              <w:rPr>
                <w:noProof/>
                <w:color w:val="000000"/>
              </w:rPr>
            </w:pPr>
            <w:r>
              <w:rPr>
                <w:noProof/>
                <w:color w:val="000000"/>
              </w:rPr>
              <w:t>EE</w:t>
            </w:r>
          </w:p>
        </w:tc>
        <w:tc>
          <w:tcPr>
            <w:tcW w:w="3120" w:type="dxa"/>
            <w:shd w:val="clear" w:color="auto" w:fill="auto"/>
            <w:noWrap/>
            <w:vAlign w:val="bottom"/>
          </w:tcPr>
          <w:p w14:paraId="186DAFCD" w14:textId="77777777" w:rsidR="00772EC3" w:rsidRPr="00702148" w:rsidRDefault="00772EC3" w:rsidP="003C405A">
            <w:pPr>
              <w:spacing w:after="0"/>
              <w:jc w:val="right"/>
              <w:rPr>
                <w:noProof/>
                <w:color w:val="000000"/>
              </w:rPr>
            </w:pPr>
            <w:r>
              <w:rPr>
                <w:noProof/>
                <w:color w:val="000000"/>
              </w:rPr>
              <w:t>–18,4 %</w:t>
            </w:r>
          </w:p>
        </w:tc>
        <w:tc>
          <w:tcPr>
            <w:tcW w:w="2724" w:type="dxa"/>
            <w:shd w:val="clear" w:color="auto" w:fill="auto"/>
            <w:noWrap/>
            <w:vAlign w:val="bottom"/>
          </w:tcPr>
          <w:p w14:paraId="42FE0E9C" w14:textId="77777777" w:rsidR="00772EC3" w:rsidRPr="00702148" w:rsidRDefault="00772EC3" w:rsidP="003C405A">
            <w:pPr>
              <w:spacing w:after="0"/>
              <w:jc w:val="right"/>
              <w:rPr>
                <w:noProof/>
                <w:color w:val="000000"/>
              </w:rPr>
            </w:pPr>
            <w:r>
              <w:rPr>
                <w:noProof/>
                <w:color w:val="000000"/>
              </w:rPr>
              <w:t>0,3 %</w:t>
            </w:r>
          </w:p>
        </w:tc>
        <w:tc>
          <w:tcPr>
            <w:tcW w:w="1843" w:type="dxa"/>
            <w:shd w:val="clear" w:color="auto" w:fill="auto"/>
            <w:noWrap/>
            <w:vAlign w:val="bottom"/>
          </w:tcPr>
          <w:p w14:paraId="278346EC" w14:textId="77777777" w:rsidR="00772EC3" w:rsidRPr="00702148" w:rsidRDefault="00772EC3" w:rsidP="003C405A">
            <w:pPr>
              <w:spacing w:after="0"/>
              <w:jc w:val="right"/>
              <w:rPr>
                <w:noProof/>
                <w:color w:val="000000"/>
              </w:rPr>
            </w:pPr>
            <w:r>
              <w:rPr>
                <w:noProof/>
                <w:color w:val="000000"/>
              </w:rPr>
              <w:t>–0,1 %</w:t>
            </w:r>
          </w:p>
        </w:tc>
      </w:tr>
      <w:tr w:rsidR="00772EC3" w:rsidRPr="004C6A35" w14:paraId="6A0B9178" w14:textId="77777777" w:rsidTr="003C405A">
        <w:trPr>
          <w:trHeight w:val="300"/>
        </w:trPr>
        <w:tc>
          <w:tcPr>
            <w:tcW w:w="960" w:type="dxa"/>
            <w:shd w:val="clear" w:color="auto" w:fill="auto"/>
            <w:noWrap/>
            <w:vAlign w:val="bottom"/>
          </w:tcPr>
          <w:p w14:paraId="4BE788B9" w14:textId="77777777" w:rsidR="00772EC3" w:rsidRPr="00702148" w:rsidRDefault="00772EC3" w:rsidP="003C405A">
            <w:pPr>
              <w:spacing w:after="0"/>
              <w:rPr>
                <w:noProof/>
                <w:color w:val="000000"/>
              </w:rPr>
            </w:pPr>
            <w:r>
              <w:rPr>
                <w:noProof/>
                <w:color w:val="000000"/>
              </w:rPr>
              <w:t>IE</w:t>
            </w:r>
          </w:p>
        </w:tc>
        <w:tc>
          <w:tcPr>
            <w:tcW w:w="3120" w:type="dxa"/>
            <w:shd w:val="clear" w:color="auto" w:fill="auto"/>
            <w:noWrap/>
            <w:vAlign w:val="bottom"/>
          </w:tcPr>
          <w:p w14:paraId="0C750C48" w14:textId="77777777" w:rsidR="00772EC3" w:rsidRPr="00702148" w:rsidRDefault="00772EC3" w:rsidP="003C405A">
            <w:pPr>
              <w:spacing w:after="0"/>
              <w:jc w:val="right"/>
              <w:rPr>
                <w:noProof/>
                <w:color w:val="000000"/>
              </w:rPr>
            </w:pPr>
            <w:r>
              <w:rPr>
                <w:noProof/>
                <w:color w:val="000000"/>
              </w:rPr>
              <w:t>–0,9 %</w:t>
            </w:r>
          </w:p>
        </w:tc>
        <w:tc>
          <w:tcPr>
            <w:tcW w:w="2724" w:type="dxa"/>
            <w:shd w:val="clear" w:color="auto" w:fill="auto"/>
            <w:noWrap/>
            <w:vAlign w:val="bottom"/>
          </w:tcPr>
          <w:p w14:paraId="0164EF4A" w14:textId="77777777" w:rsidR="00772EC3" w:rsidRPr="00702148" w:rsidRDefault="00772EC3" w:rsidP="003C405A">
            <w:pPr>
              <w:spacing w:after="0"/>
              <w:jc w:val="right"/>
              <w:rPr>
                <w:noProof/>
                <w:color w:val="000000"/>
              </w:rPr>
            </w:pPr>
            <w:r>
              <w:rPr>
                <w:noProof/>
                <w:color w:val="000000"/>
              </w:rPr>
              <w:t>2,5 %</w:t>
            </w:r>
          </w:p>
        </w:tc>
        <w:tc>
          <w:tcPr>
            <w:tcW w:w="1843" w:type="dxa"/>
            <w:shd w:val="clear" w:color="auto" w:fill="auto"/>
            <w:noWrap/>
            <w:vAlign w:val="bottom"/>
          </w:tcPr>
          <w:p w14:paraId="183CA827" w14:textId="77777777" w:rsidR="00772EC3" w:rsidRPr="00702148" w:rsidRDefault="00772EC3" w:rsidP="003C405A">
            <w:pPr>
              <w:spacing w:after="0"/>
              <w:jc w:val="right"/>
              <w:rPr>
                <w:noProof/>
                <w:color w:val="000000"/>
              </w:rPr>
            </w:pPr>
            <w:r>
              <w:rPr>
                <w:noProof/>
                <w:color w:val="000000"/>
              </w:rPr>
              <w:t>0,0 %</w:t>
            </w:r>
          </w:p>
        </w:tc>
      </w:tr>
      <w:tr w:rsidR="00772EC3" w:rsidRPr="004C6A35" w14:paraId="512887B7" w14:textId="77777777" w:rsidTr="003C405A">
        <w:trPr>
          <w:trHeight w:val="300"/>
        </w:trPr>
        <w:tc>
          <w:tcPr>
            <w:tcW w:w="960" w:type="dxa"/>
            <w:shd w:val="clear" w:color="auto" w:fill="auto"/>
            <w:noWrap/>
            <w:vAlign w:val="bottom"/>
          </w:tcPr>
          <w:p w14:paraId="58D8A1DD" w14:textId="77777777" w:rsidR="00772EC3" w:rsidRPr="00702148" w:rsidRDefault="00772EC3" w:rsidP="003C405A">
            <w:pPr>
              <w:spacing w:after="0"/>
              <w:rPr>
                <w:noProof/>
                <w:color w:val="000000"/>
              </w:rPr>
            </w:pPr>
            <w:r>
              <w:rPr>
                <w:noProof/>
                <w:color w:val="000000"/>
              </w:rPr>
              <w:t>EL</w:t>
            </w:r>
          </w:p>
        </w:tc>
        <w:tc>
          <w:tcPr>
            <w:tcW w:w="3120" w:type="dxa"/>
            <w:shd w:val="clear" w:color="auto" w:fill="auto"/>
            <w:noWrap/>
            <w:vAlign w:val="bottom"/>
          </w:tcPr>
          <w:p w14:paraId="09C687C9" w14:textId="77777777" w:rsidR="00772EC3" w:rsidRPr="00702148" w:rsidRDefault="00772EC3" w:rsidP="003C405A">
            <w:pPr>
              <w:spacing w:after="0"/>
              <w:jc w:val="right"/>
              <w:rPr>
                <w:noProof/>
                <w:color w:val="000000"/>
              </w:rPr>
            </w:pPr>
            <w:r>
              <w:rPr>
                <w:noProof/>
                <w:color w:val="000000"/>
              </w:rPr>
              <w:t>–10,4 %</w:t>
            </w:r>
          </w:p>
        </w:tc>
        <w:tc>
          <w:tcPr>
            <w:tcW w:w="2724" w:type="dxa"/>
            <w:shd w:val="clear" w:color="auto" w:fill="auto"/>
            <w:noWrap/>
            <w:vAlign w:val="bottom"/>
          </w:tcPr>
          <w:p w14:paraId="2053DE19" w14:textId="77777777" w:rsidR="00772EC3" w:rsidRPr="00702148" w:rsidRDefault="00772EC3" w:rsidP="003C405A">
            <w:pPr>
              <w:spacing w:after="0"/>
              <w:jc w:val="right"/>
              <w:rPr>
                <w:noProof/>
                <w:color w:val="000000"/>
              </w:rPr>
            </w:pPr>
            <w:r>
              <w:rPr>
                <w:noProof/>
                <w:color w:val="000000"/>
              </w:rPr>
              <w:t>1,5 %</w:t>
            </w:r>
          </w:p>
        </w:tc>
        <w:tc>
          <w:tcPr>
            <w:tcW w:w="1843" w:type="dxa"/>
            <w:shd w:val="clear" w:color="auto" w:fill="auto"/>
            <w:noWrap/>
            <w:vAlign w:val="bottom"/>
          </w:tcPr>
          <w:p w14:paraId="4C7C21C6" w14:textId="77777777" w:rsidR="00772EC3" w:rsidRPr="00702148" w:rsidRDefault="00772EC3" w:rsidP="003C405A">
            <w:pPr>
              <w:spacing w:after="0"/>
              <w:jc w:val="right"/>
              <w:rPr>
                <w:noProof/>
                <w:color w:val="000000"/>
              </w:rPr>
            </w:pPr>
            <w:r>
              <w:rPr>
                <w:noProof/>
                <w:color w:val="000000"/>
              </w:rPr>
              <w:t>–0,2 %</w:t>
            </w:r>
          </w:p>
        </w:tc>
      </w:tr>
      <w:tr w:rsidR="00772EC3" w:rsidRPr="004C6A35" w14:paraId="5128F148" w14:textId="77777777" w:rsidTr="003C405A">
        <w:trPr>
          <w:trHeight w:val="300"/>
        </w:trPr>
        <w:tc>
          <w:tcPr>
            <w:tcW w:w="960" w:type="dxa"/>
            <w:shd w:val="clear" w:color="auto" w:fill="auto"/>
            <w:noWrap/>
            <w:vAlign w:val="bottom"/>
          </w:tcPr>
          <w:p w14:paraId="1AEB48B5" w14:textId="77777777" w:rsidR="00772EC3" w:rsidRPr="00702148" w:rsidRDefault="00772EC3" w:rsidP="003C405A">
            <w:pPr>
              <w:spacing w:after="0"/>
              <w:rPr>
                <w:noProof/>
                <w:color w:val="000000"/>
              </w:rPr>
            </w:pPr>
            <w:r>
              <w:rPr>
                <w:noProof/>
                <w:color w:val="000000"/>
              </w:rPr>
              <w:t>ES</w:t>
            </w:r>
          </w:p>
        </w:tc>
        <w:tc>
          <w:tcPr>
            <w:tcW w:w="3120" w:type="dxa"/>
            <w:shd w:val="clear" w:color="auto" w:fill="auto"/>
            <w:noWrap/>
            <w:vAlign w:val="bottom"/>
          </w:tcPr>
          <w:p w14:paraId="4F50F755" w14:textId="77777777" w:rsidR="00772EC3" w:rsidRPr="00702148" w:rsidRDefault="00772EC3" w:rsidP="003C405A">
            <w:pPr>
              <w:spacing w:after="0"/>
              <w:jc w:val="right"/>
              <w:rPr>
                <w:noProof/>
                <w:color w:val="000000"/>
              </w:rPr>
            </w:pPr>
            <w:r>
              <w:rPr>
                <w:noProof/>
                <w:color w:val="000000"/>
              </w:rPr>
              <w:t>–8,1 %</w:t>
            </w:r>
          </w:p>
        </w:tc>
        <w:tc>
          <w:tcPr>
            <w:tcW w:w="2724" w:type="dxa"/>
            <w:shd w:val="clear" w:color="auto" w:fill="auto"/>
            <w:noWrap/>
            <w:vAlign w:val="bottom"/>
          </w:tcPr>
          <w:p w14:paraId="702D5ED4" w14:textId="77777777" w:rsidR="00772EC3" w:rsidRPr="00702148" w:rsidRDefault="00772EC3" w:rsidP="003C405A">
            <w:pPr>
              <w:spacing w:after="0"/>
              <w:jc w:val="right"/>
              <w:rPr>
                <w:noProof/>
                <w:color w:val="000000"/>
              </w:rPr>
            </w:pPr>
            <w:r>
              <w:rPr>
                <w:noProof/>
                <w:color w:val="000000"/>
              </w:rPr>
              <w:t>8,9 %</w:t>
            </w:r>
          </w:p>
        </w:tc>
        <w:tc>
          <w:tcPr>
            <w:tcW w:w="1843" w:type="dxa"/>
            <w:shd w:val="clear" w:color="auto" w:fill="auto"/>
            <w:noWrap/>
            <w:vAlign w:val="bottom"/>
          </w:tcPr>
          <w:p w14:paraId="179BDAE3" w14:textId="77777777" w:rsidR="00772EC3" w:rsidRPr="00702148" w:rsidRDefault="00772EC3" w:rsidP="003C405A">
            <w:pPr>
              <w:spacing w:after="0"/>
              <w:jc w:val="right"/>
              <w:rPr>
                <w:noProof/>
                <w:color w:val="000000"/>
              </w:rPr>
            </w:pPr>
            <w:r>
              <w:rPr>
                <w:noProof/>
                <w:color w:val="000000"/>
              </w:rPr>
              <w:t>–0,7 %</w:t>
            </w:r>
          </w:p>
        </w:tc>
      </w:tr>
      <w:tr w:rsidR="00772EC3" w:rsidRPr="004C6A35" w14:paraId="75FD21F2" w14:textId="77777777" w:rsidTr="003C405A">
        <w:trPr>
          <w:trHeight w:val="300"/>
        </w:trPr>
        <w:tc>
          <w:tcPr>
            <w:tcW w:w="960" w:type="dxa"/>
            <w:shd w:val="clear" w:color="auto" w:fill="auto"/>
            <w:noWrap/>
            <w:vAlign w:val="bottom"/>
          </w:tcPr>
          <w:p w14:paraId="2ABD478D" w14:textId="77777777" w:rsidR="00772EC3" w:rsidRPr="00702148" w:rsidRDefault="00772EC3" w:rsidP="003C405A">
            <w:pPr>
              <w:spacing w:after="0"/>
              <w:rPr>
                <w:noProof/>
                <w:color w:val="000000"/>
              </w:rPr>
            </w:pPr>
            <w:r>
              <w:rPr>
                <w:noProof/>
                <w:color w:val="000000"/>
              </w:rPr>
              <w:t>FR</w:t>
            </w:r>
          </w:p>
        </w:tc>
        <w:tc>
          <w:tcPr>
            <w:tcW w:w="3120" w:type="dxa"/>
            <w:shd w:val="clear" w:color="auto" w:fill="auto"/>
            <w:noWrap/>
            <w:vAlign w:val="bottom"/>
          </w:tcPr>
          <w:p w14:paraId="3A6EB162" w14:textId="77777777" w:rsidR="00772EC3" w:rsidRPr="00702148" w:rsidRDefault="00772EC3" w:rsidP="003C405A">
            <w:pPr>
              <w:spacing w:after="0"/>
              <w:jc w:val="right"/>
              <w:rPr>
                <w:noProof/>
                <w:color w:val="000000"/>
              </w:rPr>
            </w:pPr>
            <w:r>
              <w:rPr>
                <w:noProof/>
                <w:color w:val="000000"/>
              </w:rPr>
              <w:t>0,2 %</w:t>
            </w:r>
          </w:p>
        </w:tc>
        <w:tc>
          <w:tcPr>
            <w:tcW w:w="2724" w:type="dxa"/>
            <w:shd w:val="clear" w:color="auto" w:fill="auto"/>
            <w:noWrap/>
            <w:vAlign w:val="bottom"/>
          </w:tcPr>
          <w:p w14:paraId="4397C92E" w14:textId="77777777" w:rsidR="00772EC3" w:rsidRPr="00702148" w:rsidRDefault="00772EC3" w:rsidP="003C405A">
            <w:pPr>
              <w:spacing w:after="0"/>
              <w:jc w:val="right"/>
              <w:rPr>
                <w:noProof/>
                <w:color w:val="000000"/>
              </w:rPr>
            </w:pPr>
            <w:r>
              <w:rPr>
                <w:noProof/>
                <w:color w:val="000000"/>
              </w:rPr>
              <w:t>15,8 %</w:t>
            </w:r>
          </w:p>
        </w:tc>
        <w:tc>
          <w:tcPr>
            <w:tcW w:w="1843" w:type="dxa"/>
            <w:shd w:val="clear" w:color="auto" w:fill="auto"/>
            <w:noWrap/>
            <w:vAlign w:val="bottom"/>
          </w:tcPr>
          <w:p w14:paraId="310DB59D" w14:textId="77777777" w:rsidR="00772EC3" w:rsidRPr="00702148" w:rsidRDefault="00772EC3" w:rsidP="003C405A">
            <w:pPr>
              <w:spacing w:after="0"/>
              <w:jc w:val="right"/>
              <w:rPr>
                <w:noProof/>
                <w:color w:val="000000"/>
              </w:rPr>
            </w:pPr>
            <w:r>
              <w:rPr>
                <w:noProof/>
                <w:color w:val="000000"/>
              </w:rPr>
              <w:t>0,0 %</w:t>
            </w:r>
          </w:p>
        </w:tc>
      </w:tr>
      <w:tr w:rsidR="00772EC3" w:rsidRPr="004C6A35" w14:paraId="2F8D243B" w14:textId="77777777" w:rsidTr="003C405A">
        <w:trPr>
          <w:trHeight w:val="300"/>
        </w:trPr>
        <w:tc>
          <w:tcPr>
            <w:tcW w:w="960" w:type="dxa"/>
            <w:shd w:val="clear" w:color="auto" w:fill="auto"/>
            <w:noWrap/>
            <w:vAlign w:val="bottom"/>
          </w:tcPr>
          <w:p w14:paraId="0B0C3FEC" w14:textId="77777777" w:rsidR="00772EC3" w:rsidRPr="00702148" w:rsidRDefault="00772EC3" w:rsidP="003C405A">
            <w:pPr>
              <w:spacing w:after="0"/>
              <w:rPr>
                <w:noProof/>
                <w:color w:val="000000"/>
              </w:rPr>
            </w:pPr>
            <w:r>
              <w:rPr>
                <w:noProof/>
                <w:color w:val="000000"/>
              </w:rPr>
              <w:t>HR</w:t>
            </w:r>
          </w:p>
        </w:tc>
        <w:tc>
          <w:tcPr>
            <w:tcW w:w="3120" w:type="dxa"/>
            <w:shd w:val="clear" w:color="auto" w:fill="auto"/>
            <w:noWrap/>
            <w:vAlign w:val="bottom"/>
          </w:tcPr>
          <w:p w14:paraId="6FFCEFB6" w14:textId="77777777" w:rsidR="00772EC3" w:rsidRPr="00702148" w:rsidRDefault="00772EC3" w:rsidP="003C405A">
            <w:pPr>
              <w:spacing w:after="0"/>
              <w:jc w:val="right"/>
              <w:rPr>
                <w:noProof/>
                <w:color w:val="000000"/>
              </w:rPr>
            </w:pPr>
            <w:r>
              <w:rPr>
                <w:noProof/>
                <w:color w:val="000000"/>
              </w:rPr>
              <w:t>–8,1 %</w:t>
            </w:r>
          </w:p>
        </w:tc>
        <w:tc>
          <w:tcPr>
            <w:tcW w:w="2724" w:type="dxa"/>
            <w:shd w:val="clear" w:color="auto" w:fill="auto"/>
            <w:noWrap/>
            <w:vAlign w:val="bottom"/>
          </w:tcPr>
          <w:p w14:paraId="5585150C" w14:textId="77777777" w:rsidR="00772EC3" w:rsidRPr="00702148" w:rsidRDefault="00772EC3" w:rsidP="003C405A">
            <w:pPr>
              <w:spacing w:after="0"/>
              <w:jc w:val="right"/>
              <w:rPr>
                <w:noProof/>
                <w:color w:val="000000"/>
              </w:rPr>
            </w:pPr>
            <w:r>
              <w:rPr>
                <w:noProof/>
                <w:color w:val="000000"/>
              </w:rPr>
              <w:t>0,6 %</w:t>
            </w:r>
          </w:p>
        </w:tc>
        <w:tc>
          <w:tcPr>
            <w:tcW w:w="1843" w:type="dxa"/>
            <w:shd w:val="clear" w:color="auto" w:fill="auto"/>
            <w:noWrap/>
            <w:vAlign w:val="bottom"/>
          </w:tcPr>
          <w:p w14:paraId="6D8557FB" w14:textId="77777777" w:rsidR="00772EC3" w:rsidRPr="00702148" w:rsidRDefault="00772EC3" w:rsidP="003C405A">
            <w:pPr>
              <w:spacing w:after="0"/>
              <w:jc w:val="right"/>
              <w:rPr>
                <w:noProof/>
                <w:color w:val="000000"/>
              </w:rPr>
            </w:pPr>
            <w:r>
              <w:rPr>
                <w:noProof/>
                <w:color w:val="000000"/>
              </w:rPr>
              <w:t>0,0 %</w:t>
            </w:r>
          </w:p>
        </w:tc>
      </w:tr>
      <w:tr w:rsidR="00772EC3" w:rsidRPr="004C6A35" w14:paraId="08993D91" w14:textId="77777777" w:rsidTr="003C405A">
        <w:trPr>
          <w:trHeight w:val="300"/>
        </w:trPr>
        <w:tc>
          <w:tcPr>
            <w:tcW w:w="960" w:type="dxa"/>
            <w:shd w:val="clear" w:color="auto" w:fill="auto"/>
            <w:noWrap/>
            <w:vAlign w:val="bottom"/>
          </w:tcPr>
          <w:p w14:paraId="54B3C293" w14:textId="77777777" w:rsidR="00772EC3" w:rsidRPr="00702148" w:rsidRDefault="00772EC3" w:rsidP="003C405A">
            <w:pPr>
              <w:spacing w:after="0"/>
              <w:rPr>
                <w:noProof/>
                <w:color w:val="000000"/>
              </w:rPr>
            </w:pPr>
            <w:r>
              <w:rPr>
                <w:noProof/>
                <w:color w:val="000000"/>
              </w:rPr>
              <w:t>IT</w:t>
            </w:r>
          </w:p>
        </w:tc>
        <w:tc>
          <w:tcPr>
            <w:tcW w:w="3120" w:type="dxa"/>
            <w:shd w:val="clear" w:color="auto" w:fill="auto"/>
            <w:noWrap/>
            <w:vAlign w:val="bottom"/>
          </w:tcPr>
          <w:p w14:paraId="0F3C64C3" w14:textId="77777777" w:rsidR="00772EC3" w:rsidRPr="00702148" w:rsidRDefault="00772EC3" w:rsidP="003C405A">
            <w:pPr>
              <w:spacing w:after="0"/>
              <w:jc w:val="right"/>
              <w:rPr>
                <w:noProof/>
                <w:color w:val="000000"/>
              </w:rPr>
            </w:pPr>
            <w:r>
              <w:rPr>
                <w:noProof/>
                <w:color w:val="000000"/>
              </w:rPr>
              <w:t>1,0 %</w:t>
            </w:r>
          </w:p>
        </w:tc>
        <w:tc>
          <w:tcPr>
            <w:tcW w:w="2724" w:type="dxa"/>
            <w:shd w:val="clear" w:color="auto" w:fill="auto"/>
            <w:noWrap/>
            <w:vAlign w:val="bottom"/>
          </w:tcPr>
          <w:p w14:paraId="1AF23AC6" w14:textId="77777777" w:rsidR="00772EC3" w:rsidRPr="00702148" w:rsidRDefault="00772EC3" w:rsidP="003C405A">
            <w:pPr>
              <w:spacing w:after="0"/>
              <w:jc w:val="right"/>
              <w:rPr>
                <w:noProof/>
                <w:color w:val="000000"/>
              </w:rPr>
            </w:pPr>
            <w:r>
              <w:rPr>
                <w:noProof/>
                <w:color w:val="000000"/>
              </w:rPr>
              <w:t>12,6 %</w:t>
            </w:r>
          </w:p>
        </w:tc>
        <w:tc>
          <w:tcPr>
            <w:tcW w:w="1843" w:type="dxa"/>
            <w:shd w:val="clear" w:color="auto" w:fill="auto"/>
            <w:noWrap/>
            <w:vAlign w:val="bottom"/>
          </w:tcPr>
          <w:p w14:paraId="59C57EAB" w14:textId="77777777" w:rsidR="00772EC3" w:rsidRPr="00702148" w:rsidRDefault="00772EC3" w:rsidP="003C405A">
            <w:pPr>
              <w:spacing w:after="0"/>
              <w:jc w:val="right"/>
              <w:rPr>
                <w:noProof/>
                <w:color w:val="000000"/>
              </w:rPr>
            </w:pPr>
            <w:r>
              <w:rPr>
                <w:noProof/>
                <w:color w:val="000000"/>
              </w:rPr>
              <w:t>0,1 %</w:t>
            </w:r>
          </w:p>
        </w:tc>
      </w:tr>
      <w:tr w:rsidR="00772EC3" w:rsidRPr="004C6A35" w14:paraId="2EE9C081" w14:textId="77777777" w:rsidTr="003C405A">
        <w:trPr>
          <w:trHeight w:val="300"/>
        </w:trPr>
        <w:tc>
          <w:tcPr>
            <w:tcW w:w="960" w:type="dxa"/>
            <w:shd w:val="clear" w:color="auto" w:fill="auto"/>
            <w:noWrap/>
            <w:vAlign w:val="bottom"/>
          </w:tcPr>
          <w:p w14:paraId="79DB962D" w14:textId="77777777" w:rsidR="00772EC3" w:rsidRPr="00702148" w:rsidRDefault="00772EC3" w:rsidP="003C405A">
            <w:pPr>
              <w:spacing w:after="0"/>
              <w:rPr>
                <w:noProof/>
                <w:color w:val="000000"/>
              </w:rPr>
            </w:pPr>
            <w:r>
              <w:rPr>
                <w:noProof/>
                <w:color w:val="000000"/>
              </w:rPr>
              <w:t>CY</w:t>
            </w:r>
          </w:p>
        </w:tc>
        <w:tc>
          <w:tcPr>
            <w:tcW w:w="3120" w:type="dxa"/>
            <w:shd w:val="clear" w:color="auto" w:fill="auto"/>
            <w:noWrap/>
            <w:vAlign w:val="bottom"/>
          </w:tcPr>
          <w:p w14:paraId="781D2685" w14:textId="77777777" w:rsidR="00772EC3" w:rsidRPr="00702148" w:rsidRDefault="00772EC3" w:rsidP="003C405A">
            <w:pPr>
              <w:spacing w:after="0"/>
              <w:jc w:val="right"/>
              <w:rPr>
                <w:noProof/>
                <w:color w:val="000000"/>
              </w:rPr>
            </w:pPr>
            <w:r>
              <w:rPr>
                <w:noProof/>
                <w:color w:val="000000"/>
              </w:rPr>
              <w:t>–5,9 %</w:t>
            </w:r>
          </w:p>
        </w:tc>
        <w:tc>
          <w:tcPr>
            <w:tcW w:w="2724" w:type="dxa"/>
            <w:shd w:val="clear" w:color="auto" w:fill="auto"/>
            <w:noWrap/>
            <w:vAlign w:val="bottom"/>
          </w:tcPr>
          <w:p w14:paraId="115BA4FF" w14:textId="77777777" w:rsidR="00772EC3" w:rsidRPr="00702148" w:rsidRDefault="00772EC3" w:rsidP="003C405A">
            <w:pPr>
              <w:spacing w:after="0"/>
              <w:jc w:val="right"/>
              <w:rPr>
                <w:noProof/>
                <w:color w:val="000000"/>
              </w:rPr>
            </w:pPr>
            <w:r>
              <w:rPr>
                <w:noProof/>
                <w:color w:val="000000"/>
              </w:rPr>
              <w:t>0,2 %</w:t>
            </w:r>
          </w:p>
        </w:tc>
        <w:tc>
          <w:tcPr>
            <w:tcW w:w="1843" w:type="dxa"/>
            <w:shd w:val="clear" w:color="auto" w:fill="auto"/>
            <w:noWrap/>
            <w:vAlign w:val="bottom"/>
          </w:tcPr>
          <w:p w14:paraId="03D574AD" w14:textId="77777777" w:rsidR="00772EC3" w:rsidRPr="00702148" w:rsidRDefault="00772EC3" w:rsidP="003C405A">
            <w:pPr>
              <w:spacing w:after="0"/>
              <w:jc w:val="right"/>
              <w:rPr>
                <w:noProof/>
                <w:color w:val="000000"/>
              </w:rPr>
            </w:pPr>
            <w:r>
              <w:rPr>
                <w:noProof/>
                <w:color w:val="000000"/>
              </w:rPr>
              <w:t>0,0 %</w:t>
            </w:r>
          </w:p>
        </w:tc>
      </w:tr>
      <w:tr w:rsidR="00772EC3" w:rsidRPr="004C6A35" w14:paraId="0EFE559F" w14:textId="77777777" w:rsidTr="003C405A">
        <w:trPr>
          <w:trHeight w:val="300"/>
        </w:trPr>
        <w:tc>
          <w:tcPr>
            <w:tcW w:w="960" w:type="dxa"/>
            <w:shd w:val="clear" w:color="auto" w:fill="auto"/>
            <w:noWrap/>
            <w:vAlign w:val="bottom"/>
          </w:tcPr>
          <w:p w14:paraId="588ADC6B" w14:textId="77777777" w:rsidR="00772EC3" w:rsidRPr="00702148" w:rsidRDefault="00772EC3" w:rsidP="003C405A">
            <w:pPr>
              <w:spacing w:after="0"/>
              <w:rPr>
                <w:noProof/>
                <w:color w:val="000000"/>
              </w:rPr>
            </w:pPr>
            <w:r>
              <w:rPr>
                <w:noProof/>
                <w:color w:val="000000"/>
              </w:rPr>
              <w:t>LV</w:t>
            </w:r>
          </w:p>
        </w:tc>
        <w:tc>
          <w:tcPr>
            <w:tcW w:w="3120" w:type="dxa"/>
            <w:shd w:val="clear" w:color="auto" w:fill="auto"/>
            <w:noWrap/>
            <w:vAlign w:val="bottom"/>
          </w:tcPr>
          <w:p w14:paraId="6236E09E" w14:textId="77777777" w:rsidR="00772EC3" w:rsidRPr="00702148" w:rsidRDefault="00772EC3" w:rsidP="003C405A">
            <w:pPr>
              <w:spacing w:after="0"/>
              <w:jc w:val="right"/>
              <w:rPr>
                <w:noProof/>
                <w:color w:val="000000"/>
              </w:rPr>
            </w:pPr>
            <w:r>
              <w:rPr>
                <w:noProof/>
                <w:color w:val="000000"/>
              </w:rPr>
              <w:t>–9,8 %</w:t>
            </w:r>
          </w:p>
        </w:tc>
        <w:tc>
          <w:tcPr>
            <w:tcW w:w="2724" w:type="dxa"/>
            <w:shd w:val="clear" w:color="auto" w:fill="auto"/>
            <w:noWrap/>
            <w:vAlign w:val="bottom"/>
          </w:tcPr>
          <w:p w14:paraId="6E53EEE1" w14:textId="77777777" w:rsidR="00772EC3" w:rsidRPr="00702148" w:rsidRDefault="00772EC3" w:rsidP="003C405A">
            <w:pPr>
              <w:spacing w:after="0"/>
              <w:jc w:val="right"/>
              <w:rPr>
                <w:noProof/>
                <w:color w:val="000000"/>
              </w:rPr>
            </w:pPr>
            <w:r>
              <w:rPr>
                <w:noProof/>
                <w:color w:val="000000"/>
              </w:rPr>
              <w:t>0,3 %</w:t>
            </w:r>
          </w:p>
        </w:tc>
        <w:tc>
          <w:tcPr>
            <w:tcW w:w="1843" w:type="dxa"/>
            <w:shd w:val="clear" w:color="auto" w:fill="auto"/>
            <w:noWrap/>
            <w:vAlign w:val="bottom"/>
          </w:tcPr>
          <w:p w14:paraId="250013A5" w14:textId="77777777" w:rsidR="00772EC3" w:rsidRPr="00702148" w:rsidRDefault="00772EC3" w:rsidP="003C405A">
            <w:pPr>
              <w:spacing w:after="0"/>
              <w:jc w:val="right"/>
              <w:rPr>
                <w:noProof/>
                <w:color w:val="000000"/>
              </w:rPr>
            </w:pPr>
            <w:r>
              <w:rPr>
                <w:noProof/>
                <w:color w:val="000000"/>
              </w:rPr>
              <w:t>0,0 %</w:t>
            </w:r>
          </w:p>
        </w:tc>
      </w:tr>
      <w:tr w:rsidR="00772EC3" w:rsidRPr="004C6A35" w14:paraId="16ECDE92" w14:textId="77777777" w:rsidTr="003C405A">
        <w:trPr>
          <w:trHeight w:val="300"/>
        </w:trPr>
        <w:tc>
          <w:tcPr>
            <w:tcW w:w="960" w:type="dxa"/>
            <w:shd w:val="clear" w:color="auto" w:fill="auto"/>
            <w:noWrap/>
            <w:vAlign w:val="bottom"/>
          </w:tcPr>
          <w:p w14:paraId="4E275C79" w14:textId="77777777" w:rsidR="00772EC3" w:rsidRPr="00702148" w:rsidRDefault="00772EC3" w:rsidP="003C405A">
            <w:pPr>
              <w:spacing w:after="0"/>
              <w:rPr>
                <w:noProof/>
                <w:color w:val="000000"/>
              </w:rPr>
            </w:pPr>
            <w:r>
              <w:rPr>
                <w:noProof/>
                <w:color w:val="000000"/>
              </w:rPr>
              <w:t>LT</w:t>
            </w:r>
          </w:p>
        </w:tc>
        <w:tc>
          <w:tcPr>
            <w:tcW w:w="3120" w:type="dxa"/>
            <w:shd w:val="clear" w:color="auto" w:fill="auto"/>
            <w:noWrap/>
            <w:vAlign w:val="bottom"/>
          </w:tcPr>
          <w:p w14:paraId="57137223" w14:textId="77777777" w:rsidR="00772EC3" w:rsidRPr="00702148" w:rsidRDefault="00772EC3" w:rsidP="003C405A">
            <w:pPr>
              <w:spacing w:after="0"/>
              <w:jc w:val="right"/>
              <w:rPr>
                <w:noProof/>
                <w:color w:val="000000"/>
              </w:rPr>
            </w:pPr>
            <w:r>
              <w:rPr>
                <w:noProof/>
                <w:color w:val="000000"/>
              </w:rPr>
              <w:t>–10,7 %</w:t>
            </w:r>
          </w:p>
        </w:tc>
        <w:tc>
          <w:tcPr>
            <w:tcW w:w="2724" w:type="dxa"/>
            <w:shd w:val="clear" w:color="auto" w:fill="auto"/>
            <w:noWrap/>
            <w:vAlign w:val="bottom"/>
          </w:tcPr>
          <w:p w14:paraId="200E7CF0" w14:textId="77777777" w:rsidR="00772EC3" w:rsidRPr="00702148" w:rsidRDefault="00772EC3" w:rsidP="003C405A">
            <w:pPr>
              <w:spacing w:after="0"/>
              <w:jc w:val="right"/>
              <w:rPr>
                <w:noProof/>
                <w:color w:val="000000"/>
              </w:rPr>
            </w:pPr>
            <w:r>
              <w:rPr>
                <w:noProof/>
                <w:color w:val="000000"/>
              </w:rPr>
              <w:t>0,6 %</w:t>
            </w:r>
          </w:p>
        </w:tc>
        <w:tc>
          <w:tcPr>
            <w:tcW w:w="1843" w:type="dxa"/>
            <w:shd w:val="clear" w:color="auto" w:fill="auto"/>
            <w:noWrap/>
            <w:vAlign w:val="bottom"/>
          </w:tcPr>
          <w:p w14:paraId="66DBBCF5" w14:textId="77777777" w:rsidR="00772EC3" w:rsidRPr="00702148" w:rsidRDefault="00772EC3" w:rsidP="003C405A">
            <w:pPr>
              <w:spacing w:after="0"/>
              <w:jc w:val="right"/>
              <w:rPr>
                <w:noProof/>
                <w:color w:val="000000"/>
              </w:rPr>
            </w:pPr>
            <w:r>
              <w:rPr>
                <w:noProof/>
                <w:color w:val="000000"/>
              </w:rPr>
              <w:t>–0,1 %</w:t>
            </w:r>
          </w:p>
        </w:tc>
      </w:tr>
      <w:tr w:rsidR="00772EC3" w:rsidRPr="004C6A35" w14:paraId="7CD30BD1" w14:textId="77777777" w:rsidTr="003C405A">
        <w:trPr>
          <w:trHeight w:val="300"/>
        </w:trPr>
        <w:tc>
          <w:tcPr>
            <w:tcW w:w="960" w:type="dxa"/>
            <w:shd w:val="clear" w:color="auto" w:fill="auto"/>
            <w:noWrap/>
            <w:vAlign w:val="bottom"/>
          </w:tcPr>
          <w:p w14:paraId="1823392B" w14:textId="77777777" w:rsidR="00772EC3" w:rsidRPr="00702148" w:rsidRDefault="00772EC3" w:rsidP="003C405A">
            <w:pPr>
              <w:spacing w:after="0"/>
              <w:rPr>
                <w:noProof/>
                <w:color w:val="000000"/>
              </w:rPr>
            </w:pPr>
            <w:r>
              <w:rPr>
                <w:noProof/>
                <w:color w:val="000000"/>
              </w:rPr>
              <w:t>LU</w:t>
            </w:r>
          </w:p>
        </w:tc>
        <w:tc>
          <w:tcPr>
            <w:tcW w:w="3120" w:type="dxa"/>
            <w:shd w:val="clear" w:color="auto" w:fill="auto"/>
            <w:noWrap/>
            <w:vAlign w:val="bottom"/>
          </w:tcPr>
          <w:p w14:paraId="1A54EDF5" w14:textId="77777777" w:rsidR="00772EC3" w:rsidRPr="00702148" w:rsidRDefault="00772EC3" w:rsidP="003C405A">
            <w:pPr>
              <w:spacing w:after="0"/>
              <w:jc w:val="right"/>
              <w:rPr>
                <w:noProof/>
                <w:color w:val="000000"/>
              </w:rPr>
            </w:pPr>
            <w:r>
              <w:rPr>
                <w:noProof/>
                <w:color w:val="000000"/>
              </w:rPr>
              <w:t>–5,3 %</w:t>
            </w:r>
          </w:p>
        </w:tc>
        <w:tc>
          <w:tcPr>
            <w:tcW w:w="2724" w:type="dxa"/>
            <w:shd w:val="clear" w:color="auto" w:fill="auto"/>
            <w:noWrap/>
            <w:vAlign w:val="bottom"/>
          </w:tcPr>
          <w:p w14:paraId="4739807B" w14:textId="77777777" w:rsidR="00772EC3" w:rsidRPr="00702148" w:rsidRDefault="00772EC3" w:rsidP="003C405A">
            <w:pPr>
              <w:spacing w:after="0"/>
              <w:jc w:val="right"/>
              <w:rPr>
                <w:noProof/>
                <w:color w:val="000000"/>
              </w:rPr>
            </w:pPr>
            <w:r>
              <w:rPr>
                <w:noProof/>
                <w:color w:val="000000"/>
              </w:rPr>
              <w:t>0,4 %</w:t>
            </w:r>
          </w:p>
        </w:tc>
        <w:tc>
          <w:tcPr>
            <w:tcW w:w="1843" w:type="dxa"/>
            <w:shd w:val="clear" w:color="auto" w:fill="auto"/>
            <w:noWrap/>
            <w:vAlign w:val="bottom"/>
          </w:tcPr>
          <w:p w14:paraId="0402DC88" w14:textId="77777777" w:rsidR="00772EC3" w:rsidRPr="00702148" w:rsidRDefault="00772EC3" w:rsidP="003C405A">
            <w:pPr>
              <w:spacing w:after="0"/>
              <w:jc w:val="right"/>
              <w:rPr>
                <w:noProof/>
                <w:color w:val="000000"/>
              </w:rPr>
            </w:pPr>
            <w:r>
              <w:rPr>
                <w:noProof/>
                <w:color w:val="000000"/>
              </w:rPr>
              <w:t>0,0 %</w:t>
            </w:r>
          </w:p>
        </w:tc>
      </w:tr>
      <w:tr w:rsidR="00772EC3" w:rsidRPr="004C6A35" w14:paraId="2747E693" w14:textId="77777777" w:rsidTr="003C405A">
        <w:trPr>
          <w:trHeight w:val="300"/>
        </w:trPr>
        <w:tc>
          <w:tcPr>
            <w:tcW w:w="960" w:type="dxa"/>
            <w:shd w:val="clear" w:color="auto" w:fill="auto"/>
            <w:noWrap/>
            <w:vAlign w:val="bottom"/>
          </w:tcPr>
          <w:p w14:paraId="47795CE4" w14:textId="77777777" w:rsidR="00772EC3" w:rsidRPr="00702148" w:rsidRDefault="00772EC3" w:rsidP="003C405A">
            <w:pPr>
              <w:spacing w:after="0"/>
              <w:rPr>
                <w:noProof/>
                <w:color w:val="000000"/>
              </w:rPr>
            </w:pPr>
            <w:r>
              <w:rPr>
                <w:noProof/>
                <w:color w:val="000000"/>
              </w:rPr>
              <w:t>HU</w:t>
            </w:r>
          </w:p>
        </w:tc>
        <w:tc>
          <w:tcPr>
            <w:tcW w:w="3120" w:type="dxa"/>
            <w:shd w:val="clear" w:color="auto" w:fill="auto"/>
            <w:noWrap/>
            <w:vAlign w:val="bottom"/>
          </w:tcPr>
          <w:p w14:paraId="15ED7C5C" w14:textId="77777777" w:rsidR="00772EC3" w:rsidRPr="00702148" w:rsidRDefault="00772EC3" w:rsidP="003C405A">
            <w:pPr>
              <w:spacing w:after="0"/>
              <w:jc w:val="right"/>
              <w:rPr>
                <w:noProof/>
                <w:color w:val="000000"/>
              </w:rPr>
            </w:pPr>
            <w:r>
              <w:rPr>
                <w:noProof/>
                <w:color w:val="000000"/>
              </w:rPr>
              <w:t>–9,5 %</w:t>
            </w:r>
          </w:p>
        </w:tc>
        <w:tc>
          <w:tcPr>
            <w:tcW w:w="2724" w:type="dxa"/>
            <w:shd w:val="clear" w:color="auto" w:fill="auto"/>
            <w:noWrap/>
            <w:vAlign w:val="bottom"/>
          </w:tcPr>
          <w:p w14:paraId="52C88D9E" w14:textId="77777777" w:rsidR="00772EC3" w:rsidRPr="00702148" w:rsidRDefault="00772EC3" w:rsidP="003C405A">
            <w:pPr>
              <w:spacing w:after="0"/>
              <w:jc w:val="right"/>
              <w:rPr>
                <w:noProof/>
                <w:color w:val="000000"/>
              </w:rPr>
            </w:pPr>
            <w:r>
              <w:rPr>
                <w:noProof/>
                <w:color w:val="000000"/>
              </w:rPr>
              <w:t>1,6 %</w:t>
            </w:r>
          </w:p>
        </w:tc>
        <w:tc>
          <w:tcPr>
            <w:tcW w:w="1843" w:type="dxa"/>
            <w:shd w:val="clear" w:color="auto" w:fill="auto"/>
            <w:noWrap/>
            <w:vAlign w:val="bottom"/>
          </w:tcPr>
          <w:p w14:paraId="72EDC914" w14:textId="77777777" w:rsidR="00772EC3" w:rsidRPr="00702148" w:rsidRDefault="00772EC3" w:rsidP="003C405A">
            <w:pPr>
              <w:spacing w:after="0"/>
              <w:jc w:val="right"/>
              <w:rPr>
                <w:noProof/>
                <w:color w:val="000000"/>
              </w:rPr>
            </w:pPr>
            <w:r>
              <w:rPr>
                <w:noProof/>
                <w:color w:val="000000"/>
              </w:rPr>
              <w:t>–0,2 %</w:t>
            </w:r>
          </w:p>
        </w:tc>
      </w:tr>
      <w:tr w:rsidR="00772EC3" w:rsidRPr="004C6A35" w14:paraId="487DF06E" w14:textId="77777777" w:rsidTr="003C405A">
        <w:trPr>
          <w:trHeight w:val="300"/>
        </w:trPr>
        <w:tc>
          <w:tcPr>
            <w:tcW w:w="960" w:type="dxa"/>
            <w:shd w:val="clear" w:color="auto" w:fill="auto"/>
            <w:noWrap/>
            <w:vAlign w:val="bottom"/>
          </w:tcPr>
          <w:p w14:paraId="0C6554DF" w14:textId="77777777" w:rsidR="00772EC3" w:rsidRPr="00702148" w:rsidRDefault="00772EC3" w:rsidP="003C405A">
            <w:pPr>
              <w:spacing w:after="0"/>
              <w:rPr>
                <w:noProof/>
                <w:color w:val="000000"/>
              </w:rPr>
            </w:pPr>
            <w:r>
              <w:rPr>
                <w:noProof/>
                <w:color w:val="000000"/>
              </w:rPr>
              <w:t>MT</w:t>
            </w:r>
          </w:p>
        </w:tc>
        <w:tc>
          <w:tcPr>
            <w:tcW w:w="3120" w:type="dxa"/>
            <w:shd w:val="clear" w:color="auto" w:fill="auto"/>
            <w:noWrap/>
            <w:vAlign w:val="bottom"/>
          </w:tcPr>
          <w:p w14:paraId="26759CB8" w14:textId="77777777" w:rsidR="00772EC3" w:rsidRPr="00702148" w:rsidRDefault="00772EC3" w:rsidP="003C405A">
            <w:pPr>
              <w:spacing w:after="0"/>
              <w:jc w:val="right"/>
              <w:rPr>
                <w:noProof/>
                <w:color w:val="000000"/>
              </w:rPr>
            </w:pPr>
            <w:r>
              <w:rPr>
                <w:noProof/>
                <w:color w:val="000000"/>
              </w:rPr>
              <w:t>–3,3 %</w:t>
            </w:r>
          </w:p>
        </w:tc>
        <w:tc>
          <w:tcPr>
            <w:tcW w:w="2724" w:type="dxa"/>
            <w:shd w:val="clear" w:color="auto" w:fill="auto"/>
            <w:noWrap/>
            <w:vAlign w:val="bottom"/>
          </w:tcPr>
          <w:p w14:paraId="090A110B" w14:textId="77777777" w:rsidR="00772EC3" w:rsidRPr="00702148" w:rsidRDefault="00772EC3" w:rsidP="003C405A">
            <w:pPr>
              <w:spacing w:after="0"/>
              <w:jc w:val="right"/>
              <w:rPr>
                <w:noProof/>
                <w:color w:val="000000"/>
              </w:rPr>
            </w:pPr>
            <w:r>
              <w:rPr>
                <w:noProof/>
                <w:color w:val="000000"/>
              </w:rPr>
              <w:t>0,1 %</w:t>
            </w:r>
          </w:p>
        </w:tc>
        <w:tc>
          <w:tcPr>
            <w:tcW w:w="1843" w:type="dxa"/>
            <w:shd w:val="clear" w:color="auto" w:fill="auto"/>
            <w:noWrap/>
            <w:vAlign w:val="bottom"/>
          </w:tcPr>
          <w:p w14:paraId="623C906F" w14:textId="77777777" w:rsidR="00772EC3" w:rsidRPr="00702148" w:rsidRDefault="00772EC3" w:rsidP="003C405A">
            <w:pPr>
              <w:spacing w:after="0"/>
              <w:jc w:val="right"/>
              <w:rPr>
                <w:noProof/>
                <w:color w:val="000000"/>
              </w:rPr>
            </w:pPr>
            <w:r>
              <w:rPr>
                <w:noProof/>
                <w:color w:val="000000"/>
              </w:rPr>
              <w:t>0,0 %</w:t>
            </w:r>
          </w:p>
        </w:tc>
      </w:tr>
      <w:tr w:rsidR="00772EC3" w:rsidRPr="004C6A35" w14:paraId="2BA34E9C" w14:textId="77777777" w:rsidTr="003C405A">
        <w:trPr>
          <w:trHeight w:val="300"/>
        </w:trPr>
        <w:tc>
          <w:tcPr>
            <w:tcW w:w="960" w:type="dxa"/>
            <w:shd w:val="clear" w:color="auto" w:fill="auto"/>
            <w:noWrap/>
            <w:vAlign w:val="bottom"/>
          </w:tcPr>
          <w:p w14:paraId="227D7A57" w14:textId="77777777" w:rsidR="00772EC3" w:rsidRPr="00702148" w:rsidRDefault="00772EC3" w:rsidP="003C405A">
            <w:pPr>
              <w:spacing w:after="0"/>
              <w:rPr>
                <w:noProof/>
                <w:color w:val="000000"/>
              </w:rPr>
            </w:pPr>
            <w:r>
              <w:rPr>
                <w:noProof/>
                <w:color w:val="000000"/>
              </w:rPr>
              <w:t>NL</w:t>
            </w:r>
          </w:p>
        </w:tc>
        <w:tc>
          <w:tcPr>
            <w:tcW w:w="3120" w:type="dxa"/>
            <w:shd w:val="clear" w:color="auto" w:fill="auto"/>
            <w:noWrap/>
            <w:vAlign w:val="bottom"/>
          </w:tcPr>
          <w:p w14:paraId="42CB0EEE" w14:textId="77777777" w:rsidR="00772EC3" w:rsidRPr="00702148" w:rsidRDefault="00772EC3" w:rsidP="003C405A">
            <w:pPr>
              <w:spacing w:after="0"/>
              <w:jc w:val="right"/>
              <w:rPr>
                <w:noProof/>
                <w:color w:val="000000"/>
              </w:rPr>
            </w:pPr>
            <w:r>
              <w:rPr>
                <w:noProof/>
                <w:color w:val="000000"/>
              </w:rPr>
              <w:t>–4,3 %</w:t>
            </w:r>
          </w:p>
        </w:tc>
        <w:tc>
          <w:tcPr>
            <w:tcW w:w="2724" w:type="dxa"/>
            <w:shd w:val="clear" w:color="auto" w:fill="auto"/>
            <w:noWrap/>
            <w:vAlign w:val="bottom"/>
          </w:tcPr>
          <w:p w14:paraId="0308AA90" w14:textId="77777777" w:rsidR="00772EC3" w:rsidRPr="00702148" w:rsidRDefault="00772EC3" w:rsidP="003C405A">
            <w:pPr>
              <w:spacing w:after="0"/>
              <w:jc w:val="right"/>
              <w:rPr>
                <w:noProof/>
                <w:color w:val="000000"/>
              </w:rPr>
            </w:pPr>
            <w:r>
              <w:rPr>
                <w:noProof/>
                <w:color w:val="000000"/>
              </w:rPr>
              <w:t>5,2 %</w:t>
            </w:r>
          </w:p>
        </w:tc>
        <w:tc>
          <w:tcPr>
            <w:tcW w:w="1843" w:type="dxa"/>
            <w:shd w:val="clear" w:color="auto" w:fill="auto"/>
            <w:noWrap/>
            <w:vAlign w:val="bottom"/>
          </w:tcPr>
          <w:p w14:paraId="7E841194" w14:textId="77777777" w:rsidR="00772EC3" w:rsidRPr="00702148" w:rsidRDefault="00772EC3" w:rsidP="003C405A">
            <w:pPr>
              <w:spacing w:after="0"/>
              <w:jc w:val="right"/>
              <w:rPr>
                <w:noProof/>
                <w:color w:val="000000"/>
              </w:rPr>
            </w:pPr>
            <w:r>
              <w:rPr>
                <w:noProof/>
                <w:color w:val="000000"/>
              </w:rPr>
              <w:t>–0,2 %</w:t>
            </w:r>
          </w:p>
        </w:tc>
      </w:tr>
      <w:tr w:rsidR="00772EC3" w:rsidRPr="004C6A35" w14:paraId="568F4AD6" w14:textId="77777777" w:rsidTr="003C405A">
        <w:trPr>
          <w:trHeight w:val="300"/>
        </w:trPr>
        <w:tc>
          <w:tcPr>
            <w:tcW w:w="960" w:type="dxa"/>
            <w:shd w:val="clear" w:color="auto" w:fill="auto"/>
            <w:noWrap/>
            <w:vAlign w:val="bottom"/>
          </w:tcPr>
          <w:p w14:paraId="330B7A2F" w14:textId="77777777" w:rsidR="00772EC3" w:rsidRPr="00702148" w:rsidRDefault="00772EC3" w:rsidP="003C405A">
            <w:pPr>
              <w:spacing w:after="0"/>
              <w:rPr>
                <w:noProof/>
                <w:color w:val="000000"/>
              </w:rPr>
            </w:pPr>
            <w:r>
              <w:rPr>
                <w:noProof/>
                <w:color w:val="000000"/>
              </w:rPr>
              <w:t>AT</w:t>
            </w:r>
          </w:p>
        </w:tc>
        <w:tc>
          <w:tcPr>
            <w:tcW w:w="3120" w:type="dxa"/>
            <w:shd w:val="clear" w:color="auto" w:fill="auto"/>
            <w:noWrap/>
            <w:vAlign w:val="bottom"/>
          </w:tcPr>
          <w:p w14:paraId="5A5B29CD" w14:textId="77777777" w:rsidR="00772EC3" w:rsidRPr="00702148" w:rsidRDefault="00772EC3" w:rsidP="003C405A">
            <w:pPr>
              <w:spacing w:after="0"/>
              <w:jc w:val="right"/>
              <w:rPr>
                <w:noProof/>
                <w:color w:val="000000"/>
              </w:rPr>
            </w:pPr>
            <w:r>
              <w:rPr>
                <w:noProof/>
                <w:color w:val="000000"/>
              </w:rPr>
              <w:t>–5,9 %</w:t>
            </w:r>
          </w:p>
        </w:tc>
        <w:tc>
          <w:tcPr>
            <w:tcW w:w="2724" w:type="dxa"/>
            <w:shd w:val="clear" w:color="auto" w:fill="auto"/>
            <w:noWrap/>
            <w:vAlign w:val="bottom"/>
          </w:tcPr>
          <w:p w14:paraId="765F774F" w14:textId="77777777" w:rsidR="00772EC3" w:rsidRPr="00702148" w:rsidRDefault="00772EC3" w:rsidP="003C405A">
            <w:pPr>
              <w:spacing w:after="0"/>
              <w:jc w:val="right"/>
              <w:rPr>
                <w:noProof/>
                <w:color w:val="000000"/>
              </w:rPr>
            </w:pPr>
            <w:r>
              <w:rPr>
                <w:noProof/>
                <w:color w:val="000000"/>
              </w:rPr>
              <w:t>2,4 %</w:t>
            </w:r>
          </w:p>
        </w:tc>
        <w:tc>
          <w:tcPr>
            <w:tcW w:w="1843" w:type="dxa"/>
            <w:shd w:val="clear" w:color="auto" w:fill="auto"/>
            <w:noWrap/>
            <w:vAlign w:val="bottom"/>
          </w:tcPr>
          <w:p w14:paraId="477109BC" w14:textId="77777777" w:rsidR="00772EC3" w:rsidRPr="00702148" w:rsidRDefault="00772EC3" w:rsidP="003C405A">
            <w:pPr>
              <w:spacing w:after="0"/>
              <w:jc w:val="right"/>
              <w:rPr>
                <w:noProof/>
                <w:color w:val="000000"/>
              </w:rPr>
            </w:pPr>
            <w:r>
              <w:rPr>
                <w:noProof/>
                <w:color w:val="000000"/>
              </w:rPr>
              <w:t>–0,1 %</w:t>
            </w:r>
          </w:p>
        </w:tc>
      </w:tr>
      <w:tr w:rsidR="00772EC3" w:rsidRPr="004C6A35" w14:paraId="0E632CDC" w14:textId="77777777" w:rsidTr="003C405A">
        <w:trPr>
          <w:trHeight w:val="300"/>
        </w:trPr>
        <w:tc>
          <w:tcPr>
            <w:tcW w:w="960" w:type="dxa"/>
            <w:shd w:val="clear" w:color="auto" w:fill="auto"/>
            <w:noWrap/>
            <w:vAlign w:val="bottom"/>
          </w:tcPr>
          <w:p w14:paraId="5236CFE7" w14:textId="77777777" w:rsidR="00772EC3" w:rsidRPr="00702148" w:rsidRDefault="00772EC3" w:rsidP="003C405A">
            <w:pPr>
              <w:spacing w:after="0"/>
              <w:rPr>
                <w:noProof/>
                <w:color w:val="000000"/>
              </w:rPr>
            </w:pPr>
            <w:r>
              <w:rPr>
                <w:noProof/>
                <w:color w:val="000000"/>
              </w:rPr>
              <w:t>PL</w:t>
            </w:r>
          </w:p>
        </w:tc>
        <w:tc>
          <w:tcPr>
            <w:tcW w:w="3120" w:type="dxa"/>
            <w:shd w:val="clear" w:color="auto" w:fill="auto"/>
            <w:noWrap/>
            <w:vAlign w:val="bottom"/>
          </w:tcPr>
          <w:p w14:paraId="1BD2BACB" w14:textId="77777777" w:rsidR="00772EC3" w:rsidRPr="00702148" w:rsidRDefault="00772EC3" w:rsidP="003C405A">
            <w:pPr>
              <w:spacing w:after="0"/>
              <w:jc w:val="right"/>
              <w:rPr>
                <w:noProof/>
                <w:color w:val="000000"/>
              </w:rPr>
            </w:pPr>
            <w:r>
              <w:rPr>
                <w:noProof/>
                <w:color w:val="000000"/>
              </w:rPr>
              <w:t>–10,9 %</w:t>
            </w:r>
          </w:p>
        </w:tc>
        <w:tc>
          <w:tcPr>
            <w:tcW w:w="2724" w:type="dxa"/>
            <w:shd w:val="clear" w:color="auto" w:fill="auto"/>
            <w:noWrap/>
            <w:vAlign w:val="bottom"/>
          </w:tcPr>
          <w:p w14:paraId="7E54CA78" w14:textId="77777777" w:rsidR="00772EC3" w:rsidRPr="00702148" w:rsidRDefault="00772EC3" w:rsidP="003C405A">
            <w:pPr>
              <w:spacing w:after="0"/>
              <w:jc w:val="right"/>
              <w:rPr>
                <w:noProof/>
                <w:color w:val="000000"/>
              </w:rPr>
            </w:pPr>
            <w:r>
              <w:rPr>
                <w:noProof/>
                <w:color w:val="000000"/>
              </w:rPr>
              <w:t>6,6 %</w:t>
            </w:r>
          </w:p>
        </w:tc>
        <w:tc>
          <w:tcPr>
            <w:tcW w:w="1843" w:type="dxa"/>
            <w:shd w:val="clear" w:color="auto" w:fill="auto"/>
            <w:noWrap/>
            <w:vAlign w:val="bottom"/>
          </w:tcPr>
          <w:p w14:paraId="15E85DCD" w14:textId="77777777" w:rsidR="00772EC3" w:rsidRPr="00702148" w:rsidRDefault="00772EC3" w:rsidP="003C405A">
            <w:pPr>
              <w:spacing w:after="0"/>
              <w:jc w:val="right"/>
              <w:rPr>
                <w:noProof/>
                <w:color w:val="000000"/>
              </w:rPr>
            </w:pPr>
            <w:r>
              <w:rPr>
                <w:noProof/>
                <w:color w:val="000000"/>
              </w:rPr>
              <w:t>–0,7 %</w:t>
            </w:r>
          </w:p>
        </w:tc>
      </w:tr>
      <w:tr w:rsidR="00772EC3" w:rsidRPr="004C6A35" w14:paraId="2F1C3413" w14:textId="77777777" w:rsidTr="003C405A">
        <w:trPr>
          <w:trHeight w:val="300"/>
        </w:trPr>
        <w:tc>
          <w:tcPr>
            <w:tcW w:w="960" w:type="dxa"/>
            <w:shd w:val="clear" w:color="auto" w:fill="auto"/>
            <w:noWrap/>
            <w:vAlign w:val="bottom"/>
          </w:tcPr>
          <w:p w14:paraId="0DBCADEB" w14:textId="77777777" w:rsidR="00772EC3" w:rsidRPr="00702148" w:rsidRDefault="00772EC3" w:rsidP="003C405A">
            <w:pPr>
              <w:spacing w:after="0"/>
              <w:rPr>
                <w:noProof/>
                <w:color w:val="000000"/>
              </w:rPr>
            </w:pPr>
            <w:r>
              <w:rPr>
                <w:noProof/>
                <w:color w:val="000000"/>
              </w:rPr>
              <w:t>PT</w:t>
            </w:r>
          </w:p>
        </w:tc>
        <w:tc>
          <w:tcPr>
            <w:tcW w:w="3120" w:type="dxa"/>
            <w:shd w:val="clear" w:color="auto" w:fill="auto"/>
            <w:noWrap/>
            <w:vAlign w:val="bottom"/>
          </w:tcPr>
          <w:p w14:paraId="1A68DA7A" w14:textId="77777777" w:rsidR="00772EC3" w:rsidRPr="00702148" w:rsidRDefault="00772EC3" w:rsidP="003C405A">
            <w:pPr>
              <w:spacing w:after="0"/>
              <w:jc w:val="right"/>
              <w:rPr>
                <w:noProof/>
                <w:color w:val="000000"/>
              </w:rPr>
            </w:pPr>
            <w:r>
              <w:rPr>
                <w:noProof/>
                <w:color w:val="000000"/>
              </w:rPr>
              <w:t>–6,1 %</w:t>
            </w:r>
          </w:p>
        </w:tc>
        <w:tc>
          <w:tcPr>
            <w:tcW w:w="2724" w:type="dxa"/>
            <w:shd w:val="clear" w:color="auto" w:fill="auto"/>
            <w:noWrap/>
            <w:vAlign w:val="bottom"/>
          </w:tcPr>
          <w:p w14:paraId="43924673" w14:textId="77777777" w:rsidR="00772EC3" w:rsidRPr="00702148" w:rsidRDefault="00772EC3" w:rsidP="003C405A">
            <w:pPr>
              <w:spacing w:after="0"/>
              <w:jc w:val="right"/>
              <w:rPr>
                <w:noProof/>
                <w:color w:val="000000"/>
              </w:rPr>
            </w:pPr>
            <w:r>
              <w:rPr>
                <w:noProof/>
                <w:color w:val="000000"/>
              </w:rPr>
              <w:t>1,7 %</w:t>
            </w:r>
          </w:p>
        </w:tc>
        <w:tc>
          <w:tcPr>
            <w:tcW w:w="1843" w:type="dxa"/>
            <w:shd w:val="clear" w:color="auto" w:fill="auto"/>
            <w:noWrap/>
            <w:vAlign w:val="bottom"/>
          </w:tcPr>
          <w:p w14:paraId="5DA5723B" w14:textId="77777777" w:rsidR="00772EC3" w:rsidRPr="00702148" w:rsidRDefault="00772EC3" w:rsidP="003C405A">
            <w:pPr>
              <w:spacing w:after="0"/>
              <w:jc w:val="right"/>
              <w:rPr>
                <w:noProof/>
                <w:color w:val="000000"/>
              </w:rPr>
            </w:pPr>
            <w:r>
              <w:rPr>
                <w:noProof/>
                <w:color w:val="000000"/>
              </w:rPr>
              <w:t>–0,1 %</w:t>
            </w:r>
          </w:p>
        </w:tc>
      </w:tr>
      <w:tr w:rsidR="00772EC3" w:rsidRPr="004C6A35" w14:paraId="0A351ED8" w14:textId="77777777" w:rsidTr="003C405A">
        <w:trPr>
          <w:trHeight w:val="300"/>
        </w:trPr>
        <w:tc>
          <w:tcPr>
            <w:tcW w:w="960" w:type="dxa"/>
            <w:shd w:val="clear" w:color="auto" w:fill="auto"/>
            <w:noWrap/>
            <w:vAlign w:val="bottom"/>
          </w:tcPr>
          <w:p w14:paraId="6806934B" w14:textId="77777777" w:rsidR="00772EC3" w:rsidRPr="00702148" w:rsidRDefault="00772EC3" w:rsidP="003C405A">
            <w:pPr>
              <w:spacing w:after="0"/>
              <w:rPr>
                <w:noProof/>
                <w:color w:val="000000"/>
              </w:rPr>
            </w:pPr>
            <w:r>
              <w:rPr>
                <w:noProof/>
                <w:color w:val="000000"/>
              </w:rPr>
              <w:t>RO</w:t>
            </w:r>
          </w:p>
        </w:tc>
        <w:tc>
          <w:tcPr>
            <w:tcW w:w="3120" w:type="dxa"/>
            <w:shd w:val="clear" w:color="auto" w:fill="auto"/>
            <w:noWrap/>
            <w:vAlign w:val="bottom"/>
          </w:tcPr>
          <w:p w14:paraId="5F4D8EA5" w14:textId="77777777" w:rsidR="00772EC3" w:rsidRPr="00702148" w:rsidRDefault="00772EC3" w:rsidP="003C405A">
            <w:pPr>
              <w:spacing w:after="0"/>
              <w:jc w:val="right"/>
              <w:rPr>
                <w:noProof/>
                <w:color w:val="000000"/>
              </w:rPr>
            </w:pPr>
            <w:r>
              <w:rPr>
                <w:noProof/>
                <w:color w:val="000000"/>
              </w:rPr>
              <w:t>–8,1 %</w:t>
            </w:r>
          </w:p>
        </w:tc>
        <w:tc>
          <w:tcPr>
            <w:tcW w:w="2724" w:type="dxa"/>
            <w:shd w:val="clear" w:color="auto" w:fill="auto"/>
            <w:noWrap/>
            <w:vAlign w:val="bottom"/>
          </w:tcPr>
          <w:p w14:paraId="3D662715" w14:textId="77777777" w:rsidR="00772EC3" w:rsidRPr="00702148" w:rsidRDefault="00772EC3" w:rsidP="003C405A">
            <w:pPr>
              <w:spacing w:after="0"/>
              <w:jc w:val="right"/>
              <w:rPr>
                <w:noProof/>
                <w:color w:val="000000"/>
              </w:rPr>
            </w:pPr>
            <w:r>
              <w:rPr>
                <w:noProof/>
                <w:color w:val="000000"/>
              </w:rPr>
              <w:t>3,1 %</w:t>
            </w:r>
          </w:p>
        </w:tc>
        <w:tc>
          <w:tcPr>
            <w:tcW w:w="1843" w:type="dxa"/>
            <w:shd w:val="clear" w:color="auto" w:fill="auto"/>
            <w:noWrap/>
            <w:vAlign w:val="bottom"/>
          </w:tcPr>
          <w:p w14:paraId="12F633FD" w14:textId="77777777" w:rsidR="00772EC3" w:rsidRPr="00702148" w:rsidRDefault="00772EC3" w:rsidP="003C405A">
            <w:pPr>
              <w:spacing w:after="0"/>
              <w:jc w:val="right"/>
              <w:rPr>
                <w:noProof/>
                <w:color w:val="000000"/>
              </w:rPr>
            </w:pPr>
            <w:r>
              <w:rPr>
                <w:noProof/>
                <w:color w:val="000000"/>
              </w:rPr>
              <w:t>–0,3 %</w:t>
            </w:r>
          </w:p>
        </w:tc>
      </w:tr>
      <w:tr w:rsidR="00772EC3" w:rsidRPr="004C6A35" w14:paraId="48020195" w14:textId="77777777" w:rsidTr="003C405A">
        <w:trPr>
          <w:trHeight w:val="300"/>
        </w:trPr>
        <w:tc>
          <w:tcPr>
            <w:tcW w:w="960" w:type="dxa"/>
            <w:shd w:val="clear" w:color="auto" w:fill="auto"/>
            <w:noWrap/>
            <w:vAlign w:val="bottom"/>
          </w:tcPr>
          <w:p w14:paraId="32ED0535" w14:textId="77777777" w:rsidR="00772EC3" w:rsidRPr="00702148" w:rsidRDefault="00772EC3" w:rsidP="003C405A">
            <w:pPr>
              <w:spacing w:after="0"/>
              <w:rPr>
                <w:noProof/>
                <w:color w:val="000000"/>
              </w:rPr>
            </w:pPr>
            <w:r>
              <w:rPr>
                <w:noProof/>
                <w:color w:val="000000"/>
              </w:rPr>
              <w:t>SI</w:t>
            </w:r>
          </w:p>
        </w:tc>
        <w:tc>
          <w:tcPr>
            <w:tcW w:w="3120" w:type="dxa"/>
            <w:shd w:val="clear" w:color="auto" w:fill="auto"/>
            <w:noWrap/>
            <w:vAlign w:val="bottom"/>
          </w:tcPr>
          <w:p w14:paraId="49ED99B2" w14:textId="77777777" w:rsidR="00772EC3" w:rsidRPr="00702148" w:rsidRDefault="00772EC3" w:rsidP="003C405A">
            <w:pPr>
              <w:spacing w:after="0"/>
              <w:jc w:val="right"/>
              <w:rPr>
                <w:noProof/>
                <w:color w:val="000000"/>
              </w:rPr>
            </w:pPr>
            <w:r>
              <w:rPr>
                <w:noProof/>
                <w:color w:val="000000"/>
              </w:rPr>
              <w:t>–7,4 %</w:t>
            </w:r>
          </w:p>
        </w:tc>
        <w:tc>
          <w:tcPr>
            <w:tcW w:w="2724" w:type="dxa"/>
            <w:shd w:val="clear" w:color="auto" w:fill="auto"/>
            <w:noWrap/>
            <w:vAlign w:val="bottom"/>
          </w:tcPr>
          <w:p w14:paraId="3B2E1A88" w14:textId="77777777" w:rsidR="00772EC3" w:rsidRPr="00702148" w:rsidRDefault="00772EC3" w:rsidP="003C405A">
            <w:pPr>
              <w:spacing w:after="0"/>
              <w:jc w:val="right"/>
              <w:rPr>
                <w:noProof/>
                <w:color w:val="000000"/>
              </w:rPr>
            </w:pPr>
            <w:r>
              <w:rPr>
                <w:noProof/>
                <w:color w:val="000000"/>
              </w:rPr>
              <w:t>0,4 %</w:t>
            </w:r>
          </w:p>
        </w:tc>
        <w:tc>
          <w:tcPr>
            <w:tcW w:w="1843" w:type="dxa"/>
            <w:shd w:val="clear" w:color="auto" w:fill="auto"/>
            <w:noWrap/>
            <w:vAlign w:val="bottom"/>
          </w:tcPr>
          <w:p w14:paraId="72BC9737" w14:textId="77777777" w:rsidR="00772EC3" w:rsidRPr="00702148" w:rsidRDefault="00772EC3" w:rsidP="003C405A">
            <w:pPr>
              <w:spacing w:after="0"/>
              <w:jc w:val="right"/>
              <w:rPr>
                <w:noProof/>
                <w:color w:val="000000"/>
              </w:rPr>
            </w:pPr>
            <w:r>
              <w:rPr>
                <w:noProof/>
                <w:color w:val="000000"/>
              </w:rPr>
              <w:t>0,0 %</w:t>
            </w:r>
          </w:p>
        </w:tc>
      </w:tr>
      <w:tr w:rsidR="00772EC3" w:rsidRPr="004C6A35" w14:paraId="08EC55DD" w14:textId="77777777" w:rsidTr="003C405A">
        <w:trPr>
          <w:trHeight w:val="300"/>
        </w:trPr>
        <w:tc>
          <w:tcPr>
            <w:tcW w:w="960" w:type="dxa"/>
            <w:shd w:val="clear" w:color="auto" w:fill="auto"/>
            <w:noWrap/>
            <w:vAlign w:val="bottom"/>
          </w:tcPr>
          <w:p w14:paraId="10037A7D" w14:textId="77777777" w:rsidR="00772EC3" w:rsidRPr="00702148" w:rsidRDefault="00772EC3" w:rsidP="003C405A">
            <w:pPr>
              <w:spacing w:after="0"/>
              <w:rPr>
                <w:noProof/>
                <w:color w:val="000000"/>
              </w:rPr>
            </w:pPr>
            <w:r>
              <w:rPr>
                <w:noProof/>
                <w:color w:val="000000"/>
              </w:rPr>
              <w:t>SK</w:t>
            </w:r>
          </w:p>
        </w:tc>
        <w:tc>
          <w:tcPr>
            <w:tcW w:w="3120" w:type="dxa"/>
            <w:shd w:val="clear" w:color="auto" w:fill="auto"/>
            <w:noWrap/>
            <w:vAlign w:val="bottom"/>
          </w:tcPr>
          <w:p w14:paraId="707EBA37" w14:textId="77777777" w:rsidR="00772EC3" w:rsidRPr="00702148" w:rsidRDefault="00772EC3" w:rsidP="003C405A">
            <w:pPr>
              <w:spacing w:after="0"/>
              <w:jc w:val="right"/>
              <w:rPr>
                <w:noProof/>
                <w:color w:val="000000"/>
              </w:rPr>
            </w:pPr>
            <w:r>
              <w:rPr>
                <w:noProof/>
                <w:color w:val="000000"/>
              </w:rPr>
              <w:t>–6,5 %</w:t>
            </w:r>
          </w:p>
        </w:tc>
        <w:tc>
          <w:tcPr>
            <w:tcW w:w="2724" w:type="dxa"/>
            <w:shd w:val="clear" w:color="auto" w:fill="auto"/>
            <w:noWrap/>
            <w:vAlign w:val="bottom"/>
          </w:tcPr>
          <w:p w14:paraId="48BAC1A6" w14:textId="77777777" w:rsidR="00772EC3" w:rsidRPr="00702148" w:rsidRDefault="00772EC3" w:rsidP="003C405A">
            <w:pPr>
              <w:spacing w:after="0"/>
              <w:jc w:val="right"/>
              <w:rPr>
                <w:noProof/>
                <w:color w:val="000000"/>
              </w:rPr>
            </w:pPr>
            <w:r>
              <w:rPr>
                <w:noProof/>
                <w:color w:val="000000"/>
              </w:rPr>
              <w:t>0,8 %</w:t>
            </w:r>
          </w:p>
        </w:tc>
        <w:tc>
          <w:tcPr>
            <w:tcW w:w="1843" w:type="dxa"/>
            <w:shd w:val="clear" w:color="auto" w:fill="auto"/>
            <w:noWrap/>
            <w:vAlign w:val="bottom"/>
          </w:tcPr>
          <w:p w14:paraId="3FA3C5E9" w14:textId="77777777" w:rsidR="00772EC3" w:rsidRPr="00702148" w:rsidRDefault="00772EC3" w:rsidP="003C405A">
            <w:pPr>
              <w:spacing w:after="0"/>
              <w:jc w:val="right"/>
              <w:rPr>
                <w:noProof/>
                <w:color w:val="000000"/>
              </w:rPr>
            </w:pPr>
            <w:r>
              <w:rPr>
                <w:noProof/>
                <w:color w:val="000000"/>
              </w:rPr>
              <w:t>–0,1 %</w:t>
            </w:r>
          </w:p>
        </w:tc>
      </w:tr>
      <w:tr w:rsidR="00772EC3" w:rsidRPr="004C6A35" w14:paraId="0BC24B45" w14:textId="77777777" w:rsidTr="003C405A">
        <w:trPr>
          <w:trHeight w:val="300"/>
        </w:trPr>
        <w:tc>
          <w:tcPr>
            <w:tcW w:w="960" w:type="dxa"/>
            <w:shd w:val="clear" w:color="auto" w:fill="auto"/>
            <w:noWrap/>
            <w:vAlign w:val="bottom"/>
          </w:tcPr>
          <w:p w14:paraId="6DA6A712" w14:textId="77777777" w:rsidR="00772EC3" w:rsidRPr="00702148" w:rsidRDefault="00772EC3" w:rsidP="003C405A">
            <w:pPr>
              <w:spacing w:after="0"/>
              <w:rPr>
                <w:noProof/>
                <w:color w:val="000000"/>
              </w:rPr>
            </w:pPr>
            <w:r>
              <w:rPr>
                <w:noProof/>
                <w:color w:val="000000"/>
              </w:rPr>
              <w:t>FI</w:t>
            </w:r>
          </w:p>
        </w:tc>
        <w:tc>
          <w:tcPr>
            <w:tcW w:w="3120" w:type="dxa"/>
            <w:shd w:val="clear" w:color="auto" w:fill="auto"/>
            <w:noWrap/>
            <w:vAlign w:val="bottom"/>
          </w:tcPr>
          <w:p w14:paraId="2D6448B0" w14:textId="77777777" w:rsidR="00772EC3" w:rsidRPr="00702148" w:rsidRDefault="00772EC3" w:rsidP="003C405A">
            <w:pPr>
              <w:spacing w:after="0"/>
              <w:jc w:val="right"/>
              <w:rPr>
                <w:noProof/>
                <w:color w:val="000000"/>
              </w:rPr>
            </w:pPr>
            <w:r>
              <w:rPr>
                <w:noProof/>
                <w:color w:val="000000"/>
              </w:rPr>
              <w:t>–5,5 %</w:t>
            </w:r>
          </w:p>
        </w:tc>
        <w:tc>
          <w:tcPr>
            <w:tcW w:w="2724" w:type="dxa"/>
            <w:shd w:val="clear" w:color="auto" w:fill="auto"/>
            <w:noWrap/>
            <w:vAlign w:val="bottom"/>
          </w:tcPr>
          <w:p w14:paraId="7B45582F" w14:textId="77777777" w:rsidR="00772EC3" w:rsidRPr="00702148" w:rsidRDefault="00772EC3" w:rsidP="003C405A">
            <w:pPr>
              <w:spacing w:after="0"/>
              <w:jc w:val="right"/>
              <w:rPr>
                <w:noProof/>
                <w:color w:val="000000"/>
              </w:rPr>
            </w:pPr>
            <w:r>
              <w:rPr>
                <w:noProof/>
                <w:color w:val="000000"/>
              </w:rPr>
              <w:t>1,4 %</w:t>
            </w:r>
          </w:p>
        </w:tc>
        <w:tc>
          <w:tcPr>
            <w:tcW w:w="1843" w:type="dxa"/>
            <w:shd w:val="clear" w:color="auto" w:fill="auto"/>
            <w:noWrap/>
            <w:vAlign w:val="bottom"/>
          </w:tcPr>
          <w:p w14:paraId="2E54F185" w14:textId="77777777" w:rsidR="00772EC3" w:rsidRPr="00702148" w:rsidRDefault="00772EC3" w:rsidP="003C405A">
            <w:pPr>
              <w:spacing w:after="0"/>
              <w:jc w:val="right"/>
              <w:rPr>
                <w:noProof/>
                <w:color w:val="000000"/>
              </w:rPr>
            </w:pPr>
            <w:r>
              <w:rPr>
                <w:noProof/>
                <w:color w:val="000000"/>
              </w:rPr>
              <w:t>–0,1 %</w:t>
            </w:r>
          </w:p>
        </w:tc>
      </w:tr>
      <w:tr w:rsidR="00772EC3" w:rsidRPr="004C6A35" w14:paraId="2B43AB63" w14:textId="77777777" w:rsidTr="003C405A">
        <w:trPr>
          <w:trHeight w:val="300"/>
        </w:trPr>
        <w:tc>
          <w:tcPr>
            <w:tcW w:w="960" w:type="dxa"/>
            <w:shd w:val="clear" w:color="auto" w:fill="auto"/>
            <w:noWrap/>
            <w:vAlign w:val="bottom"/>
          </w:tcPr>
          <w:p w14:paraId="37CE4246" w14:textId="77777777" w:rsidR="00772EC3" w:rsidRPr="00702148" w:rsidRDefault="00772EC3" w:rsidP="003C405A">
            <w:pPr>
              <w:spacing w:after="0"/>
              <w:rPr>
                <w:noProof/>
                <w:color w:val="000000"/>
              </w:rPr>
            </w:pPr>
            <w:r>
              <w:rPr>
                <w:noProof/>
                <w:color w:val="000000"/>
              </w:rPr>
              <w:t>SE</w:t>
            </w:r>
          </w:p>
        </w:tc>
        <w:tc>
          <w:tcPr>
            <w:tcW w:w="3120" w:type="dxa"/>
            <w:shd w:val="clear" w:color="auto" w:fill="auto"/>
            <w:noWrap/>
            <w:vAlign w:val="bottom"/>
          </w:tcPr>
          <w:p w14:paraId="7ED157B6" w14:textId="77777777" w:rsidR="00772EC3" w:rsidRPr="00702148" w:rsidRDefault="00772EC3" w:rsidP="003C405A">
            <w:pPr>
              <w:spacing w:after="0"/>
              <w:jc w:val="right"/>
              <w:rPr>
                <w:noProof/>
                <w:color w:val="000000"/>
              </w:rPr>
            </w:pPr>
            <w:r>
              <w:rPr>
                <w:noProof/>
                <w:color w:val="000000"/>
              </w:rPr>
              <w:t>–4,3 %</w:t>
            </w:r>
          </w:p>
        </w:tc>
        <w:tc>
          <w:tcPr>
            <w:tcW w:w="2724" w:type="dxa"/>
            <w:shd w:val="clear" w:color="auto" w:fill="auto"/>
            <w:noWrap/>
            <w:vAlign w:val="bottom"/>
          </w:tcPr>
          <w:p w14:paraId="401ECA9E" w14:textId="77777777" w:rsidR="00772EC3" w:rsidRPr="00702148" w:rsidRDefault="00772EC3" w:rsidP="003C405A">
            <w:pPr>
              <w:spacing w:after="0"/>
              <w:jc w:val="right"/>
              <w:rPr>
                <w:noProof/>
                <w:color w:val="000000"/>
              </w:rPr>
            </w:pPr>
            <w:r>
              <w:rPr>
                <w:noProof/>
                <w:color w:val="000000"/>
              </w:rPr>
              <w:t>2,9 %</w:t>
            </w:r>
          </w:p>
        </w:tc>
        <w:tc>
          <w:tcPr>
            <w:tcW w:w="1843" w:type="dxa"/>
            <w:shd w:val="clear" w:color="auto" w:fill="auto"/>
            <w:noWrap/>
            <w:vAlign w:val="bottom"/>
          </w:tcPr>
          <w:p w14:paraId="784FDFA5" w14:textId="77777777" w:rsidR="00772EC3" w:rsidRPr="00702148" w:rsidRDefault="00772EC3" w:rsidP="003C405A">
            <w:pPr>
              <w:spacing w:after="0"/>
              <w:jc w:val="right"/>
              <w:rPr>
                <w:noProof/>
                <w:color w:val="000000"/>
              </w:rPr>
            </w:pPr>
            <w:r>
              <w:rPr>
                <w:noProof/>
                <w:color w:val="000000"/>
              </w:rPr>
              <w:t>–0,1 %</w:t>
            </w:r>
          </w:p>
        </w:tc>
      </w:tr>
    </w:tbl>
    <w:p w14:paraId="5E12C4E9" w14:textId="77777777" w:rsidR="00772EC3" w:rsidRPr="00702148" w:rsidRDefault="00772EC3" w:rsidP="00245D7E">
      <w:pPr>
        <w:tabs>
          <w:tab w:val="right" w:pos="8647"/>
        </w:tabs>
        <w:spacing w:after="200" w:line="276" w:lineRule="auto"/>
        <w:rPr>
          <w:b/>
          <w:bCs/>
          <w:i/>
          <w:iCs/>
          <w:noProof/>
          <w:szCs w:val="24"/>
        </w:rPr>
      </w:pPr>
      <w:r>
        <w:rPr>
          <w:b/>
          <w:i/>
          <w:noProof/>
        </w:rPr>
        <w:tab/>
        <w:t>Celkový ukazatel za období 2021–22: –4,6 %</w:t>
      </w:r>
    </w:p>
    <w:p w14:paraId="11191795" w14:textId="77777777" w:rsidR="00772EC3" w:rsidRPr="00702148" w:rsidRDefault="00772EC3" w:rsidP="00245D7E">
      <w:pPr>
        <w:spacing w:after="200" w:line="276" w:lineRule="auto"/>
        <w:rPr>
          <w:b/>
          <w:bCs/>
          <w:i/>
          <w:iCs/>
          <w:noProof/>
          <w:szCs w:val="24"/>
        </w:rPr>
      </w:pPr>
      <w:r>
        <w:rPr>
          <w:noProof/>
        </w:rPr>
        <w:br w:type="page"/>
      </w:r>
    </w:p>
    <w:p w14:paraId="0AAA690D" w14:textId="77777777" w:rsidR="00772EC3" w:rsidRPr="00702148" w:rsidRDefault="00772EC3" w:rsidP="00245D7E">
      <w:pPr>
        <w:tabs>
          <w:tab w:val="right" w:pos="8647"/>
        </w:tabs>
        <w:spacing w:after="200" w:line="276" w:lineRule="auto"/>
        <w:rPr>
          <w:b/>
          <w:bCs/>
          <w:i/>
          <w:iCs/>
          <w:noProof/>
          <w:szCs w:val="24"/>
        </w:rPr>
      </w:pPr>
      <w:r>
        <w:rPr>
          <w:b/>
          <w:i/>
          <w:noProof/>
        </w:rPr>
        <w:t>2022–23</w:t>
      </w:r>
    </w:p>
    <w:tbl>
      <w:tblPr>
        <w:tblStyle w:val="TableGrid"/>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
        <w:gridCol w:w="3120"/>
        <w:gridCol w:w="2724"/>
        <w:gridCol w:w="1843"/>
      </w:tblGrid>
      <w:tr w:rsidR="00772EC3" w:rsidRPr="004C6A35" w14:paraId="10378C75" w14:textId="77777777" w:rsidTr="003C405A">
        <w:trPr>
          <w:trHeight w:val="300"/>
        </w:trPr>
        <w:tc>
          <w:tcPr>
            <w:tcW w:w="960" w:type="dxa"/>
            <w:shd w:val="clear" w:color="auto" w:fill="auto"/>
            <w:noWrap/>
            <w:vAlign w:val="bottom"/>
          </w:tcPr>
          <w:p w14:paraId="468CDADC" w14:textId="77777777" w:rsidR="00772EC3" w:rsidRPr="00702148" w:rsidRDefault="00772EC3" w:rsidP="003C405A">
            <w:pPr>
              <w:spacing w:after="0"/>
              <w:rPr>
                <w:noProof/>
                <w:color w:val="000000"/>
              </w:rPr>
            </w:pPr>
            <w:r>
              <w:rPr>
                <w:noProof/>
                <w:color w:val="000000"/>
              </w:rPr>
              <w:t>Členský stát</w:t>
            </w:r>
          </w:p>
        </w:tc>
        <w:tc>
          <w:tcPr>
            <w:tcW w:w="3120" w:type="dxa"/>
            <w:shd w:val="clear" w:color="auto" w:fill="auto"/>
            <w:noWrap/>
            <w:vAlign w:val="bottom"/>
          </w:tcPr>
          <w:p w14:paraId="24B4FA2C" w14:textId="77777777" w:rsidR="00772EC3" w:rsidRPr="00702148" w:rsidRDefault="00772EC3" w:rsidP="003C405A">
            <w:pPr>
              <w:spacing w:after="0"/>
              <w:rPr>
                <w:noProof/>
                <w:color w:val="000000"/>
              </w:rPr>
            </w:pPr>
            <w:r>
              <w:rPr>
                <w:noProof/>
                <w:color w:val="000000"/>
              </w:rPr>
              <w:t>Ukazatel reálné čisté odměny</w:t>
            </w:r>
          </w:p>
        </w:tc>
        <w:tc>
          <w:tcPr>
            <w:tcW w:w="2724" w:type="dxa"/>
            <w:shd w:val="clear" w:color="auto" w:fill="auto"/>
            <w:noWrap/>
            <w:vAlign w:val="bottom"/>
          </w:tcPr>
          <w:p w14:paraId="4DEE3211" w14:textId="77777777" w:rsidR="00772EC3" w:rsidRPr="00933599" w:rsidRDefault="00772EC3" w:rsidP="003C405A">
            <w:pPr>
              <w:spacing w:after="0"/>
              <w:rPr>
                <w:noProof/>
                <w:color w:val="000000"/>
              </w:rPr>
            </w:pPr>
            <w:r>
              <w:rPr>
                <w:noProof/>
                <w:color w:val="000000"/>
              </w:rPr>
              <w:t>Vážený HDP v PPS (EU-27 = 100)</w:t>
            </w:r>
          </w:p>
        </w:tc>
        <w:tc>
          <w:tcPr>
            <w:tcW w:w="1843" w:type="dxa"/>
            <w:shd w:val="clear" w:color="auto" w:fill="auto"/>
            <w:noWrap/>
            <w:vAlign w:val="bottom"/>
          </w:tcPr>
          <w:p w14:paraId="460385F9" w14:textId="77777777" w:rsidR="00772EC3" w:rsidRPr="00702148" w:rsidRDefault="00772EC3" w:rsidP="003C405A">
            <w:pPr>
              <w:spacing w:after="0"/>
              <w:rPr>
                <w:noProof/>
                <w:color w:val="000000"/>
              </w:rPr>
            </w:pPr>
            <w:r>
              <w:rPr>
                <w:noProof/>
                <w:color w:val="000000"/>
              </w:rPr>
              <w:t>Vliv na celkovou částku</w:t>
            </w:r>
          </w:p>
        </w:tc>
      </w:tr>
      <w:tr w:rsidR="00772EC3" w:rsidRPr="004C6A35" w14:paraId="7C66C3F0" w14:textId="77777777" w:rsidTr="003C405A">
        <w:trPr>
          <w:trHeight w:val="300"/>
        </w:trPr>
        <w:tc>
          <w:tcPr>
            <w:tcW w:w="960" w:type="dxa"/>
            <w:shd w:val="clear" w:color="auto" w:fill="auto"/>
            <w:noWrap/>
            <w:vAlign w:val="bottom"/>
          </w:tcPr>
          <w:p w14:paraId="3E1426AB" w14:textId="77777777" w:rsidR="00772EC3" w:rsidRPr="00702148" w:rsidRDefault="00772EC3" w:rsidP="003C405A">
            <w:pPr>
              <w:spacing w:after="0"/>
              <w:rPr>
                <w:noProof/>
                <w:color w:val="000000"/>
                <w:lang w:eastAsia="en-IE"/>
              </w:rPr>
            </w:pPr>
          </w:p>
        </w:tc>
        <w:tc>
          <w:tcPr>
            <w:tcW w:w="3120" w:type="dxa"/>
            <w:shd w:val="clear" w:color="auto" w:fill="auto"/>
            <w:noWrap/>
            <w:vAlign w:val="bottom"/>
          </w:tcPr>
          <w:p w14:paraId="261C3082" w14:textId="77777777" w:rsidR="00772EC3" w:rsidRPr="00702148" w:rsidRDefault="00772EC3" w:rsidP="003C405A">
            <w:pPr>
              <w:spacing w:after="0"/>
              <w:rPr>
                <w:noProof/>
                <w:sz w:val="20"/>
                <w:lang w:eastAsia="en-IE"/>
              </w:rPr>
            </w:pPr>
          </w:p>
        </w:tc>
        <w:tc>
          <w:tcPr>
            <w:tcW w:w="2724" w:type="dxa"/>
            <w:shd w:val="clear" w:color="auto" w:fill="auto"/>
            <w:noWrap/>
            <w:vAlign w:val="bottom"/>
          </w:tcPr>
          <w:p w14:paraId="227DC285" w14:textId="77777777" w:rsidR="00772EC3" w:rsidRPr="00702148" w:rsidRDefault="00772EC3" w:rsidP="003C405A">
            <w:pPr>
              <w:spacing w:after="0"/>
              <w:rPr>
                <w:noProof/>
                <w:sz w:val="20"/>
                <w:lang w:eastAsia="en-IE"/>
              </w:rPr>
            </w:pPr>
          </w:p>
        </w:tc>
        <w:tc>
          <w:tcPr>
            <w:tcW w:w="1843" w:type="dxa"/>
            <w:shd w:val="clear" w:color="auto" w:fill="auto"/>
            <w:noWrap/>
            <w:vAlign w:val="bottom"/>
          </w:tcPr>
          <w:p w14:paraId="4D9C333F" w14:textId="77777777" w:rsidR="00772EC3" w:rsidRPr="00702148" w:rsidRDefault="00772EC3" w:rsidP="003C405A">
            <w:pPr>
              <w:spacing w:after="0"/>
              <w:rPr>
                <w:noProof/>
                <w:sz w:val="20"/>
                <w:lang w:eastAsia="en-IE"/>
              </w:rPr>
            </w:pPr>
          </w:p>
        </w:tc>
      </w:tr>
      <w:tr w:rsidR="00772EC3" w:rsidRPr="004C6A35" w14:paraId="4E153FD2" w14:textId="77777777" w:rsidTr="003C405A">
        <w:trPr>
          <w:trHeight w:val="300"/>
        </w:trPr>
        <w:tc>
          <w:tcPr>
            <w:tcW w:w="960" w:type="dxa"/>
            <w:shd w:val="clear" w:color="auto" w:fill="auto"/>
            <w:noWrap/>
            <w:vAlign w:val="bottom"/>
          </w:tcPr>
          <w:p w14:paraId="0D77B60B" w14:textId="77777777" w:rsidR="00772EC3" w:rsidRPr="00702148" w:rsidRDefault="00772EC3" w:rsidP="003C405A">
            <w:pPr>
              <w:spacing w:after="0"/>
              <w:rPr>
                <w:noProof/>
                <w:color w:val="000000"/>
              </w:rPr>
            </w:pPr>
            <w:r>
              <w:rPr>
                <w:noProof/>
                <w:color w:val="000000"/>
              </w:rPr>
              <w:t>BE</w:t>
            </w:r>
          </w:p>
        </w:tc>
        <w:tc>
          <w:tcPr>
            <w:tcW w:w="3120" w:type="dxa"/>
            <w:shd w:val="clear" w:color="auto" w:fill="auto"/>
            <w:noWrap/>
            <w:vAlign w:val="bottom"/>
          </w:tcPr>
          <w:p w14:paraId="448F6E2E" w14:textId="77777777" w:rsidR="00772EC3" w:rsidRPr="00702148" w:rsidRDefault="00772EC3" w:rsidP="003C405A">
            <w:pPr>
              <w:spacing w:after="0"/>
              <w:jc w:val="right"/>
              <w:rPr>
                <w:noProof/>
                <w:color w:val="000000"/>
              </w:rPr>
            </w:pPr>
            <w:r>
              <w:rPr>
                <w:noProof/>
                <w:color w:val="000000"/>
              </w:rPr>
              <w:t>6,1 %</w:t>
            </w:r>
          </w:p>
        </w:tc>
        <w:tc>
          <w:tcPr>
            <w:tcW w:w="2724" w:type="dxa"/>
            <w:shd w:val="clear" w:color="auto" w:fill="auto"/>
            <w:noWrap/>
            <w:vAlign w:val="bottom"/>
          </w:tcPr>
          <w:p w14:paraId="4D82BEAA" w14:textId="77777777" w:rsidR="00772EC3" w:rsidRPr="00702148" w:rsidRDefault="00772EC3" w:rsidP="003C405A">
            <w:pPr>
              <w:spacing w:after="0"/>
              <w:jc w:val="right"/>
              <w:rPr>
                <w:noProof/>
                <w:color w:val="000000"/>
              </w:rPr>
            </w:pPr>
            <w:r>
              <w:rPr>
                <w:noProof/>
                <w:color w:val="000000"/>
              </w:rPr>
              <w:t>3,1 %</w:t>
            </w:r>
          </w:p>
        </w:tc>
        <w:tc>
          <w:tcPr>
            <w:tcW w:w="1843" w:type="dxa"/>
            <w:shd w:val="clear" w:color="auto" w:fill="auto"/>
            <w:noWrap/>
            <w:vAlign w:val="bottom"/>
          </w:tcPr>
          <w:p w14:paraId="2BD96570" w14:textId="77777777" w:rsidR="00772EC3" w:rsidRPr="00702148" w:rsidRDefault="00772EC3" w:rsidP="003C405A">
            <w:pPr>
              <w:spacing w:after="0"/>
              <w:jc w:val="right"/>
              <w:rPr>
                <w:noProof/>
                <w:color w:val="000000"/>
              </w:rPr>
            </w:pPr>
            <w:r>
              <w:rPr>
                <w:noProof/>
                <w:color w:val="000000"/>
              </w:rPr>
              <w:t>0,0 %</w:t>
            </w:r>
          </w:p>
        </w:tc>
      </w:tr>
      <w:tr w:rsidR="00772EC3" w:rsidRPr="004C6A35" w14:paraId="7C24B096" w14:textId="77777777" w:rsidTr="003C405A">
        <w:trPr>
          <w:trHeight w:val="300"/>
        </w:trPr>
        <w:tc>
          <w:tcPr>
            <w:tcW w:w="960" w:type="dxa"/>
            <w:shd w:val="clear" w:color="auto" w:fill="auto"/>
            <w:noWrap/>
            <w:vAlign w:val="bottom"/>
          </w:tcPr>
          <w:p w14:paraId="203E35BB" w14:textId="77777777" w:rsidR="00772EC3" w:rsidRPr="00702148" w:rsidRDefault="00772EC3" w:rsidP="003C405A">
            <w:pPr>
              <w:spacing w:after="0"/>
              <w:rPr>
                <w:noProof/>
                <w:color w:val="000000"/>
              </w:rPr>
            </w:pPr>
            <w:r>
              <w:rPr>
                <w:noProof/>
                <w:color w:val="000000"/>
              </w:rPr>
              <w:t>BG</w:t>
            </w:r>
          </w:p>
        </w:tc>
        <w:tc>
          <w:tcPr>
            <w:tcW w:w="3120" w:type="dxa"/>
            <w:shd w:val="clear" w:color="auto" w:fill="auto"/>
            <w:noWrap/>
            <w:vAlign w:val="bottom"/>
          </w:tcPr>
          <w:p w14:paraId="0DA003A1" w14:textId="77777777" w:rsidR="00772EC3" w:rsidRPr="00702148" w:rsidRDefault="00772EC3" w:rsidP="003C405A">
            <w:pPr>
              <w:spacing w:after="0"/>
              <w:jc w:val="right"/>
              <w:rPr>
                <w:noProof/>
                <w:color w:val="000000"/>
              </w:rPr>
            </w:pPr>
            <w:r>
              <w:rPr>
                <w:noProof/>
                <w:color w:val="000000"/>
              </w:rPr>
              <w:t>0,1 %</w:t>
            </w:r>
          </w:p>
        </w:tc>
        <w:tc>
          <w:tcPr>
            <w:tcW w:w="2724" w:type="dxa"/>
            <w:shd w:val="clear" w:color="auto" w:fill="auto"/>
            <w:noWrap/>
            <w:vAlign w:val="bottom"/>
          </w:tcPr>
          <w:p w14:paraId="4EB7EFE9" w14:textId="77777777" w:rsidR="00772EC3" w:rsidRPr="00702148" w:rsidRDefault="00772EC3" w:rsidP="003C405A">
            <w:pPr>
              <w:spacing w:after="0"/>
              <w:jc w:val="right"/>
              <w:rPr>
                <w:noProof/>
                <w:color w:val="000000"/>
              </w:rPr>
            </w:pPr>
            <w:r>
              <w:rPr>
                <w:noProof/>
                <w:color w:val="000000"/>
              </w:rPr>
              <w:t>0,9 %</w:t>
            </w:r>
          </w:p>
        </w:tc>
        <w:tc>
          <w:tcPr>
            <w:tcW w:w="1843" w:type="dxa"/>
            <w:shd w:val="clear" w:color="auto" w:fill="auto"/>
            <w:noWrap/>
            <w:vAlign w:val="bottom"/>
          </w:tcPr>
          <w:p w14:paraId="017B8EDF" w14:textId="77777777" w:rsidR="00772EC3" w:rsidRPr="00702148" w:rsidRDefault="00772EC3" w:rsidP="003C405A">
            <w:pPr>
              <w:spacing w:after="0"/>
              <w:jc w:val="right"/>
              <w:rPr>
                <w:noProof/>
                <w:color w:val="000000"/>
              </w:rPr>
            </w:pPr>
            <w:r>
              <w:rPr>
                <w:noProof/>
                <w:color w:val="000000"/>
              </w:rPr>
              <w:t>0,0 %</w:t>
            </w:r>
          </w:p>
        </w:tc>
      </w:tr>
      <w:tr w:rsidR="00772EC3" w:rsidRPr="004C6A35" w14:paraId="70FB80D1" w14:textId="77777777" w:rsidTr="003C405A">
        <w:trPr>
          <w:trHeight w:val="300"/>
        </w:trPr>
        <w:tc>
          <w:tcPr>
            <w:tcW w:w="960" w:type="dxa"/>
            <w:shd w:val="clear" w:color="auto" w:fill="auto"/>
            <w:noWrap/>
            <w:vAlign w:val="bottom"/>
          </w:tcPr>
          <w:p w14:paraId="269777CF" w14:textId="77777777" w:rsidR="00772EC3" w:rsidRPr="00702148" w:rsidRDefault="00772EC3" w:rsidP="003C405A">
            <w:pPr>
              <w:spacing w:after="0"/>
              <w:rPr>
                <w:noProof/>
                <w:color w:val="000000"/>
              </w:rPr>
            </w:pPr>
            <w:r>
              <w:rPr>
                <w:noProof/>
                <w:color w:val="000000"/>
              </w:rPr>
              <w:t>CZ</w:t>
            </w:r>
          </w:p>
        </w:tc>
        <w:tc>
          <w:tcPr>
            <w:tcW w:w="3120" w:type="dxa"/>
            <w:shd w:val="clear" w:color="auto" w:fill="auto"/>
            <w:noWrap/>
            <w:vAlign w:val="bottom"/>
          </w:tcPr>
          <w:p w14:paraId="1BDC153F" w14:textId="77777777" w:rsidR="00772EC3" w:rsidRPr="00702148" w:rsidRDefault="00772EC3" w:rsidP="003C405A">
            <w:pPr>
              <w:spacing w:after="0"/>
              <w:jc w:val="right"/>
              <w:rPr>
                <w:noProof/>
                <w:color w:val="000000"/>
              </w:rPr>
            </w:pPr>
            <w:r>
              <w:rPr>
                <w:noProof/>
                <w:color w:val="000000"/>
              </w:rPr>
              <w:t>–8,5 %</w:t>
            </w:r>
          </w:p>
        </w:tc>
        <w:tc>
          <w:tcPr>
            <w:tcW w:w="2724" w:type="dxa"/>
            <w:shd w:val="clear" w:color="auto" w:fill="auto"/>
            <w:noWrap/>
            <w:vAlign w:val="bottom"/>
          </w:tcPr>
          <w:p w14:paraId="6527CB94" w14:textId="77777777" w:rsidR="00772EC3" w:rsidRPr="00702148" w:rsidRDefault="00772EC3" w:rsidP="003C405A">
            <w:pPr>
              <w:spacing w:after="0"/>
              <w:jc w:val="right"/>
              <w:rPr>
                <w:noProof/>
                <w:color w:val="000000"/>
              </w:rPr>
            </w:pPr>
            <w:r>
              <w:rPr>
                <w:noProof/>
                <w:color w:val="000000"/>
              </w:rPr>
              <w:t>2,2 %</w:t>
            </w:r>
          </w:p>
        </w:tc>
        <w:tc>
          <w:tcPr>
            <w:tcW w:w="1843" w:type="dxa"/>
            <w:shd w:val="clear" w:color="auto" w:fill="auto"/>
            <w:noWrap/>
            <w:vAlign w:val="bottom"/>
          </w:tcPr>
          <w:p w14:paraId="42B9E7B9" w14:textId="77777777" w:rsidR="00772EC3" w:rsidRPr="00702148" w:rsidRDefault="00772EC3" w:rsidP="003C405A">
            <w:pPr>
              <w:spacing w:after="0"/>
              <w:jc w:val="right"/>
              <w:rPr>
                <w:noProof/>
                <w:color w:val="000000"/>
              </w:rPr>
            </w:pPr>
            <w:r>
              <w:rPr>
                <w:noProof/>
                <w:color w:val="000000"/>
              </w:rPr>
              <w:t>–0,2 %</w:t>
            </w:r>
          </w:p>
        </w:tc>
      </w:tr>
      <w:tr w:rsidR="00772EC3" w:rsidRPr="004C6A35" w14:paraId="4745BBB1" w14:textId="77777777" w:rsidTr="003C405A">
        <w:trPr>
          <w:trHeight w:val="300"/>
        </w:trPr>
        <w:tc>
          <w:tcPr>
            <w:tcW w:w="960" w:type="dxa"/>
            <w:shd w:val="clear" w:color="auto" w:fill="auto"/>
            <w:noWrap/>
            <w:vAlign w:val="bottom"/>
          </w:tcPr>
          <w:p w14:paraId="7B89BF3E" w14:textId="77777777" w:rsidR="00772EC3" w:rsidRPr="00702148" w:rsidRDefault="00772EC3" w:rsidP="003C405A">
            <w:pPr>
              <w:spacing w:after="0"/>
              <w:rPr>
                <w:noProof/>
                <w:color w:val="000000"/>
              </w:rPr>
            </w:pPr>
            <w:r>
              <w:rPr>
                <w:noProof/>
                <w:color w:val="000000"/>
              </w:rPr>
              <w:t>DK</w:t>
            </w:r>
          </w:p>
        </w:tc>
        <w:tc>
          <w:tcPr>
            <w:tcW w:w="3120" w:type="dxa"/>
            <w:shd w:val="clear" w:color="auto" w:fill="auto"/>
            <w:noWrap/>
            <w:vAlign w:val="bottom"/>
          </w:tcPr>
          <w:p w14:paraId="6E7AAE53" w14:textId="77777777" w:rsidR="00772EC3" w:rsidRPr="00702148" w:rsidRDefault="00772EC3" w:rsidP="003C405A">
            <w:pPr>
              <w:spacing w:after="0"/>
              <w:jc w:val="right"/>
              <w:rPr>
                <w:noProof/>
                <w:color w:val="000000"/>
              </w:rPr>
            </w:pPr>
            <w:r>
              <w:rPr>
                <w:noProof/>
                <w:color w:val="000000"/>
              </w:rPr>
              <w:t>–0,1 %</w:t>
            </w:r>
          </w:p>
        </w:tc>
        <w:tc>
          <w:tcPr>
            <w:tcW w:w="2724" w:type="dxa"/>
            <w:shd w:val="clear" w:color="auto" w:fill="auto"/>
            <w:noWrap/>
            <w:vAlign w:val="bottom"/>
          </w:tcPr>
          <w:p w14:paraId="737E8948" w14:textId="77777777" w:rsidR="00772EC3" w:rsidRPr="00702148" w:rsidRDefault="00772EC3" w:rsidP="003C405A">
            <w:pPr>
              <w:spacing w:after="0"/>
              <w:jc w:val="right"/>
              <w:rPr>
                <w:noProof/>
                <w:color w:val="000000"/>
              </w:rPr>
            </w:pPr>
            <w:r>
              <w:rPr>
                <w:noProof/>
                <w:color w:val="000000"/>
              </w:rPr>
              <w:t>1,8 %</w:t>
            </w:r>
          </w:p>
        </w:tc>
        <w:tc>
          <w:tcPr>
            <w:tcW w:w="1843" w:type="dxa"/>
            <w:shd w:val="clear" w:color="auto" w:fill="auto"/>
            <w:noWrap/>
            <w:vAlign w:val="bottom"/>
          </w:tcPr>
          <w:p w14:paraId="586574FC" w14:textId="77777777" w:rsidR="00772EC3" w:rsidRPr="00702148" w:rsidRDefault="00772EC3" w:rsidP="003C405A">
            <w:pPr>
              <w:spacing w:after="0"/>
              <w:jc w:val="right"/>
              <w:rPr>
                <w:noProof/>
                <w:color w:val="000000"/>
              </w:rPr>
            </w:pPr>
            <w:r>
              <w:rPr>
                <w:noProof/>
                <w:color w:val="000000"/>
              </w:rPr>
              <w:t>0,0 %</w:t>
            </w:r>
          </w:p>
        </w:tc>
      </w:tr>
      <w:tr w:rsidR="00772EC3" w:rsidRPr="004C6A35" w14:paraId="28E2D4C5" w14:textId="77777777" w:rsidTr="003C405A">
        <w:trPr>
          <w:trHeight w:val="300"/>
        </w:trPr>
        <w:tc>
          <w:tcPr>
            <w:tcW w:w="960" w:type="dxa"/>
            <w:shd w:val="clear" w:color="auto" w:fill="auto"/>
            <w:noWrap/>
            <w:vAlign w:val="bottom"/>
          </w:tcPr>
          <w:p w14:paraId="593E4E77" w14:textId="77777777" w:rsidR="00772EC3" w:rsidRPr="00702148" w:rsidRDefault="00772EC3" w:rsidP="003C405A">
            <w:pPr>
              <w:spacing w:after="0"/>
              <w:rPr>
                <w:noProof/>
                <w:color w:val="000000"/>
              </w:rPr>
            </w:pPr>
            <w:r>
              <w:rPr>
                <w:noProof/>
                <w:color w:val="000000"/>
              </w:rPr>
              <w:t>DE</w:t>
            </w:r>
          </w:p>
        </w:tc>
        <w:tc>
          <w:tcPr>
            <w:tcW w:w="3120" w:type="dxa"/>
            <w:shd w:val="clear" w:color="auto" w:fill="auto"/>
            <w:noWrap/>
            <w:vAlign w:val="bottom"/>
          </w:tcPr>
          <w:p w14:paraId="46550AEA" w14:textId="77777777" w:rsidR="00772EC3" w:rsidRPr="00702148" w:rsidRDefault="00772EC3" w:rsidP="003C405A">
            <w:pPr>
              <w:spacing w:after="0"/>
              <w:jc w:val="right"/>
              <w:rPr>
                <w:noProof/>
                <w:color w:val="000000"/>
              </w:rPr>
            </w:pPr>
            <w:r>
              <w:rPr>
                <w:noProof/>
                <w:color w:val="000000"/>
              </w:rPr>
              <w:t>–3,0 %</w:t>
            </w:r>
          </w:p>
        </w:tc>
        <w:tc>
          <w:tcPr>
            <w:tcW w:w="2724" w:type="dxa"/>
            <w:shd w:val="clear" w:color="auto" w:fill="auto"/>
            <w:noWrap/>
            <w:vAlign w:val="bottom"/>
          </w:tcPr>
          <w:p w14:paraId="47908B20" w14:textId="77777777" w:rsidR="00772EC3" w:rsidRPr="00702148" w:rsidRDefault="00772EC3" w:rsidP="003C405A">
            <w:pPr>
              <w:spacing w:after="0"/>
              <w:jc w:val="right"/>
              <w:rPr>
                <w:noProof/>
                <w:color w:val="000000"/>
              </w:rPr>
            </w:pPr>
            <w:r>
              <w:rPr>
                <w:noProof/>
                <w:color w:val="000000"/>
              </w:rPr>
              <w:t>21,9 %</w:t>
            </w:r>
          </w:p>
        </w:tc>
        <w:tc>
          <w:tcPr>
            <w:tcW w:w="1843" w:type="dxa"/>
            <w:shd w:val="clear" w:color="auto" w:fill="auto"/>
            <w:noWrap/>
            <w:vAlign w:val="bottom"/>
          </w:tcPr>
          <w:p w14:paraId="0F36157B" w14:textId="77777777" w:rsidR="00772EC3" w:rsidRPr="00702148" w:rsidRDefault="00772EC3" w:rsidP="003C405A">
            <w:pPr>
              <w:spacing w:after="0"/>
              <w:jc w:val="right"/>
              <w:rPr>
                <w:noProof/>
                <w:color w:val="000000"/>
              </w:rPr>
            </w:pPr>
            <w:r>
              <w:rPr>
                <w:noProof/>
                <w:color w:val="000000"/>
              </w:rPr>
              <w:t>–0,7 %</w:t>
            </w:r>
          </w:p>
        </w:tc>
      </w:tr>
      <w:tr w:rsidR="00772EC3" w:rsidRPr="004C6A35" w14:paraId="435D08D9" w14:textId="77777777" w:rsidTr="003C405A">
        <w:trPr>
          <w:trHeight w:val="300"/>
        </w:trPr>
        <w:tc>
          <w:tcPr>
            <w:tcW w:w="960" w:type="dxa"/>
            <w:shd w:val="clear" w:color="auto" w:fill="auto"/>
            <w:noWrap/>
            <w:vAlign w:val="bottom"/>
          </w:tcPr>
          <w:p w14:paraId="21094F2D" w14:textId="77777777" w:rsidR="00772EC3" w:rsidRPr="00702148" w:rsidRDefault="00772EC3" w:rsidP="003C405A">
            <w:pPr>
              <w:spacing w:after="0"/>
              <w:rPr>
                <w:noProof/>
                <w:color w:val="000000"/>
              </w:rPr>
            </w:pPr>
            <w:r>
              <w:rPr>
                <w:noProof/>
                <w:color w:val="000000"/>
              </w:rPr>
              <w:t>EE</w:t>
            </w:r>
          </w:p>
        </w:tc>
        <w:tc>
          <w:tcPr>
            <w:tcW w:w="3120" w:type="dxa"/>
            <w:shd w:val="clear" w:color="auto" w:fill="auto"/>
            <w:noWrap/>
            <w:vAlign w:val="bottom"/>
          </w:tcPr>
          <w:p w14:paraId="7D2F415E" w14:textId="77777777" w:rsidR="00772EC3" w:rsidRPr="00702148" w:rsidRDefault="00772EC3" w:rsidP="003C405A">
            <w:pPr>
              <w:spacing w:after="0"/>
              <w:jc w:val="right"/>
              <w:rPr>
                <w:noProof/>
                <w:color w:val="000000"/>
              </w:rPr>
            </w:pPr>
            <w:r>
              <w:rPr>
                <w:noProof/>
                <w:color w:val="000000"/>
              </w:rPr>
              <w:t>–2,6 %</w:t>
            </w:r>
          </w:p>
        </w:tc>
        <w:tc>
          <w:tcPr>
            <w:tcW w:w="2724" w:type="dxa"/>
            <w:shd w:val="clear" w:color="auto" w:fill="auto"/>
            <w:noWrap/>
            <w:vAlign w:val="bottom"/>
          </w:tcPr>
          <w:p w14:paraId="18EBB30E" w14:textId="77777777" w:rsidR="00772EC3" w:rsidRPr="00702148" w:rsidRDefault="00772EC3" w:rsidP="003C405A">
            <w:pPr>
              <w:spacing w:after="0"/>
              <w:jc w:val="right"/>
              <w:rPr>
                <w:noProof/>
                <w:color w:val="000000"/>
              </w:rPr>
            </w:pPr>
            <w:r>
              <w:rPr>
                <w:noProof/>
                <w:color w:val="000000"/>
              </w:rPr>
              <w:t>0,3 %</w:t>
            </w:r>
          </w:p>
        </w:tc>
        <w:tc>
          <w:tcPr>
            <w:tcW w:w="1843" w:type="dxa"/>
            <w:shd w:val="clear" w:color="auto" w:fill="auto"/>
            <w:noWrap/>
            <w:vAlign w:val="bottom"/>
          </w:tcPr>
          <w:p w14:paraId="2540D5F6" w14:textId="77777777" w:rsidR="00772EC3" w:rsidRPr="00702148" w:rsidRDefault="00772EC3" w:rsidP="003C405A">
            <w:pPr>
              <w:spacing w:after="0"/>
              <w:jc w:val="right"/>
              <w:rPr>
                <w:noProof/>
                <w:color w:val="000000"/>
              </w:rPr>
            </w:pPr>
            <w:r>
              <w:rPr>
                <w:noProof/>
                <w:color w:val="000000"/>
              </w:rPr>
              <w:t>0,0 %</w:t>
            </w:r>
          </w:p>
        </w:tc>
      </w:tr>
      <w:tr w:rsidR="00772EC3" w:rsidRPr="004C6A35" w14:paraId="0774B641" w14:textId="77777777" w:rsidTr="003C405A">
        <w:trPr>
          <w:trHeight w:val="300"/>
        </w:trPr>
        <w:tc>
          <w:tcPr>
            <w:tcW w:w="960" w:type="dxa"/>
            <w:shd w:val="clear" w:color="auto" w:fill="auto"/>
            <w:noWrap/>
            <w:vAlign w:val="bottom"/>
          </w:tcPr>
          <w:p w14:paraId="63293570" w14:textId="77777777" w:rsidR="00772EC3" w:rsidRPr="00702148" w:rsidRDefault="00772EC3" w:rsidP="003C405A">
            <w:pPr>
              <w:spacing w:after="0"/>
              <w:rPr>
                <w:noProof/>
                <w:color w:val="000000"/>
              </w:rPr>
            </w:pPr>
            <w:r>
              <w:rPr>
                <w:noProof/>
                <w:color w:val="000000"/>
              </w:rPr>
              <w:t>IE</w:t>
            </w:r>
          </w:p>
        </w:tc>
        <w:tc>
          <w:tcPr>
            <w:tcW w:w="3120" w:type="dxa"/>
            <w:shd w:val="clear" w:color="auto" w:fill="auto"/>
            <w:noWrap/>
            <w:vAlign w:val="bottom"/>
          </w:tcPr>
          <w:p w14:paraId="3EF3E3E7" w14:textId="77777777" w:rsidR="00772EC3" w:rsidRPr="00702148" w:rsidRDefault="00772EC3" w:rsidP="003C405A">
            <w:pPr>
              <w:spacing w:after="0"/>
              <w:jc w:val="right"/>
              <w:rPr>
                <w:noProof/>
                <w:color w:val="000000"/>
              </w:rPr>
            </w:pPr>
            <w:r>
              <w:rPr>
                <w:noProof/>
                <w:color w:val="000000"/>
              </w:rPr>
              <w:t>2,8 %</w:t>
            </w:r>
          </w:p>
        </w:tc>
        <w:tc>
          <w:tcPr>
            <w:tcW w:w="2724" w:type="dxa"/>
            <w:shd w:val="clear" w:color="auto" w:fill="auto"/>
            <w:noWrap/>
            <w:vAlign w:val="bottom"/>
          </w:tcPr>
          <w:p w14:paraId="2D7AE312" w14:textId="77777777" w:rsidR="00772EC3" w:rsidRPr="00702148" w:rsidRDefault="00772EC3" w:rsidP="003C405A">
            <w:pPr>
              <w:spacing w:after="0"/>
              <w:jc w:val="right"/>
              <w:rPr>
                <w:noProof/>
                <w:color w:val="000000"/>
              </w:rPr>
            </w:pPr>
            <w:r>
              <w:rPr>
                <w:noProof/>
                <w:color w:val="000000"/>
              </w:rPr>
              <w:t>2,7 %</w:t>
            </w:r>
          </w:p>
        </w:tc>
        <w:tc>
          <w:tcPr>
            <w:tcW w:w="1843" w:type="dxa"/>
            <w:shd w:val="clear" w:color="auto" w:fill="auto"/>
            <w:noWrap/>
            <w:vAlign w:val="bottom"/>
          </w:tcPr>
          <w:p w14:paraId="5E65EE52" w14:textId="77777777" w:rsidR="00772EC3" w:rsidRPr="00702148" w:rsidRDefault="00772EC3" w:rsidP="003C405A">
            <w:pPr>
              <w:spacing w:after="0"/>
              <w:jc w:val="right"/>
              <w:rPr>
                <w:noProof/>
                <w:color w:val="000000"/>
              </w:rPr>
            </w:pPr>
            <w:r>
              <w:rPr>
                <w:noProof/>
                <w:color w:val="000000"/>
              </w:rPr>
              <w:t>0,1 %</w:t>
            </w:r>
          </w:p>
        </w:tc>
      </w:tr>
      <w:tr w:rsidR="00772EC3" w:rsidRPr="004C6A35" w14:paraId="3A264151" w14:textId="77777777" w:rsidTr="003C405A">
        <w:trPr>
          <w:trHeight w:val="300"/>
        </w:trPr>
        <w:tc>
          <w:tcPr>
            <w:tcW w:w="960" w:type="dxa"/>
            <w:shd w:val="clear" w:color="auto" w:fill="auto"/>
            <w:noWrap/>
            <w:vAlign w:val="bottom"/>
          </w:tcPr>
          <w:p w14:paraId="238095C2" w14:textId="77777777" w:rsidR="00772EC3" w:rsidRPr="00702148" w:rsidRDefault="00772EC3" w:rsidP="003C405A">
            <w:pPr>
              <w:spacing w:after="0"/>
              <w:rPr>
                <w:noProof/>
                <w:color w:val="000000"/>
              </w:rPr>
            </w:pPr>
            <w:r>
              <w:rPr>
                <w:noProof/>
                <w:color w:val="000000"/>
              </w:rPr>
              <w:t>EL</w:t>
            </w:r>
          </w:p>
        </w:tc>
        <w:tc>
          <w:tcPr>
            <w:tcW w:w="3120" w:type="dxa"/>
            <w:shd w:val="clear" w:color="auto" w:fill="auto"/>
            <w:noWrap/>
            <w:vAlign w:val="bottom"/>
          </w:tcPr>
          <w:p w14:paraId="16FE0B85" w14:textId="77777777" w:rsidR="00772EC3" w:rsidRPr="00702148" w:rsidRDefault="00772EC3" w:rsidP="003C405A">
            <w:pPr>
              <w:spacing w:after="0"/>
              <w:jc w:val="right"/>
              <w:rPr>
                <w:noProof/>
                <w:color w:val="000000"/>
              </w:rPr>
            </w:pPr>
            <w:r>
              <w:rPr>
                <w:noProof/>
                <w:color w:val="000000"/>
              </w:rPr>
              <w:t>–1,3 %</w:t>
            </w:r>
          </w:p>
        </w:tc>
        <w:tc>
          <w:tcPr>
            <w:tcW w:w="2724" w:type="dxa"/>
            <w:shd w:val="clear" w:color="auto" w:fill="auto"/>
            <w:noWrap/>
            <w:vAlign w:val="bottom"/>
          </w:tcPr>
          <w:p w14:paraId="2B0CB134" w14:textId="77777777" w:rsidR="00772EC3" w:rsidRPr="00702148" w:rsidRDefault="00772EC3" w:rsidP="003C405A">
            <w:pPr>
              <w:spacing w:after="0"/>
              <w:jc w:val="right"/>
              <w:rPr>
                <w:noProof/>
                <w:color w:val="000000"/>
              </w:rPr>
            </w:pPr>
            <w:r>
              <w:rPr>
                <w:noProof/>
                <w:color w:val="000000"/>
              </w:rPr>
              <w:t>1,6 %</w:t>
            </w:r>
          </w:p>
        </w:tc>
        <w:tc>
          <w:tcPr>
            <w:tcW w:w="1843" w:type="dxa"/>
            <w:shd w:val="clear" w:color="auto" w:fill="auto"/>
            <w:noWrap/>
            <w:vAlign w:val="bottom"/>
          </w:tcPr>
          <w:p w14:paraId="20F6E119" w14:textId="77777777" w:rsidR="00772EC3" w:rsidRPr="00702148" w:rsidRDefault="00772EC3" w:rsidP="003C405A">
            <w:pPr>
              <w:spacing w:after="0"/>
              <w:jc w:val="right"/>
              <w:rPr>
                <w:noProof/>
                <w:color w:val="000000"/>
              </w:rPr>
            </w:pPr>
            <w:r>
              <w:rPr>
                <w:noProof/>
                <w:color w:val="000000"/>
              </w:rPr>
              <w:t>0,0 %</w:t>
            </w:r>
          </w:p>
        </w:tc>
      </w:tr>
      <w:tr w:rsidR="00772EC3" w:rsidRPr="004C6A35" w14:paraId="6680F137" w14:textId="77777777" w:rsidTr="003C405A">
        <w:trPr>
          <w:trHeight w:val="300"/>
        </w:trPr>
        <w:tc>
          <w:tcPr>
            <w:tcW w:w="960" w:type="dxa"/>
            <w:shd w:val="clear" w:color="auto" w:fill="auto"/>
            <w:noWrap/>
            <w:vAlign w:val="bottom"/>
          </w:tcPr>
          <w:p w14:paraId="68A493F8" w14:textId="77777777" w:rsidR="00772EC3" w:rsidRPr="00702148" w:rsidRDefault="00772EC3" w:rsidP="003C405A">
            <w:pPr>
              <w:spacing w:after="0"/>
              <w:rPr>
                <w:noProof/>
                <w:color w:val="000000"/>
              </w:rPr>
            </w:pPr>
            <w:r>
              <w:rPr>
                <w:noProof/>
                <w:color w:val="000000"/>
              </w:rPr>
              <w:t>ES</w:t>
            </w:r>
          </w:p>
        </w:tc>
        <w:tc>
          <w:tcPr>
            <w:tcW w:w="3120" w:type="dxa"/>
            <w:shd w:val="clear" w:color="auto" w:fill="auto"/>
            <w:noWrap/>
            <w:vAlign w:val="bottom"/>
          </w:tcPr>
          <w:p w14:paraId="0CCD7F3E" w14:textId="77777777" w:rsidR="00772EC3" w:rsidRPr="00702148" w:rsidRDefault="00772EC3" w:rsidP="003C405A">
            <w:pPr>
              <w:spacing w:after="0"/>
              <w:jc w:val="right"/>
              <w:rPr>
                <w:noProof/>
                <w:color w:val="000000"/>
              </w:rPr>
            </w:pPr>
            <w:r>
              <w:rPr>
                <w:noProof/>
                <w:color w:val="000000"/>
              </w:rPr>
              <w:t>2,2 %</w:t>
            </w:r>
          </w:p>
        </w:tc>
        <w:tc>
          <w:tcPr>
            <w:tcW w:w="2724" w:type="dxa"/>
            <w:shd w:val="clear" w:color="auto" w:fill="auto"/>
            <w:noWrap/>
            <w:vAlign w:val="bottom"/>
          </w:tcPr>
          <w:p w14:paraId="42972173" w14:textId="77777777" w:rsidR="00772EC3" w:rsidRPr="00702148" w:rsidRDefault="00772EC3" w:rsidP="003C405A">
            <w:pPr>
              <w:spacing w:after="0"/>
              <w:jc w:val="right"/>
              <w:rPr>
                <w:noProof/>
                <w:color w:val="000000"/>
              </w:rPr>
            </w:pPr>
            <w:r>
              <w:rPr>
                <w:noProof/>
                <w:color w:val="000000"/>
              </w:rPr>
              <w:t>9,1 %</w:t>
            </w:r>
          </w:p>
        </w:tc>
        <w:tc>
          <w:tcPr>
            <w:tcW w:w="1843" w:type="dxa"/>
            <w:shd w:val="clear" w:color="auto" w:fill="auto"/>
            <w:noWrap/>
            <w:vAlign w:val="bottom"/>
          </w:tcPr>
          <w:p w14:paraId="3AEB0DE6" w14:textId="77777777" w:rsidR="00772EC3" w:rsidRPr="00702148" w:rsidRDefault="00772EC3" w:rsidP="003C405A">
            <w:pPr>
              <w:spacing w:after="0"/>
              <w:jc w:val="right"/>
              <w:rPr>
                <w:noProof/>
                <w:color w:val="000000"/>
              </w:rPr>
            </w:pPr>
            <w:r>
              <w:rPr>
                <w:noProof/>
                <w:color w:val="000000"/>
              </w:rPr>
              <w:t>0,2 %</w:t>
            </w:r>
          </w:p>
        </w:tc>
      </w:tr>
      <w:tr w:rsidR="00772EC3" w:rsidRPr="004C6A35" w14:paraId="242959D6" w14:textId="77777777" w:rsidTr="003C405A">
        <w:trPr>
          <w:trHeight w:val="300"/>
        </w:trPr>
        <w:tc>
          <w:tcPr>
            <w:tcW w:w="960" w:type="dxa"/>
            <w:shd w:val="clear" w:color="auto" w:fill="auto"/>
            <w:noWrap/>
            <w:vAlign w:val="bottom"/>
          </w:tcPr>
          <w:p w14:paraId="7BB2C1D0" w14:textId="77777777" w:rsidR="00772EC3" w:rsidRPr="00702148" w:rsidRDefault="00772EC3" w:rsidP="003C405A">
            <w:pPr>
              <w:spacing w:after="0"/>
              <w:rPr>
                <w:noProof/>
                <w:color w:val="000000"/>
              </w:rPr>
            </w:pPr>
            <w:r>
              <w:rPr>
                <w:noProof/>
                <w:color w:val="000000"/>
              </w:rPr>
              <w:t>FR</w:t>
            </w:r>
          </w:p>
        </w:tc>
        <w:tc>
          <w:tcPr>
            <w:tcW w:w="3120" w:type="dxa"/>
            <w:shd w:val="clear" w:color="auto" w:fill="auto"/>
            <w:noWrap/>
            <w:vAlign w:val="bottom"/>
          </w:tcPr>
          <w:p w14:paraId="13C24BEA" w14:textId="77777777" w:rsidR="00772EC3" w:rsidRPr="00702148" w:rsidRDefault="00772EC3" w:rsidP="003C405A">
            <w:pPr>
              <w:spacing w:after="0"/>
              <w:jc w:val="right"/>
              <w:rPr>
                <w:noProof/>
                <w:color w:val="000000"/>
              </w:rPr>
            </w:pPr>
            <w:r>
              <w:rPr>
                <w:noProof/>
                <w:color w:val="000000"/>
              </w:rPr>
              <w:t>–2,0 %</w:t>
            </w:r>
          </w:p>
        </w:tc>
        <w:tc>
          <w:tcPr>
            <w:tcW w:w="2724" w:type="dxa"/>
            <w:shd w:val="clear" w:color="auto" w:fill="auto"/>
            <w:noWrap/>
            <w:vAlign w:val="bottom"/>
          </w:tcPr>
          <w:p w14:paraId="1FE71385" w14:textId="77777777" w:rsidR="00772EC3" w:rsidRPr="00702148" w:rsidRDefault="00772EC3" w:rsidP="003C405A">
            <w:pPr>
              <w:spacing w:after="0"/>
              <w:jc w:val="right"/>
              <w:rPr>
                <w:noProof/>
                <w:color w:val="000000"/>
              </w:rPr>
            </w:pPr>
            <w:r>
              <w:rPr>
                <w:noProof/>
                <w:color w:val="000000"/>
              </w:rPr>
              <w:t>15,5 %</w:t>
            </w:r>
          </w:p>
        </w:tc>
        <w:tc>
          <w:tcPr>
            <w:tcW w:w="1843" w:type="dxa"/>
            <w:shd w:val="clear" w:color="auto" w:fill="auto"/>
            <w:noWrap/>
            <w:vAlign w:val="bottom"/>
          </w:tcPr>
          <w:p w14:paraId="7EE4A20A" w14:textId="77777777" w:rsidR="00772EC3" w:rsidRPr="00702148" w:rsidRDefault="00772EC3" w:rsidP="003C405A">
            <w:pPr>
              <w:spacing w:after="0"/>
              <w:jc w:val="right"/>
              <w:rPr>
                <w:noProof/>
                <w:color w:val="000000"/>
              </w:rPr>
            </w:pPr>
            <w:r>
              <w:rPr>
                <w:noProof/>
                <w:color w:val="000000"/>
              </w:rPr>
              <w:t>–0,3 %</w:t>
            </w:r>
          </w:p>
        </w:tc>
      </w:tr>
      <w:tr w:rsidR="00772EC3" w:rsidRPr="004C6A35" w14:paraId="21B4FF5D" w14:textId="77777777" w:rsidTr="003C405A">
        <w:trPr>
          <w:trHeight w:val="300"/>
        </w:trPr>
        <w:tc>
          <w:tcPr>
            <w:tcW w:w="960" w:type="dxa"/>
            <w:shd w:val="clear" w:color="auto" w:fill="auto"/>
            <w:noWrap/>
            <w:vAlign w:val="bottom"/>
          </w:tcPr>
          <w:p w14:paraId="6168387D" w14:textId="77777777" w:rsidR="00772EC3" w:rsidRPr="00702148" w:rsidRDefault="00772EC3" w:rsidP="003C405A">
            <w:pPr>
              <w:spacing w:after="0"/>
              <w:rPr>
                <w:noProof/>
                <w:color w:val="000000"/>
              </w:rPr>
            </w:pPr>
            <w:r>
              <w:rPr>
                <w:noProof/>
                <w:color w:val="000000"/>
              </w:rPr>
              <w:t>HR</w:t>
            </w:r>
          </w:p>
        </w:tc>
        <w:tc>
          <w:tcPr>
            <w:tcW w:w="3120" w:type="dxa"/>
            <w:shd w:val="clear" w:color="auto" w:fill="auto"/>
            <w:noWrap/>
            <w:vAlign w:val="bottom"/>
          </w:tcPr>
          <w:p w14:paraId="764BF3C4" w14:textId="77777777" w:rsidR="00772EC3" w:rsidRPr="00702148" w:rsidRDefault="00772EC3" w:rsidP="003C405A">
            <w:pPr>
              <w:spacing w:after="0"/>
              <w:jc w:val="right"/>
              <w:rPr>
                <w:noProof/>
                <w:color w:val="000000"/>
              </w:rPr>
            </w:pPr>
            <w:r>
              <w:rPr>
                <w:noProof/>
                <w:color w:val="000000"/>
              </w:rPr>
              <w:t>4,2 %</w:t>
            </w:r>
          </w:p>
        </w:tc>
        <w:tc>
          <w:tcPr>
            <w:tcW w:w="2724" w:type="dxa"/>
            <w:shd w:val="clear" w:color="auto" w:fill="auto"/>
            <w:noWrap/>
            <w:vAlign w:val="bottom"/>
          </w:tcPr>
          <w:p w14:paraId="5AD396AB" w14:textId="77777777" w:rsidR="00772EC3" w:rsidRPr="00702148" w:rsidRDefault="00772EC3" w:rsidP="003C405A">
            <w:pPr>
              <w:spacing w:after="0"/>
              <w:jc w:val="right"/>
              <w:rPr>
                <w:noProof/>
                <w:color w:val="000000"/>
              </w:rPr>
            </w:pPr>
            <w:r>
              <w:rPr>
                <w:noProof/>
                <w:color w:val="000000"/>
              </w:rPr>
              <w:t>0,6 %</w:t>
            </w:r>
          </w:p>
        </w:tc>
        <w:tc>
          <w:tcPr>
            <w:tcW w:w="1843" w:type="dxa"/>
            <w:shd w:val="clear" w:color="auto" w:fill="auto"/>
            <w:noWrap/>
            <w:vAlign w:val="bottom"/>
          </w:tcPr>
          <w:p w14:paraId="024810B1" w14:textId="77777777" w:rsidR="00772EC3" w:rsidRPr="00702148" w:rsidRDefault="00772EC3" w:rsidP="003C405A">
            <w:pPr>
              <w:spacing w:after="0"/>
              <w:jc w:val="right"/>
              <w:rPr>
                <w:noProof/>
                <w:color w:val="000000"/>
              </w:rPr>
            </w:pPr>
            <w:r>
              <w:rPr>
                <w:noProof/>
                <w:color w:val="000000"/>
              </w:rPr>
              <w:t>0,0 %</w:t>
            </w:r>
          </w:p>
        </w:tc>
      </w:tr>
      <w:tr w:rsidR="00772EC3" w:rsidRPr="004C6A35" w14:paraId="5664007D" w14:textId="77777777" w:rsidTr="003C405A">
        <w:trPr>
          <w:trHeight w:val="300"/>
        </w:trPr>
        <w:tc>
          <w:tcPr>
            <w:tcW w:w="960" w:type="dxa"/>
            <w:shd w:val="clear" w:color="auto" w:fill="auto"/>
            <w:noWrap/>
            <w:vAlign w:val="bottom"/>
          </w:tcPr>
          <w:p w14:paraId="37B55AF2" w14:textId="77777777" w:rsidR="00772EC3" w:rsidRPr="00702148" w:rsidRDefault="00772EC3" w:rsidP="003C405A">
            <w:pPr>
              <w:spacing w:after="0"/>
              <w:rPr>
                <w:noProof/>
                <w:color w:val="000000"/>
              </w:rPr>
            </w:pPr>
            <w:r>
              <w:rPr>
                <w:noProof/>
                <w:color w:val="000000"/>
              </w:rPr>
              <w:t>IT</w:t>
            </w:r>
          </w:p>
        </w:tc>
        <w:tc>
          <w:tcPr>
            <w:tcW w:w="3120" w:type="dxa"/>
            <w:shd w:val="clear" w:color="auto" w:fill="auto"/>
            <w:noWrap/>
            <w:vAlign w:val="bottom"/>
          </w:tcPr>
          <w:p w14:paraId="436EBD52" w14:textId="77777777" w:rsidR="00772EC3" w:rsidRPr="00702148" w:rsidRDefault="00772EC3" w:rsidP="003C405A">
            <w:pPr>
              <w:spacing w:after="0"/>
              <w:jc w:val="right"/>
              <w:rPr>
                <w:noProof/>
                <w:color w:val="000000"/>
              </w:rPr>
            </w:pPr>
            <w:r>
              <w:rPr>
                <w:noProof/>
                <w:color w:val="000000"/>
              </w:rPr>
              <w:t>–5,3 %</w:t>
            </w:r>
          </w:p>
        </w:tc>
        <w:tc>
          <w:tcPr>
            <w:tcW w:w="2724" w:type="dxa"/>
            <w:shd w:val="clear" w:color="auto" w:fill="auto"/>
            <w:noWrap/>
            <w:vAlign w:val="bottom"/>
          </w:tcPr>
          <w:p w14:paraId="0A61D09A" w14:textId="77777777" w:rsidR="00772EC3" w:rsidRPr="00702148" w:rsidRDefault="00772EC3" w:rsidP="003C405A">
            <w:pPr>
              <w:spacing w:after="0"/>
              <w:jc w:val="right"/>
              <w:rPr>
                <w:noProof/>
                <w:color w:val="000000"/>
              </w:rPr>
            </w:pPr>
            <w:r>
              <w:rPr>
                <w:noProof/>
                <w:color w:val="000000"/>
              </w:rPr>
              <w:t>12,8 %</w:t>
            </w:r>
          </w:p>
        </w:tc>
        <w:tc>
          <w:tcPr>
            <w:tcW w:w="1843" w:type="dxa"/>
            <w:shd w:val="clear" w:color="auto" w:fill="auto"/>
            <w:noWrap/>
            <w:vAlign w:val="bottom"/>
          </w:tcPr>
          <w:p w14:paraId="658C674E" w14:textId="77777777" w:rsidR="00772EC3" w:rsidRPr="00702148" w:rsidRDefault="00772EC3" w:rsidP="003C405A">
            <w:pPr>
              <w:spacing w:after="0"/>
              <w:jc w:val="right"/>
              <w:rPr>
                <w:noProof/>
                <w:color w:val="000000"/>
              </w:rPr>
            </w:pPr>
            <w:r>
              <w:rPr>
                <w:noProof/>
                <w:color w:val="000000"/>
              </w:rPr>
              <w:t>–0,7 %</w:t>
            </w:r>
          </w:p>
        </w:tc>
      </w:tr>
      <w:tr w:rsidR="00772EC3" w:rsidRPr="004C6A35" w14:paraId="05DA728B" w14:textId="77777777" w:rsidTr="003C405A">
        <w:trPr>
          <w:trHeight w:val="300"/>
        </w:trPr>
        <w:tc>
          <w:tcPr>
            <w:tcW w:w="960" w:type="dxa"/>
            <w:shd w:val="clear" w:color="auto" w:fill="auto"/>
            <w:noWrap/>
            <w:vAlign w:val="bottom"/>
          </w:tcPr>
          <w:p w14:paraId="55739D7E" w14:textId="77777777" w:rsidR="00772EC3" w:rsidRPr="00702148" w:rsidRDefault="00772EC3" w:rsidP="003C405A">
            <w:pPr>
              <w:spacing w:after="0"/>
              <w:rPr>
                <w:noProof/>
                <w:color w:val="000000"/>
              </w:rPr>
            </w:pPr>
            <w:r>
              <w:rPr>
                <w:noProof/>
                <w:color w:val="000000"/>
              </w:rPr>
              <w:t>CY</w:t>
            </w:r>
          </w:p>
        </w:tc>
        <w:tc>
          <w:tcPr>
            <w:tcW w:w="3120" w:type="dxa"/>
            <w:shd w:val="clear" w:color="auto" w:fill="auto"/>
            <w:noWrap/>
            <w:vAlign w:val="bottom"/>
          </w:tcPr>
          <w:p w14:paraId="4F6DBBB2" w14:textId="77777777" w:rsidR="00772EC3" w:rsidRPr="00702148" w:rsidRDefault="00772EC3" w:rsidP="003C405A">
            <w:pPr>
              <w:spacing w:after="0"/>
              <w:jc w:val="right"/>
              <w:rPr>
                <w:noProof/>
                <w:color w:val="000000"/>
              </w:rPr>
            </w:pPr>
            <w:r>
              <w:rPr>
                <w:noProof/>
                <w:color w:val="000000"/>
              </w:rPr>
              <w:t>4,1 %</w:t>
            </w:r>
          </w:p>
        </w:tc>
        <w:tc>
          <w:tcPr>
            <w:tcW w:w="2724" w:type="dxa"/>
            <w:shd w:val="clear" w:color="auto" w:fill="auto"/>
            <w:noWrap/>
            <w:vAlign w:val="bottom"/>
          </w:tcPr>
          <w:p w14:paraId="3FC67C19" w14:textId="77777777" w:rsidR="00772EC3" w:rsidRPr="00702148" w:rsidRDefault="00772EC3" w:rsidP="003C405A">
            <w:pPr>
              <w:spacing w:after="0"/>
              <w:jc w:val="right"/>
              <w:rPr>
                <w:noProof/>
                <w:color w:val="000000"/>
              </w:rPr>
            </w:pPr>
            <w:r>
              <w:rPr>
                <w:noProof/>
                <w:color w:val="000000"/>
              </w:rPr>
              <w:t>0,2 %</w:t>
            </w:r>
          </w:p>
        </w:tc>
        <w:tc>
          <w:tcPr>
            <w:tcW w:w="1843" w:type="dxa"/>
            <w:shd w:val="clear" w:color="auto" w:fill="auto"/>
            <w:noWrap/>
            <w:vAlign w:val="bottom"/>
          </w:tcPr>
          <w:p w14:paraId="3C939C28" w14:textId="77777777" w:rsidR="00772EC3" w:rsidRPr="00702148" w:rsidRDefault="00772EC3" w:rsidP="003C405A">
            <w:pPr>
              <w:spacing w:after="0"/>
              <w:jc w:val="right"/>
              <w:rPr>
                <w:noProof/>
                <w:color w:val="000000"/>
              </w:rPr>
            </w:pPr>
            <w:r>
              <w:rPr>
                <w:noProof/>
                <w:color w:val="000000"/>
              </w:rPr>
              <w:t>0,0 %</w:t>
            </w:r>
          </w:p>
        </w:tc>
      </w:tr>
      <w:tr w:rsidR="00772EC3" w:rsidRPr="004C6A35" w14:paraId="0A5E1139" w14:textId="77777777" w:rsidTr="003C405A">
        <w:trPr>
          <w:trHeight w:val="300"/>
        </w:trPr>
        <w:tc>
          <w:tcPr>
            <w:tcW w:w="960" w:type="dxa"/>
            <w:shd w:val="clear" w:color="auto" w:fill="auto"/>
            <w:noWrap/>
            <w:vAlign w:val="bottom"/>
          </w:tcPr>
          <w:p w14:paraId="2868E0F7" w14:textId="77777777" w:rsidR="00772EC3" w:rsidRPr="00702148" w:rsidRDefault="00772EC3" w:rsidP="003C405A">
            <w:pPr>
              <w:spacing w:after="0"/>
              <w:rPr>
                <w:noProof/>
                <w:color w:val="000000"/>
              </w:rPr>
            </w:pPr>
            <w:r>
              <w:rPr>
                <w:noProof/>
                <w:color w:val="000000"/>
              </w:rPr>
              <w:t>LV</w:t>
            </w:r>
          </w:p>
        </w:tc>
        <w:tc>
          <w:tcPr>
            <w:tcW w:w="3120" w:type="dxa"/>
            <w:shd w:val="clear" w:color="auto" w:fill="auto"/>
            <w:noWrap/>
            <w:vAlign w:val="bottom"/>
          </w:tcPr>
          <w:p w14:paraId="5A8B2C7C" w14:textId="77777777" w:rsidR="00772EC3" w:rsidRPr="00702148" w:rsidRDefault="00772EC3" w:rsidP="003C405A">
            <w:pPr>
              <w:spacing w:after="0"/>
              <w:jc w:val="right"/>
              <w:rPr>
                <w:noProof/>
                <w:color w:val="000000"/>
              </w:rPr>
            </w:pPr>
            <w:r>
              <w:rPr>
                <w:noProof/>
                <w:color w:val="000000"/>
              </w:rPr>
              <w:t>11,5 %</w:t>
            </w:r>
          </w:p>
        </w:tc>
        <w:tc>
          <w:tcPr>
            <w:tcW w:w="2724" w:type="dxa"/>
            <w:shd w:val="clear" w:color="auto" w:fill="auto"/>
            <w:noWrap/>
            <w:vAlign w:val="bottom"/>
          </w:tcPr>
          <w:p w14:paraId="28367933" w14:textId="77777777" w:rsidR="00772EC3" w:rsidRPr="00702148" w:rsidRDefault="00772EC3" w:rsidP="003C405A">
            <w:pPr>
              <w:spacing w:after="0"/>
              <w:jc w:val="right"/>
              <w:rPr>
                <w:noProof/>
                <w:color w:val="000000"/>
              </w:rPr>
            </w:pPr>
            <w:r>
              <w:rPr>
                <w:noProof/>
                <w:color w:val="000000"/>
              </w:rPr>
              <w:t>0,3 %</w:t>
            </w:r>
          </w:p>
        </w:tc>
        <w:tc>
          <w:tcPr>
            <w:tcW w:w="1843" w:type="dxa"/>
            <w:shd w:val="clear" w:color="auto" w:fill="auto"/>
            <w:noWrap/>
            <w:vAlign w:val="bottom"/>
          </w:tcPr>
          <w:p w14:paraId="4CD45F6F" w14:textId="77777777" w:rsidR="00772EC3" w:rsidRPr="00702148" w:rsidRDefault="00772EC3" w:rsidP="003C405A">
            <w:pPr>
              <w:spacing w:after="0"/>
              <w:jc w:val="right"/>
              <w:rPr>
                <w:noProof/>
                <w:color w:val="000000"/>
              </w:rPr>
            </w:pPr>
            <w:r>
              <w:rPr>
                <w:noProof/>
                <w:color w:val="000000"/>
              </w:rPr>
              <w:t>0,0 %</w:t>
            </w:r>
          </w:p>
        </w:tc>
      </w:tr>
      <w:tr w:rsidR="00772EC3" w:rsidRPr="004C6A35" w14:paraId="3E950357" w14:textId="77777777" w:rsidTr="003C405A">
        <w:trPr>
          <w:trHeight w:val="300"/>
        </w:trPr>
        <w:tc>
          <w:tcPr>
            <w:tcW w:w="960" w:type="dxa"/>
            <w:shd w:val="clear" w:color="auto" w:fill="auto"/>
            <w:noWrap/>
            <w:vAlign w:val="bottom"/>
          </w:tcPr>
          <w:p w14:paraId="55C780C3" w14:textId="77777777" w:rsidR="00772EC3" w:rsidRPr="00702148" w:rsidRDefault="00772EC3" w:rsidP="003C405A">
            <w:pPr>
              <w:spacing w:after="0"/>
              <w:rPr>
                <w:noProof/>
                <w:color w:val="000000"/>
              </w:rPr>
            </w:pPr>
            <w:r>
              <w:rPr>
                <w:noProof/>
                <w:color w:val="000000"/>
              </w:rPr>
              <w:t>LT</w:t>
            </w:r>
          </w:p>
        </w:tc>
        <w:tc>
          <w:tcPr>
            <w:tcW w:w="3120" w:type="dxa"/>
            <w:shd w:val="clear" w:color="auto" w:fill="auto"/>
            <w:noWrap/>
            <w:vAlign w:val="bottom"/>
          </w:tcPr>
          <w:p w14:paraId="61A39680" w14:textId="77777777" w:rsidR="00772EC3" w:rsidRPr="00702148" w:rsidRDefault="00772EC3" w:rsidP="003C405A">
            <w:pPr>
              <w:spacing w:after="0"/>
              <w:jc w:val="right"/>
              <w:rPr>
                <w:noProof/>
                <w:color w:val="000000"/>
              </w:rPr>
            </w:pPr>
            <w:r>
              <w:rPr>
                <w:noProof/>
                <w:color w:val="000000"/>
              </w:rPr>
              <w:t>–4,6 %</w:t>
            </w:r>
          </w:p>
        </w:tc>
        <w:tc>
          <w:tcPr>
            <w:tcW w:w="2724" w:type="dxa"/>
            <w:shd w:val="clear" w:color="auto" w:fill="auto"/>
            <w:noWrap/>
            <w:vAlign w:val="bottom"/>
          </w:tcPr>
          <w:p w14:paraId="5BD18849" w14:textId="77777777" w:rsidR="00772EC3" w:rsidRPr="00702148" w:rsidRDefault="00772EC3" w:rsidP="003C405A">
            <w:pPr>
              <w:spacing w:after="0"/>
              <w:jc w:val="right"/>
              <w:rPr>
                <w:noProof/>
                <w:color w:val="000000"/>
              </w:rPr>
            </w:pPr>
            <w:r>
              <w:rPr>
                <w:noProof/>
                <w:color w:val="000000"/>
              </w:rPr>
              <w:t>0,6 %</w:t>
            </w:r>
          </w:p>
        </w:tc>
        <w:tc>
          <w:tcPr>
            <w:tcW w:w="1843" w:type="dxa"/>
            <w:shd w:val="clear" w:color="auto" w:fill="auto"/>
            <w:noWrap/>
            <w:vAlign w:val="bottom"/>
          </w:tcPr>
          <w:p w14:paraId="106645EB" w14:textId="77777777" w:rsidR="00772EC3" w:rsidRPr="00702148" w:rsidRDefault="00772EC3" w:rsidP="003C405A">
            <w:pPr>
              <w:spacing w:after="0"/>
              <w:jc w:val="right"/>
              <w:rPr>
                <w:noProof/>
                <w:color w:val="000000"/>
              </w:rPr>
            </w:pPr>
            <w:r>
              <w:rPr>
                <w:noProof/>
                <w:color w:val="000000"/>
              </w:rPr>
              <w:t>0,0 %</w:t>
            </w:r>
          </w:p>
        </w:tc>
      </w:tr>
      <w:tr w:rsidR="00772EC3" w:rsidRPr="004C6A35" w14:paraId="32F3056F" w14:textId="77777777" w:rsidTr="003C405A">
        <w:trPr>
          <w:trHeight w:val="300"/>
        </w:trPr>
        <w:tc>
          <w:tcPr>
            <w:tcW w:w="960" w:type="dxa"/>
            <w:shd w:val="clear" w:color="auto" w:fill="auto"/>
            <w:noWrap/>
            <w:vAlign w:val="bottom"/>
          </w:tcPr>
          <w:p w14:paraId="75ADF891" w14:textId="77777777" w:rsidR="00772EC3" w:rsidRPr="00702148" w:rsidRDefault="00772EC3" w:rsidP="003C405A">
            <w:pPr>
              <w:spacing w:after="0"/>
              <w:rPr>
                <w:noProof/>
                <w:color w:val="000000"/>
              </w:rPr>
            </w:pPr>
            <w:r>
              <w:rPr>
                <w:noProof/>
                <w:color w:val="000000"/>
              </w:rPr>
              <w:t>LU</w:t>
            </w:r>
          </w:p>
        </w:tc>
        <w:tc>
          <w:tcPr>
            <w:tcW w:w="3120" w:type="dxa"/>
            <w:shd w:val="clear" w:color="auto" w:fill="auto"/>
            <w:noWrap/>
            <w:vAlign w:val="bottom"/>
          </w:tcPr>
          <w:p w14:paraId="2E25DC52" w14:textId="77777777" w:rsidR="00772EC3" w:rsidRPr="00702148" w:rsidRDefault="00772EC3" w:rsidP="003C405A">
            <w:pPr>
              <w:spacing w:after="0"/>
              <w:jc w:val="right"/>
              <w:rPr>
                <w:noProof/>
                <w:color w:val="000000"/>
              </w:rPr>
            </w:pPr>
            <w:r>
              <w:rPr>
                <w:noProof/>
                <w:color w:val="000000"/>
              </w:rPr>
              <w:t>2,9 %</w:t>
            </w:r>
          </w:p>
        </w:tc>
        <w:tc>
          <w:tcPr>
            <w:tcW w:w="2724" w:type="dxa"/>
            <w:shd w:val="clear" w:color="auto" w:fill="auto"/>
            <w:noWrap/>
            <w:vAlign w:val="bottom"/>
          </w:tcPr>
          <w:p w14:paraId="7D820330" w14:textId="77777777" w:rsidR="00772EC3" w:rsidRPr="00702148" w:rsidRDefault="00772EC3" w:rsidP="003C405A">
            <w:pPr>
              <w:spacing w:after="0"/>
              <w:jc w:val="right"/>
              <w:rPr>
                <w:noProof/>
                <w:color w:val="000000"/>
              </w:rPr>
            </w:pPr>
            <w:r>
              <w:rPr>
                <w:noProof/>
                <w:color w:val="000000"/>
              </w:rPr>
              <w:t>0,4 %</w:t>
            </w:r>
          </w:p>
        </w:tc>
        <w:tc>
          <w:tcPr>
            <w:tcW w:w="1843" w:type="dxa"/>
            <w:shd w:val="clear" w:color="auto" w:fill="auto"/>
            <w:noWrap/>
            <w:vAlign w:val="bottom"/>
          </w:tcPr>
          <w:p w14:paraId="7FC13AA0" w14:textId="77777777" w:rsidR="00772EC3" w:rsidRPr="00702148" w:rsidRDefault="00772EC3" w:rsidP="003C405A">
            <w:pPr>
              <w:spacing w:after="0"/>
              <w:jc w:val="right"/>
              <w:rPr>
                <w:noProof/>
                <w:color w:val="000000"/>
              </w:rPr>
            </w:pPr>
            <w:r>
              <w:rPr>
                <w:noProof/>
                <w:color w:val="000000"/>
              </w:rPr>
              <w:t>0,0 %</w:t>
            </w:r>
          </w:p>
        </w:tc>
      </w:tr>
      <w:tr w:rsidR="00772EC3" w:rsidRPr="004C6A35" w14:paraId="3C67BA9E" w14:textId="77777777" w:rsidTr="003C405A">
        <w:trPr>
          <w:trHeight w:val="300"/>
        </w:trPr>
        <w:tc>
          <w:tcPr>
            <w:tcW w:w="960" w:type="dxa"/>
            <w:shd w:val="clear" w:color="auto" w:fill="auto"/>
            <w:noWrap/>
            <w:vAlign w:val="bottom"/>
          </w:tcPr>
          <w:p w14:paraId="30245029" w14:textId="77777777" w:rsidR="00772EC3" w:rsidRPr="00702148" w:rsidRDefault="00772EC3" w:rsidP="003C405A">
            <w:pPr>
              <w:spacing w:after="0"/>
              <w:rPr>
                <w:noProof/>
                <w:color w:val="000000"/>
              </w:rPr>
            </w:pPr>
            <w:r>
              <w:rPr>
                <w:noProof/>
                <w:color w:val="000000"/>
              </w:rPr>
              <w:t>HU</w:t>
            </w:r>
          </w:p>
        </w:tc>
        <w:tc>
          <w:tcPr>
            <w:tcW w:w="3120" w:type="dxa"/>
            <w:shd w:val="clear" w:color="auto" w:fill="auto"/>
            <w:noWrap/>
            <w:vAlign w:val="bottom"/>
          </w:tcPr>
          <w:p w14:paraId="7C2410C1" w14:textId="77777777" w:rsidR="00772EC3" w:rsidRPr="00702148" w:rsidRDefault="00772EC3" w:rsidP="003C405A">
            <w:pPr>
              <w:spacing w:after="0"/>
              <w:jc w:val="right"/>
              <w:rPr>
                <w:noProof/>
                <w:color w:val="000000"/>
              </w:rPr>
            </w:pPr>
            <w:r>
              <w:rPr>
                <w:noProof/>
                <w:color w:val="000000"/>
              </w:rPr>
              <w:t>–8,7 %</w:t>
            </w:r>
          </w:p>
        </w:tc>
        <w:tc>
          <w:tcPr>
            <w:tcW w:w="2724" w:type="dxa"/>
            <w:shd w:val="clear" w:color="auto" w:fill="auto"/>
            <w:noWrap/>
            <w:vAlign w:val="bottom"/>
          </w:tcPr>
          <w:p w14:paraId="0EA3B07B" w14:textId="77777777" w:rsidR="00772EC3" w:rsidRPr="00702148" w:rsidRDefault="00772EC3" w:rsidP="003C405A">
            <w:pPr>
              <w:spacing w:after="0"/>
              <w:jc w:val="right"/>
              <w:rPr>
                <w:noProof/>
                <w:color w:val="000000"/>
              </w:rPr>
            </w:pPr>
            <w:r>
              <w:rPr>
                <w:noProof/>
                <w:color w:val="000000"/>
              </w:rPr>
              <w:t>1,7 %</w:t>
            </w:r>
          </w:p>
        </w:tc>
        <w:tc>
          <w:tcPr>
            <w:tcW w:w="1843" w:type="dxa"/>
            <w:shd w:val="clear" w:color="auto" w:fill="auto"/>
            <w:noWrap/>
            <w:vAlign w:val="bottom"/>
          </w:tcPr>
          <w:p w14:paraId="38B6159B" w14:textId="77777777" w:rsidR="00772EC3" w:rsidRPr="00702148" w:rsidRDefault="00772EC3" w:rsidP="003C405A">
            <w:pPr>
              <w:spacing w:after="0"/>
              <w:jc w:val="right"/>
              <w:rPr>
                <w:noProof/>
                <w:color w:val="000000"/>
              </w:rPr>
            </w:pPr>
            <w:r>
              <w:rPr>
                <w:noProof/>
                <w:color w:val="000000"/>
              </w:rPr>
              <w:t>–0,1 %</w:t>
            </w:r>
          </w:p>
        </w:tc>
      </w:tr>
      <w:tr w:rsidR="00772EC3" w:rsidRPr="004C6A35" w14:paraId="39F07923" w14:textId="77777777" w:rsidTr="003C405A">
        <w:trPr>
          <w:trHeight w:val="300"/>
        </w:trPr>
        <w:tc>
          <w:tcPr>
            <w:tcW w:w="960" w:type="dxa"/>
            <w:shd w:val="clear" w:color="auto" w:fill="auto"/>
            <w:noWrap/>
            <w:vAlign w:val="bottom"/>
          </w:tcPr>
          <w:p w14:paraId="726F1B08" w14:textId="77777777" w:rsidR="00772EC3" w:rsidRPr="00702148" w:rsidRDefault="00772EC3" w:rsidP="003C405A">
            <w:pPr>
              <w:spacing w:after="0"/>
              <w:rPr>
                <w:noProof/>
                <w:color w:val="000000"/>
              </w:rPr>
            </w:pPr>
            <w:r>
              <w:rPr>
                <w:noProof/>
                <w:color w:val="000000"/>
              </w:rPr>
              <w:t>MT</w:t>
            </w:r>
          </w:p>
        </w:tc>
        <w:tc>
          <w:tcPr>
            <w:tcW w:w="3120" w:type="dxa"/>
            <w:shd w:val="clear" w:color="auto" w:fill="auto"/>
            <w:noWrap/>
            <w:vAlign w:val="bottom"/>
          </w:tcPr>
          <w:p w14:paraId="2B6D07BB" w14:textId="77777777" w:rsidR="00772EC3" w:rsidRPr="00702148" w:rsidRDefault="00772EC3" w:rsidP="003C405A">
            <w:pPr>
              <w:spacing w:after="0"/>
              <w:jc w:val="right"/>
              <w:rPr>
                <w:noProof/>
                <w:color w:val="000000"/>
              </w:rPr>
            </w:pPr>
            <w:r>
              <w:rPr>
                <w:noProof/>
                <w:color w:val="000000"/>
              </w:rPr>
              <w:t>–2,4 %</w:t>
            </w:r>
          </w:p>
        </w:tc>
        <w:tc>
          <w:tcPr>
            <w:tcW w:w="2724" w:type="dxa"/>
            <w:shd w:val="clear" w:color="auto" w:fill="auto"/>
            <w:noWrap/>
            <w:vAlign w:val="bottom"/>
          </w:tcPr>
          <w:p w14:paraId="10CE544C" w14:textId="77777777" w:rsidR="00772EC3" w:rsidRPr="00702148" w:rsidRDefault="00772EC3" w:rsidP="003C405A">
            <w:pPr>
              <w:spacing w:after="0"/>
              <w:jc w:val="right"/>
              <w:rPr>
                <w:noProof/>
                <w:color w:val="000000"/>
              </w:rPr>
            </w:pPr>
            <w:r>
              <w:rPr>
                <w:noProof/>
                <w:color w:val="000000"/>
              </w:rPr>
              <w:t>0,1 %</w:t>
            </w:r>
          </w:p>
        </w:tc>
        <w:tc>
          <w:tcPr>
            <w:tcW w:w="1843" w:type="dxa"/>
            <w:shd w:val="clear" w:color="auto" w:fill="auto"/>
            <w:noWrap/>
            <w:vAlign w:val="bottom"/>
          </w:tcPr>
          <w:p w14:paraId="5684A666" w14:textId="77777777" w:rsidR="00772EC3" w:rsidRPr="00702148" w:rsidRDefault="00772EC3" w:rsidP="003C405A">
            <w:pPr>
              <w:spacing w:after="0"/>
              <w:jc w:val="right"/>
              <w:rPr>
                <w:noProof/>
                <w:color w:val="000000"/>
              </w:rPr>
            </w:pPr>
            <w:r>
              <w:rPr>
                <w:noProof/>
                <w:color w:val="000000"/>
              </w:rPr>
              <w:t>0,0 %</w:t>
            </w:r>
          </w:p>
        </w:tc>
      </w:tr>
      <w:tr w:rsidR="00772EC3" w:rsidRPr="004C6A35" w14:paraId="10792476" w14:textId="77777777" w:rsidTr="003C405A">
        <w:trPr>
          <w:trHeight w:val="300"/>
        </w:trPr>
        <w:tc>
          <w:tcPr>
            <w:tcW w:w="960" w:type="dxa"/>
            <w:shd w:val="clear" w:color="auto" w:fill="auto"/>
            <w:noWrap/>
            <w:vAlign w:val="bottom"/>
          </w:tcPr>
          <w:p w14:paraId="596404A3" w14:textId="77777777" w:rsidR="00772EC3" w:rsidRPr="00702148" w:rsidRDefault="00772EC3" w:rsidP="003C405A">
            <w:pPr>
              <w:spacing w:after="0"/>
              <w:rPr>
                <w:noProof/>
                <w:color w:val="000000"/>
              </w:rPr>
            </w:pPr>
            <w:r>
              <w:rPr>
                <w:noProof/>
                <w:color w:val="000000"/>
              </w:rPr>
              <w:t>NL</w:t>
            </w:r>
          </w:p>
        </w:tc>
        <w:tc>
          <w:tcPr>
            <w:tcW w:w="3120" w:type="dxa"/>
            <w:shd w:val="clear" w:color="auto" w:fill="auto"/>
            <w:noWrap/>
            <w:vAlign w:val="bottom"/>
          </w:tcPr>
          <w:p w14:paraId="6D12C1A5" w14:textId="77777777" w:rsidR="00772EC3" w:rsidRPr="00702148" w:rsidRDefault="00772EC3" w:rsidP="003C405A">
            <w:pPr>
              <w:spacing w:after="0"/>
              <w:jc w:val="right"/>
              <w:rPr>
                <w:noProof/>
                <w:color w:val="000000"/>
              </w:rPr>
            </w:pPr>
            <w:r>
              <w:rPr>
                <w:noProof/>
                <w:color w:val="000000"/>
              </w:rPr>
              <w:t>0,2 %</w:t>
            </w:r>
          </w:p>
        </w:tc>
        <w:tc>
          <w:tcPr>
            <w:tcW w:w="2724" w:type="dxa"/>
            <w:shd w:val="clear" w:color="auto" w:fill="auto"/>
            <w:noWrap/>
            <w:vAlign w:val="bottom"/>
          </w:tcPr>
          <w:p w14:paraId="039BCE62" w14:textId="77777777" w:rsidR="00772EC3" w:rsidRPr="00702148" w:rsidRDefault="00772EC3" w:rsidP="003C405A">
            <w:pPr>
              <w:spacing w:after="0"/>
              <w:jc w:val="right"/>
              <w:rPr>
                <w:noProof/>
                <w:color w:val="000000"/>
              </w:rPr>
            </w:pPr>
            <w:r>
              <w:rPr>
                <w:noProof/>
                <w:color w:val="000000"/>
              </w:rPr>
              <w:t>5,2 %</w:t>
            </w:r>
          </w:p>
        </w:tc>
        <w:tc>
          <w:tcPr>
            <w:tcW w:w="1843" w:type="dxa"/>
            <w:shd w:val="clear" w:color="auto" w:fill="auto"/>
            <w:noWrap/>
            <w:vAlign w:val="bottom"/>
          </w:tcPr>
          <w:p w14:paraId="0B492766" w14:textId="77777777" w:rsidR="00772EC3" w:rsidRPr="00702148" w:rsidRDefault="00772EC3" w:rsidP="003C405A">
            <w:pPr>
              <w:spacing w:after="0"/>
              <w:jc w:val="right"/>
              <w:rPr>
                <w:noProof/>
                <w:color w:val="000000"/>
              </w:rPr>
            </w:pPr>
            <w:r>
              <w:rPr>
                <w:noProof/>
                <w:color w:val="000000"/>
              </w:rPr>
              <w:t>0,0 %</w:t>
            </w:r>
          </w:p>
        </w:tc>
      </w:tr>
      <w:tr w:rsidR="00772EC3" w:rsidRPr="004C6A35" w14:paraId="649CB6BF" w14:textId="77777777" w:rsidTr="003C405A">
        <w:trPr>
          <w:trHeight w:val="300"/>
        </w:trPr>
        <w:tc>
          <w:tcPr>
            <w:tcW w:w="960" w:type="dxa"/>
            <w:shd w:val="clear" w:color="auto" w:fill="auto"/>
            <w:noWrap/>
            <w:vAlign w:val="bottom"/>
          </w:tcPr>
          <w:p w14:paraId="12788362" w14:textId="77777777" w:rsidR="00772EC3" w:rsidRPr="00702148" w:rsidRDefault="00772EC3" w:rsidP="003C405A">
            <w:pPr>
              <w:spacing w:after="0"/>
              <w:rPr>
                <w:noProof/>
                <w:color w:val="000000"/>
              </w:rPr>
            </w:pPr>
            <w:r>
              <w:rPr>
                <w:noProof/>
                <w:color w:val="000000"/>
              </w:rPr>
              <w:t>AT</w:t>
            </w:r>
          </w:p>
        </w:tc>
        <w:tc>
          <w:tcPr>
            <w:tcW w:w="3120" w:type="dxa"/>
            <w:shd w:val="clear" w:color="auto" w:fill="auto"/>
            <w:noWrap/>
            <w:vAlign w:val="bottom"/>
          </w:tcPr>
          <w:p w14:paraId="34550924" w14:textId="77777777" w:rsidR="00772EC3" w:rsidRPr="00702148" w:rsidRDefault="00772EC3" w:rsidP="003C405A">
            <w:pPr>
              <w:spacing w:after="0"/>
              <w:jc w:val="right"/>
              <w:rPr>
                <w:noProof/>
                <w:color w:val="000000"/>
              </w:rPr>
            </w:pPr>
            <w:r>
              <w:rPr>
                <w:noProof/>
                <w:color w:val="000000"/>
              </w:rPr>
              <w:t>0,5 %</w:t>
            </w:r>
          </w:p>
        </w:tc>
        <w:tc>
          <w:tcPr>
            <w:tcW w:w="2724" w:type="dxa"/>
            <w:shd w:val="clear" w:color="auto" w:fill="auto"/>
            <w:noWrap/>
            <w:vAlign w:val="bottom"/>
          </w:tcPr>
          <w:p w14:paraId="3D4C68F2" w14:textId="77777777" w:rsidR="00772EC3" w:rsidRPr="00702148" w:rsidRDefault="00772EC3" w:rsidP="003C405A">
            <w:pPr>
              <w:spacing w:after="0"/>
              <w:jc w:val="right"/>
              <w:rPr>
                <w:noProof/>
                <w:color w:val="000000"/>
              </w:rPr>
            </w:pPr>
            <w:r>
              <w:rPr>
                <w:noProof/>
                <w:color w:val="000000"/>
              </w:rPr>
              <w:t>2,5 %</w:t>
            </w:r>
          </w:p>
        </w:tc>
        <w:tc>
          <w:tcPr>
            <w:tcW w:w="1843" w:type="dxa"/>
            <w:shd w:val="clear" w:color="auto" w:fill="auto"/>
            <w:noWrap/>
            <w:vAlign w:val="bottom"/>
          </w:tcPr>
          <w:p w14:paraId="3762CE9A" w14:textId="77777777" w:rsidR="00772EC3" w:rsidRPr="00702148" w:rsidRDefault="00772EC3" w:rsidP="003C405A">
            <w:pPr>
              <w:spacing w:after="0"/>
              <w:jc w:val="right"/>
              <w:rPr>
                <w:noProof/>
                <w:color w:val="000000"/>
              </w:rPr>
            </w:pPr>
            <w:r>
              <w:rPr>
                <w:noProof/>
                <w:color w:val="000000"/>
              </w:rPr>
              <w:t>0,0 %</w:t>
            </w:r>
          </w:p>
        </w:tc>
      </w:tr>
      <w:tr w:rsidR="00772EC3" w:rsidRPr="004C6A35" w14:paraId="76A7C241" w14:textId="77777777" w:rsidTr="003C405A">
        <w:trPr>
          <w:trHeight w:val="300"/>
        </w:trPr>
        <w:tc>
          <w:tcPr>
            <w:tcW w:w="960" w:type="dxa"/>
            <w:shd w:val="clear" w:color="auto" w:fill="auto"/>
            <w:noWrap/>
            <w:vAlign w:val="bottom"/>
          </w:tcPr>
          <w:p w14:paraId="6B1B9E31" w14:textId="77777777" w:rsidR="00772EC3" w:rsidRPr="00702148" w:rsidRDefault="00772EC3" w:rsidP="003C405A">
            <w:pPr>
              <w:spacing w:after="0"/>
              <w:rPr>
                <w:noProof/>
                <w:color w:val="000000"/>
              </w:rPr>
            </w:pPr>
            <w:r>
              <w:rPr>
                <w:noProof/>
                <w:color w:val="000000"/>
              </w:rPr>
              <w:t>PL</w:t>
            </w:r>
          </w:p>
        </w:tc>
        <w:tc>
          <w:tcPr>
            <w:tcW w:w="3120" w:type="dxa"/>
            <w:shd w:val="clear" w:color="auto" w:fill="auto"/>
            <w:noWrap/>
            <w:vAlign w:val="bottom"/>
          </w:tcPr>
          <w:p w14:paraId="1D90B1B8" w14:textId="77777777" w:rsidR="00772EC3" w:rsidRPr="00702148" w:rsidRDefault="00772EC3" w:rsidP="003C405A">
            <w:pPr>
              <w:spacing w:after="0"/>
              <w:jc w:val="right"/>
              <w:rPr>
                <w:noProof/>
                <w:color w:val="000000"/>
              </w:rPr>
            </w:pPr>
            <w:r>
              <w:rPr>
                <w:noProof/>
                <w:color w:val="000000"/>
              </w:rPr>
              <w:t>–1,4 %</w:t>
            </w:r>
          </w:p>
        </w:tc>
        <w:tc>
          <w:tcPr>
            <w:tcW w:w="2724" w:type="dxa"/>
            <w:shd w:val="clear" w:color="auto" w:fill="auto"/>
            <w:noWrap/>
            <w:vAlign w:val="bottom"/>
          </w:tcPr>
          <w:p w14:paraId="52FE9352" w14:textId="77777777" w:rsidR="00772EC3" w:rsidRPr="00702148" w:rsidRDefault="00772EC3" w:rsidP="003C405A">
            <w:pPr>
              <w:spacing w:after="0"/>
              <w:jc w:val="right"/>
              <w:rPr>
                <w:noProof/>
                <w:color w:val="000000"/>
              </w:rPr>
            </w:pPr>
            <w:r>
              <w:rPr>
                <w:noProof/>
                <w:color w:val="000000"/>
              </w:rPr>
              <w:t>6,7 %</w:t>
            </w:r>
          </w:p>
        </w:tc>
        <w:tc>
          <w:tcPr>
            <w:tcW w:w="1843" w:type="dxa"/>
            <w:shd w:val="clear" w:color="auto" w:fill="auto"/>
            <w:noWrap/>
            <w:vAlign w:val="bottom"/>
          </w:tcPr>
          <w:p w14:paraId="0B668277" w14:textId="77777777" w:rsidR="00772EC3" w:rsidRPr="00702148" w:rsidRDefault="00772EC3" w:rsidP="003C405A">
            <w:pPr>
              <w:spacing w:after="0"/>
              <w:jc w:val="right"/>
              <w:rPr>
                <w:noProof/>
                <w:color w:val="000000"/>
              </w:rPr>
            </w:pPr>
            <w:r>
              <w:rPr>
                <w:noProof/>
                <w:color w:val="000000"/>
              </w:rPr>
              <w:t>–0,1 %</w:t>
            </w:r>
          </w:p>
        </w:tc>
      </w:tr>
      <w:tr w:rsidR="00772EC3" w:rsidRPr="004C6A35" w14:paraId="03489123" w14:textId="77777777" w:rsidTr="003C405A">
        <w:trPr>
          <w:trHeight w:val="300"/>
        </w:trPr>
        <w:tc>
          <w:tcPr>
            <w:tcW w:w="960" w:type="dxa"/>
            <w:shd w:val="clear" w:color="auto" w:fill="auto"/>
            <w:noWrap/>
            <w:vAlign w:val="bottom"/>
          </w:tcPr>
          <w:p w14:paraId="1CD42C34" w14:textId="77777777" w:rsidR="00772EC3" w:rsidRPr="00702148" w:rsidRDefault="00772EC3" w:rsidP="003C405A">
            <w:pPr>
              <w:spacing w:after="0"/>
              <w:rPr>
                <w:noProof/>
                <w:color w:val="000000"/>
              </w:rPr>
            </w:pPr>
            <w:r>
              <w:rPr>
                <w:noProof/>
                <w:color w:val="000000"/>
              </w:rPr>
              <w:t>PT</w:t>
            </w:r>
          </w:p>
        </w:tc>
        <w:tc>
          <w:tcPr>
            <w:tcW w:w="3120" w:type="dxa"/>
            <w:shd w:val="clear" w:color="auto" w:fill="auto"/>
            <w:noWrap/>
            <w:vAlign w:val="bottom"/>
          </w:tcPr>
          <w:p w14:paraId="12B092A5" w14:textId="77777777" w:rsidR="00772EC3" w:rsidRPr="00702148" w:rsidRDefault="00772EC3" w:rsidP="003C405A">
            <w:pPr>
              <w:spacing w:after="0"/>
              <w:jc w:val="right"/>
              <w:rPr>
                <w:noProof/>
                <w:color w:val="000000"/>
              </w:rPr>
            </w:pPr>
            <w:r>
              <w:rPr>
                <w:noProof/>
                <w:color w:val="000000"/>
              </w:rPr>
              <w:t>2,2 %</w:t>
            </w:r>
          </w:p>
        </w:tc>
        <w:tc>
          <w:tcPr>
            <w:tcW w:w="2724" w:type="dxa"/>
            <w:shd w:val="clear" w:color="auto" w:fill="auto"/>
            <w:noWrap/>
            <w:vAlign w:val="bottom"/>
          </w:tcPr>
          <w:p w14:paraId="1AF68FEC" w14:textId="77777777" w:rsidR="00772EC3" w:rsidRPr="00702148" w:rsidRDefault="00772EC3" w:rsidP="003C405A">
            <w:pPr>
              <w:spacing w:after="0"/>
              <w:jc w:val="right"/>
              <w:rPr>
                <w:noProof/>
                <w:color w:val="000000"/>
              </w:rPr>
            </w:pPr>
            <w:r>
              <w:rPr>
                <w:noProof/>
                <w:color w:val="000000"/>
              </w:rPr>
              <w:t>1,8 %</w:t>
            </w:r>
          </w:p>
        </w:tc>
        <w:tc>
          <w:tcPr>
            <w:tcW w:w="1843" w:type="dxa"/>
            <w:shd w:val="clear" w:color="auto" w:fill="auto"/>
            <w:noWrap/>
            <w:vAlign w:val="bottom"/>
          </w:tcPr>
          <w:p w14:paraId="7FFC0B40" w14:textId="77777777" w:rsidR="00772EC3" w:rsidRPr="00702148" w:rsidRDefault="00772EC3" w:rsidP="003C405A">
            <w:pPr>
              <w:spacing w:after="0"/>
              <w:jc w:val="right"/>
              <w:rPr>
                <w:noProof/>
                <w:color w:val="000000"/>
              </w:rPr>
            </w:pPr>
            <w:r>
              <w:rPr>
                <w:noProof/>
                <w:color w:val="000000"/>
              </w:rPr>
              <w:t>0,0 %</w:t>
            </w:r>
          </w:p>
        </w:tc>
      </w:tr>
      <w:tr w:rsidR="00772EC3" w:rsidRPr="004C6A35" w14:paraId="16F8DC79" w14:textId="77777777" w:rsidTr="003C405A">
        <w:trPr>
          <w:trHeight w:val="300"/>
        </w:trPr>
        <w:tc>
          <w:tcPr>
            <w:tcW w:w="960" w:type="dxa"/>
            <w:shd w:val="clear" w:color="auto" w:fill="auto"/>
            <w:noWrap/>
            <w:vAlign w:val="bottom"/>
          </w:tcPr>
          <w:p w14:paraId="11F49AFF" w14:textId="77777777" w:rsidR="00772EC3" w:rsidRPr="00702148" w:rsidRDefault="00772EC3" w:rsidP="003C405A">
            <w:pPr>
              <w:spacing w:after="0"/>
              <w:rPr>
                <w:noProof/>
                <w:color w:val="000000"/>
              </w:rPr>
            </w:pPr>
            <w:r>
              <w:rPr>
                <w:noProof/>
                <w:color w:val="000000"/>
              </w:rPr>
              <w:t>RO</w:t>
            </w:r>
          </w:p>
        </w:tc>
        <w:tc>
          <w:tcPr>
            <w:tcW w:w="3120" w:type="dxa"/>
            <w:shd w:val="clear" w:color="auto" w:fill="auto"/>
            <w:noWrap/>
            <w:vAlign w:val="bottom"/>
          </w:tcPr>
          <w:p w14:paraId="6FEAF3B7" w14:textId="77777777" w:rsidR="00772EC3" w:rsidRPr="00702148" w:rsidRDefault="00772EC3" w:rsidP="003C405A">
            <w:pPr>
              <w:spacing w:after="0"/>
              <w:jc w:val="right"/>
              <w:rPr>
                <w:noProof/>
                <w:color w:val="000000"/>
              </w:rPr>
            </w:pPr>
            <w:r>
              <w:rPr>
                <w:noProof/>
                <w:color w:val="000000"/>
              </w:rPr>
              <w:t>–0,6 %</w:t>
            </w:r>
          </w:p>
        </w:tc>
        <w:tc>
          <w:tcPr>
            <w:tcW w:w="2724" w:type="dxa"/>
            <w:shd w:val="clear" w:color="auto" w:fill="auto"/>
            <w:noWrap/>
            <w:vAlign w:val="bottom"/>
          </w:tcPr>
          <w:p w14:paraId="2394A479" w14:textId="77777777" w:rsidR="00772EC3" w:rsidRPr="00702148" w:rsidRDefault="00772EC3" w:rsidP="003C405A">
            <w:pPr>
              <w:spacing w:after="0"/>
              <w:jc w:val="right"/>
              <w:rPr>
                <w:noProof/>
                <w:color w:val="000000"/>
              </w:rPr>
            </w:pPr>
            <w:r>
              <w:rPr>
                <w:noProof/>
                <w:color w:val="000000"/>
              </w:rPr>
              <w:t>3,3 %</w:t>
            </w:r>
          </w:p>
        </w:tc>
        <w:tc>
          <w:tcPr>
            <w:tcW w:w="1843" w:type="dxa"/>
            <w:shd w:val="clear" w:color="auto" w:fill="auto"/>
            <w:noWrap/>
            <w:vAlign w:val="bottom"/>
          </w:tcPr>
          <w:p w14:paraId="18768C80" w14:textId="77777777" w:rsidR="00772EC3" w:rsidRPr="00702148" w:rsidRDefault="00772EC3" w:rsidP="003C405A">
            <w:pPr>
              <w:spacing w:after="0"/>
              <w:jc w:val="right"/>
              <w:rPr>
                <w:noProof/>
                <w:color w:val="000000"/>
              </w:rPr>
            </w:pPr>
            <w:r>
              <w:rPr>
                <w:noProof/>
                <w:color w:val="000000"/>
              </w:rPr>
              <w:t>0,0 %</w:t>
            </w:r>
          </w:p>
        </w:tc>
      </w:tr>
      <w:tr w:rsidR="00772EC3" w:rsidRPr="004C6A35" w14:paraId="01AAAC3F" w14:textId="77777777" w:rsidTr="003C405A">
        <w:trPr>
          <w:trHeight w:val="300"/>
        </w:trPr>
        <w:tc>
          <w:tcPr>
            <w:tcW w:w="960" w:type="dxa"/>
            <w:shd w:val="clear" w:color="auto" w:fill="auto"/>
            <w:noWrap/>
            <w:vAlign w:val="bottom"/>
          </w:tcPr>
          <w:p w14:paraId="642EDCDB" w14:textId="77777777" w:rsidR="00772EC3" w:rsidRPr="00702148" w:rsidRDefault="00772EC3" w:rsidP="003C405A">
            <w:pPr>
              <w:spacing w:after="0"/>
              <w:rPr>
                <w:noProof/>
                <w:color w:val="000000"/>
              </w:rPr>
            </w:pPr>
            <w:r>
              <w:rPr>
                <w:noProof/>
                <w:color w:val="000000"/>
              </w:rPr>
              <w:t>SI</w:t>
            </w:r>
          </w:p>
        </w:tc>
        <w:tc>
          <w:tcPr>
            <w:tcW w:w="3120" w:type="dxa"/>
            <w:shd w:val="clear" w:color="auto" w:fill="auto"/>
            <w:noWrap/>
            <w:vAlign w:val="bottom"/>
          </w:tcPr>
          <w:p w14:paraId="74DBA1A9" w14:textId="77777777" w:rsidR="00772EC3" w:rsidRPr="00702148" w:rsidRDefault="00772EC3" w:rsidP="003C405A">
            <w:pPr>
              <w:spacing w:after="0"/>
              <w:jc w:val="right"/>
              <w:rPr>
                <w:noProof/>
                <w:color w:val="000000"/>
              </w:rPr>
            </w:pPr>
            <w:r>
              <w:rPr>
                <w:noProof/>
                <w:color w:val="000000"/>
              </w:rPr>
              <w:t>3,4 %</w:t>
            </w:r>
          </w:p>
        </w:tc>
        <w:tc>
          <w:tcPr>
            <w:tcW w:w="2724" w:type="dxa"/>
            <w:shd w:val="clear" w:color="auto" w:fill="auto"/>
            <w:noWrap/>
            <w:vAlign w:val="bottom"/>
          </w:tcPr>
          <w:p w14:paraId="28D5C403" w14:textId="77777777" w:rsidR="00772EC3" w:rsidRPr="00702148" w:rsidRDefault="00772EC3" w:rsidP="003C405A">
            <w:pPr>
              <w:spacing w:after="0"/>
              <w:jc w:val="right"/>
              <w:rPr>
                <w:noProof/>
                <w:color w:val="000000"/>
              </w:rPr>
            </w:pPr>
            <w:r>
              <w:rPr>
                <w:noProof/>
                <w:color w:val="000000"/>
              </w:rPr>
              <w:t>0,4 %</w:t>
            </w:r>
          </w:p>
        </w:tc>
        <w:tc>
          <w:tcPr>
            <w:tcW w:w="1843" w:type="dxa"/>
            <w:shd w:val="clear" w:color="auto" w:fill="auto"/>
            <w:noWrap/>
            <w:vAlign w:val="bottom"/>
          </w:tcPr>
          <w:p w14:paraId="2BCD650F" w14:textId="77777777" w:rsidR="00772EC3" w:rsidRPr="00702148" w:rsidRDefault="00772EC3" w:rsidP="003C405A">
            <w:pPr>
              <w:spacing w:after="0"/>
              <w:jc w:val="right"/>
              <w:rPr>
                <w:noProof/>
                <w:color w:val="000000"/>
              </w:rPr>
            </w:pPr>
            <w:r>
              <w:rPr>
                <w:noProof/>
                <w:color w:val="000000"/>
              </w:rPr>
              <w:t>0,0 %</w:t>
            </w:r>
          </w:p>
        </w:tc>
      </w:tr>
      <w:tr w:rsidR="00772EC3" w:rsidRPr="004C6A35" w14:paraId="65CBE146" w14:textId="77777777" w:rsidTr="003C405A">
        <w:trPr>
          <w:trHeight w:val="300"/>
        </w:trPr>
        <w:tc>
          <w:tcPr>
            <w:tcW w:w="960" w:type="dxa"/>
            <w:shd w:val="clear" w:color="auto" w:fill="auto"/>
            <w:noWrap/>
            <w:vAlign w:val="bottom"/>
          </w:tcPr>
          <w:p w14:paraId="0B9E9E6B" w14:textId="77777777" w:rsidR="00772EC3" w:rsidRPr="00702148" w:rsidRDefault="00772EC3" w:rsidP="003C405A">
            <w:pPr>
              <w:spacing w:after="0"/>
              <w:rPr>
                <w:noProof/>
                <w:color w:val="000000"/>
              </w:rPr>
            </w:pPr>
            <w:r>
              <w:rPr>
                <w:noProof/>
                <w:color w:val="000000"/>
              </w:rPr>
              <w:t>SK</w:t>
            </w:r>
          </w:p>
        </w:tc>
        <w:tc>
          <w:tcPr>
            <w:tcW w:w="3120" w:type="dxa"/>
            <w:shd w:val="clear" w:color="auto" w:fill="auto"/>
            <w:noWrap/>
            <w:vAlign w:val="bottom"/>
          </w:tcPr>
          <w:p w14:paraId="5F3024D2" w14:textId="77777777" w:rsidR="00772EC3" w:rsidRPr="00702148" w:rsidRDefault="00772EC3" w:rsidP="003C405A">
            <w:pPr>
              <w:spacing w:after="0"/>
              <w:jc w:val="right"/>
              <w:rPr>
                <w:noProof/>
                <w:color w:val="000000"/>
              </w:rPr>
            </w:pPr>
            <w:r>
              <w:rPr>
                <w:noProof/>
                <w:color w:val="000000"/>
              </w:rPr>
              <w:t>0,0 %</w:t>
            </w:r>
          </w:p>
        </w:tc>
        <w:tc>
          <w:tcPr>
            <w:tcW w:w="2724" w:type="dxa"/>
            <w:shd w:val="clear" w:color="auto" w:fill="auto"/>
            <w:noWrap/>
            <w:vAlign w:val="bottom"/>
          </w:tcPr>
          <w:p w14:paraId="550174BB" w14:textId="77777777" w:rsidR="00772EC3" w:rsidRPr="00702148" w:rsidRDefault="00772EC3" w:rsidP="003C405A">
            <w:pPr>
              <w:spacing w:after="0"/>
              <w:jc w:val="right"/>
              <w:rPr>
                <w:noProof/>
                <w:color w:val="000000"/>
              </w:rPr>
            </w:pPr>
            <w:r>
              <w:rPr>
                <w:noProof/>
                <w:color w:val="000000"/>
              </w:rPr>
              <w:t>0,8 %</w:t>
            </w:r>
          </w:p>
        </w:tc>
        <w:tc>
          <w:tcPr>
            <w:tcW w:w="1843" w:type="dxa"/>
            <w:shd w:val="clear" w:color="auto" w:fill="auto"/>
            <w:noWrap/>
            <w:vAlign w:val="bottom"/>
          </w:tcPr>
          <w:p w14:paraId="33E7FC6E" w14:textId="77777777" w:rsidR="00772EC3" w:rsidRPr="00702148" w:rsidRDefault="00772EC3" w:rsidP="003C405A">
            <w:pPr>
              <w:spacing w:after="0"/>
              <w:jc w:val="right"/>
              <w:rPr>
                <w:noProof/>
                <w:color w:val="000000"/>
              </w:rPr>
            </w:pPr>
            <w:r>
              <w:rPr>
                <w:noProof/>
                <w:color w:val="000000"/>
              </w:rPr>
              <w:t>0,0 %</w:t>
            </w:r>
          </w:p>
        </w:tc>
      </w:tr>
      <w:tr w:rsidR="00772EC3" w:rsidRPr="004C6A35" w14:paraId="6078B771" w14:textId="77777777" w:rsidTr="003C405A">
        <w:trPr>
          <w:trHeight w:val="300"/>
        </w:trPr>
        <w:tc>
          <w:tcPr>
            <w:tcW w:w="960" w:type="dxa"/>
            <w:shd w:val="clear" w:color="auto" w:fill="auto"/>
            <w:noWrap/>
            <w:vAlign w:val="bottom"/>
          </w:tcPr>
          <w:p w14:paraId="598E280C" w14:textId="77777777" w:rsidR="00772EC3" w:rsidRPr="00702148" w:rsidRDefault="00772EC3" w:rsidP="003C405A">
            <w:pPr>
              <w:spacing w:after="0"/>
              <w:rPr>
                <w:noProof/>
                <w:color w:val="000000"/>
              </w:rPr>
            </w:pPr>
            <w:r>
              <w:rPr>
                <w:noProof/>
                <w:color w:val="000000"/>
              </w:rPr>
              <w:t>FI</w:t>
            </w:r>
          </w:p>
        </w:tc>
        <w:tc>
          <w:tcPr>
            <w:tcW w:w="3120" w:type="dxa"/>
            <w:shd w:val="clear" w:color="auto" w:fill="auto"/>
            <w:noWrap/>
            <w:vAlign w:val="bottom"/>
          </w:tcPr>
          <w:p w14:paraId="3DA34A99" w14:textId="77777777" w:rsidR="00772EC3" w:rsidRPr="00702148" w:rsidRDefault="00772EC3" w:rsidP="003C405A">
            <w:pPr>
              <w:spacing w:after="0"/>
              <w:jc w:val="right"/>
              <w:rPr>
                <w:noProof/>
                <w:color w:val="000000"/>
              </w:rPr>
            </w:pPr>
            <w:r>
              <w:rPr>
                <w:noProof/>
                <w:color w:val="000000"/>
              </w:rPr>
              <w:t>–0,9 %</w:t>
            </w:r>
          </w:p>
        </w:tc>
        <w:tc>
          <w:tcPr>
            <w:tcW w:w="2724" w:type="dxa"/>
            <w:shd w:val="clear" w:color="auto" w:fill="auto"/>
            <w:noWrap/>
            <w:vAlign w:val="bottom"/>
          </w:tcPr>
          <w:p w14:paraId="3C719B2F" w14:textId="77777777" w:rsidR="00772EC3" w:rsidRPr="00702148" w:rsidRDefault="00772EC3" w:rsidP="003C405A">
            <w:pPr>
              <w:spacing w:after="0"/>
              <w:jc w:val="right"/>
              <w:rPr>
                <w:noProof/>
                <w:color w:val="000000"/>
              </w:rPr>
            </w:pPr>
            <w:r>
              <w:rPr>
                <w:noProof/>
                <w:color w:val="000000"/>
              </w:rPr>
              <w:t>1,4 %</w:t>
            </w:r>
          </w:p>
        </w:tc>
        <w:tc>
          <w:tcPr>
            <w:tcW w:w="1843" w:type="dxa"/>
            <w:shd w:val="clear" w:color="auto" w:fill="auto"/>
            <w:noWrap/>
            <w:vAlign w:val="bottom"/>
          </w:tcPr>
          <w:p w14:paraId="6D5B3E7A" w14:textId="77777777" w:rsidR="00772EC3" w:rsidRPr="00702148" w:rsidRDefault="00772EC3" w:rsidP="003C405A">
            <w:pPr>
              <w:spacing w:after="0"/>
              <w:jc w:val="right"/>
              <w:rPr>
                <w:noProof/>
                <w:color w:val="000000"/>
              </w:rPr>
            </w:pPr>
            <w:r>
              <w:rPr>
                <w:noProof/>
                <w:color w:val="000000"/>
              </w:rPr>
              <w:t>0,0 %</w:t>
            </w:r>
          </w:p>
        </w:tc>
      </w:tr>
      <w:tr w:rsidR="00772EC3" w:rsidRPr="004C6A35" w14:paraId="3589E73F" w14:textId="77777777" w:rsidTr="003C405A">
        <w:trPr>
          <w:trHeight w:val="300"/>
        </w:trPr>
        <w:tc>
          <w:tcPr>
            <w:tcW w:w="960" w:type="dxa"/>
            <w:shd w:val="clear" w:color="auto" w:fill="auto"/>
            <w:noWrap/>
            <w:vAlign w:val="bottom"/>
          </w:tcPr>
          <w:p w14:paraId="12226443" w14:textId="77777777" w:rsidR="00772EC3" w:rsidRPr="00702148" w:rsidRDefault="00772EC3" w:rsidP="003C405A">
            <w:pPr>
              <w:spacing w:after="0"/>
              <w:rPr>
                <w:noProof/>
                <w:color w:val="000000"/>
              </w:rPr>
            </w:pPr>
            <w:r>
              <w:rPr>
                <w:noProof/>
                <w:color w:val="000000"/>
              </w:rPr>
              <w:t>SE</w:t>
            </w:r>
          </w:p>
        </w:tc>
        <w:tc>
          <w:tcPr>
            <w:tcW w:w="3120" w:type="dxa"/>
            <w:shd w:val="clear" w:color="auto" w:fill="auto"/>
            <w:noWrap/>
            <w:vAlign w:val="bottom"/>
          </w:tcPr>
          <w:p w14:paraId="4C6D1BA1" w14:textId="77777777" w:rsidR="00772EC3" w:rsidRPr="00702148" w:rsidRDefault="00772EC3" w:rsidP="003C405A">
            <w:pPr>
              <w:spacing w:after="0"/>
              <w:jc w:val="right"/>
              <w:rPr>
                <w:noProof/>
                <w:color w:val="000000"/>
              </w:rPr>
            </w:pPr>
            <w:r>
              <w:rPr>
                <w:noProof/>
                <w:color w:val="000000"/>
              </w:rPr>
              <w:t>–4,6 %</w:t>
            </w:r>
          </w:p>
        </w:tc>
        <w:tc>
          <w:tcPr>
            <w:tcW w:w="2724" w:type="dxa"/>
            <w:shd w:val="clear" w:color="auto" w:fill="auto"/>
            <w:noWrap/>
            <w:vAlign w:val="bottom"/>
          </w:tcPr>
          <w:p w14:paraId="10C9DFA9" w14:textId="77777777" w:rsidR="00772EC3" w:rsidRPr="00702148" w:rsidRDefault="00772EC3" w:rsidP="003C405A">
            <w:pPr>
              <w:spacing w:after="0"/>
              <w:jc w:val="right"/>
              <w:rPr>
                <w:noProof/>
                <w:color w:val="000000"/>
              </w:rPr>
            </w:pPr>
            <w:r>
              <w:rPr>
                <w:noProof/>
                <w:color w:val="000000"/>
              </w:rPr>
              <w:t>2,8 %</w:t>
            </w:r>
          </w:p>
        </w:tc>
        <w:tc>
          <w:tcPr>
            <w:tcW w:w="1843" w:type="dxa"/>
            <w:shd w:val="clear" w:color="auto" w:fill="auto"/>
            <w:noWrap/>
            <w:vAlign w:val="bottom"/>
          </w:tcPr>
          <w:p w14:paraId="2B9606A6" w14:textId="77777777" w:rsidR="00772EC3" w:rsidRPr="00702148" w:rsidRDefault="00772EC3" w:rsidP="003C405A">
            <w:pPr>
              <w:spacing w:after="0"/>
              <w:jc w:val="right"/>
              <w:rPr>
                <w:noProof/>
                <w:color w:val="000000"/>
              </w:rPr>
            </w:pPr>
            <w:r>
              <w:rPr>
                <w:noProof/>
                <w:color w:val="000000"/>
              </w:rPr>
              <w:t>–0,1 %</w:t>
            </w:r>
          </w:p>
        </w:tc>
      </w:tr>
    </w:tbl>
    <w:p w14:paraId="067926AB" w14:textId="77777777" w:rsidR="00772EC3" w:rsidRPr="00702148" w:rsidRDefault="00772EC3" w:rsidP="00245D7E">
      <w:pPr>
        <w:tabs>
          <w:tab w:val="right" w:pos="8647"/>
        </w:tabs>
        <w:spacing w:after="200" w:line="276" w:lineRule="auto"/>
        <w:rPr>
          <w:b/>
          <w:bCs/>
          <w:noProof/>
          <w:szCs w:val="24"/>
        </w:rPr>
      </w:pPr>
      <w:r>
        <w:rPr>
          <w:b/>
          <w:i/>
          <w:noProof/>
        </w:rPr>
        <w:tab/>
        <w:t>Celkový ukazatel za období 2022–23: –1,7 %</w:t>
      </w:r>
    </w:p>
    <w:p w14:paraId="70CD2C3C" w14:textId="77777777" w:rsidR="00772EC3" w:rsidRPr="00702148" w:rsidRDefault="00772EC3" w:rsidP="00245D7E">
      <w:pPr>
        <w:spacing w:after="200" w:line="276" w:lineRule="auto"/>
        <w:rPr>
          <w:b/>
          <w:bCs/>
          <w:noProof/>
          <w:szCs w:val="24"/>
        </w:rPr>
      </w:pPr>
    </w:p>
    <w:p w14:paraId="0A26E9E5" w14:textId="77777777" w:rsidR="00772EC3" w:rsidRPr="00245D7E" w:rsidRDefault="00772EC3" w:rsidP="00245D7E">
      <w:pPr>
        <w:rPr>
          <w:noProof/>
          <w:szCs w:val="24"/>
        </w:rPr>
      </w:pPr>
    </w:p>
    <w:sectPr w:rsidR="00772EC3" w:rsidRPr="00245D7E" w:rsidSect="00364D7E">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1DF1" w14:textId="77777777" w:rsidR="00933599" w:rsidRDefault="00933599">
      <w:pPr>
        <w:spacing w:after="0"/>
      </w:pPr>
      <w:r>
        <w:separator/>
      </w:r>
    </w:p>
  </w:endnote>
  <w:endnote w:type="continuationSeparator" w:id="0">
    <w:p w14:paraId="20A1C440" w14:textId="77777777" w:rsidR="00933599" w:rsidRDefault="00933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989C" w14:textId="1212CF5B" w:rsidR="00073E91" w:rsidRPr="00073E91" w:rsidRDefault="00073E91" w:rsidP="00073E91">
    <w:pPr>
      <w:pStyle w:val="FooterCoverPage"/>
      <w:rPr>
        <w:rFonts w:ascii="Arial" w:hAnsi="Arial" w:cs="Arial"/>
        <w:b/>
        <w:sz w:val="48"/>
      </w:rPr>
    </w:pPr>
    <w:r w:rsidRPr="00073E91">
      <w:rPr>
        <w:rFonts w:ascii="Arial" w:hAnsi="Arial" w:cs="Arial"/>
        <w:b/>
        <w:sz w:val="48"/>
      </w:rPr>
      <w:t>CS</w:t>
    </w:r>
    <w:r w:rsidRPr="00073E91">
      <w:rPr>
        <w:rFonts w:ascii="Arial" w:hAnsi="Arial" w:cs="Arial"/>
        <w:b/>
        <w:sz w:val="48"/>
      </w:rPr>
      <w:tab/>
    </w:r>
    <w:r w:rsidRPr="00073E91">
      <w:rPr>
        <w:rFonts w:ascii="Arial" w:hAnsi="Arial" w:cs="Arial"/>
        <w:b/>
        <w:sz w:val="48"/>
      </w:rPr>
      <w:tab/>
    </w:r>
    <w:r w:rsidRPr="00073E91">
      <w:tab/>
    </w:r>
    <w:r w:rsidRPr="00073E91">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153F" w14:textId="6B721FAC" w:rsidR="00073E91" w:rsidRPr="00073E91" w:rsidRDefault="00073E91" w:rsidP="00073E91">
    <w:pPr>
      <w:pStyle w:val="FooterCoverPage"/>
      <w:rPr>
        <w:rFonts w:ascii="Arial" w:hAnsi="Arial" w:cs="Arial"/>
        <w:b/>
        <w:sz w:val="48"/>
      </w:rPr>
    </w:pPr>
    <w:r w:rsidRPr="00073E91">
      <w:rPr>
        <w:rFonts w:ascii="Arial" w:hAnsi="Arial" w:cs="Arial"/>
        <w:b/>
        <w:sz w:val="48"/>
      </w:rPr>
      <w:t>CS</w:t>
    </w:r>
    <w:r w:rsidRPr="00073E91">
      <w:rPr>
        <w:rFonts w:ascii="Arial" w:hAnsi="Arial" w:cs="Arial"/>
        <w:b/>
        <w:sz w:val="48"/>
      </w:rPr>
      <w:tab/>
    </w:r>
    <w:r w:rsidRPr="00073E91">
      <w:rPr>
        <w:rFonts w:ascii="Arial" w:hAnsi="Arial" w:cs="Arial"/>
        <w:b/>
        <w:sz w:val="48"/>
      </w:rPr>
      <w:tab/>
    </w:r>
    <w:r w:rsidRPr="00073E91">
      <w:tab/>
    </w:r>
    <w:r w:rsidRPr="00073E91">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2039" w14:textId="77777777" w:rsidR="00073E91" w:rsidRPr="00073E91" w:rsidRDefault="00073E91" w:rsidP="00073E9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CB89" w14:textId="77777777" w:rsidR="00843DDE" w:rsidRDefault="00843D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8"/>
      </w:rPr>
      <w:id w:val="-1736540940"/>
      <w:docPartObj>
        <w:docPartGallery w:val="Page Numbers (Bottom of Page)"/>
        <w:docPartUnique/>
      </w:docPartObj>
    </w:sdtPr>
    <w:sdtEndPr>
      <w:rPr>
        <w:noProof/>
      </w:rPr>
    </w:sdtEndPr>
    <w:sdtContent>
      <w:p w14:paraId="5DDE4145" w14:textId="17B2B73E" w:rsidR="00843DDE" w:rsidRPr="00364D7E" w:rsidRDefault="00364D7E" w:rsidP="00364D7E">
        <w:pPr>
          <w:pStyle w:val="Footer"/>
          <w:jc w:val="center"/>
          <w:rPr>
            <w:sz w:val="22"/>
            <w:szCs w:val="28"/>
          </w:rPr>
        </w:pPr>
        <w:r w:rsidRPr="00364D7E">
          <w:rPr>
            <w:sz w:val="22"/>
          </w:rPr>
          <w:fldChar w:fldCharType="begin"/>
        </w:r>
        <w:r w:rsidRPr="00364D7E">
          <w:rPr>
            <w:sz w:val="22"/>
          </w:rPr>
          <w:instrText xml:space="preserve"> PAGE   \* MERGEFORMAT </w:instrText>
        </w:r>
        <w:r w:rsidRPr="00364D7E">
          <w:rPr>
            <w:sz w:val="22"/>
          </w:rPr>
          <w:fldChar w:fldCharType="separate"/>
        </w:r>
        <w:r w:rsidR="00073E91">
          <w:rPr>
            <w:noProof/>
            <w:sz w:val="22"/>
          </w:rPr>
          <w:t>1</w:t>
        </w:r>
        <w:r w:rsidRPr="00364D7E">
          <w:rPr>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3514" w14:textId="77777777" w:rsidR="00843DDE" w:rsidRDefault="00843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7AEE" w14:textId="77777777" w:rsidR="00933599" w:rsidRDefault="00933599">
      <w:pPr>
        <w:spacing w:after="0"/>
      </w:pPr>
      <w:r>
        <w:separator/>
      </w:r>
    </w:p>
  </w:footnote>
  <w:footnote w:type="continuationSeparator" w:id="0">
    <w:p w14:paraId="2E19E2BA" w14:textId="77777777" w:rsidR="00933599" w:rsidRDefault="00933599">
      <w:pPr>
        <w:spacing w:after="0"/>
      </w:pPr>
      <w:r>
        <w:continuationSeparator/>
      </w:r>
    </w:p>
  </w:footnote>
  <w:footnote w:id="1">
    <w:p w14:paraId="463463D9" w14:textId="43B80A76" w:rsidR="00772EC3" w:rsidRPr="001B322F" w:rsidRDefault="00772EC3" w:rsidP="00933599">
      <w:pPr>
        <w:pStyle w:val="FootnoteText"/>
        <w:jc w:val="left"/>
      </w:pPr>
      <w:r>
        <w:rPr>
          <w:rStyle w:val="FootnoteReference"/>
        </w:rPr>
        <w:footnoteRef/>
      </w:r>
      <w:r>
        <w:t xml:space="preserve"> </w:t>
      </w:r>
      <w:bookmarkStart w:id="2" w:name="_Hlk161754749"/>
      <w:r>
        <w:t>Nařízení Evropského parlamentu a Rady (ES) č. 810/2009 ze dne 13. července 2009 o kodexu Společenství o vízech (vízový kodex)</w:t>
      </w:r>
      <w:bookmarkEnd w:id="2"/>
      <w:r>
        <w:t>, Úř. věst. L 243, 15.9.2009, s. 1.</w:t>
      </w:r>
      <w:r>
        <w:br/>
        <w:t xml:space="preserve">ELI: </w:t>
      </w:r>
      <w:hyperlink r:id="rId1" w:history="1">
        <w:r>
          <w:rPr>
            <w:rStyle w:val="Hyperlink"/>
          </w:rPr>
          <w:t>http://data.europa.eu/eli/reg/2009/810/2020-02-02</w:t>
        </w:r>
      </w:hyperlink>
      <w:r>
        <w:t>.</w:t>
      </w:r>
    </w:p>
  </w:footnote>
  <w:footnote w:id="2">
    <w:p w14:paraId="62E74F9A" w14:textId="77777777" w:rsidR="00772EC3" w:rsidRPr="001B322F" w:rsidRDefault="00772EC3" w:rsidP="00245D7E">
      <w:pPr>
        <w:pStyle w:val="FootnoteText"/>
      </w:pPr>
      <w:r>
        <w:rPr>
          <w:rStyle w:val="FootnoteReference"/>
        </w:rPr>
        <w:footnoteRef/>
      </w:r>
      <w:r>
        <w:t xml:space="preserve"> Při poslední revizi vízového kodexu v roce 2020 byl poplatek zvýšen z 60 EUR.</w:t>
      </w:r>
    </w:p>
  </w:footnote>
  <w:footnote w:id="3">
    <w:p w14:paraId="5EE5A3A1" w14:textId="40110EAD" w:rsidR="00772EC3" w:rsidRPr="00933599" w:rsidRDefault="00772EC3" w:rsidP="00245D7E">
      <w:pPr>
        <w:pStyle w:val="FootnoteText"/>
      </w:pPr>
      <w:r>
        <w:rPr>
          <w:rStyle w:val="FootnoteReference"/>
        </w:rPr>
        <w:footnoteRef/>
      </w:r>
      <w:r>
        <w:t xml:space="preserve"> ELI: </w:t>
      </w:r>
      <w:hyperlink r:id="rId2" w:tooltip="Umožňuje přístup k tomuto dokumentu prostřednictvím jeho identifikátoru URI v systému ELI." w:history="1">
        <w:r>
          <w:rPr>
            <w:rStyle w:val="Hyperlink"/>
          </w:rPr>
          <w:t>http://data.europa.eu/eli/agree_internation/2013/628/oj</w:t>
        </w:r>
      </w:hyperlink>
      <w:r>
        <w:t>.</w:t>
      </w:r>
    </w:p>
  </w:footnote>
  <w:footnote w:id="4">
    <w:p w14:paraId="2AC34BC7" w14:textId="3C0FB413" w:rsidR="00772EC3" w:rsidRPr="00933599" w:rsidRDefault="00772EC3" w:rsidP="00245D7E">
      <w:pPr>
        <w:pStyle w:val="FootnoteText"/>
      </w:pPr>
      <w:r>
        <w:rPr>
          <w:rStyle w:val="FootnoteReference"/>
        </w:rPr>
        <w:footnoteRef/>
      </w:r>
      <w:r>
        <w:t xml:space="preserve"> ELI: </w:t>
      </w:r>
      <w:hyperlink r:id="rId3" w:tooltip="Umožňuje přístup k tomuto dokumentu prostřednictvím jeho identifikátoru URI v systému ELI." w:history="1">
        <w:r>
          <w:rPr>
            <w:rStyle w:val="Hyperlink"/>
          </w:rPr>
          <w:t>http://data.europa.eu/eli/agree_internation/2014/242/oj</w:t>
        </w:r>
      </w:hyperlink>
      <w:r>
        <w:t>.</w:t>
      </w:r>
    </w:p>
  </w:footnote>
  <w:footnote w:id="5">
    <w:p w14:paraId="213EE78A" w14:textId="34A0F551" w:rsidR="00772EC3" w:rsidRPr="002A45DA" w:rsidRDefault="00772EC3" w:rsidP="00245D7E">
      <w:pPr>
        <w:pStyle w:val="FootnoteText"/>
      </w:pPr>
      <w:r>
        <w:rPr>
          <w:rStyle w:val="FootnoteReference"/>
        </w:rPr>
        <w:footnoteRef/>
      </w:r>
      <w:r>
        <w:t xml:space="preserve"> ELI: </w:t>
      </w:r>
      <w:hyperlink r:id="rId4" w:tooltip="Umožňuje přístup k tomuto dokumentu prostřednictvím jeho identifikátoru URI v systému ELI." w:history="1">
        <w:r>
          <w:rPr>
            <w:rStyle w:val="Hyperlink"/>
          </w:rPr>
          <w:t>http://data.europa.eu/eli/agree_internation/2020/752/oj</w:t>
        </w:r>
      </w:hyperlink>
      <w:r>
        <w:t>.</w:t>
      </w:r>
    </w:p>
  </w:footnote>
  <w:footnote w:id="6">
    <w:p w14:paraId="05454F3C" w14:textId="51AD72CA" w:rsidR="00772EC3" w:rsidRPr="002A45DA" w:rsidRDefault="00772EC3" w:rsidP="00245D7E">
      <w:pPr>
        <w:pStyle w:val="FootnoteText"/>
      </w:pPr>
      <w:r>
        <w:rPr>
          <w:rStyle w:val="FootnoteReference"/>
        </w:rPr>
        <w:footnoteRef/>
      </w:r>
      <w:r>
        <w:t xml:space="preserve"> ELI: </w:t>
      </w:r>
      <w:hyperlink r:id="rId5" w:tooltip="Umožňuje přístup k tomuto dokumentu prostřednictvím jeho identifikátoru URI v systému ELI." w:history="1">
        <w:r>
          <w:rPr>
            <w:rStyle w:val="Hyperlink"/>
          </w:rPr>
          <w:t>http://data.europa.eu/eli/dec/2021/1940/oj</w:t>
        </w:r>
      </w:hyperlink>
      <w:r>
        <w:t>.</w:t>
      </w:r>
    </w:p>
  </w:footnote>
  <w:footnote w:id="7">
    <w:p w14:paraId="4EFD69D1" w14:textId="0FB7F88D" w:rsidR="00772EC3" w:rsidRPr="002A45DA" w:rsidRDefault="00772EC3" w:rsidP="00245D7E">
      <w:pPr>
        <w:pStyle w:val="FootnoteText"/>
      </w:pPr>
      <w:r>
        <w:rPr>
          <w:rStyle w:val="FootnoteReference"/>
        </w:rPr>
        <w:footnoteRef/>
      </w:r>
      <w:r>
        <w:t xml:space="preserve"> ELI: </w:t>
      </w:r>
      <w:hyperlink r:id="rId6" w:tooltip="Umožňuje přístup k tomuto dokumentu prostřednictvím jeho identifikátoru URI v systému ELI." w:history="1">
        <w:r>
          <w:rPr>
            <w:rStyle w:val="Hyperlink"/>
          </w:rPr>
          <w:t>http://data.europa.eu/eli/agree_internation/2013/521/2021-10-19</w:t>
        </w:r>
      </w:hyperlink>
      <w:r>
        <w:t>.</w:t>
      </w:r>
    </w:p>
  </w:footnote>
  <w:footnote w:id="8">
    <w:p w14:paraId="6AD15987" w14:textId="231C08B4" w:rsidR="00772EC3" w:rsidRPr="001B322F" w:rsidRDefault="00772EC3" w:rsidP="00245D7E">
      <w:pPr>
        <w:pStyle w:val="FootnoteText"/>
      </w:pPr>
      <w:r>
        <w:rPr>
          <w:rStyle w:val="FootnoteReference"/>
        </w:rPr>
        <w:footnoteRef/>
      </w:r>
      <w:r>
        <w:t xml:space="preserve"> Nařízení Evropského parlamentu a Rady (EU) 2018/1806 ze dne 14. listopadu 2018, kterým se stanoví seznam třetích zemí, jejichž státní příslušníci musí mít při překračování vnějších hranic vízum, jakož i seznam třetích zemí, jejichž státní příslušníci jsou od této povinnosti osvobozeni (Úř. věst. L 303, 28.11.2018, s. 39), ELI: </w:t>
      </w:r>
      <w:hyperlink r:id="rId7" w:tooltip="Umožňuje přístup k tomuto dokumentu prostřednictvím jeho identifikátoru URI v systému ELI." w:history="1">
        <w:r>
          <w:rPr>
            <w:rStyle w:val="Hyperlink"/>
          </w:rPr>
          <w:t>http://data.europa.eu/eli/reg/2018/1806/2023-05-15</w:t>
        </w:r>
      </w:hyperlink>
      <w:r>
        <w:t>.</w:t>
      </w:r>
    </w:p>
  </w:footnote>
  <w:footnote w:id="9">
    <w:p w14:paraId="7C6491BE" w14:textId="77777777" w:rsidR="00772EC3" w:rsidRPr="001B322F" w:rsidRDefault="00772EC3" w:rsidP="00245D7E">
      <w:pPr>
        <w:pStyle w:val="FootnoteText"/>
      </w:pPr>
      <w:r>
        <w:rPr>
          <w:rStyle w:val="FootnoteReference"/>
        </w:rPr>
        <w:footnoteRef/>
      </w:r>
      <w:r>
        <w:t xml:space="preserve"> Pokud státní příslušníci těchto zemí přesto musí požádat o krátkodobé vízum, například proto, že nejsou držiteli biometrických pasů, které splňují podmínky pro bezvízový styk, platí dohody o zjednodušení vízového režimu. Dohody stanoví vízový poplatek ve výši 35 EUR pro dospělé žadatele, na který by zvýšení vízového poplatku nemělo vliv.</w:t>
      </w:r>
    </w:p>
  </w:footnote>
  <w:footnote w:id="10">
    <w:p w14:paraId="3938100C" w14:textId="5E9373D7" w:rsidR="00772EC3" w:rsidRPr="00DC5B3E" w:rsidRDefault="00772EC3" w:rsidP="00245D7E">
      <w:pPr>
        <w:pStyle w:val="FootnoteText"/>
      </w:pPr>
      <w:r>
        <w:rPr>
          <w:rStyle w:val="FootnoteReference"/>
        </w:rPr>
        <w:footnoteRef/>
      </w:r>
      <w:r>
        <w:t xml:space="preserve"> ELI: </w:t>
      </w:r>
      <w:hyperlink r:id="rId8" w:tooltip="Umožňuje přístup k tomuto dokumentu prostřednictvím jeho identifikátoru URI v systému ELI." w:history="1">
        <w:r>
          <w:rPr>
            <w:rStyle w:val="Hyperlink"/>
          </w:rPr>
          <w:t>http://data.europa.eu/eli/dec/2022/1500/oj</w:t>
        </w:r>
      </w:hyperlink>
      <w:r>
        <w:t>.</w:t>
      </w:r>
    </w:p>
  </w:footnote>
  <w:footnote w:id="11">
    <w:p w14:paraId="36CC7719" w14:textId="5955D548" w:rsidR="00772EC3" w:rsidRPr="00DC5B3E" w:rsidRDefault="00772EC3" w:rsidP="00245D7E">
      <w:pPr>
        <w:pStyle w:val="FootnoteText"/>
      </w:pPr>
      <w:r>
        <w:rPr>
          <w:rStyle w:val="FootnoteReference"/>
        </w:rPr>
        <w:footnoteRef/>
      </w:r>
      <w:r>
        <w:t xml:space="preserve"> </w:t>
      </w:r>
      <w:hyperlink r:id="rId9" w:history="1">
        <w:r>
          <w:rPr>
            <w:rStyle w:val="Hyperlink"/>
          </w:rPr>
          <w:t>https://ec.europa.eu/eurostat/databrowser//product/view/PRC_HICP_MIDX</w:t>
        </w:r>
      </w:hyperlink>
      <w:r>
        <w:t xml:space="preserve">. </w:t>
      </w:r>
    </w:p>
  </w:footnote>
  <w:footnote w:id="12">
    <w:p w14:paraId="5D01D2A5" w14:textId="672A5A88" w:rsidR="00772EC3" w:rsidRPr="001B322F" w:rsidRDefault="00772EC3" w:rsidP="00DC5B3E">
      <w:pPr>
        <w:pStyle w:val="FootnoteText"/>
      </w:pPr>
      <w:r>
        <w:rPr>
          <w:rStyle w:val="FootnoteReference"/>
        </w:rPr>
        <w:footnoteRef/>
      </w:r>
      <w:r>
        <w:t xml:space="preserve"> Zprávy Eurostatu o každoročních aktualizacích odměn a důchodů úředníků EU v letech 2021, 2022 a 2023, k dispozici na adrese https://ec.europa.eu/eurostat/web/civil-servants-remuneration/publications. Databáze je k dispozici na stránkách Eurobase na adrese </w:t>
      </w:r>
      <w:hyperlink r:id="rId10" w:history="1">
        <w:r>
          <w:rPr>
            <w:rStyle w:val="Hyperlink"/>
          </w:rPr>
          <w:t>https://ec.europa.eu/eurostat/databrowser/view/prc_rem_cs/default/table</w:t>
        </w:r>
      </w:hyperlink>
      <w:r>
        <w:t xml:space="preserve">. </w:t>
      </w:r>
    </w:p>
  </w:footnote>
  <w:footnote w:id="13">
    <w:p w14:paraId="29FAF89B" w14:textId="2B4CC916" w:rsidR="00772EC3" w:rsidRPr="001B322F" w:rsidRDefault="00772EC3" w:rsidP="00DC5B3E">
      <w:pPr>
        <w:pStyle w:val="FootnoteText"/>
        <w:jc w:val="left"/>
      </w:pPr>
      <w:r>
        <w:rPr>
          <w:rStyle w:val="FootnoteReference"/>
        </w:rPr>
        <w:footnoteRef/>
      </w:r>
      <w:r>
        <w:t xml:space="preserve"> Viz Metodická příručka Eurostatu, dokument Doc A6465/14/26 rev4, zejména komentovaný příklad výpočtu v dodatku 2, </w:t>
      </w:r>
      <w:hyperlink r:id="rId11" w:history="1">
        <w:r>
          <w:rPr>
            <w:rStyle w:val="Hyperlink"/>
          </w:rPr>
          <w:t>https://ec.europa.eu/eurostat/cache/metadata/Annexes/prc_rem_esms_an3.7z</w:t>
        </w:r>
      </w:hyperlink>
      <w:r>
        <w:t>.</w:t>
      </w:r>
    </w:p>
  </w:footnote>
  <w:footnote w:id="14">
    <w:p w14:paraId="1C202508" w14:textId="77777777" w:rsidR="00772EC3" w:rsidRPr="001B322F" w:rsidRDefault="00772EC3" w:rsidP="00245D7E">
      <w:pPr>
        <w:pStyle w:val="FootnoteText"/>
      </w:pPr>
      <w:r>
        <w:rPr>
          <w:rStyle w:val="FootnoteReference"/>
        </w:rPr>
        <w:footnoteRef/>
      </w:r>
      <w:r>
        <w:t xml:space="preserve"> To představuje nárůst přibližně o 12,3 %. Důvodem je skutečnost, že vízový poplatek pro žadatele, na něž se vztahují dohody o zjednodušení vízového režimu s Arménií, Ázerbájdžánem a Běloruskem, nebude plánovaným zvýšením dotčen. Někteří žadatelé budou navíc i nadále od vízového poplatku osvobozeni.</w:t>
      </w:r>
    </w:p>
  </w:footnote>
  <w:footnote w:id="15">
    <w:p w14:paraId="18396BC4" w14:textId="77777777" w:rsidR="00772EC3" w:rsidRPr="001B322F" w:rsidRDefault="00772EC3" w:rsidP="00245D7E">
      <w:pPr>
        <w:pStyle w:val="FootnoteText"/>
      </w:pPr>
      <w:r>
        <w:rPr>
          <w:rStyle w:val="FootnoteReference"/>
        </w:rPr>
        <w:footnoteRef/>
      </w:r>
      <w:r>
        <w:t xml:space="preserve"> Od 17. června 2023. </w:t>
      </w:r>
      <w:hyperlink r:id="rId12" w:history="1">
        <w:r>
          <w:rPr>
            <w:rStyle w:val="Hyperlink"/>
          </w:rPr>
          <w:t>https://travel.state.gov/content/travel/en/News/visas-news/niv-fee-increases-to-take-effect-june-17-2023.html</w:t>
        </w:r>
      </w:hyperlink>
      <w:r>
        <w:t>.</w:t>
      </w:r>
    </w:p>
  </w:footnote>
  <w:footnote w:id="16">
    <w:p w14:paraId="6DE7F918" w14:textId="7222E38B" w:rsidR="00772EC3" w:rsidRPr="003D0F28" w:rsidRDefault="00772EC3" w:rsidP="00245D7E">
      <w:pPr>
        <w:pStyle w:val="FootnoteText"/>
      </w:pPr>
      <w:r>
        <w:rPr>
          <w:rStyle w:val="FootnoteReference"/>
        </w:rPr>
        <w:footnoteRef/>
      </w:r>
      <w:r>
        <w:t xml:space="preserve"> ELI: </w:t>
      </w:r>
      <w:hyperlink r:id="rId13" w:tooltip="Umožňuje přístup k tomuto dokumentu prostřednictvím jeho identifikátoru URI v systému ELI." w:history="1">
        <w:r>
          <w:rPr>
            <w:rStyle w:val="Hyperlink"/>
          </w:rPr>
          <w:t>http://data.europa.eu/eli/reg/2019/1155/oj</w:t>
        </w:r>
      </w:hyperlink>
      <w:r>
        <w:t>.</w:t>
      </w:r>
    </w:p>
  </w:footnote>
  <w:footnote w:id="17">
    <w:p w14:paraId="774C0514" w14:textId="2BE459CD" w:rsidR="00772EC3" w:rsidRPr="001B322F" w:rsidRDefault="00772EC3" w:rsidP="003D0F28">
      <w:pPr>
        <w:pStyle w:val="FootnoteText"/>
      </w:pPr>
      <w:r>
        <w:rPr>
          <w:rStyle w:val="FootnoteReference"/>
        </w:rPr>
        <w:footnoteRef/>
      </w:r>
      <w:r>
        <w:t xml:space="preserve"> Ustanovení čl. 5 odst. 2 směrnice Evropského parlamentu a Rady 2004/38/ES ze dne 29. dubna 2004 o právu občanů Unie a jejich rodinných příslušníků svobodně se pohybovat a pobývat na území členských států (Úř. věst. L 158, 30.4.2004, s. 77. ELI: </w:t>
      </w:r>
      <w:hyperlink r:id="rId14" w:tooltip="Umožňuje přístup k tomuto dokumentu prostřednictvím jeho identifikátoru URI v systému ELI." w:history="1">
        <w:r>
          <w:rPr>
            <w:rStyle w:val="Hyperlink"/>
          </w:rPr>
          <w:t>http://data.europa.eu/eli/dir/2004/38/2011-06-16</w:t>
        </w:r>
      </w:hyperlink>
      <w:r>
        <w:t>): „Členské státy poskytnou těmto osobám všechny prostředky, aby jim usnadnily získání nezbytných víz. Tato víza se udělují bezplatně, zrychleným postupem v nejkratší možné lhůtě.“</w:t>
      </w:r>
    </w:p>
  </w:footnote>
  <w:footnote w:id="18">
    <w:p w14:paraId="3A6BB7BE" w14:textId="77777777" w:rsidR="00772EC3" w:rsidRPr="001B322F" w:rsidRDefault="00772EC3" w:rsidP="00245D7E">
      <w:pPr>
        <w:pStyle w:val="FootnoteText"/>
      </w:pPr>
      <w:r>
        <w:rPr>
          <w:rStyle w:val="FootnoteReference"/>
        </w:rPr>
        <w:footnoteRef/>
      </w:r>
      <w:r>
        <w:t xml:space="preserve"> Ustanovení čl. 9 odst. 2 vízového kodexu: „Žadatel může být požádán, aby si k podání žádosti sjednal schůzku. Schůzka se zpravidla uskuteční do dvou týdnů od data, kdy o tuto schůzku bylo požádáno.“</w:t>
      </w:r>
    </w:p>
  </w:footnote>
  <w:footnote w:id="19">
    <w:p w14:paraId="5174C804" w14:textId="35B260C6" w:rsidR="00772EC3" w:rsidRPr="001B322F" w:rsidRDefault="00772EC3" w:rsidP="003D0F28">
      <w:pPr>
        <w:pStyle w:val="FootnoteText"/>
        <w:jc w:val="left"/>
      </w:pPr>
      <w:r>
        <w:rPr>
          <w:rStyle w:val="FootnoteReference"/>
        </w:rPr>
        <w:footnoteRef/>
      </w:r>
      <w:r>
        <w:t xml:space="preserve"> Viz bod 8.1 posouzení dopadů:</w:t>
      </w:r>
      <w:r>
        <w:br/>
      </w:r>
      <w:hyperlink r:id="rId15" w:history="1">
        <w:r>
          <w:rPr>
            <w:rStyle w:val="Hyperlink"/>
          </w:rPr>
          <w:t>https://eur-lex.europa.eu/legal-content/EN/TXT/?uri=celex%3A52018SC0077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6ACE" w14:textId="77777777" w:rsidR="00073E91" w:rsidRPr="00073E91" w:rsidRDefault="00073E91" w:rsidP="00073E9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C516" w14:textId="77777777" w:rsidR="00073E91" w:rsidRPr="00073E91" w:rsidRDefault="00073E91" w:rsidP="00073E9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63CBC" w14:textId="77777777" w:rsidR="00073E91" w:rsidRPr="00073E91" w:rsidRDefault="00073E91" w:rsidP="00073E9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28BB" w14:textId="77777777" w:rsidR="00843DDE" w:rsidRDefault="00843D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016F" w14:textId="77777777" w:rsidR="00843DDE" w:rsidRDefault="00843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196A" w14:textId="77777777" w:rsidR="00843DDE" w:rsidRDefault="00843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F94EC08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5BD8F5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5AC21CE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4E9C1B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84BCB53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CE2ADB0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5A6317D"/>
    <w:multiLevelType w:val="hybridMultilevel"/>
    <w:tmpl w:val="AE4C44E8"/>
    <w:lvl w:ilvl="0" w:tplc="77DA84EC">
      <w:start w:val="1"/>
      <w:numFmt w:val="bullet"/>
      <w:lvlText w:val="-"/>
      <w:lvlJc w:val="left"/>
      <w:pPr>
        <w:ind w:left="720" w:hanging="360"/>
      </w:pPr>
      <w:rPr>
        <w:rFonts w:ascii="Tunga" w:hAnsi="Tunga" w:cs="Tu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F0AC5"/>
    <w:multiLevelType w:val="multilevel"/>
    <w:tmpl w:val="7ACC5BF2"/>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4798EF2E"/>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E24E453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99DAA9E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C920698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70480DB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93C371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D94D8D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684DC3"/>
    <w:multiLevelType w:val="hybridMultilevel"/>
    <w:tmpl w:val="0EDC59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9E662A"/>
    <w:multiLevelType w:val="multilevel"/>
    <w:tmpl w:val="D5444FC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63DF"/>
    <w:multiLevelType w:val="multilevel"/>
    <w:tmpl w:val="4E3009B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982C"/>
    <w:multiLevelType w:val="multilevel"/>
    <w:tmpl w:val="1E66A518"/>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1AFEDC6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9B52"/>
    <w:multiLevelType w:val="multilevel"/>
    <w:tmpl w:val="CFF236E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6977472E"/>
    <w:multiLevelType w:val="multilevel"/>
    <w:tmpl w:val="065C4F5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7C65145E"/>
    <w:multiLevelType w:val="multilevel"/>
    <w:tmpl w:val="8D44DA4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2"/>
  </w:num>
  <w:num w:numId="3">
    <w:abstractNumId w:val="8"/>
  </w:num>
  <w:num w:numId="4">
    <w:abstractNumId w:val="13"/>
  </w:num>
  <w:num w:numId="5">
    <w:abstractNumId w:val="19"/>
  </w:num>
  <w:num w:numId="6">
    <w:abstractNumId w:val="21"/>
  </w:num>
  <w:num w:numId="7">
    <w:abstractNumId w:val="1"/>
  </w:num>
  <w:num w:numId="8">
    <w:abstractNumId w:val="7"/>
  </w:num>
  <w:num w:numId="9">
    <w:abstractNumId w:val="16"/>
  </w:num>
  <w:num w:numId="10">
    <w:abstractNumId w:val="2"/>
  </w:num>
  <w:num w:numId="11">
    <w:abstractNumId w:val="4"/>
  </w:num>
  <w:num w:numId="12">
    <w:abstractNumId w:val="5"/>
  </w:num>
  <w:num w:numId="13">
    <w:abstractNumId w:val="9"/>
  </w:num>
  <w:num w:numId="14">
    <w:abstractNumId w:val="14"/>
  </w:num>
  <w:num w:numId="15">
    <w:abstractNumId w:val="18"/>
  </w:num>
  <w:num w:numId="16">
    <w:abstractNumId w:val="22"/>
  </w:num>
  <w:num w:numId="17">
    <w:abstractNumId w:val="10"/>
  </w:num>
  <w:num w:numId="18">
    <w:abstractNumId w:val="11"/>
  </w:num>
  <w:num w:numId="19">
    <w:abstractNumId w:val="23"/>
  </w:num>
  <w:num w:numId="20">
    <w:abstractNumId w:val="17"/>
  </w:num>
  <w:num w:numId="21">
    <w:abstractNumId w:val="20"/>
  </w:num>
  <w:num w:numId="22">
    <w:abstractNumId w:val="3"/>
  </w:num>
  <w:num w:numId="23">
    <w:abstractNumId w:val="15"/>
  </w:num>
  <w:num w:numId="24">
    <w:abstractNumId w:val="6"/>
  </w:num>
  <w:num w:numId="25">
    <w:abstractNumId w:val="0"/>
  </w:num>
  <w:num w:numId="26">
    <w:abstractNumId w:val="12"/>
  </w:num>
  <w:num w:numId="27">
    <w:abstractNumId w:val="8"/>
  </w:num>
  <w:num w:numId="28">
    <w:abstractNumId w:val="13"/>
  </w:num>
  <w:num w:numId="29">
    <w:abstractNumId w:val="19"/>
  </w:num>
  <w:num w:numId="30">
    <w:abstractNumId w:val="21"/>
  </w:num>
  <w:num w:numId="31">
    <w:abstractNumId w:val="1"/>
  </w:num>
  <w:num w:numId="32">
    <w:abstractNumId w:val="7"/>
  </w:num>
  <w:num w:numId="33">
    <w:abstractNumId w:val="16"/>
  </w:num>
  <w:num w:numId="34">
    <w:abstractNumId w:val="2"/>
  </w:num>
  <w:num w:numId="35">
    <w:abstractNumId w:val="4"/>
  </w:num>
  <w:num w:numId="36">
    <w:abstractNumId w:val="5"/>
  </w:num>
  <w:num w:numId="37">
    <w:abstractNumId w:val="9"/>
  </w:num>
  <w:num w:numId="38">
    <w:abstractNumId w:val="14"/>
  </w:num>
  <w:num w:numId="39">
    <w:abstractNumId w:val="18"/>
  </w:num>
  <w:num w:numId="40">
    <w:abstractNumId w:val="22"/>
  </w:num>
  <w:num w:numId="41">
    <w:abstractNumId w:val="10"/>
  </w:num>
  <w:num w:numId="42">
    <w:abstractNumId w:val="11"/>
  </w:num>
  <w:num w:numId="43">
    <w:abstractNumId w:val="23"/>
  </w:num>
  <w:num w:numId="44">
    <w:abstractNumId w:val="17"/>
  </w:num>
  <w:num w:numId="45">
    <w:abstractNumId w:val="2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8433"/>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518FE94-C1C3-4C05-828F-79D69A5C3E6E"/>
    <w:docVar w:name="LW_COVERPAGE_TYPE" w:val="1"/>
    <w:docVar w:name="LW_CROSSREFERENCE" w:val="&lt;UNUSED&gt;"/>
    <w:docVar w:name="LW_DocType" w:val="1574BEFEB75B425B9EF9340FFD296AF3"/>
    <w:docVar w:name="LW_EMISSION" w:val="14.3.2024"/>
    <w:docVar w:name="LW_EMISSION_ISODATE" w:val="2024-03-14"/>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4) 12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E&gt;o p\u345?enesení pravomoci p\u345?ijímat akty v p\u345?enesené pravomoci sv\u283?\u345?eném Komisi podle na\u345?ízení Evropského parlamentu a Rady (ES) \u269?. 810/2009 ze dne 13. \u269?ervence 2009 o kodexu Spole\u269?enství o vízech (vízový kodex)&lt;/FMT&gt;"/>
    <w:docVar w:name="LW_TYPE.DOC.CP" w:val="ZPRÁVA KOMISE EVROPSKÉMU PARLAMENTU A RAD\u282?"/>
    <w:docVar w:name="LwApiVersions" w:val="LW4CoDe 1.24.5.0; LW 9.0, Build 20240221"/>
  </w:docVars>
  <w:rsids>
    <w:rsidRoot w:val="00772EC3"/>
    <w:rsid w:val="00073E91"/>
    <w:rsid w:val="00131C04"/>
    <w:rsid w:val="00155587"/>
    <w:rsid w:val="00203D90"/>
    <w:rsid w:val="002A45DA"/>
    <w:rsid w:val="00364D7E"/>
    <w:rsid w:val="003D0F28"/>
    <w:rsid w:val="0065681D"/>
    <w:rsid w:val="006B68FC"/>
    <w:rsid w:val="006C01E3"/>
    <w:rsid w:val="00756462"/>
    <w:rsid w:val="00772EC3"/>
    <w:rsid w:val="00843DDE"/>
    <w:rsid w:val="008526C2"/>
    <w:rsid w:val="008E2D28"/>
    <w:rsid w:val="00933599"/>
    <w:rsid w:val="0098148A"/>
    <w:rsid w:val="009F2EA0"/>
    <w:rsid w:val="00AC1577"/>
    <w:rsid w:val="00D540EF"/>
    <w:rsid w:val="00DC5B3E"/>
    <w:rsid w:val="00DE37EF"/>
    <w:rsid w:val="00F110D8"/>
    <w:rsid w:val="00F1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0791A"/>
  <w15:docId w15:val="{775AA044-59A2-4694-AC58-BE14D9E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cs-CZ" w:eastAsia="de-D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0"/>
      </w:numPr>
      <w:spacing w:before="240"/>
      <w:outlineLvl w:val="0"/>
    </w:pPr>
    <w:rPr>
      <w:b/>
      <w:smallCaps/>
    </w:rPr>
  </w:style>
  <w:style w:type="paragraph" w:styleId="Heading2">
    <w:name w:val="heading 2"/>
    <w:basedOn w:val="Normal"/>
    <w:next w:val="Text2"/>
    <w:uiPriority w:val="1"/>
    <w:qFormat/>
    <w:pPr>
      <w:keepNext/>
      <w:numPr>
        <w:ilvl w:val="1"/>
        <w:numId w:val="40"/>
      </w:numPr>
      <w:outlineLvl w:val="1"/>
    </w:pPr>
    <w:rPr>
      <w:b/>
    </w:rPr>
  </w:style>
  <w:style w:type="paragraph" w:styleId="Heading3">
    <w:name w:val="heading 3"/>
    <w:basedOn w:val="Normal"/>
    <w:next w:val="Text3"/>
    <w:uiPriority w:val="1"/>
    <w:qFormat/>
    <w:pPr>
      <w:keepNext/>
      <w:numPr>
        <w:ilvl w:val="2"/>
        <w:numId w:val="40"/>
      </w:numPr>
      <w:outlineLvl w:val="2"/>
    </w:pPr>
    <w:rPr>
      <w:i/>
    </w:rPr>
  </w:style>
  <w:style w:type="paragraph" w:styleId="Heading4">
    <w:name w:val="heading 4"/>
    <w:basedOn w:val="Normal"/>
    <w:next w:val="Text4"/>
    <w:uiPriority w:val="1"/>
    <w:qFormat/>
    <w:pPr>
      <w:keepNext/>
      <w:numPr>
        <w:ilvl w:val="3"/>
        <w:numId w:val="40"/>
      </w:numPr>
      <w:outlineLvl w:val="3"/>
    </w:pPr>
  </w:style>
  <w:style w:type="paragraph" w:styleId="Heading5">
    <w:name w:val="heading 5"/>
    <w:basedOn w:val="Normal"/>
    <w:next w:val="Normal"/>
    <w:semiHidden/>
    <w:pPr>
      <w:keepNext/>
      <w:numPr>
        <w:ilvl w:val="4"/>
        <w:numId w:val="40"/>
      </w:numPr>
      <w:outlineLvl w:val="4"/>
    </w:pPr>
  </w:style>
  <w:style w:type="paragraph" w:styleId="Heading6">
    <w:name w:val="heading 6"/>
    <w:basedOn w:val="Normal"/>
    <w:next w:val="Normal"/>
    <w:semiHidden/>
    <w:pPr>
      <w:keepNext/>
      <w:numPr>
        <w:ilvl w:val="5"/>
        <w:numId w:val="40"/>
      </w:numPr>
      <w:outlineLvl w:val="5"/>
    </w:pPr>
  </w:style>
  <w:style w:type="paragraph" w:styleId="Heading7">
    <w:name w:val="heading 7"/>
    <w:basedOn w:val="Normal"/>
    <w:next w:val="Normal"/>
    <w:semiHidden/>
    <w:pPr>
      <w:keepNext/>
      <w:numPr>
        <w:ilvl w:val="6"/>
        <w:numId w:val="40"/>
      </w:numPr>
      <w:outlineLvl w:val="6"/>
    </w:pPr>
  </w:style>
  <w:style w:type="paragraph" w:styleId="Heading8">
    <w:name w:val="heading 8"/>
    <w:basedOn w:val="Normal"/>
    <w:next w:val="Normal"/>
    <w:semiHidden/>
    <w:pPr>
      <w:keepNext/>
      <w:numPr>
        <w:ilvl w:val="7"/>
        <w:numId w:val="40"/>
      </w:numPr>
      <w:outlineLvl w:val="7"/>
    </w:pPr>
  </w:style>
  <w:style w:type="paragraph" w:styleId="Heading9">
    <w:name w:val="heading 9"/>
    <w:basedOn w:val="Normal"/>
    <w:next w:val="Normal"/>
    <w:semiHidden/>
    <w:pPr>
      <w:keepNext/>
      <w:numPr>
        <w:ilvl w:val="8"/>
        <w:numId w:val="4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locked/>
    <w:rsid w:val="00772EC3"/>
    <w:pPr>
      <w:spacing w:after="160" w:line="259" w:lineRule="auto"/>
      <w:ind w:left="720"/>
      <w:contextualSpacing/>
      <w:jc w:val="left"/>
    </w:pPr>
    <w:rPr>
      <w:rFonts w:ascii="Calibri" w:eastAsia="Calibri" w:hAnsi="Calibri"/>
      <w:sz w:val="22"/>
      <w:szCs w:val="22"/>
      <w:lang w:eastAsia="en-GB"/>
    </w:rPr>
  </w:style>
  <w:style w:type="paragraph" w:customStyle="1" w:styleId="Pagedecouverture">
    <w:name w:val="Page de couverture"/>
    <w:basedOn w:val="Normal"/>
    <w:next w:val="Normal"/>
    <w:link w:val="PagedecouvertureChar"/>
    <w:rsid w:val="00772EC3"/>
    <w:pPr>
      <w:spacing w:after="0"/>
    </w:pPr>
    <w:rPr>
      <w:rFonts w:eastAsia="Calibri"/>
      <w:szCs w:val="22"/>
      <w:lang w:eastAsia="en-GB"/>
    </w:rPr>
  </w:style>
  <w:style w:type="paragraph" w:customStyle="1" w:styleId="FooterCoverPage">
    <w:name w:val="Footer Cover Page"/>
    <w:basedOn w:val="Normal"/>
    <w:link w:val="FooterCoverPageChar"/>
    <w:rsid w:val="00772EC3"/>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772EC3"/>
  </w:style>
  <w:style w:type="paragraph" w:customStyle="1" w:styleId="HeaderCoverPage">
    <w:name w:val="Header Cover Page"/>
    <w:basedOn w:val="Normal"/>
    <w:link w:val="HeaderCoverPageChar"/>
    <w:rsid w:val="00772EC3"/>
    <w:pPr>
      <w:tabs>
        <w:tab w:val="center" w:pos="4535"/>
        <w:tab w:val="right" w:pos="9071"/>
      </w:tabs>
      <w:spacing w:after="120"/>
    </w:pPr>
  </w:style>
  <w:style w:type="character" w:customStyle="1" w:styleId="HeaderCoverPageChar">
    <w:name w:val="Header Cover Page Char"/>
    <w:link w:val="HeaderCoverPage"/>
    <w:rsid w:val="00772EC3"/>
  </w:style>
  <w:style w:type="character" w:customStyle="1" w:styleId="FootnoteTextChar">
    <w:name w:val="Footnote Text Char"/>
    <w:rsid w:val="00772EC3"/>
    <w:rPr>
      <w:sz w:val="20"/>
    </w:rPr>
  </w:style>
  <w:style w:type="character" w:styleId="FootnoteReference">
    <w:name w:val="footnote reference"/>
    <w:locked/>
    <w:rsid w:val="00772EC3"/>
    <w:rPr>
      <w:vertAlign w:val="superscript"/>
    </w:rPr>
  </w:style>
  <w:style w:type="character" w:customStyle="1" w:styleId="SignatureChar">
    <w:name w:val="Signature Char"/>
    <w:basedOn w:val="DefaultParagraphFont"/>
    <w:rsid w:val="00772EC3"/>
  </w:style>
  <w:style w:type="character" w:styleId="Hyperlink">
    <w:name w:val="Hyperlink"/>
    <w:locked/>
    <w:rsid w:val="00772EC3"/>
    <w:rPr>
      <w:color w:val="0563C1"/>
      <w:u w:val="single"/>
    </w:rPr>
  </w:style>
  <w:style w:type="paragraph" w:customStyle="1" w:styleId="CM4">
    <w:name w:val="CM4"/>
    <w:basedOn w:val="Normal"/>
    <w:next w:val="Normal"/>
    <w:rsid w:val="00772EC3"/>
    <w:pPr>
      <w:autoSpaceDE w:val="0"/>
      <w:autoSpaceDN w:val="0"/>
      <w:adjustRightInd w:val="0"/>
      <w:spacing w:after="0"/>
      <w:jc w:val="left"/>
    </w:pPr>
    <w:rPr>
      <w:rFonts w:eastAsia="Calibri"/>
      <w:szCs w:val="24"/>
      <w:lang w:eastAsia="en-GB"/>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43"/>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42"/>
      </w:numPr>
    </w:pPr>
  </w:style>
  <w:style w:type="paragraph" w:customStyle="1" w:styleId="ContNumLevel2">
    <w:name w:val="ContNum (Level 2)"/>
    <w:basedOn w:val="Normal"/>
    <w:uiPriority w:val="1"/>
    <w:pPr>
      <w:numPr>
        <w:ilvl w:val="1"/>
        <w:numId w:val="42"/>
      </w:numPr>
    </w:pPr>
  </w:style>
  <w:style w:type="paragraph" w:customStyle="1" w:styleId="ContNumLevel3">
    <w:name w:val="ContNum (Level 3)"/>
    <w:basedOn w:val="Normal"/>
    <w:uiPriority w:val="1"/>
    <w:pPr>
      <w:numPr>
        <w:ilvl w:val="2"/>
        <w:numId w:val="42"/>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41"/>
      </w:numPr>
      <w:spacing w:line="360" w:lineRule="auto"/>
    </w:pPr>
  </w:style>
  <w:style w:type="paragraph" w:customStyle="1" w:styleId="LegalNumPar2">
    <w:name w:val="LegalNumPar2"/>
    <w:basedOn w:val="Normal"/>
    <w:uiPriority w:val="1"/>
    <w:pPr>
      <w:numPr>
        <w:ilvl w:val="1"/>
        <w:numId w:val="41"/>
      </w:numPr>
      <w:spacing w:line="360" w:lineRule="auto"/>
    </w:pPr>
  </w:style>
  <w:style w:type="paragraph" w:customStyle="1" w:styleId="LegalNumPar3">
    <w:name w:val="LegalNumPar3"/>
    <w:basedOn w:val="Normal"/>
    <w:uiPriority w:val="1"/>
    <w:pPr>
      <w:numPr>
        <w:ilvl w:val="2"/>
        <w:numId w:val="41"/>
      </w:numPr>
      <w:spacing w:line="360" w:lineRule="auto"/>
    </w:pPr>
  </w:style>
  <w:style w:type="paragraph" w:styleId="ListBullet">
    <w:name w:val="List Bullet"/>
    <w:basedOn w:val="Normal"/>
    <w:uiPriority w:val="1"/>
    <w:pPr>
      <w:numPr>
        <w:numId w:val="39"/>
      </w:numPr>
    </w:pPr>
  </w:style>
  <w:style w:type="paragraph" w:customStyle="1" w:styleId="ListBulletLevel2">
    <w:name w:val="List Bullet (Level 2)"/>
    <w:basedOn w:val="Normal"/>
    <w:uiPriority w:val="1"/>
    <w:pPr>
      <w:numPr>
        <w:ilvl w:val="1"/>
        <w:numId w:val="39"/>
      </w:numPr>
    </w:pPr>
  </w:style>
  <w:style w:type="paragraph" w:customStyle="1" w:styleId="ListBulletLevel3">
    <w:name w:val="List Bullet (Level 3)"/>
    <w:basedOn w:val="Normal"/>
    <w:uiPriority w:val="1"/>
    <w:semiHidden/>
    <w:unhideWhenUsed/>
    <w:pPr>
      <w:numPr>
        <w:ilvl w:val="2"/>
        <w:numId w:val="39"/>
      </w:numPr>
    </w:pPr>
  </w:style>
  <w:style w:type="paragraph" w:customStyle="1" w:styleId="ListBulletLevel4">
    <w:name w:val="List Bullet (Level 4)"/>
    <w:basedOn w:val="Normal"/>
    <w:uiPriority w:val="1"/>
    <w:semiHidden/>
    <w:unhideWhenUsed/>
    <w:pPr>
      <w:numPr>
        <w:ilvl w:val="3"/>
        <w:numId w:val="39"/>
      </w:numPr>
    </w:pPr>
  </w:style>
  <w:style w:type="paragraph" w:customStyle="1" w:styleId="ListBullet1">
    <w:name w:val="List Bullet 1"/>
    <w:basedOn w:val="Text1"/>
    <w:uiPriority w:val="1"/>
    <w:pPr>
      <w:numPr>
        <w:numId w:val="38"/>
      </w:numPr>
    </w:pPr>
  </w:style>
  <w:style w:type="paragraph" w:customStyle="1" w:styleId="ListBullet1Level2">
    <w:name w:val="List Bullet 1 (Level 2)"/>
    <w:basedOn w:val="Text1"/>
    <w:uiPriority w:val="1"/>
    <w:pPr>
      <w:numPr>
        <w:ilvl w:val="1"/>
        <w:numId w:val="38"/>
      </w:numPr>
    </w:pPr>
  </w:style>
  <w:style w:type="paragraph" w:customStyle="1" w:styleId="ListBullet1Level3">
    <w:name w:val="List Bullet 1 (Level 3)"/>
    <w:basedOn w:val="Text1"/>
    <w:uiPriority w:val="1"/>
    <w:semiHidden/>
    <w:unhideWhenUsed/>
    <w:pPr>
      <w:numPr>
        <w:ilvl w:val="2"/>
        <w:numId w:val="38"/>
      </w:numPr>
    </w:pPr>
  </w:style>
  <w:style w:type="paragraph" w:customStyle="1" w:styleId="ListBullet1Level4">
    <w:name w:val="List Bullet 1 (Level 4)"/>
    <w:basedOn w:val="Text1"/>
    <w:uiPriority w:val="1"/>
    <w:semiHidden/>
    <w:unhideWhenUsed/>
    <w:pPr>
      <w:numPr>
        <w:ilvl w:val="3"/>
        <w:numId w:val="38"/>
      </w:numPr>
    </w:pPr>
  </w:style>
  <w:style w:type="paragraph" w:styleId="ListBullet2">
    <w:name w:val="List Bullet 2"/>
    <w:basedOn w:val="Text2"/>
    <w:uiPriority w:val="1"/>
    <w:pPr>
      <w:numPr>
        <w:numId w:val="37"/>
      </w:numPr>
    </w:pPr>
  </w:style>
  <w:style w:type="paragraph" w:customStyle="1" w:styleId="ListBullet2Level2">
    <w:name w:val="List Bullet 2 (Level 2)"/>
    <w:basedOn w:val="Text2"/>
    <w:uiPriority w:val="1"/>
    <w:pPr>
      <w:numPr>
        <w:ilvl w:val="1"/>
        <w:numId w:val="37"/>
      </w:numPr>
    </w:pPr>
  </w:style>
  <w:style w:type="paragraph" w:customStyle="1" w:styleId="ListBullet2Level3">
    <w:name w:val="List Bullet 2 (Level 3)"/>
    <w:basedOn w:val="Text2"/>
    <w:uiPriority w:val="1"/>
    <w:semiHidden/>
    <w:unhideWhenUsed/>
    <w:pPr>
      <w:numPr>
        <w:ilvl w:val="2"/>
        <w:numId w:val="37"/>
      </w:numPr>
    </w:pPr>
  </w:style>
  <w:style w:type="paragraph" w:customStyle="1" w:styleId="ListBullet2Level4">
    <w:name w:val="List Bullet 2 (Level 4)"/>
    <w:basedOn w:val="Text2"/>
    <w:uiPriority w:val="1"/>
    <w:semiHidden/>
    <w:unhideWhenUsed/>
    <w:pPr>
      <w:numPr>
        <w:ilvl w:val="3"/>
        <w:numId w:val="37"/>
      </w:numPr>
    </w:pPr>
  </w:style>
  <w:style w:type="paragraph" w:styleId="ListBullet3">
    <w:name w:val="List Bullet 3"/>
    <w:basedOn w:val="Text3"/>
    <w:uiPriority w:val="1"/>
    <w:pPr>
      <w:numPr>
        <w:numId w:val="36"/>
      </w:numPr>
    </w:pPr>
  </w:style>
  <w:style w:type="paragraph" w:customStyle="1" w:styleId="ListBullet3Level2">
    <w:name w:val="List Bullet 3 (Level 2)"/>
    <w:basedOn w:val="Text3"/>
    <w:uiPriority w:val="1"/>
    <w:pPr>
      <w:numPr>
        <w:ilvl w:val="1"/>
        <w:numId w:val="36"/>
      </w:numPr>
    </w:pPr>
  </w:style>
  <w:style w:type="paragraph" w:customStyle="1" w:styleId="ListBullet3Level3">
    <w:name w:val="List Bullet 3 (Level 3)"/>
    <w:basedOn w:val="Text3"/>
    <w:uiPriority w:val="1"/>
    <w:semiHidden/>
    <w:unhideWhenUsed/>
    <w:pPr>
      <w:numPr>
        <w:ilvl w:val="2"/>
        <w:numId w:val="36"/>
      </w:numPr>
    </w:pPr>
  </w:style>
  <w:style w:type="paragraph" w:customStyle="1" w:styleId="ListBullet3Level4">
    <w:name w:val="List Bullet 3 (Level 4)"/>
    <w:basedOn w:val="Text3"/>
    <w:uiPriority w:val="1"/>
    <w:semiHidden/>
    <w:unhideWhenUsed/>
    <w:pPr>
      <w:numPr>
        <w:ilvl w:val="3"/>
        <w:numId w:val="36"/>
      </w:numPr>
    </w:pPr>
  </w:style>
  <w:style w:type="paragraph" w:styleId="ListBullet4">
    <w:name w:val="List Bullet 4"/>
    <w:basedOn w:val="Text4"/>
    <w:uiPriority w:val="1"/>
    <w:pPr>
      <w:numPr>
        <w:numId w:val="35"/>
      </w:numPr>
    </w:pPr>
  </w:style>
  <w:style w:type="paragraph" w:customStyle="1" w:styleId="ListBullet4Level2">
    <w:name w:val="List Bullet 4 (Level 2)"/>
    <w:basedOn w:val="Text4"/>
    <w:uiPriority w:val="1"/>
    <w:pPr>
      <w:numPr>
        <w:ilvl w:val="1"/>
        <w:numId w:val="35"/>
      </w:numPr>
    </w:pPr>
  </w:style>
  <w:style w:type="paragraph" w:customStyle="1" w:styleId="ListBullet4Level3">
    <w:name w:val="List Bullet 4 (Level 3)"/>
    <w:basedOn w:val="Text4"/>
    <w:uiPriority w:val="1"/>
    <w:semiHidden/>
    <w:unhideWhenUsed/>
    <w:pPr>
      <w:numPr>
        <w:ilvl w:val="2"/>
        <w:numId w:val="35"/>
      </w:numPr>
    </w:pPr>
  </w:style>
  <w:style w:type="paragraph" w:customStyle="1" w:styleId="ListBullet4Level4">
    <w:name w:val="List Bullet 4 (Level 4)"/>
    <w:basedOn w:val="Text4"/>
    <w:uiPriority w:val="1"/>
    <w:semiHidden/>
    <w:unhideWhenUsed/>
    <w:pPr>
      <w:numPr>
        <w:ilvl w:val="3"/>
        <w:numId w:val="35"/>
      </w:numPr>
    </w:pPr>
  </w:style>
  <w:style w:type="paragraph" w:customStyle="1" w:styleId="ListDash">
    <w:name w:val="List Dash"/>
    <w:basedOn w:val="Normal"/>
    <w:uiPriority w:val="1"/>
    <w:pPr>
      <w:numPr>
        <w:numId w:val="29"/>
      </w:numPr>
    </w:pPr>
  </w:style>
  <w:style w:type="paragraph" w:customStyle="1" w:styleId="ListDashLevel2">
    <w:name w:val="List Dash (Level 2)"/>
    <w:basedOn w:val="Normal"/>
    <w:uiPriority w:val="1"/>
    <w:pPr>
      <w:numPr>
        <w:ilvl w:val="1"/>
        <w:numId w:val="29"/>
      </w:numPr>
    </w:pPr>
  </w:style>
  <w:style w:type="paragraph" w:customStyle="1" w:styleId="ListDashLevel3">
    <w:name w:val="List Dash (Level 3)"/>
    <w:basedOn w:val="Normal"/>
    <w:uiPriority w:val="1"/>
    <w:semiHidden/>
    <w:unhideWhenUsed/>
    <w:pPr>
      <w:numPr>
        <w:ilvl w:val="2"/>
        <w:numId w:val="29"/>
      </w:numPr>
    </w:pPr>
  </w:style>
  <w:style w:type="paragraph" w:customStyle="1" w:styleId="ListDashLevel4">
    <w:name w:val="List Dash (Level 4)"/>
    <w:basedOn w:val="Normal"/>
    <w:uiPriority w:val="1"/>
    <w:semiHidden/>
    <w:unhideWhenUsed/>
    <w:pPr>
      <w:numPr>
        <w:ilvl w:val="3"/>
        <w:numId w:val="29"/>
      </w:numPr>
    </w:pPr>
  </w:style>
  <w:style w:type="paragraph" w:customStyle="1" w:styleId="ListDash1">
    <w:name w:val="List Dash 1"/>
    <w:basedOn w:val="Text1"/>
    <w:uiPriority w:val="1"/>
    <w:pPr>
      <w:numPr>
        <w:numId w:val="28"/>
      </w:numPr>
    </w:pPr>
  </w:style>
  <w:style w:type="paragraph" w:customStyle="1" w:styleId="ListDash1Level2">
    <w:name w:val="List Dash 1 (Level 2)"/>
    <w:basedOn w:val="Text1"/>
    <w:uiPriority w:val="1"/>
    <w:pPr>
      <w:numPr>
        <w:ilvl w:val="1"/>
        <w:numId w:val="28"/>
      </w:numPr>
    </w:pPr>
  </w:style>
  <w:style w:type="paragraph" w:customStyle="1" w:styleId="ListDash1Level3">
    <w:name w:val="List Dash 1 (Level 3)"/>
    <w:basedOn w:val="Text1"/>
    <w:uiPriority w:val="1"/>
    <w:semiHidden/>
    <w:unhideWhenUsed/>
    <w:pPr>
      <w:numPr>
        <w:ilvl w:val="2"/>
        <w:numId w:val="28"/>
      </w:numPr>
    </w:pPr>
  </w:style>
  <w:style w:type="paragraph" w:customStyle="1" w:styleId="ListDash1Level4">
    <w:name w:val="List Dash 1 (Level 4)"/>
    <w:basedOn w:val="Text1"/>
    <w:uiPriority w:val="1"/>
    <w:semiHidden/>
    <w:unhideWhenUsed/>
    <w:pPr>
      <w:numPr>
        <w:ilvl w:val="3"/>
        <w:numId w:val="28"/>
      </w:numPr>
    </w:pPr>
  </w:style>
  <w:style w:type="paragraph" w:customStyle="1" w:styleId="ListDash2">
    <w:name w:val="List Dash 2"/>
    <w:basedOn w:val="Text2"/>
    <w:uiPriority w:val="1"/>
    <w:pPr>
      <w:numPr>
        <w:numId w:val="27"/>
      </w:numPr>
    </w:pPr>
  </w:style>
  <w:style w:type="paragraph" w:customStyle="1" w:styleId="ListDash2Level2">
    <w:name w:val="List Dash 2 (Level 2)"/>
    <w:basedOn w:val="Text2"/>
    <w:uiPriority w:val="1"/>
    <w:pPr>
      <w:numPr>
        <w:ilvl w:val="1"/>
        <w:numId w:val="27"/>
      </w:numPr>
    </w:pPr>
  </w:style>
  <w:style w:type="paragraph" w:customStyle="1" w:styleId="ListDash2Level3">
    <w:name w:val="List Dash 2 (Level 3)"/>
    <w:basedOn w:val="Text2"/>
    <w:uiPriority w:val="1"/>
    <w:semiHidden/>
    <w:unhideWhenUsed/>
    <w:pPr>
      <w:numPr>
        <w:ilvl w:val="2"/>
        <w:numId w:val="27"/>
      </w:numPr>
    </w:pPr>
  </w:style>
  <w:style w:type="paragraph" w:customStyle="1" w:styleId="ListDash2Level4">
    <w:name w:val="List Dash 2 (Level 4)"/>
    <w:basedOn w:val="Text2"/>
    <w:uiPriority w:val="1"/>
    <w:semiHidden/>
    <w:unhideWhenUsed/>
    <w:pPr>
      <w:numPr>
        <w:ilvl w:val="3"/>
        <w:numId w:val="27"/>
      </w:numPr>
    </w:pPr>
  </w:style>
  <w:style w:type="paragraph" w:customStyle="1" w:styleId="ListDash3">
    <w:name w:val="List Dash 3"/>
    <w:basedOn w:val="Text3"/>
    <w:uiPriority w:val="1"/>
    <w:pPr>
      <w:numPr>
        <w:numId w:val="26"/>
      </w:numPr>
    </w:pPr>
  </w:style>
  <w:style w:type="paragraph" w:customStyle="1" w:styleId="ListDash3Level2">
    <w:name w:val="List Dash 3 (Level 2)"/>
    <w:basedOn w:val="Text3"/>
    <w:uiPriority w:val="1"/>
    <w:pPr>
      <w:numPr>
        <w:ilvl w:val="1"/>
        <w:numId w:val="26"/>
      </w:numPr>
    </w:pPr>
  </w:style>
  <w:style w:type="paragraph" w:customStyle="1" w:styleId="ListDash3Level3">
    <w:name w:val="List Dash 3 (Level 3)"/>
    <w:basedOn w:val="Text3"/>
    <w:uiPriority w:val="1"/>
    <w:semiHidden/>
    <w:unhideWhenUsed/>
    <w:pPr>
      <w:numPr>
        <w:ilvl w:val="2"/>
        <w:numId w:val="26"/>
      </w:numPr>
    </w:pPr>
  </w:style>
  <w:style w:type="paragraph" w:customStyle="1" w:styleId="ListDash3Level4">
    <w:name w:val="List Dash 3 (Level 4)"/>
    <w:basedOn w:val="Text3"/>
    <w:uiPriority w:val="1"/>
    <w:semiHidden/>
    <w:unhideWhenUsed/>
    <w:pPr>
      <w:numPr>
        <w:ilvl w:val="3"/>
        <w:numId w:val="26"/>
      </w:numPr>
    </w:pPr>
  </w:style>
  <w:style w:type="paragraph" w:customStyle="1" w:styleId="ListDash4">
    <w:name w:val="List Dash 4"/>
    <w:basedOn w:val="Text4"/>
    <w:uiPriority w:val="1"/>
    <w:pPr>
      <w:numPr>
        <w:numId w:val="25"/>
      </w:numPr>
    </w:pPr>
  </w:style>
  <w:style w:type="paragraph" w:customStyle="1" w:styleId="ListDash4Level2">
    <w:name w:val="List Dash 4 (Level 2)"/>
    <w:basedOn w:val="Text4"/>
    <w:uiPriority w:val="1"/>
    <w:pPr>
      <w:numPr>
        <w:ilvl w:val="1"/>
        <w:numId w:val="25"/>
      </w:numPr>
    </w:pPr>
  </w:style>
  <w:style w:type="paragraph" w:customStyle="1" w:styleId="ListDash4Level3">
    <w:name w:val="List Dash 4 (Level 3)"/>
    <w:basedOn w:val="Text4"/>
    <w:uiPriority w:val="1"/>
    <w:semiHidden/>
    <w:unhideWhenUsed/>
    <w:pPr>
      <w:numPr>
        <w:ilvl w:val="2"/>
        <w:numId w:val="25"/>
      </w:numPr>
    </w:pPr>
  </w:style>
  <w:style w:type="paragraph" w:customStyle="1" w:styleId="ListDash4Level4">
    <w:name w:val="List Dash 4 (Level 4)"/>
    <w:basedOn w:val="Text4"/>
    <w:uiPriority w:val="1"/>
    <w:semiHidden/>
    <w:unhideWhenUsed/>
    <w:pPr>
      <w:numPr>
        <w:ilvl w:val="3"/>
        <w:numId w:val="25"/>
      </w:numPr>
    </w:pPr>
  </w:style>
  <w:style w:type="paragraph" w:styleId="ListNumber">
    <w:name w:val="List Number"/>
    <w:basedOn w:val="Normal"/>
    <w:uiPriority w:val="1"/>
    <w:pPr>
      <w:numPr>
        <w:numId w:val="34"/>
      </w:numPr>
    </w:pPr>
  </w:style>
  <w:style w:type="paragraph" w:customStyle="1" w:styleId="ListNumberLevel2">
    <w:name w:val="List Number (Level 2)"/>
    <w:basedOn w:val="Normal"/>
    <w:uiPriority w:val="1"/>
    <w:pPr>
      <w:numPr>
        <w:ilvl w:val="1"/>
        <w:numId w:val="34"/>
      </w:numPr>
    </w:pPr>
  </w:style>
  <w:style w:type="paragraph" w:customStyle="1" w:styleId="ListNumberLevel3">
    <w:name w:val="List Number (Level 3)"/>
    <w:basedOn w:val="Normal"/>
    <w:uiPriority w:val="1"/>
    <w:semiHidden/>
    <w:unhideWhenUsed/>
    <w:pPr>
      <w:numPr>
        <w:ilvl w:val="2"/>
        <w:numId w:val="34"/>
      </w:numPr>
    </w:pPr>
  </w:style>
  <w:style w:type="paragraph" w:customStyle="1" w:styleId="ListNumberLevel4">
    <w:name w:val="List Number (Level 4)"/>
    <w:basedOn w:val="Normal"/>
    <w:uiPriority w:val="1"/>
    <w:semiHidden/>
    <w:unhideWhenUsed/>
    <w:pPr>
      <w:numPr>
        <w:ilvl w:val="3"/>
        <w:numId w:val="34"/>
      </w:numPr>
    </w:pPr>
  </w:style>
  <w:style w:type="paragraph" w:customStyle="1" w:styleId="ListNumber1">
    <w:name w:val="List Number 1"/>
    <w:basedOn w:val="Text1"/>
    <w:uiPriority w:val="1"/>
    <w:pPr>
      <w:numPr>
        <w:numId w:val="33"/>
      </w:numPr>
    </w:pPr>
  </w:style>
  <w:style w:type="paragraph" w:customStyle="1" w:styleId="ListNumber1Level2">
    <w:name w:val="List Number 1 (Level 2)"/>
    <w:basedOn w:val="Text1"/>
    <w:uiPriority w:val="1"/>
    <w:pPr>
      <w:numPr>
        <w:ilvl w:val="1"/>
        <w:numId w:val="33"/>
      </w:numPr>
    </w:pPr>
  </w:style>
  <w:style w:type="paragraph" w:customStyle="1" w:styleId="ListNumber1Level3">
    <w:name w:val="List Number 1 (Level 3)"/>
    <w:basedOn w:val="Text1"/>
    <w:uiPriority w:val="1"/>
    <w:semiHidden/>
    <w:unhideWhenUsed/>
    <w:pPr>
      <w:numPr>
        <w:ilvl w:val="2"/>
        <w:numId w:val="33"/>
      </w:numPr>
    </w:pPr>
  </w:style>
  <w:style w:type="paragraph" w:customStyle="1" w:styleId="ListNumber1Level4">
    <w:name w:val="List Number 1 (Level 4)"/>
    <w:basedOn w:val="Text1"/>
    <w:uiPriority w:val="1"/>
    <w:semiHidden/>
    <w:unhideWhenUsed/>
    <w:pPr>
      <w:numPr>
        <w:ilvl w:val="3"/>
        <w:numId w:val="33"/>
      </w:numPr>
    </w:pPr>
  </w:style>
  <w:style w:type="paragraph" w:styleId="ListNumber2">
    <w:name w:val="List Number 2"/>
    <w:basedOn w:val="Text2"/>
    <w:uiPriority w:val="1"/>
    <w:pPr>
      <w:numPr>
        <w:numId w:val="32"/>
      </w:numPr>
    </w:pPr>
  </w:style>
  <w:style w:type="paragraph" w:customStyle="1" w:styleId="ListNumber2Level2">
    <w:name w:val="List Number 2 (Level 2)"/>
    <w:basedOn w:val="Text2"/>
    <w:uiPriority w:val="1"/>
    <w:pPr>
      <w:numPr>
        <w:ilvl w:val="1"/>
        <w:numId w:val="32"/>
      </w:numPr>
    </w:pPr>
  </w:style>
  <w:style w:type="paragraph" w:customStyle="1" w:styleId="ListNumber2Level3">
    <w:name w:val="List Number 2 (Level 3)"/>
    <w:basedOn w:val="Text2"/>
    <w:uiPriority w:val="1"/>
    <w:semiHidden/>
    <w:unhideWhenUsed/>
    <w:pPr>
      <w:numPr>
        <w:ilvl w:val="2"/>
        <w:numId w:val="32"/>
      </w:numPr>
    </w:pPr>
  </w:style>
  <w:style w:type="paragraph" w:customStyle="1" w:styleId="ListNumber2Level4">
    <w:name w:val="List Number 2 (Level 4)"/>
    <w:basedOn w:val="Text2"/>
    <w:uiPriority w:val="1"/>
    <w:semiHidden/>
    <w:unhideWhenUsed/>
    <w:pPr>
      <w:numPr>
        <w:ilvl w:val="3"/>
        <w:numId w:val="32"/>
      </w:numPr>
    </w:pPr>
  </w:style>
  <w:style w:type="paragraph" w:styleId="ListNumber3">
    <w:name w:val="List Number 3"/>
    <w:basedOn w:val="Text3"/>
    <w:uiPriority w:val="1"/>
    <w:pPr>
      <w:numPr>
        <w:numId w:val="31"/>
      </w:numPr>
    </w:pPr>
  </w:style>
  <w:style w:type="paragraph" w:customStyle="1" w:styleId="ListNumber3Level2">
    <w:name w:val="List Number 3 (Level 2)"/>
    <w:basedOn w:val="Text3"/>
    <w:uiPriority w:val="1"/>
    <w:pPr>
      <w:numPr>
        <w:ilvl w:val="1"/>
        <w:numId w:val="31"/>
      </w:numPr>
    </w:pPr>
  </w:style>
  <w:style w:type="paragraph" w:customStyle="1" w:styleId="ListNumber3Level3">
    <w:name w:val="List Number 3 (Level 3)"/>
    <w:basedOn w:val="Text3"/>
    <w:uiPriority w:val="1"/>
    <w:semiHidden/>
    <w:unhideWhenUsed/>
    <w:pPr>
      <w:numPr>
        <w:ilvl w:val="2"/>
        <w:numId w:val="31"/>
      </w:numPr>
    </w:pPr>
  </w:style>
  <w:style w:type="paragraph" w:customStyle="1" w:styleId="ListNumber3Level4">
    <w:name w:val="List Number 3 (Level 4)"/>
    <w:basedOn w:val="Text3"/>
    <w:uiPriority w:val="1"/>
    <w:semiHidden/>
    <w:unhideWhenUsed/>
    <w:pPr>
      <w:numPr>
        <w:ilvl w:val="3"/>
        <w:numId w:val="31"/>
      </w:numPr>
    </w:pPr>
  </w:style>
  <w:style w:type="paragraph" w:styleId="ListNumber4">
    <w:name w:val="List Number 4"/>
    <w:basedOn w:val="Text4"/>
    <w:uiPriority w:val="1"/>
    <w:pPr>
      <w:numPr>
        <w:numId w:val="30"/>
      </w:numPr>
    </w:pPr>
  </w:style>
  <w:style w:type="paragraph" w:customStyle="1" w:styleId="ListNumber4Level2">
    <w:name w:val="List Number 4 (Level 2)"/>
    <w:basedOn w:val="Text4"/>
    <w:uiPriority w:val="1"/>
    <w:pPr>
      <w:numPr>
        <w:ilvl w:val="1"/>
        <w:numId w:val="30"/>
      </w:numPr>
    </w:pPr>
  </w:style>
  <w:style w:type="paragraph" w:customStyle="1" w:styleId="ListNumber4Level3">
    <w:name w:val="List Number 4 (Level 3)"/>
    <w:basedOn w:val="Text4"/>
    <w:uiPriority w:val="1"/>
    <w:semiHidden/>
    <w:unhideWhenUsed/>
    <w:pPr>
      <w:numPr>
        <w:ilvl w:val="2"/>
        <w:numId w:val="30"/>
      </w:numPr>
    </w:pPr>
  </w:style>
  <w:style w:type="paragraph" w:customStyle="1" w:styleId="ListNumber4Level4">
    <w:name w:val="List Number 4 (Level 4)"/>
    <w:basedOn w:val="Text4"/>
    <w:uiPriority w:val="1"/>
    <w:semiHidden/>
    <w:unhideWhenUsed/>
    <w:pPr>
      <w:numPr>
        <w:ilvl w:val="3"/>
        <w:numId w:val="30"/>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44"/>
      </w:numPr>
    </w:pPr>
  </w:style>
  <w:style w:type="paragraph" w:customStyle="1" w:styleId="TableListBulletLevel2">
    <w:name w:val="Table List Bullet (Level 2)"/>
    <w:basedOn w:val="TableText"/>
    <w:uiPriority w:val="1"/>
    <w:pPr>
      <w:numPr>
        <w:ilvl w:val="1"/>
        <w:numId w:val="44"/>
      </w:numPr>
    </w:pPr>
  </w:style>
  <w:style w:type="paragraph" w:customStyle="1" w:styleId="TableListBulletLevel3">
    <w:name w:val="Table List Bullet (Level 3)"/>
    <w:basedOn w:val="TableText"/>
    <w:uiPriority w:val="1"/>
    <w:semiHidden/>
    <w:unhideWhenUsed/>
    <w:pPr>
      <w:numPr>
        <w:ilvl w:val="2"/>
        <w:numId w:val="44"/>
      </w:numPr>
    </w:pPr>
  </w:style>
  <w:style w:type="paragraph" w:customStyle="1" w:styleId="TableListBulletLevel4">
    <w:name w:val="Table List Bullet (Level 4)"/>
    <w:basedOn w:val="TableText"/>
    <w:uiPriority w:val="1"/>
    <w:semiHidden/>
    <w:unhideWhenUsed/>
    <w:pPr>
      <w:numPr>
        <w:ilvl w:val="3"/>
        <w:numId w:val="44"/>
      </w:numPr>
    </w:pPr>
  </w:style>
  <w:style w:type="paragraph" w:customStyle="1" w:styleId="TableListDash">
    <w:name w:val="Table List Dash"/>
    <w:basedOn w:val="TableText"/>
    <w:uiPriority w:val="1"/>
    <w:pPr>
      <w:numPr>
        <w:numId w:val="45"/>
      </w:numPr>
    </w:pPr>
  </w:style>
  <w:style w:type="paragraph" w:customStyle="1" w:styleId="TableListDashLevel2">
    <w:name w:val="Table List Dash (Level 2)"/>
    <w:basedOn w:val="TableText"/>
    <w:uiPriority w:val="1"/>
    <w:pPr>
      <w:numPr>
        <w:ilvl w:val="1"/>
        <w:numId w:val="45"/>
      </w:numPr>
    </w:pPr>
  </w:style>
  <w:style w:type="paragraph" w:customStyle="1" w:styleId="TableListDashLevel3">
    <w:name w:val="Table List Dash (Level 3)"/>
    <w:basedOn w:val="TableText"/>
    <w:uiPriority w:val="1"/>
    <w:semiHidden/>
    <w:unhideWhenUsed/>
    <w:pPr>
      <w:numPr>
        <w:ilvl w:val="2"/>
        <w:numId w:val="45"/>
      </w:numPr>
    </w:pPr>
  </w:style>
  <w:style w:type="paragraph" w:customStyle="1" w:styleId="TableListDashLevel4">
    <w:name w:val="Table List Dash (Level 4)"/>
    <w:basedOn w:val="TableText"/>
    <w:uiPriority w:val="1"/>
    <w:semiHidden/>
    <w:unhideWhenUsed/>
    <w:pPr>
      <w:numPr>
        <w:ilvl w:val="3"/>
        <w:numId w:val="45"/>
      </w:numPr>
    </w:pPr>
  </w:style>
  <w:style w:type="paragraph" w:customStyle="1" w:styleId="TableListNumber">
    <w:name w:val="Table List Number"/>
    <w:basedOn w:val="TableText"/>
    <w:uiPriority w:val="1"/>
    <w:pPr>
      <w:numPr>
        <w:numId w:val="46"/>
      </w:numPr>
    </w:pPr>
  </w:style>
  <w:style w:type="paragraph" w:customStyle="1" w:styleId="TableListNumberLevel2">
    <w:name w:val="Table List Number (Level 2)"/>
    <w:basedOn w:val="TableText"/>
    <w:uiPriority w:val="1"/>
    <w:pPr>
      <w:numPr>
        <w:ilvl w:val="1"/>
        <w:numId w:val="46"/>
      </w:numPr>
    </w:pPr>
  </w:style>
  <w:style w:type="paragraph" w:customStyle="1" w:styleId="TableListNumberLevel3">
    <w:name w:val="Table List Number (Level 3)"/>
    <w:basedOn w:val="TableText"/>
    <w:uiPriority w:val="1"/>
    <w:semiHidden/>
    <w:unhideWhenUsed/>
    <w:pPr>
      <w:numPr>
        <w:ilvl w:val="2"/>
        <w:numId w:val="46"/>
      </w:numPr>
    </w:pPr>
  </w:style>
  <w:style w:type="paragraph" w:customStyle="1" w:styleId="TableListNumberLevel4">
    <w:name w:val="Table List Number (Level 4)"/>
    <w:basedOn w:val="TableText"/>
    <w:uiPriority w:val="1"/>
    <w:semiHidden/>
    <w:unhideWhenUsed/>
    <w:pPr>
      <w:numPr>
        <w:ilvl w:val="3"/>
        <w:numId w:val="46"/>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UnresolvedMention1">
    <w:name w:val="Unresolved Mention1"/>
    <w:basedOn w:val="DefaultParagraphFont"/>
    <w:semiHidden/>
    <w:locked/>
    <w:rsid w:val="00DC5B3E"/>
    <w:rPr>
      <w:color w:val="605E5C"/>
      <w:shd w:val="clear" w:color="auto" w:fill="E1DFDD"/>
    </w:rPr>
  </w:style>
  <w:style w:type="character" w:styleId="FollowedHyperlink">
    <w:name w:val="FollowedHyperlink"/>
    <w:basedOn w:val="DefaultParagraphFont"/>
    <w:semiHidden/>
    <w:locked/>
    <w:rsid w:val="00DC5B3E"/>
    <w:rPr>
      <w:color w:val="954F72" w:themeColor="followedHyperlink"/>
      <w:u w:val="single"/>
    </w:rPr>
  </w:style>
  <w:style w:type="character" w:customStyle="1" w:styleId="FooterChar">
    <w:name w:val="Footer Char"/>
    <w:basedOn w:val="DefaultParagraphFont"/>
    <w:link w:val="Footer"/>
    <w:uiPriority w:val="99"/>
    <w:rsid w:val="00364D7E"/>
    <w:rPr>
      <w:sz w:val="16"/>
    </w:rPr>
  </w:style>
  <w:style w:type="character" w:customStyle="1" w:styleId="Marker">
    <w:name w:val="Marker"/>
    <w:basedOn w:val="DefaultParagraphFont"/>
    <w:rsid w:val="008E2D28"/>
    <w:rPr>
      <w:color w:val="0000FF"/>
      <w:shd w:val="clear" w:color="auto" w:fill="auto"/>
    </w:rPr>
  </w:style>
  <w:style w:type="paragraph" w:customStyle="1" w:styleId="FooterSensitivity">
    <w:name w:val="Footer Sensitivity"/>
    <w:basedOn w:val="Normal"/>
    <w:link w:val="FooterSensitivityChar"/>
    <w:rsid w:val="008E2D2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8E2D28"/>
    <w:rPr>
      <w:rFonts w:eastAsia="Calibri"/>
      <w:szCs w:val="22"/>
      <w:lang w:eastAsia="en-GB"/>
    </w:rPr>
  </w:style>
  <w:style w:type="character" w:customStyle="1" w:styleId="FooterSensitivityChar">
    <w:name w:val="Footer Sensitivity Char"/>
    <w:basedOn w:val="PagedecouvertureChar"/>
    <w:link w:val="FooterSensitivity"/>
    <w:rsid w:val="008E2D28"/>
    <w:rPr>
      <w:rFonts w:eastAsia="Calibri"/>
      <w:b/>
      <w:sz w:val="32"/>
      <w:szCs w:val="22"/>
      <w:lang w:eastAsia="en-GB"/>
    </w:rPr>
  </w:style>
  <w:style w:type="paragraph" w:customStyle="1" w:styleId="HeaderSensitivity">
    <w:name w:val="Header Sensitivity"/>
    <w:basedOn w:val="Normal"/>
    <w:link w:val="HeaderSensitivityChar"/>
    <w:rsid w:val="008E2D2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8E2D28"/>
    <w:rPr>
      <w:rFonts w:eastAsia="Calibri"/>
      <w:b/>
      <w:sz w:val="32"/>
      <w:szCs w:val="22"/>
      <w:lang w:eastAsia="en-GB"/>
    </w:rPr>
  </w:style>
  <w:style w:type="paragraph" w:customStyle="1" w:styleId="HeaderSensitivityRight">
    <w:name w:val="Header Sensitivity Right"/>
    <w:basedOn w:val="Normal"/>
    <w:link w:val="HeaderSensitivityRightChar"/>
    <w:rsid w:val="008E2D28"/>
    <w:pPr>
      <w:spacing w:after="120"/>
      <w:jc w:val="right"/>
    </w:pPr>
    <w:rPr>
      <w:sz w:val="28"/>
    </w:rPr>
  </w:style>
  <w:style w:type="character" w:customStyle="1" w:styleId="HeaderSensitivityRightChar">
    <w:name w:val="Header Sensitivity Right Char"/>
    <w:basedOn w:val="PagedecouvertureChar"/>
    <w:link w:val="HeaderSensitivityRight"/>
    <w:rsid w:val="008E2D28"/>
    <w:rPr>
      <w:rFonts w:eastAsia="Calibri"/>
      <w:sz w:val="28"/>
      <w:szCs w:val="22"/>
      <w:lang w:eastAsia="en-GB"/>
    </w:rPr>
  </w:style>
  <w:style w:type="paragraph" w:styleId="Revision">
    <w:name w:val="Revision"/>
    <w:hidden/>
    <w:semiHidden/>
    <w:locked/>
    <w:rsid w:val="009F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2022/1500/oj" TargetMode="External"/><Relationship Id="rId13" Type="http://schemas.openxmlformats.org/officeDocument/2006/relationships/hyperlink" Target="http://data.europa.eu/eli/reg/2019/1155/oj" TargetMode="External"/><Relationship Id="rId3" Type="http://schemas.openxmlformats.org/officeDocument/2006/relationships/hyperlink" Target="http://data.europa.eu/eli/agree_internation/2014/242/oj" TargetMode="External"/><Relationship Id="rId7" Type="http://schemas.openxmlformats.org/officeDocument/2006/relationships/hyperlink" Target="http://data.europa.eu/eli/reg/2018/1806/2023-05-15" TargetMode="External"/><Relationship Id="rId12" Type="http://schemas.openxmlformats.org/officeDocument/2006/relationships/hyperlink" Target="https://travel.state.gov/content/travel/en/News/visas-news/niv-fee-increases-to-take-effect-june-17-2023.html" TargetMode="External"/><Relationship Id="rId2" Type="http://schemas.openxmlformats.org/officeDocument/2006/relationships/hyperlink" Target="http://data.europa.eu/eli/agree_internation/2013/628/oj" TargetMode="External"/><Relationship Id="rId1" Type="http://schemas.openxmlformats.org/officeDocument/2006/relationships/hyperlink" Target="http://data.europa.eu/eli/reg/2009/810/2020-02-02" TargetMode="External"/><Relationship Id="rId6" Type="http://schemas.openxmlformats.org/officeDocument/2006/relationships/hyperlink" Target="http://data.europa.eu/eli/agree_internation/2013/521/2021-10-19" TargetMode="External"/><Relationship Id="rId11" Type="http://schemas.openxmlformats.org/officeDocument/2006/relationships/hyperlink" Target="https://ec.europa.eu/eurostat/cache/metadata/Annexes/prc_rem_esms_an3.7z" TargetMode="External"/><Relationship Id="rId5" Type="http://schemas.openxmlformats.org/officeDocument/2006/relationships/hyperlink" Target="http://data.europa.eu/eli/dec/2021/1940/oj" TargetMode="External"/><Relationship Id="rId15" Type="http://schemas.openxmlformats.org/officeDocument/2006/relationships/hyperlink" Target="https://eur-lex.europa.eu/legal-content/EN/TXT/?uri=celex%3A52018SC0077" TargetMode="External"/><Relationship Id="rId10" Type="http://schemas.openxmlformats.org/officeDocument/2006/relationships/hyperlink" Target="https://ec.europa.eu/eurostat/databrowser/view/prc_rem_cs/default/table" TargetMode="External"/><Relationship Id="rId4" Type="http://schemas.openxmlformats.org/officeDocument/2006/relationships/hyperlink" Target="http://data.europa.eu/eli/agree_internation/2020/752/oj" TargetMode="External"/><Relationship Id="rId9" Type="http://schemas.openxmlformats.org/officeDocument/2006/relationships/hyperlink" Target="https://ec.europa.eu/eurostat/databrowser//product/view/PRC_HICP_MIDX" TargetMode="External"/><Relationship Id="rId14" Type="http://schemas.openxmlformats.org/officeDocument/2006/relationships/hyperlink" Target="http://data.europa.eu/eli/dir/2004/38/2011-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uthor Role="Creator" AuthorRoleName="Writer" AuthorRoleId="a4fbaff4-b07c-48b4-a21e-e7b9eedf3796">
  <Id>aba04af0-9cff-47aa-8e23-2a9aa5ccf0ab</Id>
  <Names>
    <Latin>
      <FirstName>Guido</FirstName>
      <LastName>SCHWARZ</LastName>
    </Latin>
    <Greek>
      <FirstName/>
      <LastName/>
    </Greek>
    <Cyrillic>
      <FirstName/>
      <LastName/>
    </Cyrillic>
    <DocumentScript>
      <FirstName>Guido</FirstName>
      <LastName>SCHWARZ</LastName>
      <FullName>Guido SCHWARZ</FullName>
    </DocumentScript>
  </Names>
  <Initials>GS</Initials>
  <Gender>m</Gender>
  <Email>Guido.SCHWARZ@ec.europa.eu</Email>
  <Service>HOME.B.4</Service>
  <Function ADCode="" ShowInSignature="true" ShowInHeader="false" HeaderText="">Policy Officer</Function>
  <WebAddress/>
  <FunctionalMailbox/>
  <InheritedWebAddress>WebAddress</InheritedWebAddress>
  <OrgaEntity1>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1>
  <OrgaEntity2>
    <Id>55976f76-ade9-4e1b-8054-7db1e3ef90a5</Id>
    <LogicalLevel>2</LogicalLevel>
    <Name>HOME.B</Name>
    <HeadLine1>Directorate B – Schengen, Borders &amp; Visa</HeadLine1>
    <HeadLine2/>
    <PrimaryAddressId>f03b5801-04c9-4931-aa17-c6d6c70bc579</PrimaryAddressId>
    <SecondaryAddressId/>
    <WebAddress/>
    <InheritedWebAddress>WebAddress</InheritedWebAddress>
    <ShowInHeader>true</ShowInHeader>
  </OrgaEntity2>
  <OrgaEntity3>
    <Id>03f1c989-02f6-430f-b518-a4ec4fb56985</Id>
    <LogicalLevel>3</LogicalLevel>
    <Name>HOME.B.4</Name>
    <HeadLine1>B.4 – Visa Policy</HeadLine1>
    <HeadLine2/>
    <PrimaryAddressId>f03b5801-04c9-4931-aa17-c6d6c70bc579</PrimaryAddressId>
    <SecondaryAddressId/>
    <WebAddress/>
    <InheritedWebAddress>WebAddress</InheritedWebAddress>
    <ShowInHeader>true</ShowInHeader>
  </OrgaEntity3>
  <Hierarchy>
    <OrgaEntity>
      <Id>bb42cf15-e01c-4371-aa80-221cebdf1d8b</Id>
      <LogicalLevel>1</LogicalLevel>
      <Name>HOME</Name>
      <HeadLine1>DIRECTORATE-GENERAL FOR MIGRATION AND HOME AFFAIRS</HeadLine1>
      <HeadLine2/>
      <PrimaryAddressId>f03b5801-04c9-4931-aa17-c6d6c70bc579</PrimaryAddressId>
      <SecondaryAddressId/>
      <WebAddress>WebAddress</WebAddress>
      <InheritedWebAddress>WebAddress</InheritedWebAddress>
      <ShowInHeader>true</ShowInHeader>
    </OrgaEntity>
    <OrgaEntity>
      <Id>55976f76-ade9-4e1b-8054-7db1e3ef90a5</Id>
      <LogicalLevel>2</LogicalLevel>
      <Name>HOME.B</Name>
      <HeadLine1>Directorate B – Schengen, Borders &amp; Visa</HeadLine1>
      <HeadLine2/>
      <PrimaryAddressId>f03b5801-04c9-4931-aa17-c6d6c70bc579</PrimaryAddressId>
      <SecondaryAddressId/>
      <WebAddress/>
      <InheritedWebAddress>WebAddress</InheritedWebAddress>
      <ShowInHeader>true</ShowInHeader>
    </OrgaEntity>
    <OrgaEntity>
      <Id>03f1c989-02f6-430f-b518-a4ec4fb56985</Id>
      <LogicalLevel>3</LogicalLevel>
      <Name>HOME.B.4</Name>
      <HeadLine1>B.4 – Visa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+32 229-51603</Phone>
    <Office>LX46 01/130</Office>
  </MainWorkplace>
  <Workplaces>
    <Workplace IsMain="true">
      <AddressId>f03b5801-04c9-4931-aa17-c6d6c70bc579</AddressId>
      <Fax/>
      <Phone>+32 229-51603</Phone>
      <Office>LX46 01/130</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10.0.45789.0</Version>
    <Date>2024-02-29T14:57:46</Date>
    <Language>EN</Language>
    <Note>Created using 'Convert To Eurolook'</Note>
  </Created>
  <Edited>
    <Version/>
    <Date/>
  </Edited>
  <DocumentModel>
    <Id>6cbda13a-4db2-46c6-876a-ef72275827ef</Id>
    <Name>Report</Name>
  </DocumentModel>
  <CustomTemplate>
    <Id/>
    <Name/>
  </CustomTemplate>
  <DocumentDate>2024-02-29T14:57:46</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SpecialHandling MetadataSerializationType="SimpleValue"/>
    <EC_SecurityDistributionWorkingGroup MetadataSerializationType="SimpleValue"/>
    <EC_SecurityDistributionDG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Props1.xml><?xml version="1.0" encoding="utf-8"?>
<ds:datastoreItem xmlns:ds="http://schemas.openxmlformats.org/officeDocument/2006/customXml" ds:itemID="{39791BD4-383C-4B0A-B735-34DCBE761395}">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2345</Words>
  <Characters>13367</Characters>
  <Application>Microsoft Office Word</Application>
  <DocSecurity>0</DocSecurity>
  <PresentationFormat>Microsoft Word 14.0</PresentationFormat>
  <Lines>111</Lines>
  <Paragraphs>31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2024-03-13T10:22:00Z</dcterms:created>
  <dcterms:modified xsi:type="dcterms:W3CDTF">2024-03-22T15:15:00Z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2024-02-29T13:57:46Z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0696317e-b749-4f55-99d1-ee6903f42b68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9.0, Build 20230317</vt:lpwstr>
  </property>
  <property fmtid="{D5CDD505-2E9C-101B-9397-08002B2CF9AE}" pid="17" name="Created using">
    <vt:lpwstr>LW 9.0, Build 20230317</vt:lpwstr>
  </property>
  <property name="OP_sanitized" fmtid="{D5CDD505-2E9C-101B-9397-08002B2CF9AE}" pid="18">
    <vt:lpwstr>True</vt:lpwstr>
  </property>
</Properties>
</file>