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BF49F" w14:textId="2505F9EA" w:rsidR="00E9482D" w:rsidRPr="00B54957" w:rsidRDefault="001345B1" w:rsidP="001345B1">
      <w:pPr>
        <w:pStyle w:val="Pagedecouverture"/>
        <w:rPr>
          <w:noProof/>
        </w:rPr>
      </w:pPr>
      <w:r>
        <w:rPr>
          <w:noProof/>
        </w:rPr>
        <w:pict w14:anchorId="01E08D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A83E6C42-1E2C-408E-A346-FAB512785874" style="width:455.25pt;height:355.5pt">
            <v:imagedata r:id="rId8" o:title=""/>
          </v:shape>
        </w:pict>
      </w:r>
    </w:p>
    <w:p w14:paraId="5AA431D4" w14:textId="77777777" w:rsidR="00E9482D" w:rsidRPr="00B54957" w:rsidRDefault="00E9482D" w:rsidP="00E9482D">
      <w:pPr>
        <w:rPr>
          <w:noProof/>
        </w:rPr>
        <w:sectPr w:rsidR="00E9482D" w:rsidRPr="00B54957" w:rsidSect="001345B1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68188973" w14:textId="77777777" w:rsidR="00E9482D" w:rsidRPr="00B54957" w:rsidRDefault="00E9482D" w:rsidP="00AB5B99">
      <w:pPr>
        <w:pStyle w:val="Exposdesmotifstitre"/>
        <w:rPr>
          <w:noProof/>
        </w:rPr>
      </w:pPr>
      <w:bookmarkStart w:id="0" w:name="_GoBack"/>
      <w:bookmarkEnd w:id="0"/>
      <w:r w:rsidRPr="00B54957">
        <w:rPr>
          <w:noProof/>
        </w:rPr>
        <w:lastRenderedPageBreak/>
        <w:t>DŮVODOVÁ ZPRÁVA</w:t>
      </w:r>
    </w:p>
    <w:p w14:paraId="105DEF26" w14:textId="3E95FFE5" w:rsidR="00E9482D" w:rsidRPr="00B54957" w:rsidRDefault="009C76AE" w:rsidP="009C76AE">
      <w:pPr>
        <w:pStyle w:val="ManualHeading1"/>
        <w:rPr>
          <w:rFonts w:eastAsia="Arial Unicode MS"/>
          <w:noProof/>
        </w:rPr>
      </w:pPr>
      <w:r w:rsidRPr="009C76AE">
        <w:t>1.</w:t>
      </w:r>
      <w:r w:rsidRPr="009C76AE">
        <w:tab/>
      </w:r>
      <w:r w:rsidR="00E9482D" w:rsidRPr="00B54957">
        <w:rPr>
          <w:noProof/>
        </w:rPr>
        <w:t>Předmět návrhu</w:t>
      </w:r>
    </w:p>
    <w:p w14:paraId="7EAC4DA2" w14:textId="77777777" w:rsidR="00FA3C53" w:rsidRPr="00B54957" w:rsidRDefault="00E9482D" w:rsidP="002A3121">
      <w:pPr>
        <w:rPr>
          <w:rFonts w:eastAsia="Arial Unicode MS"/>
          <w:noProof/>
        </w:rPr>
      </w:pPr>
      <w:r w:rsidRPr="00B54957">
        <w:rPr>
          <w:noProof/>
        </w:rPr>
        <w:t xml:space="preserve">Tento návrh se týká rozhodnutí Rady o postoji, který má být zaujat jménem Unie na 13. zasedání Konference ministrů Světové obchodní organizace („WTO“) v souvislosti s plánovaným rozhodnutím o přistoupení </w:t>
      </w:r>
      <w:bookmarkStart w:id="1" w:name="_Hlk150272931"/>
      <w:r w:rsidRPr="00B54957">
        <w:rPr>
          <w:noProof/>
        </w:rPr>
        <w:t>Komorského svazu</w:t>
      </w:r>
      <w:bookmarkEnd w:id="1"/>
      <w:r w:rsidRPr="00B54957">
        <w:rPr>
          <w:noProof/>
        </w:rPr>
        <w:t xml:space="preserve"> k WTO. </w:t>
      </w:r>
    </w:p>
    <w:p w14:paraId="332B2EF9" w14:textId="4AD3E8C7" w:rsidR="00E9482D" w:rsidRPr="00B54957" w:rsidRDefault="009C76AE" w:rsidP="009C76AE">
      <w:pPr>
        <w:pStyle w:val="ManualHeading1"/>
        <w:rPr>
          <w:noProof/>
        </w:rPr>
      </w:pPr>
      <w:r w:rsidRPr="009C76AE">
        <w:t>2.</w:t>
      </w:r>
      <w:r w:rsidRPr="009C76AE">
        <w:tab/>
      </w:r>
      <w:r w:rsidR="00E9482D" w:rsidRPr="00B54957">
        <w:rPr>
          <w:noProof/>
        </w:rPr>
        <w:t>Souvislosti návrhu</w:t>
      </w:r>
    </w:p>
    <w:p w14:paraId="1AB5C852" w14:textId="301198AC" w:rsidR="00F40933" w:rsidRPr="00B54957" w:rsidRDefault="004D3D93" w:rsidP="004D3D93">
      <w:pPr>
        <w:pStyle w:val="ManualHeading2"/>
        <w:rPr>
          <w:noProof/>
        </w:rPr>
      </w:pPr>
      <w:r>
        <w:rPr>
          <w:noProof/>
        </w:rPr>
        <w:t>2.1</w:t>
      </w:r>
      <w:r>
        <w:rPr>
          <w:noProof/>
        </w:rPr>
        <w:tab/>
      </w:r>
      <w:r w:rsidR="00E9482D" w:rsidRPr="00B54957">
        <w:rPr>
          <w:noProof/>
        </w:rPr>
        <w:t xml:space="preserve">Dohoda o zřízení Světové obchodní organizace („Dohoda o WTO“) </w:t>
      </w:r>
    </w:p>
    <w:p w14:paraId="4AD2BEAA" w14:textId="77777777" w:rsidR="00F40933" w:rsidRPr="00B54957" w:rsidRDefault="00F40933" w:rsidP="00F40933">
      <w:pPr>
        <w:rPr>
          <w:rFonts w:eastAsia="Arial Unicode MS"/>
          <w:noProof/>
          <w:color w:val="000000"/>
        </w:rPr>
      </w:pPr>
      <w:r w:rsidRPr="00B54957">
        <w:rPr>
          <w:noProof/>
        </w:rPr>
        <w:t>Cílem Dohody o zřízení Světové obchodní organizace (dále jen „Dohoda o WTO“) je dosažení cílů uvedených v preambuli této dohody.</w:t>
      </w:r>
      <w:r w:rsidRPr="00B54957">
        <w:rPr>
          <w:noProof/>
          <w:color w:val="000000"/>
        </w:rPr>
        <w:t xml:space="preserve"> </w:t>
      </w:r>
      <w:r w:rsidRPr="00B54957">
        <w:rPr>
          <w:noProof/>
        </w:rPr>
        <w:t>Dohoda vstoupila v platnost dne 1. ledna 1995.</w:t>
      </w:r>
    </w:p>
    <w:p w14:paraId="11E96789" w14:textId="77777777" w:rsidR="00F40933" w:rsidRPr="00B54957" w:rsidRDefault="00F40933" w:rsidP="00F40933">
      <w:pPr>
        <w:rPr>
          <w:rFonts w:eastAsia="Arial Unicode MS"/>
          <w:noProof/>
          <w:color w:val="000000"/>
        </w:rPr>
      </w:pPr>
      <w:r w:rsidRPr="00B54957">
        <w:rPr>
          <w:noProof/>
        </w:rPr>
        <w:t>Evropská unie (EU) je smluvní stranou dohody</w:t>
      </w:r>
      <w:r w:rsidRPr="00B54957">
        <w:rPr>
          <w:rStyle w:val="FootnoteReference"/>
          <w:noProof/>
        </w:rPr>
        <w:footnoteReference w:id="1"/>
      </w:r>
      <w:r w:rsidRPr="00B54957">
        <w:rPr>
          <w:noProof/>
        </w:rPr>
        <w:t>.</w:t>
      </w:r>
      <w:r w:rsidRPr="00B54957">
        <w:rPr>
          <w:noProof/>
          <w:color w:val="000000"/>
        </w:rPr>
        <w:t xml:space="preserve"> </w:t>
      </w:r>
      <w:r w:rsidRPr="00B54957">
        <w:rPr>
          <w:noProof/>
        </w:rPr>
        <w:t>Smluvními stranami dohody je rovněž všech 27 členských států EU.</w:t>
      </w:r>
      <w:r w:rsidRPr="00B54957">
        <w:rPr>
          <w:noProof/>
          <w:color w:val="000000"/>
        </w:rPr>
        <w:t xml:space="preserve"> WTO může přijímat rozhodnutí v souladu s postupy stanovenými v Dohodě o WTO.</w:t>
      </w:r>
    </w:p>
    <w:p w14:paraId="4235BC33" w14:textId="2A90503B" w:rsidR="00E9482D" w:rsidRPr="00B54957" w:rsidRDefault="004D3D93" w:rsidP="004D3D93">
      <w:pPr>
        <w:pStyle w:val="ManualHeading2"/>
        <w:rPr>
          <w:noProof/>
        </w:rPr>
      </w:pPr>
      <w:r>
        <w:rPr>
          <w:noProof/>
        </w:rPr>
        <w:t>2.2</w:t>
      </w:r>
      <w:r>
        <w:rPr>
          <w:noProof/>
        </w:rPr>
        <w:tab/>
      </w:r>
      <w:r w:rsidR="00E9482D" w:rsidRPr="00B54957">
        <w:rPr>
          <w:noProof/>
        </w:rPr>
        <w:t>Konference ministrů Světové obchodní organizace</w:t>
      </w:r>
    </w:p>
    <w:p w14:paraId="2281CAAB" w14:textId="77777777" w:rsidR="00F40933" w:rsidRPr="00B54957" w:rsidRDefault="00F40933" w:rsidP="00F40933">
      <w:pPr>
        <w:rPr>
          <w:rFonts w:eastAsia="Arial Unicode MS"/>
          <w:noProof/>
          <w:color w:val="000000"/>
        </w:rPr>
      </w:pPr>
      <w:r w:rsidRPr="00B54957">
        <w:rPr>
          <w:noProof/>
        </w:rPr>
        <w:t>Konference ministrů je nejvyšším rozhodovacím orgánem WTO a schází se nejméně jednou za dva roky.</w:t>
      </w:r>
      <w:r w:rsidRPr="00B54957">
        <w:rPr>
          <w:noProof/>
          <w:color w:val="000000"/>
        </w:rPr>
        <w:t xml:space="preserve"> Podle práva a v praxi se rozhodnutí přijímají na základě konsensu. </w:t>
      </w:r>
    </w:p>
    <w:p w14:paraId="6848C94D" w14:textId="77777777" w:rsidR="00F40933" w:rsidRPr="00B54957" w:rsidRDefault="00F40933" w:rsidP="00F40933">
      <w:pPr>
        <w:rPr>
          <w:rFonts w:eastAsia="Arial Unicode MS"/>
          <w:noProof/>
          <w:color w:val="000000"/>
        </w:rPr>
      </w:pPr>
      <w:r w:rsidRPr="00B54957">
        <w:rPr>
          <w:noProof/>
        </w:rPr>
        <w:t xml:space="preserve">Příští zasedání Konference ministrů se bude konat ve dnech 26.–29. února 2024 v Abú Dhabí (Spojené arabské emiráty). </w:t>
      </w:r>
    </w:p>
    <w:p w14:paraId="4B5F7E3E" w14:textId="3C3CCD82" w:rsidR="00E9482D" w:rsidRPr="00B54957" w:rsidRDefault="004D3D93" w:rsidP="004D3D93">
      <w:pPr>
        <w:pStyle w:val="ManualHeading2"/>
        <w:rPr>
          <w:noProof/>
        </w:rPr>
      </w:pPr>
      <w:r>
        <w:rPr>
          <w:noProof/>
        </w:rPr>
        <w:t>2.3</w:t>
      </w:r>
      <w:r>
        <w:rPr>
          <w:noProof/>
        </w:rPr>
        <w:tab/>
      </w:r>
      <w:r w:rsidR="00E9482D" w:rsidRPr="00B54957">
        <w:rPr>
          <w:noProof/>
        </w:rPr>
        <w:t>Zamýšlený akt během zasedání Konference ministrů WTO a důvod a cíl návrhu</w:t>
      </w:r>
    </w:p>
    <w:p w14:paraId="297AE040" w14:textId="77777777" w:rsidR="00035A44" w:rsidRPr="00B54957" w:rsidRDefault="00FA3C53" w:rsidP="00AB5B99">
      <w:pPr>
        <w:rPr>
          <w:rFonts w:eastAsia="Arial Unicode MS"/>
          <w:noProof/>
        </w:rPr>
      </w:pPr>
      <w:r w:rsidRPr="00B54957">
        <w:rPr>
          <w:noProof/>
        </w:rPr>
        <w:t>Během 13. zasedání Konference ministrů WTO může být přijato rozhodnutí o přistoupení Komorského svazu (Komory) k WTO.</w:t>
      </w:r>
    </w:p>
    <w:p w14:paraId="69F9B4EA" w14:textId="77777777" w:rsidR="00FA3C53" w:rsidRPr="00B54957" w:rsidRDefault="00FA3C53" w:rsidP="00FA3C53">
      <w:pPr>
        <w:rPr>
          <w:rFonts w:eastAsia="Arial Unicode MS"/>
          <w:noProof/>
        </w:rPr>
      </w:pPr>
      <w:r w:rsidRPr="00B54957">
        <w:rPr>
          <w:noProof/>
        </w:rPr>
        <w:t xml:space="preserve">Členové WTO a Komor dospěli do závěrečné fáze dohody o podmínkách přistoupení Komor k této organizaci. Dochází k tomu po několika letech jednání, která začala, když Komory v roce 2007 podaly žádost o přistoupení k WTO. </w:t>
      </w:r>
    </w:p>
    <w:p w14:paraId="2B9E61A8" w14:textId="77777777" w:rsidR="00FA3C53" w:rsidRPr="00B54957" w:rsidRDefault="00FA3C53" w:rsidP="00FA3C53">
      <w:pPr>
        <w:rPr>
          <w:rFonts w:eastAsia="Arial Unicode MS"/>
          <w:noProof/>
        </w:rPr>
      </w:pPr>
      <w:r w:rsidRPr="00B54957">
        <w:rPr>
          <w:noProof/>
        </w:rPr>
        <w:t>Komise předkládá podmínky pro přistoupení Komor k WTO ke schválení Radě, neboť se domnívá, že tyto podmínky představují vyvážený a ambiciózní balíček závazků týkajících se otevření trhu, což přinese značné výhody Komorám i jejich obchodním partnerům v rámci WTO. Žádost Komor o přistoupení byla posouzena v souladu s pokyny stanovenými Generální radou WTO pro přistoupení nejméně rozvinutých zemí.</w:t>
      </w:r>
    </w:p>
    <w:p w14:paraId="76152C0A" w14:textId="0255C5D8" w:rsidR="005E56F2" w:rsidRPr="00B54957" w:rsidRDefault="004D3D93" w:rsidP="004D3D93">
      <w:pPr>
        <w:pStyle w:val="ManualHeading2"/>
        <w:rPr>
          <w:noProof/>
        </w:rPr>
      </w:pPr>
      <w:r>
        <w:rPr>
          <w:noProof/>
        </w:rPr>
        <w:t>2.4</w:t>
      </w:r>
      <w:r>
        <w:rPr>
          <w:noProof/>
        </w:rPr>
        <w:tab/>
      </w:r>
      <w:r w:rsidR="005E56F2" w:rsidRPr="00B54957">
        <w:rPr>
          <w:noProof/>
        </w:rPr>
        <w:t>Soulad s platnými předpisy v této oblasti politiky</w:t>
      </w:r>
    </w:p>
    <w:p w14:paraId="25477CD0" w14:textId="77777777" w:rsidR="005E56F2" w:rsidRPr="00B54957" w:rsidRDefault="005E56F2" w:rsidP="005E56F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B54957">
        <w:rPr>
          <w:noProof/>
        </w:rPr>
        <w:t xml:space="preserve">Multilateralismus je středobodem obchodní politiky Unie a EU přistoupení třetích zemí k WTO za řádných podmínek podporuje. </w:t>
      </w:r>
    </w:p>
    <w:p w14:paraId="428BF0BC" w14:textId="16188FCA" w:rsidR="005E56F2" w:rsidRPr="00B54957" w:rsidRDefault="004D3D93" w:rsidP="004D3D93">
      <w:pPr>
        <w:pStyle w:val="ManualHeading2"/>
        <w:rPr>
          <w:noProof/>
        </w:rPr>
      </w:pPr>
      <w:r>
        <w:rPr>
          <w:noProof/>
        </w:rPr>
        <w:t>2.5</w:t>
      </w:r>
      <w:r>
        <w:rPr>
          <w:noProof/>
        </w:rPr>
        <w:tab/>
      </w:r>
      <w:r w:rsidR="005E56F2" w:rsidRPr="00B54957">
        <w:rPr>
          <w:noProof/>
        </w:rPr>
        <w:t>Soulad s ostatními politikami Unie</w:t>
      </w:r>
    </w:p>
    <w:p w14:paraId="0D9F267B" w14:textId="77777777" w:rsidR="005E56F2" w:rsidRPr="00B54957" w:rsidRDefault="005E56F2" w:rsidP="005E56F2">
      <w:pPr>
        <w:rPr>
          <w:rFonts w:eastAsia="Arial Unicode MS"/>
          <w:noProof/>
          <w:szCs w:val="24"/>
        </w:rPr>
      </w:pPr>
      <w:r w:rsidRPr="00B54957">
        <w:rPr>
          <w:noProof/>
        </w:rPr>
        <w:t xml:space="preserve">V souladu s vnější činností a rozvojovou politikou EU zakotví návrh Komory v mnohostranném obchodním systému v souladu s pokyny stanovenými Generální radou WTO o přistoupení nejméně rozvinutých zemí a s přihlédnutím k celkovým dvoustranným obchodním vztahům s Komorami v rámci partnerství EU-AKT. </w:t>
      </w:r>
    </w:p>
    <w:p w14:paraId="2D93E96B" w14:textId="0BEAD401" w:rsidR="00E9482D" w:rsidRPr="00B54957" w:rsidRDefault="009C76AE" w:rsidP="009C76AE">
      <w:pPr>
        <w:pStyle w:val="ManualHeading1"/>
        <w:rPr>
          <w:rFonts w:eastAsia="Arial Unicode MS"/>
          <w:noProof/>
        </w:rPr>
      </w:pPr>
      <w:r w:rsidRPr="009C76AE">
        <w:t>3.</w:t>
      </w:r>
      <w:r w:rsidRPr="009C76AE">
        <w:tab/>
      </w:r>
      <w:r w:rsidR="00E9482D" w:rsidRPr="00B54957">
        <w:rPr>
          <w:noProof/>
        </w:rPr>
        <w:t>Postoj, který má být zaujat jménem Unie</w:t>
      </w:r>
    </w:p>
    <w:p w14:paraId="1E6E7235" w14:textId="77777777" w:rsidR="00FA34B0" w:rsidRPr="00B54957" w:rsidRDefault="00FA34B0" w:rsidP="00FA34B0">
      <w:pPr>
        <w:rPr>
          <w:b/>
          <w:bCs/>
          <w:noProof/>
        </w:rPr>
      </w:pPr>
      <w:r w:rsidRPr="00B54957">
        <w:rPr>
          <w:b/>
          <w:noProof/>
        </w:rPr>
        <w:t>Obecné poznámky</w:t>
      </w:r>
    </w:p>
    <w:p w14:paraId="0E2027E9" w14:textId="77777777" w:rsidR="00973E07" w:rsidRPr="00B54957" w:rsidRDefault="00973E07" w:rsidP="00973E07">
      <w:pPr>
        <w:rPr>
          <w:noProof/>
        </w:rPr>
      </w:pPr>
      <w:r w:rsidRPr="00B54957">
        <w:rPr>
          <w:noProof/>
        </w:rPr>
        <w:t xml:space="preserve">Cílem tohoto návrhu je umožnit EU připojit se k možnému konsensu v rámci WTO ohledně přijetí zamýšleného aktu na Konferenci ministrů spočívajícího v rozhodnutí ohledně přistoupení Komor k WTO. </w:t>
      </w:r>
    </w:p>
    <w:p w14:paraId="02A7C228" w14:textId="77777777" w:rsidR="00973E07" w:rsidRPr="00B54957" w:rsidRDefault="00973E07" w:rsidP="00845BC1">
      <w:pPr>
        <w:rPr>
          <w:noProof/>
        </w:rPr>
      </w:pPr>
      <w:r w:rsidRPr="00B54957">
        <w:rPr>
          <w:noProof/>
        </w:rPr>
        <w:t>Ačkoli dosud není jasné, do jaké míry a zda vůbec budou členové WTO schopni dosáhnout konsensu ohledně zamýšleného aktu, postoj EU na 13. zasedání Konference ministrů musí být předem stanoven Radou podle čl. 218 odst. 9 Smlouvy o fungování EU</w:t>
      </w:r>
      <w:r w:rsidRPr="00B54957">
        <w:rPr>
          <w:rStyle w:val="FootnoteReference"/>
          <w:noProof/>
        </w:rPr>
        <w:footnoteReference w:id="2"/>
      </w:r>
      <w:r w:rsidRPr="00B54957">
        <w:rPr>
          <w:noProof/>
        </w:rPr>
        <w:t xml:space="preserve">. </w:t>
      </w:r>
    </w:p>
    <w:p w14:paraId="78D027F5" w14:textId="77777777" w:rsidR="002459BA" w:rsidRPr="00B54957" w:rsidRDefault="002B1EA4" w:rsidP="002459BA">
      <w:pPr>
        <w:rPr>
          <w:noProof/>
        </w:rPr>
      </w:pPr>
      <w:r w:rsidRPr="00B54957">
        <w:rPr>
          <w:noProof/>
        </w:rPr>
        <w:t>Stávající návrh se týká možného rozhodnutí na 13. zasedání Konference ministrů ohledně přistoupení Komor k WTO.</w:t>
      </w:r>
    </w:p>
    <w:p w14:paraId="6499E162" w14:textId="77777777" w:rsidR="005C6877" w:rsidRPr="00B54957" w:rsidRDefault="005C6877" w:rsidP="002459BA">
      <w:pPr>
        <w:rPr>
          <w:noProof/>
        </w:rPr>
      </w:pPr>
      <w:bookmarkStart w:id="2" w:name="_Hlk146532944"/>
      <w:r w:rsidRPr="00B54957">
        <w:rPr>
          <w:noProof/>
        </w:rPr>
        <w:t>Vláda Komorského svazu požádala o přistoupení k WTO dne 12. března 2007. Dne 9. října 2007 byla zřízena pracovní skupina pro přistoupení Komorského svazu. Deváté zasedání pracovní skupiny se konalo dne 5. října 2023. Mnohostranná jednání o dalších oblastech souvisejících s obchodem stále probíhají. V roce 2022 Komise jménem EU dokončila dvoustranná jednání o komplexní řadě závazků Komorského svazu týkajících se otevření trhu. Očekává se, že přistoupení k WTO bude pozitivním a trvalým přínosem pro proces hospodářské reformy a udržitelného rozvoje v Komorském svazu. EU by měla přistoupení Komor podpořit.</w:t>
      </w:r>
    </w:p>
    <w:bookmarkEnd w:id="2"/>
    <w:p w14:paraId="7E68556C" w14:textId="77777777" w:rsidR="00EF15E4" w:rsidRPr="00B54957" w:rsidRDefault="00BD08C1" w:rsidP="002B1EA4">
      <w:pPr>
        <w:rPr>
          <w:noProof/>
        </w:rPr>
      </w:pPr>
      <w:r w:rsidRPr="00B54957">
        <w:rPr>
          <w:noProof/>
        </w:rPr>
        <w:t xml:space="preserve">Jelikož jednání právě probíhají, Komise očekává, že Rada rozhodne o postoji EU k výsledku jednání, jakmile se situace týkající se příslušných textů buď na začátku nebo během samotného zasedání Konference ministrů vyjasní. </w:t>
      </w:r>
    </w:p>
    <w:p w14:paraId="03A214DD" w14:textId="77777777" w:rsidR="002B1EA4" w:rsidRPr="00B54957" w:rsidRDefault="002B1EA4" w:rsidP="00973E07">
      <w:pPr>
        <w:rPr>
          <w:noProof/>
        </w:rPr>
      </w:pPr>
      <w:r w:rsidRPr="00B54957">
        <w:rPr>
          <w:noProof/>
        </w:rPr>
        <w:t>Tato iniciativa je plně v souladu s platnými předpisy. Podobná rozhodnutí byla vypracována pro předchozí konference ministrů WTO, včetně nedávné 10. konference ministrů WTO v roce 2015</w:t>
      </w:r>
      <w:r w:rsidR="004260C2" w:rsidRPr="00B54957">
        <w:rPr>
          <w:rStyle w:val="FootnoteReference"/>
          <w:noProof/>
        </w:rPr>
        <w:footnoteReference w:id="3"/>
      </w:r>
      <w:r w:rsidRPr="00B54957">
        <w:rPr>
          <w:noProof/>
        </w:rPr>
        <w:t xml:space="preserve">. </w:t>
      </w:r>
    </w:p>
    <w:p w14:paraId="7C0702E0" w14:textId="77777777" w:rsidR="0099361C" w:rsidRPr="00B54957" w:rsidRDefault="0099361C" w:rsidP="0099361C">
      <w:pPr>
        <w:rPr>
          <w:b/>
          <w:bCs/>
          <w:noProof/>
        </w:rPr>
      </w:pPr>
      <w:r w:rsidRPr="00B54957">
        <w:rPr>
          <w:b/>
          <w:noProof/>
        </w:rPr>
        <w:t>Shrnutí podmínek přistoupení k WTO</w:t>
      </w:r>
    </w:p>
    <w:p w14:paraId="34064C1A" w14:textId="77777777" w:rsidR="0099361C" w:rsidRPr="00B54957" w:rsidRDefault="0099361C" w:rsidP="0099361C">
      <w:pPr>
        <w:rPr>
          <w:b/>
          <w:bCs/>
          <w:i/>
          <w:iCs/>
          <w:noProof/>
        </w:rPr>
      </w:pPr>
      <w:r w:rsidRPr="00B54957">
        <w:rPr>
          <w:b/>
          <w:i/>
          <w:noProof/>
        </w:rPr>
        <w:t>Přehled závazků: zboží a služby</w:t>
      </w:r>
    </w:p>
    <w:p w14:paraId="70A25DAE" w14:textId="77777777" w:rsidR="0099361C" w:rsidRPr="00B54957" w:rsidRDefault="007111B9" w:rsidP="0099361C">
      <w:pPr>
        <w:rPr>
          <w:b/>
          <w:bCs/>
          <w:i/>
          <w:iCs/>
          <w:noProof/>
        </w:rPr>
      </w:pPr>
      <w:r w:rsidRPr="00B54957">
        <w:rPr>
          <w:b/>
          <w:i/>
          <w:noProof/>
        </w:rPr>
        <w:t xml:space="preserve">Sazby pro zboží </w:t>
      </w:r>
    </w:p>
    <w:p w14:paraId="1FF0CD0E" w14:textId="77777777" w:rsidR="00EF1DFA" w:rsidRPr="00B54957" w:rsidRDefault="008D712A" w:rsidP="0099361C">
      <w:pPr>
        <w:rPr>
          <w:noProof/>
        </w:rPr>
      </w:pPr>
      <w:r w:rsidRPr="00B54957">
        <w:rPr>
          <w:noProof/>
        </w:rPr>
        <w:t xml:space="preserve">Celní sazebník Komor sestává z 6 694 celních položek. Komory vážou 100 % svého souboru závazků. Všechna cla jsou valorická, s výjimkou čtyř celních položek pro rýži. Komory budou uplatňovat konečné vázané celní sazby ode dne přistoupení. </w:t>
      </w:r>
    </w:p>
    <w:p w14:paraId="73F75AD7" w14:textId="77777777" w:rsidR="006C2D47" w:rsidRPr="00B54957" w:rsidRDefault="00FB0E33" w:rsidP="00476BB9">
      <w:pPr>
        <w:pStyle w:val="Bullet0"/>
        <w:numPr>
          <w:ilvl w:val="0"/>
          <w:numId w:val="11"/>
        </w:numPr>
        <w:rPr>
          <w:noProof/>
        </w:rPr>
      </w:pPr>
      <w:r w:rsidRPr="00B54957">
        <w:rPr>
          <w:noProof/>
        </w:rPr>
        <w:t>Průmyslové zboží: průměrná konečná vázaná sazba pro nezemědělské produkty činí 19,3 %.</w:t>
      </w:r>
    </w:p>
    <w:p w14:paraId="7364D241" w14:textId="77777777" w:rsidR="006C2D47" w:rsidRPr="00B54957" w:rsidRDefault="00FB0E33" w:rsidP="004D7493">
      <w:pPr>
        <w:pStyle w:val="Bullet0"/>
        <w:rPr>
          <w:noProof/>
        </w:rPr>
      </w:pPr>
      <w:r w:rsidRPr="00B54957">
        <w:rPr>
          <w:noProof/>
        </w:rPr>
        <w:t>Zemědělské produkty: průměrná konečná vázaná sazba pro zemědělské produkty činí 23,6 % (</w:t>
      </w:r>
      <w:bookmarkStart w:id="3" w:name="_Hlk151050759"/>
      <w:r w:rsidRPr="00B54957">
        <w:rPr>
          <w:noProof/>
        </w:rPr>
        <w:t>nejvyšší celní sazby činí 32 % u piva, vína a alkoholických nápojů).</w:t>
      </w:r>
      <w:bookmarkEnd w:id="3"/>
    </w:p>
    <w:p w14:paraId="7DE2F408" w14:textId="77777777" w:rsidR="00EF1DFA" w:rsidRPr="00B54957" w:rsidRDefault="009D76A9" w:rsidP="0099361C">
      <w:pPr>
        <w:rPr>
          <w:noProof/>
        </w:rPr>
      </w:pPr>
      <w:r w:rsidRPr="00B54957">
        <w:rPr>
          <w:noProof/>
        </w:rPr>
        <w:t xml:space="preserve">Tyto průměrné úrovně cel jsou pro nejméně rozvinuté země velmi ambiciózní, zejména s ohledem na malou velikost a zranitelnost hospodářství Komor. </w:t>
      </w:r>
    </w:p>
    <w:p w14:paraId="06B8D0D2" w14:textId="77777777" w:rsidR="0099361C" w:rsidRPr="00B54957" w:rsidRDefault="0099361C" w:rsidP="0099361C">
      <w:pPr>
        <w:rPr>
          <w:b/>
          <w:bCs/>
          <w:i/>
          <w:iCs/>
          <w:noProof/>
        </w:rPr>
      </w:pPr>
      <w:r w:rsidRPr="00B54957">
        <w:rPr>
          <w:b/>
          <w:i/>
          <w:noProof/>
        </w:rPr>
        <w:t>Služby</w:t>
      </w:r>
    </w:p>
    <w:p w14:paraId="7B2FA9C7" w14:textId="77777777" w:rsidR="00FA34B0" w:rsidRPr="00B54957" w:rsidRDefault="009F6C15" w:rsidP="00973E07">
      <w:pPr>
        <w:rPr>
          <w:noProof/>
        </w:rPr>
      </w:pPr>
      <w:r w:rsidRPr="00B54957">
        <w:rPr>
          <w:noProof/>
        </w:rPr>
        <w:t>Soubor specifických závazků Komor v oblasti služeb je vzhledem ke statusu nejméně rozvinutých zemí velmi komplexní a ambiciózní. Komory přijmou závazky týkající se přístupu na trh a národního zacházení v široké škále odvětví služeb, včetně odborných, počítačových a jiných podnikatelských služeb, komunikačních služeb, stavebních služeb, distribučních služeb, vzdělávacích služeb, environmentálních služeb, finančních služeb (pojišťovnictví a bankovnictví), zdravotních a sociálních služeb, služeb cestovního ruchu a cestovních služeb, dopravních služeb (námořních služeb, letecké dopravy a pomocných služeb) a energetických služeb.</w:t>
      </w:r>
    </w:p>
    <w:p w14:paraId="6E913EE9" w14:textId="5535CC48" w:rsidR="00E9482D" w:rsidRPr="00B54957" w:rsidRDefault="009C76AE" w:rsidP="009C76AE">
      <w:pPr>
        <w:pStyle w:val="ManualHeading1"/>
        <w:rPr>
          <w:noProof/>
        </w:rPr>
      </w:pPr>
      <w:r w:rsidRPr="009C76AE">
        <w:t>4.</w:t>
      </w:r>
      <w:r w:rsidRPr="009C76AE">
        <w:tab/>
      </w:r>
      <w:r w:rsidR="00E9482D" w:rsidRPr="00B54957">
        <w:rPr>
          <w:noProof/>
        </w:rPr>
        <w:t>Právní základ</w:t>
      </w:r>
    </w:p>
    <w:p w14:paraId="55276827" w14:textId="7CE44AAD" w:rsidR="00E9482D" w:rsidRPr="00B54957" w:rsidRDefault="00CA3F4E" w:rsidP="00CA3F4E">
      <w:pPr>
        <w:pStyle w:val="ManualHeading2"/>
        <w:rPr>
          <w:noProof/>
        </w:rPr>
      </w:pPr>
      <w:r>
        <w:rPr>
          <w:noProof/>
        </w:rPr>
        <w:t>4.1</w:t>
      </w:r>
      <w:r>
        <w:rPr>
          <w:noProof/>
        </w:rPr>
        <w:tab/>
      </w:r>
      <w:r w:rsidR="00E9482D" w:rsidRPr="00B54957">
        <w:rPr>
          <w:noProof/>
        </w:rPr>
        <w:t>Procesněprávní základ</w:t>
      </w:r>
    </w:p>
    <w:p w14:paraId="63D39594" w14:textId="21D12936" w:rsidR="00E9482D" w:rsidRPr="00B54957" w:rsidRDefault="00CA3F4E" w:rsidP="00CA3F4E">
      <w:pPr>
        <w:pStyle w:val="ManualHeading3"/>
        <w:rPr>
          <w:noProof/>
        </w:rPr>
      </w:pPr>
      <w:r>
        <w:rPr>
          <w:noProof/>
        </w:rPr>
        <w:t>4.1.1</w:t>
      </w:r>
      <w:r>
        <w:rPr>
          <w:noProof/>
        </w:rPr>
        <w:tab/>
      </w:r>
      <w:r w:rsidR="00E9482D" w:rsidRPr="00B54957">
        <w:rPr>
          <w:noProof/>
        </w:rPr>
        <w:t>Zásady</w:t>
      </w:r>
    </w:p>
    <w:p w14:paraId="471E40CE" w14:textId="77777777" w:rsidR="00E9482D" w:rsidRPr="00B54957" w:rsidRDefault="00E9482D" w:rsidP="00AB5B99">
      <w:pPr>
        <w:rPr>
          <w:noProof/>
        </w:rPr>
      </w:pPr>
      <w:r w:rsidRPr="00B54957">
        <w:rPr>
          <w:noProof/>
        </w:rPr>
        <w:t>Ustanovení čl. 218 odst. 9 Smlouvy o fungování Evropské unie zavádí rozhodnutí, kterými se stanoví „</w:t>
      </w:r>
      <w:r w:rsidRPr="00B54957">
        <w:rPr>
          <w:i/>
          <w:noProof/>
        </w:rPr>
        <w:t>postoje, které mají být jménem Unie zaujaty v orgánu zřízeném dohodou, má-li tento orgán přijímat akty s právními účinky, s výjimkou aktů, které doplňují nebo pozměňují institucionální rámec dohody</w:t>
      </w:r>
      <w:r w:rsidRPr="00B54957">
        <w:rPr>
          <w:noProof/>
        </w:rPr>
        <w:t>“.</w:t>
      </w:r>
    </w:p>
    <w:p w14:paraId="6EA90A35" w14:textId="77777777" w:rsidR="00E9482D" w:rsidRPr="00B54957" w:rsidRDefault="00E9482D" w:rsidP="00AB5B99">
      <w:pPr>
        <w:rPr>
          <w:noProof/>
        </w:rPr>
      </w:pPr>
      <w:r w:rsidRPr="00B54957">
        <w:rPr>
          <w:noProof/>
        </w:rPr>
        <w:t>Pojem „</w:t>
      </w:r>
      <w:r w:rsidRPr="00B54957">
        <w:rPr>
          <w:i/>
          <w:noProof/>
        </w:rPr>
        <w:t>akty s právními účinky</w:t>
      </w:r>
      <w:r w:rsidRPr="00B54957">
        <w:rPr>
          <w:noProof/>
        </w:rPr>
        <w:t>“ zahrnuje akty, které mají právní účinky na základě pravidel mezinárodního práva, jimiž se dotyčný orgán řídí. Zahrnuje rovněž nástroje, které podle mezinárodního práva nemají závazný účinek, ale „</w:t>
      </w:r>
      <w:r w:rsidRPr="00B54957">
        <w:rPr>
          <w:i/>
          <w:noProof/>
        </w:rPr>
        <w:t>mohou rozhodujícím způsobem ovlivnit obsah právní úpravy přijaté zákonodárcem Unie</w:t>
      </w:r>
      <w:r w:rsidRPr="00B54957">
        <w:rPr>
          <w:noProof/>
        </w:rPr>
        <w:t>“</w:t>
      </w:r>
      <w:r w:rsidRPr="00B54957">
        <w:rPr>
          <w:rStyle w:val="FootnoteReference"/>
          <w:noProof/>
        </w:rPr>
        <w:footnoteReference w:id="4"/>
      </w:r>
      <w:r w:rsidRPr="00B54957">
        <w:rPr>
          <w:noProof/>
        </w:rPr>
        <w:t>.</w:t>
      </w:r>
    </w:p>
    <w:p w14:paraId="65F97841" w14:textId="78177416" w:rsidR="00E9482D" w:rsidRPr="00B54957" w:rsidRDefault="00CA3F4E" w:rsidP="00CA3F4E">
      <w:pPr>
        <w:pStyle w:val="ManualHeading3"/>
        <w:rPr>
          <w:noProof/>
        </w:rPr>
      </w:pPr>
      <w:r>
        <w:rPr>
          <w:noProof/>
        </w:rPr>
        <w:t>4.1.2</w:t>
      </w:r>
      <w:r>
        <w:rPr>
          <w:noProof/>
        </w:rPr>
        <w:tab/>
      </w:r>
      <w:r w:rsidR="00E9482D" w:rsidRPr="00B54957">
        <w:rPr>
          <w:noProof/>
        </w:rPr>
        <w:t>Uplatnění v tomto konkrétním případě</w:t>
      </w:r>
    </w:p>
    <w:p w14:paraId="2E87501F" w14:textId="77777777" w:rsidR="002B27C5" w:rsidRPr="00B54957" w:rsidRDefault="00BD5F94" w:rsidP="002B27C5">
      <w:pPr>
        <w:rPr>
          <w:noProof/>
        </w:rPr>
      </w:pPr>
      <w:r w:rsidRPr="00B54957">
        <w:rPr>
          <w:noProof/>
        </w:rPr>
        <w:t>Konference ministrů WTO je orgán zřízený na základě dohody, konkrétně Dohody o WTO, který je podle čl. IV odst. 1 Dohody o WTO oprávněn přijímat rozhodnutí ve všech otázkách vztahujících se ke všem mnohostranným obchodním dohodám, včetně rozhodnutí s právními účinky.</w:t>
      </w:r>
    </w:p>
    <w:p w14:paraId="18198E6E" w14:textId="77777777" w:rsidR="002B27C5" w:rsidRPr="00B54957" w:rsidRDefault="002B27C5" w:rsidP="002B27C5">
      <w:pPr>
        <w:rPr>
          <w:noProof/>
        </w:rPr>
      </w:pPr>
      <w:r w:rsidRPr="00B54957">
        <w:rPr>
          <w:noProof/>
        </w:rPr>
        <w:t>Výše uvedené zamýšlené akty představují akty s právními účinky, jelikož mohou ovlivnit práva a povinnosti Unie na základě mezinárodního práva.</w:t>
      </w:r>
    </w:p>
    <w:p w14:paraId="2779CB48" w14:textId="77777777" w:rsidR="00E9482D" w:rsidRPr="00B54957" w:rsidRDefault="00E9482D" w:rsidP="002B27C5">
      <w:pPr>
        <w:rPr>
          <w:noProof/>
          <w:color w:val="000000" w:themeColor="text1"/>
        </w:rPr>
      </w:pPr>
      <w:r w:rsidRPr="00B54957">
        <w:rPr>
          <w:noProof/>
          <w:color w:val="000000" w:themeColor="text1"/>
        </w:rPr>
        <w:t>Zamýšlené akty nedoplňují ani nepozměňují institucionální rámec dohody.</w:t>
      </w:r>
    </w:p>
    <w:p w14:paraId="06786147" w14:textId="77777777" w:rsidR="00E9482D" w:rsidRPr="00B54957" w:rsidRDefault="00E9482D" w:rsidP="00AB5B99">
      <w:pPr>
        <w:rPr>
          <w:noProof/>
          <w:color w:val="000000" w:themeColor="text1"/>
        </w:rPr>
      </w:pPr>
      <w:r w:rsidRPr="00B54957">
        <w:rPr>
          <w:noProof/>
          <w:color w:val="000000" w:themeColor="text1"/>
        </w:rPr>
        <w:t>Procesněprávním základem navrhovaného rozhodnutí je tudíž čl. 218 odst. 9 SFEU.</w:t>
      </w:r>
    </w:p>
    <w:p w14:paraId="53388548" w14:textId="06AC3001" w:rsidR="00E9482D" w:rsidRPr="00B54957" w:rsidRDefault="00CA3F4E" w:rsidP="00CA3F4E">
      <w:pPr>
        <w:pStyle w:val="ManualHeading2"/>
        <w:rPr>
          <w:noProof/>
        </w:rPr>
      </w:pPr>
      <w:r>
        <w:rPr>
          <w:noProof/>
        </w:rPr>
        <w:t>4.2</w:t>
      </w:r>
      <w:r>
        <w:rPr>
          <w:noProof/>
        </w:rPr>
        <w:tab/>
      </w:r>
      <w:r w:rsidR="00E9482D" w:rsidRPr="00B54957">
        <w:rPr>
          <w:noProof/>
        </w:rPr>
        <w:t>Hmotněprávní základ</w:t>
      </w:r>
    </w:p>
    <w:p w14:paraId="3A5E069B" w14:textId="427F3761" w:rsidR="00E9482D" w:rsidRPr="00B54957" w:rsidRDefault="00CA3F4E" w:rsidP="00CA3F4E">
      <w:pPr>
        <w:pStyle w:val="ManualHeading3"/>
        <w:rPr>
          <w:noProof/>
        </w:rPr>
      </w:pPr>
      <w:r>
        <w:rPr>
          <w:noProof/>
        </w:rPr>
        <w:t>4.2.1</w:t>
      </w:r>
      <w:r>
        <w:rPr>
          <w:noProof/>
        </w:rPr>
        <w:tab/>
      </w:r>
      <w:r w:rsidR="00E9482D" w:rsidRPr="00B54957">
        <w:rPr>
          <w:noProof/>
        </w:rPr>
        <w:t>Zásady</w:t>
      </w:r>
    </w:p>
    <w:p w14:paraId="44302DEB" w14:textId="77777777" w:rsidR="00E9482D" w:rsidRPr="00B54957" w:rsidRDefault="00E9482D" w:rsidP="00AB5B99">
      <w:pPr>
        <w:rPr>
          <w:noProof/>
          <w:color w:val="000000" w:themeColor="text1"/>
        </w:rPr>
      </w:pPr>
      <w:r w:rsidRPr="00B54957">
        <w:rPr>
          <w:noProof/>
          <w:color w:val="000000" w:themeColor="text1"/>
        </w:rPr>
        <w:t>Hmotněprávní základ rozhodnutí podle čl. 218 odst. 9 Smlouvy o fungování EU závisí především na cíli a obsahu zamýšleného aktu, v souvislosti s nímž se postoj jménem Unie zaujímá. Má-li zamýšlený akt dvojí účel nebo má-li dvě složky a lze-li jeden z těchto účelů nebo jednu z těchto složek označit jako hlavní, zatímco druhý účel či druhá složka je pouze vedlejší, musí být rozhodnutí přijaté na základě čl. 218 odst. 9 Smlouvy o fungování EU založeno na jediném hmotněprávním základě, a sice na tom, který si žádá hlavní nebo převažující účel či složka.</w:t>
      </w:r>
    </w:p>
    <w:p w14:paraId="075E6066" w14:textId="6985F580" w:rsidR="00E9482D" w:rsidRPr="00B54957" w:rsidRDefault="00CA3F4E" w:rsidP="00CA3F4E">
      <w:pPr>
        <w:pStyle w:val="ManualHeading3"/>
        <w:rPr>
          <w:noProof/>
        </w:rPr>
      </w:pPr>
      <w:r>
        <w:rPr>
          <w:noProof/>
        </w:rPr>
        <w:t>4.2.2</w:t>
      </w:r>
      <w:r>
        <w:rPr>
          <w:noProof/>
        </w:rPr>
        <w:tab/>
      </w:r>
      <w:r w:rsidR="00E9482D" w:rsidRPr="00B54957">
        <w:rPr>
          <w:noProof/>
        </w:rPr>
        <w:t>Uplatnění v tomto konkrétním případě</w:t>
      </w:r>
    </w:p>
    <w:p w14:paraId="4AA4DC3B" w14:textId="77777777" w:rsidR="002B27C5" w:rsidRPr="00B54957" w:rsidRDefault="002B27C5" w:rsidP="002B27C5">
      <w:pPr>
        <w:rPr>
          <w:noProof/>
        </w:rPr>
      </w:pPr>
      <w:r w:rsidRPr="00B54957">
        <w:rPr>
          <w:noProof/>
        </w:rPr>
        <w:t>Hlavní cíl a obsah zamýšleného aktu se týkají společné obchodní politiky.</w:t>
      </w:r>
    </w:p>
    <w:p w14:paraId="31A19F99" w14:textId="77777777" w:rsidR="002B27C5" w:rsidRPr="00B54957" w:rsidRDefault="002B27C5" w:rsidP="002B27C5">
      <w:pPr>
        <w:rPr>
          <w:noProof/>
        </w:rPr>
      </w:pPr>
      <w:r w:rsidRPr="00B54957">
        <w:rPr>
          <w:noProof/>
        </w:rPr>
        <w:t>Hmotněprávním základem navrhovaného rozhodnutí je tudíž článek 207 SFEU.</w:t>
      </w:r>
    </w:p>
    <w:p w14:paraId="20747418" w14:textId="3D28E4C9" w:rsidR="00E9482D" w:rsidRPr="00B54957" w:rsidRDefault="00CA3F4E" w:rsidP="00CA3F4E">
      <w:pPr>
        <w:pStyle w:val="ManualHeading2"/>
        <w:rPr>
          <w:noProof/>
        </w:rPr>
      </w:pPr>
      <w:r>
        <w:rPr>
          <w:noProof/>
        </w:rPr>
        <w:t>4.3</w:t>
      </w:r>
      <w:r>
        <w:rPr>
          <w:noProof/>
        </w:rPr>
        <w:tab/>
      </w:r>
      <w:r w:rsidR="00E9482D" w:rsidRPr="00B54957">
        <w:rPr>
          <w:noProof/>
        </w:rPr>
        <w:t>Závěr</w:t>
      </w:r>
    </w:p>
    <w:p w14:paraId="2E968972" w14:textId="77777777" w:rsidR="00E9482D" w:rsidRPr="00B54957" w:rsidRDefault="00E9482D" w:rsidP="00AB5B99">
      <w:pPr>
        <w:rPr>
          <w:noProof/>
          <w:color w:val="000000" w:themeColor="text1"/>
        </w:rPr>
      </w:pPr>
      <w:r w:rsidRPr="00B54957">
        <w:rPr>
          <w:noProof/>
        </w:rPr>
        <w:t>Právním základem navrhovaného rozhodnutí by měl být článek 207 Smlouvy o fungování EU ve spojení s čl. 218 odst. 9 Smlouvy o fungování EU.</w:t>
      </w:r>
    </w:p>
    <w:p w14:paraId="6023B440" w14:textId="77777777" w:rsidR="00E9482D" w:rsidRPr="00B54957" w:rsidRDefault="00E9482D" w:rsidP="00AB5B99">
      <w:pPr>
        <w:rPr>
          <w:noProof/>
        </w:rPr>
        <w:sectPr w:rsidR="00E9482D" w:rsidRPr="00B54957" w:rsidSect="001345B1">
          <w:footerReference w:type="default" r:id="rId10"/>
          <w:footerReference w:type="first" r:id="rId11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3A9AB758" w14:textId="3065FAAC" w:rsidR="00604B69" w:rsidRDefault="00604B69" w:rsidP="00604B69">
      <w:pPr>
        <w:pStyle w:val="Rfrenceinterinstitutionnelle"/>
        <w:rPr>
          <w:noProof/>
        </w:rPr>
      </w:pPr>
      <w:r w:rsidRPr="00604B69">
        <w:t>2023/0457 (NLE)</w:t>
      </w:r>
    </w:p>
    <w:p w14:paraId="54C6F349" w14:textId="7B02EF13" w:rsidR="00E9482D" w:rsidRPr="00B54957" w:rsidRDefault="00164280" w:rsidP="00164280">
      <w:pPr>
        <w:pStyle w:val="Statut"/>
        <w:rPr>
          <w:noProof/>
        </w:rPr>
      </w:pPr>
      <w:r w:rsidRPr="00164280">
        <w:rPr>
          <w:noProof/>
        </w:rPr>
        <w:t>Návrh</w:t>
      </w:r>
    </w:p>
    <w:p w14:paraId="6F7010E8" w14:textId="0D1CE1B6" w:rsidR="00E9482D" w:rsidRPr="00B54957" w:rsidRDefault="00164280" w:rsidP="00164280">
      <w:pPr>
        <w:pStyle w:val="Typedudocument"/>
        <w:rPr>
          <w:noProof/>
        </w:rPr>
      </w:pPr>
      <w:r w:rsidRPr="00164280">
        <w:rPr>
          <w:noProof/>
        </w:rPr>
        <w:t>ROZHODNUTÍ RADY</w:t>
      </w:r>
    </w:p>
    <w:p w14:paraId="394588DF" w14:textId="65C7671C" w:rsidR="00E9482D" w:rsidRPr="00B54957" w:rsidRDefault="00164280" w:rsidP="00164280">
      <w:pPr>
        <w:pStyle w:val="Titreobjet"/>
        <w:rPr>
          <w:noProof/>
        </w:rPr>
      </w:pPr>
      <w:r w:rsidRPr="00164280">
        <w:rPr>
          <w:noProof/>
        </w:rPr>
        <w:t>o postoji, který má být zaujat jménem Evropské unie na 13. zasedání Konference ministrů Světové obchodní organizace k přistoupení Komorského svazu k WTO</w:t>
      </w:r>
    </w:p>
    <w:p w14:paraId="3BA09EC4" w14:textId="77777777" w:rsidR="00E9482D" w:rsidRPr="00B54957" w:rsidRDefault="00E9482D" w:rsidP="00AB5B99">
      <w:pPr>
        <w:pStyle w:val="Institutionquiagit"/>
        <w:rPr>
          <w:bCs/>
          <w:noProof/>
        </w:rPr>
      </w:pPr>
      <w:r w:rsidRPr="00B54957">
        <w:rPr>
          <w:noProof/>
        </w:rPr>
        <w:t>RADA EVROPSKÉ UNIE,</w:t>
      </w:r>
    </w:p>
    <w:p w14:paraId="1BF7912F" w14:textId="77777777" w:rsidR="00E9482D" w:rsidRPr="00B54957" w:rsidRDefault="00E9482D" w:rsidP="00AB5B99">
      <w:pPr>
        <w:rPr>
          <w:noProof/>
        </w:rPr>
      </w:pPr>
      <w:r w:rsidRPr="00B54957">
        <w:rPr>
          <w:noProof/>
        </w:rPr>
        <w:t>s ohledem na Smlouvu o fungování Evropské unie, a zejména na čl. 207 odst. 4 první pododstavec ve spojení s čl. 218 odst. 9 této smlouvy,</w:t>
      </w:r>
    </w:p>
    <w:p w14:paraId="03897299" w14:textId="77777777" w:rsidR="00E9482D" w:rsidRPr="00B54957" w:rsidRDefault="00E9482D" w:rsidP="00AB5B99">
      <w:pPr>
        <w:rPr>
          <w:noProof/>
        </w:rPr>
      </w:pPr>
      <w:r w:rsidRPr="00B54957">
        <w:rPr>
          <w:noProof/>
        </w:rPr>
        <w:t>s ohledem na návrh Evropské komise,</w:t>
      </w:r>
    </w:p>
    <w:p w14:paraId="4AFE05BD" w14:textId="77777777" w:rsidR="00E9482D" w:rsidRPr="00B54957" w:rsidRDefault="00E9482D" w:rsidP="00AB5B99">
      <w:pPr>
        <w:rPr>
          <w:noProof/>
        </w:rPr>
      </w:pPr>
      <w:r w:rsidRPr="00B54957">
        <w:rPr>
          <w:noProof/>
        </w:rPr>
        <w:t>vzhledem k těmto důvodům:</w:t>
      </w:r>
    </w:p>
    <w:p w14:paraId="0E2EF94E" w14:textId="60667225" w:rsidR="00C25F51" w:rsidRPr="00B54957" w:rsidRDefault="009C76AE" w:rsidP="009C76AE">
      <w:pPr>
        <w:pStyle w:val="ManualConsidrant"/>
        <w:rPr>
          <w:noProof/>
        </w:rPr>
      </w:pPr>
      <w:r w:rsidRPr="009C76AE">
        <w:t>(1)</w:t>
      </w:r>
      <w:r w:rsidRPr="009C76AE">
        <w:tab/>
      </w:r>
      <w:r w:rsidR="00C25F51" w:rsidRPr="00B54957">
        <w:rPr>
          <w:noProof/>
        </w:rPr>
        <w:t>Dohodu z Marrákeše o zřízení Světové obchodní organizace (dále jen „Dohodu o WTO“) Unie uzavřela rozhodnutím Rady 94/800/ES ze dne 22. prosince 1994</w:t>
      </w:r>
      <w:r w:rsidR="00C25F51" w:rsidRPr="00B54957">
        <w:rPr>
          <w:rStyle w:val="FootnoteReference"/>
          <w:noProof/>
        </w:rPr>
        <w:footnoteReference w:id="5"/>
      </w:r>
      <w:r w:rsidR="00C25F51" w:rsidRPr="00B54957">
        <w:rPr>
          <w:noProof/>
        </w:rPr>
        <w:t xml:space="preserve"> a dohoda vstoupila v platnost dne 1. ledna 1995. </w:t>
      </w:r>
    </w:p>
    <w:p w14:paraId="3B1EF06A" w14:textId="5816090F" w:rsidR="00C25F51" w:rsidRPr="00B54957" w:rsidRDefault="009C76AE" w:rsidP="009C76AE">
      <w:pPr>
        <w:pStyle w:val="ManualConsidrant"/>
        <w:rPr>
          <w:noProof/>
        </w:rPr>
      </w:pPr>
      <w:r w:rsidRPr="009C76AE">
        <w:t>(2)</w:t>
      </w:r>
      <w:r w:rsidRPr="009C76AE">
        <w:tab/>
      </w:r>
      <w:r w:rsidR="00C25F51" w:rsidRPr="00B54957">
        <w:rPr>
          <w:noProof/>
        </w:rPr>
        <w:t>Podle čl. IV odst. 1 a čl. IX odst. 1 Dohody o WTO může Konference ministrů Světové obchodní organizace (dále jen „WTO“) přijímat rozhodnutí na základě konsensu.</w:t>
      </w:r>
    </w:p>
    <w:p w14:paraId="2CF9EC80" w14:textId="5F0B85BA" w:rsidR="00035A44" w:rsidRPr="00B54957" w:rsidRDefault="009C76AE" w:rsidP="009C76AE">
      <w:pPr>
        <w:pStyle w:val="ManualConsidrant"/>
        <w:rPr>
          <w:noProof/>
        </w:rPr>
      </w:pPr>
      <w:r w:rsidRPr="009C76AE">
        <w:t>(3)</w:t>
      </w:r>
      <w:r w:rsidRPr="009C76AE">
        <w:tab/>
      </w:r>
      <w:r w:rsidR="00C25F51" w:rsidRPr="00B54957">
        <w:rPr>
          <w:noProof/>
        </w:rPr>
        <w:t xml:space="preserve">Konference ministrů WTO může na svém 13. zasedání ve dnech 26.–29. února 2024 </w:t>
      </w:r>
      <w:bookmarkStart w:id="4" w:name="_Hlk150275218"/>
      <w:r w:rsidR="00C25F51" w:rsidRPr="00B54957">
        <w:rPr>
          <w:noProof/>
        </w:rPr>
        <w:t>přijmout rozhodnutí o přistoupení Komor k WTO</w:t>
      </w:r>
      <w:bookmarkEnd w:id="4"/>
      <w:r w:rsidR="00C25F51" w:rsidRPr="00B54957">
        <w:rPr>
          <w:noProof/>
        </w:rPr>
        <w:t>.</w:t>
      </w:r>
    </w:p>
    <w:p w14:paraId="0AF2A3C0" w14:textId="18891C33" w:rsidR="00E9482D" w:rsidRPr="00B54957" w:rsidRDefault="009C76AE" w:rsidP="009C76AE">
      <w:pPr>
        <w:pStyle w:val="ManualConsidrant"/>
        <w:rPr>
          <w:noProof/>
          <w:color w:val="000000" w:themeColor="text1"/>
        </w:rPr>
      </w:pPr>
      <w:r w:rsidRPr="009C76AE">
        <w:t>(4)</w:t>
      </w:r>
      <w:r w:rsidRPr="009C76AE">
        <w:tab/>
      </w:r>
      <w:r w:rsidR="00E9482D" w:rsidRPr="00B54957">
        <w:rPr>
          <w:noProof/>
        </w:rPr>
        <w:t>Je vhodné stanovit postoj, který má být zaujat jménem Unie na Konferenci ministrů WTO, neboť rozhodnutí jsou pro Unii závazná.</w:t>
      </w:r>
    </w:p>
    <w:p w14:paraId="1980A789" w14:textId="51CF4B50" w:rsidR="004C0B10" w:rsidRPr="00B54957" w:rsidRDefault="009C76AE" w:rsidP="009C76AE">
      <w:pPr>
        <w:pStyle w:val="ManualConsidrant"/>
        <w:rPr>
          <w:noProof/>
        </w:rPr>
      </w:pPr>
      <w:r w:rsidRPr="009C76AE">
        <w:t>(5)</w:t>
      </w:r>
      <w:r w:rsidRPr="009C76AE">
        <w:tab/>
      </w:r>
      <w:r w:rsidR="00E24447" w:rsidRPr="00B54957">
        <w:rPr>
          <w:noProof/>
        </w:rPr>
        <w:t>Jednání o přistoupení Komor k WTO byla zahájena v roce 2007. Pracovní skupina pro přistoupení Komorského svazu byla zřízena dne 9. října 2007. Deváté zasedání pracovní skupiny se konalo dne 5. října 2023. Mnohostranná jednání o dalších oblastech souvisejících s obchodem stále probíhají. V roce 2022 Komise jménem EU dokončila dvoustranná jednání o komplexní řadě závazků Komorského svazu týkajících se otevření trhu. Očekává se, že přistoupení k WTO bude pozitivním a trvalým přínosem pro proces hospodářské reformy a udržitelného rozvoje v Komorském svazu. EU by měla přistoupení Komor podpořit,</w:t>
      </w:r>
    </w:p>
    <w:p w14:paraId="77A801BE" w14:textId="77777777" w:rsidR="00E9482D" w:rsidRPr="00B54957" w:rsidRDefault="00E9482D" w:rsidP="00792242">
      <w:pPr>
        <w:pStyle w:val="Formuledadoption"/>
        <w:rPr>
          <w:noProof/>
        </w:rPr>
      </w:pPr>
      <w:r w:rsidRPr="00B54957">
        <w:rPr>
          <w:noProof/>
        </w:rPr>
        <w:t>PŘIJALA TOTO ROZHODNUTÍ:</w:t>
      </w:r>
    </w:p>
    <w:p w14:paraId="0357C11A" w14:textId="77777777" w:rsidR="00E9482D" w:rsidRPr="00B54957" w:rsidRDefault="00E9482D" w:rsidP="00AB5B99">
      <w:pPr>
        <w:pStyle w:val="Titrearticle"/>
        <w:rPr>
          <w:noProof/>
        </w:rPr>
      </w:pPr>
      <w:r w:rsidRPr="00B54957">
        <w:rPr>
          <w:noProof/>
        </w:rPr>
        <w:t>Článek 1</w:t>
      </w:r>
    </w:p>
    <w:p w14:paraId="5897A549" w14:textId="77777777" w:rsidR="00075DCA" w:rsidRPr="00B54957" w:rsidRDefault="00075DCA" w:rsidP="00075DCA">
      <w:pPr>
        <w:rPr>
          <w:noProof/>
        </w:rPr>
      </w:pPr>
      <w:r w:rsidRPr="00B54957">
        <w:rPr>
          <w:noProof/>
        </w:rPr>
        <w:t>Postoj, který má být zaujat jménem Unie na 13. zasedání Konference ministrů WTO, je tento:</w:t>
      </w:r>
    </w:p>
    <w:p w14:paraId="4CACCD1E" w14:textId="77777777" w:rsidR="00E9482D" w:rsidRPr="00B54957" w:rsidRDefault="00075DCA" w:rsidP="00075DCA">
      <w:pPr>
        <w:rPr>
          <w:noProof/>
        </w:rPr>
      </w:pPr>
      <w:r w:rsidRPr="00B54957">
        <w:rPr>
          <w:noProof/>
        </w:rPr>
        <w:t>Připojit se ke konsensu dosaženému mezi členy WTO s cílem přijmout rozhodnutí o přistoupení Komor k WTO.</w:t>
      </w:r>
    </w:p>
    <w:p w14:paraId="1C45CB72" w14:textId="77777777" w:rsidR="00E9482D" w:rsidRPr="00B54957" w:rsidRDefault="00E9482D" w:rsidP="00A661F8">
      <w:pPr>
        <w:pStyle w:val="Titrearticle"/>
        <w:rPr>
          <w:noProof/>
          <w:color w:val="000000" w:themeColor="text1"/>
        </w:rPr>
      </w:pPr>
      <w:r w:rsidRPr="00B54957">
        <w:rPr>
          <w:noProof/>
        </w:rPr>
        <w:t>Článek 2</w:t>
      </w:r>
    </w:p>
    <w:p w14:paraId="3C9A9C32" w14:textId="77777777" w:rsidR="00E9482D" w:rsidRPr="00B54957" w:rsidRDefault="00E9482D" w:rsidP="00A661F8">
      <w:pPr>
        <w:keepNext/>
        <w:keepLines/>
        <w:rPr>
          <w:noProof/>
          <w:color w:val="000000" w:themeColor="text1"/>
        </w:rPr>
      </w:pPr>
      <w:r w:rsidRPr="00B54957">
        <w:rPr>
          <w:noProof/>
          <w:color w:val="000000" w:themeColor="text1"/>
        </w:rPr>
        <w:t>Toto rozhodnutí je určeno Komisi.</w:t>
      </w:r>
    </w:p>
    <w:p w14:paraId="12670475" w14:textId="4B1DD485" w:rsidR="00E9482D" w:rsidRPr="00B54957" w:rsidRDefault="00E918E9" w:rsidP="00A661F8">
      <w:pPr>
        <w:pStyle w:val="Fait"/>
        <w:rPr>
          <w:noProof/>
        </w:rPr>
      </w:pPr>
      <w:r w:rsidRPr="00E918E9">
        <w:t>V Bruselu dne</w:t>
      </w:r>
    </w:p>
    <w:p w14:paraId="1522AB43" w14:textId="77777777" w:rsidR="00E9482D" w:rsidRPr="00B54957" w:rsidRDefault="00E9482D" w:rsidP="00A661F8">
      <w:pPr>
        <w:pStyle w:val="Institutionquisigne"/>
        <w:rPr>
          <w:noProof/>
        </w:rPr>
      </w:pPr>
      <w:r w:rsidRPr="00B54957">
        <w:rPr>
          <w:noProof/>
        </w:rPr>
        <w:tab/>
        <w:t>Za Radu</w:t>
      </w:r>
    </w:p>
    <w:p w14:paraId="6E10EA00" w14:textId="77777777" w:rsidR="00E9482D" w:rsidRPr="00B54957" w:rsidRDefault="00E9482D" w:rsidP="00E9482D">
      <w:pPr>
        <w:pStyle w:val="Personnequisigne"/>
        <w:rPr>
          <w:noProof/>
        </w:rPr>
      </w:pPr>
      <w:r w:rsidRPr="00B54957">
        <w:rPr>
          <w:noProof/>
        </w:rPr>
        <w:tab/>
        <w:t>předseda/předsedkyně</w:t>
      </w:r>
    </w:p>
    <w:sectPr w:rsidR="00E9482D" w:rsidRPr="00B54957" w:rsidSect="001345B1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41AE4" w14:textId="77777777" w:rsidR="00245763" w:rsidRDefault="00245763" w:rsidP="00E9482D">
      <w:pPr>
        <w:spacing w:before="0" w:after="0"/>
      </w:pPr>
      <w:r>
        <w:separator/>
      </w:r>
    </w:p>
  </w:endnote>
  <w:endnote w:type="continuationSeparator" w:id="0">
    <w:p w14:paraId="5D88FAC9" w14:textId="77777777" w:rsidR="00245763" w:rsidRDefault="00245763" w:rsidP="00E948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0E36" w14:textId="7110FBCA" w:rsidR="00C238B7" w:rsidRPr="001345B1" w:rsidRDefault="001345B1" w:rsidP="001345B1">
    <w:pPr>
      <w:pStyle w:val="Footer"/>
      <w:rPr>
        <w:rFonts w:ascii="Arial" w:hAnsi="Arial" w:cs="Arial"/>
        <w:b/>
        <w:sz w:val="48"/>
      </w:rPr>
    </w:pPr>
    <w:r w:rsidRPr="001345B1">
      <w:rPr>
        <w:rFonts w:ascii="Arial" w:hAnsi="Arial" w:cs="Arial"/>
        <w:b/>
        <w:sz w:val="48"/>
      </w:rPr>
      <w:t>CS</w:t>
    </w:r>
    <w:r w:rsidRPr="001345B1">
      <w:rPr>
        <w:rFonts w:ascii="Arial" w:hAnsi="Arial" w:cs="Arial"/>
        <w:b/>
        <w:sz w:val="48"/>
      </w:rPr>
      <w:tab/>
    </w:r>
    <w:r w:rsidRPr="001345B1">
      <w:rPr>
        <w:rFonts w:ascii="Arial" w:hAnsi="Arial" w:cs="Arial"/>
        <w:b/>
        <w:sz w:val="48"/>
      </w:rPr>
      <w:tab/>
    </w:r>
    <w:r w:rsidRPr="001345B1">
      <w:tab/>
    </w:r>
    <w:r w:rsidRPr="001345B1">
      <w:rPr>
        <w:rFonts w:ascii="Arial" w:hAnsi="Arial" w:cs="Arial"/>
        <w:b/>
        <w:sz w:val="48"/>
      </w:rPr>
      <w:t>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08B09" w14:textId="2775B499" w:rsidR="001345B1" w:rsidRPr="001345B1" w:rsidRDefault="001345B1" w:rsidP="001345B1">
    <w:pPr>
      <w:pStyle w:val="Footer"/>
      <w:rPr>
        <w:rFonts w:ascii="Arial" w:hAnsi="Arial" w:cs="Arial"/>
        <w:b/>
        <w:sz w:val="48"/>
      </w:rPr>
    </w:pPr>
    <w:r w:rsidRPr="001345B1">
      <w:rPr>
        <w:rFonts w:ascii="Arial" w:hAnsi="Arial" w:cs="Arial"/>
        <w:b/>
        <w:sz w:val="48"/>
      </w:rPr>
      <w:t>CS</w:t>
    </w:r>
    <w:r w:rsidRPr="001345B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A661F8">
      <w:rPr>
        <w:noProof/>
      </w:rPr>
      <w:t>6</w:t>
    </w:r>
    <w:r>
      <w:fldChar w:fldCharType="end"/>
    </w:r>
    <w:r>
      <w:tab/>
    </w:r>
    <w:r w:rsidRPr="001345B1">
      <w:tab/>
    </w:r>
    <w:r w:rsidRPr="001345B1"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27355" w14:textId="77777777" w:rsidR="001345B1" w:rsidRPr="001345B1" w:rsidRDefault="001345B1" w:rsidP="00134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73C3D" w14:textId="77777777" w:rsidR="00245763" w:rsidRDefault="00245763" w:rsidP="00E9482D">
      <w:pPr>
        <w:spacing w:before="0" w:after="0"/>
      </w:pPr>
      <w:r>
        <w:separator/>
      </w:r>
    </w:p>
  </w:footnote>
  <w:footnote w:type="continuationSeparator" w:id="0">
    <w:p w14:paraId="3F467E38" w14:textId="77777777" w:rsidR="00245763" w:rsidRDefault="00245763" w:rsidP="00E9482D">
      <w:pPr>
        <w:spacing w:before="0" w:after="0"/>
      </w:pPr>
      <w:r>
        <w:continuationSeparator/>
      </w:r>
    </w:p>
  </w:footnote>
  <w:footnote w:id="1">
    <w:p w14:paraId="007F322C" w14:textId="77777777" w:rsidR="00C238B7" w:rsidRPr="00DB2C7D" w:rsidRDefault="00C238B7" w:rsidP="00F40933">
      <w:pPr>
        <w:pStyle w:val="FootnoteText"/>
        <w:rPr>
          <w:color w:val="000000"/>
        </w:rPr>
      </w:pPr>
      <w:r>
        <w:rPr>
          <w:rStyle w:val="FootnoteReference"/>
        </w:rPr>
        <w:footnoteRef/>
      </w:r>
      <w:r>
        <w:tab/>
        <w:t xml:space="preserve">Rozhodnutí Rady </w:t>
      </w:r>
      <w:hyperlink r:id="rId1" w:history="1">
        <w:r>
          <w:rPr>
            <w:rStyle w:val="Hyperlink"/>
            <w:color w:val="000000"/>
            <w:u w:val="none"/>
          </w:rPr>
          <w:t>94/800/ES</w:t>
        </w:r>
      </w:hyperlink>
      <w:r>
        <w:t xml:space="preserve"> ze dne 22. prosince 1994 o uzavření dohod jménem Evropského společenství s ohledem na oblasti, které jsou v jeho pravomoci, v rámci Uruguayského kola mnohostranných jednání (1986–1994) (Úř. věst. L 336, 23.12.1994, s. 1).</w:t>
      </w:r>
    </w:p>
  </w:footnote>
  <w:footnote w:id="2">
    <w:p w14:paraId="2AB48426" w14:textId="17496D41" w:rsidR="00C238B7" w:rsidRDefault="00C238B7" w:rsidP="00973E07">
      <w:pPr>
        <w:pStyle w:val="FootnoteText"/>
      </w:pPr>
      <w:r>
        <w:rPr>
          <w:rStyle w:val="FootnoteReference"/>
        </w:rPr>
        <w:footnoteRef/>
      </w:r>
      <w:r>
        <w:tab/>
        <w:t xml:space="preserve">Pokud by měl konsensus – v rozporu se současnými očekáváními – formu mezinárodní dohody, kterou se mění Dohoda o WTO, nebo formu vícestranné mezinárodní dohody uzavřené mezi některými členy WTO, Komise by předložila nezbytné návrhy v souladu s čl. 218 odst. 6 SFEU poté, co budou tyto dokumenty přijaty a otevřeny k přijetí na 13. zasedání Konference ministrů nebo dotčenými členy WTO během uvedeného zasedání konference. </w:t>
      </w:r>
    </w:p>
  </w:footnote>
  <w:footnote w:id="3">
    <w:p w14:paraId="6A3E6831" w14:textId="3D850427" w:rsidR="004260C2" w:rsidRDefault="004260C2">
      <w:pPr>
        <w:pStyle w:val="FootnoteText"/>
      </w:pPr>
      <w:r>
        <w:rPr>
          <w:rStyle w:val="FootnoteReference"/>
        </w:rPr>
        <w:footnoteRef/>
      </w:r>
      <w:r>
        <w:tab/>
      </w:r>
      <w:hyperlink r:id="rId2" w:history="1">
        <w:r>
          <w:rPr>
            <w:rStyle w:val="Hyperlink"/>
            <w:color w:val="auto"/>
          </w:rPr>
          <w:t>pdf (europa.eu)</w:t>
        </w:r>
      </w:hyperlink>
    </w:p>
  </w:footnote>
  <w:footnote w:id="4">
    <w:p w14:paraId="77300297" w14:textId="77777777" w:rsidR="00C238B7" w:rsidRPr="00B035F8" w:rsidRDefault="00C238B7" w:rsidP="00AB5B99">
      <w:pPr>
        <w:pStyle w:val="FootnoteText"/>
      </w:pPr>
      <w:r>
        <w:rPr>
          <w:rStyle w:val="FootnoteReference"/>
        </w:rPr>
        <w:footnoteRef/>
      </w:r>
      <w:r>
        <w:tab/>
        <w:t xml:space="preserve">Rozsudek Soudního dvora ze dne 7. října 2014, Německo v. Rada, C-399/12, ECLI:EU:C:2014:2258, body 61 až 64. </w:t>
      </w:r>
    </w:p>
  </w:footnote>
  <w:footnote w:id="5">
    <w:p w14:paraId="07E05AD6" w14:textId="77777777" w:rsidR="00C238B7" w:rsidRDefault="00C238B7" w:rsidP="00C25F51">
      <w:pPr>
        <w:pStyle w:val="FootnoteText"/>
      </w:pPr>
      <w:r>
        <w:rPr>
          <w:rStyle w:val="FootnoteReference"/>
        </w:rPr>
        <w:footnoteRef/>
      </w:r>
      <w:r>
        <w:tab/>
        <w:t>Úř. věst. L 336, 23.12.1994, s.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DC9E1C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21AEC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5C8DA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28AE6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9A4E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F44B0A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90A0A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FE66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5"/>
    <w:lvlOverride w:ilvl="0">
      <w:startOverride w:val="1"/>
    </w:lvlOverride>
  </w:num>
  <w:num w:numId="12">
    <w:abstractNumId w:val="19"/>
  </w:num>
  <w:num w:numId="13">
    <w:abstractNumId w:val="12"/>
  </w:num>
  <w:num w:numId="14">
    <w:abstractNumId w:val="21"/>
  </w:num>
  <w:num w:numId="15">
    <w:abstractNumId w:val="11"/>
  </w:num>
  <w:num w:numId="16">
    <w:abstractNumId w:val="13"/>
  </w:num>
  <w:num w:numId="17">
    <w:abstractNumId w:val="14"/>
  </w:num>
  <w:num w:numId="18">
    <w:abstractNumId w:val="9"/>
  </w:num>
  <w:num w:numId="19">
    <w:abstractNumId w:val="20"/>
  </w:num>
  <w:num w:numId="20">
    <w:abstractNumId w:val="8"/>
  </w:num>
  <w:num w:numId="21">
    <w:abstractNumId w:val="15"/>
  </w:num>
  <w:num w:numId="22">
    <w:abstractNumId w:val="17"/>
  </w:num>
  <w:num w:numId="23">
    <w:abstractNumId w:val="18"/>
  </w:num>
  <w:num w:numId="24">
    <w:abstractNumId w:val="10"/>
  </w:num>
  <w:num w:numId="25">
    <w:abstractNumId w:val="16"/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3-12-08 17:49:26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A83E6C42-1E2C-408E-A346-FAB512785874"/>
    <w:docVar w:name="LW_COVERPAGE_TYPE" w:val="1"/>
    <w:docVar w:name="LW_CROSSREFERENCE" w:val="&lt;UNUSED&gt;"/>
    <w:docVar w:name="LW_DocType" w:val="COM"/>
    <w:docVar w:name="LW_EMISSION" w:val="11.12.2023"/>
    <w:docVar w:name="LW_EMISSION_ISODATE" w:val="2023-12-11"/>
    <w:docVar w:name="LW_EMISSION_LOCATION" w:val="BRX"/>
    <w:docVar w:name="LW_EMISSION_PREFIX" w:val="V Bruselu dne "/>
    <w:docVar w:name="LW_EMISSION_SUFFIX" w:val=" "/>
    <w:docVar w:name="LW_ID_DOCMODEL" w:val="SJ-043"/>
    <w:docVar w:name="LW_ID_DOCSIGNATURE" w:val="SJ-019"/>
    <w:docVar w:name="LW_ID_DOCSTRUCTURE" w:val="COM/PL/ORG"/>
    <w:docVar w:name="LW_ID_DOCTYPE" w:val="SJ-043"/>
    <w:docVar w:name="LW_ID_EXP.MOTIFS.NEW" w:val="EM_PL2_"/>
    <w:docVar w:name="LW_ID_STATUT" w:val="SJ-019"/>
    <w:docVar w:name="LW_INTERETEEE.CP" w:val="&lt;UNUSED&gt;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457"/>
    <w:docVar w:name="LW_REF.II.NEW.CP_YEAR" w:val="2023"/>
    <w:docVar w:name="LW_REF.INST.NEW" w:val="COM"/>
    <w:docVar w:name="LW_REF.INST.NEW_ADOPTED" w:val="final"/>
    <w:docVar w:name="LW_REF.INST.NEW_TEXT" w:val="(2023) 784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Návrh"/>
    <w:docVar w:name="LW_SUPERTITRE" w:val="&lt;UNUSED&gt;"/>
    <w:docVar w:name="LW_TITRE.OBJ.CP" w:val="o postoji, který má být zaujat jménem Evropské unie na 13. zasedání Konference ministrů Světové obchodní organizace k přistoupení Komorského svazu k WTO"/>
    <w:docVar w:name="LW_TYPE.DOC.CP" w:val="ROZHODNUTÍ RADY"/>
    <w:docVar w:name="LwApiVersions" w:val="LW4CoDe 1.23.2.0; LW 8.0, Build 20211117"/>
  </w:docVars>
  <w:rsids>
    <w:rsidRoot w:val="00E9482D"/>
    <w:rsid w:val="00003D77"/>
    <w:rsid w:val="00010A68"/>
    <w:rsid w:val="00027263"/>
    <w:rsid w:val="00035A44"/>
    <w:rsid w:val="0003672C"/>
    <w:rsid w:val="0005114E"/>
    <w:rsid w:val="00053329"/>
    <w:rsid w:val="000546A8"/>
    <w:rsid w:val="000578D5"/>
    <w:rsid w:val="00075DCA"/>
    <w:rsid w:val="00076F22"/>
    <w:rsid w:val="00093095"/>
    <w:rsid w:val="00096CCC"/>
    <w:rsid w:val="000A7517"/>
    <w:rsid w:val="000C1481"/>
    <w:rsid w:val="000C2B8D"/>
    <w:rsid w:val="000D1E20"/>
    <w:rsid w:val="000D375A"/>
    <w:rsid w:val="000D6C6C"/>
    <w:rsid w:val="000E198E"/>
    <w:rsid w:val="000E4C01"/>
    <w:rsid w:val="000F1E8F"/>
    <w:rsid w:val="000F2E3C"/>
    <w:rsid w:val="001004EF"/>
    <w:rsid w:val="00106B07"/>
    <w:rsid w:val="00111068"/>
    <w:rsid w:val="00125129"/>
    <w:rsid w:val="001345B1"/>
    <w:rsid w:val="00147191"/>
    <w:rsid w:val="00164280"/>
    <w:rsid w:val="001A3B45"/>
    <w:rsid w:val="001B1B8C"/>
    <w:rsid w:val="001B621B"/>
    <w:rsid w:val="001C2816"/>
    <w:rsid w:val="001D198D"/>
    <w:rsid w:val="001D370A"/>
    <w:rsid w:val="001D43C3"/>
    <w:rsid w:val="001D6539"/>
    <w:rsid w:val="001D6542"/>
    <w:rsid w:val="001D7A13"/>
    <w:rsid w:val="001F5375"/>
    <w:rsid w:val="001F6A15"/>
    <w:rsid w:val="002060C7"/>
    <w:rsid w:val="00210DB0"/>
    <w:rsid w:val="00220F38"/>
    <w:rsid w:val="002234BD"/>
    <w:rsid w:val="00232E98"/>
    <w:rsid w:val="00245763"/>
    <w:rsid w:val="002459BA"/>
    <w:rsid w:val="002562DC"/>
    <w:rsid w:val="00257885"/>
    <w:rsid w:val="002633E5"/>
    <w:rsid w:val="00265DE9"/>
    <w:rsid w:val="002664BD"/>
    <w:rsid w:val="002746D0"/>
    <w:rsid w:val="0027741B"/>
    <w:rsid w:val="00295598"/>
    <w:rsid w:val="002A055C"/>
    <w:rsid w:val="002A3121"/>
    <w:rsid w:val="002A4147"/>
    <w:rsid w:val="002A5136"/>
    <w:rsid w:val="002B1EA4"/>
    <w:rsid w:val="002B27C5"/>
    <w:rsid w:val="002B4668"/>
    <w:rsid w:val="002C022D"/>
    <w:rsid w:val="002C21AA"/>
    <w:rsid w:val="002D2E26"/>
    <w:rsid w:val="002D3DD2"/>
    <w:rsid w:val="002E4382"/>
    <w:rsid w:val="002E4EAC"/>
    <w:rsid w:val="002F48A9"/>
    <w:rsid w:val="003135A0"/>
    <w:rsid w:val="00325712"/>
    <w:rsid w:val="00327AD0"/>
    <w:rsid w:val="0033455D"/>
    <w:rsid w:val="0034550E"/>
    <w:rsid w:val="00352E5D"/>
    <w:rsid w:val="003624EE"/>
    <w:rsid w:val="00374146"/>
    <w:rsid w:val="00392B97"/>
    <w:rsid w:val="003A0012"/>
    <w:rsid w:val="003D0431"/>
    <w:rsid w:val="003D63F5"/>
    <w:rsid w:val="003E74F9"/>
    <w:rsid w:val="004038BD"/>
    <w:rsid w:val="00406BCA"/>
    <w:rsid w:val="00412B4F"/>
    <w:rsid w:val="004177BE"/>
    <w:rsid w:val="00422DAA"/>
    <w:rsid w:val="004235BF"/>
    <w:rsid w:val="00424B35"/>
    <w:rsid w:val="004257BB"/>
    <w:rsid w:val="004260C2"/>
    <w:rsid w:val="00432183"/>
    <w:rsid w:val="00435C24"/>
    <w:rsid w:val="00443797"/>
    <w:rsid w:val="00445365"/>
    <w:rsid w:val="00450B43"/>
    <w:rsid w:val="00462F21"/>
    <w:rsid w:val="004751D5"/>
    <w:rsid w:val="00475FE3"/>
    <w:rsid w:val="00476BB9"/>
    <w:rsid w:val="004833AF"/>
    <w:rsid w:val="0049123A"/>
    <w:rsid w:val="00494240"/>
    <w:rsid w:val="00495873"/>
    <w:rsid w:val="004A0837"/>
    <w:rsid w:val="004A1702"/>
    <w:rsid w:val="004A4BE3"/>
    <w:rsid w:val="004B2F1C"/>
    <w:rsid w:val="004C0B10"/>
    <w:rsid w:val="004C199E"/>
    <w:rsid w:val="004C6A7E"/>
    <w:rsid w:val="004D13DC"/>
    <w:rsid w:val="004D3D93"/>
    <w:rsid w:val="004D4D6D"/>
    <w:rsid w:val="004D7493"/>
    <w:rsid w:val="004E605B"/>
    <w:rsid w:val="004F72B3"/>
    <w:rsid w:val="00512DCB"/>
    <w:rsid w:val="00535AFA"/>
    <w:rsid w:val="00541A76"/>
    <w:rsid w:val="005472A9"/>
    <w:rsid w:val="005552B7"/>
    <w:rsid w:val="00562FB7"/>
    <w:rsid w:val="00564B2A"/>
    <w:rsid w:val="00582546"/>
    <w:rsid w:val="00585445"/>
    <w:rsid w:val="00586BCE"/>
    <w:rsid w:val="00590E76"/>
    <w:rsid w:val="005A6DE2"/>
    <w:rsid w:val="005A7014"/>
    <w:rsid w:val="005B3B4B"/>
    <w:rsid w:val="005C6877"/>
    <w:rsid w:val="005D330D"/>
    <w:rsid w:val="005D3ED6"/>
    <w:rsid w:val="005E4616"/>
    <w:rsid w:val="005E56F2"/>
    <w:rsid w:val="0060092F"/>
    <w:rsid w:val="0060420B"/>
    <w:rsid w:val="00604B69"/>
    <w:rsid w:val="00613DDF"/>
    <w:rsid w:val="0061500D"/>
    <w:rsid w:val="006239E2"/>
    <w:rsid w:val="006261EE"/>
    <w:rsid w:val="006372EE"/>
    <w:rsid w:val="006379BA"/>
    <w:rsid w:val="00637FDF"/>
    <w:rsid w:val="00644100"/>
    <w:rsid w:val="00645241"/>
    <w:rsid w:val="006526ED"/>
    <w:rsid w:val="006678A7"/>
    <w:rsid w:val="00676132"/>
    <w:rsid w:val="00685C3C"/>
    <w:rsid w:val="006879FB"/>
    <w:rsid w:val="0069401E"/>
    <w:rsid w:val="006B47E7"/>
    <w:rsid w:val="006B601B"/>
    <w:rsid w:val="006C568C"/>
    <w:rsid w:val="006D0D2C"/>
    <w:rsid w:val="006D41B7"/>
    <w:rsid w:val="006D6540"/>
    <w:rsid w:val="006D68D5"/>
    <w:rsid w:val="006E4E2A"/>
    <w:rsid w:val="006E5600"/>
    <w:rsid w:val="0070128F"/>
    <w:rsid w:val="00702407"/>
    <w:rsid w:val="00706981"/>
    <w:rsid w:val="007111B9"/>
    <w:rsid w:val="0071554F"/>
    <w:rsid w:val="00715A24"/>
    <w:rsid w:val="007170D9"/>
    <w:rsid w:val="00717C74"/>
    <w:rsid w:val="00727F6C"/>
    <w:rsid w:val="007303FB"/>
    <w:rsid w:val="00731C12"/>
    <w:rsid w:val="0073685B"/>
    <w:rsid w:val="007409C4"/>
    <w:rsid w:val="00740B18"/>
    <w:rsid w:val="007416FF"/>
    <w:rsid w:val="00743167"/>
    <w:rsid w:val="00752DF8"/>
    <w:rsid w:val="0076043A"/>
    <w:rsid w:val="007752FF"/>
    <w:rsid w:val="00784F07"/>
    <w:rsid w:val="007855A9"/>
    <w:rsid w:val="00792242"/>
    <w:rsid w:val="00795DC3"/>
    <w:rsid w:val="007B4407"/>
    <w:rsid w:val="007B6DF5"/>
    <w:rsid w:val="007C06F6"/>
    <w:rsid w:val="007C35B3"/>
    <w:rsid w:val="007C5618"/>
    <w:rsid w:val="007D25A2"/>
    <w:rsid w:val="007D6A8B"/>
    <w:rsid w:val="007E37CE"/>
    <w:rsid w:val="007E61E4"/>
    <w:rsid w:val="00805132"/>
    <w:rsid w:val="00805DA8"/>
    <w:rsid w:val="00836A18"/>
    <w:rsid w:val="00845BC1"/>
    <w:rsid w:val="00855D6C"/>
    <w:rsid w:val="008604BD"/>
    <w:rsid w:val="00860987"/>
    <w:rsid w:val="00863555"/>
    <w:rsid w:val="0087365E"/>
    <w:rsid w:val="008775A2"/>
    <w:rsid w:val="00885B54"/>
    <w:rsid w:val="00886B03"/>
    <w:rsid w:val="00886C9F"/>
    <w:rsid w:val="00886EF6"/>
    <w:rsid w:val="008B60AF"/>
    <w:rsid w:val="008C1EE4"/>
    <w:rsid w:val="008C4C47"/>
    <w:rsid w:val="008D712A"/>
    <w:rsid w:val="008F1839"/>
    <w:rsid w:val="00901AEB"/>
    <w:rsid w:val="00902308"/>
    <w:rsid w:val="00902EA1"/>
    <w:rsid w:val="0091216E"/>
    <w:rsid w:val="00933A33"/>
    <w:rsid w:val="00954070"/>
    <w:rsid w:val="00966235"/>
    <w:rsid w:val="00970708"/>
    <w:rsid w:val="00973E07"/>
    <w:rsid w:val="00977FC9"/>
    <w:rsid w:val="00982FEA"/>
    <w:rsid w:val="00983FEA"/>
    <w:rsid w:val="0098540D"/>
    <w:rsid w:val="00986B33"/>
    <w:rsid w:val="00987AD5"/>
    <w:rsid w:val="00992BA3"/>
    <w:rsid w:val="0099361C"/>
    <w:rsid w:val="009B1B38"/>
    <w:rsid w:val="009B7138"/>
    <w:rsid w:val="009C4483"/>
    <w:rsid w:val="009C76AE"/>
    <w:rsid w:val="009D1EDA"/>
    <w:rsid w:val="009D42AD"/>
    <w:rsid w:val="009D58E7"/>
    <w:rsid w:val="009D76A9"/>
    <w:rsid w:val="009E4A54"/>
    <w:rsid w:val="009F4074"/>
    <w:rsid w:val="009F42DF"/>
    <w:rsid w:val="009F6C15"/>
    <w:rsid w:val="00A0450B"/>
    <w:rsid w:val="00A07D09"/>
    <w:rsid w:val="00A3038B"/>
    <w:rsid w:val="00A35FE5"/>
    <w:rsid w:val="00A43858"/>
    <w:rsid w:val="00A43FE6"/>
    <w:rsid w:val="00A442D9"/>
    <w:rsid w:val="00A53D8A"/>
    <w:rsid w:val="00A61AD3"/>
    <w:rsid w:val="00A64C01"/>
    <w:rsid w:val="00A661F8"/>
    <w:rsid w:val="00A714AC"/>
    <w:rsid w:val="00A80947"/>
    <w:rsid w:val="00A8299B"/>
    <w:rsid w:val="00A84514"/>
    <w:rsid w:val="00A85496"/>
    <w:rsid w:val="00A90327"/>
    <w:rsid w:val="00A92DDE"/>
    <w:rsid w:val="00AA3555"/>
    <w:rsid w:val="00AA3F62"/>
    <w:rsid w:val="00AA6D03"/>
    <w:rsid w:val="00AA7929"/>
    <w:rsid w:val="00AB112D"/>
    <w:rsid w:val="00AB5B99"/>
    <w:rsid w:val="00AC27D1"/>
    <w:rsid w:val="00AE2E1D"/>
    <w:rsid w:val="00AE401A"/>
    <w:rsid w:val="00AE61C2"/>
    <w:rsid w:val="00AF30E9"/>
    <w:rsid w:val="00AF3D0B"/>
    <w:rsid w:val="00AF552C"/>
    <w:rsid w:val="00AF6305"/>
    <w:rsid w:val="00AF72B6"/>
    <w:rsid w:val="00B05B5D"/>
    <w:rsid w:val="00B07A40"/>
    <w:rsid w:val="00B14023"/>
    <w:rsid w:val="00B17546"/>
    <w:rsid w:val="00B200B5"/>
    <w:rsid w:val="00B21A70"/>
    <w:rsid w:val="00B33039"/>
    <w:rsid w:val="00B35BC4"/>
    <w:rsid w:val="00B45891"/>
    <w:rsid w:val="00B46F1B"/>
    <w:rsid w:val="00B54957"/>
    <w:rsid w:val="00B560F5"/>
    <w:rsid w:val="00B61EE4"/>
    <w:rsid w:val="00B700A8"/>
    <w:rsid w:val="00B7771B"/>
    <w:rsid w:val="00B80588"/>
    <w:rsid w:val="00B959F4"/>
    <w:rsid w:val="00BB4935"/>
    <w:rsid w:val="00BB50F9"/>
    <w:rsid w:val="00BC2D4A"/>
    <w:rsid w:val="00BC73C9"/>
    <w:rsid w:val="00BD08C1"/>
    <w:rsid w:val="00BD1D6B"/>
    <w:rsid w:val="00BD3961"/>
    <w:rsid w:val="00BD42DF"/>
    <w:rsid w:val="00BD5589"/>
    <w:rsid w:val="00BD5E66"/>
    <w:rsid w:val="00BD5F94"/>
    <w:rsid w:val="00BE246D"/>
    <w:rsid w:val="00BE4AC4"/>
    <w:rsid w:val="00BF17AA"/>
    <w:rsid w:val="00C238B7"/>
    <w:rsid w:val="00C24556"/>
    <w:rsid w:val="00C2493B"/>
    <w:rsid w:val="00C25F51"/>
    <w:rsid w:val="00C455C9"/>
    <w:rsid w:val="00C66550"/>
    <w:rsid w:val="00C726DF"/>
    <w:rsid w:val="00C91A2F"/>
    <w:rsid w:val="00CA3F4E"/>
    <w:rsid w:val="00CA50C5"/>
    <w:rsid w:val="00CC2EF0"/>
    <w:rsid w:val="00CC46B0"/>
    <w:rsid w:val="00CD04DF"/>
    <w:rsid w:val="00CD0AD2"/>
    <w:rsid w:val="00CD344B"/>
    <w:rsid w:val="00CF3C73"/>
    <w:rsid w:val="00CF4946"/>
    <w:rsid w:val="00CF6CAB"/>
    <w:rsid w:val="00D13145"/>
    <w:rsid w:val="00D13362"/>
    <w:rsid w:val="00D14EC1"/>
    <w:rsid w:val="00D27281"/>
    <w:rsid w:val="00D56629"/>
    <w:rsid w:val="00D62EAE"/>
    <w:rsid w:val="00D650AD"/>
    <w:rsid w:val="00D65214"/>
    <w:rsid w:val="00D65C39"/>
    <w:rsid w:val="00D91C7D"/>
    <w:rsid w:val="00D96481"/>
    <w:rsid w:val="00DA431F"/>
    <w:rsid w:val="00DC3801"/>
    <w:rsid w:val="00DD1B08"/>
    <w:rsid w:val="00DD7A3D"/>
    <w:rsid w:val="00DE36C5"/>
    <w:rsid w:val="00DE4F5E"/>
    <w:rsid w:val="00E10819"/>
    <w:rsid w:val="00E11736"/>
    <w:rsid w:val="00E1181E"/>
    <w:rsid w:val="00E14346"/>
    <w:rsid w:val="00E202B5"/>
    <w:rsid w:val="00E22448"/>
    <w:rsid w:val="00E236B3"/>
    <w:rsid w:val="00E24447"/>
    <w:rsid w:val="00E25457"/>
    <w:rsid w:val="00E25503"/>
    <w:rsid w:val="00E30641"/>
    <w:rsid w:val="00E30D38"/>
    <w:rsid w:val="00E34E8A"/>
    <w:rsid w:val="00E40875"/>
    <w:rsid w:val="00E44964"/>
    <w:rsid w:val="00E50297"/>
    <w:rsid w:val="00E526A1"/>
    <w:rsid w:val="00E62519"/>
    <w:rsid w:val="00E7731D"/>
    <w:rsid w:val="00E77EC4"/>
    <w:rsid w:val="00E8082B"/>
    <w:rsid w:val="00E85A4B"/>
    <w:rsid w:val="00E910DA"/>
    <w:rsid w:val="00E918E9"/>
    <w:rsid w:val="00E9482D"/>
    <w:rsid w:val="00E97899"/>
    <w:rsid w:val="00E97BAD"/>
    <w:rsid w:val="00EA5956"/>
    <w:rsid w:val="00EA6BDD"/>
    <w:rsid w:val="00EB226F"/>
    <w:rsid w:val="00ED299E"/>
    <w:rsid w:val="00EE20A2"/>
    <w:rsid w:val="00EE5115"/>
    <w:rsid w:val="00EE520A"/>
    <w:rsid w:val="00EF15E4"/>
    <w:rsid w:val="00EF1DFA"/>
    <w:rsid w:val="00EF35B6"/>
    <w:rsid w:val="00EF7979"/>
    <w:rsid w:val="00F02A4D"/>
    <w:rsid w:val="00F145BF"/>
    <w:rsid w:val="00F20062"/>
    <w:rsid w:val="00F21877"/>
    <w:rsid w:val="00F33606"/>
    <w:rsid w:val="00F40933"/>
    <w:rsid w:val="00F418FB"/>
    <w:rsid w:val="00F43CA0"/>
    <w:rsid w:val="00F5127D"/>
    <w:rsid w:val="00F524FC"/>
    <w:rsid w:val="00F7006D"/>
    <w:rsid w:val="00F7572F"/>
    <w:rsid w:val="00F76E14"/>
    <w:rsid w:val="00F82EED"/>
    <w:rsid w:val="00F84A9C"/>
    <w:rsid w:val="00F85115"/>
    <w:rsid w:val="00F86B92"/>
    <w:rsid w:val="00F86DB2"/>
    <w:rsid w:val="00F94528"/>
    <w:rsid w:val="00F94C30"/>
    <w:rsid w:val="00FA0EDB"/>
    <w:rsid w:val="00FA110D"/>
    <w:rsid w:val="00FA2AC9"/>
    <w:rsid w:val="00FA34B0"/>
    <w:rsid w:val="00FA3C53"/>
    <w:rsid w:val="00FB0E33"/>
    <w:rsid w:val="00FB356A"/>
    <w:rsid w:val="00FC78EB"/>
    <w:rsid w:val="00FD15E6"/>
    <w:rsid w:val="00FD3B9A"/>
    <w:rsid w:val="00FD451F"/>
    <w:rsid w:val="00FF4FC2"/>
    <w:rsid w:val="00FF568A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EE7D2C"/>
  <w15:docId w15:val="{D1670133-3563-45E4-AAE3-778C29F5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cs-CZ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0933"/>
    <w:rPr>
      <w:color w:val="0000FF"/>
      <w:u w:val="single"/>
      <w:shd w:val="clear" w:color="auto" w:fill="auto"/>
    </w:rPr>
  </w:style>
  <w:style w:type="character" w:customStyle="1" w:styleId="Corpsdutexte">
    <w:name w:val="Corps du texte_"/>
    <w:link w:val="Corpsdutexte0"/>
    <w:uiPriority w:val="99"/>
    <w:rsid w:val="00BD5F94"/>
    <w:rPr>
      <w:shd w:val="clear" w:color="auto" w:fill="FFFFFF"/>
    </w:rPr>
  </w:style>
  <w:style w:type="paragraph" w:customStyle="1" w:styleId="Corpsdutexte0">
    <w:name w:val="Corps du texte"/>
    <w:basedOn w:val="Normal"/>
    <w:link w:val="Corpsdutexte"/>
    <w:uiPriority w:val="99"/>
    <w:rsid w:val="00BD5F94"/>
    <w:pPr>
      <w:widowControl w:val="0"/>
      <w:shd w:val="clear" w:color="auto" w:fill="FFFFFF"/>
      <w:spacing w:before="60" w:after="0" w:line="240" w:lineRule="atLeast"/>
      <w:ind w:hanging="720"/>
      <w:jc w:val="left"/>
    </w:pPr>
    <w:rPr>
      <w:rFonts w:ascii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F8"/>
    <w:rPr>
      <w:rFonts w:ascii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F8"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F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F8"/>
    <w:rPr>
      <w:rFonts w:ascii="Segoe UI" w:hAnsi="Segoe UI" w:cs="Segoe UI"/>
      <w:sz w:val="18"/>
      <w:szCs w:val="18"/>
      <w:lang w:val="cs-CZ"/>
    </w:rPr>
  </w:style>
  <w:style w:type="paragraph" w:styleId="ListParagraph">
    <w:name w:val="List Paragraph"/>
    <w:aliases w:val="Dot pt,F5 List Paragraph,List Paragraph1,No Spacing1,List Paragraph Char Char Char,Indicator Text,Numbered Para 1,Bullet Points,MAIN CONTENT,List Paragraph12,OBC Bullet,Colorful List - Accent 11,List Paragraph2,Normal numbered,L,3,EC"/>
    <w:basedOn w:val="Normal"/>
    <w:link w:val="ListParagraphChar"/>
    <w:uiPriority w:val="34"/>
    <w:qFormat/>
    <w:rsid w:val="002D3DD2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Points Char,MAIN CONTENT Char,List Paragraph12 Char,OBC Bullet Char,L Char"/>
    <w:link w:val="ListParagraph"/>
    <w:uiPriority w:val="34"/>
    <w:qFormat/>
    <w:locked/>
    <w:rsid w:val="00406BCA"/>
    <w:rPr>
      <w:rFonts w:ascii="Times New Roman" w:hAnsi="Times New Roman" w:cs="Times New Roman"/>
      <w:sz w:val="24"/>
      <w:lang w:val="cs-CZ"/>
    </w:rPr>
  </w:style>
  <w:style w:type="paragraph" w:styleId="ListBullet">
    <w:name w:val="List Bullet"/>
    <w:basedOn w:val="Normal"/>
    <w:uiPriority w:val="99"/>
    <w:semiHidden/>
    <w:unhideWhenUsed/>
    <w:rsid w:val="00727F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7F6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7F6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7F6C"/>
    <w:pPr>
      <w:numPr>
        <w:numId w:val="4"/>
      </w:numPr>
      <w:contextualSpacing/>
    </w:pPr>
  </w:style>
  <w:style w:type="paragraph" w:styleId="Revision">
    <w:name w:val="Revision"/>
    <w:hidden/>
    <w:uiPriority w:val="99"/>
    <w:semiHidden/>
    <w:rsid w:val="006526E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2EF0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2E3C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2E3C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0F2E3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2E3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2E3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2E3C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A7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F1E8F"/>
  </w:style>
  <w:style w:type="paragraph" w:customStyle="1" w:styleId="paragraph">
    <w:name w:val="paragraph"/>
    <w:basedOn w:val="Normal"/>
    <w:rsid w:val="000F1E8F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customStyle="1" w:styleId="eop">
    <w:name w:val="eop"/>
    <w:basedOn w:val="DefaultParagraphFont"/>
    <w:rsid w:val="000F1E8F"/>
  </w:style>
  <w:style w:type="paragraph" w:customStyle="1" w:styleId="Text0">
    <w:name w:val="Text 0"/>
    <w:basedOn w:val="Bullet0"/>
    <w:rsid w:val="000C148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13DC"/>
    <w:rPr>
      <w:color w:val="605E5C"/>
      <w:shd w:val="clear" w:color="auto" w:fill="E1DFDD"/>
    </w:rPr>
  </w:style>
  <w:style w:type="paragraph" w:customStyle="1" w:styleId="Text">
    <w:name w:val="Text"/>
    <w:basedOn w:val="Normal"/>
    <w:rsid w:val="004D13D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54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45B1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345B1"/>
    <w:rPr>
      <w:rFonts w:ascii="Times New Roman" w:hAnsi="Times New Roman" w:cs="Times New Roman"/>
      <w:sz w:val="24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1345B1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1345B1"/>
    <w:rPr>
      <w:rFonts w:ascii="Times New Roman" w:hAnsi="Times New Roman" w:cs="Times New Roman"/>
      <w:sz w:val="24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cs-CZ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1345B1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1345B1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1345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1345B1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1345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2"/>
      </w:numPr>
    </w:pPr>
  </w:style>
  <w:style w:type="paragraph" w:customStyle="1" w:styleId="Tiret1">
    <w:name w:val="Tiret 1"/>
    <w:basedOn w:val="Point1"/>
    <w:pPr>
      <w:numPr>
        <w:numId w:val="13"/>
      </w:numPr>
    </w:pPr>
  </w:style>
  <w:style w:type="paragraph" w:customStyle="1" w:styleId="Tiret2">
    <w:name w:val="Tiret 2"/>
    <w:basedOn w:val="Point2"/>
    <w:pPr>
      <w:numPr>
        <w:numId w:val="14"/>
      </w:numPr>
    </w:pPr>
  </w:style>
  <w:style w:type="paragraph" w:customStyle="1" w:styleId="Tiret3">
    <w:name w:val="Tiret 3"/>
    <w:basedOn w:val="Point3"/>
    <w:pPr>
      <w:numPr>
        <w:numId w:val="15"/>
      </w:numPr>
    </w:pPr>
  </w:style>
  <w:style w:type="paragraph" w:customStyle="1" w:styleId="Tiret4">
    <w:name w:val="Tiret 4"/>
    <w:basedOn w:val="Point4"/>
    <w:pPr>
      <w:numPr>
        <w:numId w:val="16"/>
      </w:numPr>
    </w:pPr>
  </w:style>
  <w:style w:type="paragraph" w:customStyle="1" w:styleId="Tiret5">
    <w:name w:val="Tiret 5"/>
    <w:basedOn w:val="Point5"/>
    <w:pPr>
      <w:numPr>
        <w:numId w:val="1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0"/>
      </w:numPr>
    </w:pPr>
  </w:style>
  <w:style w:type="paragraph" w:customStyle="1" w:styleId="Point1number">
    <w:name w:val="Point 1 (number)"/>
    <w:basedOn w:val="Normal"/>
    <w:pPr>
      <w:numPr>
        <w:ilvl w:val="2"/>
        <w:numId w:val="20"/>
      </w:numPr>
    </w:pPr>
  </w:style>
  <w:style w:type="paragraph" w:customStyle="1" w:styleId="Point2number">
    <w:name w:val="Point 2 (number)"/>
    <w:basedOn w:val="Normal"/>
    <w:pPr>
      <w:numPr>
        <w:ilvl w:val="4"/>
        <w:numId w:val="20"/>
      </w:numPr>
    </w:pPr>
  </w:style>
  <w:style w:type="paragraph" w:customStyle="1" w:styleId="Point3number">
    <w:name w:val="Point 3 (number)"/>
    <w:basedOn w:val="Normal"/>
    <w:pPr>
      <w:numPr>
        <w:ilvl w:val="6"/>
        <w:numId w:val="20"/>
      </w:numPr>
    </w:pPr>
  </w:style>
  <w:style w:type="paragraph" w:customStyle="1" w:styleId="Point0letter">
    <w:name w:val="Point 0 (letter)"/>
    <w:basedOn w:val="Normal"/>
    <w:pPr>
      <w:numPr>
        <w:ilvl w:val="1"/>
        <w:numId w:val="20"/>
      </w:numPr>
    </w:pPr>
  </w:style>
  <w:style w:type="paragraph" w:customStyle="1" w:styleId="Point1letter">
    <w:name w:val="Point 1 (letter)"/>
    <w:basedOn w:val="Normal"/>
    <w:pPr>
      <w:numPr>
        <w:ilvl w:val="3"/>
        <w:numId w:val="20"/>
      </w:numPr>
    </w:pPr>
  </w:style>
  <w:style w:type="paragraph" w:customStyle="1" w:styleId="Point2letter">
    <w:name w:val="Point 2 (letter)"/>
    <w:basedOn w:val="Normal"/>
    <w:pPr>
      <w:numPr>
        <w:ilvl w:val="5"/>
        <w:numId w:val="20"/>
      </w:numPr>
    </w:pPr>
  </w:style>
  <w:style w:type="paragraph" w:customStyle="1" w:styleId="Point3letter">
    <w:name w:val="Point 3 (letter)"/>
    <w:basedOn w:val="Normal"/>
    <w:pPr>
      <w:numPr>
        <w:ilvl w:val="7"/>
        <w:numId w:val="20"/>
      </w:numPr>
    </w:pPr>
  </w:style>
  <w:style w:type="paragraph" w:customStyle="1" w:styleId="Point4letter">
    <w:name w:val="Point 4 (letter)"/>
    <w:basedOn w:val="Normal"/>
    <w:pPr>
      <w:numPr>
        <w:ilvl w:val="8"/>
        <w:numId w:val="20"/>
      </w:numPr>
    </w:pPr>
  </w:style>
  <w:style w:type="paragraph" w:customStyle="1" w:styleId="Bullet0">
    <w:name w:val="Bullet 0"/>
    <w:basedOn w:val="Normal"/>
    <w:pPr>
      <w:numPr>
        <w:numId w:val="21"/>
      </w:numPr>
    </w:pPr>
  </w:style>
  <w:style w:type="paragraph" w:customStyle="1" w:styleId="Bullet1">
    <w:name w:val="Bullet 1"/>
    <w:basedOn w:val="Normal"/>
    <w:pPr>
      <w:numPr>
        <w:numId w:val="22"/>
      </w:numPr>
    </w:pPr>
  </w:style>
  <w:style w:type="paragraph" w:customStyle="1" w:styleId="Bullet2">
    <w:name w:val="Bullet 2"/>
    <w:basedOn w:val="Normal"/>
    <w:pPr>
      <w:numPr>
        <w:numId w:val="23"/>
      </w:numPr>
    </w:pPr>
  </w:style>
  <w:style w:type="paragraph" w:customStyle="1" w:styleId="Bullet3">
    <w:name w:val="Bullet 3"/>
    <w:basedOn w:val="Normal"/>
    <w:pPr>
      <w:numPr>
        <w:numId w:val="24"/>
      </w:numPr>
    </w:pPr>
  </w:style>
  <w:style w:type="paragraph" w:customStyle="1" w:styleId="Bullet4">
    <w:name w:val="Bullet 4"/>
    <w:basedOn w:val="Normal"/>
    <w:pPr>
      <w:numPr>
        <w:numId w:val="2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s://data.consilium.europa.eu/doc/document/ST-12644-2015-INIT/cs/pdf" TargetMode="External"/><Relationship Id="rId1" Type="http://schemas.openxmlformats.org/officeDocument/2006/relationships/hyperlink" Target="http://eur-lex.europa.eu/legal-content/CS/AUTO/?uri=celex:31994D0800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0196C-4560-4A8F-8280-8F0DD770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27</TotalTime>
  <Pages>7</Pages>
  <Words>1438</Words>
  <Characters>8102</Characters>
  <Application>Microsoft Office Word</Application>
  <DocSecurity>0</DocSecurity>
  <Lines>158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76</cp:revision>
  <cp:lastPrinted>2023-11-16T17:14:00Z</cp:lastPrinted>
  <dcterms:created xsi:type="dcterms:W3CDTF">2023-11-20T13:37:00Z</dcterms:created>
  <dcterms:modified xsi:type="dcterms:W3CDTF">2023-12-08T16:49:00Z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7.0.9.0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7.0.1, Build 20200226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SJ-043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2023-09-08T08:11:16Z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b7701a9e-7c35-4e20-9cd3-1c5f8f239047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DQCStatus">
    <vt:lpwstr>Green (DQC version 03)</vt:lpwstr>
  </property>
  <property name="OP_sanitized" fmtid="{D5CDD505-2E9C-101B-9397-08002B2CF9AE}" pid="18">
    <vt:lpwstr>True</vt:lpwstr>
  </property>
</Properties>
</file>