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694FB" w14:textId="7D63AA8E" w:rsidR="009928A2" w:rsidRPr="003E664C" w:rsidRDefault="00F43B55" w:rsidP="00F43B55">
      <w:pPr>
        <w:pStyle w:val="Pagedecouverture"/>
        <w:rPr>
          <w:noProof/>
        </w:rPr>
      </w:pPr>
      <w:bookmarkStart w:id="0" w:name="_Hlk136516542"/>
      <w:bookmarkStart w:id="1" w:name="LW_BM_COVERPAGE"/>
      <w:r>
        <w:rPr>
          <w:noProof/>
        </w:rPr>
        <w:pict w14:anchorId="59E27C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E5E4F560-1BA5-4DDC-9DFB-CFD0FE221F19" style="width:455.25pt;height:324pt">
            <v:imagedata r:id="rId11" o:title=""/>
          </v:shape>
        </w:pict>
      </w:r>
    </w:p>
    <w:bookmarkEnd w:id="1"/>
    <w:p w14:paraId="6DEE24C4" w14:textId="77777777" w:rsidR="009928A2" w:rsidRPr="003E664C" w:rsidRDefault="009928A2" w:rsidP="009928A2">
      <w:pPr>
        <w:rPr>
          <w:noProof/>
        </w:rPr>
        <w:sectPr w:rsidR="009928A2" w:rsidRPr="003E664C" w:rsidSect="00F43B55">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1CFD766A" w14:textId="517E747D" w:rsidR="00D74FAC" w:rsidRPr="00D74FAC" w:rsidRDefault="00D74FAC" w:rsidP="00D74FAC">
      <w:pPr>
        <w:pStyle w:val="Typedudocument"/>
        <w:rPr>
          <w:noProof/>
        </w:rPr>
      </w:pPr>
      <w:bookmarkStart w:id="2" w:name="_GoBack"/>
      <w:bookmarkEnd w:id="2"/>
      <w:r w:rsidRPr="00D74FAC">
        <w:rPr>
          <w:noProof/>
        </w:rPr>
        <w:lastRenderedPageBreak/>
        <w:t>ZPRÁVA KOMISE EVROPSKÉMU PARLAMENTU A RADĚ</w:t>
      </w:r>
    </w:p>
    <w:p w14:paraId="2F1F518A" w14:textId="03EFC1AB" w:rsidR="00D74FAC" w:rsidRPr="00D74FAC" w:rsidRDefault="00D74FAC" w:rsidP="00D74FAC">
      <w:pPr>
        <w:pStyle w:val="Titreobjet"/>
        <w:rPr>
          <w:noProof/>
        </w:rPr>
      </w:pPr>
      <w:r w:rsidRPr="00D74FAC">
        <w:rPr>
          <w:noProof/>
        </w:rPr>
        <w:t>Osmá zpráva o sledování vývoje na železničním trhu podle čl. 15 odst. 4 směrnice Evropského parlamentu a Rady 2012/34/EU</w:t>
      </w:r>
    </w:p>
    <w:p w14:paraId="053A419C" w14:textId="7809E83D" w:rsidR="009B3A58" w:rsidRPr="008D3DE7" w:rsidRDefault="003F2CC0">
      <w:pPr>
        <w:pStyle w:val="Heading1"/>
        <w:rPr>
          <w:noProof/>
        </w:rPr>
      </w:pPr>
      <w:r>
        <w:rPr>
          <w:noProof/>
        </w:rPr>
        <w:t>Hlavní zjištění</w:t>
      </w:r>
    </w:p>
    <w:p w14:paraId="26F3B891" w14:textId="657066ED" w:rsidR="009B3A58" w:rsidRPr="008D3DE7" w:rsidRDefault="003F2CC0">
      <w:pPr>
        <w:rPr>
          <w:noProof/>
        </w:rPr>
      </w:pPr>
      <w:r>
        <w:rPr>
          <w:noProof/>
        </w:rPr>
        <w:t>Spolehlivé sledování železničního trhu má zásadní význam pro pochopení vývoje na trhu a přijímání kvalifikovaných politických rozhodnutí.</w:t>
      </w:r>
    </w:p>
    <w:p w14:paraId="6EFC63AC" w14:textId="7EFC16E6" w:rsidR="009B3A58" w:rsidRPr="008D3DE7" w:rsidRDefault="003F2CC0">
      <w:pPr>
        <w:rPr>
          <w:noProof/>
        </w:rPr>
      </w:pPr>
      <w:r>
        <w:rPr>
          <w:noProof/>
        </w:rPr>
        <w:t xml:space="preserve">Tato zpráva zahrnuje údaje do roku 2020, včetně dopadu pandemie COVID-19 na odvětví. </w:t>
      </w:r>
    </w:p>
    <w:p w14:paraId="6388A4E2" w14:textId="194B19B2" w:rsidR="009B3A58" w:rsidRPr="008D3DE7" w:rsidRDefault="003F2CC0">
      <w:pPr>
        <w:rPr>
          <w:noProof/>
        </w:rPr>
      </w:pPr>
      <w:r>
        <w:rPr>
          <w:noProof/>
        </w:rPr>
        <w:t xml:space="preserve">Pro období 2015–2020 existuje několik hlavních zjištění. </w:t>
      </w:r>
    </w:p>
    <w:p w14:paraId="0C2A656B" w14:textId="1AF75839" w:rsidR="009B3A58" w:rsidRPr="008D3DE7" w:rsidRDefault="53696716">
      <w:pPr>
        <w:pStyle w:val="NumPar1"/>
        <w:numPr>
          <w:ilvl w:val="0"/>
          <w:numId w:val="32"/>
        </w:numPr>
        <w:rPr>
          <w:noProof/>
        </w:rPr>
      </w:pPr>
      <w:r>
        <w:rPr>
          <w:noProof/>
        </w:rPr>
        <w:t>V letech 2015 až 2019 vzrostla osobní doprava z hlediska osobokilometrů v průměru o 3 % ročně. V roce 2020 však počet ujetých kilometrů prudce klesl o 46 %, a to v důsledku opatření souvisejících s pandemií COVID-19, včetně omezení cestování</w:t>
      </w:r>
      <w:r>
        <w:rPr>
          <w:rStyle w:val="FootnoteReference"/>
          <w:noProof/>
        </w:rPr>
        <w:footnoteReference w:id="2"/>
      </w:r>
      <w:r>
        <w:rPr>
          <w:noProof/>
        </w:rPr>
        <w:t>.</w:t>
      </w:r>
    </w:p>
    <w:p w14:paraId="51818240" w14:textId="175FBD22" w:rsidR="000B578D" w:rsidRPr="008D3DE7" w:rsidRDefault="000B578D">
      <w:pPr>
        <w:pStyle w:val="NumPar1"/>
        <w:numPr>
          <w:ilvl w:val="0"/>
          <w:numId w:val="32"/>
        </w:numPr>
        <w:rPr>
          <w:noProof/>
        </w:rPr>
      </w:pPr>
      <w:r>
        <w:rPr>
          <w:noProof/>
        </w:rPr>
        <w:t>V letech 2015 až 2019 rostla z hlediska tunokilometrů i nákladní doprava, a to každoročně o 3 %. Železniční nákladní doprava byla pandemií rovněž ovlivněna, ale v menší míře než osobní železniční doprava, a v letech 2019 až 2020 zaznamenala pokles o 8 %.</w:t>
      </w:r>
    </w:p>
    <w:p w14:paraId="706EBCEB" w14:textId="0B509A09" w:rsidR="009B3A58" w:rsidRPr="008D3DE7" w:rsidRDefault="000B578D" w:rsidP="005A775F">
      <w:pPr>
        <w:pStyle w:val="ListParagraph"/>
        <w:numPr>
          <w:ilvl w:val="0"/>
          <w:numId w:val="32"/>
        </w:numPr>
        <w:rPr>
          <w:noProof/>
        </w:rPr>
      </w:pPr>
      <w:r>
        <w:rPr>
          <w:noProof/>
        </w:rPr>
        <w:t>Mezi lety 2015 a 2019 se ve většině zemí mírně zvýšil podíl cestujících přepravovaných po železnici. V roce 2020 však v důsledku pandemie tento podíl klesl o 2,4 procentního bodu. Pandemie měla dopad jak na poptávku po železniční dopravě (individuální preference vedoucí k většímu využívání individuálních dopravních prostředků), tak na její nabídku (zrušení některých komerčních vlaků).</w:t>
      </w:r>
    </w:p>
    <w:p w14:paraId="6FA84EE8" w14:textId="534D7CFD" w:rsidR="009B3A58" w:rsidRPr="00413624" w:rsidRDefault="000B578D" w:rsidP="00413624">
      <w:pPr>
        <w:pStyle w:val="NumPar1"/>
        <w:numPr>
          <w:ilvl w:val="0"/>
          <w:numId w:val="32"/>
        </w:numPr>
        <w:rPr>
          <w:noProof/>
        </w:rPr>
      </w:pPr>
      <w:r>
        <w:rPr>
          <w:noProof/>
        </w:rPr>
        <w:t xml:space="preserve">Délka vysokorychlostní sítě se mezi lety 2015 a 2020 zvýšila o téměř 1 500 km, zatímco počet osobokilometrů na vysokorychlostních linkách se v roce 2020 drasticky snížil v důsledku omezení cestování v souvislosti s pandemií. Údaje za rok 2019 však ukazují slibný vývoj v počtu osobokilometrů. Pokud by trend nárůstu počtu osobokilometrů v letech 2015–2019 pokračoval, byly by cíle stanovené ve strategii pro udržitelnou a inteligentní mobilitu ohledně počtu cestujících využívajících vysokorychlostní dopravu v letech 2030 a 2050 splněny a překročeny. </w:t>
      </w:r>
    </w:p>
    <w:p w14:paraId="26E81B4F" w14:textId="79236059" w:rsidR="009B3A58" w:rsidRPr="008D3DE7" w:rsidRDefault="000B578D">
      <w:pPr>
        <w:pStyle w:val="NumPar1"/>
        <w:numPr>
          <w:ilvl w:val="0"/>
          <w:numId w:val="32"/>
        </w:numPr>
        <w:rPr>
          <w:noProof/>
        </w:rPr>
      </w:pPr>
      <w:r>
        <w:rPr>
          <w:noProof/>
        </w:rPr>
        <w:t xml:space="preserve">V roce 2020 měly železniční podniky 1 192 aktivních licencí, což je o 100 licencí více než v roce 2018. </w:t>
      </w:r>
    </w:p>
    <w:p w14:paraId="316C7772" w14:textId="01CC8D11" w:rsidR="009B3A58" w:rsidRPr="008D3DE7" w:rsidRDefault="000B578D">
      <w:pPr>
        <w:pStyle w:val="NumPar1"/>
        <w:numPr>
          <w:ilvl w:val="0"/>
          <w:numId w:val="32"/>
        </w:numPr>
        <w:rPr>
          <w:noProof/>
        </w:rPr>
      </w:pPr>
      <w:r>
        <w:rPr>
          <w:noProof/>
        </w:rPr>
        <w:t xml:space="preserve">Průměrný podíl nových účastníků na trhu vůči stávajícím provozovatelům v roce 2020 činil: </w:t>
      </w:r>
    </w:p>
    <w:p w14:paraId="292F30C6" w14:textId="44FF4AF4" w:rsidR="009B3A58" w:rsidRPr="008D3DE7" w:rsidRDefault="003F2CC0">
      <w:pPr>
        <w:pStyle w:val="NumPar1"/>
        <w:numPr>
          <w:ilvl w:val="1"/>
          <w:numId w:val="35"/>
        </w:numPr>
        <w:rPr>
          <w:noProof/>
        </w:rPr>
      </w:pPr>
      <w:r>
        <w:rPr>
          <w:noProof/>
        </w:rPr>
        <w:t>46 % trhů železniční nákladní dopravy, což je o 11</w:t>
      </w:r>
      <w:r w:rsidR="00A76A3C">
        <w:rPr>
          <w:noProof/>
        </w:rPr>
        <w:t xml:space="preserve"> </w:t>
      </w:r>
      <w:r>
        <w:rPr>
          <w:noProof/>
        </w:rPr>
        <w:t xml:space="preserve">procentních bodů více než v roce 2015, </w:t>
      </w:r>
    </w:p>
    <w:p w14:paraId="126EE609" w14:textId="77777777" w:rsidR="009B3A58" w:rsidRPr="008D3DE7" w:rsidRDefault="005354B3" w:rsidP="00605AA8">
      <w:pPr>
        <w:pStyle w:val="NumPar1"/>
        <w:keepLines/>
        <w:numPr>
          <w:ilvl w:val="1"/>
          <w:numId w:val="35"/>
        </w:numPr>
        <w:ind w:left="1434" w:hanging="357"/>
        <w:rPr>
          <w:noProof/>
        </w:rPr>
      </w:pPr>
      <w:r>
        <w:rPr>
          <w:noProof/>
        </w:rPr>
        <w:t>14 % trhů přepravy cestujících (závazky veřejné služby a komerční služby společně), což je o 2 procentní body více než v roce 2015.</w:t>
      </w:r>
    </w:p>
    <w:p w14:paraId="437BB366" w14:textId="3FE0EE66" w:rsidR="009B3A58" w:rsidRPr="008D3DE7" w:rsidRDefault="00CC4059">
      <w:pPr>
        <w:pStyle w:val="NumPar1"/>
        <w:numPr>
          <w:ilvl w:val="0"/>
          <w:numId w:val="32"/>
        </w:numPr>
        <w:rPr>
          <w:noProof/>
        </w:rPr>
      </w:pPr>
      <w:r>
        <w:rPr>
          <w:noProof/>
        </w:rPr>
        <w:t xml:space="preserve">Železnice je i nadále jedním z nejbezpečnějších druhů dopravy. </w:t>
      </w:r>
    </w:p>
    <w:p w14:paraId="7B9E1882" w14:textId="385B0F02" w:rsidR="009B3A58" w:rsidRPr="008D3DE7" w:rsidRDefault="00CC4059">
      <w:pPr>
        <w:pStyle w:val="NumPar1"/>
        <w:numPr>
          <w:ilvl w:val="0"/>
          <w:numId w:val="32"/>
        </w:numPr>
        <w:rPr>
          <w:noProof/>
        </w:rPr>
      </w:pPr>
      <w:r>
        <w:rPr>
          <w:noProof/>
        </w:rPr>
        <w:t>Na konci roku 2020 bylo v odvětví železniční dopravy zaměstnáno více než 910 000 osob. V porovnání s rokem 2018 se jedná o mírný pokles.</w:t>
      </w:r>
    </w:p>
    <w:p w14:paraId="7B1F25DD" w14:textId="77777777" w:rsidR="009B3A58" w:rsidRPr="008D3DE7" w:rsidRDefault="003F2CC0">
      <w:pPr>
        <w:pStyle w:val="NumPar1"/>
        <w:rPr>
          <w:b/>
          <w:noProof/>
        </w:rPr>
      </w:pPr>
      <w:r>
        <w:rPr>
          <w:b/>
          <w:smallCaps/>
          <w:noProof/>
        </w:rPr>
        <w:t>Metodika</w:t>
      </w:r>
    </w:p>
    <w:p w14:paraId="74FC8C30" w14:textId="51F35D88" w:rsidR="009B3A58" w:rsidRPr="008D3DE7" w:rsidRDefault="003F2CC0">
      <w:pPr>
        <w:rPr>
          <w:noProof/>
        </w:rPr>
      </w:pPr>
      <w:r>
        <w:rPr>
          <w:noProof/>
        </w:rPr>
        <w:t>Jedná se o osmé vydání zprávy o sledování železničního trhu, kterou Komise každé dva roky předkládá Evropskému parlamentu a Radě podle čl. 15 odst. 4 směrnice 2012/34/EU</w:t>
      </w:r>
      <w:r>
        <w:rPr>
          <w:rStyle w:val="FootnoteReference"/>
          <w:noProof/>
        </w:rPr>
        <w:footnoteReference w:id="3"/>
      </w:r>
      <w:r>
        <w:rPr>
          <w:noProof/>
        </w:rPr>
        <w:t>. Jejím účelem je poskytnout přehled o hlavním vývoji na železničním trhu v souvislosti s politikou EU v této oblasti</w:t>
      </w:r>
      <w:r>
        <w:rPr>
          <w:rStyle w:val="FootnoteReference"/>
          <w:noProof/>
        </w:rPr>
        <w:footnoteReference w:id="4"/>
      </w:r>
      <w:r>
        <w:rPr>
          <w:noProof/>
        </w:rPr>
        <w:t>. Osmá zpráva se zaměřuje především na vývoj v období 2015 až 2020, přičemž uvádí odkazy na údaje z roku 2019, aby zdůraznila dopady pandemie COVID-19, a na trendy a vývoj politiky přesahující sledované období až do data vypracování této zprávy.</w:t>
      </w:r>
    </w:p>
    <w:p w14:paraId="718219DD" w14:textId="10704D83" w:rsidR="009B3A58" w:rsidRPr="008D3DE7" w:rsidRDefault="003F2CC0">
      <w:pPr>
        <w:rPr>
          <w:noProof/>
        </w:rPr>
      </w:pPr>
      <w:r>
        <w:rPr>
          <w:noProof/>
        </w:rPr>
        <w:t xml:space="preserve">Kromě údajů z monitorování železničního trhu (dále jen „RMMS“) předložených členskými státy a Norskem vychází tato zpráva také z příspěvků ve statistické příručce </w:t>
      </w:r>
      <w:r>
        <w:rPr>
          <w:i/>
          <w:noProof/>
        </w:rPr>
        <w:t>Doprava EU v číslech</w:t>
      </w:r>
      <w:r>
        <w:rPr>
          <w:rStyle w:val="FootnoteReference"/>
          <w:noProof/>
        </w:rPr>
        <w:footnoteReference w:id="5"/>
      </w:r>
      <w:r>
        <w:rPr>
          <w:noProof/>
        </w:rPr>
        <w:t>, ze zpráv Agentury Evropské unie pro železnice</w:t>
      </w:r>
      <w:r>
        <w:rPr>
          <w:rStyle w:val="FootnoteReference"/>
          <w:noProof/>
        </w:rPr>
        <w:footnoteReference w:id="6"/>
      </w:r>
      <w:r>
        <w:rPr>
          <w:noProof/>
        </w:rPr>
        <w:t>, z údajů Eurostatu</w:t>
      </w:r>
      <w:r>
        <w:rPr>
          <w:rStyle w:val="FootnoteReference"/>
          <w:noProof/>
        </w:rPr>
        <w:footnoteReference w:id="7"/>
      </w:r>
      <w:r>
        <w:rPr>
          <w:noProof/>
        </w:rPr>
        <w:t xml:space="preserve">, ze statistik shromážděných různými odvětvovými organizacemi a z prezentací a studií. Pokud je jediným zdrojem nařízení o RMMS, posuzuje zpráva vývoj v období 2015–2020, aby byla zajištěna srovnatelnost údajů. Při použití jiných zdrojů zpráva uvádí i vývoj za delší období. </w:t>
      </w:r>
    </w:p>
    <w:p w14:paraId="68B4EBF5" w14:textId="4EA44A48" w:rsidR="009B3A58" w:rsidRPr="008D3DE7" w:rsidRDefault="003F2CC0">
      <w:pPr>
        <w:rPr>
          <w:noProof/>
        </w:rPr>
      </w:pPr>
      <w:r>
        <w:rPr>
          <w:noProof/>
        </w:rPr>
        <w:t>Souhrnné údaje a průměry se týkají EU-27 (stávajícího počtu členských států EU</w:t>
      </w:r>
      <w:r>
        <w:rPr>
          <w:rStyle w:val="FootnoteReference"/>
          <w:noProof/>
        </w:rPr>
        <w:footnoteReference w:id="8"/>
      </w:r>
      <w:r>
        <w:rPr>
          <w:noProof/>
        </w:rPr>
        <w:t>).</w:t>
      </w:r>
    </w:p>
    <w:p w14:paraId="79022A9F" w14:textId="77777777" w:rsidR="009B3A58" w:rsidRPr="008D3DE7" w:rsidRDefault="003F2CC0">
      <w:pPr>
        <w:pStyle w:val="Heading1"/>
        <w:rPr>
          <w:noProof/>
        </w:rPr>
      </w:pPr>
      <w:r>
        <w:rPr>
          <w:noProof/>
        </w:rPr>
        <w:t>Železnice a udržitelnost</w:t>
      </w:r>
    </w:p>
    <w:p w14:paraId="632A17C3" w14:textId="44A5D341" w:rsidR="009B3A58" w:rsidRPr="008D3DE7" w:rsidRDefault="003F2CC0">
      <w:pPr>
        <w:widowControl/>
        <w:rPr>
          <w:noProof/>
        </w:rPr>
      </w:pPr>
      <w:r>
        <w:rPr>
          <w:noProof/>
        </w:rPr>
        <w:t>Železniční doprava od roku 1990 téměř nepřetržitě snižuje své přímé emise skleníkových plynů, přičemž v roce 2020 přepravovala přibližně 11,5 % nákladu a 5,1 % cestujících ze všech druhů dopravy v rámci EU. Zatímco v letech 1990–2019 železniční doprava neustále snižovala své emise, nákladní doprava po železnici vzrostla z hlediska tunokilometrů o téměř 10 % a počet osobokilometrů se zvýšil přibližně o 35 %. Železniční doprava je obecně relativně méně znečišťující a energeticky účinnější než jiné druhy motorové dopravy. V roce 2020 železniční doprava představovala 0,4 % emisí skleníkových plynů z dopravy a emisí CO</w:t>
      </w:r>
      <w:r>
        <w:rPr>
          <w:noProof/>
          <w:vertAlign w:val="subscript"/>
        </w:rPr>
        <w:t>2</w:t>
      </w:r>
      <w:r>
        <w:rPr>
          <w:noProof/>
        </w:rPr>
        <w:t xml:space="preserve"> a 1,9 % spotřeby energie v dopravě v EU-27. Aby bylo dosaženo cílů Zelené dohody pro Evropu, je třeba, aby na železnici přešel větší podíl osobní a nákladní dopravy. </w:t>
      </w:r>
    </w:p>
    <w:p w14:paraId="60DE735F" w14:textId="77777777" w:rsidR="009B3A58" w:rsidRPr="008D3DE7" w:rsidRDefault="003F2CC0">
      <w:pPr>
        <w:pStyle w:val="Heading1"/>
        <w:rPr>
          <w:noProof/>
        </w:rPr>
      </w:pPr>
      <w:r>
        <w:rPr>
          <w:noProof/>
        </w:rPr>
        <w:t>Železniční síť EU</w:t>
      </w:r>
    </w:p>
    <w:p w14:paraId="50FCF40E" w14:textId="0E3975BC" w:rsidR="009B3A58" w:rsidRPr="008D3DE7" w:rsidRDefault="003F2CC0" w:rsidP="00605AA8">
      <w:pPr>
        <w:keepLines/>
        <w:rPr>
          <w:noProof/>
        </w:rPr>
      </w:pPr>
      <w:r>
        <w:rPr>
          <w:noProof/>
        </w:rPr>
        <w:t xml:space="preserve">Celková délka železniční sítě EU-27 v roce 2020 činila přibližně 201 000 kilometrů tratí (o 0,4 % méně než v roce 2015). Elektrifikovalo se asi 57 % sítě EU, což od roku 2015 představuje nárůst o 2 410 kilometrů elektrifikovaných tratí (+2,2 %).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3"/>
        <w:gridCol w:w="2619"/>
      </w:tblGrid>
      <w:tr w:rsidR="001E646D" w:rsidRPr="008D3DE7" w14:paraId="5719CEBF" w14:textId="77777777" w:rsidTr="005A775F">
        <w:tc>
          <w:tcPr>
            <w:tcW w:w="9242" w:type="dxa"/>
            <w:gridSpan w:val="2"/>
          </w:tcPr>
          <w:p w14:paraId="7AD84D48" w14:textId="76C4D972" w:rsidR="001E646D" w:rsidRPr="008D3DE7" w:rsidRDefault="001E646D" w:rsidP="005A775F">
            <w:pPr>
              <w:rPr>
                <w:i/>
                <w:noProof/>
              </w:rPr>
            </w:pPr>
            <w:r>
              <w:rPr>
                <w:rFonts w:asciiTheme="minorHAnsi" w:hAnsiTheme="minorHAnsi"/>
                <w:i/>
                <w:noProof/>
                <w:color w:val="0070C0"/>
                <w:sz w:val="20"/>
              </w:rPr>
              <w:t xml:space="preserve">Graf </w:t>
            </w:r>
            <w:r>
              <w:rPr>
                <w:rFonts w:asciiTheme="minorHAnsi" w:hAnsiTheme="minorHAnsi" w:cstheme="minorHAnsi"/>
                <w:i/>
                <w:noProof/>
                <w:color w:val="0070C0"/>
                <w:sz w:val="20"/>
              </w:rPr>
              <w:fldChar w:fldCharType="begin"/>
            </w:r>
            <w:r>
              <w:rPr>
                <w:rFonts w:asciiTheme="minorHAnsi" w:hAnsiTheme="minorHAnsi" w:cstheme="minorHAnsi"/>
                <w:i/>
                <w:noProof/>
                <w:color w:val="0070C0"/>
                <w:sz w:val="20"/>
              </w:rPr>
              <w:instrText xml:space="preserve"> SEQ Figure \* ARABIC </w:instrText>
            </w:r>
            <w:r>
              <w:rPr>
                <w:rFonts w:asciiTheme="minorHAnsi" w:hAnsiTheme="minorHAnsi" w:cstheme="minorHAnsi"/>
                <w:i/>
                <w:noProof/>
                <w:color w:val="0070C0"/>
                <w:sz w:val="20"/>
              </w:rPr>
              <w:fldChar w:fldCharType="separate"/>
            </w:r>
            <w:r w:rsidR="001C029C">
              <w:rPr>
                <w:rFonts w:asciiTheme="minorHAnsi" w:hAnsiTheme="minorHAnsi" w:cstheme="minorHAnsi"/>
                <w:i/>
                <w:noProof/>
                <w:color w:val="0070C0"/>
                <w:sz w:val="20"/>
              </w:rPr>
              <w:t>1</w:t>
            </w:r>
            <w:r>
              <w:rPr>
                <w:rFonts w:asciiTheme="minorHAnsi" w:hAnsiTheme="minorHAnsi" w:cstheme="minorHAnsi"/>
                <w:i/>
                <w:noProof/>
                <w:color w:val="0070C0"/>
                <w:sz w:val="20"/>
              </w:rPr>
              <w:fldChar w:fldCharType="end"/>
            </w:r>
            <w:r>
              <w:rPr>
                <w:rFonts w:asciiTheme="minorHAnsi" w:hAnsiTheme="minorHAnsi"/>
                <w:i/>
                <w:noProof/>
                <w:color w:val="0070C0"/>
                <w:sz w:val="20"/>
              </w:rPr>
              <w:t>: Délka vnitrostátních sítí podle zemí (v tisících kilometrů trati, v roce 2020) a relativní změna (2015–2020)</w:t>
            </w:r>
          </w:p>
        </w:tc>
      </w:tr>
      <w:tr w:rsidR="004176EB" w:rsidRPr="008D3DE7" w14:paraId="62B7F51B" w14:textId="77777777" w:rsidTr="005A775F">
        <w:tc>
          <w:tcPr>
            <w:tcW w:w="7226" w:type="dxa"/>
          </w:tcPr>
          <w:p w14:paraId="141D5E84" w14:textId="541FBB67" w:rsidR="001E646D" w:rsidRPr="008D3DE7" w:rsidRDefault="004176EB" w:rsidP="005A775F">
            <w:pPr>
              <w:rPr>
                <w:rFonts w:asciiTheme="minorHAnsi" w:eastAsiaTheme="minorHAnsi" w:hAnsiTheme="minorHAnsi" w:cstheme="minorBidi"/>
                <w:i/>
                <w:noProof/>
                <w:sz w:val="18"/>
              </w:rPr>
            </w:pPr>
            <w:r w:rsidRPr="001E2895">
              <w:rPr>
                <w:noProof/>
                <w:lang w:val="en-GB" w:eastAsia="en-GB"/>
              </w:rPr>
              <w:drawing>
                <wp:inline distT="0" distB="0" distL="0" distR="0" wp14:anchorId="60655328" wp14:editId="3D3E2369">
                  <wp:extent cx="4114800" cy="3242219"/>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39424" cy="3261621"/>
                          </a:xfrm>
                          <a:prstGeom prst="rect">
                            <a:avLst/>
                          </a:prstGeom>
                          <a:noFill/>
                          <a:ln>
                            <a:noFill/>
                          </a:ln>
                        </pic:spPr>
                      </pic:pic>
                    </a:graphicData>
                  </a:graphic>
                </wp:inline>
              </w:drawing>
            </w:r>
          </w:p>
        </w:tc>
        <w:tc>
          <w:tcPr>
            <w:tcW w:w="2016" w:type="dxa"/>
          </w:tcPr>
          <w:p w14:paraId="45BF9B5C" w14:textId="2C2AFE2C" w:rsidR="001E646D" w:rsidRPr="008D3DE7" w:rsidRDefault="006B1C19" w:rsidP="005A775F">
            <w:pPr>
              <w:rPr>
                <w:rFonts w:asciiTheme="minorHAnsi" w:eastAsiaTheme="minorHAnsi" w:hAnsiTheme="minorHAnsi" w:cstheme="minorBidi"/>
                <w:i/>
                <w:noProof/>
                <w:sz w:val="18"/>
              </w:rPr>
            </w:pPr>
            <w:r>
              <w:rPr>
                <w:rFonts w:asciiTheme="minorHAnsi" w:eastAsiaTheme="minorHAnsi" w:hAnsiTheme="minorHAnsi" w:cstheme="minorBidi"/>
                <w:i/>
                <w:noProof/>
                <w:sz w:val="18"/>
                <w:lang w:val="en-GB" w:eastAsia="en-GB"/>
              </w:rPr>
              <w:drawing>
                <wp:inline distT="0" distB="0" distL="0" distR="0" wp14:anchorId="1FCF1047" wp14:editId="4DAEB7CF">
                  <wp:extent cx="1538510" cy="3105510"/>
                  <wp:effectExtent l="0" t="0" r="508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89775" cy="3208989"/>
                          </a:xfrm>
                          <a:prstGeom prst="rect">
                            <a:avLst/>
                          </a:prstGeom>
                          <a:noFill/>
                          <a:ln>
                            <a:noFill/>
                          </a:ln>
                        </pic:spPr>
                      </pic:pic>
                    </a:graphicData>
                  </a:graphic>
                </wp:inline>
              </w:drawing>
            </w:r>
          </w:p>
        </w:tc>
      </w:tr>
      <w:tr w:rsidR="001E646D" w:rsidRPr="008D3DE7" w14:paraId="138DF254" w14:textId="77777777" w:rsidTr="005A775F">
        <w:tc>
          <w:tcPr>
            <w:tcW w:w="9242" w:type="dxa"/>
            <w:gridSpan w:val="2"/>
          </w:tcPr>
          <w:p w14:paraId="46430119" w14:textId="77777777" w:rsidR="001E646D" w:rsidRPr="008D3DE7" w:rsidRDefault="001E646D" w:rsidP="005A775F">
            <w:pPr>
              <w:rPr>
                <w:noProof/>
              </w:rPr>
            </w:pPr>
            <w:r>
              <w:rPr>
                <w:rFonts w:asciiTheme="minorHAnsi" w:hAnsiTheme="minorHAnsi"/>
                <w:i/>
                <w:noProof/>
                <w:sz w:val="18"/>
              </w:rPr>
              <w:t>Zdroj: Statistická příručka, 2022.</w:t>
            </w:r>
          </w:p>
        </w:tc>
      </w:tr>
    </w:tbl>
    <w:p w14:paraId="5E8BBD9D" w14:textId="6D2C5219" w:rsidR="009B3A58" w:rsidRPr="008D3DE7" w:rsidRDefault="003F2CC0" w:rsidP="004D6757">
      <w:pPr>
        <w:rPr>
          <w:noProof/>
        </w:rPr>
      </w:pPr>
      <w:r>
        <w:rPr>
          <w:noProof/>
        </w:rPr>
        <w:t xml:space="preserve">Vysokorychlostní železniční síť </w:t>
      </w:r>
      <w:r w:rsidR="00D65D43">
        <w:rPr>
          <w:noProof/>
        </w:rPr>
        <w:t xml:space="preserve">EU </w:t>
      </w:r>
      <w:r>
        <w:rPr>
          <w:noProof/>
        </w:rPr>
        <w:t xml:space="preserve">na konci roku 2020 zahrnovala přes 11 500 kilometrů, což je od roku 2015 nárůst o 14,5 %. Pokud by současný trend rozšiřování sítě v příštích desetiletích pokračoval, délka vysokorychlostní sítě by se v období 2015–2030 zvýšila přibližně o 50 % a v období 2015–2050 by vzrostla dvaapůlkrát. Strategie pro udržitelnou a inteligentní mobilitu stanovila ambiciózní cíle pro vysokorychlostní železniční dopravu, která by se měla v porovnání s rokem 2015 do roku 2030 zdvojnásobit a do roku 2050 ztrojnásobit. </w:t>
      </w:r>
    </w:p>
    <w:p w14:paraId="31F62560" w14:textId="77777777" w:rsidR="009B3A58" w:rsidRPr="008D3DE7" w:rsidRDefault="003F2CC0">
      <w:pPr>
        <w:pStyle w:val="Heading1"/>
        <w:rPr>
          <w:noProof/>
        </w:rPr>
      </w:pPr>
      <w:r>
        <w:rPr>
          <w:noProof/>
        </w:rPr>
        <w:t>Vývoj služeb železniční dopravy</w:t>
      </w:r>
    </w:p>
    <w:p w14:paraId="65B96763" w14:textId="4688E935" w:rsidR="009B3A58" w:rsidRPr="008D3DE7" w:rsidRDefault="00F71AA2">
      <w:pPr>
        <w:rPr>
          <w:noProof/>
        </w:rPr>
      </w:pPr>
      <w:r>
        <w:rPr>
          <w:noProof/>
        </w:rPr>
        <w:t>Po mírném nárůstu objemu dopravy v posledních deseti letech byl v roce 2020 celkový počet vlakových kilometrů v EU (v osobní i nákladní dopravě) vážně ovlivněn pandemií COVID-19. Z hlediska vlakových kilometrů došlo v roce 2020 v porovnání s rokem 2019 k poklesu nákladní dopravy o 8 %. Osobní doprava byla zasažena výrazněji, neboť její objem klesl ve srovnání s rokem 2019 téměř o polovinu (46 %). Zdá se však, že nedávný vývoj na trhu naznačuje návrat k úrovním před pandemií a v některých segmentech dokonce na vyšší úroveň nabídky a poptávky ve srovnání s dobou před pandemií COVID-19.</w:t>
      </w:r>
    </w:p>
    <w:p w14:paraId="14C03EFF" w14:textId="77777777" w:rsidR="009B3A58" w:rsidRPr="008D3DE7" w:rsidRDefault="009B3A58">
      <w:pPr>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9B3A58" w:rsidRPr="008D3DE7" w14:paraId="08FF77CF" w14:textId="77777777">
        <w:tc>
          <w:tcPr>
            <w:tcW w:w="9242" w:type="dxa"/>
          </w:tcPr>
          <w:p w14:paraId="2E3D840B" w14:textId="77777777" w:rsidR="009B3A58" w:rsidRPr="008D3DE7" w:rsidRDefault="003F2CC0" w:rsidP="005B4798">
            <w:pPr>
              <w:keepNext/>
              <w:spacing w:after="120"/>
              <w:rPr>
                <w:noProof/>
              </w:rPr>
            </w:pPr>
            <w:r>
              <w:rPr>
                <w:rFonts w:asciiTheme="minorHAnsi" w:hAnsiTheme="minorHAnsi"/>
                <w:i/>
                <w:noProof/>
                <w:color w:val="0070C0"/>
                <w:sz w:val="20"/>
              </w:rPr>
              <w:t xml:space="preserve">Graf </w:t>
            </w:r>
            <w:r>
              <w:rPr>
                <w:rFonts w:asciiTheme="minorHAnsi" w:hAnsiTheme="minorHAnsi" w:cstheme="minorHAnsi"/>
                <w:noProof/>
                <w:color w:val="0070C0"/>
                <w:sz w:val="20"/>
              </w:rPr>
              <w:fldChar w:fldCharType="begin"/>
            </w:r>
            <w:r>
              <w:rPr>
                <w:rFonts w:asciiTheme="minorHAnsi" w:hAnsiTheme="minorHAnsi" w:cstheme="minorHAnsi"/>
                <w:i/>
                <w:noProof/>
                <w:color w:val="0070C0"/>
                <w:sz w:val="20"/>
              </w:rPr>
              <w:instrText xml:space="preserve"> SEQ Figure \* ARABIC </w:instrText>
            </w:r>
            <w:r>
              <w:rPr>
                <w:rFonts w:asciiTheme="minorHAnsi" w:hAnsiTheme="minorHAnsi" w:cstheme="minorHAnsi"/>
                <w:noProof/>
                <w:color w:val="0070C0"/>
                <w:sz w:val="20"/>
              </w:rPr>
              <w:fldChar w:fldCharType="separate"/>
            </w:r>
            <w:r w:rsidR="001C029C">
              <w:rPr>
                <w:rFonts w:asciiTheme="minorHAnsi" w:hAnsiTheme="minorHAnsi" w:cstheme="minorHAnsi"/>
                <w:i/>
                <w:noProof/>
                <w:color w:val="0070C0"/>
                <w:sz w:val="20"/>
              </w:rPr>
              <w:t>2</w:t>
            </w:r>
            <w:r>
              <w:rPr>
                <w:rFonts w:asciiTheme="minorHAnsi" w:hAnsiTheme="minorHAnsi" w:cstheme="minorHAnsi"/>
                <w:noProof/>
                <w:color w:val="0070C0"/>
                <w:sz w:val="20"/>
              </w:rPr>
              <w:fldChar w:fldCharType="end"/>
            </w:r>
            <w:r>
              <w:rPr>
                <w:rFonts w:asciiTheme="minorHAnsi" w:hAnsiTheme="minorHAnsi"/>
                <w:i/>
                <w:noProof/>
                <w:color w:val="0070C0"/>
                <w:sz w:val="20"/>
              </w:rPr>
              <w:t>: Objemy osobní a nákladní dopravy (osobokilometry, tunokilometry a vlakové kilometry, 2005–2020)</w:t>
            </w:r>
          </w:p>
        </w:tc>
      </w:tr>
      <w:tr w:rsidR="009B3A58" w:rsidRPr="008D3DE7" w14:paraId="6E296A1A" w14:textId="77777777">
        <w:tc>
          <w:tcPr>
            <w:tcW w:w="9242" w:type="dxa"/>
          </w:tcPr>
          <w:p w14:paraId="4BA4038F" w14:textId="41DE49F9" w:rsidR="009B3A58" w:rsidRPr="008D3DE7" w:rsidRDefault="001C029C">
            <w:pPr>
              <w:rPr>
                <w:noProof/>
              </w:rPr>
            </w:pPr>
            <w:r>
              <w:rPr>
                <w:noProof/>
                <w:lang w:val="en-GB" w:eastAsia="en-GB"/>
              </w:rPr>
              <mc:AlternateContent>
                <mc:Choice Requires="wps">
                  <w:drawing>
                    <wp:anchor distT="0" distB="0" distL="114300" distR="114300" simplePos="0" relativeHeight="251658240" behindDoc="0" locked="0" layoutInCell="1" allowOverlap="1" wp14:anchorId="797DDE2D" wp14:editId="5FC0FB88">
                      <wp:simplePos x="0" y="0"/>
                      <wp:positionH relativeFrom="column">
                        <wp:posOffset>3337560</wp:posOffset>
                      </wp:positionH>
                      <wp:positionV relativeFrom="paragraph">
                        <wp:posOffset>53340</wp:posOffset>
                      </wp:positionV>
                      <wp:extent cx="1744980" cy="2820670"/>
                      <wp:effectExtent l="0" t="0" r="26670" b="17780"/>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4980" cy="2820670"/>
                              </a:xfrm>
                              <a:prstGeom prst="rect">
                                <a:avLst/>
                              </a:prstGeom>
                              <a:noFill/>
                              <a:ln w="19050">
                                <a:solidFill>
                                  <a:srgbClr val="9ACA3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96E444" id="Obdélník 3" o:spid="_x0000_s1026" style="position:absolute;margin-left:262.8pt;margin-top:4.2pt;width:137.4pt;height:22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" filled="f" strokecolor="#9aca3c" strokeweight="1.5pt">
                      <v:path arrowok="t"/>
                    </v:rect>
                  </w:pict>
                </mc:Fallback>
              </mc:AlternateContent>
            </w:r>
            <w:r w:rsidR="00132A8A">
              <w:rPr>
                <w:noProof/>
                <w:lang w:val="en-GB" w:eastAsia="en-GB"/>
              </w:rPr>
              <w:drawing>
                <wp:inline distT="0" distB="0" distL="0" distR="0" wp14:anchorId="4F639224" wp14:editId="13265D84">
                  <wp:extent cx="5724525" cy="3143250"/>
                  <wp:effectExtent l="0" t="0" r="9525"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24525" cy="3143250"/>
                          </a:xfrm>
                          <a:prstGeom prst="rect">
                            <a:avLst/>
                          </a:prstGeom>
                          <a:noFill/>
                          <a:ln>
                            <a:noFill/>
                          </a:ln>
                        </pic:spPr>
                      </pic:pic>
                    </a:graphicData>
                  </a:graphic>
                </wp:inline>
              </w:drawing>
            </w:r>
            <w:r w:rsidR="00F013F3">
              <w:rPr>
                <w:noProof/>
              </w:rPr>
              <w:t xml:space="preserve"> </w:t>
            </w:r>
          </w:p>
        </w:tc>
      </w:tr>
      <w:tr w:rsidR="009B3A58" w:rsidRPr="008D3DE7" w14:paraId="1589910B" w14:textId="77777777">
        <w:tc>
          <w:tcPr>
            <w:tcW w:w="9242" w:type="dxa"/>
          </w:tcPr>
          <w:p w14:paraId="45D84987" w14:textId="77777777" w:rsidR="009B3A58" w:rsidRPr="008D3DE7" w:rsidRDefault="005B4798">
            <w:pPr>
              <w:rPr>
                <w:noProof/>
              </w:rPr>
            </w:pPr>
            <w:r>
              <w:rPr>
                <w:rFonts w:asciiTheme="minorHAnsi" w:hAnsiTheme="minorHAnsi"/>
                <w:i/>
                <w:noProof/>
                <w:sz w:val="18"/>
              </w:rPr>
              <w:t>Zdroj: RMMS, 2022. Doplňující údaje z různých dalších zdrojů a odhadů. Údaje pro RO za rok 2014 a pro PT za rok 2020 byly opraveny kvůli chybě v rozsahu. Údaje pro RO za rok 2015, LU za roky 2015, 2016 a 2019, HU za rok 2016, HR za rok 2019, NL za rok 2019, LV za rok 2020 a PL za rok 2020 jsou odhady Komise.</w:t>
            </w:r>
          </w:p>
        </w:tc>
      </w:tr>
    </w:tbl>
    <w:p w14:paraId="598E1408" w14:textId="6E9EE16A" w:rsidR="005B4798" w:rsidRPr="008D3DE7" w:rsidRDefault="005B4798">
      <w:pPr>
        <w:rPr>
          <w:noProof/>
        </w:rPr>
      </w:pPr>
      <w:r>
        <w:rPr>
          <w:noProof/>
        </w:rPr>
        <w:t xml:space="preserve">V roce 2020 bylo po železnici přepraveno přibližně 1,4 miliardy tun nákladu a 4,2 miliardy cestujících. </w:t>
      </w:r>
    </w:p>
    <w:p w14:paraId="3AA36A39" w14:textId="14BB560F" w:rsidR="009B3A58" w:rsidRPr="00062017" w:rsidRDefault="005B4798" w:rsidP="005714E0">
      <w:pPr>
        <w:rPr>
          <w:noProof/>
        </w:rPr>
      </w:pPr>
      <w:r>
        <w:rPr>
          <w:noProof/>
        </w:rPr>
        <w:t>Pandemie dále zvýraznila převážně vnitrostátní rozměr osobní železniční dopravy. Zatímco před pandemií dosahoval podíl mezinárodní osobní dopravy v letech 2015 až 2019 přibližně 7 %, v roce 2020 se snížil na méně než 4 %. Studie z roku 2021</w:t>
      </w:r>
      <w:r>
        <w:rPr>
          <w:rStyle w:val="FootnoteReference"/>
          <w:noProof/>
        </w:rPr>
        <w:footnoteReference w:id="9"/>
      </w:r>
      <w:r>
        <w:rPr>
          <w:noProof/>
        </w:rPr>
        <w:t xml:space="preserve"> identifikovala hlavní překážky přeshraniční železniční dopravy na dlouhé vzdálenosti, mezi něž patří variabilita poplatků za infrastrukturu, kapacita železniční infrastruktury pro uspokojení poptávky, nedostatek vhodných kolejových vozidel, roztříštěnost systémů prodeje jízdenek a vymáhání práv cestujících. </w:t>
      </w:r>
      <w:hyperlink r:id="rId21" w:history="1">
        <w:r>
          <w:rPr>
            <w:rStyle w:val="Hyperlink"/>
            <w:noProof/>
          </w:rPr>
          <w:t>Akční plán podporu dálkové a přeshraniční osobní železniční dopravy</w:t>
        </w:r>
        <w:r>
          <w:rPr>
            <w:rStyle w:val="FootnoteReference"/>
            <w:noProof/>
          </w:rPr>
          <w:footnoteReference w:id="10"/>
        </w:r>
      </w:hyperlink>
      <w:r>
        <w:rPr>
          <w:noProof/>
        </w:rPr>
        <w:t xml:space="preserve"> předložený Komisí stanovil soubor opatření k překonání těchto překážek pro služby dálkové a přeshraniční osobní železniční dopravy.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9B3A58" w:rsidRPr="008D3DE7" w14:paraId="61B198AA" w14:textId="77777777">
        <w:tc>
          <w:tcPr>
            <w:tcW w:w="9242" w:type="dxa"/>
          </w:tcPr>
          <w:p w14:paraId="2A2ED517" w14:textId="77777777" w:rsidR="009B3A58" w:rsidRPr="008D3DE7" w:rsidRDefault="003F2CC0">
            <w:pPr>
              <w:pStyle w:val="Caption"/>
              <w:keepNext/>
              <w:spacing w:after="120"/>
              <w:rPr>
                <w:noProof/>
              </w:rPr>
            </w:pPr>
            <w:r>
              <w:rPr>
                <w:rFonts w:asciiTheme="minorHAnsi" w:hAnsiTheme="minorHAnsi"/>
                <w:noProof/>
                <w:color w:val="0070C0"/>
                <w:sz w:val="20"/>
              </w:rPr>
              <w:t xml:space="preserve">Graf </w:t>
            </w:r>
            <w:r>
              <w:rPr>
                <w:rFonts w:asciiTheme="minorHAnsi" w:hAnsiTheme="minorHAnsi" w:cstheme="minorHAnsi"/>
                <w:noProof/>
                <w:color w:val="0070C0"/>
                <w:sz w:val="20"/>
              </w:rPr>
              <w:fldChar w:fldCharType="begin"/>
            </w:r>
            <w:r>
              <w:rPr>
                <w:rFonts w:asciiTheme="minorHAnsi" w:hAnsiTheme="minorHAnsi" w:cstheme="minorHAnsi"/>
                <w:noProof/>
                <w:color w:val="0070C0"/>
                <w:sz w:val="20"/>
              </w:rPr>
              <w:instrText xml:space="preserve"> SEQ Figure \* ARABIC </w:instrText>
            </w:r>
            <w:r>
              <w:rPr>
                <w:rFonts w:asciiTheme="minorHAnsi" w:hAnsiTheme="minorHAnsi" w:cstheme="minorHAnsi"/>
                <w:noProof/>
                <w:color w:val="0070C0"/>
                <w:sz w:val="20"/>
              </w:rPr>
              <w:fldChar w:fldCharType="separate"/>
            </w:r>
            <w:r w:rsidR="001C029C">
              <w:rPr>
                <w:rFonts w:asciiTheme="minorHAnsi" w:hAnsiTheme="minorHAnsi" w:cstheme="minorHAnsi"/>
                <w:noProof/>
                <w:color w:val="0070C0"/>
                <w:sz w:val="20"/>
              </w:rPr>
              <w:t>3</w:t>
            </w:r>
            <w:r>
              <w:rPr>
                <w:rFonts w:asciiTheme="minorHAnsi" w:hAnsiTheme="minorHAnsi" w:cstheme="minorHAnsi"/>
                <w:noProof/>
                <w:color w:val="0070C0"/>
                <w:sz w:val="20"/>
              </w:rPr>
              <w:fldChar w:fldCharType="end"/>
            </w:r>
            <w:r>
              <w:rPr>
                <w:rFonts w:asciiTheme="minorHAnsi" w:hAnsiTheme="minorHAnsi"/>
                <w:noProof/>
                <w:color w:val="0070C0"/>
                <w:sz w:val="20"/>
              </w:rPr>
              <w:t>: Vývoj objemu osobní železniční dopravy (vnitrostátní, mezinárodní a podíl mezinárodní dopravy na celkové dopravě) (v miliardách osobokilometrů, 2015–2020)</w:t>
            </w:r>
          </w:p>
        </w:tc>
      </w:tr>
      <w:tr w:rsidR="009B3A58" w:rsidRPr="008D3DE7" w14:paraId="62241D17" w14:textId="77777777">
        <w:tc>
          <w:tcPr>
            <w:tcW w:w="9242" w:type="dxa"/>
          </w:tcPr>
          <w:p w14:paraId="753A8C45" w14:textId="274C45C3" w:rsidR="009B3A58" w:rsidRPr="008D3DE7" w:rsidRDefault="006B1C19">
            <w:pPr>
              <w:rPr>
                <w:noProof/>
              </w:rPr>
            </w:pPr>
            <w:r>
              <w:rPr>
                <w:noProof/>
                <w:lang w:val="en-GB" w:eastAsia="en-GB"/>
              </w:rPr>
              <w:drawing>
                <wp:inline distT="0" distB="0" distL="0" distR="0" wp14:anchorId="1D0228DE" wp14:editId="2D40BAD5">
                  <wp:extent cx="5724525" cy="3248025"/>
                  <wp:effectExtent l="0" t="0" r="9525" b="952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24525" cy="3248025"/>
                          </a:xfrm>
                          <a:prstGeom prst="rect">
                            <a:avLst/>
                          </a:prstGeom>
                          <a:noFill/>
                          <a:ln>
                            <a:noFill/>
                          </a:ln>
                        </pic:spPr>
                      </pic:pic>
                    </a:graphicData>
                  </a:graphic>
                </wp:inline>
              </w:drawing>
            </w:r>
          </w:p>
        </w:tc>
      </w:tr>
      <w:tr w:rsidR="009B3A58" w:rsidRPr="008D3DE7" w14:paraId="362E2F49" w14:textId="77777777">
        <w:tc>
          <w:tcPr>
            <w:tcW w:w="9242" w:type="dxa"/>
          </w:tcPr>
          <w:p w14:paraId="1E7CD619" w14:textId="77777777" w:rsidR="009B3A58" w:rsidRPr="008D3DE7" w:rsidRDefault="005B4798">
            <w:pPr>
              <w:rPr>
                <w:noProof/>
              </w:rPr>
            </w:pPr>
            <w:r>
              <w:rPr>
                <w:rFonts w:asciiTheme="minorHAnsi" w:hAnsiTheme="minorHAnsi"/>
                <w:i/>
                <w:noProof/>
                <w:sz w:val="18"/>
              </w:rPr>
              <w:t>Zdroj: RMMS, 2022. Údaje pro RO za rok 2015, LU za rok 2015, NL za rok 2019 a HR za rok 2019 jsou odhady Komise.</w:t>
            </w:r>
          </w:p>
        </w:tc>
      </w:tr>
    </w:tbl>
    <w:p w14:paraId="2CF63803" w14:textId="733AAEE9" w:rsidR="00A168D8" w:rsidRPr="008D3DE7" w:rsidRDefault="00A168D8">
      <w:pPr>
        <w:rPr>
          <w:noProof/>
        </w:rPr>
      </w:pPr>
      <w:r>
        <w:rPr>
          <w:noProof/>
        </w:rPr>
        <w:t xml:space="preserve">Tendence Evropanů využívat pro cestování železniční dopravu představovala v roce 2020 v průměru 500 osobokilometrů na obyvatele, což představuje oproti roku 2019 (934 km) výrazný pokles. </w:t>
      </w:r>
    </w:p>
    <w:p w14:paraId="2E20D514" w14:textId="528C762B" w:rsidR="00090057" w:rsidRPr="008D3DE7" w:rsidRDefault="003F2CC0" w:rsidP="00A168D8">
      <w:pPr>
        <w:rPr>
          <w:noProof/>
        </w:rPr>
      </w:pPr>
      <w:r>
        <w:rPr>
          <w:noProof/>
        </w:rPr>
        <w:t>Mezi lety 2015 a 2019 se průměrný podíl železniční dopravy na celkové dopravě zvýšil ze 7,6 % na 7,8 %. V roce 2020 se však v důsledku pandemie podíl železnice snížil o 2,4 procentního bodu, neboť lidé začali ve větší míře využívat osobní automobily.</w:t>
      </w:r>
    </w:p>
    <w:p w14:paraId="42452F2C" w14:textId="77777777" w:rsidR="009B3A58" w:rsidRPr="008D3DE7" w:rsidRDefault="009B3A58">
      <w:pPr>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gridCol w:w="222"/>
      </w:tblGrid>
      <w:tr w:rsidR="009B3A58" w:rsidRPr="008D3DE7" w14:paraId="7FB9F353" w14:textId="77777777">
        <w:tc>
          <w:tcPr>
            <w:tcW w:w="9242" w:type="dxa"/>
            <w:gridSpan w:val="2"/>
          </w:tcPr>
          <w:p w14:paraId="732F7C21" w14:textId="77777777" w:rsidR="009B3A58" w:rsidRPr="008D3DE7" w:rsidRDefault="003F2CC0">
            <w:pPr>
              <w:pStyle w:val="Caption"/>
              <w:keepNext/>
              <w:spacing w:after="120"/>
              <w:rPr>
                <w:noProof/>
              </w:rPr>
            </w:pPr>
            <w:r>
              <w:rPr>
                <w:rFonts w:asciiTheme="minorHAnsi" w:hAnsiTheme="minorHAnsi"/>
                <w:noProof/>
                <w:color w:val="0070C0"/>
                <w:sz w:val="20"/>
              </w:rPr>
              <w:t xml:space="preserve">Graf </w:t>
            </w:r>
            <w:r>
              <w:rPr>
                <w:rFonts w:asciiTheme="minorHAnsi" w:hAnsiTheme="minorHAnsi" w:cstheme="minorHAnsi"/>
                <w:noProof/>
                <w:color w:val="0070C0"/>
                <w:sz w:val="20"/>
              </w:rPr>
              <w:fldChar w:fldCharType="begin"/>
            </w:r>
            <w:r>
              <w:rPr>
                <w:rFonts w:asciiTheme="minorHAnsi" w:hAnsiTheme="minorHAnsi" w:cstheme="minorHAnsi"/>
                <w:noProof/>
                <w:color w:val="0070C0"/>
                <w:sz w:val="20"/>
              </w:rPr>
              <w:instrText xml:space="preserve"> SEQ Figure \* ARABIC </w:instrText>
            </w:r>
            <w:r>
              <w:rPr>
                <w:rFonts w:asciiTheme="minorHAnsi" w:hAnsiTheme="minorHAnsi" w:cstheme="minorHAnsi"/>
                <w:noProof/>
                <w:color w:val="0070C0"/>
                <w:sz w:val="20"/>
              </w:rPr>
              <w:fldChar w:fldCharType="separate"/>
            </w:r>
            <w:r w:rsidR="001C029C">
              <w:rPr>
                <w:rFonts w:asciiTheme="minorHAnsi" w:hAnsiTheme="minorHAnsi" w:cstheme="minorHAnsi"/>
                <w:noProof/>
                <w:color w:val="0070C0"/>
                <w:sz w:val="20"/>
              </w:rPr>
              <w:t>4</w:t>
            </w:r>
            <w:r>
              <w:rPr>
                <w:rFonts w:asciiTheme="minorHAnsi" w:hAnsiTheme="minorHAnsi" w:cstheme="minorHAnsi"/>
                <w:noProof/>
                <w:color w:val="0070C0"/>
                <w:sz w:val="20"/>
              </w:rPr>
              <w:fldChar w:fldCharType="end"/>
            </w:r>
            <w:r>
              <w:rPr>
                <w:rFonts w:asciiTheme="minorHAnsi" w:hAnsiTheme="minorHAnsi"/>
                <w:noProof/>
                <w:color w:val="0070C0"/>
                <w:sz w:val="20"/>
              </w:rPr>
              <w:t>: Modální rozdělení pozemní osobní dopravy podle zemí (% v roce 2020) a změna procentních bodů železniční dopravy (2015–2019 a 2019–2020)</w:t>
            </w:r>
          </w:p>
        </w:tc>
      </w:tr>
      <w:tr w:rsidR="009B3A58" w:rsidRPr="008D3DE7" w14:paraId="701EC0CE" w14:textId="77777777" w:rsidTr="00A168D8">
        <w:trPr>
          <w:trHeight w:val="4589"/>
        </w:trPr>
        <w:tc>
          <w:tcPr>
            <w:tcW w:w="9020" w:type="dxa"/>
          </w:tcPr>
          <w:p w14:paraId="1BB8A261" w14:textId="6E3602CA" w:rsidR="009B3A58" w:rsidRPr="008D3DE7" w:rsidRDefault="00B35390">
            <w:pPr>
              <w:rPr>
                <w:noProof/>
              </w:rPr>
            </w:pPr>
            <w:r>
              <w:rPr>
                <w:noProof/>
                <w:lang w:val="en-GB" w:eastAsia="en-GB"/>
              </w:rPr>
              <w:drawing>
                <wp:inline distT="0" distB="0" distL="0" distR="0" wp14:anchorId="52692E6F" wp14:editId="22C8035E">
                  <wp:extent cx="5724525" cy="5010150"/>
                  <wp:effectExtent l="0" t="0" r="9525"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24525" cy="5010150"/>
                          </a:xfrm>
                          <a:prstGeom prst="rect">
                            <a:avLst/>
                          </a:prstGeom>
                          <a:noFill/>
                          <a:ln>
                            <a:noFill/>
                          </a:ln>
                        </pic:spPr>
                      </pic:pic>
                    </a:graphicData>
                  </a:graphic>
                </wp:inline>
              </w:drawing>
            </w:r>
          </w:p>
        </w:tc>
        <w:tc>
          <w:tcPr>
            <w:tcW w:w="222" w:type="dxa"/>
          </w:tcPr>
          <w:p w14:paraId="153A1405" w14:textId="77777777" w:rsidR="009B3A58" w:rsidRPr="008D3DE7" w:rsidRDefault="009B3A58">
            <w:pPr>
              <w:rPr>
                <w:noProof/>
              </w:rPr>
            </w:pPr>
          </w:p>
        </w:tc>
      </w:tr>
      <w:tr w:rsidR="009B3A58" w:rsidRPr="008D3DE7" w14:paraId="78285DF2" w14:textId="77777777">
        <w:tc>
          <w:tcPr>
            <w:tcW w:w="9242" w:type="dxa"/>
            <w:gridSpan w:val="2"/>
          </w:tcPr>
          <w:p w14:paraId="66D7997E" w14:textId="77777777" w:rsidR="009B3A58" w:rsidRPr="008D3DE7" w:rsidRDefault="00A168D8">
            <w:pPr>
              <w:rPr>
                <w:noProof/>
              </w:rPr>
            </w:pPr>
            <w:r>
              <w:rPr>
                <w:rFonts w:asciiTheme="minorHAnsi" w:hAnsiTheme="minorHAnsi"/>
                <w:i/>
                <w:noProof/>
                <w:sz w:val="18"/>
              </w:rPr>
              <w:t>Zdroj: Statistická příručka, 2022; kromě CY a MT.</w:t>
            </w:r>
          </w:p>
        </w:tc>
      </w:tr>
    </w:tbl>
    <w:p w14:paraId="3FA911B0" w14:textId="1018701C" w:rsidR="00A168D8" w:rsidRPr="008D3DE7" w:rsidRDefault="00A168D8" w:rsidP="00A168D8">
      <w:pPr>
        <w:rPr>
          <w:noProof/>
        </w:rPr>
      </w:pPr>
      <w:r>
        <w:rPr>
          <w:noProof/>
        </w:rPr>
        <w:t xml:space="preserve">Celková nákladní železniční doprava vzrostla z 385 miliard tunokilometrů v roce 2015 na 404 miliard tunokilometrů v roce 2020, včetně poklesu o 33 miliard tunokilometrů mezi roky 2019 a 2020. Pokud se podíváme na vývoj mezi lety 2009 a 2019, nárůst v miliardách tunokilometrů činil téměř 27 %. Pokud by tento rostoucí trend zůstal udržitelný ve stejném rozsahu i v příštích desetiletích, mohl by být splněn (a dokonce mírně překročen) milník strategie pro udržitelnou a inteligentní mobilitu, kterým je zvýšení nákladní železniční dopravy o 50 % do roku 2030 a její zdvojnásobení mezi lety 2015 a 2050. </w:t>
      </w:r>
    </w:p>
    <w:p w14:paraId="46683AC2" w14:textId="4AC55794" w:rsidR="009B3A58" w:rsidRPr="008D3DE7" w:rsidRDefault="00A168D8" w:rsidP="00A168D8">
      <w:pPr>
        <w:rPr>
          <w:noProof/>
        </w:rPr>
      </w:pPr>
      <w:r>
        <w:rPr>
          <w:noProof/>
        </w:rPr>
        <w:t>Podíl mezinárodní železniční nákladní dopravy zůstal trvale nad úrovní 50 %, což ukazuje na výrazně menší dopad pandemie na mezinárodní spoje nákladní železniční dopravy ve srovnání s mezinárodními spoji osobní železniční dopravy.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9B3A58" w:rsidRPr="008D3DE7" w14:paraId="34B267B3" w14:textId="77777777">
        <w:tc>
          <w:tcPr>
            <w:tcW w:w="9242" w:type="dxa"/>
          </w:tcPr>
          <w:p w14:paraId="27A3098E" w14:textId="77777777" w:rsidR="009B3A58" w:rsidRPr="008D3DE7" w:rsidRDefault="003F2CC0">
            <w:pPr>
              <w:pStyle w:val="Caption"/>
              <w:keepNext/>
              <w:spacing w:after="120"/>
              <w:rPr>
                <w:noProof/>
              </w:rPr>
            </w:pPr>
            <w:r>
              <w:rPr>
                <w:rFonts w:asciiTheme="minorHAnsi" w:hAnsiTheme="minorHAnsi"/>
                <w:noProof/>
                <w:color w:val="0070C0"/>
                <w:sz w:val="20"/>
              </w:rPr>
              <w:t xml:space="preserve">Graf </w:t>
            </w:r>
            <w:r>
              <w:rPr>
                <w:rFonts w:asciiTheme="minorHAnsi" w:hAnsiTheme="minorHAnsi" w:cstheme="minorHAnsi"/>
                <w:noProof/>
                <w:color w:val="0070C0"/>
                <w:sz w:val="20"/>
              </w:rPr>
              <w:fldChar w:fldCharType="begin"/>
            </w:r>
            <w:r>
              <w:rPr>
                <w:rFonts w:asciiTheme="minorHAnsi" w:hAnsiTheme="minorHAnsi" w:cstheme="minorHAnsi"/>
                <w:noProof/>
                <w:color w:val="0070C0"/>
                <w:sz w:val="20"/>
              </w:rPr>
              <w:instrText xml:space="preserve"> SEQ Figure \* ARABIC </w:instrText>
            </w:r>
            <w:r>
              <w:rPr>
                <w:rFonts w:asciiTheme="minorHAnsi" w:hAnsiTheme="minorHAnsi" w:cstheme="minorHAnsi"/>
                <w:noProof/>
                <w:color w:val="0070C0"/>
                <w:sz w:val="20"/>
              </w:rPr>
              <w:fldChar w:fldCharType="separate"/>
            </w:r>
            <w:r w:rsidR="001C029C">
              <w:rPr>
                <w:rFonts w:asciiTheme="minorHAnsi" w:hAnsiTheme="minorHAnsi" w:cstheme="minorHAnsi"/>
                <w:noProof/>
                <w:color w:val="0070C0"/>
                <w:sz w:val="20"/>
              </w:rPr>
              <w:t>5</w:t>
            </w:r>
            <w:r>
              <w:rPr>
                <w:rFonts w:asciiTheme="minorHAnsi" w:hAnsiTheme="minorHAnsi" w:cstheme="minorHAnsi"/>
                <w:noProof/>
                <w:color w:val="0070C0"/>
                <w:sz w:val="20"/>
              </w:rPr>
              <w:fldChar w:fldCharType="end"/>
            </w:r>
            <w:r>
              <w:rPr>
                <w:rFonts w:asciiTheme="minorHAnsi" w:hAnsiTheme="minorHAnsi"/>
                <w:noProof/>
                <w:color w:val="0070C0"/>
                <w:sz w:val="20"/>
              </w:rPr>
              <w:t>: Vývoj objemu železniční nákladní dopravy (vnitrostátní, mezinárodní a podíl mezinárodní dopravy na celkové dopravě) (v miliardách tunokilometrů, 2015–2020)</w:t>
            </w:r>
          </w:p>
        </w:tc>
      </w:tr>
      <w:tr w:rsidR="009B3A58" w:rsidRPr="008D3DE7" w14:paraId="4A857999" w14:textId="77777777">
        <w:tc>
          <w:tcPr>
            <w:tcW w:w="9242" w:type="dxa"/>
          </w:tcPr>
          <w:p w14:paraId="3B411312" w14:textId="592A6BC1" w:rsidR="009B3A58" w:rsidRPr="008D3DE7" w:rsidRDefault="00A168D8">
            <w:pPr>
              <w:rPr>
                <w:noProof/>
              </w:rPr>
            </w:pPr>
            <w:r>
              <w:rPr>
                <w:noProof/>
              </w:rPr>
              <w:t xml:space="preserve"> </w:t>
            </w:r>
            <w:r w:rsidR="00D87C8E">
              <w:rPr>
                <w:noProof/>
                <w:lang w:val="en-GB" w:eastAsia="en-GB"/>
              </w:rPr>
              <w:drawing>
                <wp:inline distT="0" distB="0" distL="0" distR="0" wp14:anchorId="504E17CE" wp14:editId="20F459EC">
                  <wp:extent cx="5734050" cy="325755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34050" cy="3257550"/>
                          </a:xfrm>
                          <a:prstGeom prst="rect">
                            <a:avLst/>
                          </a:prstGeom>
                          <a:noFill/>
                          <a:ln>
                            <a:noFill/>
                          </a:ln>
                        </pic:spPr>
                      </pic:pic>
                    </a:graphicData>
                  </a:graphic>
                </wp:inline>
              </w:drawing>
            </w:r>
          </w:p>
        </w:tc>
      </w:tr>
      <w:tr w:rsidR="009B3A58" w:rsidRPr="008D3DE7" w14:paraId="19FE15F6" w14:textId="77777777">
        <w:tc>
          <w:tcPr>
            <w:tcW w:w="9242" w:type="dxa"/>
          </w:tcPr>
          <w:p w14:paraId="7D96B72C" w14:textId="77777777" w:rsidR="009B3A58" w:rsidRPr="008D3DE7" w:rsidRDefault="00A168D8">
            <w:pPr>
              <w:rPr>
                <w:noProof/>
              </w:rPr>
            </w:pPr>
            <w:r>
              <w:rPr>
                <w:rFonts w:asciiTheme="minorHAnsi" w:hAnsiTheme="minorHAnsi"/>
                <w:i/>
                <w:noProof/>
                <w:sz w:val="18"/>
              </w:rPr>
              <w:t>Zdroj: RMMS, 2022. Údaje pro LU za roky 2015 a 2019, RO za rok 2015, HU za rok 2016, LV za rok 2020 a PL za rok 2020 jsou odhady Komise.</w:t>
            </w:r>
          </w:p>
        </w:tc>
      </w:tr>
    </w:tbl>
    <w:p w14:paraId="439D4553" w14:textId="03A85C67" w:rsidR="009B3A58" w:rsidRPr="008D3DE7" w:rsidRDefault="00A168D8">
      <w:pPr>
        <w:rPr>
          <w:noProof/>
        </w:rPr>
      </w:pPr>
      <w:r>
        <w:rPr>
          <w:noProof/>
        </w:rPr>
        <w:t xml:space="preserve">Silniční doprava zaujímá v celkové pozemní nákladní dopravě v EU-27 dominantní postavení a její podíl v období 2015–2020 soustavně přesahuje 70 %. Ve stejném období se podíl železniční dopravy snížil z 18,9 % na 16,7 %, přičemž mezi jednotlivými zeměmi existují značné rozdíly.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5"/>
        <w:gridCol w:w="2947"/>
      </w:tblGrid>
      <w:tr w:rsidR="009B3A58" w:rsidRPr="008D3DE7" w14:paraId="61B8B30A" w14:textId="77777777">
        <w:tc>
          <w:tcPr>
            <w:tcW w:w="9242" w:type="dxa"/>
            <w:gridSpan w:val="2"/>
          </w:tcPr>
          <w:p w14:paraId="03795B85" w14:textId="577882A5" w:rsidR="009B3A58" w:rsidRPr="008D3DE7" w:rsidRDefault="00F013F3">
            <w:pPr>
              <w:pStyle w:val="Caption"/>
              <w:keepNext/>
              <w:spacing w:after="120"/>
              <w:rPr>
                <w:noProof/>
              </w:rPr>
            </w:pPr>
            <w:r>
              <w:rPr>
                <w:rFonts w:asciiTheme="minorHAnsi" w:hAnsiTheme="minorHAnsi"/>
                <w:noProof/>
                <w:color w:val="0070C0"/>
                <w:sz w:val="20"/>
              </w:rPr>
              <w:t xml:space="preserve">Graf </w:t>
            </w:r>
            <w:r>
              <w:rPr>
                <w:rFonts w:asciiTheme="minorHAnsi" w:hAnsiTheme="minorHAnsi" w:cstheme="minorHAnsi"/>
                <w:noProof/>
                <w:color w:val="0070C0"/>
                <w:sz w:val="20"/>
              </w:rPr>
              <w:fldChar w:fldCharType="begin"/>
            </w:r>
            <w:r>
              <w:rPr>
                <w:rFonts w:asciiTheme="minorHAnsi" w:hAnsiTheme="minorHAnsi" w:cstheme="minorHAnsi"/>
                <w:noProof/>
                <w:color w:val="0070C0"/>
                <w:sz w:val="20"/>
              </w:rPr>
              <w:instrText xml:space="preserve"> SEQ Figure \* ARABIC </w:instrText>
            </w:r>
            <w:r>
              <w:rPr>
                <w:rFonts w:asciiTheme="minorHAnsi" w:hAnsiTheme="minorHAnsi" w:cstheme="minorHAnsi"/>
                <w:noProof/>
                <w:color w:val="0070C0"/>
                <w:sz w:val="20"/>
              </w:rPr>
              <w:fldChar w:fldCharType="separate"/>
            </w:r>
            <w:r w:rsidR="001C029C">
              <w:rPr>
                <w:rFonts w:asciiTheme="minorHAnsi" w:hAnsiTheme="minorHAnsi" w:cstheme="minorHAnsi"/>
                <w:noProof/>
                <w:color w:val="0070C0"/>
                <w:sz w:val="20"/>
              </w:rPr>
              <w:t>6</w:t>
            </w:r>
            <w:r>
              <w:rPr>
                <w:rFonts w:asciiTheme="minorHAnsi" w:hAnsiTheme="minorHAnsi" w:cstheme="minorHAnsi"/>
                <w:noProof/>
                <w:color w:val="0070C0"/>
                <w:sz w:val="20"/>
              </w:rPr>
              <w:fldChar w:fldCharType="end"/>
            </w:r>
            <w:r>
              <w:rPr>
                <w:rFonts w:asciiTheme="minorHAnsi" w:hAnsiTheme="minorHAnsi"/>
                <w:noProof/>
                <w:color w:val="0070C0"/>
                <w:sz w:val="20"/>
              </w:rPr>
              <w:t>: Modální rozdělení pozemní nákladní dopravy podle zemí (% v roce 2020) a změna procentních bodů železniční dopravy (2015–2020)</w:t>
            </w:r>
          </w:p>
        </w:tc>
      </w:tr>
      <w:tr w:rsidR="009B3A58" w:rsidRPr="008D3DE7" w14:paraId="04F78E81" w14:textId="77777777">
        <w:tc>
          <w:tcPr>
            <w:tcW w:w="6941" w:type="dxa"/>
          </w:tcPr>
          <w:p w14:paraId="05B9698B" w14:textId="07E3E994" w:rsidR="009B3A58" w:rsidRPr="008D3DE7" w:rsidRDefault="004C693E">
            <w:pPr>
              <w:rPr>
                <w:rFonts w:asciiTheme="minorHAnsi" w:hAnsiTheme="minorHAnsi" w:cstheme="minorHAnsi"/>
                <w:i/>
                <w:noProof/>
                <w:sz w:val="18"/>
              </w:rPr>
            </w:pPr>
            <w:r>
              <w:rPr>
                <w:rFonts w:asciiTheme="minorHAnsi" w:hAnsiTheme="minorHAnsi" w:cstheme="minorHAnsi"/>
                <w:i/>
                <w:noProof/>
                <w:sz w:val="18"/>
                <w:lang w:val="en-GB" w:eastAsia="en-GB"/>
              </w:rPr>
              <w:drawing>
                <wp:inline distT="0" distB="0" distL="0" distR="0" wp14:anchorId="73064CFF" wp14:editId="527B83C7">
                  <wp:extent cx="4171950" cy="3402703"/>
                  <wp:effectExtent l="0" t="0" r="0" b="762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174267" cy="3404593"/>
                          </a:xfrm>
                          <a:prstGeom prst="rect">
                            <a:avLst/>
                          </a:prstGeom>
                          <a:noFill/>
                          <a:ln>
                            <a:noFill/>
                          </a:ln>
                        </pic:spPr>
                      </pic:pic>
                    </a:graphicData>
                  </a:graphic>
                </wp:inline>
              </w:drawing>
            </w:r>
          </w:p>
        </w:tc>
        <w:tc>
          <w:tcPr>
            <w:tcW w:w="2301" w:type="dxa"/>
          </w:tcPr>
          <w:p w14:paraId="3512A3FB" w14:textId="7D72C03D" w:rsidR="009B3A58" w:rsidRPr="008D3DE7" w:rsidRDefault="004C693E">
            <w:pPr>
              <w:rPr>
                <w:rFonts w:asciiTheme="minorHAnsi" w:hAnsiTheme="minorHAnsi" w:cstheme="minorHAnsi"/>
                <w:i/>
                <w:noProof/>
                <w:sz w:val="2"/>
              </w:rPr>
            </w:pPr>
            <w:r>
              <w:rPr>
                <w:rFonts w:asciiTheme="minorHAnsi" w:hAnsiTheme="minorHAnsi" w:cstheme="minorHAnsi"/>
                <w:i/>
                <w:noProof/>
                <w:sz w:val="18"/>
                <w:lang w:val="en-GB" w:eastAsia="en-GB"/>
              </w:rPr>
              <w:drawing>
                <wp:inline distT="0" distB="0" distL="0" distR="0" wp14:anchorId="3645E1AA" wp14:editId="31EF1A30">
                  <wp:extent cx="1874862" cy="3486150"/>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74862" cy="3486150"/>
                          </a:xfrm>
                          <a:prstGeom prst="rect">
                            <a:avLst/>
                          </a:prstGeom>
                          <a:noFill/>
                          <a:ln>
                            <a:noFill/>
                          </a:ln>
                        </pic:spPr>
                      </pic:pic>
                    </a:graphicData>
                  </a:graphic>
                </wp:inline>
              </w:drawing>
            </w:r>
          </w:p>
          <w:p w14:paraId="2729ADA6" w14:textId="0EACAC14" w:rsidR="009B3A58" w:rsidRPr="008D3DE7" w:rsidRDefault="009B3A58">
            <w:pPr>
              <w:rPr>
                <w:rFonts w:asciiTheme="minorHAnsi" w:hAnsiTheme="minorHAnsi" w:cstheme="minorHAnsi"/>
                <w:i/>
                <w:noProof/>
                <w:sz w:val="18"/>
              </w:rPr>
            </w:pPr>
          </w:p>
        </w:tc>
      </w:tr>
      <w:tr w:rsidR="009B3A58" w:rsidRPr="008D3DE7" w14:paraId="5066C0B4" w14:textId="77777777">
        <w:tc>
          <w:tcPr>
            <w:tcW w:w="9242" w:type="dxa"/>
            <w:gridSpan w:val="2"/>
          </w:tcPr>
          <w:p w14:paraId="28228C22" w14:textId="77777777" w:rsidR="009B3A58" w:rsidRPr="008D3DE7" w:rsidRDefault="003F2CC0" w:rsidP="00CB12D9">
            <w:pPr>
              <w:rPr>
                <w:noProof/>
              </w:rPr>
            </w:pPr>
            <w:r>
              <w:rPr>
                <w:rFonts w:asciiTheme="minorHAnsi" w:hAnsiTheme="minorHAnsi"/>
                <w:i/>
                <w:noProof/>
                <w:sz w:val="18"/>
              </w:rPr>
              <w:t>Zdroj: Statistická příručka, 2022.</w:t>
            </w:r>
          </w:p>
        </w:tc>
      </w:tr>
    </w:tbl>
    <w:p w14:paraId="10FB96C1" w14:textId="77777777" w:rsidR="009B3A58" w:rsidRPr="008D3DE7" w:rsidRDefault="003F2CC0">
      <w:pPr>
        <w:pStyle w:val="Heading1"/>
        <w:rPr>
          <w:noProof/>
        </w:rPr>
      </w:pPr>
      <w:r>
        <w:rPr>
          <w:noProof/>
        </w:rPr>
        <w:t>Vývoj rámcových podmínek v odvětví železniční dopravy</w:t>
      </w:r>
    </w:p>
    <w:p w14:paraId="1ED32A08" w14:textId="77777777" w:rsidR="009B3A58" w:rsidRPr="008D3DE7" w:rsidRDefault="003F2CC0" w:rsidP="005523D6">
      <w:pPr>
        <w:pStyle w:val="Heading2"/>
        <w:rPr>
          <w:noProof/>
        </w:rPr>
      </w:pPr>
      <w:r>
        <w:rPr>
          <w:noProof/>
        </w:rPr>
        <w:t>Zpoplatnění infrastruktury</w:t>
      </w:r>
    </w:p>
    <w:p w14:paraId="26002610" w14:textId="146B0689" w:rsidR="009B3A58" w:rsidRPr="008D3DE7" w:rsidRDefault="002E6A5A">
      <w:pPr>
        <w:rPr>
          <w:noProof/>
        </w:rPr>
      </w:pPr>
      <w:r>
        <w:rPr>
          <w:noProof/>
        </w:rPr>
        <w:t>Poplatky za přístup k trati v případě vysokorychlostních vlaků</w:t>
      </w:r>
      <w:r w:rsidR="00A33387">
        <w:rPr>
          <w:noProof/>
        </w:rPr>
        <w:t xml:space="preserve"> </w:t>
      </w:r>
      <w:r>
        <w:rPr>
          <w:noProof/>
        </w:rPr>
        <w:t xml:space="preserve">(bez přirážek) byly v průměru vyšší než u jiných druhů osobní dopravy.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9B3A58" w:rsidRPr="008D3DE7" w14:paraId="7A5BC935" w14:textId="77777777">
        <w:tc>
          <w:tcPr>
            <w:tcW w:w="9242" w:type="dxa"/>
          </w:tcPr>
          <w:p w14:paraId="6EC0ED48" w14:textId="77777777" w:rsidR="009B3A58" w:rsidRPr="008D3DE7" w:rsidRDefault="003F2CC0" w:rsidP="0056327D">
            <w:pPr>
              <w:pStyle w:val="Caption"/>
              <w:keepNext/>
              <w:spacing w:after="120"/>
              <w:rPr>
                <w:noProof/>
              </w:rPr>
            </w:pPr>
            <w:r>
              <w:rPr>
                <w:rFonts w:asciiTheme="minorHAnsi" w:hAnsiTheme="minorHAnsi"/>
                <w:noProof/>
                <w:color w:val="0070C0"/>
                <w:sz w:val="20"/>
              </w:rPr>
              <w:t xml:space="preserve">Graf </w:t>
            </w:r>
            <w:r>
              <w:rPr>
                <w:rFonts w:asciiTheme="minorHAnsi" w:hAnsiTheme="minorHAnsi" w:cstheme="minorHAnsi"/>
                <w:noProof/>
                <w:color w:val="0070C0"/>
                <w:sz w:val="20"/>
              </w:rPr>
              <w:fldChar w:fldCharType="begin"/>
            </w:r>
            <w:r>
              <w:rPr>
                <w:rFonts w:asciiTheme="minorHAnsi" w:hAnsiTheme="minorHAnsi" w:cstheme="minorHAnsi"/>
                <w:noProof/>
                <w:color w:val="0070C0"/>
                <w:sz w:val="20"/>
              </w:rPr>
              <w:instrText xml:space="preserve"> SEQ Figure \* ARABIC </w:instrText>
            </w:r>
            <w:r>
              <w:rPr>
                <w:rFonts w:asciiTheme="minorHAnsi" w:hAnsiTheme="minorHAnsi" w:cstheme="minorHAnsi"/>
                <w:noProof/>
                <w:color w:val="0070C0"/>
                <w:sz w:val="20"/>
              </w:rPr>
              <w:fldChar w:fldCharType="separate"/>
            </w:r>
            <w:r w:rsidR="001C029C">
              <w:rPr>
                <w:rFonts w:asciiTheme="minorHAnsi" w:hAnsiTheme="minorHAnsi" w:cstheme="minorHAnsi"/>
                <w:noProof/>
                <w:color w:val="0070C0"/>
                <w:sz w:val="20"/>
              </w:rPr>
              <w:t>7</w:t>
            </w:r>
            <w:r>
              <w:rPr>
                <w:rFonts w:asciiTheme="minorHAnsi" w:hAnsiTheme="minorHAnsi" w:cstheme="minorHAnsi"/>
                <w:noProof/>
                <w:color w:val="0070C0"/>
                <w:sz w:val="20"/>
              </w:rPr>
              <w:fldChar w:fldCharType="end"/>
            </w:r>
            <w:r>
              <w:rPr>
                <w:rFonts w:asciiTheme="minorHAnsi" w:hAnsiTheme="minorHAnsi"/>
                <w:noProof/>
                <w:color w:val="0070C0"/>
                <w:sz w:val="20"/>
              </w:rPr>
              <w:t xml:space="preserve">: Poplatky za přístup (bez přirážek) pro různé kategorie osobních vlaků podle zemí (EUR za vlakový kilometr, 2020) </w:t>
            </w:r>
          </w:p>
        </w:tc>
      </w:tr>
      <w:tr w:rsidR="009B3A58" w:rsidRPr="008D3DE7" w14:paraId="56806015" w14:textId="77777777">
        <w:tc>
          <w:tcPr>
            <w:tcW w:w="9242" w:type="dxa"/>
          </w:tcPr>
          <w:p w14:paraId="2E42DF61" w14:textId="3628F184" w:rsidR="009B3A58" w:rsidRPr="008D3DE7" w:rsidRDefault="00AF00C7">
            <w:pPr>
              <w:rPr>
                <w:noProof/>
              </w:rPr>
            </w:pPr>
            <w:r>
              <w:rPr>
                <w:noProof/>
                <w:lang w:val="en-GB" w:eastAsia="en-GB"/>
              </w:rPr>
              <w:drawing>
                <wp:inline distT="0" distB="0" distL="0" distR="0" wp14:anchorId="77D43AAA" wp14:editId="47056CBA">
                  <wp:extent cx="5724525" cy="3362325"/>
                  <wp:effectExtent l="0" t="0" r="9525" b="9525"/>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24525" cy="3362325"/>
                          </a:xfrm>
                          <a:prstGeom prst="rect">
                            <a:avLst/>
                          </a:prstGeom>
                          <a:noFill/>
                          <a:ln>
                            <a:noFill/>
                          </a:ln>
                        </pic:spPr>
                      </pic:pic>
                    </a:graphicData>
                  </a:graphic>
                </wp:inline>
              </w:drawing>
            </w:r>
          </w:p>
        </w:tc>
      </w:tr>
      <w:tr w:rsidR="009B3A58" w:rsidRPr="008D3DE7" w14:paraId="22EC5F53" w14:textId="77777777">
        <w:tc>
          <w:tcPr>
            <w:tcW w:w="9242" w:type="dxa"/>
          </w:tcPr>
          <w:p w14:paraId="15F2E949" w14:textId="17325E65" w:rsidR="009B3A58" w:rsidRPr="008D3DE7" w:rsidRDefault="003F2CC0">
            <w:pPr>
              <w:rPr>
                <w:noProof/>
              </w:rPr>
            </w:pPr>
            <w:r>
              <w:rPr>
                <w:rFonts w:asciiTheme="minorHAnsi" w:hAnsiTheme="minorHAnsi"/>
                <w:i/>
                <w:noProof/>
                <w:sz w:val="18"/>
              </w:rPr>
              <w:t>Zdroj: RMMS, 2022.</w:t>
            </w:r>
          </w:p>
        </w:tc>
      </w:tr>
    </w:tbl>
    <w:p w14:paraId="6111C9C5" w14:textId="77777777" w:rsidR="009B3A58" w:rsidRPr="008D3DE7" w:rsidRDefault="009B3A58">
      <w:pPr>
        <w:rPr>
          <w:noProof/>
        </w:rPr>
      </w:pPr>
    </w:p>
    <w:p w14:paraId="02766383" w14:textId="02C6AD25" w:rsidR="009B3A58" w:rsidRPr="008D3DE7" w:rsidRDefault="003F2CC0">
      <w:pPr>
        <w:rPr>
          <w:noProof/>
        </w:rPr>
      </w:pPr>
      <w:r>
        <w:rPr>
          <w:noProof/>
        </w:rPr>
        <w:t xml:space="preserve">Poplatky za náklad (bez přirážek) jsou sledovány ve třech různých maximálních hrubých tonážích (1 000, 1 600 a 6 000). Ve většině členských států se poplatky za přístup zvyšují s velikostí vlaků, i když ne nutně úměrně jeho tonáži.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9B3A58" w:rsidRPr="008D3DE7" w14:paraId="733533D7" w14:textId="77777777">
        <w:tc>
          <w:tcPr>
            <w:tcW w:w="9242" w:type="dxa"/>
          </w:tcPr>
          <w:p w14:paraId="12D43D02" w14:textId="77777777" w:rsidR="009B3A58" w:rsidRPr="008D3DE7" w:rsidRDefault="003F2CC0" w:rsidP="0056327D">
            <w:pPr>
              <w:pStyle w:val="Caption"/>
              <w:keepNext/>
              <w:spacing w:after="120"/>
              <w:rPr>
                <w:noProof/>
              </w:rPr>
            </w:pPr>
            <w:r>
              <w:rPr>
                <w:rFonts w:asciiTheme="minorHAnsi" w:hAnsiTheme="minorHAnsi"/>
                <w:noProof/>
                <w:color w:val="0070C0"/>
                <w:sz w:val="20"/>
              </w:rPr>
              <w:t xml:space="preserve">Graf </w:t>
            </w:r>
            <w:r>
              <w:rPr>
                <w:rFonts w:asciiTheme="minorHAnsi" w:hAnsiTheme="minorHAnsi" w:cstheme="minorHAnsi"/>
                <w:noProof/>
                <w:color w:val="0070C0"/>
                <w:sz w:val="20"/>
              </w:rPr>
              <w:fldChar w:fldCharType="begin"/>
            </w:r>
            <w:r>
              <w:rPr>
                <w:rFonts w:asciiTheme="minorHAnsi" w:hAnsiTheme="minorHAnsi" w:cstheme="minorHAnsi"/>
                <w:noProof/>
                <w:color w:val="0070C0"/>
                <w:sz w:val="20"/>
              </w:rPr>
              <w:instrText xml:space="preserve"> SEQ Figure \* ARABIC </w:instrText>
            </w:r>
            <w:r>
              <w:rPr>
                <w:rFonts w:asciiTheme="minorHAnsi" w:hAnsiTheme="minorHAnsi" w:cstheme="minorHAnsi"/>
                <w:noProof/>
                <w:color w:val="0070C0"/>
                <w:sz w:val="20"/>
              </w:rPr>
              <w:fldChar w:fldCharType="separate"/>
            </w:r>
            <w:r w:rsidR="001C029C">
              <w:rPr>
                <w:rFonts w:asciiTheme="minorHAnsi" w:hAnsiTheme="minorHAnsi" w:cstheme="minorHAnsi"/>
                <w:noProof/>
                <w:color w:val="0070C0"/>
                <w:sz w:val="20"/>
              </w:rPr>
              <w:t>8</w:t>
            </w:r>
            <w:r>
              <w:rPr>
                <w:rFonts w:asciiTheme="minorHAnsi" w:hAnsiTheme="minorHAnsi" w:cstheme="minorHAnsi"/>
                <w:noProof/>
                <w:color w:val="0070C0"/>
                <w:sz w:val="20"/>
              </w:rPr>
              <w:fldChar w:fldCharType="end"/>
            </w:r>
            <w:r>
              <w:rPr>
                <w:rFonts w:asciiTheme="minorHAnsi" w:hAnsiTheme="minorHAnsi"/>
                <w:noProof/>
                <w:color w:val="0070C0"/>
                <w:sz w:val="20"/>
              </w:rPr>
              <w:t>: Poplatky za přístup (bez přirážek) pro různé kategorie nákladních vlaků podle zemí (EUR za vlakový kilometr, 2020)</w:t>
            </w:r>
          </w:p>
        </w:tc>
      </w:tr>
      <w:tr w:rsidR="009B3A58" w:rsidRPr="008D3DE7" w14:paraId="7A4A7F8B" w14:textId="77777777">
        <w:tc>
          <w:tcPr>
            <w:tcW w:w="9242" w:type="dxa"/>
          </w:tcPr>
          <w:p w14:paraId="5B12C633" w14:textId="3D41C354" w:rsidR="009B3A58" w:rsidRPr="008D3DE7" w:rsidRDefault="00AF00C7">
            <w:pPr>
              <w:rPr>
                <w:noProof/>
              </w:rPr>
            </w:pPr>
            <w:r>
              <w:rPr>
                <w:noProof/>
                <w:lang w:val="en-GB" w:eastAsia="en-GB"/>
              </w:rPr>
              <w:drawing>
                <wp:inline distT="0" distB="0" distL="0" distR="0" wp14:anchorId="4125ABC5" wp14:editId="42D33FC2">
                  <wp:extent cx="5724525" cy="3276600"/>
                  <wp:effectExtent l="0" t="0" r="9525"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24525" cy="3276600"/>
                          </a:xfrm>
                          <a:prstGeom prst="rect">
                            <a:avLst/>
                          </a:prstGeom>
                          <a:noFill/>
                          <a:ln>
                            <a:noFill/>
                          </a:ln>
                        </pic:spPr>
                      </pic:pic>
                    </a:graphicData>
                  </a:graphic>
                </wp:inline>
              </w:drawing>
            </w:r>
          </w:p>
        </w:tc>
      </w:tr>
      <w:tr w:rsidR="009B3A58" w:rsidRPr="008D3DE7" w14:paraId="42D0ECD7" w14:textId="77777777">
        <w:tc>
          <w:tcPr>
            <w:tcW w:w="9242" w:type="dxa"/>
          </w:tcPr>
          <w:p w14:paraId="170C02B7" w14:textId="77777777" w:rsidR="009B3A58" w:rsidRPr="008D3DE7" w:rsidRDefault="003F2CC0" w:rsidP="0056327D">
            <w:pPr>
              <w:rPr>
                <w:noProof/>
              </w:rPr>
            </w:pPr>
            <w:r>
              <w:rPr>
                <w:rFonts w:asciiTheme="minorHAnsi" w:hAnsiTheme="minorHAnsi"/>
                <w:i/>
                <w:noProof/>
                <w:sz w:val="18"/>
              </w:rPr>
              <w:t>Zdroj: RMMS, 2022.</w:t>
            </w:r>
          </w:p>
        </w:tc>
      </w:tr>
    </w:tbl>
    <w:p w14:paraId="641ABD15" w14:textId="4F1E5059" w:rsidR="009B3A58" w:rsidRPr="008D3DE7" w:rsidRDefault="006B1DF6">
      <w:pPr>
        <w:keepNext/>
        <w:rPr>
          <w:noProof/>
        </w:rPr>
      </w:pPr>
      <w:r>
        <w:rPr>
          <w:noProof/>
        </w:rPr>
        <w:t xml:space="preserve">U vysokorychlostních vlaků poplatky za přístup k trati v celé EU soustavně klesaly. </w:t>
      </w:r>
    </w:p>
    <w:p w14:paraId="2E96D87C" w14:textId="5265D2B1" w:rsidR="009B3A58" w:rsidRPr="003E664C" w:rsidRDefault="006223A7">
      <w:pPr>
        <w:rPr>
          <w:noProof/>
        </w:rPr>
      </w:pPr>
      <w:r>
        <w:rPr>
          <w:noProof/>
        </w:rPr>
        <w:t>S cílem zmírnit hospodářský dopad pandemie COVID-19 umožnilo nařízení (EU) 2020/1429, přijaté v říjnu 2020, dočasně zmírnit pravidla pro poplatky</w:t>
      </w:r>
      <w:r>
        <w:rPr>
          <w:rStyle w:val="FootnoteReference"/>
          <w:noProof/>
        </w:rPr>
        <w:footnoteReference w:id="11"/>
      </w:r>
      <w:r>
        <w:rPr>
          <w:noProof/>
        </w:rPr>
        <w:t>. Toto opatření se v souvislosti s klesajícím objemem dopravy ukázalo jako přínosné pro snížení finanční zátěže odvětví železniční dopravy – zejména pro železniční podniky působící v oblasti osobní dopravy.</w:t>
      </w:r>
    </w:p>
    <w:p w14:paraId="36F5853F" w14:textId="77777777" w:rsidR="009B3A58" w:rsidRPr="008D3DE7" w:rsidRDefault="003F2CC0">
      <w:pPr>
        <w:pStyle w:val="Heading2"/>
        <w:rPr>
          <w:noProof/>
        </w:rPr>
      </w:pPr>
      <w:r>
        <w:rPr>
          <w:noProof/>
        </w:rPr>
        <w:t xml:space="preserve">Přidělování kapacity a omezení infrastruktury </w:t>
      </w:r>
    </w:p>
    <w:p w14:paraId="04058840" w14:textId="2187A66B" w:rsidR="0056327D" w:rsidRPr="008D3DE7" w:rsidRDefault="0056327D" w:rsidP="7BDA21AA">
      <w:pPr>
        <w:rPr>
          <w:noProof/>
          <w:sz w:val="22"/>
        </w:rPr>
      </w:pPr>
      <w:r>
        <w:rPr>
          <w:noProof/>
        </w:rPr>
        <w:t>V roce 2020 činila celková kombinovaná intenzita využívání sítě v EU-27 (nákladní a osobní vlaky) 16,73 tis. vlakových kilometrů na kilometr trati. To je výrazně méně než v letech před pandemií COVID-19.</w:t>
      </w:r>
    </w:p>
    <w:p w14:paraId="6348A1DD" w14:textId="1D25B89F" w:rsidR="009B3A58" w:rsidRPr="008D3DE7" w:rsidRDefault="00902A13">
      <w:pPr>
        <w:rPr>
          <w:noProof/>
        </w:rPr>
      </w:pPr>
      <w:r>
        <w:rPr>
          <w:noProof/>
        </w:rPr>
        <w:t xml:space="preserve">Celková délka tratí prohlášených za přetížené se od roku 2015 neustále zvyšuje a v roce 2020 prudce vzrostla. Ačkoli ve většině členských států došlo v daném období k nárůstu, prudký nárůst délky přetížených tratí je do značné míry způsoben změnou kritérií používaných v Itálii pro označení úseku za přetížený.  </w:t>
      </w:r>
    </w:p>
    <w:p w14:paraId="74769856" w14:textId="4C061530" w:rsidR="009B3A58" w:rsidRPr="008D3DE7" w:rsidRDefault="003F2CC0">
      <w:pPr>
        <w:rPr>
          <w:noProof/>
        </w:rPr>
      </w:pPr>
      <w:r>
        <w:rPr>
          <w:noProof/>
        </w:rPr>
        <w:t xml:space="preserve">V případech přetížení jsou členskými státy nejčastěji upřednostňovány služby poskytované v rámci závazků veřejné služby a následují je služby mezinárodní osobní dopravy. Nákladní doprava se málokdy stává nejvyšší prioritou. </w:t>
      </w:r>
    </w:p>
    <w:p w14:paraId="04BF2185" w14:textId="1C07D730" w:rsidR="009B3A58" w:rsidRPr="008D3DE7" w:rsidRDefault="003F2CC0">
      <w:pPr>
        <w:rPr>
          <w:noProof/>
        </w:rPr>
      </w:pPr>
      <w:r>
        <w:rPr>
          <w:noProof/>
        </w:rPr>
        <w:t>K překonání nekompatibility mezi staršími vnitrostátními systémy řízení vlaků se zavádí společný evropský signalizační systém – Evropský systém řízení železničního provozu (ERTMS). Podle evropského prováděcího plánu systému ERTMS</w:t>
      </w:r>
      <w:r>
        <w:rPr>
          <w:rStyle w:val="FootnoteReference"/>
          <w:noProof/>
        </w:rPr>
        <w:footnoteReference w:id="12"/>
      </w:r>
      <w:r>
        <w:rPr>
          <w:noProof/>
        </w:rPr>
        <w:t xml:space="preserve"> by měl být tento signalizační systém do roku 2023 zaveden na 15 682 kilometrech tratí. Systém byl dosud instalován na 5 906 kilometrech plánované délky tratí (tj. 38 %), což představuje oproti plánu značné zpoždění, neboť zavedení dosažené do konce roku 2019 představovalo přibližně 78 % plánovaného cíle. </w:t>
      </w:r>
    </w:p>
    <w:p w14:paraId="3F79C487" w14:textId="692760EA" w:rsidR="009B3A58" w:rsidRPr="008D3DE7" w:rsidRDefault="003F2CC0">
      <w:pPr>
        <w:pStyle w:val="Heading2"/>
        <w:rPr>
          <w:noProof/>
        </w:rPr>
      </w:pPr>
      <w:r>
        <w:rPr>
          <w:noProof/>
        </w:rPr>
        <w:t>Výdaje na infrastrukturu a její financování</w:t>
      </w:r>
    </w:p>
    <w:p w14:paraId="3D753540" w14:textId="3EDA4838" w:rsidR="00902A13" w:rsidRPr="008D3DE7" w:rsidRDefault="00902A13" w:rsidP="7BDA21AA">
      <w:pPr>
        <w:rPr>
          <w:noProof/>
          <w:sz w:val="22"/>
        </w:rPr>
      </w:pPr>
      <w:r>
        <w:rPr>
          <w:noProof/>
        </w:rPr>
        <w:t xml:space="preserve">Celkové výdaje na infrastrukturu vzrostly z 39,1 miliardy EUR v roce 2015 na 41,8 miliardy EUR v roce 2020. V roce 2020 připadalo 25 % výdajů na údržbu, 27 % na obnovu, 28 % na modernizaci a 20 % na investice do nové infrastruktury. </w:t>
      </w:r>
    </w:p>
    <w:p w14:paraId="5488B9A8" w14:textId="24A51135" w:rsidR="00902A13" w:rsidRPr="008D3DE7" w:rsidRDefault="00902A13" w:rsidP="00902A13">
      <w:pPr>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9B3A58" w:rsidRPr="008D3DE7" w14:paraId="749422E3" w14:textId="77777777">
        <w:tc>
          <w:tcPr>
            <w:tcW w:w="9242" w:type="dxa"/>
          </w:tcPr>
          <w:p w14:paraId="1C4740F8" w14:textId="44FC351C" w:rsidR="009B3A58" w:rsidRPr="008D3DE7" w:rsidRDefault="003F2CC0">
            <w:pPr>
              <w:pStyle w:val="Caption"/>
              <w:keepNext/>
              <w:spacing w:after="120"/>
              <w:rPr>
                <w:noProof/>
              </w:rPr>
            </w:pPr>
            <w:r>
              <w:rPr>
                <w:rFonts w:asciiTheme="minorHAnsi" w:hAnsiTheme="minorHAnsi"/>
                <w:noProof/>
                <w:color w:val="0070C0"/>
                <w:sz w:val="20"/>
              </w:rPr>
              <w:t xml:space="preserve">Graf </w:t>
            </w:r>
            <w:r>
              <w:rPr>
                <w:rFonts w:asciiTheme="minorHAnsi" w:hAnsiTheme="minorHAnsi" w:cstheme="minorHAnsi"/>
                <w:noProof/>
                <w:color w:val="0070C0"/>
                <w:sz w:val="20"/>
              </w:rPr>
              <w:fldChar w:fldCharType="begin"/>
            </w:r>
            <w:r>
              <w:rPr>
                <w:rFonts w:asciiTheme="minorHAnsi" w:hAnsiTheme="minorHAnsi" w:cstheme="minorHAnsi"/>
                <w:noProof/>
                <w:color w:val="0070C0"/>
                <w:sz w:val="20"/>
              </w:rPr>
              <w:instrText xml:space="preserve"> SEQ Figure \* ARABIC </w:instrText>
            </w:r>
            <w:r>
              <w:rPr>
                <w:rFonts w:asciiTheme="minorHAnsi" w:hAnsiTheme="minorHAnsi" w:cstheme="minorHAnsi"/>
                <w:noProof/>
                <w:color w:val="0070C0"/>
                <w:sz w:val="20"/>
              </w:rPr>
              <w:fldChar w:fldCharType="separate"/>
            </w:r>
            <w:r w:rsidR="001C029C">
              <w:rPr>
                <w:rFonts w:asciiTheme="minorHAnsi" w:hAnsiTheme="minorHAnsi" w:cstheme="minorHAnsi"/>
                <w:noProof/>
                <w:color w:val="0070C0"/>
                <w:sz w:val="20"/>
              </w:rPr>
              <w:t>9</w:t>
            </w:r>
            <w:r>
              <w:rPr>
                <w:rFonts w:asciiTheme="minorHAnsi" w:hAnsiTheme="minorHAnsi" w:cstheme="minorHAnsi"/>
                <w:noProof/>
                <w:color w:val="0070C0"/>
                <w:sz w:val="20"/>
              </w:rPr>
              <w:fldChar w:fldCharType="end"/>
            </w:r>
            <w:r>
              <w:rPr>
                <w:rFonts w:asciiTheme="minorHAnsi" w:hAnsiTheme="minorHAnsi"/>
                <w:noProof/>
                <w:color w:val="0070C0"/>
                <w:sz w:val="20"/>
              </w:rPr>
              <w:t>: Výdaje na infrastrukturu a podíl výdajů na údržbu a obnovu (v miliardách EUR, 2011–2020)</w:t>
            </w:r>
          </w:p>
        </w:tc>
      </w:tr>
      <w:tr w:rsidR="009B3A58" w:rsidRPr="008D3DE7" w14:paraId="3769ECD2" w14:textId="77777777">
        <w:tc>
          <w:tcPr>
            <w:tcW w:w="9242" w:type="dxa"/>
          </w:tcPr>
          <w:p w14:paraId="720B5287" w14:textId="67148B77" w:rsidR="009B3A58" w:rsidRPr="008D3DE7" w:rsidRDefault="002B24B1" w:rsidP="00902A13">
            <w:pPr>
              <w:jc w:val="center"/>
              <w:rPr>
                <w:noProof/>
              </w:rPr>
            </w:pPr>
            <w:r>
              <w:rPr>
                <w:noProof/>
                <w:lang w:val="en-GB" w:eastAsia="en-GB"/>
              </w:rPr>
              <w:drawing>
                <wp:inline distT="0" distB="0" distL="0" distR="0" wp14:anchorId="24C78016" wp14:editId="37F25786">
                  <wp:extent cx="5724525" cy="3324225"/>
                  <wp:effectExtent l="0" t="0" r="9525" b="9525"/>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24525" cy="3324225"/>
                          </a:xfrm>
                          <a:prstGeom prst="rect">
                            <a:avLst/>
                          </a:prstGeom>
                          <a:noFill/>
                          <a:ln>
                            <a:noFill/>
                          </a:ln>
                        </pic:spPr>
                      </pic:pic>
                    </a:graphicData>
                  </a:graphic>
                </wp:inline>
              </w:drawing>
            </w:r>
          </w:p>
        </w:tc>
      </w:tr>
      <w:tr w:rsidR="009B3A58" w:rsidRPr="008D3DE7" w14:paraId="554B35DA" w14:textId="77777777">
        <w:tc>
          <w:tcPr>
            <w:tcW w:w="9242" w:type="dxa"/>
          </w:tcPr>
          <w:p w14:paraId="75AEFDCA" w14:textId="77777777" w:rsidR="009B3A58" w:rsidRPr="008D3DE7" w:rsidRDefault="003F2CC0" w:rsidP="00902A13">
            <w:pPr>
              <w:rPr>
                <w:noProof/>
              </w:rPr>
            </w:pPr>
            <w:r>
              <w:rPr>
                <w:rFonts w:asciiTheme="minorHAnsi" w:hAnsiTheme="minorHAnsi"/>
                <w:i/>
                <w:noProof/>
                <w:sz w:val="18"/>
              </w:rPr>
              <w:t>Zdroj: RMMS, 2022.</w:t>
            </w:r>
          </w:p>
        </w:tc>
      </w:tr>
    </w:tbl>
    <w:p w14:paraId="415DD59F" w14:textId="1D26B3C8" w:rsidR="009B3A58" w:rsidRPr="008D3DE7" w:rsidRDefault="003F2CC0">
      <w:pPr>
        <w:rPr>
          <w:noProof/>
        </w:rPr>
      </w:pPr>
      <w:r>
        <w:rPr>
          <w:noProof/>
        </w:rPr>
        <w:t>V roce 2020 v EU-27:</w:t>
      </w:r>
      <w:r>
        <w:rPr>
          <w:rFonts w:asciiTheme="minorHAnsi" w:hAnsiTheme="minorHAnsi"/>
          <w:noProof/>
          <w:sz w:val="18"/>
        </w:rPr>
        <w:t xml:space="preserve"> </w:t>
      </w:r>
    </w:p>
    <w:p w14:paraId="3F50E605" w14:textId="77777777" w:rsidR="00E51FBC" w:rsidRDefault="00D615CA" w:rsidP="00C86464">
      <w:pPr>
        <w:pStyle w:val="ListParagraph"/>
        <w:numPr>
          <w:ilvl w:val="0"/>
          <w:numId w:val="14"/>
        </w:numPr>
        <w:contextualSpacing w:val="0"/>
        <w:rPr>
          <w:noProof/>
        </w:rPr>
      </w:pPr>
      <w:r>
        <w:rPr>
          <w:noProof/>
        </w:rPr>
        <w:t>celkové výdaje na údržbu a obnovu činily 21,7 miliardy EUR, a představovaly tak 52 % celkových výdajů, přičemž mezi jednotlivými zeměmi panovaly značné rozdíly,</w:t>
      </w:r>
    </w:p>
    <w:p w14:paraId="7F9CA924" w14:textId="49DF4D8E" w:rsidR="008B6E5F" w:rsidRDefault="00D615CA" w:rsidP="003E2366">
      <w:pPr>
        <w:pStyle w:val="ListParagraph"/>
        <w:numPr>
          <w:ilvl w:val="0"/>
          <w:numId w:val="14"/>
        </w:numPr>
        <w:contextualSpacing w:val="0"/>
        <w:rPr>
          <w:noProof/>
        </w:rPr>
      </w:pPr>
      <w:r>
        <w:rPr>
          <w:noProof/>
        </w:rPr>
        <w:t xml:space="preserve">vnitrostátní rozpočty se podílely na celkových výdajích ze 69 %, přičemž spolufinancování ze strany EU představovalo 8 %. Zbývající část finančních prostředků pocházela z jiných zdrojů, včetně úvěrů, kapitálového financování a poplatků. Po roce 2020 pravděpodobně dojde ke zvýšení podílu financování ze strany EU na celkových výdajích na železniční dopravu, a to prostřednictvím Nástroje pro propojení Evropy, politiky soudržnosti a Nástroje pro oživení a odolnost. </w:t>
      </w:r>
    </w:p>
    <w:p w14:paraId="33254BF4" w14:textId="18047F84" w:rsidR="009B3A58" w:rsidRPr="008D3DE7" w:rsidRDefault="003F2CC0">
      <w:pPr>
        <w:pStyle w:val="Heading2"/>
        <w:rPr>
          <w:noProof/>
        </w:rPr>
      </w:pPr>
      <w:r>
        <w:rPr>
          <w:noProof/>
        </w:rPr>
        <w:t>Kvalita služeb železniční dopravy</w:t>
      </w:r>
    </w:p>
    <w:p w14:paraId="5860B2CE" w14:textId="50002AD0" w:rsidR="008C6AFE" w:rsidRPr="008D3DE7" w:rsidRDefault="00BE021E" w:rsidP="009F0C10">
      <w:pPr>
        <w:rPr>
          <w:noProof/>
        </w:rPr>
      </w:pPr>
      <w:r>
        <w:rPr>
          <w:noProof/>
        </w:rPr>
        <w:t>Bezpečnost zůstává hlavní prioritou rozvoje jednotného evropského železničního prostoru. Agentura Evropské unie pro železnice (ERA) sleduje pokrok v oblasti bezpečnosti a interoperability železničního systému EU. Ve své zprávě za rok 2022</w:t>
      </w:r>
      <w:r>
        <w:rPr>
          <w:rStyle w:val="FootnoteReference"/>
          <w:noProof/>
        </w:rPr>
        <w:footnoteReference w:id="13"/>
      </w:r>
      <w:r>
        <w:rPr>
          <w:noProof/>
        </w:rPr>
        <w:t xml:space="preserve"> agentura ERA opět poukazuje na to, že evropské železnice patří ve srovnání s ostatními druhy dopravy k nejbezpečnějším na světě</w:t>
      </w:r>
      <w:r>
        <w:rPr>
          <w:rStyle w:val="FootnoteReference"/>
          <w:noProof/>
        </w:rPr>
        <w:footnoteReference w:id="14"/>
      </w:r>
      <w:r>
        <w:rPr>
          <w:noProof/>
        </w:rPr>
        <w:t>. Cestování autem je podle odhadů asi 44krát rizikovější než cestování vlakem.</w:t>
      </w:r>
    </w:p>
    <w:p w14:paraId="28825593" w14:textId="463A4495" w:rsidR="00B6785B" w:rsidRDefault="000444E1">
      <w:pPr>
        <w:rPr>
          <w:noProof/>
        </w:rPr>
      </w:pPr>
      <w:r>
        <w:rPr>
          <w:noProof/>
        </w:rPr>
        <w:t>Průměrná přesnost regionální a místní osobní dopravy</w:t>
      </w:r>
      <w:r>
        <w:rPr>
          <w:rStyle w:val="FootnoteReference"/>
          <w:noProof/>
        </w:rPr>
        <w:footnoteReference w:id="15"/>
      </w:r>
      <w:r>
        <w:rPr>
          <w:noProof/>
        </w:rPr>
        <w:t xml:space="preserve"> klesla z 93,1 % v roce 2015 na 88,7 % v roce 2020. Průměrná přesnost dálkové a vysokorychlostní osobní dopravy rovněž klesla, a to z 84,9 % v roce 2015 na 82,6 % v roce 2020. </w:t>
      </w:r>
    </w:p>
    <w:p w14:paraId="74CF43E0" w14:textId="1BDD644A" w:rsidR="009B3A58" w:rsidRPr="008D3DE7" w:rsidRDefault="003F2CC0">
      <w:pPr>
        <w:rPr>
          <w:noProof/>
        </w:rPr>
      </w:pPr>
      <w:r>
        <w:rPr>
          <w:noProof/>
        </w:rPr>
        <w:t>Průměrná spolehlivost</w:t>
      </w:r>
      <w:r>
        <w:rPr>
          <w:rStyle w:val="FootnoteReference"/>
          <w:noProof/>
        </w:rPr>
        <w:footnoteReference w:id="16"/>
      </w:r>
      <w:r>
        <w:rPr>
          <w:noProof/>
        </w:rPr>
        <w:t xml:space="preserve"> místní a regionální osobní dopravy se mezi lety 2015 a 2020 snížila, přičemž podíl zrušených spojů vzrostl z 1,4 % na 4,0 %. Průměrná spolehlivost dálkové a vysokorychlostní osobní dopravy se mezi lety 2015 a 2020 rovněž snížila, přičemž podíl zrušených spojů vzrostl z 1,5 % na 6,0 %. U obou ukazatelů však ke zhoršení výkonnosti došlo v roce 2020 oproti roku 2019, což je přímý důsledek pandemie COVID-19.</w:t>
      </w:r>
    </w:p>
    <w:p w14:paraId="58D3A881" w14:textId="296D08BC" w:rsidR="002D1EFF" w:rsidRPr="008D3DE7" w:rsidRDefault="00852D1C">
      <w:pPr>
        <w:rPr>
          <w:noProof/>
        </w:rPr>
      </w:pPr>
      <w:r>
        <w:rPr>
          <w:noProof/>
        </w:rPr>
        <w:t>U železniční nákladní dopravy mezi lety 2015 a 2020 průměrná přesnost</w:t>
      </w:r>
      <w:r>
        <w:rPr>
          <w:rStyle w:val="FootnoteReference"/>
          <w:noProof/>
        </w:rPr>
        <w:footnoteReference w:id="17"/>
      </w:r>
      <w:r>
        <w:rPr>
          <w:noProof/>
        </w:rPr>
        <w:t xml:space="preserve"> mírně klesla, a to z 65 % na 64,1 % u vnitrostátních spojů, zatímco u mezinárodních spojů vzrostla ze 44,2 % na 47,4 %.</w:t>
      </w:r>
    </w:p>
    <w:p w14:paraId="37D388E4" w14:textId="18B9604D" w:rsidR="006F55BF" w:rsidRPr="008D3DE7" w:rsidDel="006F55BF" w:rsidRDefault="00DE68B0" w:rsidP="006F55BF">
      <w:pPr>
        <w:rPr>
          <w:noProof/>
        </w:rPr>
      </w:pPr>
      <w:r>
        <w:rPr>
          <w:noProof/>
        </w:rPr>
        <w:t xml:space="preserve">Ve stejném období se mírně snížila spolehlivost vnitrostátních spojů, přičemž podíl zrušených spojů vzrostl z 6,6 % na 7,4 %, zatímco podíl zrušených mezinárodních spojů se snížil z 15,5 % v roce 2015 na 8,9 % v roce 2020. </w:t>
      </w:r>
    </w:p>
    <w:p w14:paraId="617CEBD8" w14:textId="77777777" w:rsidR="009B3A58" w:rsidRPr="008D3DE7" w:rsidRDefault="003F2CC0">
      <w:pPr>
        <w:pStyle w:val="Heading2"/>
        <w:rPr>
          <w:noProof/>
        </w:rPr>
      </w:pPr>
      <w:r>
        <w:rPr>
          <w:noProof/>
        </w:rPr>
        <w:t>Smlouvy o veřejných službách</w:t>
      </w:r>
    </w:p>
    <w:p w14:paraId="1070B103" w14:textId="600977B9" w:rsidR="009B3A58" w:rsidRPr="008D3DE7" w:rsidRDefault="003F2CC0">
      <w:pPr>
        <w:rPr>
          <w:noProof/>
        </w:rPr>
      </w:pPr>
      <w:bookmarkStart w:id="3" w:name="_Hlk138843221"/>
      <w:r>
        <w:rPr>
          <w:noProof/>
          <w:color w:val="000000" w:themeColor="text1"/>
        </w:rPr>
        <w:t xml:space="preserve">V roce 2020 představovala osobní doprava se závazky veřejné služby v průměru 64 % z celkových osobokilometrů ujetých v EU-27, což je nárůst oproti 60 % zaznamenaným v roce 2019. </w:t>
      </w:r>
      <w:r>
        <w:rPr>
          <w:noProof/>
        </w:rPr>
        <w:t>Nárůst podílu osobní dopravy poskytované v rámci závazků veřejné služby lze přisoudit více než přiměřenému poklesu počtu osobokilometrů v komerční dopravě v souvislosti s pandemií. Vnitrostátní osobní doprava představovala 99 % osobní dopravy v rámci závazků veřejné služby, přičemž převažovaly regionální spoje nad dálkovými.</w:t>
      </w:r>
    </w:p>
    <w:bookmarkEnd w:id="3"/>
    <w:p w14:paraId="6642EC51" w14:textId="4226F1D7" w:rsidR="00A43CA3" w:rsidRPr="003E664C" w:rsidRDefault="00A43CA3">
      <w:pPr>
        <w:rPr>
          <w:noProof/>
        </w:rPr>
      </w:pPr>
      <w:r>
        <w:rPr>
          <w:noProof/>
        </w:rPr>
        <w:t>Podle údajů RMMS se závazky veřejné služby vztahovaly na veškerou osobní dopravu v Dánsku, Estonsku, Irsku, Lucembursku a Nizozemsku. Řada zemí oznámila podíl závazků veřejné služby ve výši téměř 100 %. V Itálii, ve Švédsku, v Německu, ve Španělsku a ve Francii připadá na komerčně provozované služby více než 30 % osobokilometrů.</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9B3A58" w:rsidRPr="008D3DE7" w14:paraId="0D398D67" w14:textId="77777777">
        <w:tc>
          <w:tcPr>
            <w:tcW w:w="9242" w:type="dxa"/>
          </w:tcPr>
          <w:p w14:paraId="4E437703" w14:textId="77777777" w:rsidR="009B3A58" w:rsidRPr="008D3DE7" w:rsidRDefault="003F2CC0">
            <w:pPr>
              <w:pStyle w:val="Caption"/>
              <w:keepNext/>
              <w:spacing w:after="120"/>
              <w:rPr>
                <w:noProof/>
              </w:rPr>
            </w:pPr>
            <w:r>
              <w:rPr>
                <w:rFonts w:asciiTheme="minorHAnsi" w:hAnsiTheme="minorHAnsi"/>
                <w:noProof/>
                <w:color w:val="0070C0"/>
                <w:sz w:val="20"/>
              </w:rPr>
              <w:t xml:space="preserve">Graf </w:t>
            </w:r>
            <w:r>
              <w:rPr>
                <w:rFonts w:asciiTheme="minorHAnsi" w:hAnsiTheme="minorHAnsi" w:cstheme="minorHAnsi"/>
                <w:noProof/>
                <w:color w:val="0070C0"/>
                <w:sz w:val="20"/>
              </w:rPr>
              <w:fldChar w:fldCharType="begin"/>
            </w:r>
            <w:r>
              <w:rPr>
                <w:rFonts w:asciiTheme="minorHAnsi" w:hAnsiTheme="minorHAnsi" w:cstheme="minorHAnsi"/>
                <w:noProof/>
                <w:color w:val="0070C0"/>
                <w:sz w:val="20"/>
              </w:rPr>
              <w:instrText xml:space="preserve"> SEQ Figure \* ARABIC </w:instrText>
            </w:r>
            <w:r>
              <w:rPr>
                <w:rFonts w:asciiTheme="minorHAnsi" w:hAnsiTheme="minorHAnsi" w:cstheme="minorHAnsi"/>
                <w:noProof/>
                <w:color w:val="0070C0"/>
                <w:sz w:val="20"/>
              </w:rPr>
              <w:fldChar w:fldCharType="separate"/>
            </w:r>
            <w:r w:rsidR="001C029C">
              <w:rPr>
                <w:rFonts w:asciiTheme="minorHAnsi" w:hAnsiTheme="minorHAnsi" w:cstheme="minorHAnsi"/>
                <w:noProof/>
                <w:color w:val="0070C0"/>
                <w:sz w:val="20"/>
              </w:rPr>
              <w:t>10</w:t>
            </w:r>
            <w:r>
              <w:rPr>
                <w:rFonts w:asciiTheme="minorHAnsi" w:hAnsiTheme="minorHAnsi" w:cstheme="minorHAnsi"/>
                <w:noProof/>
                <w:color w:val="0070C0"/>
                <w:sz w:val="20"/>
              </w:rPr>
              <w:fldChar w:fldCharType="end"/>
            </w:r>
            <w:r>
              <w:rPr>
                <w:rFonts w:asciiTheme="minorHAnsi" w:hAnsiTheme="minorHAnsi"/>
                <w:noProof/>
                <w:color w:val="0070C0"/>
                <w:sz w:val="20"/>
              </w:rPr>
              <w:t>: Podíl přepravy cestujících nabízené v rámci závazků veřejné služby a komerční služby železnic podle zemí (% osobokilometrů, 2020)</w:t>
            </w:r>
          </w:p>
        </w:tc>
      </w:tr>
      <w:tr w:rsidR="009B3A58" w:rsidRPr="008D3DE7" w14:paraId="34012EC3" w14:textId="77777777">
        <w:tc>
          <w:tcPr>
            <w:tcW w:w="9242" w:type="dxa"/>
          </w:tcPr>
          <w:p w14:paraId="73F25DB0" w14:textId="3C3C051B" w:rsidR="009B3A58" w:rsidRPr="008D3DE7" w:rsidRDefault="007E2391">
            <w:pPr>
              <w:rPr>
                <w:noProof/>
              </w:rPr>
            </w:pPr>
            <w:r>
              <w:rPr>
                <w:noProof/>
                <w:lang w:val="en-GB" w:eastAsia="en-GB"/>
              </w:rPr>
              <w:drawing>
                <wp:inline distT="0" distB="0" distL="0" distR="0" wp14:anchorId="3B75F8E8" wp14:editId="306C0D03">
                  <wp:extent cx="5734050" cy="3286125"/>
                  <wp:effectExtent l="0" t="0" r="0" b="9525"/>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34050" cy="3286125"/>
                          </a:xfrm>
                          <a:prstGeom prst="rect">
                            <a:avLst/>
                          </a:prstGeom>
                          <a:noFill/>
                          <a:ln>
                            <a:noFill/>
                          </a:ln>
                        </pic:spPr>
                      </pic:pic>
                    </a:graphicData>
                  </a:graphic>
                </wp:inline>
              </w:drawing>
            </w:r>
          </w:p>
        </w:tc>
      </w:tr>
      <w:tr w:rsidR="009B3A58" w:rsidRPr="008D3DE7" w14:paraId="3AA033AE" w14:textId="77777777">
        <w:tc>
          <w:tcPr>
            <w:tcW w:w="9242" w:type="dxa"/>
          </w:tcPr>
          <w:p w14:paraId="2C6BB234" w14:textId="6FA656B3" w:rsidR="009B3A58" w:rsidRPr="008D3DE7" w:rsidRDefault="00AA1680">
            <w:pPr>
              <w:rPr>
                <w:noProof/>
              </w:rPr>
            </w:pPr>
            <w:r>
              <w:rPr>
                <w:rFonts w:asciiTheme="minorHAnsi" w:hAnsiTheme="minorHAnsi"/>
                <w:i/>
                <w:noProof/>
                <w:sz w:val="18"/>
              </w:rPr>
              <w:t>Zdroj: RMMS, 2022. Údaje pro BE, PT, EL a FR jsou odhady. Údaje pro RO nejsou k dispozici.</w:t>
            </w:r>
          </w:p>
        </w:tc>
      </w:tr>
    </w:tbl>
    <w:p w14:paraId="2EEB7C4B" w14:textId="12F63080" w:rsidR="00AA1680" w:rsidRPr="008D3DE7" w:rsidRDefault="00AA1680">
      <w:pPr>
        <w:rPr>
          <w:noProof/>
        </w:rPr>
      </w:pPr>
      <w:r>
        <w:rPr>
          <w:noProof/>
        </w:rPr>
        <w:t>Z celkového počtu 149 milionů osobokilometrů v roce 2020 připadá 28 % na služby, které byly předmětem výběrového řízení. V relativním vyjádření se 92 % všech výběrových řízení v EU-27 uskutečnilo ve dvou členských státech, ve kterých se služby liberalizovaly již dříve (80 % v Německu a 12 % ve Švédsku). Podíl služeb, které byly předmětem výběrového řízení, že výši 28 % je poměrně nízký, neboť hodnota tohoto ukazatele v roce 2019 dosahovala téměř 44 %, zatímco v roce 2015 to bylo 40 %.</w:t>
      </w:r>
    </w:p>
    <w:p w14:paraId="15C8140F" w14:textId="142ACE64" w:rsidR="00692155" w:rsidRPr="008D3DE7" w:rsidRDefault="003F2CC0">
      <w:pPr>
        <w:rPr>
          <w:noProof/>
        </w:rPr>
      </w:pPr>
      <w:r>
        <w:rPr>
          <w:noProof/>
        </w:rPr>
        <w:t xml:space="preserve">Kompenzace za závazky veřejné služby jsou i nadále významným zdrojem příjmů železničních podniků ve většině členských států. </w:t>
      </w:r>
    </w:p>
    <w:p w14:paraId="3A54C40E" w14:textId="77777777" w:rsidR="009B3A58" w:rsidRPr="008D3DE7" w:rsidDel="00477598" w:rsidRDefault="46410709">
      <w:pPr>
        <w:pStyle w:val="Heading2"/>
        <w:rPr>
          <w:noProof/>
        </w:rPr>
      </w:pPr>
      <w:r>
        <w:rPr>
          <w:noProof/>
        </w:rPr>
        <w:t>Poskytování licencí</w:t>
      </w:r>
    </w:p>
    <w:p w14:paraId="60F21E28" w14:textId="3173287A" w:rsidR="009B3A58" w:rsidRPr="008D3DE7" w:rsidRDefault="003F2CC0">
      <w:pPr>
        <w:rPr>
          <w:noProof/>
        </w:rPr>
      </w:pPr>
      <w:r>
        <w:rPr>
          <w:noProof/>
        </w:rPr>
        <w:t xml:space="preserve">V roce 2020 bylo v EU-27 nahlášeno celkem 1 192 aktivních licencí pro železniční podniky. Nejvyšší počet vykázalo Německo (475) a nejnižší Lucembursko (2). </w:t>
      </w:r>
    </w:p>
    <w:p w14:paraId="18C77E82" w14:textId="77777777" w:rsidR="009B3A58" w:rsidRPr="008D3DE7" w:rsidRDefault="46410709">
      <w:pPr>
        <w:pStyle w:val="Heading2"/>
        <w:rPr>
          <w:noProof/>
        </w:rPr>
      </w:pPr>
      <w:r>
        <w:rPr>
          <w:noProof/>
        </w:rPr>
        <w:t>Míra otevřenosti trhu a využívání práv přístupu</w:t>
      </w:r>
    </w:p>
    <w:p w14:paraId="384D0304" w14:textId="6DCD827F" w:rsidR="009B3A58" w:rsidRPr="008D3DE7" w:rsidRDefault="0F1330E0">
      <w:pPr>
        <w:rPr>
          <w:noProof/>
        </w:rPr>
      </w:pPr>
      <w:r>
        <w:rPr>
          <w:noProof/>
        </w:rPr>
        <w:t>V nákladní dopravě se průměrný podíl nových účastníků na trhu mezi lety 2015 a 2020 zvýšil z 35 % na 46 %. Pandemie COVID-19 pronikání nových účastníků na trh v segmentu železniční nákladní dopravy obecně nezpomalila.</w:t>
      </w:r>
    </w:p>
    <w:p w14:paraId="022CCD11" w14:textId="6037464C" w:rsidR="00852D1C" w:rsidRDefault="00852D1C">
      <w:pPr>
        <w:rPr>
          <w:noProof/>
        </w:rPr>
      </w:pPr>
    </w:p>
    <w:p w14:paraId="4390A947" w14:textId="4AE4C58B" w:rsidR="00852D1C" w:rsidRDefault="00852D1C">
      <w:pPr>
        <w:rPr>
          <w:noProof/>
        </w:rPr>
      </w:pPr>
    </w:p>
    <w:p w14:paraId="457B5451" w14:textId="10DFCD49" w:rsidR="00852D1C" w:rsidRDefault="00852D1C">
      <w:pPr>
        <w:rPr>
          <w:noProof/>
        </w:rPr>
      </w:pPr>
    </w:p>
    <w:p w14:paraId="74D335F2" w14:textId="77777777" w:rsidR="00605AA8" w:rsidRPr="008D3DE7" w:rsidRDefault="00605AA8">
      <w:pPr>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7"/>
        <w:gridCol w:w="2865"/>
      </w:tblGrid>
      <w:tr w:rsidR="009B3A58" w:rsidRPr="008D3DE7" w14:paraId="39E5C28A" w14:textId="77777777">
        <w:tc>
          <w:tcPr>
            <w:tcW w:w="9242" w:type="dxa"/>
            <w:gridSpan w:val="2"/>
          </w:tcPr>
          <w:p w14:paraId="7D7984BA" w14:textId="67A2FFD2" w:rsidR="009B3A58" w:rsidRPr="008D3DE7" w:rsidRDefault="003F2CC0">
            <w:pPr>
              <w:pStyle w:val="Caption"/>
              <w:rPr>
                <w:noProof/>
              </w:rPr>
            </w:pPr>
            <w:r>
              <w:rPr>
                <w:rFonts w:asciiTheme="minorHAnsi" w:hAnsiTheme="minorHAnsi"/>
                <w:noProof/>
                <w:color w:val="0070C0"/>
                <w:sz w:val="20"/>
              </w:rPr>
              <w:t xml:space="preserve">Graf </w:t>
            </w:r>
            <w:r>
              <w:rPr>
                <w:rFonts w:asciiTheme="minorHAnsi" w:hAnsiTheme="minorHAnsi" w:cstheme="minorHAnsi"/>
                <w:noProof/>
                <w:color w:val="0070C0"/>
                <w:sz w:val="20"/>
              </w:rPr>
              <w:fldChar w:fldCharType="begin"/>
            </w:r>
            <w:r>
              <w:rPr>
                <w:rFonts w:asciiTheme="minorHAnsi" w:hAnsiTheme="minorHAnsi" w:cstheme="minorHAnsi"/>
                <w:noProof/>
                <w:color w:val="0070C0"/>
                <w:sz w:val="20"/>
              </w:rPr>
              <w:instrText xml:space="preserve"> SEQ Figure \* ARABIC </w:instrText>
            </w:r>
            <w:r>
              <w:rPr>
                <w:rFonts w:asciiTheme="minorHAnsi" w:hAnsiTheme="minorHAnsi" w:cstheme="minorHAnsi"/>
                <w:noProof/>
                <w:color w:val="0070C0"/>
                <w:sz w:val="20"/>
              </w:rPr>
              <w:fldChar w:fldCharType="separate"/>
            </w:r>
            <w:r w:rsidR="001C029C">
              <w:rPr>
                <w:rFonts w:asciiTheme="minorHAnsi" w:hAnsiTheme="minorHAnsi" w:cstheme="minorHAnsi"/>
                <w:noProof/>
                <w:color w:val="0070C0"/>
                <w:sz w:val="20"/>
              </w:rPr>
              <w:t>11</w:t>
            </w:r>
            <w:r>
              <w:rPr>
                <w:rFonts w:asciiTheme="minorHAnsi" w:hAnsiTheme="minorHAnsi" w:cstheme="minorHAnsi"/>
                <w:noProof/>
                <w:color w:val="0070C0"/>
                <w:sz w:val="20"/>
              </w:rPr>
              <w:fldChar w:fldCharType="end"/>
            </w:r>
            <w:r>
              <w:rPr>
                <w:rFonts w:asciiTheme="minorHAnsi" w:hAnsiTheme="minorHAnsi"/>
                <w:noProof/>
                <w:color w:val="0070C0"/>
                <w:sz w:val="20"/>
              </w:rPr>
              <w:t>: Podíl nových účastníků na trhu železniční nákladní dopravy podle zemí (% v roce 2020) a změna v procentních bodech (2015–2020)</w:t>
            </w:r>
          </w:p>
        </w:tc>
      </w:tr>
      <w:tr w:rsidR="00A76A3C" w:rsidRPr="008D3DE7" w14:paraId="510569B9" w14:textId="77777777" w:rsidTr="009671CA">
        <w:tc>
          <w:tcPr>
            <w:tcW w:w="6488" w:type="dxa"/>
          </w:tcPr>
          <w:p w14:paraId="3E65026C" w14:textId="7DE28DE4" w:rsidR="009B3A58" w:rsidRPr="008D3DE7" w:rsidRDefault="007E2391">
            <w:pPr>
              <w:rPr>
                <w:noProof/>
              </w:rPr>
            </w:pPr>
            <w:r>
              <w:rPr>
                <w:noProof/>
                <w:lang w:val="en-GB" w:eastAsia="en-GB"/>
              </w:rPr>
              <w:drawing>
                <wp:inline distT="0" distB="0" distL="0" distR="0" wp14:anchorId="5881911F" wp14:editId="779A9A0D">
                  <wp:extent cx="3990189" cy="2711302"/>
                  <wp:effectExtent l="0" t="0" r="0" b="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20489" cy="2731891"/>
                          </a:xfrm>
                          <a:prstGeom prst="rect">
                            <a:avLst/>
                          </a:prstGeom>
                          <a:noFill/>
                          <a:ln>
                            <a:noFill/>
                          </a:ln>
                        </pic:spPr>
                      </pic:pic>
                    </a:graphicData>
                  </a:graphic>
                </wp:inline>
              </w:drawing>
            </w:r>
          </w:p>
        </w:tc>
        <w:tc>
          <w:tcPr>
            <w:tcW w:w="2754" w:type="dxa"/>
          </w:tcPr>
          <w:p w14:paraId="24754544" w14:textId="05495693" w:rsidR="00A76A3C" w:rsidRDefault="00A76A3C">
            <w:pPr>
              <w:rPr>
                <w:noProof/>
              </w:rPr>
            </w:pPr>
            <w:r>
              <w:rPr>
                <w:noProof/>
                <w:lang w:val="en-GB" w:eastAsia="en-GB"/>
              </w:rPr>
              <w:drawing>
                <wp:inline distT="0" distB="0" distL="0" distR="0" wp14:anchorId="698AE997" wp14:editId="6DF78488">
                  <wp:extent cx="1716072" cy="2934586"/>
                  <wp:effectExtent l="0" t="0" r="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8129"/>
                          <a:stretch/>
                        </pic:blipFill>
                        <pic:spPr bwMode="auto">
                          <a:xfrm>
                            <a:off x="0" y="0"/>
                            <a:ext cx="1726753" cy="2952851"/>
                          </a:xfrm>
                          <a:prstGeom prst="rect">
                            <a:avLst/>
                          </a:prstGeom>
                          <a:noFill/>
                          <a:ln>
                            <a:noFill/>
                          </a:ln>
                          <a:extLst>
                            <a:ext uri="{53640926-AAD7-44D8-BBD7-CCE9431645EC}">
                              <a14:shadowObscured xmlns:a14="http://schemas.microsoft.com/office/drawing/2010/main"/>
                            </a:ext>
                          </a:extLst>
                        </pic:spPr>
                      </pic:pic>
                    </a:graphicData>
                  </a:graphic>
                </wp:inline>
              </w:drawing>
            </w:r>
          </w:p>
          <w:p w14:paraId="441ABE5A" w14:textId="4377712C" w:rsidR="009B3A58" w:rsidRPr="008D3DE7" w:rsidRDefault="009B3A58">
            <w:pPr>
              <w:rPr>
                <w:noProof/>
              </w:rPr>
            </w:pPr>
          </w:p>
        </w:tc>
      </w:tr>
      <w:tr w:rsidR="009B3A58" w:rsidRPr="008D3DE7" w14:paraId="6FFB2632" w14:textId="77777777">
        <w:tc>
          <w:tcPr>
            <w:tcW w:w="9242" w:type="dxa"/>
            <w:gridSpan w:val="2"/>
          </w:tcPr>
          <w:p w14:paraId="57B5AEAE" w14:textId="77777777" w:rsidR="009B3A58" w:rsidRPr="008D3DE7" w:rsidRDefault="009671CA">
            <w:pPr>
              <w:rPr>
                <w:noProof/>
              </w:rPr>
            </w:pPr>
            <w:r>
              <w:rPr>
                <w:rFonts w:ascii="Calibri" w:hAnsi="Calibri"/>
                <w:i/>
                <w:noProof/>
                <w:sz w:val="18"/>
              </w:rPr>
              <w:t>Zdroj: RMMS, 2022. Údaje pro NL za rok 2015 byly upraveny. Údaje pro RO za rok 2015, LV za rok 2020 a PL za rok 2020 jsou odhady. Údaje pro DK, FI, EL, IE, LV, LT a LU za rok 2015 nejsou k dispozici.</w:t>
            </w:r>
          </w:p>
        </w:tc>
      </w:tr>
    </w:tbl>
    <w:p w14:paraId="10F535F7" w14:textId="7A3B83F8" w:rsidR="009B3A58" w:rsidRPr="008D3DE7" w:rsidRDefault="6E65A378">
      <w:pPr>
        <w:rPr>
          <w:noProof/>
        </w:rPr>
      </w:pPr>
      <w:r>
        <w:rPr>
          <w:noProof/>
        </w:rPr>
        <w:t>V komerční železniční osobní dopravě měli noví účastníci v roce 2020 průměrný podíl na trhu ve výši 6,6 % a na vnitrostátních trzích přepravy cestujících se závazky veřejné služby dosahoval jejich podíl 18,5 %.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7"/>
        <w:gridCol w:w="2295"/>
      </w:tblGrid>
      <w:tr w:rsidR="009B3A58" w:rsidRPr="008D3DE7" w14:paraId="4DF97CCF" w14:textId="77777777">
        <w:tc>
          <w:tcPr>
            <w:tcW w:w="9242" w:type="dxa"/>
            <w:gridSpan w:val="2"/>
          </w:tcPr>
          <w:p w14:paraId="2A240A7E" w14:textId="77777777" w:rsidR="009671CA" w:rsidRPr="008D3DE7" w:rsidRDefault="009671CA" w:rsidP="00827E6F">
            <w:pPr>
              <w:keepLines/>
              <w:rPr>
                <w:rFonts w:asciiTheme="minorHAnsi" w:hAnsiTheme="minorHAnsi" w:cstheme="minorHAnsi"/>
                <w:i/>
                <w:noProof/>
                <w:color w:val="0070C0"/>
                <w:sz w:val="20"/>
              </w:rPr>
            </w:pPr>
          </w:p>
          <w:p w14:paraId="43B33B5F" w14:textId="04D9C18F" w:rsidR="009B3A58" w:rsidRPr="008D3DE7" w:rsidRDefault="003F2CC0" w:rsidP="00827E6F">
            <w:pPr>
              <w:keepLines/>
              <w:rPr>
                <w:noProof/>
              </w:rPr>
            </w:pPr>
            <w:r>
              <w:rPr>
                <w:rFonts w:asciiTheme="minorHAnsi" w:hAnsiTheme="minorHAnsi"/>
                <w:i/>
                <w:noProof/>
                <w:color w:val="0070C0"/>
                <w:sz w:val="20"/>
              </w:rPr>
              <w:t xml:space="preserve">Graf </w:t>
            </w:r>
            <w:r>
              <w:rPr>
                <w:rFonts w:asciiTheme="minorHAnsi" w:hAnsiTheme="minorHAnsi" w:cstheme="minorHAnsi"/>
                <w:i/>
                <w:noProof/>
                <w:color w:val="0070C0"/>
                <w:sz w:val="20"/>
              </w:rPr>
              <w:fldChar w:fldCharType="begin"/>
            </w:r>
            <w:r>
              <w:rPr>
                <w:rFonts w:asciiTheme="minorHAnsi" w:hAnsiTheme="minorHAnsi" w:cstheme="minorHAnsi"/>
                <w:i/>
                <w:noProof/>
                <w:color w:val="0070C0"/>
                <w:sz w:val="20"/>
              </w:rPr>
              <w:instrText xml:space="preserve"> SEQ Figure \* ARABIC </w:instrText>
            </w:r>
            <w:r>
              <w:rPr>
                <w:rFonts w:asciiTheme="minorHAnsi" w:hAnsiTheme="minorHAnsi" w:cstheme="minorHAnsi"/>
                <w:i/>
                <w:noProof/>
                <w:color w:val="0070C0"/>
                <w:sz w:val="20"/>
              </w:rPr>
              <w:fldChar w:fldCharType="separate"/>
            </w:r>
            <w:r w:rsidR="001C029C">
              <w:rPr>
                <w:rFonts w:asciiTheme="minorHAnsi" w:hAnsiTheme="minorHAnsi" w:cstheme="minorHAnsi"/>
                <w:i/>
                <w:noProof/>
                <w:color w:val="0070C0"/>
                <w:sz w:val="20"/>
              </w:rPr>
              <w:t>12</w:t>
            </w:r>
            <w:r>
              <w:rPr>
                <w:rFonts w:asciiTheme="minorHAnsi" w:hAnsiTheme="minorHAnsi" w:cstheme="minorHAnsi"/>
                <w:i/>
                <w:noProof/>
                <w:color w:val="0070C0"/>
                <w:sz w:val="20"/>
              </w:rPr>
              <w:fldChar w:fldCharType="end"/>
            </w:r>
            <w:r>
              <w:rPr>
                <w:rFonts w:asciiTheme="minorHAnsi" w:hAnsiTheme="minorHAnsi"/>
                <w:i/>
                <w:noProof/>
                <w:color w:val="0070C0"/>
                <w:sz w:val="20"/>
              </w:rPr>
              <w:t>: Podíl konkurentů na trhu komerční přepravy cestujících podle zemí (% v roce 2020) a změna v procentních bodech (2015–2020)</w:t>
            </w:r>
          </w:p>
        </w:tc>
      </w:tr>
      <w:tr w:rsidR="009B3A58" w:rsidRPr="008D3DE7" w14:paraId="756D6F51" w14:textId="77777777" w:rsidTr="009671CA">
        <w:tc>
          <w:tcPr>
            <w:tcW w:w="7368" w:type="dxa"/>
          </w:tcPr>
          <w:p w14:paraId="7735EE1B" w14:textId="235C022F" w:rsidR="009B3A58" w:rsidRPr="008D3DE7" w:rsidRDefault="00B23410" w:rsidP="0008545C">
            <w:pPr>
              <w:keepLines/>
              <w:rPr>
                <w:noProof/>
              </w:rPr>
            </w:pPr>
            <w:r>
              <w:rPr>
                <w:noProof/>
                <w:lang w:val="en-GB" w:eastAsia="en-GB"/>
              </w:rPr>
              <w:drawing>
                <wp:inline distT="0" distB="0" distL="0" distR="0" wp14:anchorId="6C28B738" wp14:editId="6DD4582E">
                  <wp:extent cx="4410075" cy="2766386"/>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410075" cy="2766386"/>
                          </a:xfrm>
                          <a:prstGeom prst="rect">
                            <a:avLst/>
                          </a:prstGeom>
                          <a:noFill/>
                          <a:ln>
                            <a:noFill/>
                          </a:ln>
                        </pic:spPr>
                      </pic:pic>
                    </a:graphicData>
                  </a:graphic>
                </wp:inline>
              </w:drawing>
            </w:r>
          </w:p>
        </w:tc>
        <w:tc>
          <w:tcPr>
            <w:tcW w:w="1874" w:type="dxa"/>
          </w:tcPr>
          <w:p w14:paraId="6AFC8B00" w14:textId="24ECE1C2" w:rsidR="009B3A58" w:rsidRPr="008D3DE7" w:rsidRDefault="00B23410">
            <w:pPr>
              <w:rPr>
                <w:noProof/>
              </w:rPr>
            </w:pPr>
            <w:r>
              <w:rPr>
                <w:noProof/>
                <w:lang w:val="en-GB" w:eastAsia="en-GB"/>
              </w:rPr>
              <w:drawing>
                <wp:inline distT="0" distB="0" distL="0" distR="0" wp14:anchorId="1F712D1C" wp14:editId="0C8738A7">
                  <wp:extent cx="1362075" cy="2706049"/>
                  <wp:effectExtent l="0" t="0" r="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62075" cy="2706049"/>
                          </a:xfrm>
                          <a:prstGeom prst="rect">
                            <a:avLst/>
                          </a:prstGeom>
                          <a:noFill/>
                          <a:ln>
                            <a:noFill/>
                          </a:ln>
                        </pic:spPr>
                      </pic:pic>
                    </a:graphicData>
                  </a:graphic>
                </wp:inline>
              </w:drawing>
            </w:r>
          </w:p>
        </w:tc>
      </w:tr>
      <w:tr w:rsidR="009B3A58" w:rsidRPr="008D3DE7" w14:paraId="7935FFD3" w14:textId="77777777">
        <w:tc>
          <w:tcPr>
            <w:tcW w:w="9242" w:type="dxa"/>
            <w:gridSpan w:val="2"/>
          </w:tcPr>
          <w:p w14:paraId="02545B0F" w14:textId="56A53042" w:rsidR="009B3A58" w:rsidRPr="008D3DE7" w:rsidRDefault="009671CA">
            <w:pPr>
              <w:rPr>
                <w:noProof/>
              </w:rPr>
            </w:pPr>
            <w:r>
              <w:rPr>
                <w:rFonts w:ascii="Calibri" w:hAnsi="Calibri"/>
                <w:i/>
                <w:noProof/>
                <w:sz w:val="18"/>
              </w:rPr>
              <w:t>Zdroj: RMMS, 2022. NO prohlásilo údaje za důvěrné. BG, DK, FI, HR, LT, PT a SI pro rok 2020 neoznámily v roce 2020 žádné nové účastníky v oblasti komerčních služeb s podílem na trhu ve výši 1 % nebo více. V IE a RO není provozována žádná komerční osobní doprava. Pro NL, LU a SK nejsou k dispozici žádné údaje.</w:t>
            </w:r>
          </w:p>
        </w:tc>
      </w:tr>
    </w:tbl>
    <w:p w14:paraId="27A43665" w14:textId="77777777" w:rsidR="009B3A58" w:rsidRPr="008D3DE7" w:rsidRDefault="009B3A58">
      <w:pPr>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8"/>
        <w:gridCol w:w="2824"/>
      </w:tblGrid>
      <w:tr w:rsidR="009B3A58" w:rsidRPr="008D3DE7" w14:paraId="3F2FFFB8" w14:textId="77777777">
        <w:tc>
          <w:tcPr>
            <w:tcW w:w="9242" w:type="dxa"/>
            <w:gridSpan w:val="2"/>
          </w:tcPr>
          <w:p w14:paraId="61C78B18" w14:textId="4D28BC48" w:rsidR="009B3A58" w:rsidRPr="008D3DE7" w:rsidRDefault="003F2CC0" w:rsidP="009671CA">
            <w:pPr>
              <w:pStyle w:val="Caption"/>
              <w:rPr>
                <w:noProof/>
              </w:rPr>
            </w:pPr>
            <w:r>
              <w:rPr>
                <w:rFonts w:asciiTheme="minorHAnsi" w:hAnsiTheme="minorHAnsi"/>
                <w:noProof/>
                <w:color w:val="0070C0"/>
                <w:sz w:val="20"/>
              </w:rPr>
              <w:t xml:space="preserve">Graf </w:t>
            </w:r>
            <w:r>
              <w:rPr>
                <w:rFonts w:asciiTheme="minorHAnsi" w:hAnsiTheme="minorHAnsi" w:cstheme="minorHAnsi"/>
                <w:noProof/>
                <w:color w:val="0070C0"/>
                <w:sz w:val="20"/>
              </w:rPr>
              <w:fldChar w:fldCharType="begin"/>
            </w:r>
            <w:r>
              <w:rPr>
                <w:rFonts w:asciiTheme="minorHAnsi" w:hAnsiTheme="minorHAnsi" w:cstheme="minorHAnsi"/>
                <w:noProof/>
                <w:color w:val="0070C0"/>
                <w:sz w:val="20"/>
              </w:rPr>
              <w:instrText xml:space="preserve"> SEQ Figure \* ARABIC </w:instrText>
            </w:r>
            <w:r>
              <w:rPr>
                <w:rFonts w:asciiTheme="minorHAnsi" w:hAnsiTheme="minorHAnsi" w:cstheme="minorHAnsi"/>
                <w:noProof/>
                <w:color w:val="0070C0"/>
                <w:sz w:val="20"/>
              </w:rPr>
              <w:fldChar w:fldCharType="separate"/>
            </w:r>
            <w:r w:rsidR="001C029C">
              <w:rPr>
                <w:rFonts w:asciiTheme="minorHAnsi" w:hAnsiTheme="minorHAnsi" w:cstheme="minorHAnsi"/>
                <w:noProof/>
                <w:color w:val="0070C0"/>
                <w:sz w:val="20"/>
              </w:rPr>
              <w:t>13</w:t>
            </w:r>
            <w:r>
              <w:rPr>
                <w:rFonts w:asciiTheme="minorHAnsi" w:hAnsiTheme="minorHAnsi" w:cstheme="minorHAnsi"/>
                <w:noProof/>
                <w:color w:val="0070C0"/>
                <w:sz w:val="20"/>
              </w:rPr>
              <w:fldChar w:fldCharType="end"/>
            </w:r>
            <w:r>
              <w:rPr>
                <w:rFonts w:asciiTheme="minorHAnsi" w:hAnsiTheme="minorHAnsi"/>
                <w:noProof/>
                <w:color w:val="0070C0"/>
                <w:sz w:val="20"/>
              </w:rPr>
              <w:t>: Podíl nových účastníků na trhu přepravy cestujících v rámci závazku veřejné služby podle zemí (% v roce 2020) a změna v procentních bodech (2015–2020)</w:t>
            </w:r>
          </w:p>
        </w:tc>
      </w:tr>
      <w:tr w:rsidR="009B3A58" w:rsidRPr="008D3DE7" w14:paraId="4308E1B7" w14:textId="77777777">
        <w:tc>
          <w:tcPr>
            <w:tcW w:w="7399" w:type="dxa"/>
          </w:tcPr>
          <w:p w14:paraId="2F72142E" w14:textId="6E9D20EF" w:rsidR="009B3A58" w:rsidRPr="008D3DE7" w:rsidRDefault="00B23410">
            <w:pPr>
              <w:rPr>
                <w:noProof/>
              </w:rPr>
            </w:pPr>
            <w:r>
              <w:rPr>
                <w:noProof/>
                <w:lang w:val="en-GB" w:eastAsia="en-GB"/>
              </w:rPr>
              <w:drawing>
                <wp:inline distT="0" distB="0" distL="0" distR="0" wp14:anchorId="1D3E77B9" wp14:editId="6A394B2F">
                  <wp:extent cx="4276725" cy="2447909"/>
                  <wp:effectExtent l="0" t="0" r="0"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276725" cy="2447909"/>
                          </a:xfrm>
                          <a:prstGeom prst="rect">
                            <a:avLst/>
                          </a:prstGeom>
                          <a:noFill/>
                          <a:ln>
                            <a:noFill/>
                          </a:ln>
                        </pic:spPr>
                      </pic:pic>
                    </a:graphicData>
                  </a:graphic>
                </wp:inline>
              </w:drawing>
            </w:r>
          </w:p>
        </w:tc>
        <w:tc>
          <w:tcPr>
            <w:tcW w:w="1843" w:type="dxa"/>
          </w:tcPr>
          <w:p w14:paraId="467CF67D" w14:textId="1C67DEF4" w:rsidR="009B3A58" w:rsidRPr="008D3DE7" w:rsidRDefault="00B23410">
            <w:pPr>
              <w:rPr>
                <w:noProof/>
              </w:rPr>
            </w:pPr>
            <w:r>
              <w:rPr>
                <w:noProof/>
                <w:lang w:val="en-GB" w:eastAsia="en-GB"/>
              </w:rPr>
              <w:drawing>
                <wp:inline distT="0" distB="0" distL="0" distR="0" wp14:anchorId="5CDD7BD6" wp14:editId="42BE7286">
                  <wp:extent cx="1798604" cy="2457450"/>
                  <wp:effectExtent l="0" t="0" r="0"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02449" cy="2462704"/>
                          </a:xfrm>
                          <a:prstGeom prst="rect">
                            <a:avLst/>
                          </a:prstGeom>
                          <a:noFill/>
                          <a:ln>
                            <a:noFill/>
                          </a:ln>
                        </pic:spPr>
                      </pic:pic>
                    </a:graphicData>
                  </a:graphic>
                </wp:inline>
              </w:drawing>
            </w:r>
          </w:p>
        </w:tc>
      </w:tr>
      <w:tr w:rsidR="009B3A58" w:rsidRPr="008D3DE7" w14:paraId="03D4FFB6" w14:textId="77777777">
        <w:tc>
          <w:tcPr>
            <w:tcW w:w="9242" w:type="dxa"/>
            <w:gridSpan w:val="2"/>
          </w:tcPr>
          <w:p w14:paraId="46C80E2F" w14:textId="1E7D1528" w:rsidR="009B3A58" w:rsidRPr="008D3DE7" w:rsidRDefault="009671CA">
            <w:pPr>
              <w:rPr>
                <w:noProof/>
              </w:rPr>
            </w:pPr>
            <w:r>
              <w:rPr>
                <w:rFonts w:asciiTheme="minorHAnsi" w:hAnsiTheme="minorHAnsi"/>
                <w:i/>
                <w:noProof/>
                <w:sz w:val="18"/>
              </w:rPr>
              <w:t>Zdroj: RMMS, 2022. Údaje pro PT za rok 2015 jsou odhady. BE, BG, HR, EE, FI, FR, EL, HU, IE, LT, LU, SI a ES neoznámily žádné nové účastníky na trhu přepravy cestujících v rámci závazků veřejné služby.</w:t>
            </w:r>
          </w:p>
        </w:tc>
      </w:tr>
    </w:tbl>
    <w:p w14:paraId="6D7CC99A" w14:textId="77777777" w:rsidR="009B3A58" w:rsidRPr="008D3DE7" w:rsidRDefault="46410709">
      <w:pPr>
        <w:pStyle w:val="Heading2"/>
        <w:rPr>
          <w:noProof/>
        </w:rPr>
      </w:pPr>
      <w:r>
        <w:rPr>
          <w:noProof/>
        </w:rPr>
        <w:t>Zaměstnanost a sociální podmínky</w:t>
      </w:r>
    </w:p>
    <w:p w14:paraId="674EFF25" w14:textId="61071D9C" w:rsidR="009B3A58" w:rsidRPr="008D3DE7" w:rsidRDefault="0030046D">
      <w:pPr>
        <w:rPr>
          <w:noProof/>
        </w:rPr>
      </w:pPr>
      <w:r>
        <w:rPr>
          <w:noProof/>
        </w:rPr>
        <w:t>Do konce roku 2020 bylo v odvětví železniční dopravy v EU-27 zaměstnáno více než 910 000 osob, z toho přibližně 523 000 v železničních podnicích a 387 000 u provozovatelů infrastruktury. V porovnání s rokem 2018 se jedná o mírný pokles, přičemž v železničních podnicích a u provozovatelů infrastruktury pracuje přibližně o 2 000 zaměstnanců méně.</w:t>
      </w:r>
    </w:p>
    <w:p w14:paraId="196BFF2A" w14:textId="60C5C2C7" w:rsidR="00912ACB" w:rsidRDefault="003F2CC0">
      <w:pPr>
        <w:rPr>
          <w:noProof/>
        </w:rPr>
      </w:pPr>
      <w:r>
        <w:rPr>
          <w:noProof/>
        </w:rPr>
        <w:t xml:space="preserve">Pracovní sílu na železnici tvoří převážně muži, Ženy představují průměrně pouze 22 % zaměstnanců. </w:t>
      </w:r>
    </w:p>
    <w:p w14:paraId="097CCDCF" w14:textId="13F044EF" w:rsidR="00912ACB" w:rsidRDefault="00912ACB">
      <w:pPr>
        <w:widowControl/>
        <w:adjustRightInd/>
        <w:spacing w:after="160" w:line="259" w:lineRule="auto"/>
        <w:jc w:val="left"/>
        <w:textAlignment w:val="auto"/>
        <w:rPr>
          <w:noProof/>
        </w:rPr>
      </w:pPr>
      <w:r>
        <w:rPr>
          <w:noProof/>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9B3A58" w:rsidRPr="008D3DE7" w14:paraId="303FB2FC" w14:textId="77777777">
        <w:tc>
          <w:tcPr>
            <w:tcW w:w="9242" w:type="dxa"/>
          </w:tcPr>
          <w:p w14:paraId="6068D1A6" w14:textId="77777777" w:rsidR="009B3A58" w:rsidRPr="008D3DE7" w:rsidRDefault="003F2CC0">
            <w:pPr>
              <w:pStyle w:val="Caption"/>
              <w:rPr>
                <w:noProof/>
              </w:rPr>
            </w:pPr>
            <w:r>
              <w:rPr>
                <w:rFonts w:asciiTheme="minorHAnsi" w:hAnsiTheme="minorHAnsi"/>
                <w:noProof/>
                <w:color w:val="0070C0"/>
                <w:sz w:val="20"/>
              </w:rPr>
              <w:t xml:space="preserve">Graf </w:t>
            </w:r>
            <w:r>
              <w:rPr>
                <w:rFonts w:asciiTheme="minorHAnsi" w:hAnsiTheme="minorHAnsi" w:cstheme="minorHAnsi"/>
                <w:noProof/>
                <w:color w:val="0070C0"/>
                <w:sz w:val="20"/>
              </w:rPr>
              <w:fldChar w:fldCharType="begin"/>
            </w:r>
            <w:r>
              <w:rPr>
                <w:rFonts w:asciiTheme="minorHAnsi" w:hAnsiTheme="minorHAnsi" w:cstheme="minorHAnsi"/>
                <w:noProof/>
                <w:color w:val="0070C0"/>
                <w:sz w:val="20"/>
              </w:rPr>
              <w:instrText xml:space="preserve"> SEQ Figure \* ARABIC </w:instrText>
            </w:r>
            <w:r>
              <w:rPr>
                <w:rFonts w:asciiTheme="minorHAnsi" w:hAnsiTheme="minorHAnsi" w:cstheme="minorHAnsi"/>
                <w:noProof/>
                <w:color w:val="0070C0"/>
                <w:sz w:val="20"/>
              </w:rPr>
              <w:fldChar w:fldCharType="separate"/>
            </w:r>
            <w:r w:rsidR="001C029C">
              <w:rPr>
                <w:rFonts w:asciiTheme="minorHAnsi" w:hAnsiTheme="minorHAnsi" w:cstheme="minorHAnsi"/>
                <w:noProof/>
                <w:color w:val="0070C0"/>
                <w:sz w:val="20"/>
              </w:rPr>
              <w:t>14</w:t>
            </w:r>
            <w:r>
              <w:rPr>
                <w:rFonts w:asciiTheme="minorHAnsi" w:hAnsiTheme="minorHAnsi" w:cstheme="minorHAnsi"/>
                <w:noProof/>
                <w:color w:val="0070C0"/>
                <w:sz w:val="20"/>
              </w:rPr>
              <w:fldChar w:fldCharType="end"/>
            </w:r>
            <w:r>
              <w:rPr>
                <w:rFonts w:asciiTheme="minorHAnsi" w:hAnsiTheme="minorHAnsi"/>
                <w:noProof/>
                <w:color w:val="0070C0"/>
                <w:sz w:val="20"/>
              </w:rPr>
              <w:t xml:space="preserve">: Celkový počet zaměstnanců (hlavní provozovatelé infrastruktury a železniční podniky) podle pohlaví (% v roce 2020) </w:t>
            </w:r>
          </w:p>
        </w:tc>
      </w:tr>
      <w:tr w:rsidR="009B3A58" w:rsidRPr="008D3DE7" w14:paraId="334574A7" w14:textId="77777777">
        <w:tc>
          <w:tcPr>
            <w:tcW w:w="9242" w:type="dxa"/>
          </w:tcPr>
          <w:p w14:paraId="16C233AF" w14:textId="457A1464" w:rsidR="009B3A58" w:rsidRPr="008D3DE7" w:rsidRDefault="0088082D">
            <w:pPr>
              <w:rPr>
                <w:noProof/>
              </w:rPr>
            </w:pPr>
            <w:r>
              <w:rPr>
                <w:noProof/>
                <w:lang w:val="en-GB" w:eastAsia="en-GB"/>
              </w:rPr>
              <w:drawing>
                <wp:inline distT="0" distB="0" distL="0" distR="0" wp14:anchorId="3BE02987" wp14:editId="583C9131">
                  <wp:extent cx="5505450" cy="3279453"/>
                  <wp:effectExtent l="0" t="0" r="0" b="0"/>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505450" cy="3279453"/>
                          </a:xfrm>
                          <a:prstGeom prst="rect">
                            <a:avLst/>
                          </a:prstGeom>
                          <a:noFill/>
                          <a:ln>
                            <a:noFill/>
                          </a:ln>
                        </pic:spPr>
                      </pic:pic>
                    </a:graphicData>
                  </a:graphic>
                </wp:inline>
              </w:drawing>
            </w:r>
          </w:p>
        </w:tc>
      </w:tr>
      <w:tr w:rsidR="009B3A58" w:rsidRPr="008D3DE7" w14:paraId="26F09335" w14:textId="77777777">
        <w:tc>
          <w:tcPr>
            <w:tcW w:w="9242" w:type="dxa"/>
          </w:tcPr>
          <w:p w14:paraId="0A98E75D" w14:textId="77777777" w:rsidR="009B3A58" w:rsidRPr="008D3DE7" w:rsidRDefault="003F2CC0" w:rsidP="009671CA">
            <w:pPr>
              <w:rPr>
                <w:noProof/>
              </w:rPr>
            </w:pPr>
            <w:r>
              <w:rPr>
                <w:rFonts w:ascii="Calibri" w:hAnsi="Calibri"/>
                <w:i/>
                <w:noProof/>
                <w:sz w:val="18"/>
              </w:rPr>
              <w:t>Zdroj: RMMS, 2022.</w:t>
            </w:r>
          </w:p>
        </w:tc>
      </w:tr>
    </w:tbl>
    <w:p w14:paraId="764C2979" w14:textId="41C523EB" w:rsidR="009B3A58" w:rsidRPr="008D3DE7" w:rsidRDefault="003F2CC0">
      <w:pPr>
        <w:rPr>
          <w:noProof/>
        </w:rPr>
      </w:pPr>
      <w:r>
        <w:rPr>
          <w:noProof/>
        </w:rPr>
        <w:t xml:space="preserve">Podíl mladších zaměstnanců (do 30 let) pracujících v železničních podnicích se zvýšil z 8,2 % v roce 2015 na 10,2 % v roce 2020. Problémem zůstává stárnutí pracovní síly: v roce 2020 bylo v průměru 41,9 % zaměstnanců železničních podniků starších 50 let. Provozovatelé infrastruktury zaměstnávají obvykle starší pracovní sílu než železniční podniky, ale podíl mladších zaměstnanců se mezi lety 2015 a 2020 rovněž zvýšil ze 7,9 % na 9,1 %.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4845"/>
      </w:tblGrid>
      <w:tr w:rsidR="009B3A58" w:rsidRPr="008D3DE7" w14:paraId="46EA085E" w14:textId="77777777">
        <w:tc>
          <w:tcPr>
            <w:tcW w:w="9242" w:type="dxa"/>
            <w:gridSpan w:val="2"/>
          </w:tcPr>
          <w:p w14:paraId="62E00343" w14:textId="77777777" w:rsidR="009B3A58" w:rsidRPr="008D3DE7" w:rsidRDefault="003F2CC0" w:rsidP="00F30531">
            <w:pPr>
              <w:pStyle w:val="Caption"/>
              <w:keepNext/>
              <w:widowControl/>
              <w:spacing w:after="120"/>
              <w:rPr>
                <w:noProof/>
              </w:rPr>
            </w:pPr>
            <w:r>
              <w:rPr>
                <w:rFonts w:asciiTheme="minorHAnsi" w:hAnsiTheme="minorHAnsi"/>
                <w:noProof/>
                <w:color w:val="0070C0"/>
                <w:sz w:val="20"/>
              </w:rPr>
              <w:t xml:space="preserve">Graf </w:t>
            </w:r>
            <w:r>
              <w:rPr>
                <w:rFonts w:asciiTheme="minorHAnsi" w:hAnsiTheme="minorHAnsi" w:cstheme="minorHAnsi"/>
                <w:noProof/>
                <w:color w:val="0070C0"/>
                <w:sz w:val="20"/>
              </w:rPr>
              <w:fldChar w:fldCharType="begin"/>
            </w:r>
            <w:r>
              <w:rPr>
                <w:rFonts w:asciiTheme="minorHAnsi" w:hAnsiTheme="minorHAnsi" w:cstheme="minorHAnsi"/>
                <w:noProof/>
                <w:color w:val="0070C0"/>
                <w:sz w:val="20"/>
              </w:rPr>
              <w:instrText xml:space="preserve"> SEQ Figure \* ARABIC </w:instrText>
            </w:r>
            <w:r>
              <w:rPr>
                <w:rFonts w:asciiTheme="minorHAnsi" w:hAnsiTheme="minorHAnsi" w:cstheme="minorHAnsi"/>
                <w:noProof/>
                <w:color w:val="0070C0"/>
                <w:sz w:val="20"/>
              </w:rPr>
              <w:fldChar w:fldCharType="separate"/>
            </w:r>
            <w:r w:rsidR="001C029C">
              <w:rPr>
                <w:rFonts w:asciiTheme="minorHAnsi" w:hAnsiTheme="minorHAnsi" w:cstheme="minorHAnsi"/>
                <w:noProof/>
                <w:color w:val="0070C0"/>
                <w:sz w:val="20"/>
              </w:rPr>
              <w:t>15</w:t>
            </w:r>
            <w:r>
              <w:rPr>
                <w:rFonts w:asciiTheme="minorHAnsi" w:hAnsiTheme="minorHAnsi" w:cstheme="minorHAnsi"/>
                <w:noProof/>
                <w:color w:val="0070C0"/>
                <w:sz w:val="20"/>
              </w:rPr>
              <w:fldChar w:fldCharType="end"/>
            </w:r>
            <w:r>
              <w:rPr>
                <w:rFonts w:asciiTheme="minorHAnsi" w:hAnsiTheme="minorHAnsi"/>
                <w:noProof/>
                <w:color w:val="0070C0"/>
                <w:sz w:val="20"/>
              </w:rPr>
              <w:t>: Zaměstnanci podle věkových skupin, hlavní železniční podniky a provozovatelé infrastruktury (v %, 2015–2020)</w:t>
            </w:r>
          </w:p>
        </w:tc>
      </w:tr>
      <w:tr w:rsidR="009B3A58" w:rsidRPr="008D3DE7" w14:paraId="785C372F" w14:textId="77777777">
        <w:tc>
          <w:tcPr>
            <w:tcW w:w="4820" w:type="dxa"/>
          </w:tcPr>
          <w:p w14:paraId="1B4FCEA0" w14:textId="1EF5CF07" w:rsidR="009B3A58" w:rsidRPr="008D3DE7" w:rsidRDefault="0088082D" w:rsidP="00F30531">
            <w:pPr>
              <w:keepNext/>
              <w:widowControl/>
              <w:jc w:val="center"/>
              <w:rPr>
                <w:noProof/>
              </w:rPr>
            </w:pPr>
            <w:r>
              <w:rPr>
                <w:noProof/>
                <w:lang w:val="en-GB" w:eastAsia="en-GB"/>
              </w:rPr>
              <w:drawing>
                <wp:inline distT="0" distB="0" distL="0" distR="0" wp14:anchorId="35DB55E8" wp14:editId="0BCACDF6">
                  <wp:extent cx="2838450" cy="2343372"/>
                  <wp:effectExtent l="0" t="0" r="0"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838450" cy="2343372"/>
                          </a:xfrm>
                          <a:prstGeom prst="rect">
                            <a:avLst/>
                          </a:prstGeom>
                          <a:noFill/>
                          <a:ln>
                            <a:noFill/>
                          </a:ln>
                        </pic:spPr>
                      </pic:pic>
                    </a:graphicData>
                  </a:graphic>
                </wp:inline>
              </w:drawing>
            </w:r>
          </w:p>
        </w:tc>
        <w:tc>
          <w:tcPr>
            <w:tcW w:w="4422" w:type="dxa"/>
          </w:tcPr>
          <w:p w14:paraId="5FB686BF" w14:textId="6A2514CB" w:rsidR="009B3A58" w:rsidRPr="008D3DE7" w:rsidRDefault="0088082D" w:rsidP="00F30531">
            <w:pPr>
              <w:keepNext/>
              <w:widowControl/>
              <w:jc w:val="center"/>
              <w:rPr>
                <w:noProof/>
              </w:rPr>
            </w:pPr>
            <w:r>
              <w:rPr>
                <w:noProof/>
                <w:lang w:val="en-GB" w:eastAsia="en-GB"/>
              </w:rPr>
              <w:drawing>
                <wp:inline distT="0" distB="0" distL="0" distR="0" wp14:anchorId="10198B6D" wp14:editId="2B99404C">
                  <wp:extent cx="3134614" cy="2343150"/>
                  <wp:effectExtent l="0" t="0" r="8890" b="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138945" cy="2346388"/>
                          </a:xfrm>
                          <a:prstGeom prst="rect">
                            <a:avLst/>
                          </a:prstGeom>
                          <a:noFill/>
                          <a:ln>
                            <a:noFill/>
                          </a:ln>
                        </pic:spPr>
                      </pic:pic>
                    </a:graphicData>
                  </a:graphic>
                </wp:inline>
              </w:drawing>
            </w:r>
          </w:p>
        </w:tc>
      </w:tr>
      <w:tr w:rsidR="009B3A58" w:rsidRPr="008D3DE7" w14:paraId="06014634" w14:textId="77777777">
        <w:tc>
          <w:tcPr>
            <w:tcW w:w="9242" w:type="dxa"/>
            <w:gridSpan w:val="2"/>
          </w:tcPr>
          <w:p w14:paraId="04BDF233" w14:textId="77777777" w:rsidR="009B3A58" w:rsidRPr="008D3DE7" w:rsidRDefault="00A21C7C" w:rsidP="00F30531">
            <w:pPr>
              <w:keepNext/>
              <w:widowControl/>
              <w:rPr>
                <w:noProof/>
              </w:rPr>
            </w:pPr>
            <w:r>
              <w:rPr>
                <w:rFonts w:ascii="Calibri" w:hAnsi="Calibri"/>
                <w:i/>
                <w:noProof/>
                <w:sz w:val="18"/>
              </w:rPr>
              <w:t>Zdroj: RMMS, 2022. Pro železniční podniky v LV, LU, ES a SE nejsou k dispozici údaje za rok 2015; pro železniční podniky v NL nejsou k dispozici údaje za rok 2020; pro provozovatele infrastruktury v ES, LU a LV nejsou k dispozici údaje za rok 2015.</w:t>
            </w:r>
          </w:p>
        </w:tc>
      </w:tr>
    </w:tbl>
    <w:p w14:paraId="79EEEACA" w14:textId="7058A778" w:rsidR="009B3A58" w:rsidRPr="008D3DE7" w:rsidRDefault="003F2CC0">
      <w:pPr>
        <w:rPr>
          <w:noProof/>
        </w:rPr>
      </w:pPr>
      <w:r>
        <w:rPr>
          <w:noProof/>
        </w:rPr>
        <w:t xml:space="preserve">Zaměstnání na plný úvazek je nejběžnějším pracovním poměrem jak pro zaměstnance provozovatelů infrastruktury, tak pro zaměstnance železničních podniků. </w:t>
      </w:r>
    </w:p>
    <w:p w14:paraId="54BB950C" w14:textId="77777777" w:rsidR="009B3A58" w:rsidRPr="008D3DE7" w:rsidRDefault="003F2CC0">
      <w:pPr>
        <w:pStyle w:val="Heading1"/>
        <w:rPr>
          <w:noProof/>
        </w:rPr>
      </w:pPr>
      <w:r>
        <w:rPr>
          <w:noProof/>
        </w:rPr>
        <w:t>Závěry</w:t>
      </w:r>
    </w:p>
    <w:p w14:paraId="41275B25" w14:textId="402A242E" w:rsidR="00166D5D" w:rsidRPr="008D3DE7" w:rsidRDefault="00166D5D" w:rsidP="00166D5D">
      <w:pPr>
        <w:rPr>
          <w:noProof/>
        </w:rPr>
      </w:pPr>
      <w:r>
        <w:rPr>
          <w:noProof/>
        </w:rPr>
        <w:t>Pandemie COVID-19 měla v roce 2020 na odvětví železniční dopravy velmi silný dopad, a to zejména v oblasti osobní dopravy, kde se objemy oproti roku 2019 snížily téměř o polovinu. EU navrhla několik opatření, jako je Nástroj pro oživení a odolnost a nařízení o zmírnění poplatků během pandemie, která mají řešit dopady pandemie na odvětví železniční dopravy.</w:t>
      </w:r>
    </w:p>
    <w:p w14:paraId="1DE070FC" w14:textId="08D6C4CA" w:rsidR="00166D5D" w:rsidRPr="008D3DE7" w:rsidRDefault="00166D5D" w:rsidP="00166D5D">
      <w:pPr>
        <w:rPr>
          <w:noProof/>
        </w:rPr>
      </w:pPr>
      <w:r>
        <w:rPr>
          <w:noProof/>
        </w:rPr>
        <w:t>S postupným snižováním závažnosti pandemie a rušením opatření k omezení šíření nákazy zavedených členskými státy (včetně významných omezení volného pohybu osob) se však odvětví postupně zotavovalo. Lze očekávat, že toto odvětví bude hrát v dopravním systému EU stále významnější roli a přispěje ke snížení znečištění a spotřeby energie v souvislosti s dopravou.</w:t>
      </w:r>
    </w:p>
    <w:p w14:paraId="465B4585" w14:textId="0C9F7C80" w:rsidR="00166D5D" w:rsidRPr="008D3DE7" w:rsidRDefault="00166D5D" w:rsidP="00166D5D">
      <w:pPr>
        <w:rPr>
          <w:noProof/>
        </w:rPr>
      </w:pPr>
      <w:r>
        <w:rPr>
          <w:noProof/>
        </w:rPr>
        <w:t>Kromě dopadů pandemie lze při porovnání údajů za rok 2019 v této zprávě s údaji z předchozích zpráv pozorovat určité dlouhodobější trendy.</w:t>
      </w:r>
    </w:p>
    <w:p w14:paraId="3686CE38" w14:textId="5BE8ED64" w:rsidR="00166D5D" w:rsidRDefault="00166D5D" w:rsidP="00166D5D">
      <w:pPr>
        <w:rPr>
          <w:noProof/>
        </w:rPr>
      </w:pPr>
      <w:r>
        <w:rPr>
          <w:noProof/>
        </w:rPr>
        <w:t>Zaprvé, železnice od roku 1990 téměř neustále snižuje přímé emise skleníkových plynů a zároveň výrazně zvyšuje objem dopravy. K tomu dochází zejména v důsledku elektrifikace železniční sítě a snižování uhlíkové náročnosti skladby zdrojů elektřiny v EU.</w:t>
      </w:r>
    </w:p>
    <w:p w14:paraId="7BD8A777" w14:textId="09115ED5" w:rsidR="00637734" w:rsidRDefault="00637734" w:rsidP="00166D5D">
      <w:pPr>
        <w:rPr>
          <w:noProof/>
        </w:rPr>
      </w:pPr>
      <w:r>
        <w:rPr>
          <w:noProof/>
        </w:rPr>
        <w:t>Za druhé, situace ohledně otevřenosti trhu zůstává i nadále nejednoznačná. Čtvrtý železniční balíček otevřel přístup ke komerčnímu poskytování vnitrostátní železniční osobní dopravy, a to počínaje jízdním řádem na rok 2021. Zavedl rovněž nabídkové řízení jako standardní postup pro přidělování veřejných zakázek na služby, a to s přechodným obdobím do prosince 2023. Komise bude pozorně sledovat správné provedení</w:t>
      </w:r>
      <w:r>
        <w:rPr>
          <w:rStyle w:val="FootnoteReference"/>
          <w:noProof/>
        </w:rPr>
        <w:footnoteReference w:id="18"/>
      </w:r>
      <w:r>
        <w:rPr>
          <w:noProof/>
        </w:rPr>
        <w:t xml:space="preserve"> a uplatňování čtvrtého železničního balíčku, aby bylo zajištěno, že bude ve střednědobém horizontu plně využit jeho potenciál.</w:t>
      </w:r>
    </w:p>
    <w:p w14:paraId="0AC5E076" w14:textId="3AAABECE" w:rsidR="009E7AD3" w:rsidRPr="008D3DE7" w:rsidRDefault="009E7AD3" w:rsidP="00166D5D">
      <w:pPr>
        <w:rPr>
          <w:noProof/>
        </w:rPr>
      </w:pPr>
      <w:r>
        <w:rPr>
          <w:noProof/>
        </w:rPr>
        <w:t>Zatřetí, ačkoli se síť vysokorychlostních železnic rozšiřuje, mezinárodní osobní doprava do značné míry stagnuje. Akční plán Komise na rok 2021 na podporu dálkové přeshraniční osobní dopravy se zaměřuje na řešení hlavních překážek, kterým tyto služby čelí, a to od prodeje jízdenek až po zlepšení přeshraniční interoperability. Přestože železniční nákladní doprava až do pandemie COVID-19 rostla (a byla pandemií méně postižena než osobní doprava), je třeba udělat více pro udržení tohoto pozitivního trendu, aby bylo možné splnit cíle strategie pro udržitelnou a inteligentní mobilitu a Zelené dohody pro Evropu. Zejména je nutné zajistit, aby železnič</w:t>
      </w:r>
      <w:r w:rsidR="000A4032">
        <w:rPr>
          <w:noProof/>
        </w:rPr>
        <w:t>ní doprava</w:t>
      </w:r>
      <w:r>
        <w:rPr>
          <w:noProof/>
        </w:rPr>
        <w:t xml:space="preserve"> </w:t>
      </w:r>
      <w:r w:rsidR="000A4032">
        <w:rPr>
          <w:noProof/>
        </w:rPr>
        <w:t>plně využívala kapacity sítě</w:t>
      </w:r>
      <w:r>
        <w:rPr>
          <w:noProof/>
        </w:rPr>
        <w:t xml:space="preserve"> EU a aby byla tato doprava lépe integrována s ostatními druhy dopravy. To bude cílem balíčku opatření týkajících se ekologizace nákladní dopravy, který má být přijat později v roce 2023.</w:t>
      </w:r>
    </w:p>
    <w:p w14:paraId="5CB01C84" w14:textId="55D61B87" w:rsidR="00274698" w:rsidRDefault="009E7AD3">
      <w:pPr>
        <w:rPr>
          <w:noProof/>
        </w:rPr>
      </w:pPr>
      <w:r>
        <w:rPr>
          <w:noProof/>
        </w:rPr>
        <w:t xml:space="preserve">Za čtvrté, pokud jde o financování, ačkoli železniční odvětví zůstává hlavním příjemcem vnitrostátních prostředků a finančních prostředků EU, výsledky zřejmě naznačují, že řada členských států dává před dlouhodobými investicemi, které by zlepšily kvalitu infrastruktury a rámcové podmínky pro všechny železniční podniky, přednost provozním dotacím. </w:t>
      </w:r>
    </w:p>
    <w:p w14:paraId="44D0A096" w14:textId="07C31636" w:rsidR="00166D5D" w:rsidRPr="008D3DE7" w:rsidRDefault="00274698">
      <w:pPr>
        <w:rPr>
          <w:noProof/>
        </w:rPr>
      </w:pPr>
      <w:r>
        <w:rPr>
          <w:noProof/>
          <w:sz w:val="23"/>
        </w:rPr>
        <w:t>Nástroj pro propojení Evropy</w:t>
      </w:r>
      <w:r w:rsidR="000A4032">
        <w:rPr>
          <w:noProof/>
          <w:sz w:val="23"/>
        </w:rPr>
        <w:t xml:space="preserve"> (CEF)</w:t>
      </w:r>
      <w:r>
        <w:rPr>
          <w:noProof/>
          <w:sz w:val="23"/>
        </w:rPr>
        <w:t xml:space="preserve">, politika soudržnosti a </w:t>
      </w:r>
      <w:r>
        <w:rPr>
          <w:noProof/>
        </w:rPr>
        <w:t xml:space="preserve">Nástroj pro oživení a odolnost jsou skvělými příležitostmi pro financování tolik potřebné modernizace odvětví železniční dopravy. </w:t>
      </w:r>
      <w:r w:rsidR="00BC589A">
        <w:rPr>
          <w:noProof/>
        </w:rPr>
        <w:t>Finanční prostředky z CEF směřují v první řadě do železničních přeshraničních projektů, jako je Rail Baltica, Brennerský tunel a tunel Lyon-Turín</w:t>
      </w:r>
      <w:r w:rsidR="00D2311A">
        <w:rPr>
          <w:noProof/>
        </w:rPr>
        <w:t xml:space="preserve">. </w:t>
      </w:r>
      <w:r w:rsidR="00E25B8A">
        <w:rPr>
          <w:noProof/>
        </w:rPr>
        <w:t xml:space="preserve">Od roku 2014 se </w:t>
      </w:r>
      <w:r w:rsidR="00AE3464">
        <w:rPr>
          <w:noProof/>
        </w:rPr>
        <w:t>v rámci</w:t>
      </w:r>
      <w:r w:rsidR="00D2311A">
        <w:rPr>
          <w:noProof/>
        </w:rPr>
        <w:t xml:space="preserve"> dvou finančních výhledů </w:t>
      </w:r>
      <w:r w:rsidR="00AE3464">
        <w:rPr>
          <w:noProof/>
        </w:rPr>
        <w:t xml:space="preserve">investuje </w:t>
      </w:r>
      <w:r w:rsidR="00E25B8A">
        <w:rPr>
          <w:noProof/>
        </w:rPr>
        <w:t>70 % rozpočtu CEF</w:t>
      </w:r>
      <w:r w:rsidR="005E2CBA">
        <w:rPr>
          <w:noProof/>
        </w:rPr>
        <w:t xml:space="preserve"> </w:t>
      </w:r>
      <w:r w:rsidR="00E25B8A">
        <w:rPr>
          <w:noProof/>
        </w:rPr>
        <w:t>do železniční dopravy</w:t>
      </w:r>
      <w:r w:rsidR="005E2CBA">
        <w:rPr>
          <w:noProof/>
        </w:rPr>
        <w:t xml:space="preserve">. </w:t>
      </w:r>
      <w:r>
        <w:rPr>
          <w:noProof/>
        </w:rPr>
        <w:t xml:space="preserve">V rámci plánů pro oživení a odolnost předložených členskými státy, které chtějí využít podpory z Nástroje pro oživení a odolnost, je na železniční dopravu vyčleněno něco přes 50 miliard EUR (včetně investic do systému ERTMS a kolejových vozidel). Tato částka představuje většinu finančních prostředků Nástroje pro oživení a odolnost, které jsou určeny pro odvětví dopravy. </w:t>
      </w:r>
      <w:r>
        <w:rPr>
          <w:noProof/>
          <w:sz w:val="23"/>
        </w:rPr>
        <w:t xml:space="preserve">V programech politiky soudržnosti na období 2021–2027 bylo na železniční dopravu vyčleněno dalších 18,2 miliardy EUR z EFRR a Fondu soudržnosti. </w:t>
      </w:r>
      <w:r>
        <w:rPr>
          <w:noProof/>
        </w:rPr>
        <w:t>Prioritou by nyní měla být rychlá realizace těchto projektů v souladu s dohodnutými cíli.</w:t>
      </w:r>
    </w:p>
    <w:p w14:paraId="3A664B01" w14:textId="365918F6" w:rsidR="00166D5D" w:rsidRPr="008D3DE7" w:rsidRDefault="00274698" w:rsidP="00274698">
      <w:pPr>
        <w:rPr>
          <w:noProof/>
        </w:rPr>
      </w:pPr>
      <w:r>
        <w:rPr>
          <w:noProof/>
        </w:rPr>
        <w:t xml:space="preserve">Pro plné využití potenciálu tohoto odvětví mají i nadále klíčový význam výzkum a inovace. Na úspěšnou práci společného podniku Shift2Rail naváže společný podnik EU pro železnice (EU-Rail) založený v roce 2021. Cílem je zajistit rychlý přechod k atraktivnějšímu, uživatelsky přívětivějšímu, konkurenceschopnějšímu, cenově dostupnějšímu, snadno udržovatelnému, účinnějšímu a udržitelnějšímu evropskému železničnímu systému, který je integrován do širšího dopravního systému. </w:t>
      </w:r>
    </w:p>
    <w:p w14:paraId="0DE598F3" w14:textId="6BC100E0" w:rsidR="00274698" w:rsidRDefault="00274698" w:rsidP="00166D5D">
      <w:pPr>
        <w:spacing w:before="120" w:after="120"/>
        <w:rPr>
          <w:noProof/>
        </w:rPr>
      </w:pPr>
      <w:r>
        <w:rPr>
          <w:noProof/>
        </w:rPr>
        <w:t>Díky Evropskému roku železnice, vyhlášenému na rok 2021, se železniční doprava opět dostala do centra pozornosti. Evropský rok železnice spojil instituce EU, členské státy a celé odvětví za účelem propagace výhod plynoucích z železniční dopravy a zároveň také s cílem diskutovat o tom, jak řešit hlavní překážky, kterým toto odvětví čelí. Rok 2022 byl poznamenán začátkem ruské útočné války proti Ukrajině, a byl tedy tragickým rokem pro celou Evropu. Odvětví železniční dopravy se stalo jádrem solidární reakce EU vůči Ukrajině. Železniční podniky totiž v drtivé většině reagovaly na volání o pomoc, a ukrajinští uprchlíci se tak dostali do bezpečí v Evropě. Odvětví železniční dopravy zároveň pomohlo vytvořit trasy solidarity mezi EU a Ukrajinou představující alternativní obchodní a dopravní koridory, které pomáhají Ukrajině vyvážet zboží do zbytku světa a dovážet zboží, které potřebuje.</w:t>
      </w:r>
      <w:r w:rsidR="00EE2A41">
        <w:rPr>
          <w:noProof/>
        </w:rPr>
        <w:t xml:space="preserve"> Válka proti Ukrajině zároveň znovu </w:t>
      </w:r>
      <w:r w:rsidR="00A33387">
        <w:rPr>
          <w:noProof/>
        </w:rPr>
        <w:t>připomněla</w:t>
      </w:r>
      <w:r w:rsidR="00EE2A41">
        <w:rPr>
          <w:noProof/>
        </w:rPr>
        <w:t xml:space="preserve">, že </w:t>
      </w:r>
      <w:r w:rsidR="00123289">
        <w:rPr>
          <w:noProof/>
        </w:rPr>
        <w:t xml:space="preserve">aby Evropa dosáhla potřebné odolnosti, </w:t>
      </w:r>
      <w:r w:rsidR="00EE2A41">
        <w:rPr>
          <w:noProof/>
        </w:rPr>
        <w:t xml:space="preserve">je nezbytné zlepšovat jednotný evropský železniční prostor, zejména pokud jde o přeshraniční konektivitu a </w:t>
      </w:r>
      <w:r w:rsidR="00123289">
        <w:rPr>
          <w:noProof/>
        </w:rPr>
        <w:t xml:space="preserve">dostupnost jednotného evropského rozchodu </w:t>
      </w:r>
    </w:p>
    <w:p w14:paraId="0D664518" w14:textId="53619093" w:rsidR="005A2738" w:rsidRPr="008D3DE7" w:rsidRDefault="00435E7C" w:rsidP="005A2738">
      <w:pPr>
        <w:spacing w:before="120" w:after="120"/>
        <w:rPr>
          <w:noProof/>
        </w:rPr>
      </w:pPr>
      <w:r>
        <w:rPr>
          <w:noProof/>
        </w:rPr>
        <w:t xml:space="preserve">Celkově údaje v této zprávě ukazují, že navzdory pandemii COVID-19 se železnice opět posouvá kupředu a přispívá k růstu dopravy. Tempo pokroku však není úměrné potřebě související se změnou klimatu a očekávanému příspěvku železnice k dekarbonizaci dopravy. Odvětví jako celek by mělo s podporou členských států a EU navázat na dynamiku, kterou přinesl Evropský rok železnice 2021, a usilovat o tolik potřebnou transformaci železniční dopravy, aby se stala páteří udržitelného, inteligentního a odolného systému mobility v EU. </w:t>
      </w:r>
    </w:p>
    <w:bookmarkEnd w:id="0"/>
    <w:p w14:paraId="38F5D39D" w14:textId="03198C44" w:rsidR="009B3A58" w:rsidRPr="008D3DE7" w:rsidRDefault="009B3A58" w:rsidP="00CF0CAD">
      <w:pPr>
        <w:rPr>
          <w:rFonts w:ascii="Calibri" w:eastAsia="Calibri" w:hAnsi="Calibri" w:cs="Calibri"/>
          <w:noProof/>
          <w:color w:val="000000" w:themeColor="text1"/>
          <w:sz w:val="22"/>
        </w:rPr>
      </w:pPr>
    </w:p>
    <w:sectPr w:rsidR="009B3A58" w:rsidRPr="008D3DE7">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9C23B" w14:textId="77777777" w:rsidR="004C57E8" w:rsidRDefault="004C57E8">
      <w:pPr>
        <w:spacing w:after="0"/>
      </w:pPr>
      <w:r>
        <w:separator/>
      </w:r>
    </w:p>
  </w:endnote>
  <w:endnote w:type="continuationSeparator" w:id="0">
    <w:p w14:paraId="198093ED" w14:textId="77777777" w:rsidR="004C57E8" w:rsidRDefault="004C57E8">
      <w:pPr>
        <w:spacing w:after="0"/>
      </w:pPr>
      <w:r>
        <w:continuationSeparator/>
      </w:r>
    </w:p>
  </w:endnote>
  <w:endnote w:type="continuationNotice" w:id="1">
    <w:p w14:paraId="4245AAD8" w14:textId="77777777" w:rsidR="004C57E8" w:rsidRDefault="004C57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23FC6" w14:textId="77777777" w:rsidR="00F43B55" w:rsidRPr="00F43B55" w:rsidRDefault="00F43B55" w:rsidP="00F4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9E70B" w14:textId="66B56CD3" w:rsidR="00D74FAC" w:rsidRPr="00F43B55" w:rsidRDefault="00F43B55" w:rsidP="00F43B55">
    <w:pPr>
      <w:pStyle w:val="FooterCoverPage"/>
      <w:rPr>
        <w:rFonts w:ascii="Arial" w:hAnsi="Arial" w:cs="Arial"/>
        <w:b/>
        <w:sz w:val="48"/>
      </w:rPr>
    </w:pPr>
    <w:r w:rsidRPr="00F43B55">
      <w:rPr>
        <w:rFonts w:ascii="Arial" w:hAnsi="Arial" w:cs="Arial"/>
        <w:b/>
        <w:sz w:val="48"/>
      </w:rPr>
      <w:t>CS</w:t>
    </w:r>
    <w:r w:rsidRPr="00F43B55">
      <w:rPr>
        <w:rFonts w:ascii="Arial" w:hAnsi="Arial" w:cs="Arial"/>
        <w:b/>
        <w:sz w:val="48"/>
      </w:rPr>
      <w:tab/>
    </w:r>
    <w:r w:rsidRPr="00F43B55">
      <w:rPr>
        <w:rFonts w:ascii="Arial" w:hAnsi="Arial" w:cs="Arial"/>
        <w:b/>
        <w:sz w:val="48"/>
      </w:rPr>
      <w:tab/>
    </w:r>
    <w:r w:rsidRPr="00F43B55">
      <w:tab/>
    </w:r>
    <w:r w:rsidRPr="00F43B55">
      <w:rPr>
        <w:rFonts w:ascii="Arial" w:hAnsi="Arial" w:cs="Arial"/>
        <w:b/>
        <w:sz w:val="48"/>
      </w:rPr>
      <w:t>CS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3B512" w14:textId="77777777" w:rsidR="00F43B55" w:rsidRPr="00F43B55" w:rsidRDefault="00F43B55" w:rsidP="00F43B5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3F589" w14:textId="77777777" w:rsidR="009B3A58" w:rsidRDefault="009B3A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2474165"/>
      <w:docPartObj>
        <w:docPartGallery w:val="Page Numbers (Bottom of Page)"/>
        <w:docPartUnique/>
      </w:docPartObj>
    </w:sdtPr>
    <w:sdtEndPr/>
    <w:sdtContent>
      <w:p w14:paraId="7383E665" w14:textId="3A4D4493" w:rsidR="009B3A58" w:rsidRDefault="003F2CC0">
        <w:pPr>
          <w:pStyle w:val="Footer"/>
          <w:jc w:val="center"/>
        </w:pPr>
        <w:r>
          <w:fldChar w:fldCharType="begin"/>
        </w:r>
        <w:r>
          <w:instrText xml:space="preserve"> PAGE   \* MERGEFORMAT </w:instrText>
        </w:r>
        <w:r>
          <w:fldChar w:fldCharType="separate"/>
        </w:r>
        <w:r w:rsidR="00F43B55">
          <w:rPr>
            <w:noProof/>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E7D4A" w14:textId="77777777" w:rsidR="009B3A58" w:rsidRDefault="009B3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789FA" w14:textId="77777777" w:rsidR="004C57E8" w:rsidRDefault="004C57E8">
      <w:pPr>
        <w:spacing w:after="0"/>
      </w:pPr>
      <w:r>
        <w:separator/>
      </w:r>
    </w:p>
  </w:footnote>
  <w:footnote w:type="continuationSeparator" w:id="0">
    <w:p w14:paraId="5719EC59" w14:textId="77777777" w:rsidR="004C57E8" w:rsidRDefault="004C57E8">
      <w:pPr>
        <w:spacing w:after="0"/>
      </w:pPr>
      <w:r>
        <w:continuationSeparator/>
      </w:r>
    </w:p>
  </w:footnote>
  <w:footnote w:type="continuationNotice" w:id="1">
    <w:p w14:paraId="7010F3E1" w14:textId="77777777" w:rsidR="004C57E8" w:rsidRDefault="004C57E8">
      <w:pPr>
        <w:spacing w:after="0"/>
      </w:pPr>
    </w:p>
  </w:footnote>
  <w:footnote w:id="2">
    <w:p w14:paraId="465767DB" w14:textId="426E13B2" w:rsidR="00964344" w:rsidRPr="00F03DFD" w:rsidRDefault="00C2483B" w:rsidP="00507250">
      <w:pPr>
        <w:pStyle w:val="FootnoteText"/>
        <w:ind w:left="426" w:hanging="426"/>
      </w:pPr>
      <w:r>
        <w:rPr>
          <w:rStyle w:val="FootnoteReference"/>
        </w:rPr>
        <w:footnoteRef/>
      </w:r>
      <w:r>
        <w:tab/>
        <w:t>Předběžné údaje shromážděné pro rok 2021 ukazují na postupné oživení z hlediska objemu u osobní i nákladní železniční dopravy.</w:t>
      </w:r>
    </w:p>
  </w:footnote>
  <w:footnote w:id="3">
    <w:p w14:paraId="0696FE06" w14:textId="31FA8E21" w:rsidR="009B3A58" w:rsidRDefault="003F2CC0">
      <w:pPr>
        <w:pStyle w:val="FootnoteText"/>
        <w:ind w:left="426" w:hanging="426"/>
      </w:pPr>
      <w:r>
        <w:rPr>
          <w:rStyle w:val="FootnoteReference"/>
        </w:rPr>
        <w:footnoteRef/>
      </w:r>
      <w:r>
        <w:rPr>
          <w:rStyle w:val="FootnoteReference"/>
        </w:rPr>
        <w:t xml:space="preserve"> </w:t>
      </w:r>
      <w:r>
        <w:tab/>
        <w:t>Směrnice Evropského parlamentu a Rady 2012/34/EU ze dne 21. listopadu 2012 o vytvoření jednotného e</w:t>
      </w:r>
      <w:r w:rsidR="004D169A">
        <w:t>vropského železničního prostoru</w:t>
      </w:r>
      <w:r>
        <w:t xml:space="preserve"> </w:t>
      </w:r>
      <w:r w:rsidR="004D169A">
        <w:t>(</w:t>
      </w:r>
      <w:r>
        <w:t>Úř. věst. L 343, 14.12.2012, s. 32</w:t>
      </w:r>
      <w:r w:rsidR="004D169A">
        <w:t>)</w:t>
      </w:r>
      <w:r>
        <w:t>.</w:t>
      </w:r>
    </w:p>
  </w:footnote>
  <w:footnote w:id="4">
    <w:p w14:paraId="699BD46A" w14:textId="77777777" w:rsidR="009B3A58" w:rsidRDefault="003F2CC0">
      <w:pPr>
        <w:pStyle w:val="FootnoteText"/>
        <w:ind w:left="426" w:hanging="426"/>
      </w:pPr>
      <w:r>
        <w:rPr>
          <w:rStyle w:val="FootnoteReference"/>
        </w:rPr>
        <w:footnoteRef/>
      </w:r>
      <w:r>
        <w:rPr>
          <w:rStyle w:val="FootnoteReference"/>
        </w:rPr>
        <w:t xml:space="preserve"> </w:t>
      </w:r>
      <w:r>
        <w:tab/>
        <w:t>Kromě zprávy o železničním trhu zveřejňuje Agentura Evropské unie pro železnice výroční zprávy o bezpečnosti a interoperabilitě železnic.</w:t>
      </w:r>
    </w:p>
  </w:footnote>
  <w:footnote w:id="5">
    <w:p w14:paraId="75B4DB77" w14:textId="77509BD6" w:rsidR="009B3A58" w:rsidRDefault="003F2CC0">
      <w:pPr>
        <w:pStyle w:val="FootnoteText"/>
        <w:ind w:left="426" w:hanging="426"/>
      </w:pPr>
      <w:r>
        <w:rPr>
          <w:rStyle w:val="FootnoteReference"/>
        </w:rPr>
        <w:footnoteRef/>
      </w:r>
      <w:r>
        <w:rPr>
          <w:rStyle w:val="FootnoteReference"/>
        </w:rPr>
        <w:t xml:space="preserve"> </w:t>
      </w:r>
      <w:r>
        <w:tab/>
      </w:r>
      <w:hyperlink r:id="rId1" w:history="1">
        <w:r w:rsidR="008072EC" w:rsidRPr="008072EC">
          <w:rPr>
            <w:rStyle w:val="Hyperlink"/>
          </w:rPr>
          <w:t>https://op.europa.eu/cs/publication-detail/-/publication/da0cd68e-1fdd-11eb-b57e-01aa75ed71a1</w:t>
        </w:r>
      </w:hyperlink>
    </w:p>
  </w:footnote>
  <w:footnote w:id="6">
    <w:p w14:paraId="36544D81" w14:textId="38807900" w:rsidR="009B3A58" w:rsidRDefault="003F2CC0">
      <w:pPr>
        <w:pStyle w:val="FootnoteText"/>
        <w:ind w:left="426" w:hanging="426"/>
      </w:pPr>
      <w:r>
        <w:rPr>
          <w:rStyle w:val="FootnoteReference"/>
        </w:rPr>
        <w:footnoteRef/>
      </w:r>
      <w:r>
        <w:rPr>
          <w:rStyle w:val="FootnoteReference"/>
        </w:rPr>
        <w:t xml:space="preserve"> </w:t>
      </w:r>
      <w:r>
        <w:tab/>
      </w:r>
      <w:hyperlink r:id="rId2" w:history="1">
        <w:r w:rsidR="008072EC" w:rsidRPr="008072EC">
          <w:rPr>
            <w:rStyle w:val="Hyperlink"/>
          </w:rPr>
          <w:t>https://www.era.europa.eu/library/documents-regulations/corporate-publications</w:t>
        </w:r>
      </w:hyperlink>
      <w:r>
        <w:t xml:space="preserve"> </w:t>
      </w:r>
    </w:p>
  </w:footnote>
  <w:footnote w:id="7">
    <w:p w14:paraId="5B2E2FA5" w14:textId="0F062416" w:rsidR="009B3A58" w:rsidRDefault="003F2CC0">
      <w:pPr>
        <w:pStyle w:val="FootnoteText"/>
        <w:ind w:left="426" w:hanging="426"/>
      </w:pPr>
      <w:r>
        <w:rPr>
          <w:rStyle w:val="FootnoteReference"/>
        </w:rPr>
        <w:footnoteRef/>
      </w:r>
      <w:r>
        <w:rPr>
          <w:rStyle w:val="FootnoteReference"/>
        </w:rPr>
        <w:t xml:space="preserve"> </w:t>
      </w:r>
      <w:r>
        <w:tab/>
      </w:r>
      <w:hyperlink r:id="rId3" w:history="1">
        <w:r w:rsidR="008072EC" w:rsidRPr="008072EC">
          <w:rPr>
            <w:rStyle w:val="Hyperlink"/>
          </w:rPr>
          <w:t>https://ec.europa.eu/eurostat/web/transport/data/database?language=cs</w:t>
        </w:r>
      </w:hyperlink>
    </w:p>
  </w:footnote>
  <w:footnote w:id="8">
    <w:p w14:paraId="15E6A85B" w14:textId="77777777" w:rsidR="009B3A58" w:rsidRDefault="003F2CC0">
      <w:pPr>
        <w:pStyle w:val="FootnoteText"/>
        <w:ind w:left="426" w:hanging="426"/>
      </w:pPr>
      <w:r>
        <w:rPr>
          <w:rStyle w:val="FootnoteReference"/>
        </w:rPr>
        <w:footnoteRef/>
      </w:r>
      <w:r>
        <w:t xml:space="preserve"> </w:t>
      </w:r>
      <w:r>
        <w:tab/>
        <w:t>Norsko se účastní sledování železničního trhu, jeho údaje však nejsou zahrnuty do součtů a průměrů EU.</w:t>
      </w:r>
    </w:p>
  </w:footnote>
  <w:footnote w:id="9">
    <w:p w14:paraId="36CAD38C" w14:textId="41C22612" w:rsidR="00176B14" w:rsidRPr="00176B14" w:rsidRDefault="00176B14">
      <w:pPr>
        <w:pStyle w:val="FootnoteText"/>
      </w:pPr>
      <w:r>
        <w:rPr>
          <w:rStyle w:val="FootnoteReference"/>
        </w:rPr>
        <w:footnoteRef/>
      </w:r>
      <w:r>
        <w:t xml:space="preserve"> https://op.europa.eu/cs/publication-detail/-/publication/34244751-6ea3-11ec-9136-01aa75ed71a1</w:t>
      </w:r>
    </w:p>
  </w:footnote>
  <w:footnote w:id="10">
    <w:p w14:paraId="60F4DA3A" w14:textId="3E592677" w:rsidR="005714E0" w:rsidRPr="005714E0" w:rsidRDefault="005714E0">
      <w:pPr>
        <w:pStyle w:val="FootnoteText"/>
      </w:pPr>
      <w:r>
        <w:rPr>
          <w:rStyle w:val="FootnoteReference"/>
        </w:rPr>
        <w:footnoteRef/>
      </w:r>
      <w:r>
        <w:t xml:space="preserve"> https://transport.ec.europa.eu/news/action-plan-boost-passenger-rail-2021-12-14_en</w:t>
      </w:r>
    </w:p>
  </w:footnote>
  <w:footnote w:id="11">
    <w:p w14:paraId="340DD79C" w14:textId="77777777" w:rsidR="009B3A58" w:rsidRDefault="003F2CC0">
      <w:pPr>
        <w:pStyle w:val="FootnoteText"/>
        <w:ind w:left="426" w:hanging="426"/>
      </w:pPr>
      <w:r>
        <w:rPr>
          <w:rStyle w:val="FootnoteReference"/>
        </w:rPr>
        <w:footnoteRef/>
      </w:r>
      <w:r>
        <w:t xml:space="preserve"> </w:t>
      </w:r>
      <w:r>
        <w:tab/>
        <w:t xml:space="preserve">Nařízení Evropského parlamentu a Rady (EU) 2020/1429 ze dne 7. října 2020, kterým se stanoví opatření pro udržitelný železniční trh s ohledem na rozšíření onemocnění COVID-19 (Úř. věst. L 333, 12.10.2020, s. 1).  </w:t>
      </w:r>
    </w:p>
  </w:footnote>
  <w:footnote w:id="12">
    <w:p w14:paraId="121551C5" w14:textId="6CD193D4" w:rsidR="009B3A58" w:rsidRDefault="003F2CC0">
      <w:pPr>
        <w:pStyle w:val="FootnoteText"/>
        <w:ind w:left="426" w:hanging="426"/>
      </w:pPr>
      <w:r>
        <w:rPr>
          <w:rStyle w:val="FootnoteReference"/>
        </w:rPr>
        <w:footnoteRef/>
      </w:r>
      <w:r>
        <w:rPr>
          <w:rStyle w:val="FootnoteReference"/>
        </w:rPr>
        <w:t xml:space="preserve"> </w:t>
      </w:r>
      <w:r>
        <w:tab/>
        <w:t>Prováděcí nařízení Komise (EU) 2017/6 ze dne 5. ledna 2017 o evropském prováděcím plánu evropského syst</w:t>
      </w:r>
      <w:r w:rsidR="00BB3662">
        <w:t>ému řízení železničního provozu</w:t>
      </w:r>
      <w:r>
        <w:t xml:space="preserve"> </w:t>
      </w:r>
      <w:r w:rsidR="00BB3662">
        <w:t>(</w:t>
      </w:r>
      <w:r>
        <w:t>Úř. věst. L 3, 6.1.2017, s. 6</w:t>
      </w:r>
      <w:r w:rsidR="00BB3662">
        <w:t>)</w:t>
      </w:r>
      <w:r>
        <w:t>.</w:t>
      </w:r>
    </w:p>
  </w:footnote>
  <w:footnote w:id="13">
    <w:p w14:paraId="7137DDE7" w14:textId="7B36DE53" w:rsidR="00295C90" w:rsidRPr="00B25212" w:rsidRDefault="00295C90" w:rsidP="001113BA">
      <w:pPr>
        <w:pStyle w:val="FootnoteText"/>
        <w:ind w:left="426" w:hanging="426"/>
      </w:pPr>
      <w:r>
        <w:rPr>
          <w:rStyle w:val="FootnoteReference"/>
        </w:rPr>
        <w:footnoteRef/>
      </w:r>
      <w:r>
        <w:t xml:space="preserve"> </w:t>
      </w:r>
      <w:r>
        <w:tab/>
      </w:r>
      <w:hyperlink r:id="rId4" w:history="1">
        <w:r>
          <w:rPr>
            <w:rStyle w:val="Hyperlink"/>
          </w:rPr>
          <w:t>https://www.era.europa.eu/system/files/2022-10/Report on Railway Safety and Interoperability in the EU 2022.pdf</w:t>
        </w:r>
      </w:hyperlink>
      <w:r>
        <w:t xml:space="preserve"> </w:t>
      </w:r>
    </w:p>
  </w:footnote>
  <w:footnote w:id="14">
    <w:p w14:paraId="43D8598E" w14:textId="4BD47242" w:rsidR="00194774" w:rsidRPr="00DC0269" w:rsidRDefault="00194774" w:rsidP="001113BA">
      <w:pPr>
        <w:pStyle w:val="FootnoteText"/>
        <w:ind w:left="426" w:hanging="426"/>
      </w:pPr>
      <w:r>
        <w:rPr>
          <w:rStyle w:val="FootnoteReference"/>
          <w:sz w:val="14"/>
          <w:vertAlign w:val="baseline"/>
        </w:rPr>
        <w:footnoteRef/>
      </w:r>
      <w:r>
        <w:rPr>
          <w:rStyle w:val="FootnoteReference"/>
          <w:sz w:val="14"/>
          <w:vertAlign w:val="baseline"/>
        </w:rPr>
        <w:t xml:space="preserve"> </w:t>
      </w:r>
      <w:r>
        <w:tab/>
        <w:t>Na základě odhadů počtu úmrtí na železnici v pěti jurisdikcích zpráva z roku 2022 označuje železniční systém EU za druhý nejbezpečnější na světě po Jižní Koreji.</w:t>
      </w:r>
    </w:p>
  </w:footnote>
  <w:footnote w:id="15">
    <w:p w14:paraId="3970C483" w14:textId="77777777" w:rsidR="000444E1" w:rsidRDefault="000444E1" w:rsidP="000444E1">
      <w:pPr>
        <w:pStyle w:val="FootnoteText"/>
        <w:ind w:left="426" w:hanging="426"/>
      </w:pPr>
      <w:r>
        <w:rPr>
          <w:rStyle w:val="FootnoteReference"/>
          <w:sz w:val="14"/>
          <w:vertAlign w:val="baseline"/>
        </w:rPr>
        <w:footnoteRef/>
      </w:r>
      <w:r>
        <w:rPr>
          <w:rStyle w:val="FootnoteReference"/>
          <w:sz w:val="14"/>
          <w:vertAlign w:val="baseline"/>
        </w:rPr>
        <w:t xml:space="preserve"> </w:t>
      </w:r>
      <w:r>
        <w:tab/>
        <w:t>Podle RMMS jede spoj pro přepravu cestujících přesně, pokud zpoždění nepřesahuje 5 minut.</w:t>
      </w:r>
    </w:p>
  </w:footnote>
  <w:footnote w:id="16">
    <w:p w14:paraId="3370A001" w14:textId="50430CE9" w:rsidR="00A367FE" w:rsidRPr="00A367FE" w:rsidRDefault="00A367FE" w:rsidP="00A367FE">
      <w:pPr>
        <w:pStyle w:val="FootnoteText"/>
        <w:ind w:left="426" w:hanging="426"/>
      </w:pPr>
      <w:r>
        <w:rPr>
          <w:rStyle w:val="FootnoteReference"/>
        </w:rPr>
        <w:footnoteRef/>
      </w:r>
      <w:r>
        <w:t xml:space="preserve"> </w:t>
      </w:r>
      <w:r>
        <w:tab/>
        <w:t>Definováno z hlediska podílu zrušených spojů.</w:t>
      </w:r>
    </w:p>
  </w:footnote>
  <w:footnote w:id="17">
    <w:p w14:paraId="5908F13C" w14:textId="6042A51E" w:rsidR="00DD0A3D" w:rsidRDefault="00DD0A3D" w:rsidP="00DD0A3D">
      <w:pPr>
        <w:pStyle w:val="FootnoteText"/>
        <w:ind w:left="426" w:hanging="426"/>
      </w:pPr>
      <w:r>
        <w:rPr>
          <w:rStyle w:val="FootnoteReference"/>
          <w:sz w:val="14"/>
          <w:vertAlign w:val="baseline"/>
        </w:rPr>
        <w:footnoteRef/>
      </w:r>
      <w:r>
        <w:rPr>
          <w:rStyle w:val="FootnoteReference"/>
          <w:sz w:val="14"/>
          <w:vertAlign w:val="baseline"/>
        </w:rPr>
        <w:t xml:space="preserve"> </w:t>
      </w:r>
      <w:r>
        <w:tab/>
        <w:t>Podle RMMS jede nákladní spoj přesně, pokud zpoždění nepřesahuje 15 minut.</w:t>
      </w:r>
    </w:p>
  </w:footnote>
  <w:footnote w:id="18">
    <w:p w14:paraId="2D9E66D5" w14:textId="1E6C06B8" w:rsidR="00F06899" w:rsidRPr="00F06899" w:rsidRDefault="00F06899">
      <w:pPr>
        <w:pStyle w:val="FootnoteText"/>
      </w:pPr>
      <w:r>
        <w:rPr>
          <w:rStyle w:val="FootnoteReference"/>
        </w:rPr>
        <w:footnoteRef/>
      </w:r>
      <w:r>
        <w:t xml:space="preserve"> V právu Evropské unie je provedení proces, kterým členské státy Evropské unie uvedou směrnici v platnost přijetím příslušných prováděcích opatření.</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8CD20" w14:textId="77777777" w:rsidR="00F43B55" w:rsidRPr="00F43B55" w:rsidRDefault="00F43B55" w:rsidP="00F43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DDDE6" w14:textId="77777777" w:rsidR="00F43B55" w:rsidRPr="00F43B55" w:rsidRDefault="00F43B55" w:rsidP="00F43B55">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85A45" w14:textId="77777777" w:rsidR="00F43B55" w:rsidRPr="00F43B55" w:rsidRDefault="00F43B55" w:rsidP="00F43B5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2CCD3" w14:textId="77777777" w:rsidR="009B3A58" w:rsidRDefault="009B3A5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5D2CA" w14:textId="77777777" w:rsidR="009B3A58" w:rsidRDefault="009B3A5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28E27" w14:textId="77777777" w:rsidR="009B3A58" w:rsidRDefault="009B3A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D198E"/>
    <w:multiLevelType w:val="hybridMultilevel"/>
    <w:tmpl w:val="4D6230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18379A"/>
    <w:multiLevelType w:val="hybridMultilevel"/>
    <w:tmpl w:val="7EF4E7D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6120940"/>
    <w:multiLevelType w:val="hybridMultilevel"/>
    <w:tmpl w:val="02B404BA"/>
    <w:lvl w:ilvl="0" w:tplc="05340CDC">
      <w:start w:val="1"/>
      <w:numFmt w:val="bullet"/>
      <w:lvlText w:val="-"/>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204E3"/>
    <w:multiLevelType w:val="hybridMultilevel"/>
    <w:tmpl w:val="3DA42506"/>
    <w:lvl w:ilvl="0" w:tplc="05340CDC">
      <w:start w:val="1"/>
      <w:numFmt w:val="bullet"/>
      <w:lvlText w:val="-"/>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914CD"/>
    <w:multiLevelType w:val="hybridMultilevel"/>
    <w:tmpl w:val="6AF4A9DE"/>
    <w:lvl w:ilvl="0" w:tplc="0B54E578">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3D0917"/>
    <w:multiLevelType w:val="hybridMultilevel"/>
    <w:tmpl w:val="A51A70E4"/>
    <w:lvl w:ilvl="0" w:tplc="FFFFFFFF">
      <w:start w:val="1"/>
      <w:numFmt w:val="bullet"/>
      <w:lvlText w:val="-"/>
      <w:lvlJc w:val="left"/>
      <w:pPr>
        <w:ind w:left="720" w:hanging="360"/>
      </w:pPr>
      <w:rPr>
        <w:rFonts w:ascii="Courier New" w:hAnsi="Courier New"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484EBB8"/>
    <w:multiLevelType w:val="hybridMultilevel"/>
    <w:tmpl w:val="F78C3858"/>
    <w:lvl w:ilvl="0" w:tplc="07A256C4">
      <w:start w:val="1"/>
      <w:numFmt w:val="bullet"/>
      <w:lvlText w:val=""/>
      <w:lvlJc w:val="left"/>
      <w:pPr>
        <w:ind w:left="720" w:hanging="360"/>
      </w:pPr>
      <w:rPr>
        <w:rFonts w:ascii="Symbol" w:hAnsi="Symbol" w:hint="default"/>
      </w:rPr>
    </w:lvl>
    <w:lvl w:ilvl="1" w:tplc="15E446E8">
      <w:start w:val="1"/>
      <w:numFmt w:val="bullet"/>
      <w:lvlText w:val="o"/>
      <w:lvlJc w:val="left"/>
      <w:pPr>
        <w:ind w:left="1440" w:hanging="360"/>
      </w:pPr>
      <w:rPr>
        <w:rFonts w:ascii="Courier New" w:hAnsi="Courier New" w:hint="default"/>
      </w:rPr>
    </w:lvl>
    <w:lvl w:ilvl="2" w:tplc="C0D662C6">
      <w:start w:val="1"/>
      <w:numFmt w:val="bullet"/>
      <w:lvlText w:val="§"/>
      <w:lvlJc w:val="left"/>
      <w:pPr>
        <w:ind w:left="2160" w:hanging="360"/>
      </w:pPr>
      <w:rPr>
        <w:rFonts w:ascii="Wingdings" w:hAnsi="Wingdings" w:hint="default"/>
      </w:rPr>
    </w:lvl>
    <w:lvl w:ilvl="3" w:tplc="E376D2FE">
      <w:start w:val="1"/>
      <w:numFmt w:val="bullet"/>
      <w:lvlText w:val=""/>
      <w:lvlJc w:val="left"/>
      <w:pPr>
        <w:ind w:left="2880" w:hanging="360"/>
      </w:pPr>
      <w:rPr>
        <w:rFonts w:ascii="Symbol" w:hAnsi="Symbol" w:hint="default"/>
      </w:rPr>
    </w:lvl>
    <w:lvl w:ilvl="4" w:tplc="15585090">
      <w:start w:val="1"/>
      <w:numFmt w:val="bullet"/>
      <w:lvlText w:val="o"/>
      <w:lvlJc w:val="left"/>
      <w:pPr>
        <w:ind w:left="3600" w:hanging="360"/>
      </w:pPr>
      <w:rPr>
        <w:rFonts w:ascii="Courier New" w:hAnsi="Courier New" w:hint="default"/>
      </w:rPr>
    </w:lvl>
    <w:lvl w:ilvl="5" w:tplc="0240CCAE">
      <w:start w:val="1"/>
      <w:numFmt w:val="bullet"/>
      <w:lvlText w:val=""/>
      <w:lvlJc w:val="left"/>
      <w:pPr>
        <w:ind w:left="4320" w:hanging="360"/>
      </w:pPr>
      <w:rPr>
        <w:rFonts w:ascii="Wingdings" w:hAnsi="Wingdings" w:hint="default"/>
      </w:rPr>
    </w:lvl>
    <w:lvl w:ilvl="6" w:tplc="AE6E2A14">
      <w:start w:val="1"/>
      <w:numFmt w:val="bullet"/>
      <w:lvlText w:val=""/>
      <w:lvlJc w:val="left"/>
      <w:pPr>
        <w:ind w:left="5040" w:hanging="360"/>
      </w:pPr>
      <w:rPr>
        <w:rFonts w:ascii="Symbol" w:hAnsi="Symbol" w:hint="default"/>
      </w:rPr>
    </w:lvl>
    <w:lvl w:ilvl="7" w:tplc="CA66345C">
      <w:start w:val="1"/>
      <w:numFmt w:val="bullet"/>
      <w:lvlText w:val="o"/>
      <w:lvlJc w:val="left"/>
      <w:pPr>
        <w:ind w:left="5760" w:hanging="360"/>
      </w:pPr>
      <w:rPr>
        <w:rFonts w:ascii="Courier New" w:hAnsi="Courier New" w:hint="default"/>
      </w:rPr>
    </w:lvl>
    <w:lvl w:ilvl="8" w:tplc="08F4E230">
      <w:start w:val="1"/>
      <w:numFmt w:val="bullet"/>
      <w:lvlText w:val=""/>
      <w:lvlJc w:val="left"/>
      <w:pPr>
        <w:ind w:left="6480" w:hanging="360"/>
      </w:pPr>
      <w:rPr>
        <w:rFonts w:ascii="Wingdings" w:hAnsi="Wingdings" w:hint="default"/>
      </w:rPr>
    </w:lvl>
  </w:abstractNum>
  <w:abstractNum w:abstractNumId="7" w15:restartNumberingAfterBreak="0">
    <w:nsid w:val="280757B8"/>
    <w:multiLevelType w:val="hybridMultilevel"/>
    <w:tmpl w:val="044AF99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282F3A4E"/>
    <w:multiLevelType w:val="hybridMultilevel"/>
    <w:tmpl w:val="FD6265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9B660CF"/>
    <w:multiLevelType w:val="hybridMultilevel"/>
    <w:tmpl w:val="4880A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973044"/>
    <w:multiLevelType w:val="multilevel"/>
    <w:tmpl w:val="989A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D7A8423"/>
    <w:multiLevelType w:val="hybridMultilevel"/>
    <w:tmpl w:val="4BA0C53A"/>
    <w:lvl w:ilvl="0" w:tplc="BBA64F50">
      <w:start w:val="1"/>
      <w:numFmt w:val="bullet"/>
      <w:lvlText w:val="-"/>
      <w:lvlJc w:val="left"/>
      <w:pPr>
        <w:ind w:left="720" w:hanging="360"/>
      </w:pPr>
      <w:rPr>
        <w:rFonts w:ascii="Courier New" w:hAnsi="Courier New" w:hint="default"/>
      </w:rPr>
    </w:lvl>
    <w:lvl w:ilvl="1" w:tplc="48428478">
      <w:start w:val="1"/>
      <w:numFmt w:val="bullet"/>
      <w:lvlText w:val="o"/>
      <w:lvlJc w:val="left"/>
      <w:pPr>
        <w:ind w:left="1440" w:hanging="360"/>
      </w:pPr>
      <w:rPr>
        <w:rFonts w:ascii="Courier New" w:hAnsi="Courier New" w:hint="default"/>
      </w:rPr>
    </w:lvl>
    <w:lvl w:ilvl="2" w:tplc="741CAFFE">
      <w:start w:val="1"/>
      <w:numFmt w:val="bullet"/>
      <w:lvlText w:val=""/>
      <w:lvlJc w:val="left"/>
      <w:pPr>
        <w:ind w:left="2160" w:hanging="360"/>
      </w:pPr>
      <w:rPr>
        <w:rFonts w:ascii="Wingdings" w:hAnsi="Wingdings" w:hint="default"/>
      </w:rPr>
    </w:lvl>
    <w:lvl w:ilvl="3" w:tplc="38D4A6BA">
      <w:start w:val="1"/>
      <w:numFmt w:val="bullet"/>
      <w:lvlText w:val=""/>
      <w:lvlJc w:val="left"/>
      <w:pPr>
        <w:ind w:left="2880" w:hanging="360"/>
      </w:pPr>
      <w:rPr>
        <w:rFonts w:ascii="Symbol" w:hAnsi="Symbol" w:hint="default"/>
      </w:rPr>
    </w:lvl>
    <w:lvl w:ilvl="4" w:tplc="D85E11CC">
      <w:start w:val="1"/>
      <w:numFmt w:val="bullet"/>
      <w:lvlText w:val="o"/>
      <w:lvlJc w:val="left"/>
      <w:pPr>
        <w:ind w:left="3600" w:hanging="360"/>
      </w:pPr>
      <w:rPr>
        <w:rFonts w:ascii="Courier New" w:hAnsi="Courier New" w:hint="default"/>
      </w:rPr>
    </w:lvl>
    <w:lvl w:ilvl="5" w:tplc="15EA3690">
      <w:start w:val="1"/>
      <w:numFmt w:val="bullet"/>
      <w:lvlText w:val=""/>
      <w:lvlJc w:val="left"/>
      <w:pPr>
        <w:ind w:left="4320" w:hanging="360"/>
      </w:pPr>
      <w:rPr>
        <w:rFonts w:ascii="Wingdings" w:hAnsi="Wingdings" w:hint="default"/>
      </w:rPr>
    </w:lvl>
    <w:lvl w:ilvl="6" w:tplc="81DAF592">
      <w:start w:val="1"/>
      <w:numFmt w:val="bullet"/>
      <w:lvlText w:val=""/>
      <w:lvlJc w:val="left"/>
      <w:pPr>
        <w:ind w:left="5040" w:hanging="360"/>
      </w:pPr>
      <w:rPr>
        <w:rFonts w:ascii="Symbol" w:hAnsi="Symbol" w:hint="default"/>
      </w:rPr>
    </w:lvl>
    <w:lvl w:ilvl="7" w:tplc="A0961D6E">
      <w:start w:val="1"/>
      <w:numFmt w:val="bullet"/>
      <w:lvlText w:val="o"/>
      <w:lvlJc w:val="left"/>
      <w:pPr>
        <w:ind w:left="5760" w:hanging="360"/>
      </w:pPr>
      <w:rPr>
        <w:rFonts w:ascii="Courier New" w:hAnsi="Courier New" w:hint="default"/>
      </w:rPr>
    </w:lvl>
    <w:lvl w:ilvl="8" w:tplc="57F02BF8">
      <w:start w:val="1"/>
      <w:numFmt w:val="bullet"/>
      <w:lvlText w:val=""/>
      <w:lvlJc w:val="left"/>
      <w:pPr>
        <w:ind w:left="6480" w:hanging="360"/>
      </w:pPr>
      <w:rPr>
        <w:rFonts w:ascii="Wingdings" w:hAnsi="Wingdings" w:hint="default"/>
      </w:rPr>
    </w:lvl>
  </w:abstractNum>
  <w:abstractNum w:abstractNumId="13" w15:restartNumberingAfterBreak="0">
    <w:nsid w:val="2EE783C4"/>
    <w:multiLevelType w:val="hybridMultilevel"/>
    <w:tmpl w:val="CE366D68"/>
    <w:lvl w:ilvl="0" w:tplc="ACB2B7B6">
      <w:start w:val="1"/>
      <w:numFmt w:val="bullet"/>
      <w:lvlText w:val="-"/>
      <w:lvlJc w:val="left"/>
      <w:pPr>
        <w:ind w:left="720" w:hanging="360"/>
      </w:pPr>
      <w:rPr>
        <w:rFonts w:ascii="Courier New" w:hAnsi="Courier New" w:hint="default"/>
      </w:rPr>
    </w:lvl>
    <w:lvl w:ilvl="1" w:tplc="74E02B1C">
      <w:start w:val="1"/>
      <w:numFmt w:val="bullet"/>
      <w:lvlText w:val="o"/>
      <w:lvlJc w:val="left"/>
      <w:pPr>
        <w:ind w:left="1440" w:hanging="360"/>
      </w:pPr>
      <w:rPr>
        <w:rFonts w:ascii="Courier New" w:hAnsi="Courier New" w:hint="default"/>
      </w:rPr>
    </w:lvl>
    <w:lvl w:ilvl="2" w:tplc="25C8E838">
      <w:start w:val="1"/>
      <w:numFmt w:val="bullet"/>
      <w:lvlText w:val=""/>
      <w:lvlJc w:val="left"/>
      <w:pPr>
        <w:ind w:left="2160" w:hanging="360"/>
      </w:pPr>
      <w:rPr>
        <w:rFonts w:ascii="Wingdings" w:hAnsi="Wingdings" w:hint="default"/>
      </w:rPr>
    </w:lvl>
    <w:lvl w:ilvl="3" w:tplc="70108ADC">
      <w:start w:val="1"/>
      <w:numFmt w:val="bullet"/>
      <w:lvlText w:val=""/>
      <w:lvlJc w:val="left"/>
      <w:pPr>
        <w:ind w:left="2880" w:hanging="360"/>
      </w:pPr>
      <w:rPr>
        <w:rFonts w:ascii="Symbol" w:hAnsi="Symbol" w:hint="default"/>
      </w:rPr>
    </w:lvl>
    <w:lvl w:ilvl="4" w:tplc="862226C0">
      <w:start w:val="1"/>
      <w:numFmt w:val="bullet"/>
      <w:lvlText w:val="o"/>
      <w:lvlJc w:val="left"/>
      <w:pPr>
        <w:ind w:left="3600" w:hanging="360"/>
      </w:pPr>
      <w:rPr>
        <w:rFonts w:ascii="Courier New" w:hAnsi="Courier New" w:hint="default"/>
      </w:rPr>
    </w:lvl>
    <w:lvl w:ilvl="5" w:tplc="F37C7C98">
      <w:start w:val="1"/>
      <w:numFmt w:val="bullet"/>
      <w:lvlText w:val=""/>
      <w:lvlJc w:val="left"/>
      <w:pPr>
        <w:ind w:left="4320" w:hanging="360"/>
      </w:pPr>
      <w:rPr>
        <w:rFonts w:ascii="Wingdings" w:hAnsi="Wingdings" w:hint="default"/>
      </w:rPr>
    </w:lvl>
    <w:lvl w:ilvl="6" w:tplc="6A4EA19A">
      <w:start w:val="1"/>
      <w:numFmt w:val="bullet"/>
      <w:lvlText w:val=""/>
      <w:lvlJc w:val="left"/>
      <w:pPr>
        <w:ind w:left="5040" w:hanging="360"/>
      </w:pPr>
      <w:rPr>
        <w:rFonts w:ascii="Symbol" w:hAnsi="Symbol" w:hint="default"/>
      </w:rPr>
    </w:lvl>
    <w:lvl w:ilvl="7" w:tplc="2C64494E">
      <w:start w:val="1"/>
      <w:numFmt w:val="bullet"/>
      <w:lvlText w:val="o"/>
      <w:lvlJc w:val="left"/>
      <w:pPr>
        <w:ind w:left="5760" w:hanging="360"/>
      </w:pPr>
      <w:rPr>
        <w:rFonts w:ascii="Courier New" w:hAnsi="Courier New" w:hint="default"/>
      </w:rPr>
    </w:lvl>
    <w:lvl w:ilvl="8" w:tplc="9D123A52">
      <w:start w:val="1"/>
      <w:numFmt w:val="bullet"/>
      <w:lvlText w:val=""/>
      <w:lvlJc w:val="left"/>
      <w:pPr>
        <w:ind w:left="6480" w:hanging="360"/>
      </w:pPr>
      <w:rPr>
        <w:rFonts w:ascii="Wingdings" w:hAnsi="Wingdings" w:hint="default"/>
      </w:rPr>
    </w:lvl>
  </w:abstractNum>
  <w:abstractNum w:abstractNumId="14" w15:restartNumberingAfterBreak="0">
    <w:nsid w:val="37CB1E1C"/>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 w15:restartNumberingAfterBreak="0">
    <w:nsid w:val="41B2E400"/>
    <w:multiLevelType w:val="hybridMultilevel"/>
    <w:tmpl w:val="F89E6F4E"/>
    <w:lvl w:ilvl="0" w:tplc="80E8B03E">
      <w:start w:val="1"/>
      <w:numFmt w:val="bullet"/>
      <w:lvlText w:val="-"/>
      <w:lvlJc w:val="left"/>
      <w:pPr>
        <w:ind w:left="720" w:hanging="360"/>
      </w:pPr>
      <w:rPr>
        <w:rFonts w:ascii="Courier New" w:hAnsi="Courier New" w:hint="default"/>
      </w:rPr>
    </w:lvl>
    <w:lvl w:ilvl="1" w:tplc="BD0885A4">
      <w:start w:val="1"/>
      <w:numFmt w:val="bullet"/>
      <w:lvlText w:val="o"/>
      <w:lvlJc w:val="left"/>
      <w:pPr>
        <w:ind w:left="1440" w:hanging="360"/>
      </w:pPr>
      <w:rPr>
        <w:rFonts w:ascii="Courier New" w:hAnsi="Courier New" w:hint="default"/>
      </w:rPr>
    </w:lvl>
    <w:lvl w:ilvl="2" w:tplc="432421D0">
      <w:start w:val="1"/>
      <w:numFmt w:val="bullet"/>
      <w:lvlText w:val=""/>
      <w:lvlJc w:val="left"/>
      <w:pPr>
        <w:ind w:left="2160" w:hanging="360"/>
      </w:pPr>
      <w:rPr>
        <w:rFonts w:ascii="Wingdings" w:hAnsi="Wingdings" w:hint="default"/>
      </w:rPr>
    </w:lvl>
    <w:lvl w:ilvl="3" w:tplc="B3EE54FA">
      <w:start w:val="1"/>
      <w:numFmt w:val="bullet"/>
      <w:lvlText w:val=""/>
      <w:lvlJc w:val="left"/>
      <w:pPr>
        <w:ind w:left="2880" w:hanging="360"/>
      </w:pPr>
      <w:rPr>
        <w:rFonts w:ascii="Symbol" w:hAnsi="Symbol" w:hint="default"/>
      </w:rPr>
    </w:lvl>
    <w:lvl w:ilvl="4" w:tplc="75166DBA">
      <w:start w:val="1"/>
      <w:numFmt w:val="bullet"/>
      <w:lvlText w:val="o"/>
      <w:lvlJc w:val="left"/>
      <w:pPr>
        <w:ind w:left="3600" w:hanging="360"/>
      </w:pPr>
      <w:rPr>
        <w:rFonts w:ascii="Courier New" w:hAnsi="Courier New" w:hint="default"/>
      </w:rPr>
    </w:lvl>
    <w:lvl w:ilvl="5" w:tplc="F4169E3E">
      <w:start w:val="1"/>
      <w:numFmt w:val="bullet"/>
      <w:lvlText w:val=""/>
      <w:lvlJc w:val="left"/>
      <w:pPr>
        <w:ind w:left="4320" w:hanging="360"/>
      </w:pPr>
      <w:rPr>
        <w:rFonts w:ascii="Wingdings" w:hAnsi="Wingdings" w:hint="default"/>
      </w:rPr>
    </w:lvl>
    <w:lvl w:ilvl="6" w:tplc="420AF0E4">
      <w:start w:val="1"/>
      <w:numFmt w:val="bullet"/>
      <w:lvlText w:val=""/>
      <w:lvlJc w:val="left"/>
      <w:pPr>
        <w:ind w:left="5040" w:hanging="360"/>
      </w:pPr>
      <w:rPr>
        <w:rFonts w:ascii="Symbol" w:hAnsi="Symbol" w:hint="default"/>
      </w:rPr>
    </w:lvl>
    <w:lvl w:ilvl="7" w:tplc="192AD944">
      <w:start w:val="1"/>
      <w:numFmt w:val="bullet"/>
      <w:lvlText w:val="o"/>
      <w:lvlJc w:val="left"/>
      <w:pPr>
        <w:ind w:left="5760" w:hanging="360"/>
      </w:pPr>
      <w:rPr>
        <w:rFonts w:ascii="Courier New" w:hAnsi="Courier New" w:hint="default"/>
      </w:rPr>
    </w:lvl>
    <w:lvl w:ilvl="8" w:tplc="AB2A0E5C">
      <w:start w:val="1"/>
      <w:numFmt w:val="bullet"/>
      <w:lvlText w:val=""/>
      <w:lvlJc w:val="left"/>
      <w:pPr>
        <w:ind w:left="6480" w:hanging="360"/>
      </w:pPr>
      <w:rPr>
        <w:rFonts w:ascii="Wingdings" w:hAnsi="Wingdings" w:hint="default"/>
      </w:rPr>
    </w:lvl>
  </w:abstractNum>
  <w:abstractNum w:abstractNumId="16" w15:restartNumberingAfterBreak="0">
    <w:nsid w:val="41C0371F"/>
    <w:multiLevelType w:val="hybridMultilevel"/>
    <w:tmpl w:val="BE64A162"/>
    <w:lvl w:ilvl="0" w:tplc="05340CD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F344F8"/>
    <w:multiLevelType w:val="hybridMultilevel"/>
    <w:tmpl w:val="38F6A57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B600A6"/>
    <w:multiLevelType w:val="hybridMultilevel"/>
    <w:tmpl w:val="D304C9BC"/>
    <w:lvl w:ilvl="0" w:tplc="D366A3AC">
      <w:start w:val="1"/>
      <w:numFmt w:val="bullet"/>
      <w:lvlText w:val="-"/>
      <w:lvlJc w:val="left"/>
      <w:pPr>
        <w:ind w:left="720" w:hanging="360"/>
      </w:pPr>
      <w:rPr>
        <w:rFonts w:ascii="Courier New" w:hAnsi="Courier New" w:hint="default"/>
      </w:rPr>
    </w:lvl>
    <w:lvl w:ilvl="1" w:tplc="77186062">
      <w:start w:val="1"/>
      <w:numFmt w:val="bullet"/>
      <w:lvlText w:val="o"/>
      <w:lvlJc w:val="left"/>
      <w:pPr>
        <w:ind w:left="1440" w:hanging="360"/>
      </w:pPr>
      <w:rPr>
        <w:rFonts w:ascii="Courier New" w:hAnsi="Courier New" w:hint="default"/>
      </w:rPr>
    </w:lvl>
    <w:lvl w:ilvl="2" w:tplc="2C80A56E">
      <w:start w:val="1"/>
      <w:numFmt w:val="bullet"/>
      <w:lvlText w:val=""/>
      <w:lvlJc w:val="left"/>
      <w:pPr>
        <w:ind w:left="2160" w:hanging="360"/>
      </w:pPr>
      <w:rPr>
        <w:rFonts w:ascii="Wingdings" w:hAnsi="Wingdings" w:hint="default"/>
      </w:rPr>
    </w:lvl>
    <w:lvl w:ilvl="3" w:tplc="FCAAD1B6">
      <w:start w:val="1"/>
      <w:numFmt w:val="bullet"/>
      <w:lvlText w:val=""/>
      <w:lvlJc w:val="left"/>
      <w:pPr>
        <w:ind w:left="2880" w:hanging="360"/>
      </w:pPr>
      <w:rPr>
        <w:rFonts w:ascii="Symbol" w:hAnsi="Symbol" w:hint="default"/>
      </w:rPr>
    </w:lvl>
    <w:lvl w:ilvl="4" w:tplc="CD106F24">
      <w:start w:val="1"/>
      <w:numFmt w:val="bullet"/>
      <w:lvlText w:val="o"/>
      <w:lvlJc w:val="left"/>
      <w:pPr>
        <w:ind w:left="3600" w:hanging="360"/>
      </w:pPr>
      <w:rPr>
        <w:rFonts w:ascii="Courier New" w:hAnsi="Courier New" w:hint="default"/>
      </w:rPr>
    </w:lvl>
    <w:lvl w:ilvl="5" w:tplc="56BE092E">
      <w:start w:val="1"/>
      <w:numFmt w:val="bullet"/>
      <w:lvlText w:val=""/>
      <w:lvlJc w:val="left"/>
      <w:pPr>
        <w:ind w:left="4320" w:hanging="360"/>
      </w:pPr>
      <w:rPr>
        <w:rFonts w:ascii="Wingdings" w:hAnsi="Wingdings" w:hint="default"/>
      </w:rPr>
    </w:lvl>
    <w:lvl w:ilvl="6" w:tplc="AD52B490">
      <w:start w:val="1"/>
      <w:numFmt w:val="bullet"/>
      <w:lvlText w:val=""/>
      <w:lvlJc w:val="left"/>
      <w:pPr>
        <w:ind w:left="5040" w:hanging="360"/>
      </w:pPr>
      <w:rPr>
        <w:rFonts w:ascii="Symbol" w:hAnsi="Symbol" w:hint="default"/>
      </w:rPr>
    </w:lvl>
    <w:lvl w:ilvl="7" w:tplc="9DBA8A6E">
      <w:start w:val="1"/>
      <w:numFmt w:val="bullet"/>
      <w:lvlText w:val="o"/>
      <w:lvlJc w:val="left"/>
      <w:pPr>
        <w:ind w:left="5760" w:hanging="360"/>
      </w:pPr>
      <w:rPr>
        <w:rFonts w:ascii="Courier New" w:hAnsi="Courier New" w:hint="default"/>
      </w:rPr>
    </w:lvl>
    <w:lvl w:ilvl="8" w:tplc="43E036F6">
      <w:start w:val="1"/>
      <w:numFmt w:val="bullet"/>
      <w:lvlText w:val=""/>
      <w:lvlJc w:val="left"/>
      <w:pPr>
        <w:ind w:left="6480" w:hanging="360"/>
      </w:pPr>
      <w:rPr>
        <w:rFonts w:ascii="Wingdings" w:hAnsi="Wingdings" w:hint="default"/>
      </w:rPr>
    </w:lvl>
  </w:abstractNum>
  <w:abstractNum w:abstractNumId="19" w15:restartNumberingAfterBreak="0">
    <w:nsid w:val="4ED62D2C"/>
    <w:multiLevelType w:val="hybridMultilevel"/>
    <w:tmpl w:val="7CDA2FAE"/>
    <w:lvl w:ilvl="0" w:tplc="0809000F">
      <w:start w:val="1"/>
      <w:numFmt w:val="decimal"/>
      <w:lvlText w:val="%1."/>
      <w:lvlJc w:val="left"/>
      <w:pPr>
        <w:ind w:left="1200" w:hanging="360"/>
      </w:pPr>
      <w:rPr>
        <w:rFonts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0" w15:restartNumberingAfterBreak="0">
    <w:nsid w:val="62AE7163"/>
    <w:multiLevelType w:val="hybridMultilevel"/>
    <w:tmpl w:val="85883E1E"/>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1" w15:restartNumberingAfterBreak="0">
    <w:nsid w:val="68985444"/>
    <w:multiLevelType w:val="hybridMultilevel"/>
    <w:tmpl w:val="D52EC6F8"/>
    <w:lvl w:ilvl="0" w:tplc="0B54E578">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53462B"/>
    <w:multiLevelType w:val="hybridMultilevel"/>
    <w:tmpl w:val="2D78CFFC"/>
    <w:lvl w:ilvl="0" w:tplc="0B54E57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9F0CDF"/>
    <w:multiLevelType w:val="hybridMultilevel"/>
    <w:tmpl w:val="128ABC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475498"/>
    <w:multiLevelType w:val="hybridMultilevel"/>
    <w:tmpl w:val="31304ADE"/>
    <w:lvl w:ilvl="0" w:tplc="0B54E57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D7CE48"/>
    <w:multiLevelType w:val="hybridMultilevel"/>
    <w:tmpl w:val="BB94C8B8"/>
    <w:lvl w:ilvl="0" w:tplc="ECC6F928">
      <w:start w:val="1"/>
      <w:numFmt w:val="bullet"/>
      <w:lvlText w:val="-"/>
      <w:lvlJc w:val="left"/>
      <w:pPr>
        <w:ind w:left="720" w:hanging="360"/>
      </w:pPr>
      <w:rPr>
        <w:rFonts w:ascii="Courier New" w:hAnsi="Courier New" w:hint="default"/>
      </w:rPr>
    </w:lvl>
    <w:lvl w:ilvl="1" w:tplc="02CA5030">
      <w:start w:val="1"/>
      <w:numFmt w:val="bullet"/>
      <w:lvlText w:val="o"/>
      <w:lvlJc w:val="left"/>
      <w:pPr>
        <w:ind w:left="1440" w:hanging="360"/>
      </w:pPr>
      <w:rPr>
        <w:rFonts w:ascii="Courier New" w:hAnsi="Courier New" w:hint="default"/>
      </w:rPr>
    </w:lvl>
    <w:lvl w:ilvl="2" w:tplc="D3E447DC">
      <w:start w:val="1"/>
      <w:numFmt w:val="bullet"/>
      <w:lvlText w:val=""/>
      <w:lvlJc w:val="left"/>
      <w:pPr>
        <w:ind w:left="2160" w:hanging="360"/>
      </w:pPr>
      <w:rPr>
        <w:rFonts w:ascii="Wingdings" w:hAnsi="Wingdings" w:hint="default"/>
      </w:rPr>
    </w:lvl>
    <w:lvl w:ilvl="3" w:tplc="275C55C0">
      <w:start w:val="1"/>
      <w:numFmt w:val="bullet"/>
      <w:lvlText w:val=""/>
      <w:lvlJc w:val="left"/>
      <w:pPr>
        <w:ind w:left="2880" w:hanging="360"/>
      </w:pPr>
      <w:rPr>
        <w:rFonts w:ascii="Symbol" w:hAnsi="Symbol" w:hint="default"/>
      </w:rPr>
    </w:lvl>
    <w:lvl w:ilvl="4" w:tplc="FA8C8A2E">
      <w:start w:val="1"/>
      <w:numFmt w:val="bullet"/>
      <w:lvlText w:val="o"/>
      <w:lvlJc w:val="left"/>
      <w:pPr>
        <w:ind w:left="3600" w:hanging="360"/>
      </w:pPr>
      <w:rPr>
        <w:rFonts w:ascii="Courier New" w:hAnsi="Courier New" w:hint="default"/>
      </w:rPr>
    </w:lvl>
    <w:lvl w:ilvl="5" w:tplc="AB1CDC0A">
      <w:start w:val="1"/>
      <w:numFmt w:val="bullet"/>
      <w:lvlText w:val=""/>
      <w:lvlJc w:val="left"/>
      <w:pPr>
        <w:ind w:left="4320" w:hanging="360"/>
      </w:pPr>
      <w:rPr>
        <w:rFonts w:ascii="Wingdings" w:hAnsi="Wingdings" w:hint="default"/>
      </w:rPr>
    </w:lvl>
    <w:lvl w:ilvl="6" w:tplc="F66E7284">
      <w:start w:val="1"/>
      <w:numFmt w:val="bullet"/>
      <w:lvlText w:val=""/>
      <w:lvlJc w:val="left"/>
      <w:pPr>
        <w:ind w:left="5040" w:hanging="360"/>
      </w:pPr>
      <w:rPr>
        <w:rFonts w:ascii="Symbol" w:hAnsi="Symbol" w:hint="default"/>
      </w:rPr>
    </w:lvl>
    <w:lvl w:ilvl="7" w:tplc="98A0A3DE">
      <w:start w:val="1"/>
      <w:numFmt w:val="bullet"/>
      <w:lvlText w:val="o"/>
      <w:lvlJc w:val="left"/>
      <w:pPr>
        <w:ind w:left="5760" w:hanging="360"/>
      </w:pPr>
      <w:rPr>
        <w:rFonts w:ascii="Courier New" w:hAnsi="Courier New" w:hint="default"/>
      </w:rPr>
    </w:lvl>
    <w:lvl w:ilvl="8" w:tplc="25746072">
      <w:start w:val="1"/>
      <w:numFmt w:val="bullet"/>
      <w:lvlText w:val=""/>
      <w:lvlJc w:val="left"/>
      <w:pPr>
        <w:ind w:left="6480" w:hanging="360"/>
      </w:pPr>
      <w:rPr>
        <w:rFonts w:ascii="Wingdings" w:hAnsi="Wingdings" w:hint="default"/>
      </w:rPr>
    </w:lvl>
  </w:abstractNum>
  <w:abstractNum w:abstractNumId="26" w15:restartNumberingAfterBreak="0">
    <w:nsid w:val="7422064C"/>
    <w:multiLevelType w:val="hybridMultilevel"/>
    <w:tmpl w:val="D88036CA"/>
    <w:lvl w:ilvl="0" w:tplc="04090001">
      <w:start w:val="1"/>
      <w:numFmt w:val="bullet"/>
      <w:lvlText w:val=""/>
      <w:lvlJc w:val="left"/>
      <w:pPr>
        <w:ind w:left="1200" w:hanging="360"/>
      </w:pPr>
      <w:rPr>
        <w:rFonts w:ascii="Symbol" w:hAnsi="Symbol" w:hint="default"/>
      </w:rPr>
    </w:lvl>
    <w:lvl w:ilvl="1" w:tplc="08090003">
      <w:start w:val="1"/>
      <w:numFmt w:val="bullet"/>
      <w:lvlText w:val="o"/>
      <w:lvlJc w:val="left"/>
      <w:pPr>
        <w:ind w:left="1920" w:hanging="360"/>
      </w:pPr>
      <w:rPr>
        <w:rFonts w:ascii="Courier New" w:hAnsi="Courier New" w:cs="Courier New" w:hint="default"/>
      </w:rPr>
    </w:lvl>
    <w:lvl w:ilvl="2" w:tplc="08090005">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7" w15:restartNumberingAfterBreak="0">
    <w:nsid w:val="7B929943"/>
    <w:multiLevelType w:val="hybridMultilevel"/>
    <w:tmpl w:val="81623274"/>
    <w:lvl w:ilvl="0" w:tplc="025605E6">
      <w:start w:val="1"/>
      <w:numFmt w:val="bullet"/>
      <w:lvlText w:val=""/>
      <w:lvlJc w:val="left"/>
      <w:pPr>
        <w:ind w:left="720" w:hanging="360"/>
      </w:pPr>
      <w:rPr>
        <w:rFonts w:ascii="Symbol" w:hAnsi="Symbol" w:hint="default"/>
      </w:rPr>
    </w:lvl>
    <w:lvl w:ilvl="1" w:tplc="B148BB36">
      <w:start w:val="1"/>
      <w:numFmt w:val="bullet"/>
      <w:lvlText w:val="o"/>
      <w:lvlJc w:val="left"/>
      <w:pPr>
        <w:ind w:left="1440" w:hanging="360"/>
      </w:pPr>
      <w:rPr>
        <w:rFonts w:ascii="Courier New" w:hAnsi="Courier New" w:hint="default"/>
      </w:rPr>
    </w:lvl>
    <w:lvl w:ilvl="2" w:tplc="7514DF62">
      <w:start w:val="1"/>
      <w:numFmt w:val="bullet"/>
      <w:lvlText w:val="§"/>
      <w:lvlJc w:val="left"/>
      <w:pPr>
        <w:ind w:left="2160" w:hanging="360"/>
      </w:pPr>
      <w:rPr>
        <w:rFonts w:ascii="Wingdings" w:hAnsi="Wingdings" w:hint="default"/>
      </w:rPr>
    </w:lvl>
    <w:lvl w:ilvl="3" w:tplc="34425932">
      <w:start w:val="1"/>
      <w:numFmt w:val="bullet"/>
      <w:lvlText w:val=""/>
      <w:lvlJc w:val="left"/>
      <w:pPr>
        <w:ind w:left="2880" w:hanging="360"/>
      </w:pPr>
      <w:rPr>
        <w:rFonts w:ascii="Symbol" w:hAnsi="Symbol" w:hint="default"/>
      </w:rPr>
    </w:lvl>
    <w:lvl w:ilvl="4" w:tplc="498253CE">
      <w:start w:val="1"/>
      <w:numFmt w:val="bullet"/>
      <w:lvlText w:val="o"/>
      <w:lvlJc w:val="left"/>
      <w:pPr>
        <w:ind w:left="3600" w:hanging="360"/>
      </w:pPr>
      <w:rPr>
        <w:rFonts w:ascii="Courier New" w:hAnsi="Courier New" w:hint="default"/>
      </w:rPr>
    </w:lvl>
    <w:lvl w:ilvl="5" w:tplc="99284342">
      <w:start w:val="1"/>
      <w:numFmt w:val="bullet"/>
      <w:lvlText w:val=""/>
      <w:lvlJc w:val="left"/>
      <w:pPr>
        <w:ind w:left="4320" w:hanging="360"/>
      </w:pPr>
      <w:rPr>
        <w:rFonts w:ascii="Wingdings" w:hAnsi="Wingdings" w:hint="default"/>
      </w:rPr>
    </w:lvl>
    <w:lvl w:ilvl="6" w:tplc="CB4488AE">
      <w:start w:val="1"/>
      <w:numFmt w:val="bullet"/>
      <w:lvlText w:val=""/>
      <w:lvlJc w:val="left"/>
      <w:pPr>
        <w:ind w:left="5040" w:hanging="360"/>
      </w:pPr>
      <w:rPr>
        <w:rFonts w:ascii="Symbol" w:hAnsi="Symbol" w:hint="default"/>
      </w:rPr>
    </w:lvl>
    <w:lvl w:ilvl="7" w:tplc="07849A76">
      <w:start w:val="1"/>
      <w:numFmt w:val="bullet"/>
      <w:lvlText w:val="o"/>
      <w:lvlJc w:val="left"/>
      <w:pPr>
        <w:ind w:left="5760" w:hanging="360"/>
      </w:pPr>
      <w:rPr>
        <w:rFonts w:ascii="Courier New" w:hAnsi="Courier New" w:hint="default"/>
      </w:rPr>
    </w:lvl>
    <w:lvl w:ilvl="8" w:tplc="20EA2E98">
      <w:start w:val="1"/>
      <w:numFmt w:val="bullet"/>
      <w:lvlText w:val=""/>
      <w:lvlJc w:val="left"/>
      <w:pPr>
        <w:ind w:left="6480" w:hanging="360"/>
      </w:pPr>
      <w:rPr>
        <w:rFonts w:ascii="Wingdings" w:hAnsi="Wingdings" w:hint="default"/>
      </w:rPr>
    </w:lvl>
  </w:abstractNum>
  <w:abstractNum w:abstractNumId="28" w15:restartNumberingAfterBreak="0">
    <w:nsid w:val="7C65145E"/>
    <w:multiLevelType w:val="multilevel"/>
    <w:tmpl w:val="DE5401D2"/>
    <w:lvl w:ilvl="0">
      <w:start w:val="1"/>
      <w:numFmt w:val="decimal"/>
      <w:pStyle w:val="Heading1"/>
      <w:lvlText w:val="%1."/>
      <w:lvlJc w:val="left"/>
      <w:pPr>
        <w:tabs>
          <w:tab w:val="num" w:pos="480"/>
        </w:tabs>
        <w:ind w:left="480" w:hanging="480"/>
      </w:pPr>
      <w:rPr>
        <w:rFonts w:hint="default"/>
      </w:rPr>
    </w:lvl>
    <w:lvl w:ilvl="1">
      <w:start w:val="1"/>
      <w:numFmt w:val="decimal"/>
      <w:pStyle w:val="Heading2"/>
      <w:lvlText w:val="%1.%2"/>
      <w:lvlJc w:val="left"/>
      <w:pPr>
        <w:tabs>
          <w:tab w:val="num" w:pos="1200"/>
        </w:tabs>
        <w:ind w:left="1200" w:hanging="720"/>
      </w:pPr>
      <w:rPr>
        <w:rFonts w:hint="default"/>
      </w:rPr>
    </w:lvl>
    <w:lvl w:ilvl="2">
      <w:start w:val="1"/>
      <w:numFmt w:val="decimal"/>
      <w:pStyle w:val="Heading3"/>
      <w:lvlText w:val="%1.%2.%3."/>
      <w:lvlJc w:val="left"/>
      <w:pPr>
        <w:tabs>
          <w:tab w:val="num" w:pos="1920"/>
        </w:tabs>
        <w:ind w:left="1920" w:hanging="720"/>
      </w:pPr>
      <w:rPr>
        <w:rFonts w:hint="default"/>
      </w:rPr>
    </w:lvl>
    <w:lvl w:ilvl="3">
      <w:start w:val="1"/>
      <w:numFmt w:val="decimal"/>
      <w:pStyle w:val="Heading4"/>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7"/>
  </w:num>
  <w:num w:numId="2">
    <w:abstractNumId w:val="6"/>
  </w:num>
  <w:num w:numId="3">
    <w:abstractNumId w:val="18"/>
  </w:num>
  <w:num w:numId="4">
    <w:abstractNumId w:val="15"/>
  </w:num>
  <w:num w:numId="5">
    <w:abstractNumId w:val="25"/>
  </w:num>
  <w:num w:numId="6">
    <w:abstractNumId w:val="12"/>
  </w:num>
  <w:num w:numId="7">
    <w:abstractNumId w:val="13"/>
  </w:num>
  <w:num w:numId="8">
    <w:abstractNumId w:val="28"/>
  </w:num>
  <w:num w:numId="9">
    <w:abstractNumId w:val="14"/>
  </w:num>
  <w:num w:numId="10">
    <w:abstractNumId w:val="14"/>
    <w:lvlOverride w:ilvl="0">
      <w:startOverride w:val="1"/>
    </w:lvlOverride>
  </w:num>
  <w:num w:numId="11">
    <w:abstractNumId w:val="24"/>
  </w:num>
  <w:num w:numId="12">
    <w:abstractNumId w:val="22"/>
  </w:num>
  <w:num w:numId="13">
    <w:abstractNumId w:val="9"/>
  </w:num>
  <w:num w:numId="14">
    <w:abstractNumId w:val="4"/>
  </w:num>
  <w:num w:numId="15">
    <w:abstractNumId w:val="20"/>
  </w:num>
  <w:num w:numId="16">
    <w:abstractNumId w:val="26"/>
  </w:num>
  <w:num w:numId="17">
    <w:abstractNumId w:val="19"/>
  </w:num>
  <w:num w:numId="18">
    <w:abstractNumId w:val="28"/>
  </w:num>
  <w:num w:numId="19">
    <w:abstractNumId w:val="28"/>
  </w:num>
  <w:num w:numId="20">
    <w:abstractNumId w:val="28"/>
  </w:num>
  <w:num w:numId="21">
    <w:abstractNumId w:val="28"/>
  </w:num>
  <w:num w:numId="22">
    <w:abstractNumId w:val="28"/>
  </w:num>
  <w:num w:numId="23">
    <w:abstractNumId w:val="28"/>
  </w:num>
  <w:num w:numId="24">
    <w:abstractNumId w:val="28"/>
  </w:num>
  <w:num w:numId="25">
    <w:abstractNumId w:val="28"/>
  </w:num>
  <w:num w:numId="26">
    <w:abstractNumId w:val="28"/>
  </w:num>
  <w:num w:numId="27">
    <w:abstractNumId w:val="28"/>
  </w:num>
  <w:num w:numId="28">
    <w:abstractNumId w:val="28"/>
  </w:num>
  <w:num w:numId="29">
    <w:abstractNumId w:val="28"/>
  </w:num>
  <w:num w:numId="30">
    <w:abstractNumId w:val="28"/>
  </w:num>
  <w:num w:numId="31">
    <w:abstractNumId w:val="21"/>
  </w:num>
  <w:num w:numId="32">
    <w:abstractNumId w:val="16"/>
  </w:num>
  <w:num w:numId="33">
    <w:abstractNumId w:val="2"/>
  </w:num>
  <w:num w:numId="34">
    <w:abstractNumId w:val="28"/>
  </w:num>
  <w:num w:numId="35">
    <w:abstractNumId w:val="3"/>
  </w:num>
  <w:num w:numId="36">
    <w:abstractNumId w:val="11"/>
  </w:num>
  <w:num w:numId="37">
    <w:abstractNumId w:val="11"/>
  </w:num>
  <w:num w:numId="38">
    <w:abstractNumId w:val="11"/>
  </w:num>
  <w:num w:numId="39">
    <w:abstractNumId w:val="5"/>
  </w:num>
  <w:num w:numId="40">
    <w:abstractNumId w:val="10"/>
  </w:num>
  <w:num w:numId="41">
    <w:abstractNumId w:val="0"/>
  </w:num>
  <w:num w:numId="42">
    <w:abstractNumId w:val="1"/>
  </w:num>
  <w:num w:numId="43">
    <w:abstractNumId w:val="7"/>
  </w:num>
  <w:num w:numId="44">
    <w:abstractNumId w:val="8"/>
  </w:num>
  <w:num w:numId="45">
    <w:abstractNumId w:val="17"/>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E5E4F560-1BA5-4DDC-9DFB-CFD0FE221F19"/>
    <w:docVar w:name="LW_COVERPAGE_TYPE" w:val="1"/>
    <w:docVar w:name="LW_CROSSREFERENCE" w:val="{SWD(2023) 288 final}"/>
    <w:docVar w:name="LW_DocType" w:val="NORMAL"/>
    <w:docVar w:name="LW_EMISSION" w:val="13.9.2023"/>
    <w:docVar w:name="LW_EMISSION_ISODATE" w:val="2023-09-13"/>
    <w:docVar w:name="LW_EMISSION_LOCATION" w:val="BRX"/>
    <w:docVar w:name="LW_EMISSION_PREFIX" w:val="V Bruselu dne "/>
    <w:docVar w:name="LW_EMISSION_SUFFIX" w:val=" "/>
    <w:docVar w:name="LW_ID_DOCTYPE_NONLW" w:val="CP-006"/>
    <w:docVar w:name="LW_LANGUE" w:val="CS"/>
    <w:docVar w:name="LW_LEVEL_OF_SENSITIVITY" w:val="Standard treatment"/>
    <w:docVar w:name="LW_NOM.INST" w:val="EVROPSKÁ KOMISE"/>
    <w:docVar w:name="LW_NOM.INST_JOINTDOC" w:val="&lt;EMPTY&gt;"/>
    <w:docVar w:name="LW_PART_NBR" w:val="1"/>
    <w:docVar w:name="LW_PART_NBR_TOTAL" w:val="1"/>
    <w:docVar w:name="LW_REF.INST.NEW" w:val="COM"/>
    <w:docVar w:name="LW_REF.INST.NEW_ADOPTED" w:val="final"/>
    <w:docVar w:name="LW_REF.INST.NEW_TEXT" w:val="(2023) 51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smá zpráva o sledování vývoje na železničním trhu podle čl. 15 odst. 4 směrnice Evropského parlamentu a Rady 2012/34/EU"/>
    <w:docVar w:name="LW_TYPE.DOC.CP" w:val="ZPRÁVA KOMISE EVROPSKÉMU PARLAMENTU A RADĚ"/>
    <w:docVar w:name="LwApiVersions" w:val="LW4CoDe 1.23.2.0; LW 8.0, Build 20211117"/>
  </w:docVars>
  <w:rsids>
    <w:rsidRoot w:val="009B3A58"/>
    <w:rsid w:val="000010FD"/>
    <w:rsid w:val="000056F5"/>
    <w:rsid w:val="00014F15"/>
    <w:rsid w:val="000168B4"/>
    <w:rsid w:val="0002022A"/>
    <w:rsid w:val="000208E4"/>
    <w:rsid w:val="00020CFE"/>
    <w:rsid w:val="000223C2"/>
    <w:rsid w:val="00022B3B"/>
    <w:rsid w:val="00037502"/>
    <w:rsid w:val="000421C6"/>
    <w:rsid w:val="000444E1"/>
    <w:rsid w:val="00050549"/>
    <w:rsid w:val="000512E9"/>
    <w:rsid w:val="00051968"/>
    <w:rsid w:val="00053297"/>
    <w:rsid w:val="000559C8"/>
    <w:rsid w:val="0006142C"/>
    <w:rsid w:val="00062017"/>
    <w:rsid w:val="000646E8"/>
    <w:rsid w:val="00071636"/>
    <w:rsid w:val="0007695B"/>
    <w:rsid w:val="00083037"/>
    <w:rsid w:val="000835AA"/>
    <w:rsid w:val="000849D8"/>
    <w:rsid w:val="0008545C"/>
    <w:rsid w:val="000879C1"/>
    <w:rsid w:val="00090044"/>
    <w:rsid w:val="00090057"/>
    <w:rsid w:val="00092492"/>
    <w:rsid w:val="00095EE4"/>
    <w:rsid w:val="000A29C6"/>
    <w:rsid w:val="000A4032"/>
    <w:rsid w:val="000A4A0F"/>
    <w:rsid w:val="000A5107"/>
    <w:rsid w:val="000B1B97"/>
    <w:rsid w:val="000B3032"/>
    <w:rsid w:val="000B578D"/>
    <w:rsid w:val="000B5C3D"/>
    <w:rsid w:val="000C06DA"/>
    <w:rsid w:val="000C0766"/>
    <w:rsid w:val="000C0D91"/>
    <w:rsid w:val="000C60A0"/>
    <w:rsid w:val="000D4357"/>
    <w:rsid w:val="000D66E2"/>
    <w:rsid w:val="000D6823"/>
    <w:rsid w:val="000D7AC5"/>
    <w:rsid w:val="000E1824"/>
    <w:rsid w:val="000E1F45"/>
    <w:rsid w:val="000E322B"/>
    <w:rsid w:val="000E6EAF"/>
    <w:rsid w:val="000F5AEB"/>
    <w:rsid w:val="000F727A"/>
    <w:rsid w:val="00101E96"/>
    <w:rsid w:val="001037EA"/>
    <w:rsid w:val="0010525B"/>
    <w:rsid w:val="00107297"/>
    <w:rsid w:val="001113BA"/>
    <w:rsid w:val="00112539"/>
    <w:rsid w:val="00113B09"/>
    <w:rsid w:val="00121974"/>
    <w:rsid w:val="001225A9"/>
    <w:rsid w:val="0012293C"/>
    <w:rsid w:val="001231F2"/>
    <w:rsid w:val="00123289"/>
    <w:rsid w:val="00132A8A"/>
    <w:rsid w:val="00136747"/>
    <w:rsid w:val="001424F5"/>
    <w:rsid w:val="00143C3C"/>
    <w:rsid w:val="001551FD"/>
    <w:rsid w:val="00155FA1"/>
    <w:rsid w:val="0015699E"/>
    <w:rsid w:val="00156F06"/>
    <w:rsid w:val="001578AA"/>
    <w:rsid w:val="00163E19"/>
    <w:rsid w:val="001658C0"/>
    <w:rsid w:val="00166D5D"/>
    <w:rsid w:val="001700D5"/>
    <w:rsid w:val="001701F2"/>
    <w:rsid w:val="00171245"/>
    <w:rsid w:val="001726ED"/>
    <w:rsid w:val="00174ACC"/>
    <w:rsid w:val="00176B14"/>
    <w:rsid w:val="00180812"/>
    <w:rsid w:val="001843EA"/>
    <w:rsid w:val="00184C22"/>
    <w:rsid w:val="00190ADE"/>
    <w:rsid w:val="00194774"/>
    <w:rsid w:val="001956AA"/>
    <w:rsid w:val="001967EC"/>
    <w:rsid w:val="001968A5"/>
    <w:rsid w:val="001A0760"/>
    <w:rsid w:val="001A2B3E"/>
    <w:rsid w:val="001A7116"/>
    <w:rsid w:val="001B0DA0"/>
    <w:rsid w:val="001B17C6"/>
    <w:rsid w:val="001B23DE"/>
    <w:rsid w:val="001B6247"/>
    <w:rsid w:val="001B7A20"/>
    <w:rsid w:val="001C029C"/>
    <w:rsid w:val="001D023A"/>
    <w:rsid w:val="001D0577"/>
    <w:rsid w:val="001E0539"/>
    <w:rsid w:val="001E2AC0"/>
    <w:rsid w:val="001E393C"/>
    <w:rsid w:val="001E646D"/>
    <w:rsid w:val="001F075D"/>
    <w:rsid w:val="001F24D7"/>
    <w:rsid w:val="001F2E4B"/>
    <w:rsid w:val="001F5182"/>
    <w:rsid w:val="001F57C1"/>
    <w:rsid w:val="001F5AD9"/>
    <w:rsid w:val="001F7A25"/>
    <w:rsid w:val="00202E46"/>
    <w:rsid w:val="00212D34"/>
    <w:rsid w:val="002141FA"/>
    <w:rsid w:val="0021613F"/>
    <w:rsid w:val="002162D7"/>
    <w:rsid w:val="002178DB"/>
    <w:rsid w:val="002243C3"/>
    <w:rsid w:val="002272C5"/>
    <w:rsid w:val="0023039C"/>
    <w:rsid w:val="00235448"/>
    <w:rsid w:val="00236506"/>
    <w:rsid w:val="00243525"/>
    <w:rsid w:val="00246469"/>
    <w:rsid w:val="00246FA0"/>
    <w:rsid w:val="002521C8"/>
    <w:rsid w:val="00253425"/>
    <w:rsid w:val="0026016B"/>
    <w:rsid w:val="00267B29"/>
    <w:rsid w:val="00273527"/>
    <w:rsid w:val="00273EFF"/>
    <w:rsid w:val="00274698"/>
    <w:rsid w:val="0027599A"/>
    <w:rsid w:val="00276DDD"/>
    <w:rsid w:val="00284DE7"/>
    <w:rsid w:val="00284E7B"/>
    <w:rsid w:val="00287C8A"/>
    <w:rsid w:val="0029209E"/>
    <w:rsid w:val="002956D9"/>
    <w:rsid w:val="00295C90"/>
    <w:rsid w:val="00297AC8"/>
    <w:rsid w:val="002A1EF6"/>
    <w:rsid w:val="002A6691"/>
    <w:rsid w:val="002B1BCA"/>
    <w:rsid w:val="002B24B1"/>
    <w:rsid w:val="002B3EB8"/>
    <w:rsid w:val="002B478E"/>
    <w:rsid w:val="002C2AE9"/>
    <w:rsid w:val="002C2CD1"/>
    <w:rsid w:val="002C667B"/>
    <w:rsid w:val="002D1EFF"/>
    <w:rsid w:val="002D48D6"/>
    <w:rsid w:val="002D781F"/>
    <w:rsid w:val="002E28C7"/>
    <w:rsid w:val="002E6A5A"/>
    <w:rsid w:val="002F0B60"/>
    <w:rsid w:val="002F4B7E"/>
    <w:rsid w:val="002F769B"/>
    <w:rsid w:val="002F7B28"/>
    <w:rsid w:val="0030046D"/>
    <w:rsid w:val="00300F12"/>
    <w:rsid w:val="003071C2"/>
    <w:rsid w:val="00315761"/>
    <w:rsid w:val="00320CAA"/>
    <w:rsid w:val="00321243"/>
    <w:rsid w:val="003225DE"/>
    <w:rsid w:val="00323AA3"/>
    <w:rsid w:val="0032452F"/>
    <w:rsid w:val="003255F4"/>
    <w:rsid w:val="003271BA"/>
    <w:rsid w:val="003325EE"/>
    <w:rsid w:val="00332B03"/>
    <w:rsid w:val="00333133"/>
    <w:rsid w:val="0033645A"/>
    <w:rsid w:val="00341B71"/>
    <w:rsid w:val="00346E0E"/>
    <w:rsid w:val="00350C1D"/>
    <w:rsid w:val="0035692B"/>
    <w:rsid w:val="00361A5C"/>
    <w:rsid w:val="00366F87"/>
    <w:rsid w:val="00375703"/>
    <w:rsid w:val="00381EA7"/>
    <w:rsid w:val="00381FC7"/>
    <w:rsid w:val="00386AA6"/>
    <w:rsid w:val="003915B4"/>
    <w:rsid w:val="00391A1D"/>
    <w:rsid w:val="00392D06"/>
    <w:rsid w:val="00394D0B"/>
    <w:rsid w:val="003A20B3"/>
    <w:rsid w:val="003A6365"/>
    <w:rsid w:val="003B51CD"/>
    <w:rsid w:val="003C0D80"/>
    <w:rsid w:val="003C1E40"/>
    <w:rsid w:val="003D1E40"/>
    <w:rsid w:val="003D2D67"/>
    <w:rsid w:val="003D39E8"/>
    <w:rsid w:val="003D48BB"/>
    <w:rsid w:val="003D6DF1"/>
    <w:rsid w:val="003E2366"/>
    <w:rsid w:val="003E53A7"/>
    <w:rsid w:val="003E664C"/>
    <w:rsid w:val="003E7460"/>
    <w:rsid w:val="003F0845"/>
    <w:rsid w:val="003F2CC0"/>
    <w:rsid w:val="003F4650"/>
    <w:rsid w:val="003F59F6"/>
    <w:rsid w:val="003F5CF1"/>
    <w:rsid w:val="003F713F"/>
    <w:rsid w:val="004034D0"/>
    <w:rsid w:val="00407D5C"/>
    <w:rsid w:val="0041033E"/>
    <w:rsid w:val="00410801"/>
    <w:rsid w:val="00413624"/>
    <w:rsid w:val="004140A1"/>
    <w:rsid w:val="00415191"/>
    <w:rsid w:val="00416FA4"/>
    <w:rsid w:val="004176EB"/>
    <w:rsid w:val="0042352B"/>
    <w:rsid w:val="00424C61"/>
    <w:rsid w:val="004255F2"/>
    <w:rsid w:val="004275C6"/>
    <w:rsid w:val="00435E7C"/>
    <w:rsid w:val="00436C97"/>
    <w:rsid w:val="00442689"/>
    <w:rsid w:val="00447D7E"/>
    <w:rsid w:val="00451606"/>
    <w:rsid w:val="00452132"/>
    <w:rsid w:val="004557D9"/>
    <w:rsid w:val="00461B30"/>
    <w:rsid w:val="004642D7"/>
    <w:rsid w:val="00471B84"/>
    <w:rsid w:val="00476DBD"/>
    <w:rsid w:val="00477598"/>
    <w:rsid w:val="00481E55"/>
    <w:rsid w:val="004842E4"/>
    <w:rsid w:val="004874AE"/>
    <w:rsid w:val="00491177"/>
    <w:rsid w:val="00492CD0"/>
    <w:rsid w:val="00495F1B"/>
    <w:rsid w:val="00497FB3"/>
    <w:rsid w:val="004A3AC4"/>
    <w:rsid w:val="004B1BE1"/>
    <w:rsid w:val="004B2C54"/>
    <w:rsid w:val="004B4535"/>
    <w:rsid w:val="004B51AD"/>
    <w:rsid w:val="004C073C"/>
    <w:rsid w:val="004C57E8"/>
    <w:rsid w:val="004C693E"/>
    <w:rsid w:val="004C70C9"/>
    <w:rsid w:val="004C7E3B"/>
    <w:rsid w:val="004D15FA"/>
    <w:rsid w:val="004D169A"/>
    <w:rsid w:val="004D2031"/>
    <w:rsid w:val="004D44DA"/>
    <w:rsid w:val="004D62D5"/>
    <w:rsid w:val="004D6757"/>
    <w:rsid w:val="004E28B7"/>
    <w:rsid w:val="004E3612"/>
    <w:rsid w:val="004F3EFA"/>
    <w:rsid w:val="004F63C3"/>
    <w:rsid w:val="005037B2"/>
    <w:rsid w:val="00505796"/>
    <w:rsid w:val="00507250"/>
    <w:rsid w:val="00507D0F"/>
    <w:rsid w:val="0051033E"/>
    <w:rsid w:val="00511288"/>
    <w:rsid w:val="0051499A"/>
    <w:rsid w:val="005152D4"/>
    <w:rsid w:val="00515A42"/>
    <w:rsid w:val="0052345F"/>
    <w:rsid w:val="005248A6"/>
    <w:rsid w:val="005258A9"/>
    <w:rsid w:val="005305BD"/>
    <w:rsid w:val="0053077F"/>
    <w:rsid w:val="00530F81"/>
    <w:rsid w:val="00531BC2"/>
    <w:rsid w:val="005354B3"/>
    <w:rsid w:val="0053621F"/>
    <w:rsid w:val="005373F2"/>
    <w:rsid w:val="00540034"/>
    <w:rsid w:val="00540629"/>
    <w:rsid w:val="00541ED7"/>
    <w:rsid w:val="005422D3"/>
    <w:rsid w:val="0054245F"/>
    <w:rsid w:val="00544C42"/>
    <w:rsid w:val="00547DE7"/>
    <w:rsid w:val="005523D6"/>
    <w:rsid w:val="00554EE9"/>
    <w:rsid w:val="0055773C"/>
    <w:rsid w:val="00557A42"/>
    <w:rsid w:val="0056327D"/>
    <w:rsid w:val="0056747E"/>
    <w:rsid w:val="005700A8"/>
    <w:rsid w:val="005714E0"/>
    <w:rsid w:val="00571573"/>
    <w:rsid w:val="005730D5"/>
    <w:rsid w:val="005732EC"/>
    <w:rsid w:val="005739DA"/>
    <w:rsid w:val="00574D08"/>
    <w:rsid w:val="00581010"/>
    <w:rsid w:val="0058125E"/>
    <w:rsid w:val="00583570"/>
    <w:rsid w:val="005839D6"/>
    <w:rsid w:val="00584C95"/>
    <w:rsid w:val="00594B30"/>
    <w:rsid w:val="005977C8"/>
    <w:rsid w:val="005A05DA"/>
    <w:rsid w:val="005A1486"/>
    <w:rsid w:val="005A2738"/>
    <w:rsid w:val="005A66CC"/>
    <w:rsid w:val="005A687A"/>
    <w:rsid w:val="005A775F"/>
    <w:rsid w:val="005B230B"/>
    <w:rsid w:val="005B3479"/>
    <w:rsid w:val="005B4798"/>
    <w:rsid w:val="005B490C"/>
    <w:rsid w:val="005B4E04"/>
    <w:rsid w:val="005C3323"/>
    <w:rsid w:val="005C361B"/>
    <w:rsid w:val="005C4896"/>
    <w:rsid w:val="005D3C04"/>
    <w:rsid w:val="005D4201"/>
    <w:rsid w:val="005D674F"/>
    <w:rsid w:val="005D78A1"/>
    <w:rsid w:val="005E0B6C"/>
    <w:rsid w:val="005E1141"/>
    <w:rsid w:val="005E2CBA"/>
    <w:rsid w:val="005E53E3"/>
    <w:rsid w:val="005E59FD"/>
    <w:rsid w:val="005E6F04"/>
    <w:rsid w:val="005F05AD"/>
    <w:rsid w:val="005F0FDB"/>
    <w:rsid w:val="005F1501"/>
    <w:rsid w:val="005F1EFC"/>
    <w:rsid w:val="005F578C"/>
    <w:rsid w:val="005F70A0"/>
    <w:rsid w:val="00601AC0"/>
    <w:rsid w:val="00601C7E"/>
    <w:rsid w:val="00602921"/>
    <w:rsid w:val="0060585E"/>
    <w:rsid w:val="00605AA8"/>
    <w:rsid w:val="00606246"/>
    <w:rsid w:val="006069F5"/>
    <w:rsid w:val="006154BA"/>
    <w:rsid w:val="0062219A"/>
    <w:rsid w:val="006223A7"/>
    <w:rsid w:val="006255CF"/>
    <w:rsid w:val="006264C9"/>
    <w:rsid w:val="00632013"/>
    <w:rsid w:val="0063213D"/>
    <w:rsid w:val="00637734"/>
    <w:rsid w:val="00637A08"/>
    <w:rsid w:val="00641067"/>
    <w:rsid w:val="00642552"/>
    <w:rsid w:val="0064364A"/>
    <w:rsid w:val="0064439B"/>
    <w:rsid w:val="00644D56"/>
    <w:rsid w:val="00646F45"/>
    <w:rsid w:val="0064711A"/>
    <w:rsid w:val="00651565"/>
    <w:rsid w:val="00651BDF"/>
    <w:rsid w:val="006520B6"/>
    <w:rsid w:val="006520C7"/>
    <w:rsid w:val="00654A44"/>
    <w:rsid w:val="00654DC8"/>
    <w:rsid w:val="006556FC"/>
    <w:rsid w:val="006577C1"/>
    <w:rsid w:val="00672A32"/>
    <w:rsid w:val="00675B10"/>
    <w:rsid w:val="00676E7B"/>
    <w:rsid w:val="0067741E"/>
    <w:rsid w:val="00680291"/>
    <w:rsid w:val="006843FC"/>
    <w:rsid w:val="006909A3"/>
    <w:rsid w:val="00691526"/>
    <w:rsid w:val="00691E47"/>
    <w:rsid w:val="00692155"/>
    <w:rsid w:val="00697F85"/>
    <w:rsid w:val="006A6314"/>
    <w:rsid w:val="006A69B7"/>
    <w:rsid w:val="006B0E18"/>
    <w:rsid w:val="006B0FB8"/>
    <w:rsid w:val="006B1C19"/>
    <w:rsid w:val="006B1DF6"/>
    <w:rsid w:val="006B1ED7"/>
    <w:rsid w:val="006B5203"/>
    <w:rsid w:val="006B663D"/>
    <w:rsid w:val="006C311A"/>
    <w:rsid w:val="006C69D5"/>
    <w:rsid w:val="006D35D9"/>
    <w:rsid w:val="006D42AB"/>
    <w:rsid w:val="006D72F8"/>
    <w:rsid w:val="006E0048"/>
    <w:rsid w:val="006E0F38"/>
    <w:rsid w:val="006E183B"/>
    <w:rsid w:val="006F55BF"/>
    <w:rsid w:val="006F7D6C"/>
    <w:rsid w:val="0070527D"/>
    <w:rsid w:val="0070553B"/>
    <w:rsid w:val="00715CF2"/>
    <w:rsid w:val="00716FF8"/>
    <w:rsid w:val="00720473"/>
    <w:rsid w:val="0072325F"/>
    <w:rsid w:val="007268F5"/>
    <w:rsid w:val="00730B61"/>
    <w:rsid w:val="00733454"/>
    <w:rsid w:val="00737588"/>
    <w:rsid w:val="007427EA"/>
    <w:rsid w:val="007448F4"/>
    <w:rsid w:val="00744D6B"/>
    <w:rsid w:val="00745C79"/>
    <w:rsid w:val="00755E86"/>
    <w:rsid w:val="0075610E"/>
    <w:rsid w:val="00756B83"/>
    <w:rsid w:val="00757A4B"/>
    <w:rsid w:val="00761437"/>
    <w:rsid w:val="00761AC1"/>
    <w:rsid w:val="00761B01"/>
    <w:rsid w:val="00761FD2"/>
    <w:rsid w:val="007658A8"/>
    <w:rsid w:val="00766593"/>
    <w:rsid w:val="00766820"/>
    <w:rsid w:val="00770E98"/>
    <w:rsid w:val="007710F3"/>
    <w:rsid w:val="0077225D"/>
    <w:rsid w:val="00772A74"/>
    <w:rsid w:val="00775175"/>
    <w:rsid w:val="00775B48"/>
    <w:rsid w:val="00777D4C"/>
    <w:rsid w:val="00781D80"/>
    <w:rsid w:val="007842D4"/>
    <w:rsid w:val="007847DC"/>
    <w:rsid w:val="00784B37"/>
    <w:rsid w:val="007940B0"/>
    <w:rsid w:val="0079452F"/>
    <w:rsid w:val="0079666A"/>
    <w:rsid w:val="007A23F0"/>
    <w:rsid w:val="007A52E6"/>
    <w:rsid w:val="007A5968"/>
    <w:rsid w:val="007B2CBB"/>
    <w:rsid w:val="007B7B08"/>
    <w:rsid w:val="007B7C0F"/>
    <w:rsid w:val="007C470D"/>
    <w:rsid w:val="007C5D4D"/>
    <w:rsid w:val="007D3268"/>
    <w:rsid w:val="007E16FA"/>
    <w:rsid w:val="007E2391"/>
    <w:rsid w:val="007E29DD"/>
    <w:rsid w:val="007E2E97"/>
    <w:rsid w:val="007E2F51"/>
    <w:rsid w:val="007E5232"/>
    <w:rsid w:val="007E67E0"/>
    <w:rsid w:val="007F026C"/>
    <w:rsid w:val="007F10A9"/>
    <w:rsid w:val="007F1A32"/>
    <w:rsid w:val="007F4AE5"/>
    <w:rsid w:val="007F4E9F"/>
    <w:rsid w:val="007F6E82"/>
    <w:rsid w:val="008006E4"/>
    <w:rsid w:val="008018D9"/>
    <w:rsid w:val="008063AF"/>
    <w:rsid w:val="00806E14"/>
    <w:rsid w:val="008072EC"/>
    <w:rsid w:val="00820578"/>
    <w:rsid w:val="0082443A"/>
    <w:rsid w:val="008265E8"/>
    <w:rsid w:val="00827801"/>
    <w:rsid w:val="00827E6F"/>
    <w:rsid w:val="00831FA1"/>
    <w:rsid w:val="008340BE"/>
    <w:rsid w:val="008432D0"/>
    <w:rsid w:val="00843C0D"/>
    <w:rsid w:val="00844BD3"/>
    <w:rsid w:val="00844CC2"/>
    <w:rsid w:val="00846EB9"/>
    <w:rsid w:val="0084798D"/>
    <w:rsid w:val="00852D1C"/>
    <w:rsid w:val="00854649"/>
    <w:rsid w:val="00857381"/>
    <w:rsid w:val="008601BF"/>
    <w:rsid w:val="00860D5B"/>
    <w:rsid w:val="008629C0"/>
    <w:rsid w:val="00863509"/>
    <w:rsid w:val="00866FD0"/>
    <w:rsid w:val="008679B5"/>
    <w:rsid w:val="00871280"/>
    <w:rsid w:val="00873F57"/>
    <w:rsid w:val="0088082D"/>
    <w:rsid w:val="0088091A"/>
    <w:rsid w:val="008826B4"/>
    <w:rsid w:val="008856AD"/>
    <w:rsid w:val="008A00FE"/>
    <w:rsid w:val="008A581E"/>
    <w:rsid w:val="008B391A"/>
    <w:rsid w:val="008B3E9D"/>
    <w:rsid w:val="008B6D29"/>
    <w:rsid w:val="008B6E5F"/>
    <w:rsid w:val="008C1ED5"/>
    <w:rsid w:val="008C4158"/>
    <w:rsid w:val="008C6AFE"/>
    <w:rsid w:val="008C7A49"/>
    <w:rsid w:val="008D043C"/>
    <w:rsid w:val="008D370B"/>
    <w:rsid w:val="008D3DE7"/>
    <w:rsid w:val="008D5177"/>
    <w:rsid w:val="008D6E5D"/>
    <w:rsid w:val="008E1732"/>
    <w:rsid w:val="008E1D55"/>
    <w:rsid w:val="008F0C75"/>
    <w:rsid w:val="009005ED"/>
    <w:rsid w:val="0090215B"/>
    <w:rsid w:val="0090254F"/>
    <w:rsid w:val="00902A13"/>
    <w:rsid w:val="009031D6"/>
    <w:rsid w:val="009062AC"/>
    <w:rsid w:val="00907060"/>
    <w:rsid w:val="00912ACB"/>
    <w:rsid w:val="0092116B"/>
    <w:rsid w:val="009247C9"/>
    <w:rsid w:val="009266EB"/>
    <w:rsid w:val="00930D87"/>
    <w:rsid w:val="00931901"/>
    <w:rsid w:val="009333BB"/>
    <w:rsid w:val="00934416"/>
    <w:rsid w:val="00941FF6"/>
    <w:rsid w:val="0094290A"/>
    <w:rsid w:val="00942E05"/>
    <w:rsid w:val="00943C43"/>
    <w:rsid w:val="00944D01"/>
    <w:rsid w:val="00946699"/>
    <w:rsid w:val="00951791"/>
    <w:rsid w:val="009524AD"/>
    <w:rsid w:val="009528A5"/>
    <w:rsid w:val="00953363"/>
    <w:rsid w:val="00954AD4"/>
    <w:rsid w:val="00962B61"/>
    <w:rsid w:val="00964344"/>
    <w:rsid w:val="009671CA"/>
    <w:rsid w:val="009674C8"/>
    <w:rsid w:val="00977820"/>
    <w:rsid w:val="00977881"/>
    <w:rsid w:val="00977A91"/>
    <w:rsid w:val="00984422"/>
    <w:rsid w:val="00984E52"/>
    <w:rsid w:val="0098562D"/>
    <w:rsid w:val="0098763A"/>
    <w:rsid w:val="009905C0"/>
    <w:rsid w:val="009928A2"/>
    <w:rsid w:val="009946E5"/>
    <w:rsid w:val="009A14D7"/>
    <w:rsid w:val="009A1CCE"/>
    <w:rsid w:val="009A44E9"/>
    <w:rsid w:val="009B0045"/>
    <w:rsid w:val="009B298C"/>
    <w:rsid w:val="009B3915"/>
    <w:rsid w:val="009B3A58"/>
    <w:rsid w:val="009B662A"/>
    <w:rsid w:val="009B68AE"/>
    <w:rsid w:val="009C74E6"/>
    <w:rsid w:val="009D127B"/>
    <w:rsid w:val="009D268C"/>
    <w:rsid w:val="009D41A0"/>
    <w:rsid w:val="009D5C28"/>
    <w:rsid w:val="009E08FA"/>
    <w:rsid w:val="009E24A8"/>
    <w:rsid w:val="009E2D84"/>
    <w:rsid w:val="009E3A1D"/>
    <w:rsid w:val="009E7AD3"/>
    <w:rsid w:val="009F0C10"/>
    <w:rsid w:val="009F4293"/>
    <w:rsid w:val="009F5709"/>
    <w:rsid w:val="009F7F2F"/>
    <w:rsid w:val="00A0039B"/>
    <w:rsid w:val="00A017DD"/>
    <w:rsid w:val="00A01931"/>
    <w:rsid w:val="00A037E2"/>
    <w:rsid w:val="00A06518"/>
    <w:rsid w:val="00A10FC0"/>
    <w:rsid w:val="00A12279"/>
    <w:rsid w:val="00A1342E"/>
    <w:rsid w:val="00A168D8"/>
    <w:rsid w:val="00A21C7C"/>
    <w:rsid w:val="00A223F7"/>
    <w:rsid w:val="00A22733"/>
    <w:rsid w:val="00A266D0"/>
    <w:rsid w:val="00A33387"/>
    <w:rsid w:val="00A367FE"/>
    <w:rsid w:val="00A36A8E"/>
    <w:rsid w:val="00A37EEB"/>
    <w:rsid w:val="00A43349"/>
    <w:rsid w:val="00A43CA3"/>
    <w:rsid w:val="00A54485"/>
    <w:rsid w:val="00A558F2"/>
    <w:rsid w:val="00A631D2"/>
    <w:rsid w:val="00A70858"/>
    <w:rsid w:val="00A724AD"/>
    <w:rsid w:val="00A72B6C"/>
    <w:rsid w:val="00A75907"/>
    <w:rsid w:val="00A76A3C"/>
    <w:rsid w:val="00A83891"/>
    <w:rsid w:val="00A868D1"/>
    <w:rsid w:val="00A872CB"/>
    <w:rsid w:val="00A9250D"/>
    <w:rsid w:val="00A92D4C"/>
    <w:rsid w:val="00A92F86"/>
    <w:rsid w:val="00A968F3"/>
    <w:rsid w:val="00A96EB7"/>
    <w:rsid w:val="00A97353"/>
    <w:rsid w:val="00A97747"/>
    <w:rsid w:val="00AA1680"/>
    <w:rsid w:val="00AA47CA"/>
    <w:rsid w:val="00AA50D2"/>
    <w:rsid w:val="00AA5C63"/>
    <w:rsid w:val="00AA7B66"/>
    <w:rsid w:val="00AB2BE7"/>
    <w:rsid w:val="00AB4C7D"/>
    <w:rsid w:val="00AB5892"/>
    <w:rsid w:val="00AC1514"/>
    <w:rsid w:val="00AC2A8C"/>
    <w:rsid w:val="00AC428B"/>
    <w:rsid w:val="00AC4FA7"/>
    <w:rsid w:val="00AC64C5"/>
    <w:rsid w:val="00AD4F16"/>
    <w:rsid w:val="00AE03AA"/>
    <w:rsid w:val="00AE3464"/>
    <w:rsid w:val="00AE6D47"/>
    <w:rsid w:val="00AF00C7"/>
    <w:rsid w:val="00AF0259"/>
    <w:rsid w:val="00AF0BF0"/>
    <w:rsid w:val="00AF689D"/>
    <w:rsid w:val="00AF68C8"/>
    <w:rsid w:val="00B022E9"/>
    <w:rsid w:val="00B03E00"/>
    <w:rsid w:val="00B04FD3"/>
    <w:rsid w:val="00B0648C"/>
    <w:rsid w:val="00B11683"/>
    <w:rsid w:val="00B13600"/>
    <w:rsid w:val="00B23410"/>
    <w:rsid w:val="00B236D1"/>
    <w:rsid w:val="00B2472D"/>
    <w:rsid w:val="00B25212"/>
    <w:rsid w:val="00B25662"/>
    <w:rsid w:val="00B35390"/>
    <w:rsid w:val="00B3542B"/>
    <w:rsid w:val="00B35A33"/>
    <w:rsid w:val="00B378BD"/>
    <w:rsid w:val="00B40489"/>
    <w:rsid w:val="00B460D0"/>
    <w:rsid w:val="00B463B7"/>
    <w:rsid w:val="00B47760"/>
    <w:rsid w:val="00B52152"/>
    <w:rsid w:val="00B55600"/>
    <w:rsid w:val="00B55E0B"/>
    <w:rsid w:val="00B610A9"/>
    <w:rsid w:val="00B61E72"/>
    <w:rsid w:val="00B657F3"/>
    <w:rsid w:val="00B66645"/>
    <w:rsid w:val="00B67431"/>
    <w:rsid w:val="00B6785B"/>
    <w:rsid w:val="00B70D10"/>
    <w:rsid w:val="00B71C15"/>
    <w:rsid w:val="00B721BA"/>
    <w:rsid w:val="00B73C58"/>
    <w:rsid w:val="00B765F6"/>
    <w:rsid w:val="00B82288"/>
    <w:rsid w:val="00B923C2"/>
    <w:rsid w:val="00B94351"/>
    <w:rsid w:val="00B94D93"/>
    <w:rsid w:val="00BA11D0"/>
    <w:rsid w:val="00BA3702"/>
    <w:rsid w:val="00BA40EE"/>
    <w:rsid w:val="00BA4306"/>
    <w:rsid w:val="00BA4B8C"/>
    <w:rsid w:val="00BA5AA4"/>
    <w:rsid w:val="00BA687F"/>
    <w:rsid w:val="00BA7C0D"/>
    <w:rsid w:val="00BB3662"/>
    <w:rsid w:val="00BB4AB0"/>
    <w:rsid w:val="00BB5B82"/>
    <w:rsid w:val="00BC0763"/>
    <w:rsid w:val="00BC3D4E"/>
    <w:rsid w:val="00BC4E3E"/>
    <w:rsid w:val="00BC589A"/>
    <w:rsid w:val="00BD0151"/>
    <w:rsid w:val="00BD07DA"/>
    <w:rsid w:val="00BD167B"/>
    <w:rsid w:val="00BD36E4"/>
    <w:rsid w:val="00BD416E"/>
    <w:rsid w:val="00BE021E"/>
    <w:rsid w:val="00BE49A0"/>
    <w:rsid w:val="00BF2A80"/>
    <w:rsid w:val="00BF31D5"/>
    <w:rsid w:val="00BF3785"/>
    <w:rsid w:val="00BF68BF"/>
    <w:rsid w:val="00C02010"/>
    <w:rsid w:val="00C036BB"/>
    <w:rsid w:val="00C04B8E"/>
    <w:rsid w:val="00C10156"/>
    <w:rsid w:val="00C10D9E"/>
    <w:rsid w:val="00C1638A"/>
    <w:rsid w:val="00C1645C"/>
    <w:rsid w:val="00C16E4E"/>
    <w:rsid w:val="00C2483B"/>
    <w:rsid w:val="00C253EB"/>
    <w:rsid w:val="00C3045F"/>
    <w:rsid w:val="00C32E5D"/>
    <w:rsid w:val="00C337D5"/>
    <w:rsid w:val="00C378EF"/>
    <w:rsid w:val="00C442AD"/>
    <w:rsid w:val="00C467E0"/>
    <w:rsid w:val="00C469E3"/>
    <w:rsid w:val="00C552AC"/>
    <w:rsid w:val="00C57E54"/>
    <w:rsid w:val="00C6009E"/>
    <w:rsid w:val="00C64B3C"/>
    <w:rsid w:val="00C714CD"/>
    <w:rsid w:val="00C72547"/>
    <w:rsid w:val="00C73C6A"/>
    <w:rsid w:val="00C74C3B"/>
    <w:rsid w:val="00C757F2"/>
    <w:rsid w:val="00C7584E"/>
    <w:rsid w:val="00C775A8"/>
    <w:rsid w:val="00C8107A"/>
    <w:rsid w:val="00C85540"/>
    <w:rsid w:val="00C86464"/>
    <w:rsid w:val="00C90364"/>
    <w:rsid w:val="00C924CB"/>
    <w:rsid w:val="00C96BB1"/>
    <w:rsid w:val="00CB025D"/>
    <w:rsid w:val="00CB12D9"/>
    <w:rsid w:val="00CB321A"/>
    <w:rsid w:val="00CB3B21"/>
    <w:rsid w:val="00CB53BA"/>
    <w:rsid w:val="00CB57F5"/>
    <w:rsid w:val="00CB6B89"/>
    <w:rsid w:val="00CB7308"/>
    <w:rsid w:val="00CC4059"/>
    <w:rsid w:val="00CC627E"/>
    <w:rsid w:val="00CD0229"/>
    <w:rsid w:val="00CD799D"/>
    <w:rsid w:val="00CE146D"/>
    <w:rsid w:val="00CE3372"/>
    <w:rsid w:val="00CE3C55"/>
    <w:rsid w:val="00CE4A5A"/>
    <w:rsid w:val="00CE57CD"/>
    <w:rsid w:val="00CE6654"/>
    <w:rsid w:val="00CF0CAD"/>
    <w:rsid w:val="00CF22B0"/>
    <w:rsid w:val="00CF5201"/>
    <w:rsid w:val="00CF6A16"/>
    <w:rsid w:val="00D01880"/>
    <w:rsid w:val="00D03AC8"/>
    <w:rsid w:val="00D04CF7"/>
    <w:rsid w:val="00D05946"/>
    <w:rsid w:val="00D165A1"/>
    <w:rsid w:val="00D21359"/>
    <w:rsid w:val="00D2311A"/>
    <w:rsid w:val="00D27869"/>
    <w:rsid w:val="00D321D5"/>
    <w:rsid w:val="00D33E0B"/>
    <w:rsid w:val="00D35C7F"/>
    <w:rsid w:val="00D35F96"/>
    <w:rsid w:val="00D37CD4"/>
    <w:rsid w:val="00D40A19"/>
    <w:rsid w:val="00D42303"/>
    <w:rsid w:val="00D42575"/>
    <w:rsid w:val="00D46694"/>
    <w:rsid w:val="00D52084"/>
    <w:rsid w:val="00D5241F"/>
    <w:rsid w:val="00D52523"/>
    <w:rsid w:val="00D52BEE"/>
    <w:rsid w:val="00D60599"/>
    <w:rsid w:val="00D6086B"/>
    <w:rsid w:val="00D615CA"/>
    <w:rsid w:val="00D648AD"/>
    <w:rsid w:val="00D65D43"/>
    <w:rsid w:val="00D6607B"/>
    <w:rsid w:val="00D70C9F"/>
    <w:rsid w:val="00D70CCF"/>
    <w:rsid w:val="00D72331"/>
    <w:rsid w:val="00D73449"/>
    <w:rsid w:val="00D74FAC"/>
    <w:rsid w:val="00D75D27"/>
    <w:rsid w:val="00D80503"/>
    <w:rsid w:val="00D808EE"/>
    <w:rsid w:val="00D80EA5"/>
    <w:rsid w:val="00D8386C"/>
    <w:rsid w:val="00D85386"/>
    <w:rsid w:val="00D87C8E"/>
    <w:rsid w:val="00D92099"/>
    <w:rsid w:val="00D9248A"/>
    <w:rsid w:val="00D94073"/>
    <w:rsid w:val="00D97357"/>
    <w:rsid w:val="00DB0022"/>
    <w:rsid w:val="00DB0E1E"/>
    <w:rsid w:val="00DB1E5F"/>
    <w:rsid w:val="00DB2872"/>
    <w:rsid w:val="00DB5FCC"/>
    <w:rsid w:val="00DC0269"/>
    <w:rsid w:val="00DC0A26"/>
    <w:rsid w:val="00DC199B"/>
    <w:rsid w:val="00DC2061"/>
    <w:rsid w:val="00DC654B"/>
    <w:rsid w:val="00DD0A3D"/>
    <w:rsid w:val="00DD0BD3"/>
    <w:rsid w:val="00DD1668"/>
    <w:rsid w:val="00DD3C18"/>
    <w:rsid w:val="00DE1B47"/>
    <w:rsid w:val="00DE3512"/>
    <w:rsid w:val="00DE3DF8"/>
    <w:rsid w:val="00DE68B0"/>
    <w:rsid w:val="00DE7CBA"/>
    <w:rsid w:val="00DF02AC"/>
    <w:rsid w:val="00DF1ACE"/>
    <w:rsid w:val="00DF20CC"/>
    <w:rsid w:val="00DF3D65"/>
    <w:rsid w:val="00DF5D82"/>
    <w:rsid w:val="00DF659A"/>
    <w:rsid w:val="00DF7E81"/>
    <w:rsid w:val="00E00215"/>
    <w:rsid w:val="00E0534C"/>
    <w:rsid w:val="00E10381"/>
    <w:rsid w:val="00E10801"/>
    <w:rsid w:val="00E11275"/>
    <w:rsid w:val="00E24964"/>
    <w:rsid w:val="00E24AE0"/>
    <w:rsid w:val="00E25B8A"/>
    <w:rsid w:val="00E27F61"/>
    <w:rsid w:val="00E31078"/>
    <w:rsid w:val="00E352B2"/>
    <w:rsid w:val="00E36F34"/>
    <w:rsid w:val="00E40D15"/>
    <w:rsid w:val="00E42B27"/>
    <w:rsid w:val="00E471B8"/>
    <w:rsid w:val="00E51FBC"/>
    <w:rsid w:val="00E554AB"/>
    <w:rsid w:val="00E57BDC"/>
    <w:rsid w:val="00E60216"/>
    <w:rsid w:val="00E61151"/>
    <w:rsid w:val="00E6224A"/>
    <w:rsid w:val="00E6302F"/>
    <w:rsid w:val="00E639E0"/>
    <w:rsid w:val="00E71E08"/>
    <w:rsid w:val="00E72A60"/>
    <w:rsid w:val="00E837DC"/>
    <w:rsid w:val="00E864A1"/>
    <w:rsid w:val="00E9404B"/>
    <w:rsid w:val="00E965A9"/>
    <w:rsid w:val="00E96F20"/>
    <w:rsid w:val="00EA1D8F"/>
    <w:rsid w:val="00EA2CE1"/>
    <w:rsid w:val="00EA2F15"/>
    <w:rsid w:val="00EA642E"/>
    <w:rsid w:val="00EB2A6C"/>
    <w:rsid w:val="00EB4216"/>
    <w:rsid w:val="00ED52CD"/>
    <w:rsid w:val="00ED57D8"/>
    <w:rsid w:val="00ED5C48"/>
    <w:rsid w:val="00ED694B"/>
    <w:rsid w:val="00EE029E"/>
    <w:rsid w:val="00EE16C3"/>
    <w:rsid w:val="00EE2A41"/>
    <w:rsid w:val="00EE2B6F"/>
    <w:rsid w:val="00EE4663"/>
    <w:rsid w:val="00EE4F35"/>
    <w:rsid w:val="00EE526F"/>
    <w:rsid w:val="00EE649E"/>
    <w:rsid w:val="00EF1101"/>
    <w:rsid w:val="00EF20B0"/>
    <w:rsid w:val="00F00438"/>
    <w:rsid w:val="00F013F3"/>
    <w:rsid w:val="00F03DFD"/>
    <w:rsid w:val="00F04ECA"/>
    <w:rsid w:val="00F06899"/>
    <w:rsid w:val="00F06DC3"/>
    <w:rsid w:val="00F06F2D"/>
    <w:rsid w:val="00F07BBC"/>
    <w:rsid w:val="00F20EAB"/>
    <w:rsid w:val="00F2193A"/>
    <w:rsid w:val="00F21A56"/>
    <w:rsid w:val="00F25E8D"/>
    <w:rsid w:val="00F30531"/>
    <w:rsid w:val="00F33004"/>
    <w:rsid w:val="00F33CBD"/>
    <w:rsid w:val="00F36358"/>
    <w:rsid w:val="00F42226"/>
    <w:rsid w:val="00F42A0C"/>
    <w:rsid w:val="00F43B55"/>
    <w:rsid w:val="00F4541F"/>
    <w:rsid w:val="00F462D1"/>
    <w:rsid w:val="00F46EA8"/>
    <w:rsid w:val="00F53DD4"/>
    <w:rsid w:val="00F5498A"/>
    <w:rsid w:val="00F562B8"/>
    <w:rsid w:val="00F56518"/>
    <w:rsid w:val="00F5761E"/>
    <w:rsid w:val="00F57D9C"/>
    <w:rsid w:val="00F60E53"/>
    <w:rsid w:val="00F6521B"/>
    <w:rsid w:val="00F65B86"/>
    <w:rsid w:val="00F66CC7"/>
    <w:rsid w:val="00F71666"/>
    <w:rsid w:val="00F71AA2"/>
    <w:rsid w:val="00F745B5"/>
    <w:rsid w:val="00F76310"/>
    <w:rsid w:val="00F85B61"/>
    <w:rsid w:val="00F8774A"/>
    <w:rsid w:val="00F90C64"/>
    <w:rsid w:val="00F914C4"/>
    <w:rsid w:val="00F969C0"/>
    <w:rsid w:val="00FA1133"/>
    <w:rsid w:val="00FA36A8"/>
    <w:rsid w:val="00FA6962"/>
    <w:rsid w:val="00FB0A79"/>
    <w:rsid w:val="00FB59A8"/>
    <w:rsid w:val="00FB5B32"/>
    <w:rsid w:val="00FB5F0C"/>
    <w:rsid w:val="00FB7A9C"/>
    <w:rsid w:val="00FC36F9"/>
    <w:rsid w:val="00FC4968"/>
    <w:rsid w:val="00FE5396"/>
    <w:rsid w:val="00FE6499"/>
    <w:rsid w:val="00FF4720"/>
    <w:rsid w:val="01898F25"/>
    <w:rsid w:val="07F8EDF8"/>
    <w:rsid w:val="0C9B5818"/>
    <w:rsid w:val="0E7883B6"/>
    <w:rsid w:val="0F1330E0"/>
    <w:rsid w:val="0FEE7896"/>
    <w:rsid w:val="1056A5B8"/>
    <w:rsid w:val="107B35C5"/>
    <w:rsid w:val="10F0B08E"/>
    <w:rsid w:val="1154A651"/>
    <w:rsid w:val="131564DE"/>
    <w:rsid w:val="1336682E"/>
    <w:rsid w:val="15BA4074"/>
    <w:rsid w:val="183D9722"/>
    <w:rsid w:val="1A101581"/>
    <w:rsid w:val="1A9E1EED"/>
    <w:rsid w:val="1AEB1CFF"/>
    <w:rsid w:val="1B2E0450"/>
    <w:rsid w:val="1CAC4C99"/>
    <w:rsid w:val="20F5EA50"/>
    <w:rsid w:val="224F766F"/>
    <w:rsid w:val="23E1E3DA"/>
    <w:rsid w:val="2545159A"/>
    <w:rsid w:val="25C67A47"/>
    <w:rsid w:val="26A3F246"/>
    <w:rsid w:val="26C59C0D"/>
    <w:rsid w:val="2722E792"/>
    <w:rsid w:val="288E6148"/>
    <w:rsid w:val="2A607CA1"/>
    <w:rsid w:val="2B146811"/>
    <w:rsid w:val="2B9B9D54"/>
    <w:rsid w:val="2D8F668F"/>
    <w:rsid w:val="2E637758"/>
    <w:rsid w:val="317B0EEC"/>
    <w:rsid w:val="34C66379"/>
    <w:rsid w:val="34F9FEBB"/>
    <w:rsid w:val="35A52881"/>
    <w:rsid w:val="35C62642"/>
    <w:rsid w:val="3669959D"/>
    <w:rsid w:val="36D18FF4"/>
    <w:rsid w:val="378C163E"/>
    <w:rsid w:val="39441327"/>
    <w:rsid w:val="39CBAD7F"/>
    <w:rsid w:val="3B7CF0E9"/>
    <w:rsid w:val="3C33AD78"/>
    <w:rsid w:val="3F87EA85"/>
    <w:rsid w:val="42C80A19"/>
    <w:rsid w:val="4396EA9F"/>
    <w:rsid w:val="439E1DBF"/>
    <w:rsid w:val="44224FE1"/>
    <w:rsid w:val="4445B6A3"/>
    <w:rsid w:val="449F23A7"/>
    <w:rsid w:val="4532BB00"/>
    <w:rsid w:val="46410709"/>
    <w:rsid w:val="46719960"/>
    <w:rsid w:val="46A6CCC0"/>
    <w:rsid w:val="512BAD63"/>
    <w:rsid w:val="51713B2F"/>
    <w:rsid w:val="51E8AAB4"/>
    <w:rsid w:val="53696716"/>
    <w:rsid w:val="54634E25"/>
    <w:rsid w:val="5550CC50"/>
    <w:rsid w:val="55E0B1B3"/>
    <w:rsid w:val="577C8214"/>
    <w:rsid w:val="579E0955"/>
    <w:rsid w:val="5B361D8D"/>
    <w:rsid w:val="5C356B0F"/>
    <w:rsid w:val="5E4E7238"/>
    <w:rsid w:val="5EB6E9BF"/>
    <w:rsid w:val="605BC992"/>
    <w:rsid w:val="60CC0020"/>
    <w:rsid w:val="64815F75"/>
    <w:rsid w:val="64CFDD48"/>
    <w:rsid w:val="6A0CE213"/>
    <w:rsid w:val="6B87591E"/>
    <w:rsid w:val="6BEC68D6"/>
    <w:rsid w:val="6D23297F"/>
    <w:rsid w:val="6E28EB71"/>
    <w:rsid w:val="6E65A378"/>
    <w:rsid w:val="6F63E020"/>
    <w:rsid w:val="6F9E77FA"/>
    <w:rsid w:val="6FBE9226"/>
    <w:rsid w:val="700B5711"/>
    <w:rsid w:val="708BE82A"/>
    <w:rsid w:val="71C77443"/>
    <w:rsid w:val="71F3A645"/>
    <w:rsid w:val="729B80E2"/>
    <w:rsid w:val="738F76A6"/>
    <w:rsid w:val="73DDA287"/>
    <w:rsid w:val="740B4FB3"/>
    <w:rsid w:val="76CD0BB5"/>
    <w:rsid w:val="77906182"/>
    <w:rsid w:val="78B03DE7"/>
    <w:rsid w:val="78B84B13"/>
    <w:rsid w:val="792C31E3"/>
    <w:rsid w:val="79FBF5A3"/>
    <w:rsid w:val="7B9A55BA"/>
    <w:rsid w:val="7BDA21AA"/>
    <w:rsid w:val="7FEDBE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7511E3"/>
  <w15:docId w15:val="{CFF70301-1344-4317-891B-51F89033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after="240" w:line="240" w:lineRule="auto"/>
      <w:jc w:val="both"/>
      <w:textAlignment w:val="baseline"/>
    </w:pPr>
    <w:rPr>
      <w:rFonts w:ascii="Times New Roman" w:eastAsia="Times New Roman" w:hAnsi="Times New Roman" w:cs="Times New Roman"/>
      <w:sz w:val="24"/>
    </w:rPr>
  </w:style>
  <w:style w:type="paragraph" w:styleId="Heading1">
    <w:name w:val="heading 1"/>
    <w:basedOn w:val="Normal"/>
    <w:next w:val="Normal"/>
    <w:link w:val="Heading1Char"/>
    <w:qFormat/>
    <w:pPr>
      <w:keepNext/>
      <w:numPr>
        <w:numId w:val="8"/>
      </w:numPr>
      <w:spacing w:before="240"/>
      <w:outlineLvl w:val="0"/>
    </w:pPr>
    <w:rPr>
      <w:b/>
      <w:smallCaps/>
    </w:rPr>
  </w:style>
  <w:style w:type="paragraph" w:styleId="Heading2">
    <w:name w:val="heading 2"/>
    <w:basedOn w:val="Normal"/>
    <w:next w:val="Normal"/>
    <w:link w:val="Heading2Char"/>
    <w:qFormat/>
    <w:pPr>
      <w:keepNext/>
      <w:numPr>
        <w:ilvl w:val="1"/>
        <w:numId w:val="8"/>
      </w:numPr>
      <w:outlineLvl w:val="1"/>
    </w:pPr>
    <w:rPr>
      <w:b/>
    </w:rPr>
  </w:style>
  <w:style w:type="paragraph" w:styleId="Heading3">
    <w:name w:val="heading 3"/>
    <w:basedOn w:val="Normal"/>
    <w:next w:val="Normal"/>
    <w:link w:val="Heading3Char"/>
    <w:qFormat/>
    <w:pPr>
      <w:keepNext/>
      <w:numPr>
        <w:ilvl w:val="2"/>
        <w:numId w:val="8"/>
      </w:numPr>
      <w:outlineLvl w:val="2"/>
    </w:pPr>
    <w:rPr>
      <w:i/>
    </w:rPr>
  </w:style>
  <w:style w:type="paragraph" w:styleId="Heading4">
    <w:name w:val="heading 4"/>
    <w:basedOn w:val="Normal"/>
    <w:next w:val="Normal"/>
    <w:link w:val="Heading4Char"/>
    <w:qFormat/>
    <w:pPr>
      <w:keepNext/>
      <w:numPr>
        <w:ilvl w:val="3"/>
        <w:numId w:val="8"/>
      </w:numPr>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smallCaps/>
      <w:sz w:val="24"/>
    </w:rPr>
  </w:style>
  <w:style w:type="character" w:customStyle="1" w:styleId="Heading2Char">
    <w:name w:val="Heading 2 Char"/>
    <w:basedOn w:val="DefaultParagraphFont"/>
    <w:link w:val="Heading2"/>
    <w:rPr>
      <w:rFonts w:ascii="Times New Roman" w:eastAsia="Times New Roman" w:hAnsi="Times New Roman" w:cs="Times New Roman"/>
      <w:b/>
      <w:sz w:val="24"/>
    </w:rPr>
  </w:style>
  <w:style w:type="character" w:customStyle="1" w:styleId="Heading3Char">
    <w:name w:val="Heading 3 Char"/>
    <w:basedOn w:val="DefaultParagraphFont"/>
    <w:link w:val="Heading3"/>
    <w:rPr>
      <w:rFonts w:ascii="Times New Roman" w:eastAsia="Times New Roman" w:hAnsi="Times New Roman" w:cs="Times New Roman"/>
      <w:i/>
      <w:sz w:val="24"/>
    </w:rPr>
  </w:style>
  <w:style w:type="character" w:customStyle="1" w:styleId="Heading4Char">
    <w:name w:val="Heading 4 Char"/>
    <w:basedOn w:val="DefaultParagraphFont"/>
    <w:link w:val="Heading4"/>
    <w:rPr>
      <w:rFonts w:ascii="Times New Roman" w:eastAsia="Times New Roman" w:hAnsi="Times New Roman" w:cs="Times New Roman"/>
      <w:sz w:val="24"/>
    </w:rPr>
  </w:style>
  <w:style w:type="paragraph" w:styleId="FootnoteText">
    <w:name w:val="footnote text"/>
    <w:basedOn w:val="Normal"/>
    <w:link w:val="FootnoteTextChar"/>
    <w:unhideWhenUsed/>
    <w:qFormat/>
    <w:pPr>
      <w:spacing w:after="0"/>
    </w:pPr>
    <w:rPr>
      <w:sz w:val="20"/>
    </w:rPr>
  </w:style>
  <w:style w:type="character" w:customStyle="1" w:styleId="FootnoteTextChar">
    <w:name w:val="Footnote Text Char"/>
    <w:basedOn w:val="DefaultParagraphFont"/>
    <w:link w:val="FootnoteText"/>
    <w:qFormat/>
    <w:rPr>
      <w:rFonts w:ascii="Times New Roman" w:eastAsia="Times New Roman" w:hAnsi="Times New Roman" w:cs="Times New Roman"/>
      <w:sz w:val="20"/>
    </w:rPr>
  </w:style>
  <w:style w:type="paragraph" w:customStyle="1" w:styleId="NumPar1">
    <w:name w:val="NumPar 1"/>
    <w:basedOn w:val="Heading1"/>
    <w:qFormat/>
    <w:pPr>
      <w:keepNext w:val="0"/>
      <w:spacing w:before="0"/>
      <w:outlineLvl w:val="9"/>
    </w:pPr>
    <w:rPr>
      <w:b w:val="0"/>
      <w:smallCaps w:val="0"/>
    </w:rPr>
  </w:style>
  <w:style w:type="paragraph" w:customStyle="1" w:styleId="NumPar2">
    <w:name w:val="NumPar 2"/>
    <w:basedOn w:val="Heading2"/>
    <w:qFormat/>
    <w:pPr>
      <w:keepNext w:val="0"/>
      <w:outlineLvl w:val="9"/>
    </w:pPr>
    <w:rPr>
      <w:b w:val="0"/>
    </w:rPr>
  </w:style>
  <w:style w:type="paragraph" w:customStyle="1" w:styleId="ListDash1">
    <w:name w:val="List Dash 1"/>
    <w:basedOn w:val="Normal"/>
    <w:pPr>
      <w:numPr>
        <w:numId w:val="9"/>
      </w:numPr>
    </w:pPr>
  </w:style>
  <w:style w:type="character" w:styleId="FootnoteReference">
    <w:name w:val="footnote reference"/>
    <w:basedOn w:val="DefaultParagraphFont"/>
    <w:link w:val="CharCharChar1"/>
    <w:uiPriority w:val="99"/>
    <w:unhideWhenUsed/>
    <w:qFormat/>
    <w:rPr>
      <w:vertAlign w:val="superscript"/>
    </w:rPr>
  </w:style>
  <w:style w:type="character" w:styleId="Hyperlink">
    <w:name w:val="Hyperlink"/>
    <w:basedOn w:val="DefaultParagraphFont"/>
    <w:uiPriority w:val="99"/>
    <w:unhideWhenUsed/>
    <w:rPr>
      <w:color w:val="0563C1" w:themeColor="hyperlink"/>
      <w:u w:val="single"/>
    </w:rPr>
  </w:style>
  <w:style w:type="paragraph" w:styleId="Caption">
    <w:name w:val="caption"/>
    <w:basedOn w:val="Normal"/>
    <w:next w:val="Normal"/>
    <w:link w:val="CaptionChar"/>
    <w:uiPriority w:val="35"/>
    <w:qFormat/>
    <w:pPr>
      <w:spacing w:after="200"/>
    </w:pPr>
    <w:rPr>
      <w:i/>
      <w:color w:val="44546A" w:themeColor="text2"/>
      <w:sz w:val="18"/>
    </w:rPr>
  </w:style>
  <w:style w:type="paragraph" w:styleId="ListParagraph">
    <w:name w:val="List Paragraph"/>
    <w:basedOn w:val="Normal"/>
    <w:uiPriority w:val="34"/>
    <w:qFormat/>
    <w:pPr>
      <w:ind w:left="720"/>
      <w:contextualSpacing/>
    </w:pPr>
  </w:style>
  <w:style w:type="character" w:customStyle="1" w:styleId="CaptionChar">
    <w:name w:val="Caption Char"/>
    <w:basedOn w:val="DefaultParagraphFont"/>
    <w:link w:val="Caption"/>
    <w:uiPriority w:val="35"/>
    <w:rPr>
      <w:rFonts w:ascii="Times New Roman" w:eastAsia="Times New Roman" w:hAnsi="Times New Roman" w:cs="Times New Roman"/>
      <w:i/>
      <w:color w:val="44546A" w:themeColor="text2"/>
      <w:sz w:val="18"/>
    </w:rPr>
  </w:style>
  <w:style w:type="table" w:styleId="TableGrid">
    <w:name w:val="Table Grid"/>
    <w:basedOn w:val="TableNormal"/>
    <w:uiPriority w:val="59"/>
    <w:pPr>
      <w:spacing w:after="0" w:line="240"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Times New Roman" w:eastAsia="Times New Roman" w:hAnsi="Times New Roman" w:cs="Times New Roman"/>
      <w:sz w:val="24"/>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Times New Roman" w:eastAsia="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rFonts w:ascii="Times New Roman" w:eastAsia="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eastAsia="Times New Roman" w:hAnsi="Times New Roman" w:cs="Times New Roman"/>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eastAsia="Times New Roman" w:hAnsi="Times New Roman" w:cs="Times New Roman"/>
      <w:sz w:val="28"/>
    </w:rPr>
  </w:style>
  <w:style w:type="paragraph" w:customStyle="1" w:styleId="Typedudocument">
    <w:name w:val="Type du document"/>
    <w:basedOn w:val="Normal"/>
    <w:next w:val="Normal"/>
    <w:pPr>
      <w:spacing w:before="360" w:after="0"/>
      <w:jc w:val="center"/>
    </w:pPr>
    <w:rPr>
      <w:rFonts w:eastAsiaTheme="minorHAnsi"/>
      <w:b/>
    </w:rPr>
  </w:style>
  <w:style w:type="paragraph" w:customStyle="1" w:styleId="Titreobjet">
    <w:name w:val="Titre objet"/>
    <w:basedOn w:val="Normal"/>
    <w:next w:val="Normal"/>
    <w:pPr>
      <w:spacing w:before="360" w:after="360"/>
      <w:jc w:val="center"/>
    </w:pPr>
    <w:rPr>
      <w:rFonts w:eastAsiaTheme="minorHAnsi"/>
      <w:b/>
    </w:rPr>
  </w:style>
  <w:style w:type="paragraph" w:styleId="BalloonText">
    <w:name w:val="Balloon Text"/>
    <w:basedOn w:val="Normal"/>
    <w:link w:val="BalloonTextChar"/>
    <w:uiPriority w:val="99"/>
    <w:semiHidden/>
    <w:unhideWhenUsed/>
    <w:pPr>
      <w:spacing w:after="0"/>
    </w:pPr>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rPr>
  </w:style>
  <w:style w:type="character" w:styleId="CommentReference">
    <w:name w:val="annotation reference"/>
    <w:basedOn w:val="DefaultParagraphFont"/>
    <w:uiPriority w:val="99"/>
    <w:unhideWhenUsed/>
    <w:rPr>
      <w:sz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rPr>
  </w:style>
  <w:style w:type="paragraph" w:styleId="CommentSubject">
    <w:name w:val="annotation subject"/>
    <w:basedOn w:val="CommentText"/>
    <w:next w:val="CommentText"/>
    <w:link w:val="CommentSubjectChar"/>
    <w:uiPriority w:val="99"/>
    <w:semiHidden/>
    <w:unhideWhenUsed/>
    <w:rPr>
      <w:b/>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sz w:val="20"/>
    </w:rPr>
  </w:style>
  <w:style w:type="paragraph" w:styleId="Revision">
    <w:name w:val="Revision"/>
    <w:hidden/>
    <w:uiPriority w:val="99"/>
    <w:semiHidden/>
    <w:pPr>
      <w:widowControl w:val="0"/>
      <w:adjustRightInd w:val="0"/>
      <w:spacing w:after="0" w:line="240" w:lineRule="auto"/>
      <w:jc w:val="both"/>
      <w:textAlignment w:val="baseline"/>
    </w:pPr>
    <w:rPr>
      <w:rFonts w:ascii="Times New Roman" w:eastAsia="Times New Roman" w:hAnsi="Times New Roman" w:cs="Times New Roman"/>
      <w:sz w:val="24"/>
    </w:rPr>
  </w:style>
  <w:style w:type="paragraph" w:customStyle="1" w:styleId="LegalNumPar">
    <w:name w:val="LegalNumPar"/>
    <w:basedOn w:val="Normal"/>
    <w:pPr>
      <w:numPr>
        <w:numId w:val="38"/>
      </w:numPr>
      <w:adjustRightInd/>
      <w:spacing w:line="360" w:lineRule="auto"/>
      <w:textAlignment w:val="auto"/>
    </w:pPr>
  </w:style>
  <w:style w:type="paragraph" w:customStyle="1" w:styleId="LegalNumPar2">
    <w:name w:val="LegalNumPar2"/>
    <w:basedOn w:val="Normal"/>
    <w:pPr>
      <w:numPr>
        <w:ilvl w:val="1"/>
        <w:numId w:val="38"/>
      </w:numPr>
      <w:adjustRightInd/>
      <w:spacing w:line="360" w:lineRule="auto"/>
      <w:textAlignment w:val="auto"/>
    </w:pPr>
  </w:style>
  <w:style w:type="paragraph" w:customStyle="1" w:styleId="LegalNumPar3">
    <w:name w:val="LegalNumPar3"/>
    <w:basedOn w:val="Normal"/>
    <w:pPr>
      <w:numPr>
        <w:ilvl w:val="2"/>
        <w:numId w:val="38"/>
      </w:numPr>
      <w:adjustRightInd/>
      <w:spacing w:line="360" w:lineRule="auto"/>
      <w:textAlignment w:val="auto"/>
    </w:p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paragraph">
    <w:name w:val="paragraph"/>
    <w:basedOn w:val="Normal"/>
    <w:rsid w:val="00A21C7C"/>
    <w:pPr>
      <w:widowControl/>
      <w:adjustRightInd/>
      <w:spacing w:before="100" w:beforeAutospacing="1" w:after="100" w:afterAutospacing="1"/>
      <w:jc w:val="left"/>
      <w:textAlignment w:val="auto"/>
    </w:pPr>
  </w:style>
  <w:style w:type="character" w:customStyle="1" w:styleId="normaltextrun">
    <w:name w:val="normaltextrun"/>
    <w:basedOn w:val="DefaultParagraphFont"/>
    <w:rsid w:val="00A21C7C"/>
  </w:style>
  <w:style w:type="character" w:customStyle="1" w:styleId="eop">
    <w:name w:val="eop"/>
    <w:basedOn w:val="DefaultParagraphFont"/>
    <w:rsid w:val="00A21C7C"/>
  </w:style>
  <w:style w:type="character" w:styleId="Strong">
    <w:name w:val="Strong"/>
    <w:basedOn w:val="DefaultParagraphFont"/>
    <w:uiPriority w:val="22"/>
    <w:qFormat/>
    <w:rsid w:val="00F20EAB"/>
    <w:rPr>
      <w:b/>
    </w:rPr>
  </w:style>
  <w:style w:type="paragraph" w:customStyle="1" w:styleId="CharCharChar1">
    <w:name w:val="Char Char Char1"/>
    <w:basedOn w:val="Normal"/>
    <w:link w:val="FootnoteReference"/>
    <w:uiPriority w:val="99"/>
    <w:rsid w:val="00481E55"/>
    <w:pPr>
      <w:widowControl/>
      <w:adjustRightInd/>
      <w:spacing w:after="160" w:line="240" w:lineRule="exact"/>
      <w:textAlignment w:val="auto"/>
    </w:pPr>
    <w:rPr>
      <w:rFonts w:asciiTheme="minorHAnsi" w:eastAsiaTheme="minorHAnsi" w:hAnsiTheme="minorHAnsi" w:cstheme="minorBidi"/>
      <w:sz w:val="22"/>
      <w:vertAlign w:val="superscript"/>
    </w:rPr>
  </w:style>
  <w:style w:type="character" w:customStyle="1" w:styleId="UnresolvedMention1">
    <w:name w:val="Unresolved Mention1"/>
    <w:basedOn w:val="DefaultParagraphFont"/>
    <w:uiPriority w:val="99"/>
    <w:semiHidden/>
    <w:unhideWhenUsed/>
    <w:rsid w:val="001113BA"/>
    <w:rPr>
      <w:color w:val="605E5C"/>
      <w:shd w:val="clear" w:color="auto" w:fill="E1DFDD"/>
    </w:rPr>
  </w:style>
  <w:style w:type="character" w:customStyle="1" w:styleId="UnresolvedMention2">
    <w:name w:val="Unresolved Mention2"/>
    <w:basedOn w:val="DefaultParagraphFont"/>
    <w:uiPriority w:val="99"/>
    <w:semiHidden/>
    <w:unhideWhenUsed/>
    <w:rsid w:val="006D35D9"/>
    <w:rPr>
      <w:color w:val="605E5C"/>
      <w:shd w:val="clear" w:color="auto" w:fill="E1DFDD"/>
    </w:rPr>
  </w:style>
  <w:style w:type="paragraph" w:customStyle="1" w:styleId="Default">
    <w:name w:val="Default"/>
    <w:rsid w:val="008B6E5F"/>
    <w:pPr>
      <w:autoSpaceDE w:val="0"/>
      <w:autoSpaceDN w:val="0"/>
      <w:adjustRightInd w:val="0"/>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4570">
      <w:bodyDiv w:val="1"/>
      <w:marLeft w:val="0"/>
      <w:marRight w:val="0"/>
      <w:marTop w:val="0"/>
      <w:marBottom w:val="0"/>
      <w:divBdr>
        <w:top w:val="none" w:sz="0" w:space="0" w:color="auto"/>
        <w:left w:val="none" w:sz="0" w:space="0" w:color="auto"/>
        <w:bottom w:val="none" w:sz="0" w:space="0" w:color="auto"/>
        <w:right w:val="none" w:sz="0" w:space="0" w:color="auto"/>
      </w:divBdr>
    </w:div>
    <w:div w:id="104887530">
      <w:bodyDiv w:val="1"/>
      <w:marLeft w:val="0"/>
      <w:marRight w:val="0"/>
      <w:marTop w:val="0"/>
      <w:marBottom w:val="0"/>
      <w:divBdr>
        <w:top w:val="none" w:sz="0" w:space="0" w:color="auto"/>
        <w:left w:val="none" w:sz="0" w:space="0" w:color="auto"/>
        <w:bottom w:val="none" w:sz="0" w:space="0" w:color="auto"/>
        <w:right w:val="none" w:sz="0" w:space="0" w:color="auto"/>
      </w:divBdr>
    </w:div>
    <w:div w:id="125971170">
      <w:bodyDiv w:val="1"/>
      <w:marLeft w:val="0"/>
      <w:marRight w:val="0"/>
      <w:marTop w:val="0"/>
      <w:marBottom w:val="0"/>
      <w:divBdr>
        <w:top w:val="none" w:sz="0" w:space="0" w:color="auto"/>
        <w:left w:val="none" w:sz="0" w:space="0" w:color="auto"/>
        <w:bottom w:val="none" w:sz="0" w:space="0" w:color="auto"/>
        <w:right w:val="none" w:sz="0" w:space="0" w:color="auto"/>
      </w:divBdr>
    </w:div>
    <w:div w:id="208080667">
      <w:bodyDiv w:val="1"/>
      <w:marLeft w:val="0"/>
      <w:marRight w:val="0"/>
      <w:marTop w:val="0"/>
      <w:marBottom w:val="0"/>
      <w:divBdr>
        <w:top w:val="none" w:sz="0" w:space="0" w:color="auto"/>
        <w:left w:val="none" w:sz="0" w:space="0" w:color="auto"/>
        <w:bottom w:val="none" w:sz="0" w:space="0" w:color="auto"/>
        <w:right w:val="none" w:sz="0" w:space="0" w:color="auto"/>
      </w:divBdr>
    </w:div>
    <w:div w:id="310526298">
      <w:bodyDiv w:val="1"/>
      <w:marLeft w:val="0"/>
      <w:marRight w:val="0"/>
      <w:marTop w:val="0"/>
      <w:marBottom w:val="0"/>
      <w:divBdr>
        <w:top w:val="none" w:sz="0" w:space="0" w:color="auto"/>
        <w:left w:val="none" w:sz="0" w:space="0" w:color="auto"/>
        <w:bottom w:val="none" w:sz="0" w:space="0" w:color="auto"/>
        <w:right w:val="none" w:sz="0" w:space="0" w:color="auto"/>
      </w:divBdr>
    </w:div>
    <w:div w:id="614211266">
      <w:bodyDiv w:val="1"/>
      <w:marLeft w:val="0"/>
      <w:marRight w:val="0"/>
      <w:marTop w:val="0"/>
      <w:marBottom w:val="0"/>
      <w:divBdr>
        <w:top w:val="none" w:sz="0" w:space="0" w:color="auto"/>
        <w:left w:val="none" w:sz="0" w:space="0" w:color="auto"/>
        <w:bottom w:val="none" w:sz="0" w:space="0" w:color="auto"/>
        <w:right w:val="none" w:sz="0" w:space="0" w:color="auto"/>
      </w:divBdr>
    </w:div>
    <w:div w:id="659692881">
      <w:bodyDiv w:val="1"/>
      <w:marLeft w:val="0"/>
      <w:marRight w:val="0"/>
      <w:marTop w:val="0"/>
      <w:marBottom w:val="0"/>
      <w:divBdr>
        <w:top w:val="none" w:sz="0" w:space="0" w:color="auto"/>
        <w:left w:val="none" w:sz="0" w:space="0" w:color="auto"/>
        <w:bottom w:val="none" w:sz="0" w:space="0" w:color="auto"/>
        <w:right w:val="none" w:sz="0" w:space="0" w:color="auto"/>
      </w:divBdr>
    </w:div>
    <w:div w:id="675767892">
      <w:bodyDiv w:val="1"/>
      <w:marLeft w:val="0"/>
      <w:marRight w:val="0"/>
      <w:marTop w:val="0"/>
      <w:marBottom w:val="0"/>
      <w:divBdr>
        <w:top w:val="none" w:sz="0" w:space="0" w:color="auto"/>
        <w:left w:val="none" w:sz="0" w:space="0" w:color="auto"/>
        <w:bottom w:val="none" w:sz="0" w:space="0" w:color="auto"/>
        <w:right w:val="none" w:sz="0" w:space="0" w:color="auto"/>
      </w:divBdr>
    </w:div>
    <w:div w:id="756635031">
      <w:bodyDiv w:val="1"/>
      <w:marLeft w:val="0"/>
      <w:marRight w:val="0"/>
      <w:marTop w:val="0"/>
      <w:marBottom w:val="0"/>
      <w:divBdr>
        <w:top w:val="none" w:sz="0" w:space="0" w:color="auto"/>
        <w:left w:val="none" w:sz="0" w:space="0" w:color="auto"/>
        <w:bottom w:val="none" w:sz="0" w:space="0" w:color="auto"/>
        <w:right w:val="none" w:sz="0" w:space="0" w:color="auto"/>
      </w:divBdr>
    </w:div>
    <w:div w:id="937831268">
      <w:bodyDiv w:val="1"/>
      <w:marLeft w:val="0"/>
      <w:marRight w:val="0"/>
      <w:marTop w:val="0"/>
      <w:marBottom w:val="0"/>
      <w:divBdr>
        <w:top w:val="none" w:sz="0" w:space="0" w:color="auto"/>
        <w:left w:val="none" w:sz="0" w:space="0" w:color="auto"/>
        <w:bottom w:val="none" w:sz="0" w:space="0" w:color="auto"/>
        <w:right w:val="none" w:sz="0" w:space="0" w:color="auto"/>
      </w:divBdr>
    </w:div>
    <w:div w:id="1113866873">
      <w:bodyDiv w:val="1"/>
      <w:marLeft w:val="0"/>
      <w:marRight w:val="0"/>
      <w:marTop w:val="0"/>
      <w:marBottom w:val="0"/>
      <w:divBdr>
        <w:top w:val="none" w:sz="0" w:space="0" w:color="auto"/>
        <w:left w:val="none" w:sz="0" w:space="0" w:color="auto"/>
        <w:bottom w:val="none" w:sz="0" w:space="0" w:color="auto"/>
        <w:right w:val="none" w:sz="0" w:space="0" w:color="auto"/>
      </w:divBdr>
    </w:div>
    <w:div w:id="1220942009">
      <w:bodyDiv w:val="1"/>
      <w:marLeft w:val="0"/>
      <w:marRight w:val="0"/>
      <w:marTop w:val="0"/>
      <w:marBottom w:val="0"/>
      <w:divBdr>
        <w:top w:val="none" w:sz="0" w:space="0" w:color="auto"/>
        <w:left w:val="none" w:sz="0" w:space="0" w:color="auto"/>
        <w:bottom w:val="none" w:sz="0" w:space="0" w:color="auto"/>
        <w:right w:val="none" w:sz="0" w:space="0" w:color="auto"/>
      </w:divBdr>
    </w:div>
    <w:div w:id="1291860159">
      <w:bodyDiv w:val="1"/>
      <w:marLeft w:val="0"/>
      <w:marRight w:val="0"/>
      <w:marTop w:val="0"/>
      <w:marBottom w:val="0"/>
      <w:divBdr>
        <w:top w:val="none" w:sz="0" w:space="0" w:color="auto"/>
        <w:left w:val="none" w:sz="0" w:space="0" w:color="auto"/>
        <w:bottom w:val="none" w:sz="0" w:space="0" w:color="auto"/>
        <w:right w:val="none" w:sz="0" w:space="0" w:color="auto"/>
      </w:divBdr>
    </w:div>
    <w:div w:id="1321930154">
      <w:bodyDiv w:val="1"/>
      <w:marLeft w:val="0"/>
      <w:marRight w:val="0"/>
      <w:marTop w:val="0"/>
      <w:marBottom w:val="0"/>
      <w:divBdr>
        <w:top w:val="none" w:sz="0" w:space="0" w:color="auto"/>
        <w:left w:val="none" w:sz="0" w:space="0" w:color="auto"/>
        <w:bottom w:val="none" w:sz="0" w:space="0" w:color="auto"/>
        <w:right w:val="none" w:sz="0" w:space="0" w:color="auto"/>
      </w:divBdr>
    </w:div>
    <w:div w:id="1388913718">
      <w:bodyDiv w:val="1"/>
      <w:marLeft w:val="0"/>
      <w:marRight w:val="0"/>
      <w:marTop w:val="0"/>
      <w:marBottom w:val="0"/>
      <w:divBdr>
        <w:top w:val="none" w:sz="0" w:space="0" w:color="auto"/>
        <w:left w:val="none" w:sz="0" w:space="0" w:color="auto"/>
        <w:bottom w:val="none" w:sz="0" w:space="0" w:color="auto"/>
        <w:right w:val="none" w:sz="0" w:space="0" w:color="auto"/>
      </w:divBdr>
    </w:div>
    <w:div w:id="1458328215">
      <w:bodyDiv w:val="1"/>
      <w:marLeft w:val="0"/>
      <w:marRight w:val="0"/>
      <w:marTop w:val="0"/>
      <w:marBottom w:val="0"/>
      <w:divBdr>
        <w:top w:val="none" w:sz="0" w:space="0" w:color="auto"/>
        <w:left w:val="none" w:sz="0" w:space="0" w:color="auto"/>
        <w:bottom w:val="none" w:sz="0" w:space="0" w:color="auto"/>
        <w:right w:val="none" w:sz="0" w:space="0" w:color="auto"/>
      </w:divBdr>
    </w:div>
    <w:div w:id="1631013766">
      <w:bodyDiv w:val="1"/>
      <w:marLeft w:val="0"/>
      <w:marRight w:val="0"/>
      <w:marTop w:val="0"/>
      <w:marBottom w:val="0"/>
      <w:divBdr>
        <w:top w:val="none" w:sz="0" w:space="0" w:color="auto"/>
        <w:left w:val="none" w:sz="0" w:space="0" w:color="auto"/>
        <w:bottom w:val="none" w:sz="0" w:space="0" w:color="auto"/>
        <w:right w:val="none" w:sz="0" w:space="0" w:color="auto"/>
      </w:divBdr>
    </w:div>
    <w:div w:id="1675960783">
      <w:bodyDiv w:val="1"/>
      <w:marLeft w:val="0"/>
      <w:marRight w:val="0"/>
      <w:marTop w:val="0"/>
      <w:marBottom w:val="0"/>
      <w:divBdr>
        <w:top w:val="none" w:sz="0" w:space="0" w:color="auto"/>
        <w:left w:val="none" w:sz="0" w:space="0" w:color="auto"/>
        <w:bottom w:val="none" w:sz="0" w:space="0" w:color="auto"/>
        <w:right w:val="none" w:sz="0" w:space="0" w:color="auto"/>
      </w:divBdr>
    </w:div>
    <w:div w:id="1854372143">
      <w:bodyDiv w:val="1"/>
      <w:marLeft w:val="0"/>
      <w:marRight w:val="0"/>
      <w:marTop w:val="0"/>
      <w:marBottom w:val="0"/>
      <w:divBdr>
        <w:top w:val="none" w:sz="0" w:space="0" w:color="auto"/>
        <w:left w:val="none" w:sz="0" w:space="0" w:color="auto"/>
        <w:bottom w:val="none" w:sz="0" w:space="0" w:color="auto"/>
        <w:right w:val="none" w:sz="0" w:space="0" w:color="auto"/>
      </w:divBdr>
    </w:div>
    <w:div w:id="1934969152">
      <w:bodyDiv w:val="1"/>
      <w:marLeft w:val="0"/>
      <w:marRight w:val="0"/>
      <w:marTop w:val="0"/>
      <w:marBottom w:val="0"/>
      <w:divBdr>
        <w:top w:val="none" w:sz="0" w:space="0" w:color="auto"/>
        <w:left w:val="none" w:sz="0" w:space="0" w:color="auto"/>
        <w:bottom w:val="none" w:sz="0" w:space="0" w:color="auto"/>
        <w:right w:val="none" w:sz="0" w:space="0" w:color="auto"/>
      </w:divBdr>
    </w:div>
    <w:div w:id="1991515888">
      <w:bodyDiv w:val="1"/>
      <w:marLeft w:val="0"/>
      <w:marRight w:val="0"/>
      <w:marTop w:val="0"/>
      <w:marBottom w:val="0"/>
      <w:divBdr>
        <w:top w:val="none" w:sz="0" w:space="0" w:color="auto"/>
        <w:left w:val="none" w:sz="0" w:space="0" w:color="auto"/>
        <w:bottom w:val="none" w:sz="0" w:space="0" w:color="auto"/>
        <w:right w:val="none" w:sz="0" w:space="0" w:color="auto"/>
      </w:divBdr>
    </w:div>
    <w:div w:id="2110157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9.emf"/><Relationship Id="rId39" Type="http://schemas.openxmlformats.org/officeDocument/2006/relationships/image" Target="media/image22.emf"/><Relationship Id="rId3" Type="http://schemas.openxmlformats.org/officeDocument/2006/relationships/customXml" Target="../customXml/item3.xml"/><Relationship Id="rId21" Type="http://schemas.openxmlformats.org/officeDocument/2006/relationships/hyperlink" Target="https://ec.europa.eu/commission/presscorner/detail/cs/qanda_21_6701" TargetMode="External"/><Relationship Id="rId34" Type="http://schemas.openxmlformats.org/officeDocument/2006/relationships/image" Target="media/image17.emf"/><Relationship Id="rId42" Type="http://schemas.openxmlformats.org/officeDocument/2006/relationships/footer" Target="footer4.xm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emf"/><Relationship Id="rId33" Type="http://schemas.openxmlformats.org/officeDocument/2006/relationships/image" Target="media/image16.emf"/><Relationship Id="rId38" Type="http://schemas.openxmlformats.org/officeDocument/2006/relationships/image" Target="media/image21.emf"/><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29" Type="http://schemas.openxmlformats.org/officeDocument/2006/relationships/image" Target="media/image12.emf"/><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7.emf"/><Relationship Id="rId32" Type="http://schemas.openxmlformats.org/officeDocument/2006/relationships/image" Target="media/image15.emf"/><Relationship Id="rId37" Type="http://schemas.openxmlformats.org/officeDocument/2006/relationships/image" Target="media/image20.emf"/><Relationship Id="rId40" Type="http://schemas.openxmlformats.org/officeDocument/2006/relationships/header" Target="header4.xml"/><Relationship Id="rId45"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emf"/><Relationship Id="rId28" Type="http://schemas.openxmlformats.org/officeDocument/2006/relationships/image" Target="media/image11.emf"/><Relationship Id="rId36" Type="http://schemas.openxmlformats.org/officeDocument/2006/relationships/image" Target="media/image19.emf"/><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image" Target="media/image14.emf"/><Relationship Id="rId4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image" Target="media/image13.emf"/><Relationship Id="rId35" Type="http://schemas.openxmlformats.org/officeDocument/2006/relationships/image" Target="media/image18.emf"/><Relationship Id="rId43"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web/transport/data/database?language=cs" TargetMode="External"/><Relationship Id="rId2" Type="http://schemas.openxmlformats.org/officeDocument/2006/relationships/hyperlink" Target="https://www.era.europa.eu/library/documents-regulations/corporate-publications" TargetMode="External"/><Relationship Id="rId1" Type="http://schemas.openxmlformats.org/officeDocument/2006/relationships/hyperlink" Target="https://op.europa.eu/cs/publication-detail/-/publication/da0cd68e-1fdd-11eb-b57e-01aa75ed71a1" TargetMode="External"/><Relationship Id="rId4" Type="http://schemas.openxmlformats.org/officeDocument/2006/relationships/hyperlink" Target="https://www.era.europa.eu/system/files/2022-10/Report%20on%20Railway%20Safety%20and%20Interoperability%20in%20the%20EU%20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69CEAB7846C43B6127B8768A1CFCE" ma:contentTypeVersion="7" ma:contentTypeDescription="Create a new document." ma:contentTypeScope="" ma:versionID="0b01d1f3080cbc673618d9b4fc3eca5e">
  <xsd:schema xmlns:xsd="http://www.w3.org/2001/XMLSchema" xmlns:xs="http://www.w3.org/2001/XMLSchema" xmlns:p="http://schemas.microsoft.com/office/2006/metadata/properties" xmlns:ns2="ff27b533-0480-4fe0-b5ab-51440d87a129" xmlns:ns3="cc16fcc4-0958-451c-a4fe-3f901aea85b6" targetNamespace="http://schemas.microsoft.com/office/2006/metadata/properties" ma:root="true" ma:fieldsID="6e92c17f8589ca8c5c6d0a421fe99315" ns2:_="" ns3:_="">
    <xsd:import namespace="ff27b533-0480-4fe0-b5ab-51440d87a129"/>
    <xsd:import namespace="cc16fcc4-0958-451c-a4fe-3f901aea85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Topi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7b533-0480-4fe0-b5ab-51440d87a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opic" ma:index="12" nillable="true" ma:displayName="Topics" ma:format="Dropdown" ma:internalName="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16fcc4-0958-451c-a4fe-3f901aea85b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ff27b533-0480-4fe0-b5ab-51440d87a12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FB7E8-FDC8-4715-8DA6-048DACA92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7b533-0480-4fe0-b5ab-51440d87a129"/>
    <ds:schemaRef ds:uri="cc16fcc4-0958-451c-a4fe-3f901aea8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CE325-070A-4575-865E-6CC4B2904960}">
  <ds:schemaRefs>
    <ds:schemaRef ds:uri="http://schemas.microsoft.com/sharepoint/v3/contenttype/forms"/>
  </ds:schemaRefs>
</ds:datastoreItem>
</file>

<file path=customXml/itemProps3.xml><?xml version="1.0" encoding="utf-8"?>
<ds:datastoreItem xmlns:ds="http://schemas.openxmlformats.org/officeDocument/2006/customXml" ds:itemID="{AACF1B65-4781-4B42-A685-22D3D2469A81}">
  <ds:schemaRefs>
    <ds:schemaRef ds:uri="http://schemas.microsoft.com/office/2006/metadata/properties"/>
    <ds:schemaRef ds:uri="http://schemas.microsoft.com/office/infopath/2007/PartnerControls"/>
    <ds:schemaRef ds:uri="ff27b533-0480-4fe0-b5ab-51440d87a129"/>
  </ds:schemaRefs>
</ds:datastoreItem>
</file>

<file path=customXml/itemProps4.xml><?xml version="1.0" encoding="utf-8"?>
<ds:datastoreItem xmlns:ds="http://schemas.openxmlformats.org/officeDocument/2006/customXml" ds:itemID="{DA6AD8BE-9757-4FA8-89CD-6165093F0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18</Pages>
  <Words>4146</Words>
  <Characters>22514</Characters>
  <Application>Microsoft Office Word</Application>
  <DocSecurity>0</DocSecurity>
  <Lines>394</Lines>
  <Paragraphs>136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Manager/>
  <Company/>
  <LinksUpToDate>false</LinksUpToDate>
  <CharactersWithSpaces>26524</CharactersWithSpaces>
  <SharedDoc>false</SharedDoc>
  <HLinks>
    <vt:vector size="30" baseType="variant">
      <vt:variant>
        <vt:i4>983109</vt:i4>
      </vt:variant>
      <vt:variant>
        <vt:i4>6</vt:i4>
      </vt:variant>
      <vt:variant>
        <vt:i4>0</vt:i4>
      </vt:variant>
      <vt:variant>
        <vt:i4>5</vt:i4>
      </vt:variant>
      <vt:variant>
        <vt:lpwstr>https://ec.europa.eu/commission/presscorner/detail/en/qanda_21_6701</vt:lpwstr>
      </vt:variant>
      <vt:variant>
        <vt:lpwstr/>
      </vt:variant>
      <vt:variant>
        <vt:i4>2228343</vt:i4>
      </vt:variant>
      <vt:variant>
        <vt:i4>9</vt:i4>
      </vt:variant>
      <vt:variant>
        <vt:i4>0</vt:i4>
      </vt:variant>
      <vt:variant>
        <vt:i4>5</vt:i4>
      </vt:variant>
      <vt:variant>
        <vt:lpwstr>https://www.era.europa.eu/system/files/2022-10/Report on Railway Safety and Interoperability in the EU 2022.pdf</vt:lpwstr>
      </vt:variant>
      <vt:variant>
        <vt:lpwstr/>
      </vt:variant>
      <vt:variant>
        <vt:i4>1572870</vt:i4>
      </vt:variant>
      <vt:variant>
        <vt:i4>6</vt:i4>
      </vt:variant>
      <vt:variant>
        <vt:i4>0</vt:i4>
      </vt:variant>
      <vt:variant>
        <vt:i4>5</vt:i4>
      </vt:variant>
      <vt:variant>
        <vt:lpwstr>http://ec.europa.eu/eurostat/web/transport/data/database</vt:lpwstr>
      </vt:variant>
      <vt:variant>
        <vt:lpwstr/>
      </vt:variant>
      <vt:variant>
        <vt:i4>2097238</vt:i4>
      </vt:variant>
      <vt:variant>
        <vt:i4>3</vt:i4>
      </vt:variant>
      <vt:variant>
        <vt:i4>0</vt:i4>
      </vt:variant>
      <vt:variant>
        <vt:i4>5</vt:i4>
      </vt:variant>
      <vt:variant>
        <vt:lpwstr>https://www.era.europa.eu/library/corporate-publications_en</vt:lpwstr>
      </vt:variant>
      <vt:variant>
        <vt:lpwstr/>
      </vt:variant>
      <vt:variant>
        <vt:i4>3539031</vt:i4>
      </vt:variant>
      <vt:variant>
        <vt:i4>0</vt:i4>
      </vt:variant>
      <vt:variant>
        <vt:i4>0</vt:i4>
      </vt:variant>
      <vt:variant>
        <vt:i4>5</vt:i4>
      </vt:variant>
      <vt:variant>
        <vt:lpwstr>https://ec.europa.eu/transport/facts-fundings/statistics/pocketbook-2020_en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56</cp:revision>
  <dcterms:created xsi:type="dcterms:W3CDTF">2023-07-31T14:50:00Z</dcterms:created>
  <dcterms:modified xsi:type="dcterms:W3CDTF">2023-09-06T07:10:00Z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9.0, Build 20230317</vt:lpwstr>
  </property>
  <property fmtid="{D5CDD505-2E9C-101B-9397-08002B2CF9AE}" pid="8" name="Created using">
    <vt:lpwstr>LW 7.0.1, Build 20190916</vt:lpwstr>
  </property>
  <property fmtid="{D5CDD505-2E9C-101B-9397-08002B2CF9AE}" pid="9" name="ContentTypeId">
    <vt:lpwstr>0x0101006B369CEAB7846C43B6127B8768A1CFCE</vt:lpwstr>
  </property>
  <property fmtid="{D5CDD505-2E9C-101B-9397-08002B2CF9AE}" pid="10" name="MSIP_Label_6bd9ddd1-4d20-43f6-abfa-fc3c07406f94_Enabled">
    <vt:lpwstr>true</vt:lpwstr>
  </property>
  <property fmtid="{D5CDD505-2E9C-101B-9397-08002B2CF9AE}" pid="11" name="MSIP_Label_6bd9ddd1-4d20-43f6-abfa-fc3c07406f94_SetDate">
    <vt:lpwstr>2022-12-14T15:32:36Z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dd316cc2-9edf-4a81-bbef-2f805ad7bf18</vt:lpwstr>
  </property>
  <property fmtid="{D5CDD505-2E9C-101B-9397-08002B2CF9AE}" pid="16" name="MSIP_Label_6bd9ddd1-4d20-43f6-abfa-fc3c07406f94_ContentBits">
    <vt:lpwstr>0</vt:lpwstr>
  </property>
  <property name="OP_sanitized" fmtid="{D5CDD505-2E9C-101B-9397-08002B2CF9AE}" pid="17">
    <vt:lpwstr>True</vt:lpwstr>
  </property>
</Properties>
</file>