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3110A58B" w:rsidR="00ED2F9F" w:rsidRDefault="002A2D6D" w:rsidP="002A2D6D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7E7237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483B1B60-F130-4FC1-AB0E-B9D15C50681F" style="width:455.25pt;height:435pt">
            <v:imagedata r:id="rId8" o:title=""/>
          </v:shape>
        </w:pict>
      </w:r>
    </w:p>
    <w:bookmarkEnd w:id="0"/>
    <w:p w14:paraId="3D964A1E" w14:textId="77777777" w:rsidR="005F0CD9" w:rsidRPr="005F0CD9" w:rsidRDefault="005F0CD9" w:rsidP="005F0CD9">
      <w:pPr>
        <w:pStyle w:val="Pagedecouverture"/>
        <w:rPr>
          <w:noProof/>
        </w:rPr>
        <w:sectPr w:rsidR="005F0CD9" w:rsidRPr="005F0CD9" w:rsidSect="002A2D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00636F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b/>
                <w:noProof/>
                <w:sz w:val="22"/>
              </w:rPr>
              <w:lastRenderedPageBreak/>
              <w:t>Souhrnný přehled (max. dvě strany)</w:t>
            </w:r>
          </w:p>
        </w:tc>
      </w:tr>
      <w:tr w:rsidR="007D4F0A" w:rsidRPr="0000636F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56CDB3BF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Posouzení dopadů právního rámce pro obnovu přírody </w:t>
            </w:r>
          </w:p>
        </w:tc>
      </w:tr>
      <w:tr w:rsidR="007D4F0A" w:rsidRPr="0000636F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4895985F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A. Potřeba opatření </w:t>
            </w:r>
          </w:p>
        </w:tc>
      </w:tr>
      <w:tr w:rsidR="007D4F0A" w:rsidRPr="0000636F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V čem spočívá problém a proč se jedná o problém na úrovni EU? </w:t>
            </w:r>
          </w:p>
        </w:tc>
      </w:tr>
      <w:tr w:rsidR="007D4F0A" w:rsidRPr="0000636F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5B4B2541" w:rsidR="00E50E8C" w:rsidRDefault="24A23275" w:rsidP="00B054E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>Obecným problémem je, že úbytek biologické rozmanitosti a degradace ekosystémů pokračují alarmujícím tempem. Jak uvádí Zelená dohoda pro Evropu,</w:t>
            </w:r>
            <w:r>
              <w:rPr>
                <w:rStyle w:val="normaltextrun"/>
                <w:noProof/>
                <w:sz w:val="22"/>
                <w:shd w:val="clear" w:color="auto" w:fill="FFFFFF"/>
              </w:rPr>
              <w:t xml:space="preserve"> jedná se o jednu z největších hrozeb pro EU v příštích desetiletích, neboť naše společnost a hospodářství jsou silně závislé</w:t>
            </w:r>
            <w:r>
              <w:rPr>
                <w:rStyle w:val="normaltextrun"/>
                <w:noProof/>
                <w:sz w:val="22"/>
              </w:rPr>
              <w:t xml:space="preserve"> na přínosech, jež poskytují </w:t>
            </w:r>
            <w:r>
              <w:rPr>
                <w:rStyle w:val="normaltextrun"/>
                <w:noProof/>
                <w:sz w:val="22"/>
                <w:shd w:val="clear" w:color="auto" w:fill="FFFFFF"/>
              </w:rPr>
              <w:t>zdravé ekosystémy.</w:t>
            </w: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</w:t>
            </w:r>
            <w:r>
              <w:rPr>
                <w:noProof/>
                <w:sz w:val="22"/>
                <w:bdr w:val="none" w:sz="0" w:space="0" w:color="auto" w:frame="1"/>
              </w:rPr>
              <w:t>G</w:t>
            </w:r>
            <w:r>
              <w:rPr>
                <w:noProof/>
                <w:sz w:val="22"/>
              </w:rPr>
              <w:t>eopolitický vývoj v Evropě zdůraznil potřebu zajistit bezpečnost a odolnost potravinových systémů a kromě toho změna klimatu a úbytek biologické rozmanitosti představují významné dlouhodobé hrozby pro zemědělskou produkci. Obnova přírody funguje jako pojistka k zajištění dlouhodobé udržitelnosti a odolnosti EU v celé řadě hospodářských odvětví. Obnova ekosystémů v celé EU je však v současnosti k řešení těchto výzev výrazně nedostatečná a stav ekosystémů se i nadále zhoršuje.</w:t>
            </w:r>
            <w:r>
              <w:rPr>
                <w:rStyle w:val="normaltextrun"/>
                <w:noProof/>
                <w:sz w:val="22"/>
              </w:rPr>
              <w:t> Ačkoli existují určité konkrétní politiky přispívající k obnově ekosystémů, stále přetrvává řada nedostatků: ve</w:t>
            </w:r>
            <w:r>
              <w:rPr>
                <w:rStyle w:val="eop"/>
                <w:noProof/>
                <w:sz w:val="22"/>
              </w:rPr>
              <w:t xml:space="preserve"> stávajících právních předpisech, jako je směrnice o ochraně přírodních stanovišť, chybí konkrétní cíle, pro mnoho ekosystémů (např. lesy a agroekosystémy) neexistuje komplexní právní úprava </w:t>
            </w:r>
            <w:r>
              <w:rPr>
                <w:rStyle w:val="eop"/>
                <w:noProof/>
                <w:sz w:val="22"/>
                <w:shd w:val="clear" w:color="auto" w:fill="FFFFFF"/>
              </w:rPr>
              <w:t xml:space="preserve">a stanovené dobrovolné cíle jsou neúčinné. Obecně lze říci, že dosavadní snahy nevedly k dostatečné obnově v potřebném rozsahu a s vynaložením potřebného úsilí. 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00636F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Čeho by mělo být dosaženo?</w:t>
            </w:r>
          </w:p>
        </w:tc>
      </w:tr>
      <w:tr w:rsidR="007D4F0A" w:rsidRPr="0000636F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07CC197B" w:rsidR="007C53E8" w:rsidRDefault="5F57956A" w:rsidP="002304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 xml:space="preserve">Konkrétním cílem je </w:t>
            </w:r>
            <w:r>
              <w:rPr>
                <w:rStyle w:val="normaltextrun"/>
                <w:b/>
                <w:noProof/>
                <w:sz w:val="22"/>
              </w:rPr>
              <w:t>obnovit poškozené ekosystémy v celé EU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 (např. mokřady, lesy, mořské ekosystémy, agroekosystémy, řeky, jezera a nivní stanoviště)</w:t>
            </w:r>
            <w:r>
              <w:rPr>
                <w:rStyle w:val="normaltextrun"/>
                <w:noProof/>
                <w:sz w:val="22"/>
              </w:rPr>
              <w:t>, zejména pak ty, které mají největší potenciál zachycovat a ukládat uhlík, a předcházet přírodním katastrofám a zmírňovat jejich dopad.</w:t>
            </w:r>
            <w:r>
              <w:rPr>
                <w:rStyle w:val="eop"/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t xml:space="preserve"> Stanovení tohoto cíle by mělo napomoci tomu, že biologická rozmanitost v EU bude do roku 2030 na cestě k obnově a že se do roku 2050 zavedou opatření na obnovu pro všechny ekosystémy v EU, jež obnovu potřebují.</w:t>
            </w:r>
            <w:r>
              <w:rPr>
                <w:rStyle w:val="normaltextrun"/>
                <w:noProof/>
                <w:sz w:val="22"/>
              </w:rPr>
              <w:t xml:space="preserve"> </w:t>
            </w:r>
            <w:r>
              <w:rPr>
                <w:rStyle w:val="eop"/>
                <w:noProof/>
                <w:sz w:val="22"/>
              </w:rPr>
              <w:t xml:space="preserve"> Odpovědnost za dosažení tohoto cíle ponese EU a členské státy. </w:t>
            </w:r>
            <w:r>
              <w:rPr>
                <w:rStyle w:val="normaltextrun"/>
                <w:noProof/>
                <w:sz w:val="22"/>
              </w:rPr>
              <w:t xml:space="preserve">Operační cíle jsou následující: a) stanovit právně závazné cíle pro obnovu ekosystémů a zachování jejich dobrého stavu jako doplněk stávajících právních nástrojů a b) </w:t>
            </w:r>
            <w:r>
              <w:rPr>
                <w:rStyle w:val="eop"/>
                <w:noProof/>
                <w:sz w:val="22"/>
              </w:rPr>
              <w:t>vytvořit</w:t>
            </w:r>
            <w:r>
              <w:rPr>
                <w:rStyle w:val="normaltextrun"/>
                <w:noProof/>
                <w:sz w:val="22"/>
              </w:rPr>
              <w:t xml:space="preserve"> účinný prováděcí rámec, v němž členské státy vypracují národní plány na obnovu přírody zaměřené na způsob dosažení příslušných cílů, jež nastíní posouzení stavu, plán pro obnovu, způsob podávání zpráv a financování. Komise bude plány pravidelně přezkoumávat a posuzovat pokrok. </w:t>
            </w:r>
          </w:p>
        </w:tc>
      </w:tr>
      <w:tr w:rsidR="007D4F0A" w:rsidRPr="0000636F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Jakou přidanou hodnotu budou mít tato opatření na úrovni EU (subsidiarita)?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38B810F7" w:rsidR="007D4F0A" w:rsidRPr="005343D8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shd w:val="clear" w:color="auto" w:fill="FFFFFF"/>
              </w:rPr>
              <w:t>Vzhledem k tomu, že degradace ekosystémů má přeshraniční povahu, řešení na úrovni EU přináší přidanou hodnotu. Na základě stávajících právních předpisů EU jsou k dosažení významné úrovně obnovy zapotřebí koordinovaná a soudržná opatření, která dodají Evropské unii potřebnou důvěryhodnost, aby se stala celosvětovým lídrem.</w:t>
            </w:r>
          </w:p>
        </w:tc>
      </w:tr>
      <w:tr w:rsidR="007D4F0A" w:rsidRPr="0000636F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5D574D6A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B. Řešení </w:t>
            </w:r>
          </w:p>
        </w:tc>
      </w:tr>
      <w:tr w:rsidR="007D4F0A" w:rsidRPr="0000636F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07E1F6C5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Prostřednictvím kterých možností lze cílů dosáhnout?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Je některá možnost upřednostňována? Pokud ne, uveďte proč.</w:t>
            </w:r>
          </w:p>
        </w:tc>
      </w:tr>
      <w:tr w:rsidR="007D4F0A" w:rsidRPr="0000636F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135042D4" w:rsidR="007D4F0A" w:rsidRPr="00381A24" w:rsidRDefault="601ABE2F" w:rsidP="00BD416C">
            <w:pPr>
              <w:spacing w:after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Možnost č. 1</w:t>
            </w:r>
            <w:r>
              <w:rPr>
                <w:noProof/>
                <w:sz w:val="22"/>
              </w:rPr>
              <w:t>: Základní scénář předpokládá provádění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Strategie v oblasti biologické rozmanitosti do roku 2030 a příslušných unijních a vnitrostátních strategií, aniž by byly zavedeny právně závazné cíle pro obnovu.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>Možnost č. 2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: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Zastřešující právně závazný cíl obnovit ekosystémy v EU do roku 2050.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Možnost č. 3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: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Řada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právně závazných cílů a povinností týkajících se jednotlivých ekosystémů a vedoucích k obnově široké škály ekosystémů do roku 2030, 2040 a 2050 (např. mokřady, lesy, mořské ekosystémy, agroekosystémy, řeky, jezera a nivní stanoviště). V pozdějších fázích mohou být na základě metodiky platné pro celou EU zavedeny další cíle týkající se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ekosystémů, pro něž zatím není k dispozici dostatek informací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. </w:t>
            </w:r>
            <w:r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Možnost č. 4: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Kombinuje možnosti č. 2 a č. 3: 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zastřešující cíl usilující o celkový pokrok, který by byl podpořen právně závaznými cíli týkajícími se jednotlivých ekosystémů. Jedná se o upřednostňovanou možnost.</w:t>
            </w:r>
            <w:r>
              <w:rPr>
                <w:rStyle w:val="eop"/>
                <w:noProof/>
                <w:color w:val="FF0000"/>
                <w:sz w:val="22"/>
                <w:shd w:val="clear" w:color="auto" w:fill="FFFFFF"/>
              </w:rPr>
              <w:t xml:space="preserve">  </w:t>
            </w:r>
          </w:p>
        </w:tc>
      </w:tr>
      <w:tr w:rsidR="007D4F0A" w:rsidRPr="0000636F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Jaké jsou názory jednotlivých zúčastněných stran? Kdo podporuje kterou možnost? </w:t>
            </w:r>
          </w:p>
        </w:tc>
      </w:tr>
      <w:tr w:rsidR="007D4F0A" w:rsidRPr="0000636F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3BFA3F07" w:rsidR="007D4F0A" w:rsidRPr="0000636F" w:rsidRDefault="278DC3B1" w:rsidP="002304B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Zúčastněné strany podporují názor, že v oblasti obnovy a z hlediska právních předpisů je třeba učinit mnohem více. Tento náhled je podpořen několika názory na zastřešující cíl i na cíle týkající se jednotlivých ekosystémů. Některé zúčastněné strany, včetně těch, které denně pracují s přírodními zdroji / stanovišti (zejména lesníci a někteří uživatelé půdy), zpochybňují přidanou hodnotu dodatečných právních předpisů. </w:t>
            </w:r>
          </w:p>
        </w:tc>
      </w:tr>
      <w:tr w:rsidR="007D4F0A" w:rsidRPr="0000636F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C. Dopady upřednostňované možnosti</w:t>
            </w:r>
          </w:p>
        </w:tc>
      </w:tr>
      <w:tr w:rsidR="007D4F0A" w:rsidRPr="0000636F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Jaké jsou výhody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upřednostňované možnosti (je-li nějaká doporučena, jinak uveďte výhody hlavních možností)?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23E38B78" w:rsidR="007D4F0A" w:rsidRPr="0000636F" w:rsidRDefault="5F57956A" w:rsidP="002304B6">
            <w:pPr>
              <w:rPr>
                <w:noProof/>
                <w:color w:val="000000" w:themeColor="text1"/>
              </w:rPr>
            </w:pP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Upřednostňovaná možnost č. 4 poskytuje řadu výhod. Zaprvé přinese významné zlepšení stavu biologické rozmanitosti a zdraví ekosystémů v celé EU. Rozfázovaný přístup jednak přinese rychlý užitek, jednak zajistí široké pokrytí z dlouhodobého hlediska. Lepší zdraví ekosystémů rovněž povede k významnému zvýšení jejich schopnosti přinášet řadu výhod, jako je zmírňování změny klimatu, prevence a snižování dopadu katastrof, vyšší kvalita vody, čistší ovzduší, zdravější půda a celkově dobré životní podmínky. Z posouzení vyplývá, že 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>přínosy zdaleka převažují nad náklady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. </w:t>
            </w:r>
            <w:r>
              <w:rPr>
                <w:noProof/>
                <w:color w:val="000000" w:themeColor="text1"/>
                <w:sz w:val="22"/>
              </w:rPr>
              <w:t>Přínosy obnovy široké škály rašelinišť, mokřin, lesů, vřesovišť, křovin, travních porostů, řek, jezer, nivních stanovišť a pobřežních mokřadů v EU budou činit odhadem cca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 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>1 860 miliard EUR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 (s odhadovanými náklady cca 154 miliard EUR)</w:t>
            </w:r>
            <w:r>
              <w:rPr>
                <w:noProof/>
                <w:color w:val="000000" w:themeColor="text1"/>
                <w:sz w:val="22"/>
              </w:rPr>
              <w:t>.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 xml:space="preserve">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Odhadují se rovněž významné přínosy pro další typy ekosystémů, jako jsou mořské a městské ekosystémy, a pro obnovu populací opylovačů.</w:t>
            </w:r>
            <w:r>
              <w:rPr>
                <w:rStyle w:val="normaltextrun"/>
                <w:b/>
                <w:noProof/>
                <w:color w:val="000000" w:themeColor="text1"/>
              </w:rPr>
              <w:t xml:space="preserve"> </w:t>
            </w:r>
          </w:p>
        </w:tc>
      </w:tr>
      <w:tr w:rsidR="007D4F0A" w:rsidRPr="0000636F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Jaké jsou náklady na upřednostňovanou možnost (je-li nějaká doporučena, jinak uveďte náklady na hlavní možnosti)?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6095CAA4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Hlavní náklady budou vynaloženy v důsledku obnovy ekosystémů a jejich údržby. Určité náklady mohou vzniknout v důsledku ušlých příjmů při přechodu na udržitelnější postupy, např. zemědělcům, vlastníkům lesů nebo rybářům; tyto náklady by mohly být částečně nebo zcela pokryty z finančních prostředků EU a z jiných zdrojů. Upřednostňovaná možnost rovněž zahrnuje správní náklady na vývoj společných monitorovacích systémů, vypracování a provádění národních plánů na obnovu přírody a kontrolu pokroku. Náklady by vznikly na úrovni členských států i na úrovni EU.</w:t>
            </w:r>
          </w:p>
        </w:tc>
      </w:tr>
      <w:tr w:rsidR="007D4F0A" w:rsidRPr="0000636F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Jaké budou dopady na malé a střední podniky a na konkurenceschopnost? </w:t>
            </w:r>
          </w:p>
        </w:tc>
      </w:tr>
      <w:tr w:rsidR="007D4F0A" w:rsidRPr="0000636F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3E7E40F4" w:rsidR="007D4F0A" w:rsidRPr="0000636F" w:rsidRDefault="00DC07EE" w:rsidP="00BD416C">
            <w:pPr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>Upřednostňovaná možnost bude mít zejména z dlouhodobého hlediska pozitivní dopad na podniky, které jsou přímo závislé na zdravých ekosystémech (méně záplav a sucha, vyšší kvalita a množství vody, zapojení malých a středních podniků do činností obnovy)</w:t>
            </w:r>
            <w:r>
              <w:rPr>
                <w:noProof/>
                <w:color w:val="333333"/>
                <w:sz w:val="22"/>
              </w:rPr>
              <w:t xml:space="preserve">, jakož i na podnikání </w:t>
            </w:r>
            <w:r>
              <w:rPr>
                <w:rStyle w:val="normaltextrun"/>
                <w:noProof/>
                <w:sz w:val="22"/>
              </w:rPr>
              <w:t xml:space="preserve">v oblasti cestovního ruchu. Při změně obhospodařování půdy, v důsledku sníženého objemu rybaření nebo přizpůsobení novým postupům zřejmě vzniknou určité náklady zemědělcům, lesníkům a rybářům. </w:t>
            </w:r>
          </w:p>
        </w:tc>
      </w:tr>
      <w:tr w:rsidR="007D4F0A" w:rsidRPr="0000636F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77777777" w:rsidR="007D4F0A" w:rsidRPr="0000636F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Očekávají se významné dopady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na vnitrostátní rozpočty a správní orgány?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549FD94E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Vzniknou náklady na činnosti spojené s aktivní snahou o obnovu, dále na nákup půdy, kompenzace pro vlastníky půdy, uživatele půdy nebo rybáře za zvýšené náklady a ušlý příjem a dále vzniknou členským státům administrativní náklady v souvislosti s přípravou a prováděním národních plánů na obnovu přírody. Na podporu členských států lze poskytnout významnou část z 10 % víceletého finančního rámce vyčleněných na podporu biologické rozmanitosti do roku 2026.</w:t>
            </w:r>
          </w:p>
        </w:tc>
      </w:tr>
      <w:tr w:rsidR="007D4F0A" w:rsidRPr="0000636F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Očekávají se jiné významné dopady?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63001179" w:rsidR="007D4F0A" w:rsidRPr="0000636F" w:rsidRDefault="6489BE45" w:rsidP="00BD416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EU by šla příkladem v mezinárodních jednáních o biologické rozmanitosti, například v rámci Úmluvy o biologické rozmanitosti. Vývoj společných monitorovacích metodik a případné opětovné použití dat v jiných oblastech monitorování unijních ekosystémů přinese výhody v podobě zjednodušení.  Právní rámec pro obnovu přírody rovněž zásadním způsobem přispěje k naplnění Zelené dohody pro Evropu, včetně cílů právního rámce pro klima, klimatických cílů do roku 2030 a strategie EU pro přizpůsobení se změně klimatu. </w:t>
            </w:r>
          </w:p>
        </w:tc>
      </w:tr>
      <w:tr w:rsidR="007D4F0A" w:rsidRPr="0000636F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77777777" w:rsidR="007D4F0A" w:rsidRPr="0000636F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Proporcionalita?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1AA33CF2" w:rsidR="007D4F0A" w:rsidRPr="0000636F" w:rsidRDefault="7F395D01" w:rsidP="00095F5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Právní rámec, jehož zastřešujícím cílem je obnova přírody, společně s řadou konkrétních cílů věnujících se široké škále ekosystémů, je úměrný míře a rozsahu cílů, jichž má být dosaženo. </w:t>
            </w:r>
          </w:p>
        </w:tc>
      </w:tr>
      <w:tr w:rsidR="007D4F0A" w:rsidRPr="0000636F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D. Návazná opatření</w:t>
            </w:r>
          </w:p>
        </w:tc>
      </w:tr>
      <w:tr w:rsidR="007D4F0A" w:rsidRPr="0000636F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Kdy bude tato politika přezkoumána? </w:t>
            </w:r>
          </w:p>
        </w:tc>
      </w:tr>
      <w:tr w:rsidR="007D4F0A" w:rsidRPr="0000636F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6B4055E2" w:rsidR="005343D8" w:rsidRPr="005343D8" w:rsidRDefault="6DDEF6EA" w:rsidP="5D5495D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Odhaduje se, že tento právní akt vstoupí v platnost v roce 2023 a bude přezkoumán do roku 2035. V případě, že by byla k dispozici dostatečná data a poznatky, by bylo možné zavést dodatečné cíle změnami tohoto předpisu. </w:t>
            </w:r>
            <w:r>
              <w:rPr>
                <w:noProof/>
              </w:rPr>
              <w:t>Komise bude hodnotit pokrok v dosahování příslušných cílů na základě údajů a informací, jež budou členské státy pravidelně předkládat</w:t>
            </w:r>
            <w:r>
              <w:rPr>
                <w:noProof/>
                <w:sz w:val="22"/>
              </w:rPr>
              <w:t xml:space="preserve">.  </w:t>
            </w:r>
          </w:p>
        </w:tc>
      </w:tr>
    </w:tbl>
    <w:p w14:paraId="049F31CB" w14:textId="77777777" w:rsidR="00207894" w:rsidRDefault="00207894" w:rsidP="00ED2F9F">
      <w:pPr>
        <w:rPr>
          <w:noProof/>
          <w:sz w:val="22"/>
          <w:szCs w:val="22"/>
        </w:rPr>
      </w:pPr>
    </w:p>
    <w:sectPr w:rsidR="00207894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96F13" w14:textId="77777777" w:rsidR="00416027" w:rsidRDefault="00416027" w:rsidP="00ED2F9F">
      <w:pPr>
        <w:spacing w:after="0"/>
      </w:pPr>
      <w:r>
        <w:separator/>
      </w:r>
    </w:p>
  </w:endnote>
  <w:endnote w:type="continuationSeparator" w:id="0">
    <w:p w14:paraId="79F22A2D" w14:textId="77777777" w:rsidR="00416027" w:rsidRDefault="00416027" w:rsidP="00ED2F9F">
      <w:pPr>
        <w:spacing w:after="0"/>
      </w:pPr>
      <w:r>
        <w:continuationSeparator/>
      </w:r>
    </w:p>
  </w:endnote>
  <w:endnote w:type="continuationNotice" w:id="1">
    <w:p w14:paraId="3DC9716B" w14:textId="77777777" w:rsidR="00416027" w:rsidRDefault="0041602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E8087" w14:textId="77777777" w:rsidR="002A2D6D" w:rsidRPr="002A2D6D" w:rsidRDefault="002A2D6D" w:rsidP="002A2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5735" w14:textId="151E03CF" w:rsidR="00143B79" w:rsidRPr="002A2D6D" w:rsidRDefault="002A2D6D" w:rsidP="002A2D6D">
    <w:pPr>
      <w:pStyle w:val="FooterCoverPage"/>
      <w:rPr>
        <w:rFonts w:ascii="Arial" w:hAnsi="Arial" w:cs="Arial"/>
        <w:b/>
        <w:sz w:val="48"/>
      </w:rPr>
    </w:pPr>
    <w:r w:rsidRPr="002A2D6D">
      <w:rPr>
        <w:rFonts w:ascii="Arial" w:hAnsi="Arial" w:cs="Arial"/>
        <w:b/>
        <w:sz w:val="48"/>
      </w:rPr>
      <w:t>CS</w:t>
    </w:r>
    <w:r w:rsidRPr="002A2D6D">
      <w:rPr>
        <w:rFonts w:ascii="Arial" w:hAnsi="Arial" w:cs="Arial"/>
        <w:b/>
        <w:sz w:val="48"/>
      </w:rPr>
      <w:tab/>
    </w:r>
    <w:r w:rsidRPr="002A2D6D">
      <w:rPr>
        <w:rFonts w:ascii="Arial" w:hAnsi="Arial" w:cs="Arial"/>
        <w:b/>
        <w:sz w:val="48"/>
      </w:rPr>
      <w:tab/>
    </w:r>
    <w:r w:rsidRPr="002A2D6D">
      <w:tab/>
    </w:r>
    <w:r w:rsidRPr="002A2D6D"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0DF0D" w14:textId="77777777" w:rsidR="002A2D6D" w:rsidRPr="002A2D6D" w:rsidRDefault="002A2D6D" w:rsidP="002A2D6D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6CB917F8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2D6D">
          <w:rPr>
            <w:noProof/>
          </w:rPr>
          <w:t>3</w:t>
        </w:r>
        <w: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5BD424B0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2D6D">
          <w:rPr>
            <w:noProof/>
          </w:rPr>
          <w:t>1</w:t>
        </w:r>
        <w: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F2875" w14:textId="77777777" w:rsidR="00416027" w:rsidRDefault="00416027" w:rsidP="00ED2F9F">
      <w:pPr>
        <w:spacing w:after="0"/>
      </w:pPr>
      <w:r>
        <w:separator/>
      </w:r>
    </w:p>
  </w:footnote>
  <w:footnote w:type="continuationSeparator" w:id="0">
    <w:p w14:paraId="3C3E09CB" w14:textId="77777777" w:rsidR="00416027" w:rsidRDefault="00416027" w:rsidP="00ED2F9F">
      <w:pPr>
        <w:spacing w:after="0"/>
      </w:pPr>
      <w:r>
        <w:continuationSeparator/>
      </w:r>
    </w:p>
  </w:footnote>
  <w:footnote w:type="continuationNotice" w:id="1">
    <w:p w14:paraId="34992381" w14:textId="77777777" w:rsidR="00416027" w:rsidRDefault="0041602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84403" w14:textId="77777777" w:rsidR="002A2D6D" w:rsidRPr="002A2D6D" w:rsidRDefault="002A2D6D" w:rsidP="002A2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DB322" w14:textId="77777777" w:rsidR="002A2D6D" w:rsidRPr="002A2D6D" w:rsidRDefault="002A2D6D" w:rsidP="002A2D6D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E72AF" w14:textId="77777777" w:rsidR="002A2D6D" w:rsidRPr="002A2D6D" w:rsidRDefault="002A2D6D" w:rsidP="002A2D6D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Průvodní dokument k"/>
    <w:docVar w:name="LW_CORRIGENDUM" w:val="&lt;UNUSED&gt;"/>
    <w:docVar w:name="LW_COVERPAGE_EXISTS" w:val="True"/>
    <w:docVar w:name="LW_COVERPAGE_GUID" w:val="483B1B60-F130-4FC1-AB0E-B9D15C50681F"/>
    <w:docVar w:name="LW_COVERPAGE_TYPE" w:val="1"/>
    <w:docVar w:name="LW_CROSSREFERENCE" w:val="{COM(2022) 304 final} - {SEC(2022) 256 final} - {SWD(2022) 167 final}"/>
    <w:docVar w:name="LW_DocType" w:val="NORMAL"/>
    <w:docVar w:name="LW_EMISSION" w:val="22.6.2022"/>
    <w:docVar w:name="LW_EMISSION_ISODATE" w:val="2022-06-22"/>
    <w:docVar w:name="LW_EMISSION_LOCATION" w:val="BRX"/>
    <w:docVar w:name="LW_EMISSION_PREFIX" w:val="V Bruselu dne "/>
    <w:docVar w:name="LW_EMISSION_SUFFIX" w:val=" "/>
    <w:docVar w:name="LW_ID_DOCTYPE_NONLW" w:val="CP-027"/>
    <w:docVar w:name="LW_LANGUE" w:val="CS"/>
    <w:docVar w:name="LW_LEVEL_OF_SENSITIVITY" w:val="Standard treatment"/>
    <w:docVar w:name="LW_NOM.INST" w:val="EVROPSKÁ KOMISE"/>
    <w:docVar w:name="LW_NOM.INST_JOINTDOC" w:val="&lt;EMPTY&gt;"/>
    <w:docVar w:name="LW_OBJETACTEPRINCIPAL.CP" w:val="o obnově přírody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[…]"/>
    <w:docVar w:name="LW_TYPE.DOC.CP" w:val="PRACOVNÍ DOKUMENT ÚTVARŮ KOMISE_x000b__x000b_SOUHRN ZPRÁVY O POSOUZENÍ DOPADŮ_x000b_"/>
    <w:docVar w:name="LW_TYPEACTEPRINCIPAL.CP" w:val="návrhu nařízení Evropského parlamentu a Rady"/>
    <w:docVar w:name="LwApiVersions" w:val="LW4CoDe 1.23.2.0; LW 8.0, Build 20211117"/>
  </w:docVars>
  <w:rsids>
    <w:rsidRoot w:val="007D4F0A"/>
    <w:rsid w:val="000030E6"/>
    <w:rsid w:val="00006F85"/>
    <w:rsid w:val="000333FA"/>
    <w:rsid w:val="00036F66"/>
    <w:rsid w:val="00060D96"/>
    <w:rsid w:val="000805A5"/>
    <w:rsid w:val="0008764B"/>
    <w:rsid w:val="0009552A"/>
    <w:rsid w:val="00095695"/>
    <w:rsid w:val="00095F52"/>
    <w:rsid w:val="000E3E96"/>
    <w:rsid w:val="000E7F96"/>
    <w:rsid w:val="0010196D"/>
    <w:rsid w:val="00107F62"/>
    <w:rsid w:val="00135EA1"/>
    <w:rsid w:val="00141404"/>
    <w:rsid w:val="001430AE"/>
    <w:rsid w:val="00143950"/>
    <w:rsid w:val="00143B79"/>
    <w:rsid w:val="001506EB"/>
    <w:rsid w:val="00151661"/>
    <w:rsid w:val="0015534B"/>
    <w:rsid w:val="00195E04"/>
    <w:rsid w:val="001A723D"/>
    <w:rsid w:val="001C563E"/>
    <w:rsid w:val="001C6228"/>
    <w:rsid w:val="001D11D4"/>
    <w:rsid w:val="001D2488"/>
    <w:rsid w:val="001E2A43"/>
    <w:rsid w:val="001F3BC9"/>
    <w:rsid w:val="00207894"/>
    <w:rsid w:val="00221AA5"/>
    <w:rsid w:val="002304B6"/>
    <w:rsid w:val="0023254D"/>
    <w:rsid w:val="00236354"/>
    <w:rsid w:val="0025635A"/>
    <w:rsid w:val="00274B8D"/>
    <w:rsid w:val="00286607"/>
    <w:rsid w:val="002A0780"/>
    <w:rsid w:val="002A2D6D"/>
    <w:rsid w:val="002A75EF"/>
    <w:rsid w:val="002E06C3"/>
    <w:rsid w:val="002E5BAE"/>
    <w:rsid w:val="002E7B55"/>
    <w:rsid w:val="002F0C0B"/>
    <w:rsid w:val="002F4642"/>
    <w:rsid w:val="00317E79"/>
    <w:rsid w:val="00331EB3"/>
    <w:rsid w:val="00332062"/>
    <w:rsid w:val="00372232"/>
    <w:rsid w:val="00381A24"/>
    <w:rsid w:val="00386049"/>
    <w:rsid w:val="0039222F"/>
    <w:rsid w:val="00395306"/>
    <w:rsid w:val="003C6116"/>
    <w:rsid w:val="003C7973"/>
    <w:rsid w:val="003D2CB4"/>
    <w:rsid w:val="00416027"/>
    <w:rsid w:val="004245AD"/>
    <w:rsid w:val="00451CDC"/>
    <w:rsid w:val="00492265"/>
    <w:rsid w:val="004A4525"/>
    <w:rsid w:val="004D4C7D"/>
    <w:rsid w:val="00500F63"/>
    <w:rsid w:val="005041EA"/>
    <w:rsid w:val="005053F3"/>
    <w:rsid w:val="00511AE9"/>
    <w:rsid w:val="005311C3"/>
    <w:rsid w:val="005343D8"/>
    <w:rsid w:val="005353BF"/>
    <w:rsid w:val="005A26DC"/>
    <w:rsid w:val="005E343D"/>
    <w:rsid w:val="005F0CD9"/>
    <w:rsid w:val="00645325"/>
    <w:rsid w:val="00681C91"/>
    <w:rsid w:val="00685DC6"/>
    <w:rsid w:val="006867F5"/>
    <w:rsid w:val="00686F70"/>
    <w:rsid w:val="006AC706"/>
    <w:rsid w:val="006C1057"/>
    <w:rsid w:val="006C18A4"/>
    <w:rsid w:val="006E2C96"/>
    <w:rsid w:val="006E5E16"/>
    <w:rsid w:val="006F29B3"/>
    <w:rsid w:val="00710F7E"/>
    <w:rsid w:val="00736564"/>
    <w:rsid w:val="0077765C"/>
    <w:rsid w:val="0079103E"/>
    <w:rsid w:val="007C2A60"/>
    <w:rsid w:val="007C53E8"/>
    <w:rsid w:val="007D4F0A"/>
    <w:rsid w:val="007E218F"/>
    <w:rsid w:val="00821350"/>
    <w:rsid w:val="0083683B"/>
    <w:rsid w:val="00856613"/>
    <w:rsid w:val="008633EF"/>
    <w:rsid w:val="00865851"/>
    <w:rsid w:val="00886D6F"/>
    <w:rsid w:val="008A4E97"/>
    <w:rsid w:val="008E3237"/>
    <w:rsid w:val="008F1F5C"/>
    <w:rsid w:val="00902E40"/>
    <w:rsid w:val="00912573"/>
    <w:rsid w:val="00914C7D"/>
    <w:rsid w:val="00923CDF"/>
    <w:rsid w:val="00942C22"/>
    <w:rsid w:val="00950C5B"/>
    <w:rsid w:val="00964C26"/>
    <w:rsid w:val="009C3E06"/>
    <w:rsid w:val="009D2CFD"/>
    <w:rsid w:val="009D5F64"/>
    <w:rsid w:val="009E665A"/>
    <w:rsid w:val="009F007C"/>
    <w:rsid w:val="00A03916"/>
    <w:rsid w:val="00A11B46"/>
    <w:rsid w:val="00A12251"/>
    <w:rsid w:val="00A15E2F"/>
    <w:rsid w:val="00A21829"/>
    <w:rsid w:val="00A36275"/>
    <w:rsid w:val="00A61E89"/>
    <w:rsid w:val="00AD16D1"/>
    <w:rsid w:val="00AF136C"/>
    <w:rsid w:val="00AF23F8"/>
    <w:rsid w:val="00B04683"/>
    <w:rsid w:val="00B054E1"/>
    <w:rsid w:val="00B05E29"/>
    <w:rsid w:val="00B47BF4"/>
    <w:rsid w:val="00B6358B"/>
    <w:rsid w:val="00B63797"/>
    <w:rsid w:val="00B76ADF"/>
    <w:rsid w:val="00B82552"/>
    <w:rsid w:val="00B9444B"/>
    <w:rsid w:val="00BA1575"/>
    <w:rsid w:val="00BA4CBF"/>
    <w:rsid w:val="00BC240A"/>
    <w:rsid w:val="00BD416C"/>
    <w:rsid w:val="00BE5967"/>
    <w:rsid w:val="00BF0C3D"/>
    <w:rsid w:val="00C14518"/>
    <w:rsid w:val="00C20C03"/>
    <w:rsid w:val="00C32161"/>
    <w:rsid w:val="00C5163C"/>
    <w:rsid w:val="00C5307B"/>
    <w:rsid w:val="00CA78CA"/>
    <w:rsid w:val="00CA7E1D"/>
    <w:rsid w:val="00CB0917"/>
    <w:rsid w:val="00CB1F0D"/>
    <w:rsid w:val="00CB294C"/>
    <w:rsid w:val="00CB3209"/>
    <w:rsid w:val="00CD627C"/>
    <w:rsid w:val="00CD7F37"/>
    <w:rsid w:val="00CE220D"/>
    <w:rsid w:val="00D129BF"/>
    <w:rsid w:val="00D32A93"/>
    <w:rsid w:val="00D3307A"/>
    <w:rsid w:val="00D61C73"/>
    <w:rsid w:val="00D92EDA"/>
    <w:rsid w:val="00DA65B5"/>
    <w:rsid w:val="00DC07EE"/>
    <w:rsid w:val="00DE4F2E"/>
    <w:rsid w:val="00DF5D22"/>
    <w:rsid w:val="00DF6F80"/>
    <w:rsid w:val="00E116AF"/>
    <w:rsid w:val="00E245C1"/>
    <w:rsid w:val="00E245D5"/>
    <w:rsid w:val="00E26C8C"/>
    <w:rsid w:val="00E50E8C"/>
    <w:rsid w:val="00E61522"/>
    <w:rsid w:val="00E7551C"/>
    <w:rsid w:val="00E805B3"/>
    <w:rsid w:val="00E931D6"/>
    <w:rsid w:val="00EB45FA"/>
    <w:rsid w:val="00ED1539"/>
    <w:rsid w:val="00ED2F9F"/>
    <w:rsid w:val="00EE726C"/>
    <w:rsid w:val="00EED374"/>
    <w:rsid w:val="00EF065E"/>
    <w:rsid w:val="00F07196"/>
    <w:rsid w:val="00F27EAD"/>
    <w:rsid w:val="00F449B4"/>
    <w:rsid w:val="00F600FC"/>
    <w:rsid w:val="00F606A1"/>
    <w:rsid w:val="00F6413C"/>
    <w:rsid w:val="00F7321F"/>
    <w:rsid w:val="00F76FB7"/>
    <w:rsid w:val="00FA4548"/>
    <w:rsid w:val="00FD32EB"/>
    <w:rsid w:val="00FD7E0E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848A3-2811-4433-8D1F-FB194F93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7248</Characters>
  <Application>Microsoft Office Word</Application>
  <DocSecurity>0</DocSecurity>
  <Lines>99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2022-06-19T15:59:00Z</dcterms:created>
  <dcterms:modified xsi:type="dcterms:W3CDTF">2022-06-27T17:18:00Z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