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538789" w14:textId="41445511" w:rsidR="00063133" w:rsidRPr="008F5F67" w:rsidRDefault="00D25AA3" w:rsidP="00D25AA3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502B55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3" type="#_x0000_t75" alt="1937BF23-2A0C-4A3F-9629-2816B9A91F26" style="width:455.25pt;height:435pt">
            <v:imagedata r:id="rId10" o:title=""/>
          </v:shape>
        </w:pict>
      </w:r>
    </w:p>
    <w:bookmarkEnd w:id="0"/>
    <w:p w14:paraId="4861AF9A" w14:textId="77777777" w:rsidR="00063133" w:rsidRPr="008F5F67" w:rsidRDefault="00063133" w:rsidP="00063133">
      <w:pPr>
        <w:rPr>
          <w:rFonts w:ascii="Times New Roman" w:hAnsi="Times New Roman" w:cs="Times New Roman"/>
          <w:noProof/>
          <w:sz w:val="24"/>
          <w:szCs w:val="24"/>
        </w:rPr>
        <w:sectPr w:rsidR="00063133" w:rsidRPr="008F5F67" w:rsidSect="00D25AA3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669A7B8A" w14:textId="77777777" w:rsidR="004A22C3" w:rsidRPr="004D7CE1" w:rsidRDefault="004A22C3" w:rsidP="004A22C3">
      <w:pPr>
        <w:pStyle w:val="Heading1"/>
        <w:numPr>
          <w:ilvl w:val="0"/>
          <w:numId w:val="1"/>
        </w:numPr>
        <w:rPr>
          <w:rFonts w:ascii="Times New Roman" w:hAnsi="Times New Roman" w:cs="Times New Roman"/>
          <w:b/>
          <w:noProof/>
          <w:color w:val="auto"/>
          <w:sz w:val="24"/>
          <w:szCs w:val="24"/>
        </w:rPr>
      </w:pPr>
      <w:bookmarkStart w:id="1" w:name="_GoBack"/>
      <w:bookmarkEnd w:id="1"/>
      <w:r>
        <w:rPr>
          <w:rFonts w:ascii="Times New Roman" w:hAnsi="Times New Roman"/>
          <w:b/>
          <w:noProof/>
          <w:color w:val="auto"/>
          <w:sz w:val="24"/>
          <w:szCs w:val="24"/>
        </w:rPr>
        <w:lastRenderedPageBreak/>
        <w:t>Úvod</w:t>
      </w:r>
    </w:p>
    <w:p w14:paraId="4F8239BE" w14:textId="77777777" w:rsidR="004A22C3" w:rsidRPr="004D7CE1" w:rsidRDefault="004A22C3" w:rsidP="004A22C3">
      <w:pPr>
        <w:jc w:val="both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</w:rPr>
      </w:pPr>
      <w:r>
        <w:rPr>
          <w:rFonts w:ascii="Times New Roman" w:hAnsi="Times New Roman"/>
          <w:noProof/>
          <w:color w:val="000000" w:themeColor="text1"/>
          <w:sz w:val="24"/>
          <w:szCs w:val="24"/>
        </w:rPr>
        <w:t>V roce 2020 výrazně vzrostl počet významných incidentů postihujících orgány, instituce a jiné subjekty Unie, jejichž původci byli aktéři pokročilé trvalé hrozby (APT). To se rovněž odrazilo v počtu bitových kopií pro forenzní analýzu, které analyzoval tým CERT-EU v roce 2020; ve srovnání s rokem 2019 se jejich počet ztrojnásobil, přičemž počet významných incidentů se od roku 2018 zvýšil více než desetinásobně.</w:t>
      </w:r>
    </w:p>
    <w:p w14:paraId="51EE1B58" w14:textId="56B911F5" w:rsidR="004A22C3" w:rsidRPr="004D7CE1" w:rsidRDefault="004A22C3" w:rsidP="004A22C3">
      <w:pPr>
        <w:jc w:val="both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</w:rPr>
      </w:pPr>
      <w:r>
        <w:rPr>
          <w:rFonts w:ascii="Times New Roman" w:hAnsi="Times New Roman"/>
          <w:noProof/>
          <w:color w:val="000000" w:themeColor="text1"/>
          <w:sz w:val="24"/>
          <w:szCs w:val="24"/>
        </w:rPr>
        <w:t>Schopnosti v oblasti kybernetické bezpečnosti a výdaje na bezpečnost informačních technologií v orgánech, institucích a jiných subjektech Unie jsou v některých případech nápadně nerovnoměrné, což vede k tomu, že je škála úrovní vyspělosti kybernetické bezpečnosti u orgánů, institucí a jiných subjektů Unie velmi rozsáhlá. Z analýzy prostředí hrozeb a ze statistiky o bezpečnostních incidentech v oblasti informačních technologií dále vyplývá, že kybernetická expozice orgánů, institucí a jiných subjektů kybernetickým hrozbám se bude jen zintenzivňovat.</w:t>
      </w:r>
    </w:p>
    <w:p w14:paraId="369BD955" w14:textId="77777777" w:rsidR="004A22C3" w:rsidRPr="004D7CE1" w:rsidRDefault="004A22C3" w:rsidP="004A22C3">
      <w:pPr>
        <w:pStyle w:val="Heading1"/>
        <w:numPr>
          <w:ilvl w:val="0"/>
          <w:numId w:val="1"/>
        </w:numPr>
        <w:rPr>
          <w:rFonts w:ascii="Times New Roman" w:hAnsi="Times New Roman" w:cs="Times New Roman"/>
          <w:b/>
          <w:noProof/>
          <w:color w:val="auto"/>
          <w:sz w:val="24"/>
          <w:szCs w:val="24"/>
        </w:rPr>
      </w:pPr>
      <w:r>
        <w:rPr>
          <w:rFonts w:ascii="Times New Roman" w:hAnsi="Times New Roman"/>
          <w:b/>
          <w:noProof/>
          <w:color w:val="auto"/>
          <w:sz w:val="24"/>
          <w:szCs w:val="24"/>
        </w:rPr>
        <w:t>Cíle</w:t>
      </w:r>
    </w:p>
    <w:p w14:paraId="13ED6DF8" w14:textId="77777777" w:rsidR="004A22C3" w:rsidRPr="004D7CE1" w:rsidRDefault="004A22C3" w:rsidP="004A22C3">
      <w:pPr>
        <w:spacing w:line="240" w:lineRule="auto"/>
        <w:jc w:val="both"/>
        <w:rPr>
          <w:rFonts w:ascii="Times New Roman" w:hAnsi="Times New Roman" w:cs="Times New Roman"/>
          <w:noProof/>
          <w:color w:val="000000" w:themeColor="text1"/>
          <w:sz w:val="24"/>
          <w:szCs w:val="24"/>
        </w:rPr>
      </w:pPr>
      <w:r>
        <w:rPr>
          <w:rFonts w:ascii="Times New Roman" w:hAnsi="Times New Roman"/>
          <w:noProof/>
          <w:color w:val="000000" w:themeColor="text1"/>
          <w:sz w:val="24"/>
          <w:szCs w:val="24"/>
        </w:rPr>
        <w:t>Zjištěné nedostatky v konečném důsledku vedou k nedostatečné úrovni kybernetické odolnosti orgánů, institucí a jiných subjektů Unie, k roztříštěnému vynakládání zdrojů na zajištění bezpečnosti informačních technologií a k nevyvážené situaci v oblasti zabezpečení informačních technologií.</w:t>
      </w:r>
    </w:p>
    <w:p w14:paraId="16A07FA3" w14:textId="77777777" w:rsidR="004A22C3" w:rsidRPr="004D7CE1" w:rsidRDefault="004A22C3" w:rsidP="004A22C3">
      <w:pPr>
        <w:jc w:val="both"/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</w:rPr>
      </w:pPr>
      <w:r>
        <w:rPr>
          <w:rFonts w:ascii="Times New Roman" w:hAnsi="Times New Roman"/>
          <w:noProof/>
          <w:color w:val="000000" w:themeColor="text1"/>
          <w:sz w:val="24"/>
          <w:szCs w:val="24"/>
        </w:rPr>
        <w:t>Cílem legislativního aktu by bylo poskytnout opatření pro zajištění vysoké společné úrovně kybernetické bezpečnosti v orgánech, institucích a jiných subjektech Unie. To by podpořilo a zajistilo, že vyspělost kybernetické bezpečnosti bude držet krok se zrychlující se digitalizací orgánů, institucí a jiných subjektů Unie.</w:t>
      </w:r>
    </w:p>
    <w:p w14:paraId="264D6110" w14:textId="7C76BE9A" w:rsidR="004A22C3" w:rsidRPr="004D7CE1" w:rsidRDefault="004A22C3" w:rsidP="004A22C3">
      <w:pPr>
        <w:pStyle w:val="Heading1"/>
        <w:numPr>
          <w:ilvl w:val="0"/>
          <w:numId w:val="1"/>
        </w:numPr>
        <w:rPr>
          <w:rFonts w:ascii="Times New Roman" w:hAnsi="Times New Roman" w:cs="Times New Roman"/>
          <w:b/>
          <w:noProof/>
          <w:color w:val="auto"/>
          <w:sz w:val="24"/>
          <w:szCs w:val="24"/>
        </w:rPr>
      </w:pPr>
      <w:r>
        <w:rPr>
          <w:rFonts w:ascii="Times New Roman" w:hAnsi="Times New Roman"/>
          <w:b/>
          <w:noProof/>
          <w:color w:val="auto"/>
          <w:sz w:val="24"/>
          <w:szCs w:val="24"/>
        </w:rPr>
        <w:t xml:space="preserve">Interinstitucionální výbor pro kybernetickou bezpečnost a rámec pro kybernetickou bezpečnost </w:t>
      </w:r>
    </w:p>
    <w:p w14:paraId="01917C48" w14:textId="7FD0561B" w:rsidR="004A22C3" w:rsidRPr="004D7CE1" w:rsidRDefault="004A22C3" w:rsidP="004A22C3">
      <w:pPr>
        <w:pStyle w:val="Default"/>
        <w:spacing w:after="165"/>
        <w:jc w:val="both"/>
        <w:rPr>
          <w:noProof/>
          <w:color w:val="000000" w:themeColor="text1"/>
        </w:rPr>
      </w:pPr>
      <w:r>
        <w:rPr>
          <w:noProof/>
          <w:color w:val="000000" w:themeColor="text1"/>
        </w:rPr>
        <w:t xml:space="preserve">Návrh na zřízení </w:t>
      </w:r>
      <w:r>
        <w:rPr>
          <w:bCs/>
          <w:noProof/>
          <w:color w:val="000000" w:themeColor="text1"/>
        </w:rPr>
        <w:t>Interinstitucionálního výboru pro kybernetickou bezpečnost a rámce pro kybernetickou bezpečnost</w:t>
      </w:r>
      <w:r>
        <w:rPr>
          <w:noProof/>
          <w:color w:val="000000" w:themeColor="text1"/>
        </w:rPr>
        <w:t xml:space="preserve"> zavede opatření k zajištění vysoké společné úrovně kybernetické bezpečnosti v orgánech, institucích a dalších subjektech Unie, jež umožní sbližování všech orgánů, institucí a jiných subjektů Unie kolem tohoto rámce za účelem řešení kybernetických bezpečnostních hrozeb, a zavede monitorování a podávání zpráv Interinstitucionálnímu výboru pro kybernetickou bezpečnost.</w:t>
      </w:r>
    </w:p>
    <w:p w14:paraId="455984FD" w14:textId="77777777" w:rsidR="004A22C3" w:rsidRPr="004D7CE1" w:rsidRDefault="004A22C3" w:rsidP="004A22C3">
      <w:pPr>
        <w:pStyle w:val="Default"/>
        <w:spacing w:after="165"/>
        <w:jc w:val="both"/>
        <w:rPr>
          <w:noProof/>
          <w:color w:val="000000" w:themeColor="text1"/>
        </w:rPr>
      </w:pPr>
      <w:r>
        <w:rPr>
          <w:noProof/>
          <w:color w:val="000000" w:themeColor="text1"/>
        </w:rPr>
        <w:t xml:space="preserve">Návrh modernizuje poslání a úkoly centra CERT-EU s ohledem na změny a nárůst digitalizace orgánů, institucí a jiných subjektů Unie v posledních letech a vyvíjející se prostředí kybernetických bezpečnostních hrozeb. </w:t>
      </w:r>
    </w:p>
    <w:p w14:paraId="164FA58C" w14:textId="77777777" w:rsidR="004A22C3" w:rsidRPr="004D7CE1" w:rsidRDefault="004A22C3" w:rsidP="004A22C3">
      <w:pPr>
        <w:pStyle w:val="Default"/>
        <w:spacing w:after="165"/>
        <w:jc w:val="both"/>
        <w:rPr>
          <w:noProof/>
          <w:color w:val="000000" w:themeColor="text1"/>
        </w:rPr>
      </w:pPr>
      <w:r>
        <w:rPr>
          <w:noProof/>
          <w:color w:val="000000" w:themeColor="text1"/>
        </w:rPr>
        <w:t>Návrh nemá přímý dopad ani rozpočtové důsledky pro členské státy nebo občany EU.</w:t>
      </w:r>
    </w:p>
    <w:p w14:paraId="088E9D51" w14:textId="77777777" w:rsidR="004A22C3" w:rsidRPr="004D7CE1" w:rsidRDefault="004A22C3" w:rsidP="004A22C3">
      <w:pPr>
        <w:pStyle w:val="Default"/>
        <w:spacing w:after="165"/>
        <w:jc w:val="both"/>
        <w:rPr>
          <w:noProof/>
          <w:color w:val="000000" w:themeColor="text1"/>
        </w:rPr>
      </w:pPr>
      <w:r>
        <w:rPr>
          <w:noProof/>
          <w:color w:val="000000" w:themeColor="text1"/>
        </w:rPr>
        <w:t>Právním základem pro nařízení je článek 298 Smlouvy o fungování Evropské unie, který stanoví, že při plnění svých úkolů se orgány, instituce a jiné subjekty Unie opírají o otevřenou, efektivní a nezávislou evropskou správu.</w:t>
      </w:r>
    </w:p>
    <w:p w14:paraId="6235DB67" w14:textId="1CF42D23" w:rsidR="004A22C3" w:rsidRPr="004D7CE1" w:rsidRDefault="004A22C3" w:rsidP="004A22C3">
      <w:pPr>
        <w:pStyle w:val="Default"/>
        <w:spacing w:after="165"/>
        <w:jc w:val="both"/>
        <w:rPr>
          <w:noProof/>
          <w:color w:val="000000" w:themeColor="text1"/>
        </w:rPr>
      </w:pPr>
      <w:r>
        <w:rPr>
          <w:noProof/>
          <w:color w:val="000000" w:themeColor="text1"/>
        </w:rPr>
        <w:t>Tento návrh navazuje na strategii bezpečnostní Unie EU (COM(2020) 605 final) a na strategii kybernetické bezpečnosti EU pro digitální dekádu (JOIN(2020) 18 final).</w:t>
      </w:r>
    </w:p>
    <w:p w14:paraId="472EFA59" w14:textId="77777777" w:rsidR="004A22C3" w:rsidRPr="004D7CE1" w:rsidRDefault="004A22C3" w:rsidP="004A22C3">
      <w:pPr>
        <w:pStyle w:val="Heading1"/>
        <w:numPr>
          <w:ilvl w:val="0"/>
          <w:numId w:val="1"/>
        </w:numPr>
        <w:rPr>
          <w:rFonts w:ascii="Times New Roman" w:hAnsi="Times New Roman" w:cs="Times New Roman"/>
          <w:b/>
          <w:noProof/>
          <w:color w:val="auto"/>
          <w:sz w:val="24"/>
          <w:szCs w:val="24"/>
        </w:rPr>
      </w:pPr>
      <w:r>
        <w:rPr>
          <w:rFonts w:ascii="Times New Roman" w:hAnsi="Times New Roman"/>
          <w:b/>
          <w:noProof/>
          <w:color w:val="auto"/>
          <w:sz w:val="24"/>
          <w:szCs w:val="24"/>
        </w:rPr>
        <w:t>Závěr</w:t>
      </w:r>
    </w:p>
    <w:p w14:paraId="704712CD" w14:textId="6F5AC78F" w:rsidR="00327B8D" w:rsidRPr="008F5F67" w:rsidRDefault="004A22C3" w:rsidP="004A22C3">
      <w:pPr>
        <w:pStyle w:val="Default"/>
        <w:spacing w:after="165"/>
        <w:jc w:val="both"/>
        <w:rPr>
          <w:noProof/>
        </w:rPr>
      </w:pPr>
      <w:r>
        <w:rPr>
          <w:bCs/>
          <w:noProof/>
          <w:color w:val="000000" w:themeColor="text1"/>
        </w:rPr>
        <w:t>Interinstitucionální výbor pro kybernetickou bezpečnost a rámec pro kybernetickou bezpečnost</w:t>
      </w:r>
      <w:r>
        <w:rPr>
          <w:noProof/>
          <w:color w:val="000000" w:themeColor="text1"/>
        </w:rPr>
        <w:t xml:space="preserve"> dosahují většiny zamýšlených cílů relativně účinným a efektivním způsobem, soudržným s jinými politikami Unie s nejširší podporou zúčastněných stran. Toto řešení, jež bylo vybráno, je nejvíce životaschopnou možností s ohledem na přetrvávající právní hranice, ve kterých se pohybujeme, přičemž univerzální přístup „jednoho řešení vhodného pro všechny“ by zároveň neodpovídal dnešní heterogenní vyspělosti orgánů, institucí a jiných subjektů Unie a rozdílům v technologických rizicích a složitostem, s nimiž se potýkají.</w:t>
      </w:r>
    </w:p>
    <w:sectPr w:rsidR="00327B8D" w:rsidRPr="008F5F67" w:rsidSect="004D7CE1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3970A24" w14:textId="77777777" w:rsidR="006054D6" w:rsidRDefault="006054D6" w:rsidP="00063133">
      <w:pPr>
        <w:spacing w:after="0" w:line="240" w:lineRule="auto"/>
      </w:pPr>
      <w:r>
        <w:separator/>
      </w:r>
    </w:p>
  </w:endnote>
  <w:endnote w:type="continuationSeparator" w:id="0">
    <w:p w14:paraId="519596AE" w14:textId="77777777" w:rsidR="006054D6" w:rsidRDefault="006054D6" w:rsidP="000631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C4F47" w14:textId="77777777" w:rsidR="00D25AA3" w:rsidRPr="00D25AA3" w:rsidRDefault="00D25AA3" w:rsidP="00D25A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C2674" w14:textId="75066014" w:rsidR="00CD08FA" w:rsidRPr="00D25AA3" w:rsidRDefault="00D25AA3" w:rsidP="00D25AA3">
    <w:pPr>
      <w:pStyle w:val="FooterCoverPage"/>
      <w:rPr>
        <w:rFonts w:ascii="Arial" w:hAnsi="Arial" w:cs="Arial"/>
        <w:b/>
        <w:sz w:val="48"/>
      </w:rPr>
    </w:pPr>
    <w:r w:rsidRPr="00D25AA3">
      <w:rPr>
        <w:rFonts w:ascii="Arial" w:hAnsi="Arial" w:cs="Arial"/>
        <w:b/>
        <w:sz w:val="48"/>
      </w:rPr>
      <w:t>CS</w:t>
    </w:r>
    <w:r w:rsidRPr="00D25AA3">
      <w:rPr>
        <w:rFonts w:ascii="Arial" w:hAnsi="Arial" w:cs="Arial"/>
        <w:b/>
        <w:sz w:val="48"/>
      </w:rPr>
      <w:tab/>
    </w:r>
    <w:r w:rsidRPr="00D25AA3">
      <w:rPr>
        <w:rFonts w:ascii="Arial" w:hAnsi="Arial" w:cs="Arial"/>
        <w:b/>
        <w:sz w:val="48"/>
      </w:rPr>
      <w:tab/>
    </w:r>
    <w:r w:rsidRPr="00D25AA3">
      <w:tab/>
    </w:r>
    <w:r w:rsidRPr="00D25AA3">
      <w:rPr>
        <w:rFonts w:ascii="Arial" w:hAnsi="Arial" w:cs="Arial"/>
        <w:b/>
        <w:sz w:val="48"/>
      </w:rPr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C2810D" w14:textId="77777777" w:rsidR="00D25AA3" w:rsidRPr="00D25AA3" w:rsidRDefault="00D25AA3" w:rsidP="00D25AA3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ACF109" w14:textId="77777777" w:rsidR="0026613F" w:rsidRDefault="00D25AA3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</w:rPr>
      <w:id w:val="2201007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C9CC1E" w14:textId="14C17FA8" w:rsidR="0026613F" w:rsidRPr="002D7482" w:rsidRDefault="005D12F1">
        <w:pPr>
          <w:pStyle w:val="Footer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  \* MERGEFORMAT </w:instrText>
        </w:r>
        <w:r>
          <w:rPr>
            <w:rFonts w:ascii="Times New Roman" w:hAnsi="Times New Roman" w:cs="Times New Roman"/>
          </w:rPr>
          <w:fldChar w:fldCharType="separate"/>
        </w:r>
        <w:r w:rsidR="00D25AA3">
          <w:rPr>
            <w:rFonts w:ascii="Times New Roman" w:hAnsi="Times New Roman" w:cs="Times New Roman"/>
            <w:noProof/>
          </w:rPr>
          <w:t>1</w:t>
        </w:r>
        <w:r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7B0ECD" w14:textId="77777777" w:rsidR="0026613F" w:rsidRDefault="00D25A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0CBE53" w14:textId="77777777" w:rsidR="006054D6" w:rsidRDefault="006054D6" w:rsidP="00063133">
      <w:pPr>
        <w:spacing w:after="0" w:line="240" w:lineRule="auto"/>
      </w:pPr>
      <w:r>
        <w:separator/>
      </w:r>
    </w:p>
  </w:footnote>
  <w:footnote w:type="continuationSeparator" w:id="0">
    <w:p w14:paraId="146B75DB" w14:textId="77777777" w:rsidR="006054D6" w:rsidRDefault="006054D6" w:rsidP="000631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369ED8" w14:textId="77777777" w:rsidR="00D25AA3" w:rsidRPr="00D25AA3" w:rsidRDefault="00D25AA3" w:rsidP="00D25A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23E2EA" w14:textId="77777777" w:rsidR="00D25AA3" w:rsidRPr="00D25AA3" w:rsidRDefault="00D25AA3" w:rsidP="00D25AA3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3258B5" w14:textId="77777777" w:rsidR="00D25AA3" w:rsidRPr="00D25AA3" w:rsidRDefault="00D25AA3" w:rsidP="00D25AA3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139127" w14:textId="77777777" w:rsidR="0026613F" w:rsidRDefault="00D25AA3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2A6C69" w14:textId="77777777" w:rsidR="0026613F" w:rsidRPr="004D7CE1" w:rsidRDefault="00D25AA3">
    <w:pPr>
      <w:pStyle w:val="Header"/>
      <w:rPr>
        <w:rFonts w:ascii="Times New Roman" w:hAnsi="Times New Roman" w:cs="Times New Roman"/>
        <w:sz w:val="20"/>
        <w:szCs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89CF3E" w14:textId="77777777" w:rsidR="0026613F" w:rsidRDefault="00D25AA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2904EC"/>
    <w:multiLevelType w:val="hybridMultilevel"/>
    <w:tmpl w:val="FC561CA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hideSpellingErrors/>
  <w:hideGrammaticalErrors/>
  <w:revisionView w:markup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ACCOMPAGNANT.CP" w:val="Průvodní dokument k"/>
    <w:docVar w:name="LW_CORRIGENDUM" w:val="&lt;UNUSED&gt;"/>
    <w:docVar w:name="LW_COVERPAGE_EXISTS" w:val="True"/>
    <w:docVar w:name="LW_COVERPAGE_GUID" w:val="1937BF23-2A0C-4A3F-9629-2816B9A91F26"/>
    <w:docVar w:name="LW_COVERPAGE_TYPE" w:val="1"/>
    <w:docVar w:name="LW_CROSSREFERENCE" w:val="{COM(2022) 122 final} - {SWD(2022) 67 final}"/>
    <w:docVar w:name="LW_DocType" w:val="NORMAL"/>
    <w:docVar w:name="LW_EMISSION" w:val="22.3.2022"/>
    <w:docVar w:name="LW_EMISSION_ISODATE" w:val="2022-03-22"/>
    <w:docVar w:name="LW_EMISSION_LOCATION" w:val="BRX"/>
    <w:docVar w:name="LW_EMISSION_PREFIX" w:val="V Bruselu dne "/>
    <w:docVar w:name="LW_EMISSION_SUFFIX" w:val=" "/>
    <w:docVar w:name="LW_ID_DOCTYPE_NONLW" w:val="CP-025"/>
    <w:docVar w:name="LW_LANGUE" w:val="CS"/>
    <w:docVar w:name="LW_LEVEL_OF_SENSITIVITY" w:val="Standard treatment"/>
    <w:docVar w:name="LW_NOM.INST" w:val="EVROPSKÁ KOMISE"/>
    <w:docVar w:name="LW_NOM.INST_JOINTDOC" w:val="&lt;EMPTY&gt;"/>
    <w:docVar w:name="LW_OBJETACTEPRINCIPAL.CP" w:val="_x000b_&lt;FMT:Bold&gt;kterým se stanoví opatření k zajištění vysoké společné úrovně kybernetické bezpečnosti v orgánech, institucích a jiných subjektech Unie&lt;/FMT&gt;_x000b_"/>
    <w:docVar w:name="LW_PART_NBR" w:val="1"/>
    <w:docVar w:name="LW_PART_NBR_TOTAL" w:val="1"/>
    <w:docVar w:name="LW_REF.INST.NEW" w:val="SWD"/>
    <w:docVar w:name="LW_REF.INST.NEW_ADOPTED" w:val="final"/>
    <w:docVar w:name="LW_REF.INST.NEW_TEXT" w:val="(2022) 68"/>
    <w:docVar w:name="LW_REF.INTERNE" w:val="&lt;UNUSED&gt;"/>
    <w:docVar w:name="LW_SENSITIVITY" w:val="&lt;?xml version=&quot;1.0&quot; encoding=&quot;utf-8&quot;?&gt;_x000d__x000a_&lt;SensitivityLevel xmlns:xsi=&quot;http://www.w3.org/2001/XMLSchema-instance&quot; xmlns:xsd=&quot;http://www.w3.org/2001/XMLSchema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ITRE.OBJ.CP" w:val="SOUHRN ANALÝZY DOPADŮ"/>
    <w:docVar w:name="LW_TYPE.DOC.CP" w:val="PRACOVNÍ DOKUMENT ÚTVARŮ KOMISE"/>
    <w:docVar w:name="LW_TYPEACTEPRINCIPAL.CP" w:val="návrhu NAŘÍZENÍ EVROPSKÉHO PARLAMENTU A RADY,"/>
    <w:docVar w:name="LwApiVersions" w:val="LW4CoDe 1.23.2.0; LW 8.0, Build 20211117"/>
  </w:docVars>
  <w:rsids>
    <w:rsidRoot w:val="00063133"/>
    <w:rsid w:val="00000D53"/>
    <w:rsid w:val="00063133"/>
    <w:rsid w:val="00174AA5"/>
    <w:rsid w:val="00285ED9"/>
    <w:rsid w:val="002D7482"/>
    <w:rsid w:val="00327B8D"/>
    <w:rsid w:val="003319DC"/>
    <w:rsid w:val="00381F78"/>
    <w:rsid w:val="004053C5"/>
    <w:rsid w:val="00476F5F"/>
    <w:rsid w:val="004A22C3"/>
    <w:rsid w:val="00512948"/>
    <w:rsid w:val="005A165D"/>
    <w:rsid w:val="005B6B0C"/>
    <w:rsid w:val="005D12F1"/>
    <w:rsid w:val="005D166D"/>
    <w:rsid w:val="005F122F"/>
    <w:rsid w:val="006054D6"/>
    <w:rsid w:val="006977DD"/>
    <w:rsid w:val="006E6DBB"/>
    <w:rsid w:val="00707CD6"/>
    <w:rsid w:val="007450AD"/>
    <w:rsid w:val="007B0665"/>
    <w:rsid w:val="007F5C9C"/>
    <w:rsid w:val="008378F7"/>
    <w:rsid w:val="00852D07"/>
    <w:rsid w:val="008F5F67"/>
    <w:rsid w:val="008F650B"/>
    <w:rsid w:val="00920ADE"/>
    <w:rsid w:val="00941589"/>
    <w:rsid w:val="009860D1"/>
    <w:rsid w:val="009C6C87"/>
    <w:rsid w:val="00AE63D5"/>
    <w:rsid w:val="00B210BB"/>
    <w:rsid w:val="00B93E30"/>
    <w:rsid w:val="00C41B56"/>
    <w:rsid w:val="00C74B97"/>
    <w:rsid w:val="00C81C49"/>
    <w:rsid w:val="00CB30D5"/>
    <w:rsid w:val="00CD08FA"/>
    <w:rsid w:val="00D25AA3"/>
    <w:rsid w:val="00D26B3A"/>
    <w:rsid w:val="00DC6DAD"/>
    <w:rsid w:val="00E00112"/>
    <w:rsid w:val="00F41FFE"/>
    <w:rsid w:val="00F54639"/>
    <w:rsid w:val="00F7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53E436B"/>
  <w15:chartTrackingRefBased/>
  <w15:docId w15:val="{F441AEBE-68E1-440A-856F-550296B89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22C3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arker">
    <w:name w:val="Marker"/>
    <w:basedOn w:val="DefaultParagraphFont"/>
    <w:rsid w:val="00063133"/>
    <w:rPr>
      <w:color w:val="0000FF"/>
      <w:shd w:val="clear" w:color="auto" w:fill="auto"/>
    </w:rPr>
  </w:style>
  <w:style w:type="paragraph" w:customStyle="1" w:styleId="Pagedecouverture">
    <w:name w:val="Page de couverture"/>
    <w:basedOn w:val="Normal"/>
    <w:next w:val="Normal"/>
    <w:rsid w:val="00063133"/>
    <w:pPr>
      <w:spacing w:after="0" w:line="240" w:lineRule="auto"/>
      <w:jc w:val="both"/>
    </w:pPr>
    <w:rPr>
      <w:rFonts w:ascii="Times New Roman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063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3133"/>
  </w:style>
  <w:style w:type="paragraph" w:styleId="Footer">
    <w:name w:val="footer"/>
    <w:basedOn w:val="Normal"/>
    <w:link w:val="FooterChar"/>
    <w:uiPriority w:val="99"/>
    <w:unhideWhenUsed/>
    <w:rsid w:val="000631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3133"/>
  </w:style>
  <w:style w:type="paragraph" w:customStyle="1" w:styleId="FooterCoverPage">
    <w:name w:val="Footer Cover Page"/>
    <w:basedOn w:val="Normal"/>
    <w:link w:val="FooterCoverPageChar"/>
    <w:rsid w:val="00063133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063133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rsid w:val="000631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063133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rsid w:val="00063133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063133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rsid w:val="0006313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063133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063133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063133"/>
    <w:rPr>
      <w:rFonts w:ascii="Times New Roman" w:hAnsi="Times New Roman" w:cs="Times New Roman"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4A22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Default">
    <w:name w:val="Default"/>
    <w:rsid w:val="004A22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header" Target="header5.xml"/><Relationship Id="rId3" Type="http://schemas.openxmlformats.org/officeDocument/2006/relationships/customXml" Target="../customXml/item3.xml"/><Relationship Id="rId21" Type="http://schemas.openxmlformats.org/officeDocument/2006/relationships/header" Target="header6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23" Type="http://schemas.openxmlformats.org/officeDocument/2006/relationships/fontTable" Target="fontTable.xml"/><Relationship Id="rId10" Type="http://schemas.openxmlformats.org/officeDocument/2006/relationships/image" Target="media/image1.emf"/><Relationship Id="rId19" Type="http://schemas.openxmlformats.org/officeDocument/2006/relationships/footer" Target="footer4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CADA9313B1FD4EB4E136E9B93EC6EB" ma:contentTypeVersion="6" ma:contentTypeDescription="Create a new document." ma:contentTypeScope="" ma:versionID="781e5011cf906964be7d8189fde8c23f">
  <xsd:schema xmlns:xsd="http://www.w3.org/2001/XMLSchema" xmlns:xs="http://www.w3.org/2001/XMLSchema" xmlns:p="http://schemas.microsoft.com/office/2006/metadata/properties" xmlns:ns2="1172c1e8-1a1e-43f1-ab3b-d134b3755889" xmlns:ns3="0cb777b6-10cc-463b-b285-1f240af06f9f" targetNamespace="http://schemas.microsoft.com/office/2006/metadata/properties" ma:root="true" ma:fieldsID="663dc70de7500908842551d21104481b" ns2:_="" ns3:_="">
    <xsd:import namespace="1172c1e8-1a1e-43f1-ab3b-d134b3755889"/>
    <xsd:import namespace="0cb777b6-10cc-463b-b285-1f240af06f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72c1e8-1a1e-43f1-ab3b-d134b37558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b777b6-10cc-463b-b285-1f240af06f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D905228-1FD7-44E6-B8F1-BB801F943D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72c1e8-1a1e-43f1-ab3b-d134b3755889"/>
    <ds:schemaRef ds:uri="0cb777b6-10cc-463b-b285-1f240af06f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413DB8F-6F14-40A9-985A-977BA074364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46573B-E2CB-44D8-BABE-DCEAAD90505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468</Words>
  <Characters>3004</Characters>
  <Application>Microsoft Office Word</Application>
  <DocSecurity>0</DocSecurity>
  <Lines>49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31</cp:revision>
  <dcterms:created xsi:type="dcterms:W3CDTF">2022-02-23T11:22:00Z</dcterms:created>
  <dcterms:modified xsi:type="dcterms:W3CDTF">2022-03-23T10:34:00Z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Part">
    <vt:lpwstr>1</vt:lpwstr>
  </property>
  <property fmtid="{D5CDD505-2E9C-101B-9397-08002B2CF9AE}" pid="4" name="Total parts">
    <vt:lpwstr>1</vt:lpwstr>
  </property>
  <property fmtid="{D5CDD505-2E9C-101B-9397-08002B2CF9AE}" pid="5" name="DocStatus">
    <vt:lpwstr>Green</vt:lpwstr>
  </property>
  <property fmtid="{D5CDD505-2E9C-101B-9397-08002B2CF9AE}" pid="6" name="CPTemplateID">
    <vt:lpwstr>CP-025</vt:lpwstr>
  </property>
  <property fmtid="{D5CDD505-2E9C-101B-9397-08002B2CF9AE}" pid="7" name="Last edited using">
    <vt:lpwstr>LW 8.0, Build 20220128</vt:lpwstr>
  </property>
  <property fmtid="{D5CDD505-2E9C-101B-9397-08002B2CF9AE}" pid="8" name="Created using">
    <vt:lpwstr>LW 7.0.1, Build 20200226</vt:lpwstr>
  </property>
  <property fmtid="{D5CDD505-2E9C-101B-9397-08002B2CF9AE}" pid="9" name="_LW_INVALIDATED__LW_INVALIDATED__LW_INVALIDATED_ContentTypeId">
    <vt:lpwstr>0x010100D2CADA9313B1FD4EB4E136E9B93EC6EB</vt:lpwstr>
  </property>
  <property name="OP_sanitized" fmtid="{D5CDD505-2E9C-101B-9397-08002B2CF9AE}" pid="10">
    <vt:lpwstr>True</vt:lpwstr>
  </property>
</Properties>
</file>