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89697" w14:textId="18EC470D" w:rsidR="00F26D5E" w:rsidRPr="00564C51" w:rsidRDefault="00B310AD" w:rsidP="00B310AD">
      <w:pPr>
        <w:pStyle w:val="Pagedecouverture"/>
        <w:rPr>
          <w:noProof/>
        </w:rPr>
      </w:pPr>
      <w:r>
        <w:rPr>
          <w:noProof/>
        </w:rPr>
        <w:pict w14:anchorId="080CC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E8AD5B3-39F9-4D25-AE74-4F20AFC7A5B6" style="width:455.25pt;height:369.75pt">
            <v:imagedata r:id="rId8" o:title=""/>
          </v:shape>
        </w:pict>
      </w:r>
    </w:p>
    <w:p w14:paraId="31F607AE" w14:textId="77777777" w:rsidR="00F26D5E" w:rsidRPr="00564C51" w:rsidRDefault="00F26D5E" w:rsidP="00F26D5E">
      <w:pPr>
        <w:rPr>
          <w:noProof/>
        </w:rPr>
        <w:sectPr w:rsidR="00F26D5E" w:rsidRPr="00564C51" w:rsidSect="00B310AD">
          <w:footerReference w:type="default" r:id="rId9"/>
          <w:pgSz w:w="11907" w:h="16839"/>
          <w:pgMar w:top="1134" w:right="1417" w:bottom="1134" w:left="1417" w:header="709" w:footer="709" w:gutter="0"/>
          <w:pgNumType w:start="0"/>
          <w:cols w:space="720"/>
          <w:docGrid w:linePitch="360"/>
        </w:sectPr>
      </w:pPr>
    </w:p>
    <w:p w14:paraId="46917C78" w14:textId="77777777" w:rsidR="00F26D5E" w:rsidRPr="00564C51" w:rsidRDefault="00F26D5E" w:rsidP="00BB6B30">
      <w:pPr>
        <w:pStyle w:val="Exposdesmotifstitre"/>
        <w:rPr>
          <w:noProof/>
        </w:rPr>
      </w:pPr>
      <w:bookmarkStart w:id="0" w:name="_GoBack"/>
      <w:bookmarkEnd w:id="0"/>
      <w:r w:rsidRPr="00564C51">
        <w:rPr>
          <w:noProof/>
        </w:rPr>
        <w:lastRenderedPageBreak/>
        <w:t>DŮVODOVÁ ZPRÁVA</w:t>
      </w:r>
    </w:p>
    <w:p w14:paraId="5660F4C3" w14:textId="77777777" w:rsidR="00F26D5E" w:rsidRPr="00564C51" w:rsidRDefault="00827DE0" w:rsidP="0029266A">
      <w:pPr>
        <w:widowControl w:val="0"/>
        <w:shd w:val="clear" w:color="auto" w:fill="FFFFFF"/>
        <w:autoSpaceDE w:val="0"/>
        <w:autoSpaceDN w:val="0"/>
        <w:adjustRightInd w:val="0"/>
        <w:spacing w:before="230" w:after="0" w:line="269" w:lineRule="exact"/>
        <w:ind w:right="86"/>
        <w:rPr>
          <w:noProof/>
        </w:rPr>
      </w:pPr>
      <w:r w:rsidRPr="00564C51">
        <w:rPr>
          <w:noProof/>
        </w:rPr>
        <w:t>Podle čl. 395 odst. 1 směrnice Rady 2006/112/ES ze dne 28. listopadu 2006 o společném systému daně z přidané hodnoty</w:t>
      </w:r>
      <w:r w:rsidRPr="00564C51">
        <w:rPr>
          <w:rStyle w:val="FootnoteReference"/>
          <w:noProof/>
        </w:rPr>
        <w:footnoteReference w:id="1"/>
      </w:r>
      <w:r w:rsidRPr="00564C51">
        <w:rPr>
          <w:noProof/>
        </w:rPr>
        <w:t xml:space="preserve"> („směrnice o DPH“) může Rada na návrh Komise jednomyslně povolit kterémukoli členskému státu, aby uplatnil zvláštní opatření odchylující se od uvedené směrnice, jejichž cílem je zjednodušit postup výběru DPH nebo zabránit určitým druhům daňových úniků či vyhýbání se daňovým povinnostem.</w:t>
      </w:r>
    </w:p>
    <w:p w14:paraId="609ACFA1" w14:textId="15816E19" w:rsidR="00827DE0" w:rsidRPr="00564C51" w:rsidRDefault="00827DE0" w:rsidP="0029266A">
      <w:pPr>
        <w:widowControl w:val="0"/>
        <w:shd w:val="clear" w:color="auto" w:fill="FFFFFF"/>
        <w:autoSpaceDE w:val="0"/>
        <w:autoSpaceDN w:val="0"/>
        <w:adjustRightInd w:val="0"/>
        <w:spacing w:before="230" w:after="0" w:line="269" w:lineRule="exact"/>
        <w:ind w:right="86"/>
        <w:rPr>
          <w:noProof/>
        </w:rPr>
      </w:pPr>
      <w:r w:rsidRPr="00564C51">
        <w:rPr>
          <w:noProof/>
        </w:rPr>
        <w:t>Bulharsko požádalo dopisem, který Komise zaevidovala dne 17. května 2022, o povolení uplatňovat do 31. prosince 2024 opatření odchylující se od článku 287 směrnice o DPH, které mu umožňuje osvobodit od DPH osoby povinné k dani, jejichž roční obrat nepřesahuje 51 130 EUR v národní měně.</w:t>
      </w:r>
    </w:p>
    <w:p w14:paraId="2E1C37D2" w14:textId="56128B6C" w:rsidR="00E94F5F" w:rsidRPr="00564C51" w:rsidRDefault="00E94F5F" w:rsidP="0029266A">
      <w:pPr>
        <w:widowControl w:val="0"/>
        <w:shd w:val="clear" w:color="auto" w:fill="FFFFFF"/>
        <w:autoSpaceDE w:val="0"/>
        <w:autoSpaceDN w:val="0"/>
        <w:adjustRightInd w:val="0"/>
        <w:spacing w:before="230" w:after="0" w:line="269" w:lineRule="exact"/>
        <w:ind w:right="86"/>
        <w:rPr>
          <w:noProof/>
        </w:rPr>
      </w:pPr>
      <w:r w:rsidRPr="00564C51">
        <w:rPr>
          <w:noProof/>
        </w:rPr>
        <w:t>V souladu s čl. 395 odst. 2 druhým pododstavcem směrnice o DPH informovala Komise dopisem ze dne 26. července 2022 o žádosti Bulharska ostatní členské státy. Dopisem ze dne 27. července 2022 oznámila Komise Bulharsku, že má k dispozici všechny údaje potřebné k posouzení žádosti.</w:t>
      </w:r>
    </w:p>
    <w:p w14:paraId="0B962F16" w14:textId="77777777" w:rsidR="00F26D5E" w:rsidRPr="00564C51" w:rsidRDefault="00F26D5E" w:rsidP="00BB6B30">
      <w:pPr>
        <w:pStyle w:val="ManualHeading1"/>
        <w:rPr>
          <w:noProof/>
        </w:rPr>
      </w:pPr>
      <w:r w:rsidRPr="00564C51">
        <w:rPr>
          <w:noProof/>
        </w:rPr>
        <w:t>1.</w:t>
      </w:r>
      <w:r w:rsidRPr="00564C51">
        <w:rPr>
          <w:noProof/>
        </w:rPr>
        <w:tab/>
        <w:t>SOUVISLOSTI NÁVRHU</w:t>
      </w:r>
    </w:p>
    <w:p w14:paraId="1B991086" w14:textId="77777777" w:rsidR="00F26D5E" w:rsidRPr="00564C51" w:rsidRDefault="00F26D5E" w:rsidP="001760E8">
      <w:pPr>
        <w:pStyle w:val="ManualHeading2"/>
        <w:rPr>
          <w:rFonts w:eastAsia="Arial Unicode MS"/>
          <w:noProof/>
        </w:rPr>
      </w:pPr>
      <w:r w:rsidRPr="00564C51">
        <w:rPr>
          <w:noProof/>
          <w:color w:val="000000"/>
          <w:u w:color="000000"/>
          <w:bdr w:val="nil"/>
        </w:rPr>
        <w:t>•</w:t>
      </w:r>
      <w:r w:rsidRPr="00564C51">
        <w:rPr>
          <w:noProof/>
        </w:rPr>
        <w:tab/>
        <w:t>Odůvodnění a cíle návrhu</w:t>
      </w:r>
    </w:p>
    <w:p w14:paraId="5A1B9AA0" w14:textId="11DDF960" w:rsidR="00F26D5E" w:rsidRPr="00564C51" w:rsidRDefault="001760E8" w:rsidP="0029266A">
      <w:pPr>
        <w:pBdr>
          <w:top w:val="nil"/>
          <w:left w:val="nil"/>
          <w:bottom w:val="nil"/>
          <w:right w:val="nil"/>
          <w:between w:val="nil"/>
          <w:bar w:val="nil"/>
        </w:pBdr>
        <w:spacing w:before="0" w:after="240"/>
        <w:rPr>
          <w:rFonts w:eastAsia="Arial Unicode MS"/>
          <w:noProof/>
        </w:rPr>
      </w:pPr>
      <w:r w:rsidRPr="00564C51">
        <w:rPr>
          <w:noProof/>
        </w:rPr>
        <w:t>Podle hlavy XII kapitoly 1 směrnice o DPH mohou členské státy uplatňovat zvláštní režimy pro malé podniky, včetně možnosti osvobodit od daně osoby povinné k dani, jejichž roční obrat nepřesahuje určitou částku. Z tohoto osvobození vyplývá, že osoby povinné k dani nemusí účtovat DPH za dodání zboží a poskytnutí služeb, a proto si ji nemohou odečíst na vstupu.</w:t>
      </w:r>
    </w:p>
    <w:p w14:paraId="65E45E93" w14:textId="393AEC46" w:rsidR="00514E1D" w:rsidRPr="00564C51" w:rsidRDefault="00514E1D" w:rsidP="00707DBB">
      <w:pPr>
        <w:pBdr>
          <w:top w:val="nil"/>
          <w:left w:val="nil"/>
          <w:bottom w:val="nil"/>
          <w:right w:val="nil"/>
          <w:between w:val="nil"/>
          <w:bar w:val="nil"/>
        </w:pBdr>
        <w:spacing w:before="0" w:after="240"/>
        <w:rPr>
          <w:rFonts w:eastAsia="Arial Unicode MS"/>
          <w:noProof/>
        </w:rPr>
      </w:pPr>
      <w:r w:rsidRPr="00564C51">
        <w:rPr>
          <w:noProof/>
        </w:rPr>
        <w:t>Podle článku 287 směrnice o DPH mohou členské státy, které přistoupily po 1. lednu 1978, poskytovat osvobození od daně osobám povinným k dani, jejichž roční obrat je nejvýše roven ekvivalentu částek v národní měně vymezených v uvedeném ustanovení při kurzu platném ke dni jejich přistoupení.</w:t>
      </w:r>
    </w:p>
    <w:p w14:paraId="24870928" w14:textId="54D7182B" w:rsidR="00514E1D" w:rsidRPr="00564C51" w:rsidRDefault="00514E1D" w:rsidP="00707DBB">
      <w:pPr>
        <w:pBdr>
          <w:top w:val="nil"/>
          <w:left w:val="nil"/>
          <w:bottom w:val="nil"/>
          <w:right w:val="nil"/>
          <w:between w:val="nil"/>
          <w:bar w:val="nil"/>
        </w:pBdr>
        <w:spacing w:before="0" w:after="240"/>
        <w:rPr>
          <w:rFonts w:eastAsia="Arial Unicode MS"/>
          <w:noProof/>
        </w:rPr>
      </w:pPr>
      <w:r w:rsidRPr="00564C51">
        <w:rPr>
          <w:noProof/>
        </w:rPr>
        <w:t>Podle čl. 287 bodu 17 směrnice o DPH může Bulharsko poskytnout osvobození od DPH osobám povinným k dani, jejichž roční obrat je nejvýše roven ekvivalentu částky 25 600 EUR v národní měně.</w:t>
      </w:r>
    </w:p>
    <w:p w14:paraId="5AC710CC" w14:textId="4090CB5E" w:rsidR="00514E1D" w:rsidRPr="00564C51" w:rsidRDefault="00514E1D" w:rsidP="00707DBB">
      <w:pPr>
        <w:pBdr>
          <w:top w:val="nil"/>
          <w:left w:val="nil"/>
          <w:bottom w:val="nil"/>
          <w:right w:val="nil"/>
          <w:between w:val="nil"/>
          <w:bar w:val="nil"/>
        </w:pBdr>
        <w:spacing w:before="0" w:after="240"/>
        <w:rPr>
          <w:rFonts w:eastAsia="Arial Unicode MS"/>
          <w:noProof/>
        </w:rPr>
      </w:pPr>
      <w:r w:rsidRPr="00564C51">
        <w:rPr>
          <w:noProof/>
        </w:rPr>
        <w:t>Povolení zvýšit prahovou hodnotu ročního obratu z 25 600 EUR na 51 130 EUR by významně zjednodušilo administrativní zátěž malých podniků způsobilých pro osvobození od daně a díky osvobození od povinností v rámci běžného režimu DPH, jako je vedení záznamů o DPH nebo podávání přiznání k DPH, by podpořilo jejich rozvoj. Zavedení tohoto zvláštního opatření by navíc vedlo k nižšímu zatížení daňové správy, neboť by se omezila povinnost spravovat a kontrolovat osoby povinné k dani, jejichž obrat nedosahuje prahové hodnoty. Kromě toho by to mělo pozitivní dopad na obecnou úroveň dodržování povinnosti v oblasti DPH těmito povinnými osobami.</w:t>
      </w:r>
    </w:p>
    <w:p w14:paraId="7DB94B9D" w14:textId="01023F2A" w:rsidR="00140472" w:rsidRPr="00564C51" w:rsidRDefault="00140472" w:rsidP="00707DBB">
      <w:pPr>
        <w:pBdr>
          <w:top w:val="nil"/>
          <w:left w:val="nil"/>
          <w:bottom w:val="nil"/>
          <w:right w:val="nil"/>
          <w:between w:val="nil"/>
          <w:bar w:val="nil"/>
        </w:pBdr>
        <w:spacing w:before="0" w:after="240"/>
        <w:rPr>
          <w:rFonts w:eastAsia="Arial Unicode MS"/>
          <w:noProof/>
        </w:rPr>
      </w:pPr>
      <w:r w:rsidRPr="00564C51">
        <w:rPr>
          <w:noProof/>
        </w:rPr>
        <w:t>Toto zvláštní opatření je pro osoby povinné k dani naprosto dobrovolné. Malé podniky, jejichž obrat nepřesáhne danou prahovou hodnotu, by proto měly i nadále možnost uplatnit své právo na používání běžného režimu DPH.</w:t>
      </w:r>
    </w:p>
    <w:p w14:paraId="16209429" w14:textId="71418EA0" w:rsidR="00140472" w:rsidRPr="00564C51" w:rsidRDefault="00140472" w:rsidP="00707DBB">
      <w:pPr>
        <w:pBdr>
          <w:top w:val="nil"/>
          <w:left w:val="nil"/>
          <w:bottom w:val="nil"/>
          <w:right w:val="nil"/>
          <w:between w:val="nil"/>
          <w:bar w:val="nil"/>
        </w:pBdr>
        <w:spacing w:before="0" w:after="240"/>
        <w:rPr>
          <w:rFonts w:eastAsia="Arial Unicode MS"/>
          <w:noProof/>
        </w:rPr>
      </w:pPr>
      <w:r w:rsidRPr="00564C51">
        <w:rPr>
          <w:noProof/>
        </w:rPr>
        <w:t>Podle odhadů poskytnutých Bulharskem by zavedení zvláštního opatření vedlo ke snížení příjmů z DPH zhruba o 1 %, a proto by nemělo významný vliv na celkovou výši příjmů z DPH ani na celkovou výši daňových příjmů vybraných na stupni konečné spotřeby. Konkrétně Bulharsko uvedlo, že v roce 2020 mělo z 319 666 registrovaných osob povinných k dani 32 619 (tj. 1 %) roční obrat mezi 25 600 EUR a 51 130 EUR a mohlo využít zvláštního opatření.</w:t>
      </w:r>
    </w:p>
    <w:p w14:paraId="7BC109D4" w14:textId="77777777" w:rsidR="00EC5549" w:rsidRPr="00564C51" w:rsidRDefault="00EC5549" w:rsidP="0029266A">
      <w:pPr>
        <w:pBdr>
          <w:top w:val="nil"/>
          <w:left w:val="nil"/>
          <w:bottom w:val="nil"/>
          <w:right w:val="nil"/>
          <w:between w:val="nil"/>
          <w:bar w:val="nil"/>
        </w:pBdr>
        <w:spacing w:before="0" w:after="240"/>
        <w:rPr>
          <w:rFonts w:eastAsia="Arial Unicode MS"/>
          <w:noProof/>
        </w:rPr>
      </w:pPr>
      <w:r w:rsidRPr="00564C51">
        <w:rPr>
          <w:noProof/>
        </w:rPr>
        <w:t>Zvláštní opatření, které zjednodušuje povinnosti malých hospodářských subjektů, je v souladu s cíli, jež Evropská unie stanovila pro malé podniky.</w:t>
      </w:r>
    </w:p>
    <w:p w14:paraId="37A305DF" w14:textId="0BECE980" w:rsidR="00EC5549" w:rsidRPr="00564C51" w:rsidRDefault="00EC5549" w:rsidP="0029266A">
      <w:pPr>
        <w:pBdr>
          <w:top w:val="nil"/>
          <w:left w:val="nil"/>
          <w:bottom w:val="nil"/>
          <w:right w:val="nil"/>
          <w:between w:val="nil"/>
          <w:bar w:val="nil"/>
        </w:pBdr>
        <w:spacing w:before="0" w:after="240"/>
        <w:rPr>
          <w:rFonts w:eastAsia="Arial Unicode MS"/>
          <w:noProof/>
        </w:rPr>
      </w:pPr>
      <w:r w:rsidRPr="00564C51">
        <w:rPr>
          <w:noProof/>
        </w:rPr>
        <w:t>Vzhledem k potenciálně příznivému dopadu na snížení administrativní zátěže podniků a daňových správ, který není doprovázen významným dopadem na celkové příjmy z DPH, je vhodné Bulharsku povolit uplatnění zvláštního opatření do 31. prosince 2024.</w:t>
      </w:r>
    </w:p>
    <w:p w14:paraId="04251F98" w14:textId="77777777" w:rsidR="00F26D5E" w:rsidRPr="00564C51" w:rsidRDefault="00F26D5E" w:rsidP="00044058">
      <w:pPr>
        <w:pStyle w:val="ManualHeading2"/>
        <w:rPr>
          <w:rFonts w:eastAsia="Arial Unicode MS"/>
          <w:noProof/>
          <w:color w:val="000000"/>
          <w:u w:color="000000"/>
          <w:bdr w:val="nil"/>
        </w:rPr>
      </w:pPr>
      <w:r w:rsidRPr="00564C51">
        <w:rPr>
          <w:noProof/>
          <w:color w:val="000000"/>
          <w:u w:color="000000"/>
          <w:bdr w:val="nil"/>
        </w:rPr>
        <w:t>•</w:t>
      </w:r>
      <w:r w:rsidRPr="00564C51">
        <w:rPr>
          <w:noProof/>
        </w:rPr>
        <w:tab/>
        <w:t>Soulad s platnými předpisy v této oblasti politiky</w:t>
      </w:r>
    </w:p>
    <w:p w14:paraId="1F39CD0F" w14:textId="77777777" w:rsidR="00EC5549" w:rsidRPr="00564C51" w:rsidRDefault="00EC5549" w:rsidP="00EC5549">
      <w:pPr>
        <w:pBdr>
          <w:top w:val="nil"/>
          <w:left w:val="nil"/>
          <w:bottom w:val="nil"/>
          <w:right w:val="nil"/>
          <w:between w:val="nil"/>
          <w:bar w:val="nil"/>
        </w:pBdr>
        <w:spacing w:before="0" w:after="240"/>
        <w:rPr>
          <w:rFonts w:eastAsia="Arial Unicode MS"/>
          <w:noProof/>
        </w:rPr>
      </w:pPr>
      <w:r w:rsidRPr="00564C51">
        <w:rPr>
          <w:noProof/>
        </w:rPr>
        <w:t>Odchylující se opatření je v souladu s cíli směrnice (EU) 2020/285, kterou se mění články 281 až 294 směrnice o DPH týkající se zvláštního režimu pro malé podniky</w:t>
      </w:r>
      <w:r w:rsidRPr="00564C51">
        <w:rPr>
          <w:rStyle w:val="FootnoteReference"/>
          <w:rFonts w:eastAsia="Arial Unicode MS"/>
          <w:noProof/>
        </w:rPr>
        <w:footnoteReference w:id="2"/>
      </w:r>
      <w:r w:rsidRPr="00564C51">
        <w:rPr>
          <w:noProof/>
        </w:rPr>
        <w:t xml:space="preserve"> a která je výsledkem akčního plánu v oblasti DPH</w:t>
      </w:r>
      <w:r w:rsidRPr="00564C51">
        <w:rPr>
          <w:rStyle w:val="FootnoteReference"/>
          <w:rFonts w:eastAsia="Arial Unicode MS"/>
          <w:noProof/>
        </w:rPr>
        <w:footnoteReference w:id="3"/>
      </w:r>
      <w:r w:rsidRPr="00564C51">
        <w:rPr>
          <w:noProof/>
        </w:rPr>
        <w:t>, a usiluje o vytvoření moderního, zjednodušeného režimu pro tyto podniky. Zejména se snaží snížit náklady na dodržování předpisů v oblasti DPH, omezit narušování hospodářské soutěže na vnitrostátní úrovni i na úrovni EU, zmírnit negativní dopad prahového efektu a usnadnit dodržování předpisů ze strany podniků, jakož i sledování ze strany daňových správ.</w:t>
      </w:r>
    </w:p>
    <w:p w14:paraId="077C6CD4" w14:textId="739BB88D" w:rsidR="00EC5549" w:rsidRPr="00564C51" w:rsidRDefault="00EC5549" w:rsidP="00EC5549">
      <w:pPr>
        <w:pBdr>
          <w:top w:val="nil"/>
          <w:left w:val="nil"/>
          <w:bottom w:val="nil"/>
          <w:right w:val="nil"/>
          <w:between w:val="nil"/>
          <w:bar w:val="nil"/>
        </w:pBdr>
        <w:spacing w:before="0" w:after="240"/>
        <w:rPr>
          <w:rFonts w:eastAsia="Arial Unicode MS"/>
          <w:noProof/>
        </w:rPr>
      </w:pPr>
      <w:r w:rsidRPr="00564C51">
        <w:rPr>
          <w:noProof/>
        </w:rPr>
        <w:t>Prahová hodnota ve výši 51 130 EUR je navíc v souladu se směrnicí (EU) 2020/285, neboť ta členským státům umožňuje stanovit prahovou hodnotu ročního obratu požadovanou pro osvobození od DPH, která nepřekračuje 85 000 EUR (nebo ekvivalent této částky v národní měně).</w:t>
      </w:r>
    </w:p>
    <w:p w14:paraId="4B67B338" w14:textId="7FE03003" w:rsidR="00EC5549" w:rsidRPr="00564C51" w:rsidRDefault="00EC5549" w:rsidP="00EC5549">
      <w:pPr>
        <w:pBdr>
          <w:top w:val="nil"/>
          <w:left w:val="nil"/>
          <w:bottom w:val="nil"/>
          <w:right w:val="nil"/>
          <w:between w:val="nil"/>
          <w:bar w:val="nil"/>
        </w:pBdr>
        <w:spacing w:before="0" w:after="240"/>
        <w:rPr>
          <w:rFonts w:eastAsia="Arial Unicode MS"/>
          <w:noProof/>
        </w:rPr>
      </w:pPr>
      <w:r w:rsidRPr="00564C51">
        <w:rPr>
          <w:noProof/>
        </w:rPr>
        <w:t>Obdobné odchylky osvobozující od DPH osoby povinné k dani, jejichž roční obrat je pod určitou prahovou hodnotou, jak je stanoveno v článcích 285 a 287 směrnice o DPH, již byly povoleny i jiným členským státům. V Nizozemsku</w:t>
      </w:r>
      <w:r w:rsidRPr="00564C51">
        <w:rPr>
          <w:rStyle w:val="FootnoteReference"/>
          <w:rFonts w:eastAsia="Arial Unicode MS"/>
          <w:noProof/>
        </w:rPr>
        <w:footnoteReference w:id="4"/>
      </w:r>
      <w:r w:rsidRPr="00564C51">
        <w:rPr>
          <w:noProof/>
        </w:rPr>
        <w:t xml:space="preserve"> a Belgii</w:t>
      </w:r>
      <w:r w:rsidRPr="00564C51">
        <w:rPr>
          <w:rStyle w:val="FootnoteReference"/>
          <w:rFonts w:eastAsia="Arial Unicode MS"/>
          <w:noProof/>
        </w:rPr>
        <w:footnoteReference w:id="5"/>
      </w:r>
      <w:r w:rsidRPr="00564C51">
        <w:rPr>
          <w:noProof/>
        </w:rPr>
        <w:t xml:space="preserve"> činí povolená prahová hodnota 25 000 EUR, v Itálii</w:t>
      </w:r>
      <w:r w:rsidRPr="00564C51">
        <w:rPr>
          <w:rStyle w:val="FootnoteReference"/>
          <w:rFonts w:eastAsia="Arial Unicode MS"/>
          <w:noProof/>
        </w:rPr>
        <w:footnoteReference w:id="6"/>
      </w:r>
      <w:r w:rsidRPr="00564C51">
        <w:rPr>
          <w:noProof/>
        </w:rPr>
        <w:t xml:space="preserve"> 30 000 EUR, v Lucembursku</w:t>
      </w:r>
      <w:r w:rsidRPr="00564C51">
        <w:rPr>
          <w:rStyle w:val="FootnoteReference"/>
          <w:rFonts w:eastAsia="Arial Unicode MS"/>
          <w:noProof/>
        </w:rPr>
        <w:footnoteReference w:id="7"/>
      </w:r>
      <w:r w:rsidRPr="00564C51">
        <w:rPr>
          <w:noProof/>
        </w:rPr>
        <w:t xml:space="preserve"> 35 000 EUR, v Polsku</w:t>
      </w:r>
      <w:r w:rsidRPr="00564C51">
        <w:rPr>
          <w:rStyle w:val="FootnoteReference"/>
          <w:rFonts w:eastAsia="Arial Unicode MS"/>
          <w:noProof/>
        </w:rPr>
        <w:footnoteReference w:id="8"/>
      </w:r>
      <w:r w:rsidRPr="00564C51">
        <w:rPr>
          <w:noProof/>
        </w:rPr>
        <w:t>, Lotyšsku</w:t>
      </w:r>
      <w:r w:rsidRPr="00564C51">
        <w:rPr>
          <w:rStyle w:val="FootnoteReference"/>
          <w:rFonts w:eastAsia="Arial Unicode MS"/>
          <w:noProof/>
        </w:rPr>
        <w:footnoteReference w:id="9"/>
      </w:r>
      <w:r w:rsidRPr="00564C51">
        <w:rPr>
          <w:noProof/>
        </w:rPr>
        <w:t xml:space="preserve"> a Estonsku</w:t>
      </w:r>
      <w:r w:rsidRPr="00564C51">
        <w:rPr>
          <w:rStyle w:val="FootnoteReference"/>
          <w:rFonts w:eastAsia="Arial Unicode MS"/>
          <w:noProof/>
        </w:rPr>
        <w:footnoteReference w:id="10"/>
      </w:r>
      <w:r w:rsidRPr="00564C51">
        <w:rPr>
          <w:noProof/>
        </w:rPr>
        <w:t xml:space="preserve"> 40 000 EUR, v Maďarsku</w:t>
      </w:r>
      <w:r w:rsidRPr="00564C51">
        <w:rPr>
          <w:rStyle w:val="FootnoteReference"/>
          <w:rFonts w:eastAsia="Arial Unicode MS"/>
          <w:noProof/>
        </w:rPr>
        <w:footnoteReference w:id="11"/>
      </w:r>
      <w:r w:rsidRPr="00564C51">
        <w:rPr>
          <w:noProof/>
        </w:rPr>
        <w:t xml:space="preserve"> 48 000 EUR, v Litvě</w:t>
      </w:r>
      <w:r w:rsidRPr="00564C51">
        <w:rPr>
          <w:rStyle w:val="FootnoteReference"/>
          <w:rFonts w:eastAsia="Arial Unicode MS"/>
          <w:noProof/>
        </w:rPr>
        <w:footnoteReference w:id="12"/>
      </w:r>
      <w:r w:rsidRPr="00564C51">
        <w:rPr>
          <w:noProof/>
        </w:rPr>
        <w:t xml:space="preserve"> 55 000 EUR, v Chorvatsku</w:t>
      </w:r>
      <w:r w:rsidRPr="00564C51">
        <w:rPr>
          <w:rStyle w:val="FootnoteReference"/>
          <w:rFonts w:eastAsia="Arial Unicode MS"/>
          <w:noProof/>
        </w:rPr>
        <w:footnoteReference w:id="13"/>
      </w:r>
      <w:r w:rsidRPr="00564C51">
        <w:rPr>
          <w:noProof/>
        </w:rPr>
        <w:t xml:space="preserve"> 45 000 EUR, na Maltě</w:t>
      </w:r>
      <w:r w:rsidRPr="00564C51">
        <w:rPr>
          <w:rStyle w:val="FootnoteReference"/>
          <w:rFonts w:eastAsia="Arial Unicode MS"/>
          <w:noProof/>
        </w:rPr>
        <w:footnoteReference w:id="14"/>
      </w:r>
      <w:r w:rsidRPr="00564C51">
        <w:rPr>
          <w:noProof/>
        </w:rPr>
        <w:t xml:space="preserve"> 30 000 EUR, ve Slovinsku</w:t>
      </w:r>
      <w:r w:rsidRPr="00564C51">
        <w:rPr>
          <w:rStyle w:val="FootnoteReference"/>
          <w:rFonts w:eastAsia="Arial Unicode MS"/>
          <w:noProof/>
        </w:rPr>
        <w:footnoteReference w:id="15"/>
      </w:r>
      <w:r w:rsidRPr="00564C51">
        <w:rPr>
          <w:noProof/>
        </w:rPr>
        <w:t xml:space="preserve"> 50 000 EUR v Česku</w:t>
      </w:r>
      <w:r w:rsidRPr="00564C51">
        <w:rPr>
          <w:rStyle w:val="FootnoteReference"/>
          <w:rFonts w:eastAsia="Arial Unicode MS"/>
          <w:noProof/>
        </w:rPr>
        <w:footnoteReference w:id="16"/>
      </w:r>
      <w:r w:rsidRPr="00564C51">
        <w:rPr>
          <w:noProof/>
        </w:rPr>
        <w:t xml:space="preserve"> 85 000 EUR a v Rumunsku</w:t>
      </w:r>
      <w:r w:rsidRPr="00564C51">
        <w:rPr>
          <w:rStyle w:val="FootnoteReference"/>
          <w:rFonts w:eastAsia="Arial Unicode MS"/>
          <w:noProof/>
        </w:rPr>
        <w:footnoteReference w:id="17"/>
      </w:r>
      <w:r w:rsidRPr="00564C51">
        <w:rPr>
          <w:noProof/>
        </w:rPr>
        <w:t xml:space="preserve"> 88 500 EUR.</w:t>
      </w:r>
    </w:p>
    <w:p w14:paraId="645339A4" w14:textId="77777777" w:rsidR="00EC5549" w:rsidRPr="00564C51" w:rsidRDefault="00EC5549" w:rsidP="00EC5549">
      <w:pPr>
        <w:pBdr>
          <w:top w:val="nil"/>
          <w:left w:val="nil"/>
          <w:bottom w:val="nil"/>
          <w:right w:val="nil"/>
          <w:between w:val="nil"/>
          <w:bar w:val="nil"/>
        </w:pBdr>
        <w:spacing w:before="0" w:after="240"/>
        <w:rPr>
          <w:rFonts w:eastAsia="Arial Unicode MS"/>
          <w:noProof/>
        </w:rPr>
      </w:pPr>
      <w:r w:rsidRPr="00564C51">
        <w:rPr>
          <w:noProof/>
        </w:rPr>
        <w:t>Odchylky od ustanovení směrnice o DPH by měly být vždy časově omezeny, aby bylo možné posoudit jejich účinky. Stanovení data skončení platnosti zvláštního opatření na den 31. prosince 2024 je také v souladu s požadavky směrnice (EU) 2020/285. Uvedená směrnice stanoví 1. leden 2025 jako datum, od něhož musí členské státy uplatňovat vnitrostátní ustanovení, jež musí přijmout pro dosažení souladu s touto směrnicí.</w:t>
      </w:r>
    </w:p>
    <w:p w14:paraId="67D741A9" w14:textId="77777777" w:rsidR="00F26D5E" w:rsidRPr="00564C51" w:rsidRDefault="00EC5549" w:rsidP="00EC5549">
      <w:pPr>
        <w:pBdr>
          <w:top w:val="nil"/>
          <w:left w:val="nil"/>
          <w:bottom w:val="nil"/>
          <w:right w:val="nil"/>
          <w:between w:val="nil"/>
          <w:bar w:val="nil"/>
        </w:pBdr>
        <w:spacing w:before="0" w:after="240"/>
        <w:rPr>
          <w:rFonts w:eastAsia="Arial Unicode MS"/>
          <w:noProof/>
        </w:rPr>
      </w:pPr>
      <w:r w:rsidRPr="00564C51">
        <w:rPr>
          <w:noProof/>
        </w:rPr>
        <w:t>Navrhované opatření je proto v souladu s ustanoveními směrnice o DPH.</w:t>
      </w:r>
    </w:p>
    <w:p w14:paraId="47FEDE9D" w14:textId="77777777" w:rsidR="00F26D5E" w:rsidRPr="00564C51" w:rsidRDefault="00F26D5E" w:rsidP="00A4693B">
      <w:pPr>
        <w:pStyle w:val="ManualHeading2"/>
        <w:rPr>
          <w:rFonts w:eastAsia="Arial Unicode MS"/>
          <w:noProof/>
        </w:rPr>
      </w:pPr>
      <w:r w:rsidRPr="00564C51">
        <w:rPr>
          <w:noProof/>
          <w:color w:val="000000"/>
          <w:u w:color="000000"/>
          <w:bdr w:val="nil"/>
        </w:rPr>
        <w:t>•</w:t>
      </w:r>
      <w:r w:rsidRPr="00564C51">
        <w:rPr>
          <w:noProof/>
        </w:rPr>
        <w:tab/>
        <w:t>Soulad s ostatními politikami Unie</w:t>
      </w:r>
    </w:p>
    <w:p w14:paraId="17AF0E4B" w14:textId="77777777" w:rsidR="00F26D5E" w:rsidRPr="00564C51" w:rsidRDefault="00955805" w:rsidP="00955805">
      <w:pPr>
        <w:pBdr>
          <w:top w:val="nil"/>
          <w:left w:val="nil"/>
          <w:bottom w:val="nil"/>
          <w:right w:val="nil"/>
          <w:between w:val="nil"/>
          <w:bar w:val="nil"/>
        </w:pBdr>
        <w:spacing w:before="0" w:after="240"/>
        <w:rPr>
          <w:rFonts w:eastAsia="Arial Unicode MS"/>
          <w:noProof/>
        </w:rPr>
      </w:pPr>
      <w:r w:rsidRPr="00564C51">
        <w:rPr>
          <w:noProof/>
        </w:rPr>
        <w:t>Komise soustavně zdůrazňuje potřebu jednodušších pravidel pro malé podniky. V tomto ohledu přijala Komise v březnu 2020 strategii pro udržitelnou a digitální Evropu</w:t>
      </w:r>
      <w:r w:rsidRPr="00564C51">
        <w:rPr>
          <w:rStyle w:val="FootnoteReference"/>
          <w:rFonts w:eastAsia="Arial Unicode MS"/>
          <w:noProof/>
        </w:rPr>
        <w:footnoteReference w:id="18"/>
      </w:r>
      <w:r w:rsidRPr="00564C51">
        <w:rPr>
          <w:noProof/>
        </w:rPr>
        <w:t xml:space="preserve"> zaměřenou na malé a střední podniky, v níž se zavázala k další práci na snížení zátěže malých a středních podniků. Cíl snížit regulační zátěž pro malé a střední podniky je jedním z pilířů uvedené strategie. Toto zvláštní opatření je v souladu s takovými cíli, co se fiskálních pravidel týče. Je rovněž v souladu s akčním plánem z roku 2020 pro spravedlivé a jednoduché zdanění podporující strategii oživení</w:t>
      </w:r>
      <w:r w:rsidRPr="00564C51">
        <w:rPr>
          <w:rStyle w:val="FootnoteReference"/>
          <w:rFonts w:eastAsia="Arial Unicode MS"/>
          <w:noProof/>
        </w:rPr>
        <w:footnoteReference w:id="19"/>
      </w:r>
      <w:r w:rsidRPr="00564C51">
        <w:rPr>
          <w:noProof/>
        </w:rPr>
        <w:t>, který uznává, že náklady na dodržování daňových předpisů jsou v EU stále vysoké a že bývají podstatně vyšší u malých podniků než u velkých společností.</w:t>
      </w:r>
    </w:p>
    <w:p w14:paraId="31C4243F" w14:textId="77777777" w:rsidR="00F26D5E" w:rsidRPr="00564C51" w:rsidRDefault="00F26D5E" w:rsidP="00550536">
      <w:pPr>
        <w:pStyle w:val="ManualHeading1"/>
        <w:rPr>
          <w:noProof/>
        </w:rPr>
      </w:pPr>
      <w:r w:rsidRPr="00564C51">
        <w:rPr>
          <w:noProof/>
        </w:rPr>
        <w:t>2.</w:t>
      </w:r>
      <w:r w:rsidRPr="00564C51">
        <w:rPr>
          <w:noProof/>
        </w:rPr>
        <w:tab/>
        <w:t>PRÁVNÍ ZÁKLAD, SUBSIDIARITA A PROPORCIONALITA</w:t>
      </w:r>
    </w:p>
    <w:p w14:paraId="4CAF45ED" w14:textId="77777777" w:rsidR="00F26D5E" w:rsidRPr="00564C51" w:rsidRDefault="00F26D5E" w:rsidP="00A4693B">
      <w:pPr>
        <w:pStyle w:val="ManualHeading2"/>
        <w:rPr>
          <w:rFonts w:eastAsia="Arial Unicode MS"/>
          <w:noProof/>
          <w:u w:color="000000"/>
          <w:bdr w:val="nil"/>
        </w:rPr>
      </w:pPr>
      <w:r w:rsidRPr="00564C51">
        <w:rPr>
          <w:noProof/>
          <w:u w:color="000000"/>
          <w:bdr w:val="nil"/>
        </w:rPr>
        <w:t>•</w:t>
      </w:r>
      <w:r w:rsidRPr="00564C51">
        <w:rPr>
          <w:noProof/>
        </w:rPr>
        <w:tab/>
      </w:r>
      <w:r w:rsidRPr="00564C51">
        <w:rPr>
          <w:noProof/>
          <w:u w:color="000000"/>
          <w:bdr w:val="nil"/>
        </w:rPr>
        <w:t>Právní základ</w:t>
      </w:r>
    </w:p>
    <w:p w14:paraId="7B1A620C" w14:textId="77777777" w:rsidR="00F26D5E" w:rsidRPr="00564C51" w:rsidRDefault="00253189" w:rsidP="00253189">
      <w:pPr>
        <w:pBdr>
          <w:top w:val="nil"/>
          <w:left w:val="nil"/>
          <w:bottom w:val="nil"/>
          <w:right w:val="nil"/>
          <w:between w:val="nil"/>
          <w:bar w:val="nil"/>
        </w:pBdr>
        <w:spacing w:before="0" w:after="240"/>
        <w:rPr>
          <w:rFonts w:eastAsia="Arial Unicode MS"/>
          <w:noProof/>
        </w:rPr>
      </w:pPr>
      <w:r w:rsidRPr="00564C51">
        <w:rPr>
          <w:noProof/>
        </w:rPr>
        <w:t>Článek 395 směrnice o DPH.</w:t>
      </w:r>
    </w:p>
    <w:p w14:paraId="3E30551B" w14:textId="77777777" w:rsidR="00F26D5E" w:rsidRPr="00564C51" w:rsidRDefault="00F26D5E" w:rsidP="00A4693B">
      <w:pPr>
        <w:pStyle w:val="ManualHeading2"/>
        <w:rPr>
          <w:rFonts w:eastAsia="Arial Unicode MS"/>
          <w:noProof/>
          <w:u w:color="000000"/>
          <w:bdr w:val="nil"/>
        </w:rPr>
      </w:pPr>
      <w:r w:rsidRPr="00564C51">
        <w:rPr>
          <w:noProof/>
          <w:u w:color="000000"/>
          <w:bdr w:val="nil"/>
        </w:rPr>
        <w:t>•</w:t>
      </w:r>
      <w:r w:rsidRPr="00564C51">
        <w:rPr>
          <w:noProof/>
        </w:rPr>
        <w:tab/>
      </w:r>
      <w:r w:rsidRPr="00564C51">
        <w:rPr>
          <w:noProof/>
          <w:u w:color="000000"/>
          <w:bdr w:val="nil"/>
        </w:rPr>
        <w:t xml:space="preserve">Subsidiarita (v případě nevýlučné pravomoci) </w:t>
      </w:r>
    </w:p>
    <w:p w14:paraId="5F3DB244" w14:textId="77777777" w:rsidR="00F26D5E" w:rsidRPr="00564C51" w:rsidRDefault="00253189" w:rsidP="00253189">
      <w:pPr>
        <w:pBdr>
          <w:top w:val="nil"/>
          <w:left w:val="nil"/>
          <w:bottom w:val="nil"/>
          <w:right w:val="nil"/>
          <w:between w:val="nil"/>
          <w:bar w:val="nil"/>
        </w:pBdr>
        <w:spacing w:before="0" w:after="240"/>
        <w:rPr>
          <w:rFonts w:eastAsia="Arial Unicode MS"/>
          <w:noProof/>
        </w:rPr>
      </w:pPr>
      <w:r w:rsidRPr="00564C51">
        <w:rPr>
          <w:noProof/>
        </w:rPr>
        <w:t>Vzhledem k ustanovení směrnice o DPH, z něhož návrh vychází, spadá návrh do výlučné pravomoci Evropské unie. Zásada subsidiarity se proto neuplatní.</w:t>
      </w:r>
    </w:p>
    <w:p w14:paraId="5CECC327" w14:textId="77777777" w:rsidR="00F26D5E" w:rsidRPr="00564C51" w:rsidRDefault="00F26D5E" w:rsidP="00A4693B">
      <w:pPr>
        <w:pStyle w:val="ManualHeading2"/>
        <w:rPr>
          <w:rFonts w:eastAsia="Arial Unicode MS"/>
          <w:noProof/>
          <w:u w:color="000000"/>
          <w:bdr w:val="nil"/>
        </w:rPr>
      </w:pPr>
      <w:r w:rsidRPr="00564C51">
        <w:rPr>
          <w:noProof/>
          <w:u w:color="000000"/>
          <w:bdr w:val="nil"/>
        </w:rPr>
        <w:t>•</w:t>
      </w:r>
      <w:r w:rsidRPr="00564C51">
        <w:rPr>
          <w:noProof/>
        </w:rPr>
        <w:tab/>
      </w:r>
      <w:r w:rsidRPr="00564C51">
        <w:rPr>
          <w:noProof/>
          <w:u w:color="000000"/>
          <w:bdr w:val="nil"/>
        </w:rPr>
        <w:t>Proporcionalita</w:t>
      </w:r>
    </w:p>
    <w:p w14:paraId="020790F4" w14:textId="77777777" w:rsidR="00253189" w:rsidRPr="00564C51" w:rsidRDefault="00253189" w:rsidP="00253189">
      <w:pPr>
        <w:pBdr>
          <w:top w:val="nil"/>
          <w:left w:val="nil"/>
          <w:bottom w:val="nil"/>
          <w:right w:val="nil"/>
          <w:between w:val="nil"/>
          <w:bar w:val="nil"/>
        </w:pBdr>
        <w:spacing w:before="0" w:after="240"/>
        <w:rPr>
          <w:rFonts w:eastAsia="Arial Unicode MS"/>
          <w:noProof/>
        </w:rPr>
      </w:pPr>
      <w:r w:rsidRPr="00564C51">
        <w:rPr>
          <w:noProof/>
        </w:rPr>
        <w:t>Toto rozhodnutí se týká povolení udělovaného členskému státu na základě jeho vlastní žádosti a nezakládá žádnou povinnost.</w:t>
      </w:r>
    </w:p>
    <w:p w14:paraId="775095B0" w14:textId="77777777" w:rsidR="00F26D5E" w:rsidRPr="00564C51" w:rsidRDefault="00253189" w:rsidP="00253189">
      <w:pPr>
        <w:pBdr>
          <w:top w:val="nil"/>
          <w:left w:val="nil"/>
          <w:bottom w:val="nil"/>
          <w:right w:val="nil"/>
          <w:between w:val="nil"/>
          <w:bar w:val="nil"/>
        </w:pBdr>
        <w:spacing w:before="0" w:after="240"/>
        <w:rPr>
          <w:rFonts w:eastAsia="Arial Unicode MS"/>
          <w:noProof/>
        </w:rPr>
      </w:pPr>
      <w:r w:rsidRPr="00564C51">
        <w:rPr>
          <w:noProof/>
        </w:rPr>
        <w:t>Vzhledem k omezené oblasti působnosti odchylky je zvláštní opatření úměrné sledovanému cíli, kterým je zjednodušení výběru daně pro maloobratové osoby povinné k dani i pro daňovou správu.</w:t>
      </w:r>
    </w:p>
    <w:p w14:paraId="698B71DB" w14:textId="77777777" w:rsidR="00F26D5E" w:rsidRPr="00564C51" w:rsidRDefault="00F26D5E" w:rsidP="00A4693B">
      <w:pPr>
        <w:pStyle w:val="ManualHeading2"/>
        <w:rPr>
          <w:rFonts w:eastAsia="Arial Unicode MS"/>
          <w:noProof/>
          <w:u w:color="000000"/>
          <w:bdr w:val="nil"/>
        </w:rPr>
      </w:pPr>
      <w:r w:rsidRPr="00564C51">
        <w:rPr>
          <w:noProof/>
          <w:u w:color="000000"/>
          <w:bdr w:val="nil"/>
        </w:rPr>
        <w:t>•</w:t>
      </w:r>
      <w:r w:rsidRPr="00564C51">
        <w:rPr>
          <w:noProof/>
        </w:rPr>
        <w:tab/>
      </w:r>
      <w:r w:rsidRPr="00564C51">
        <w:rPr>
          <w:noProof/>
          <w:u w:color="000000"/>
          <w:bdr w:val="nil"/>
        </w:rPr>
        <w:t>Volba nástroje</w:t>
      </w:r>
    </w:p>
    <w:p w14:paraId="259BC523" w14:textId="77777777" w:rsidR="00253189" w:rsidRPr="00564C51" w:rsidRDefault="00253189" w:rsidP="00253189">
      <w:pPr>
        <w:pBdr>
          <w:top w:val="nil"/>
          <w:left w:val="nil"/>
          <w:bottom w:val="nil"/>
          <w:right w:val="nil"/>
          <w:between w:val="nil"/>
          <w:bar w:val="nil"/>
        </w:pBdr>
        <w:spacing w:before="0" w:after="240"/>
        <w:rPr>
          <w:rFonts w:eastAsia="Arial Unicode MS"/>
          <w:noProof/>
        </w:rPr>
      </w:pPr>
      <w:r w:rsidRPr="00564C51">
        <w:rPr>
          <w:noProof/>
        </w:rPr>
        <w:t>Navrhovaným nástrojem je prováděcí rozhodnutí Rady.</w:t>
      </w:r>
    </w:p>
    <w:p w14:paraId="63E69CBD" w14:textId="77777777" w:rsidR="00F26D5E" w:rsidRPr="00564C51" w:rsidRDefault="00253189" w:rsidP="00253189">
      <w:pPr>
        <w:pBdr>
          <w:top w:val="nil"/>
          <w:left w:val="nil"/>
          <w:bottom w:val="nil"/>
          <w:right w:val="nil"/>
          <w:between w:val="nil"/>
          <w:bar w:val="nil"/>
        </w:pBdr>
        <w:spacing w:before="0" w:after="240"/>
        <w:rPr>
          <w:rFonts w:eastAsia="Arial Unicode MS"/>
          <w:noProof/>
        </w:rPr>
      </w:pPr>
      <w:r w:rsidRPr="00564C51">
        <w:rPr>
          <w:noProof/>
        </w:rPr>
        <w:t>Podle článku 395 směrnice o DPH je odchylka od společných pravidel pro DPH možná pouze v případě, že ji jednomyslně schválí Rada na návrh Komise. Prováděcí rozhodnutí Rady je nejvhodnějším nástrojem, neboť může být určeno jednotlivému členskému státu.</w:t>
      </w:r>
    </w:p>
    <w:p w14:paraId="2117F460" w14:textId="77777777" w:rsidR="00F26D5E" w:rsidRPr="00564C51" w:rsidRDefault="00F26D5E" w:rsidP="00550536">
      <w:pPr>
        <w:pStyle w:val="ManualHeading1"/>
        <w:rPr>
          <w:noProof/>
        </w:rPr>
      </w:pPr>
      <w:r w:rsidRPr="00564C51">
        <w:rPr>
          <w:noProof/>
        </w:rPr>
        <w:t>3.</w:t>
      </w:r>
      <w:r w:rsidRPr="00564C51">
        <w:rPr>
          <w:noProof/>
        </w:rPr>
        <w:tab/>
        <w:t xml:space="preserve">VÝSLEDKY HODNOCENÍ </w:t>
      </w:r>
      <w:r w:rsidRPr="00564C51">
        <w:rPr>
          <w:i/>
          <w:iCs/>
          <w:noProof/>
        </w:rPr>
        <w:t>EX POST</w:t>
      </w:r>
      <w:r w:rsidRPr="00564C51">
        <w:rPr>
          <w:noProof/>
        </w:rPr>
        <w:t>, KONZULTACÍ SE ZÚČASTNĚNÝMI STRANAMI A POSOUZENÍ DOPADŮ</w:t>
      </w:r>
    </w:p>
    <w:p w14:paraId="2F06C810" w14:textId="77777777" w:rsidR="00F26D5E" w:rsidRPr="00564C51" w:rsidRDefault="00F26D5E" w:rsidP="00A4693B">
      <w:pPr>
        <w:pStyle w:val="ManualHeading2"/>
        <w:rPr>
          <w:rFonts w:eastAsia="Arial Unicode MS"/>
          <w:noProof/>
          <w:u w:color="000000"/>
          <w:bdr w:val="nil"/>
        </w:rPr>
      </w:pPr>
      <w:r w:rsidRPr="00564C51">
        <w:rPr>
          <w:noProof/>
          <w:u w:color="000000"/>
          <w:bdr w:val="nil"/>
        </w:rPr>
        <w:t>•</w:t>
      </w:r>
      <w:r w:rsidRPr="00564C51">
        <w:rPr>
          <w:noProof/>
        </w:rPr>
        <w:tab/>
      </w:r>
      <w:r w:rsidRPr="00564C51">
        <w:rPr>
          <w:noProof/>
          <w:u w:color="000000"/>
          <w:bdr w:val="nil"/>
        </w:rPr>
        <w:t>Konzultace se zúčastněnými stranami</w:t>
      </w:r>
    </w:p>
    <w:p w14:paraId="3235E8B4" w14:textId="47B641D0" w:rsidR="00F26D5E" w:rsidRPr="00564C51" w:rsidRDefault="00253189" w:rsidP="00253189">
      <w:pPr>
        <w:pBdr>
          <w:top w:val="nil"/>
          <w:left w:val="nil"/>
          <w:bottom w:val="nil"/>
          <w:right w:val="nil"/>
          <w:between w:val="nil"/>
          <w:bar w:val="nil"/>
        </w:pBdr>
        <w:spacing w:before="0" w:after="240"/>
        <w:rPr>
          <w:rFonts w:eastAsia="Arial Unicode MS"/>
          <w:noProof/>
        </w:rPr>
      </w:pPr>
      <w:r w:rsidRPr="00564C51">
        <w:rPr>
          <w:noProof/>
        </w:rPr>
        <w:t>Neproběhly žádné konzultace se zúčastněnými stranami. Návrh se zakládá na žádosti předložené Bulharskem a týká se pouze tohoto konkrétního členského státu.</w:t>
      </w:r>
    </w:p>
    <w:p w14:paraId="592D0187" w14:textId="77777777" w:rsidR="00F26D5E" w:rsidRPr="00564C51" w:rsidRDefault="00F26D5E" w:rsidP="00A4693B">
      <w:pPr>
        <w:pStyle w:val="ManualHeading2"/>
        <w:rPr>
          <w:rFonts w:eastAsia="Arial Unicode MS"/>
          <w:noProof/>
          <w:u w:color="000000"/>
          <w:bdr w:val="nil"/>
        </w:rPr>
      </w:pPr>
      <w:r w:rsidRPr="00564C51">
        <w:rPr>
          <w:noProof/>
          <w:u w:color="000000"/>
          <w:bdr w:val="nil"/>
        </w:rPr>
        <w:t>•</w:t>
      </w:r>
      <w:r w:rsidRPr="00564C51">
        <w:rPr>
          <w:noProof/>
        </w:rPr>
        <w:tab/>
      </w:r>
      <w:r w:rsidRPr="00564C51">
        <w:rPr>
          <w:noProof/>
          <w:u w:color="000000"/>
          <w:bdr w:val="nil"/>
        </w:rPr>
        <w:t>Posouzení dopadů</w:t>
      </w:r>
    </w:p>
    <w:p w14:paraId="77FEAFEB" w14:textId="021C62F1" w:rsidR="00AE4332" w:rsidRPr="00564C51" w:rsidRDefault="00253189" w:rsidP="00550536">
      <w:pPr>
        <w:pBdr>
          <w:top w:val="nil"/>
          <w:left w:val="nil"/>
          <w:bottom w:val="nil"/>
          <w:right w:val="nil"/>
          <w:between w:val="nil"/>
          <w:bar w:val="nil"/>
        </w:pBdr>
        <w:spacing w:before="0" w:after="240"/>
        <w:rPr>
          <w:rFonts w:eastAsia="Arial Unicode MS"/>
          <w:noProof/>
        </w:rPr>
      </w:pPr>
      <w:r w:rsidRPr="00564C51">
        <w:rPr>
          <w:noProof/>
        </w:rPr>
        <w:t>Cílem tohoto návrhu prováděcího rozhodnutí Rady je zvýšit současnou prahovou hodnotu pro osvobození od daně z 25 600 EUR na 51 130 EUR (v ekvivalentu v národní měně). Toto zvýšení prahové hodnoty je zjednodušujícím opatřením, které podniky, jejichž roční obrat nepřesahuje 51 130 EUR, osvobozuje od mnoha povinností spojených s DPH. Bude proto mít pozitivní účinek na snížení administrativní zátěže jak pro podniky, tak pro daňovou správu, aniž by to mělo významný dopad na celkové příjmy z DPH. S ohledem na úzkou oblast působnosti odchylky a její omezenou časovou působnost bude dopad opatření v každém případě omezený.</w:t>
      </w:r>
    </w:p>
    <w:p w14:paraId="18ED2AD5" w14:textId="23E14E49" w:rsidR="00AE4332" w:rsidRPr="00564C51" w:rsidRDefault="00AE4332" w:rsidP="00550536">
      <w:pPr>
        <w:pBdr>
          <w:top w:val="nil"/>
          <w:left w:val="nil"/>
          <w:bottom w:val="nil"/>
          <w:right w:val="nil"/>
          <w:between w:val="nil"/>
          <w:bar w:val="nil"/>
        </w:pBdr>
        <w:spacing w:before="0" w:after="240"/>
        <w:rPr>
          <w:rFonts w:eastAsia="Arial Unicode MS"/>
          <w:noProof/>
        </w:rPr>
      </w:pPr>
      <w:r w:rsidRPr="00564C51">
        <w:rPr>
          <w:noProof/>
        </w:rPr>
        <w:t>Podle dostupných údajů z roku 2020 uplatňuje v současnosti právo na osvobození od DPH přibližně 175 000 malých podniků. Zvýšení prahové hodnoty na 51 130 EUR by využilo přibližně 32 000 dalších podniků, což by vedlo ke snížení příjmů z DPH zhruba o 1 %.</w:t>
      </w:r>
    </w:p>
    <w:p w14:paraId="5F069CB3" w14:textId="606866FB" w:rsidR="000C41C3" w:rsidRPr="00564C51" w:rsidRDefault="000C41C3" w:rsidP="00550536">
      <w:pPr>
        <w:pBdr>
          <w:top w:val="nil"/>
          <w:left w:val="nil"/>
          <w:bottom w:val="nil"/>
          <w:right w:val="nil"/>
          <w:between w:val="nil"/>
          <w:bar w:val="nil"/>
        </w:pBdr>
        <w:spacing w:before="0" w:after="240"/>
        <w:rPr>
          <w:rFonts w:eastAsia="Arial Unicode MS"/>
          <w:noProof/>
        </w:rPr>
      </w:pPr>
      <w:r w:rsidRPr="00564C51">
        <w:rPr>
          <w:noProof/>
        </w:rPr>
        <w:t>Toto odchylující se opatření bude pro osoby povinné k dani dobrovolné. Osoby povinné k dani budou mít možnost zvolit běžný režim DPH v souladu s článkem 290 směrnice 2006/112/ES. Rozpočtový dopad na příjmy z DPH pro Bulharsko se odhaduje přibližně na 56 milionů EUR (1 % celkového příjmu z DPH), což lze považovat za zanedbatelné.</w:t>
      </w:r>
    </w:p>
    <w:p w14:paraId="1BB66635" w14:textId="77777777" w:rsidR="00F26D5E" w:rsidRPr="00564C51" w:rsidRDefault="00F26D5E" w:rsidP="00A4693B">
      <w:pPr>
        <w:pStyle w:val="ManualHeading2"/>
        <w:rPr>
          <w:rFonts w:eastAsia="Arial Unicode MS"/>
          <w:noProof/>
          <w:u w:color="000000"/>
          <w:bdr w:val="nil"/>
        </w:rPr>
      </w:pPr>
      <w:r w:rsidRPr="00564C51">
        <w:rPr>
          <w:noProof/>
          <w:u w:color="000000"/>
          <w:bdr w:val="nil"/>
        </w:rPr>
        <w:t>•</w:t>
      </w:r>
      <w:r w:rsidRPr="00564C51">
        <w:rPr>
          <w:noProof/>
        </w:rPr>
        <w:tab/>
      </w:r>
      <w:r w:rsidRPr="00564C51">
        <w:rPr>
          <w:noProof/>
          <w:u w:color="000000"/>
          <w:bdr w:val="nil"/>
        </w:rPr>
        <w:t>Základní práva</w:t>
      </w:r>
    </w:p>
    <w:p w14:paraId="3F7BB74D" w14:textId="77777777" w:rsidR="00F26D5E" w:rsidRPr="00564C51" w:rsidRDefault="000C41C3" w:rsidP="000C41C3">
      <w:pPr>
        <w:pBdr>
          <w:top w:val="nil"/>
          <w:left w:val="nil"/>
          <w:bottom w:val="nil"/>
          <w:right w:val="nil"/>
          <w:between w:val="nil"/>
          <w:bar w:val="nil"/>
        </w:pBdr>
        <w:spacing w:before="0" w:after="240"/>
        <w:rPr>
          <w:rFonts w:eastAsia="Arial Unicode MS"/>
          <w:noProof/>
        </w:rPr>
      </w:pPr>
      <w:r w:rsidRPr="00564C51">
        <w:rPr>
          <w:noProof/>
        </w:rPr>
        <w:t>Návrh nemá žádné dopady na ochranu základních práv.</w:t>
      </w:r>
    </w:p>
    <w:p w14:paraId="0833D9B8" w14:textId="77777777" w:rsidR="00F26D5E" w:rsidRPr="00564C51" w:rsidRDefault="00F26D5E" w:rsidP="00550536">
      <w:pPr>
        <w:pStyle w:val="ManualHeading1"/>
        <w:rPr>
          <w:noProof/>
        </w:rPr>
      </w:pPr>
      <w:r w:rsidRPr="00564C51">
        <w:rPr>
          <w:noProof/>
        </w:rPr>
        <w:t>4.</w:t>
      </w:r>
      <w:r w:rsidRPr="00564C51">
        <w:rPr>
          <w:noProof/>
        </w:rPr>
        <w:tab/>
        <w:t>ROZPOČTOVÉ DŮSLEDKY</w:t>
      </w:r>
    </w:p>
    <w:p w14:paraId="48342C07" w14:textId="6BBF6755" w:rsidR="00F26D5E" w:rsidRPr="00564C51" w:rsidRDefault="000C41C3" w:rsidP="00550536">
      <w:pPr>
        <w:pBdr>
          <w:top w:val="nil"/>
          <w:left w:val="nil"/>
          <w:bottom w:val="nil"/>
          <w:right w:val="nil"/>
          <w:between w:val="nil"/>
          <w:bar w:val="nil"/>
        </w:pBdr>
        <w:spacing w:before="0" w:after="240"/>
        <w:rPr>
          <w:rFonts w:eastAsia="Arial Unicode MS"/>
          <w:noProof/>
        </w:rPr>
      </w:pPr>
      <w:r w:rsidRPr="00564C51">
        <w:rPr>
          <w:noProof/>
        </w:rPr>
        <w:t>Po vstupu nařízení Rady (EU, Euratom) 2021/769 ze dne 30. dubna 2021, kterým se mění nařízení (EHS, Euratom) č. 1553/89 o konečné jednotné úpravě vybírání vlastních zdrojů vycházejících z daně z přidané hodnoty</w:t>
      </w:r>
      <w:r w:rsidRPr="00564C51">
        <w:rPr>
          <w:rStyle w:val="FootnoteReference"/>
          <w:rFonts w:eastAsia="Arial Unicode MS"/>
          <w:noProof/>
        </w:rPr>
        <w:footnoteReference w:id="20"/>
      </w:r>
      <w:r w:rsidRPr="00564C51">
        <w:rPr>
          <w:noProof/>
        </w:rPr>
        <w:t>, v platnost nebude Bulharsko počínaje výkazem vlastních zdrojů z DPH za rozpočtový rok 2022 provádět výpočet náhrad.</w:t>
      </w:r>
    </w:p>
    <w:p w14:paraId="1489EDA0" w14:textId="77777777" w:rsidR="00F26D5E" w:rsidRPr="00564C51" w:rsidRDefault="00F26D5E" w:rsidP="00D8676A">
      <w:pPr>
        <w:rPr>
          <w:noProof/>
        </w:rPr>
        <w:sectPr w:rsidR="00F26D5E" w:rsidRPr="00564C51" w:rsidSect="00B310AD">
          <w:footerReference w:type="default" r:id="rId10"/>
          <w:footerReference w:type="first" r:id="rId11"/>
          <w:pgSz w:w="11907" w:h="16839"/>
          <w:pgMar w:top="1134" w:right="1417" w:bottom="1134" w:left="1417" w:header="709" w:footer="709" w:gutter="0"/>
          <w:cols w:space="708"/>
          <w:docGrid w:linePitch="360"/>
        </w:sectPr>
      </w:pPr>
    </w:p>
    <w:p w14:paraId="77762CEC" w14:textId="0BB7C57C" w:rsidR="006D56FB" w:rsidRDefault="006D56FB" w:rsidP="006D56FB">
      <w:pPr>
        <w:pStyle w:val="Rfrenceinterinstitutionnelle"/>
        <w:rPr>
          <w:noProof/>
        </w:rPr>
      </w:pPr>
      <w:r w:rsidRPr="006D56FB">
        <w:t>2022/0322 (NLE)</w:t>
      </w:r>
    </w:p>
    <w:p w14:paraId="0A6DC7E1" w14:textId="0B48807F" w:rsidR="00F26D5E" w:rsidRPr="00564C51" w:rsidRDefault="00564C51" w:rsidP="00564C51">
      <w:pPr>
        <w:pStyle w:val="Statut"/>
        <w:rPr>
          <w:noProof/>
        </w:rPr>
      </w:pPr>
      <w:r w:rsidRPr="00564C51">
        <w:rPr>
          <w:noProof/>
        </w:rPr>
        <w:t>Návrh</w:t>
      </w:r>
    </w:p>
    <w:p w14:paraId="3099B16B" w14:textId="4531EC01" w:rsidR="00F26D5E" w:rsidRPr="00564C51" w:rsidRDefault="00564C51" w:rsidP="00564C51">
      <w:pPr>
        <w:pStyle w:val="Typedudocument"/>
        <w:rPr>
          <w:noProof/>
        </w:rPr>
      </w:pPr>
      <w:r w:rsidRPr="00564C51">
        <w:rPr>
          <w:noProof/>
        </w:rPr>
        <w:t>PROVÁDĚCÍ ROZHODNUTÍ RADY,</w:t>
      </w:r>
    </w:p>
    <w:p w14:paraId="75FB3661" w14:textId="022EF48C" w:rsidR="00AE6D8B" w:rsidRPr="00564C51" w:rsidRDefault="00564C51" w:rsidP="00564C51">
      <w:pPr>
        <w:pStyle w:val="Titreobjet"/>
        <w:rPr>
          <w:noProof/>
        </w:rPr>
      </w:pPr>
      <w:r w:rsidRPr="00564C51">
        <w:rPr>
          <w:noProof/>
        </w:rPr>
        <w:t xml:space="preserve">kterým se Bulharsku povoluje zavést zvláštní opatření odchylující se od článku 287 směrnice 2006/112/ES o společném systému daně z přidané hodnoty </w:t>
      </w:r>
      <w:r w:rsidRPr="00564C51">
        <w:rPr>
          <w:noProof/>
        </w:rPr>
        <w:br/>
      </w:r>
    </w:p>
    <w:p w14:paraId="6E79C00D" w14:textId="77777777" w:rsidR="00F26D5E" w:rsidRPr="00564C51" w:rsidRDefault="00F26D5E" w:rsidP="00CE1658">
      <w:pPr>
        <w:pStyle w:val="Institutionquiagit"/>
        <w:rPr>
          <w:noProof/>
        </w:rPr>
      </w:pPr>
      <w:r w:rsidRPr="00564C51">
        <w:rPr>
          <w:noProof/>
        </w:rPr>
        <w:t>RADA EVROPSKÉ UNIE,</w:t>
      </w:r>
    </w:p>
    <w:p w14:paraId="4FC9B5B2" w14:textId="77777777" w:rsidR="00F26D5E" w:rsidRPr="00564C51" w:rsidRDefault="00F26D5E" w:rsidP="00CE1658">
      <w:pPr>
        <w:rPr>
          <w:noProof/>
        </w:rPr>
      </w:pPr>
      <w:r w:rsidRPr="00564C51">
        <w:rPr>
          <w:noProof/>
        </w:rPr>
        <w:t xml:space="preserve">s ohledem na Smlouvu o fungování Evropské unie, </w:t>
      </w:r>
    </w:p>
    <w:p w14:paraId="084C5AFD" w14:textId="77777777" w:rsidR="00F26D5E" w:rsidRPr="00564C51" w:rsidRDefault="00F26D5E" w:rsidP="00CE1658">
      <w:pPr>
        <w:rPr>
          <w:noProof/>
        </w:rPr>
      </w:pPr>
      <w:r w:rsidRPr="00564C51">
        <w:rPr>
          <w:noProof/>
        </w:rPr>
        <w:t>s ohledem na směrnici Rady 2006/112/ES ze dne 28. listopadu 2006 o společném systému daně z přidané hodnoty</w:t>
      </w:r>
      <w:r w:rsidRPr="00564C51">
        <w:rPr>
          <w:rStyle w:val="FootnoteReference"/>
          <w:noProof/>
        </w:rPr>
        <w:footnoteReference w:id="21"/>
      </w:r>
      <w:r w:rsidRPr="00564C51">
        <w:rPr>
          <w:noProof/>
        </w:rPr>
        <w:t>, a zejména na čl. 395 odst. 1 uvedené směrnice,</w:t>
      </w:r>
    </w:p>
    <w:p w14:paraId="744B4FE8" w14:textId="77777777" w:rsidR="00F26D5E" w:rsidRPr="00564C51" w:rsidRDefault="00F26D5E" w:rsidP="00CE1658">
      <w:pPr>
        <w:rPr>
          <w:noProof/>
        </w:rPr>
      </w:pPr>
      <w:r w:rsidRPr="00564C51">
        <w:rPr>
          <w:noProof/>
        </w:rPr>
        <w:t>s ohledem na návrh Evropské komise,</w:t>
      </w:r>
    </w:p>
    <w:p w14:paraId="084579BC" w14:textId="77777777" w:rsidR="00F26D5E" w:rsidRPr="00564C51" w:rsidRDefault="00F26D5E" w:rsidP="00CE1658">
      <w:pPr>
        <w:rPr>
          <w:noProof/>
        </w:rPr>
      </w:pPr>
      <w:r w:rsidRPr="00564C51">
        <w:rPr>
          <w:noProof/>
        </w:rPr>
        <w:t>vzhledem k těmto důvodům:</w:t>
      </w:r>
    </w:p>
    <w:p w14:paraId="14B08092" w14:textId="1890B651" w:rsidR="001E1FE2" w:rsidRPr="00564C51" w:rsidRDefault="004B4065" w:rsidP="004B4065">
      <w:pPr>
        <w:pStyle w:val="ManualConsidrant"/>
        <w:rPr>
          <w:noProof/>
        </w:rPr>
      </w:pPr>
      <w:r w:rsidRPr="004B4065">
        <w:t>(1)</w:t>
      </w:r>
      <w:r w:rsidRPr="004B4065">
        <w:tab/>
      </w:r>
      <w:r w:rsidR="006E1946" w:rsidRPr="00564C51">
        <w:rPr>
          <w:noProof/>
        </w:rPr>
        <w:t>Podle čl. 287 bodu 17 směrnice 2006/112/ES může Bulharsko poskytnout osvobození od daně z přidané hodnoty (DPH) osobám povinným k dani, jejichž roční obrat nepřesahuje ekvivalent částky 25 600 EUR v národní měně při kurzu platném ke dni jejího přistoupení.</w:t>
      </w:r>
    </w:p>
    <w:p w14:paraId="2584FF0E" w14:textId="105B45C8" w:rsidR="00557B83" w:rsidRPr="00564C51" w:rsidRDefault="004B4065" w:rsidP="004B4065">
      <w:pPr>
        <w:pStyle w:val="ManualConsidrant"/>
        <w:rPr>
          <w:noProof/>
        </w:rPr>
      </w:pPr>
      <w:r w:rsidRPr="004B4065">
        <w:t>(2)</w:t>
      </w:r>
      <w:r w:rsidRPr="004B4065">
        <w:tab/>
      </w:r>
      <w:r w:rsidR="0051266E" w:rsidRPr="00564C51">
        <w:rPr>
          <w:noProof/>
        </w:rPr>
        <w:t>Dopisem, který Komise zaevidovala dne 17. května 2022, požádalo Bulharsko o povolení zavést zvláštní opatření odchylující se od čl. 287 bodu 17 směrnice 2006/12/ES a osvobodit od DPH osoby povinné k dani, jejichž roční obrat nepřesahuje ekvivalent částky 51 130 EUR v národní měně při kurzu platném ke dni jeho přistoupení (dále jen „zvláštní opatření“). Zvláštní opatření by bylo použitelné do 31. prosince 2024, což je datum, do kterého mají členské státy provést směrnici Rady (EU) 2020/285</w:t>
      </w:r>
      <w:r w:rsidR="0051266E" w:rsidRPr="00564C51">
        <w:rPr>
          <w:rStyle w:val="FootnoteReference"/>
          <w:noProof/>
        </w:rPr>
        <w:footnoteReference w:id="22"/>
      </w:r>
      <w:r w:rsidR="0051266E" w:rsidRPr="00564C51">
        <w:rPr>
          <w:noProof/>
        </w:rPr>
        <w:t>. Z uvedené směrnice vyplývá, že od 1. ledna 2025 budou členské státy moci osvobodit od DPH dodání zboží a poskytnutí služeb uskutečněná osobami povinnými k dani, jejichž roční obrat v daném členském státě nepřesahuje prahovou hodnotu 85 000 EUR nebo ekvivalent této částky v národní měně.</w:t>
      </w:r>
    </w:p>
    <w:p w14:paraId="3E4F515D" w14:textId="1E1E6D7E" w:rsidR="00051A3A" w:rsidRPr="00564C51" w:rsidRDefault="004B4065" w:rsidP="004B4065">
      <w:pPr>
        <w:pStyle w:val="ManualConsidrant"/>
        <w:rPr>
          <w:noProof/>
        </w:rPr>
      </w:pPr>
      <w:r w:rsidRPr="004B4065">
        <w:t>(3)</w:t>
      </w:r>
      <w:r w:rsidRPr="004B4065">
        <w:tab/>
      </w:r>
      <w:r w:rsidR="0084503F" w:rsidRPr="00564C51">
        <w:rPr>
          <w:noProof/>
        </w:rPr>
        <w:t>Podle čl. 395 odst. 2 druhého pododstavce směrnice 2006/112/ES předala Komise dopisem ze dne 26. července 2022 žádost Bulharska ostatním členským státům. Dopisem ze dne 27. července 2022 uvědomila Komise Bulharsko, že má k dispozici veškeré údaje potřebné k posouzení žádosti.</w:t>
      </w:r>
    </w:p>
    <w:p w14:paraId="3ED85F60" w14:textId="4D7BB6BE" w:rsidR="008F552B" w:rsidRPr="00564C51" w:rsidRDefault="004B4065" w:rsidP="004B4065">
      <w:pPr>
        <w:pStyle w:val="ManualConsidrant"/>
        <w:rPr>
          <w:noProof/>
        </w:rPr>
      </w:pPr>
      <w:r w:rsidRPr="004B4065">
        <w:t>(4)</w:t>
      </w:r>
      <w:r w:rsidRPr="004B4065">
        <w:tab/>
      </w:r>
      <w:r w:rsidR="00C3359C" w:rsidRPr="00564C51">
        <w:rPr>
          <w:noProof/>
        </w:rPr>
        <w:t>Zvláštní opatření je v souladu se směrnicí (EU) 2020/285, jejímž cílem je snížit zátěž malých podniků spojenou s dodržováním předpisů a zabránit narušování hospodářské soutěže na vnitřním trhu.</w:t>
      </w:r>
    </w:p>
    <w:p w14:paraId="3B40B431" w14:textId="4F500FD1" w:rsidR="008F552B" w:rsidRPr="00564C51" w:rsidRDefault="004B4065" w:rsidP="004B4065">
      <w:pPr>
        <w:pStyle w:val="ManualConsidrant"/>
        <w:rPr>
          <w:noProof/>
        </w:rPr>
      </w:pPr>
      <w:r w:rsidRPr="004B4065">
        <w:t>(5)</w:t>
      </w:r>
      <w:r w:rsidRPr="004B4065">
        <w:tab/>
      </w:r>
      <w:r w:rsidR="008F552B" w:rsidRPr="00564C51">
        <w:rPr>
          <w:noProof/>
        </w:rPr>
        <w:t>Zvláštní opatření zůstane dobrovolné, neboť osoby povinné k dani si stále budou moci zvolit běžný režim DPH podle článku 290 směrnice 2006/112/ES.</w:t>
      </w:r>
    </w:p>
    <w:p w14:paraId="77E249D5" w14:textId="75EE3ABB" w:rsidR="008F552B" w:rsidRPr="00564C51" w:rsidRDefault="004B4065" w:rsidP="004B4065">
      <w:pPr>
        <w:pStyle w:val="ManualConsidrant"/>
        <w:rPr>
          <w:noProof/>
        </w:rPr>
      </w:pPr>
      <w:r w:rsidRPr="004B4065">
        <w:t>(6)</w:t>
      </w:r>
      <w:r w:rsidRPr="004B4065">
        <w:tab/>
      </w:r>
      <w:r w:rsidR="008F552B" w:rsidRPr="00564C51">
        <w:rPr>
          <w:noProof/>
        </w:rPr>
        <w:t>Z informací poskytnutých Bulharskem vyplývá, že zvláštní opatření bude mít jen zanedbatelný vliv na celkovou výši jeho daňových příjmů vybraných na stupni konečné spotřeby.</w:t>
      </w:r>
    </w:p>
    <w:p w14:paraId="21BA787D" w14:textId="2C488A4B" w:rsidR="00C3359C" w:rsidRPr="00564C51" w:rsidRDefault="004B4065" w:rsidP="004B4065">
      <w:pPr>
        <w:pStyle w:val="ManualConsidrant"/>
        <w:rPr>
          <w:noProof/>
        </w:rPr>
      </w:pPr>
      <w:r w:rsidRPr="004B4065">
        <w:t>(7)</w:t>
      </w:r>
      <w:r w:rsidRPr="004B4065">
        <w:tab/>
      </w:r>
      <w:r w:rsidR="00C3359C" w:rsidRPr="00564C51">
        <w:rPr>
          <w:noProof/>
        </w:rPr>
        <w:t>Po vstupu nařízení Rady (EU, Euratom) 2021/769</w:t>
      </w:r>
      <w:r w:rsidR="00C3359C" w:rsidRPr="00564C51">
        <w:rPr>
          <w:rStyle w:val="FootnoteReference"/>
          <w:noProof/>
        </w:rPr>
        <w:footnoteReference w:id="23"/>
      </w:r>
      <w:r w:rsidR="00C3359C" w:rsidRPr="00564C51">
        <w:rPr>
          <w:noProof/>
        </w:rPr>
        <w:t xml:space="preserve"> v platnost nemá Bulharsko počínaje výkazem základů vlastních zdrojů z DPH za rozpočtový rok 2022 provádět výpočet náhrad.</w:t>
      </w:r>
    </w:p>
    <w:p w14:paraId="774572AF" w14:textId="35DE4D4E" w:rsidR="006703DF" w:rsidRPr="00564C51" w:rsidRDefault="004B4065" w:rsidP="004B4065">
      <w:pPr>
        <w:pStyle w:val="ManualConsidrant"/>
        <w:rPr>
          <w:noProof/>
        </w:rPr>
      </w:pPr>
      <w:r w:rsidRPr="004B4065">
        <w:t>(8)</w:t>
      </w:r>
      <w:r w:rsidRPr="004B4065">
        <w:tab/>
      </w:r>
      <w:r w:rsidR="004132FC" w:rsidRPr="00564C51">
        <w:rPr>
          <w:noProof/>
        </w:rPr>
        <w:t>Vzhledem k tomu, že se očekává, že zvláštní opatření povede k omezení povinností souvisejících s DPH, a tím i ke snížení administrativní zátěže a nákladů na dodržování předpisů pro malé podniky i pro daňové správy, a vzhledem k tomu, že významně neovlivní celkové příjmy z DPH, mělo by být Bulharsku zavedení tohoto zvláštního opatření povoleno.</w:t>
      </w:r>
    </w:p>
    <w:p w14:paraId="4FB42FB4" w14:textId="11243A53" w:rsidR="004132FC" w:rsidRPr="00564C51" w:rsidRDefault="004B4065" w:rsidP="004B4065">
      <w:pPr>
        <w:pStyle w:val="ManualConsidrant"/>
        <w:rPr>
          <w:noProof/>
        </w:rPr>
      </w:pPr>
      <w:r w:rsidRPr="004B4065">
        <w:t>(9)</w:t>
      </w:r>
      <w:r w:rsidRPr="004B4065">
        <w:tab/>
      </w:r>
      <w:r w:rsidR="004132FC" w:rsidRPr="00564C51">
        <w:rPr>
          <w:noProof/>
        </w:rPr>
        <w:t xml:space="preserve">Povolení uplatňovat zvláštní opatření by mělo být časově omezené. Časové omezení by mělo být dostatečně dlouhé, aby bylo možné posoudit účinnost a přiměřenost prahové hodnoty. Kromě toho podle čl. 3 odst. 1 směrnice (EU) 2020/285 mají členské státy do 31. prosince 2024 přijmout a zveřejnit právní a správní předpisy nezbytné pro dosažení souladu s článkem 1 uvedené směrnice, který mění směrnici 2006/112/ES a stanoví jednodušší pravidla DPH pro malé podniky, a používat tyto předpisy ode dne 1. ledna 2025. Je proto vhodné Bulharsku povolit, aby zvláštní opatření uplatňovalo do 31. prosince 2024, </w:t>
      </w:r>
    </w:p>
    <w:p w14:paraId="0E223613" w14:textId="77777777" w:rsidR="00F26D5E" w:rsidRPr="00564C51" w:rsidRDefault="00F26D5E" w:rsidP="00CE1658">
      <w:pPr>
        <w:pStyle w:val="Formuledadoption"/>
        <w:rPr>
          <w:noProof/>
        </w:rPr>
      </w:pPr>
      <w:r w:rsidRPr="00564C51">
        <w:rPr>
          <w:noProof/>
        </w:rPr>
        <w:t xml:space="preserve">PŘIJALA TOTO ROZHODNUTÍ: </w:t>
      </w:r>
    </w:p>
    <w:p w14:paraId="51812F53" w14:textId="77777777" w:rsidR="00F26D5E" w:rsidRPr="00564C51" w:rsidRDefault="00F26D5E" w:rsidP="00CE1658">
      <w:pPr>
        <w:pStyle w:val="Titrearticle"/>
        <w:rPr>
          <w:noProof/>
        </w:rPr>
      </w:pPr>
      <w:r w:rsidRPr="00564C51">
        <w:rPr>
          <w:noProof/>
        </w:rPr>
        <w:t>Článek 1</w:t>
      </w:r>
    </w:p>
    <w:p w14:paraId="6401545F" w14:textId="0CC34737" w:rsidR="00862B17" w:rsidRPr="00564C51" w:rsidRDefault="006703DF" w:rsidP="00CE1658">
      <w:pPr>
        <w:rPr>
          <w:noProof/>
        </w:rPr>
      </w:pPr>
      <w:r w:rsidRPr="00564C51">
        <w:rPr>
          <w:noProof/>
        </w:rPr>
        <w:t>Odchylně od čl. 287 bodu 17 směrnice 2006/112/ES se Bulharsku povoluje osvobodit od DPH osoby povinné k dani, jejichž roční obrat nepřesahuje ekvivalent částky 51 130 EUR v národní měně při kurzu platném ke dni jeho přistoupení.</w:t>
      </w:r>
    </w:p>
    <w:p w14:paraId="55E7CCCE" w14:textId="36E57CC4" w:rsidR="006703DF" w:rsidRPr="00564C51" w:rsidRDefault="00F26D5E" w:rsidP="006703DF">
      <w:pPr>
        <w:pStyle w:val="Titrearticle"/>
        <w:rPr>
          <w:noProof/>
        </w:rPr>
      </w:pPr>
      <w:r w:rsidRPr="00564C51">
        <w:rPr>
          <w:noProof/>
        </w:rPr>
        <w:t>Článek 2</w:t>
      </w:r>
    </w:p>
    <w:p w14:paraId="465AACA1" w14:textId="217C8409" w:rsidR="00F26D5E" w:rsidRPr="00564C51" w:rsidRDefault="00F26D5E" w:rsidP="00CE1658">
      <w:pPr>
        <w:rPr>
          <w:noProof/>
        </w:rPr>
      </w:pPr>
      <w:r w:rsidRPr="00564C51">
        <w:rPr>
          <w:noProof/>
        </w:rPr>
        <w:t>Toto rozhodnutí nabývá účinku dnem oznámení.</w:t>
      </w:r>
    </w:p>
    <w:p w14:paraId="4AD9133C" w14:textId="2A5979D0" w:rsidR="006703DF" w:rsidRPr="00564C51" w:rsidRDefault="006703DF" w:rsidP="00CE1658">
      <w:pPr>
        <w:rPr>
          <w:noProof/>
        </w:rPr>
      </w:pPr>
      <w:r w:rsidRPr="00564C51">
        <w:rPr>
          <w:noProof/>
        </w:rPr>
        <w:t>Toto rozhodnutí se použije do 31. prosince 2024.</w:t>
      </w:r>
    </w:p>
    <w:p w14:paraId="5E6C7D4D" w14:textId="20688F8A" w:rsidR="006703DF" w:rsidRPr="00564C51" w:rsidRDefault="006703DF" w:rsidP="006703DF">
      <w:pPr>
        <w:pStyle w:val="Titrearticle"/>
        <w:rPr>
          <w:noProof/>
        </w:rPr>
      </w:pPr>
      <w:r w:rsidRPr="00564C51">
        <w:rPr>
          <w:noProof/>
        </w:rPr>
        <w:t>Článek 3</w:t>
      </w:r>
    </w:p>
    <w:p w14:paraId="030FE278" w14:textId="7FE55BB2" w:rsidR="006703DF" w:rsidRPr="00564C51" w:rsidRDefault="006703DF" w:rsidP="006703DF">
      <w:pPr>
        <w:rPr>
          <w:noProof/>
        </w:rPr>
      </w:pPr>
      <w:r w:rsidRPr="00564C51">
        <w:rPr>
          <w:noProof/>
        </w:rPr>
        <w:t>Toto rozhodnutí je určeno Bulharsku.</w:t>
      </w:r>
    </w:p>
    <w:p w14:paraId="69C3CA2A" w14:textId="77777777" w:rsidR="006703DF" w:rsidRPr="00564C51" w:rsidRDefault="006703DF" w:rsidP="00CE1658">
      <w:pPr>
        <w:rPr>
          <w:noProof/>
        </w:rPr>
      </w:pPr>
    </w:p>
    <w:p w14:paraId="1F9D85EA" w14:textId="43C52903" w:rsidR="00F26D5E" w:rsidRPr="00564C51" w:rsidRDefault="0064757E" w:rsidP="0064755E">
      <w:pPr>
        <w:pStyle w:val="Fait"/>
        <w:rPr>
          <w:noProof/>
        </w:rPr>
      </w:pPr>
      <w:r w:rsidRPr="0064757E">
        <w:t>V Bruselu dne</w:t>
      </w:r>
    </w:p>
    <w:p w14:paraId="79272B49" w14:textId="77777777" w:rsidR="00F26D5E" w:rsidRPr="00564C51" w:rsidRDefault="00F26D5E" w:rsidP="0064755E">
      <w:pPr>
        <w:pStyle w:val="Institutionquisigne"/>
        <w:rPr>
          <w:noProof/>
        </w:rPr>
      </w:pPr>
      <w:r w:rsidRPr="00564C51">
        <w:rPr>
          <w:noProof/>
        </w:rPr>
        <w:tab/>
        <w:t>Za Radu</w:t>
      </w:r>
    </w:p>
    <w:p w14:paraId="6EB48215" w14:textId="77777777" w:rsidR="00F26D5E" w:rsidRPr="00564C51" w:rsidRDefault="00F26D5E" w:rsidP="00F26D5E">
      <w:pPr>
        <w:pStyle w:val="Personnequisigne"/>
        <w:rPr>
          <w:noProof/>
        </w:rPr>
      </w:pPr>
      <w:r w:rsidRPr="00564C51">
        <w:rPr>
          <w:noProof/>
        </w:rPr>
        <w:tab/>
        <w:t>předseda/předsedkyně</w:t>
      </w:r>
    </w:p>
    <w:sectPr w:rsidR="00F26D5E" w:rsidRPr="00564C51" w:rsidSect="00B310AD">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CD47C" w14:textId="77777777" w:rsidR="00F26D5E" w:rsidRDefault="00F26D5E" w:rsidP="00F26D5E">
      <w:pPr>
        <w:spacing w:before="0" w:after="0"/>
      </w:pPr>
      <w:r>
        <w:separator/>
      </w:r>
    </w:p>
  </w:endnote>
  <w:endnote w:type="continuationSeparator" w:id="0">
    <w:p w14:paraId="21510940" w14:textId="77777777" w:rsidR="00F26D5E" w:rsidRDefault="00F26D5E" w:rsidP="00F26D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3C87B" w14:textId="29A7F5D5" w:rsidR="00922766" w:rsidRPr="00B310AD" w:rsidRDefault="00B310AD" w:rsidP="00B310AD">
    <w:pPr>
      <w:pStyle w:val="Footer"/>
      <w:rPr>
        <w:rFonts w:ascii="Arial" w:hAnsi="Arial" w:cs="Arial"/>
        <w:b/>
        <w:sz w:val="48"/>
      </w:rPr>
    </w:pPr>
    <w:r w:rsidRPr="00B310AD">
      <w:rPr>
        <w:rFonts w:ascii="Arial" w:hAnsi="Arial" w:cs="Arial"/>
        <w:b/>
        <w:sz w:val="48"/>
      </w:rPr>
      <w:t>CS</w:t>
    </w:r>
    <w:r w:rsidRPr="00B310AD">
      <w:rPr>
        <w:rFonts w:ascii="Arial" w:hAnsi="Arial" w:cs="Arial"/>
        <w:b/>
        <w:sz w:val="48"/>
      </w:rPr>
      <w:tab/>
    </w:r>
    <w:r w:rsidRPr="00B310AD">
      <w:rPr>
        <w:rFonts w:ascii="Arial" w:hAnsi="Arial" w:cs="Arial"/>
        <w:b/>
        <w:sz w:val="48"/>
      </w:rPr>
      <w:tab/>
    </w:r>
    <w:r w:rsidRPr="00B310AD">
      <w:tab/>
    </w:r>
    <w:r w:rsidRPr="00B310AD">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1F83" w14:textId="5642B486" w:rsidR="00B310AD" w:rsidRPr="00B310AD" w:rsidRDefault="00B310AD" w:rsidP="00B310AD">
    <w:pPr>
      <w:pStyle w:val="Footer"/>
      <w:rPr>
        <w:rFonts w:ascii="Arial" w:hAnsi="Arial" w:cs="Arial"/>
        <w:b/>
        <w:sz w:val="48"/>
      </w:rPr>
    </w:pPr>
    <w:r w:rsidRPr="00B310AD">
      <w:rPr>
        <w:rFonts w:ascii="Arial" w:hAnsi="Arial" w:cs="Arial"/>
        <w:b/>
        <w:sz w:val="48"/>
      </w:rPr>
      <w:t>CS</w:t>
    </w:r>
    <w:r w:rsidRPr="00B310AD">
      <w:rPr>
        <w:rFonts w:ascii="Arial" w:hAnsi="Arial" w:cs="Arial"/>
        <w:b/>
        <w:sz w:val="48"/>
      </w:rPr>
      <w:tab/>
    </w:r>
    <w:r>
      <w:fldChar w:fldCharType="begin"/>
    </w:r>
    <w:r>
      <w:instrText xml:space="preserve"> PAGE  \* MERGEFORMAT </w:instrText>
    </w:r>
    <w:r>
      <w:fldChar w:fldCharType="separate"/>
    </w:r>
    <w:r w:rsidR="0064755E">
      <w:rPr>
        <w:noProof/>
      </w:rPr>
      <w:t>7</w:t>
    </w:r>
    <w:r>
      <w:fldChar w:fldCharType="end"/>
    </w:r>
    <w:r>
      <w:tab/>
    </w:r>
    <w:r w:rsidRPr="00B310AD">
      <w:tab/>
    </w:r>
    <w:r w:rsidRPr="00B310AD">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DE1C" w14:textId="77777777" w:rsidR="00B310AD" w:rsidRPr="00B310AD" w:rsidRDefault="00B310AD" w:rsidP="00B31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88CE1" w14:textId="77777777" w:rsidR="00F26D5E" w:rsidRDefault="00F26D5E" w:rsidP="00F26D5E">
      <w:pPr>
        <w:spacing w:before="0" w:after="0"/>
      </w:pPr>
      <w:r>
        <w:separator/>
      </w:r>
    </w:p>
  </w:footnote>
  <w:footnote w:type="continuationSeparator" w:id="0">
    <w:p w14:paraId="49611E12" w14:textId="77777777" w:rsidR="00F26D5E" w:rsidRDefault="00F26D5E" w:rsidP="00F26D5E">
      <w:pPr>
        <w:spacing w:before="0" w:after="0"/>
      </w:pPr>
      <w:r>
        <w:continuationSeparator/>
      </w:r>
    </w:p>
  </w:footnote>
  <w:footnote w:id="1">
    <w:p w14:paraId="732E0E07" w14:textId="77777777" w:rsidR="009121E5" w:rsidRPr="009121E5" w:rsidRDefault="009121E5">
      <w:pPr>
        <w:pStyle w:val="FootnoteText"/>
      </w:pPr>
      <w:r>
        <w:rPr>
          <w:rStyle w:val="FootnoteReference"/>
        </w:rPr>
        <w:footnoteRef/>
      </w:r>
      <w:r>
        <w:tab/>
        <w:t>Úř. věst. L 347, 11.12.2006, s. 1.</w:t>
      </w:r>
    </w:p>
  </w:footnote>
  <w:footnote w:id="2">
    <w:p w14:paraId="07BE6744" w14:textId="77777777" w:rsidR="008072BD" w:rsidRPr="008072BD" w:rsidRDefault="008072BD">
      <w:pPr>
        <w:pStyle w:val="FootnoteText"/>
      </w:pPr>
      <w:r>
        <w:rPr>
          <w:rStyle w:val="FootnoteReference"/>
        </w:rPr>
        <w:footnoteRef/>
      </w:r>
      <w:r>
        <w:tab/>
        <w:t>Směrnice Rady (EU) 2020/285 ze dne 18. února 2020, kterou se mění směrnice 2006/112/ES o společném systému daně z přidané hodnoty, pokud jde o zvláštní režim pro malé podniky, a nařízení (EU) č. 904/2010, pokud jde o správní spolupráci a výměnu informací za účelem sledování správného uplatňování zvláštního režimu pro malé podniky (Úř. věst. L 62, 2.3.2020, s. 13).</w:t>
      </w:r>
    </w:p>
  </w:footnote>
  <w:footnote w:id="3">
    <w:p w14:paraId="2E8C4F7B" w14:textId="77777777" w:rsidR="008072BD" w:rsidRPr="008072BD" w:rsidRDefault="008072BD">
      <w:pPr>
        <w:pStyle w:val="FootnoteText"/>
      </w:pPr>
      <w:r>
        <w:rPr>
          <w:rStyle w:val="FootnoteReference"/>
        </w:rPr>
        <w:footnoteRef/>
      </w:r>
      <w:r>
        <w:tab/>
        <w:t>Sdělení Komise Evropskému parlamentu, Radě a Evropskému hospodářskému a sociálnímu výboru o akčním plánu v oblasti DPH – Směrem k jednotné oblasti DPH v EU – Čas přijmout rozhodnutí (COM(2016) 148 final).</w:t>
      </w:r>
      <w:r>
        <w:tab/>
      </w:r>
    </w:p>
  </w:footnote>
  <w:footnote w:id="4">
    <w:p w14:paraId="57D1E8DD" w14:textId="77777777" w:rsidR="008072BD" w:rsidRPr="008072BD" w:rsidRDefault="008072BD">
      <w:pPr>
        <w:pStyle w:val="FootnoteText"/>
      </w:pPr>
      <w:r>
        <w:rPr>
          <w:rStyle w:val="FootnoteReference"/>
        </w:rPr>
        <w:footnoteRef/>
      </w:r>
      <w:r>
        <w:tab/>
        <w:t>Prováděcí rozhodnutí Rady (EU) 2018/1904 ze dne 4. prosince 2018, kterým se Nizozemsku povoluje zavést zvláštní opatření odchylující se od článku 285 směrnice 2006/112/ES o společném systému daně z přidané hodnoty (Úř. věst. L 310, 6.12.2018, s. 25).</w:t>
      </w:r>
      <w:r>
        <w:tab/>
      </w:r>
    </w:p>
  </w:footnote>
  <w:footnote w:id="5">
    <w:p w14:paraId="2ADF558E" w14:textId="77777777" w:rsidR="00F666C5" w:rsidRPr="00F666C5" w:rsidRDefault="00F666C5">
      <w:pPr>
        <w:pStyle w:val="FootnoteText"/>
      </w:pPr>
      <w:r>
        <w:rPr>
          <w:rStyle w:val="FootnoteReference"/>
        </w:rPr>
        <w:footnoteRef/>
      </w:r>
      <w:r>
        <w:tab/>
        <w:t xml:space="preserve">Prováděcí rozhodnutí Rady (EU) 2022/88 ze dne 18. ledna 2022, kterým se mění prováděcí rozhodnutí 2013/53/EU, kterým se Belgickému království povoluje zavést zvláštní opatření odchylující se od článku 285 směrnice 2006/112/ES o společném systému daně z přidané hodnoty (Úř. věst. L 14, 21.1.2022, s. 23). </w:t>
      </w:r>
    </w:p>
  </w:footnote>
  <w:footnote w:id="6">
    <w:p w14:paraId="54E1F84F" w14:textId="77777777" w:rsidR="008072BD" w:rsidRPr="008072BD" w:rsidRDefault="008072BD">
      <w:pPr>
        <w:pStyle w:val="FootnoteText"/>
      </w:pPr>
      <w:r>
        <w:rPr>
          <w:rStyle w:val="FootnoteReference"/>
        </w:rPr>
        <w:footnoteRef/>
      </w:r>
      <w:r>
        <w:tab/>
        <w:t>Prováděcí rozhodnutí Rady (EU) 2020/647 ze dne 11. května 2020, kterým se Italské republice povoluje použít opatření odchylující se od článku 285 směrnice 2006/112/ES o společném systému daně z přidané hodnoty (Úř. věst. L 151, 14.5.2020, s. 7).</w:t>
      </w:r>
      <w:r>
        <w:tab/>
      </w:r>
    </w:p>
  </w:footnote>
  <w:footnote w:id="7">
    <w:p w14:paraId="19EA560A" w14:textId="619BAC25" w:rsidR="00373F70" w:rsidRPr="00373F70" w:rsidRDefault="00373F70">
      <w:pPr>
        <w:pStyle w:val="FootnoteText"/>
      </w:pPr>
      <w:r>
        <w:rPr>
          <w:rStyle w:val="FootnoteReference"/>
        </w:rPr>
        <w:footnoteRef/>
      </w:r>
      <w:r>
        <w:tab/>
        <w:t>Prováděcí rozhodnutí Rady (EU) 2019/2210 ze dne 19. prosince 2019, kterým se mění prováděcí rozhodnutí 2013/677/EU, kterým se Lucembursku povoluje zavést zvláštní opatření odchylující se od článku 285 směrnice 2006/112/ES o společném systému daně z přidané hodnoty (Úř. věst. L 332, 23.12.2019, s. 155).</w:t>
      </w:r>
    </w:p>
  </w:footnote>
  <w:footnote w:id="8">
    <w:p w14:paraId="7BFFD2BA" w14:textId="2A28C4B7" w:rsidR="00DB122E" w:rsidRPr="00DB122E" w:rsidRDefault="00DB122E">
      <w:pPr>
        <w:pStyle w:val="FootnoteText"/>
      </w:pPr>
      <w:r>
        <w:rPr>
          <w:rStyle w:val="FootnoteReference"/>
        </w:rPr>
        <w:footnoteRef/>
      </w:r>
      <w:r>
        <w:tab/>
        <w:t>Prováděcí rozhodnutí Rady (EU) 2021/1780 ze dne 5. října 2021, kterým se mění rozhodnutí 2009/790/ES, kterým se Polské republice povoluje použít opatření odchylující se od článku 287 směrnice 2006/112/ES o společném systému daně z přidané hodnoty (Úř. věst. L 360, 11.10.2021, s. 122).</w:t>
      </w:r>
    </w:p>
  </w:footnote>
  <w:footnote w:id="9">
    <w:p w14:paraId="20441638" w14:textId="77777777" w:rsidR="008072BD" w:rsidRPr="008072BD" w:rsidRDefault="008072BD">
      <w:pPr>
        <w:pStyle w:val="FootnoteText"/>
      </w:pPr>
      <w:r>
        <w:rPr>
          <w:rStyle w:val="FootnoteReference"/>
        </w:rPr>
        <w:footnoteRef/>
      </w:r>
      <w:r>
        <w:tab/>
        <w:t>Prováděcí rozhodnutí Rady (EU) 2020/1261 ze dne 4. září 2020, kterým se mění prováděcí rozhodnutí (EU) 2017/2408, kterým se Lotyšské republice povoluje uplatňovat opatření odchylující se od článku 287 směrnice 2006/112/ES o společném systému daně z přidané hodnoty (Úř. věst. L 296, 10.9.2020, s. 4).</w:t>
      </w:r>
    </w:p>
  </w:footnote>
  <w:footnote w:id="10">
    <w:p w14:paraId="6F152481" w14:textId="77777777" w:rsidR="008072BD" w:rsidRPr="008072BD" w:rsidRDefault="008072BD">
      <w:pPr>
        <w:pStyle w:val="FootnoteText"/>
      </w:pPr>
      <w:r>
        <w:rPr>
          <w:rStyle w:val="FootnoteReference"/>
        </w:rPr>
        <w:footnoteRef/>
      </w:r>
      <w:r>
        <w:tab/>
        <w:t>Prováděcí rozhodnutí Rady (EU) 2021/358 ze dne 22. února 2021, kterým se mění prováděcí rozhodnutí (EU) 2017/563, kterým se Estonsku povoluje uplatňovat opatření odchylující se od článku 287 směrnice 2006/112/ES o společném systému daně z přidané hodnoty (Úř. věst. L 69, 26.2.2021, s. 4).</w:t>
      </w:r>
      <w:r>
        <w:tab/>
      </w:r>
    </w:p>
  </w:footnote>
  <w:footnote w:id="11">
    <w:p w14:paraId="1926519E" w14:textId="77777777" w:rsidR="005251B1" w:rsidRPr="005251B1" w:rsidRDefault="005251B1">
      <w:pPr>
        <w:pStyle w:val="FootnoteText"/>
      </w:pPr>
      <w:r>
        <w:rPr>
          <w:rStyle w:val="FootnoteReference"/>
        </w:rPr>
        <w:footnoteRef/>
      </w:r>
      <w:r>
        <w:tab/>
        <w:t>Prováděcí rozhodnutí Rady (EU) 2022/73 ze dne 18. ledna 2022, kterým se mění prováděcí rozhodnutí (EU) 2018/1490, kterým se Maďarsku povoluje zavést zvláštní opatření odchylující se od článku 287 směrnice 2006/112/ES o společném systému daně z přidané hodnoty (Úř. věst. L 12, 19.1.2022, s. 148).</w:t>
      </w:r>
    </w:p>
  </w:footnote>
  <w:footnote w:id="12">
    <w:p w14:paraId="6E15CB79" w14:textId="77777777" w:rsidR="00955805" w:rsidRPr="00955805" w:rsidRDefault="00955805">
      <w:pPr>
        <w:pStyle w:val="FootnoteText"/>
      </w:pPr>
      <w:r>
        <w:rPr>
          <w:rStyle w:val="FootnoteReference"/>
        </w:rPr>
        <w:footnoteRef/>
      </w:r>
      <w:r>
        <w:tab/>
        <w:t>Prováděcí rozhodnutí Rady (EU) 2021/86 ze dne 22. ledna 2021, kterým se Litevské republice povoluje uplatňovat zvláštní opatření odchylující se od článku 287 směrnice 2006/112/ES o společném systému daně z přidané hodnoty (Úř. věst. L 30, 28.1.2021, s. 2).</w:t>
      </w:r>
    </w:p>
  </w:footnote>
  <w:footnote w:id="13">
    <w:p w14:paraId="552BE02F" w14:textId="77777777" w:rsidR="00955805" w:rsidRPr="00955805" w:rsidRDefault="00955805">
      <w:pPr>
        <w:pStyle w:val="FootnoteText"/>
      </w:pPr>
      <w:r>
        <w:rPr>
          <w:rStyle w:val="FootnoteReference"/>
        </w:rPr>
        <w:footnoteRef/>
      </w:r>
      <w:r>
        <w:tab/>
        <w:t>Prováděcí rozhodnutí Rady (EU) 2020/1661 ze dne 3. listopadu 2020, kterým se mění prováděcí rozhodnutí Rady (EU) 2017/1768, kterým se Chorvatské republice povoluje uplatňovat zvláštní opatření odchylující se od článku 287 směrnice 2006/112/ES o společném systému daně z přidané hodnoty (Úř. věst. L 374, 10.11.2020, s. 4).</w:t>
      </w:r>
    </w:p>
  </w:footnote>
  <w:footnote w:id="14">
    <w:p w14:paraId="0F445567" w14:textId="77777777" w:rsidR="00955805" w:rsidRPr="00955805" w:rsidRDefault="00955805">
      <w:pPr>
        <w:pStyle w:val="FootnoteText"/>
      </w:pPr>
      <w:r>
        <w:rPr>
          <w:rStyle w:val="FootnoteReference"/>
        </w:rPr>
        <w:footnoteRef/>
      </w:r>
      <w:r>
        <w:tab/>
        <w:t>Prováděcí rozhodnutí Rady (EU) 2021/753 ze dne 6. května 2021, kterým se Maltě povoluje uplatňovat zvláštní opatření odchylující se od článku 287 směrnice 2006/112/ES o společném systému daně z přidané hodnoty, a zrušuje prováděcí rozhodnutí (EU) 2018/279 (Úř. věst. L 163, 10.5.2021, s. 1).</w:t>
      </w:r>
    </w:p>
  </w:footnote>
  <w:footnote w:id="15">
    <w:p w14:paraId="4B8CFA3A" w14:textId="77777777" w:rsidR="00955805" w:rsidRPr="00955805" w:rsidRDefault="00955805">
      <w:pPr>
        <w:pStyle w:val="FootnoteText"/>
      </w:pPr>
      <w:r>
        <w:rPr>
          <w:rStyle w:val="FootnoteReference"/>
        </w:rPr>
        <w:footnoteRef/>
      </w:r>
      <w:r>
        <w:tab/>
        <w:t>Prováděcí rozhodnutí Rady (EU) 2022/464 ze dne 21. března 2022, kterým se mění prováděcí rozhodnutí 2013/54/EU, pokud jde o povolení udělené Republice Slovinsko nadále uplatňovat zvláštní opatření odchylující se od článku 287 směrnice 2006/112/ES o společném systému daně z přidané hodnoty (Úř. věst. L 94, 23.3.2022, s. 4).</w:t>
      </w:r>
      <w:r>
        <w:tab/>
      </w:r>
    </w:p>
  </w:footnote>
  <w:footnote w:id="16">
    <w:p w14:paraId="7A686A8B" w14:textId="5F0B1A35" w:rsidR="007E6813" w:rsidRPr="007E6813" w:rsidRDefault="007E6813">
      <w:pPr>
        <w:pStyle w:val="FootnoteText"/>
      </w:pPr>
      <w:r>
        <w:rPr>
          <w:rStyle w:val="FootnoteReference"/>
        </w:rPr>
        <w:footnoteRef/>
      </w:r>
      <w:r>
        <w:tab/>
        <w:t>Prováděcí rozhodnutí Rady (EU) 2022/865 ze dne 24. května 2022, kterým se České republice povoluje zavést zvláštní opatření odchylující se od článku 287 směrnice 2006/112/ES o společném systému daně z přidané hodnoty (Úř. věst. L 151, 2.6.2022, s. 66).</w:t>
      </w:r>
    </w:p>
  </w:footnote>
  <w:footnote w:id="17">
    <w:p w14:paraId="12CC50C8" w14:textId="77777777" w:rsidR="00955805" w:rsidRPr="00955805" w:rsidRDefault="00955805">
      <w:pPr>
        <w:pStyle w:val="FootnoteText"/>
      </w:pPr>
      <w:r>
        <w:rPr>
          <w:rStyle w:val="FootnoteReference"/>
        </w:rPr>
        <w:footnoteRef/>
      </w:r>
      <w:r>
        <w:tab/>
        <w:t>Prováděcí rozhodnutí Rady (EU) 2020/1260 ze dne 4. září 2020, kterým se mění prováděcí rozhodnutí (EU) 2017/1855, kterým se Rumunsku povoluje uplatňovat zvláštní opatření odchylující se od článku 287 směrnice 2006/112/ES o společném systému daně z přidané hodnoty (Úř. věst. L 296, 10.9.2020, s. 1).</w:t>
      </w:r>
    </w:p>
  </w:footnote>
  <w:footnote w:id="18">
    <w:p w14:paraId="4343CCEB" w14:textId="77777777" w:rsidR="00955805" w:rsidRPr="00955805" w:rsidRDefault="00955805">
      <w:pPr>
        <w:pStyle w:val="FootnoteText"/>
      </w:pPr>
      <w:r>
        <w:rPr>
          <w:rStyle w:val="FootnoteReference"/>
        </w:rPr>
        <w:footnoteRef/>
      </w:r>
      <w:r>
        <w:tab/>
        <w:t>Sdělení Komise Evropskému parlamentu, Radě, Evropskému hospodářskému a sociálnímu výboru a Výboru regionů „Strategie pro udržitelnou a digitální Evropu zaměřená na malé a střední podniky“ (COM(2020) 103 final).</w:t>
      </w:r>
      <w:r>
        <w:tab/>
      </w:r>
    </w:p>
  </w:footnote>
  <w:footnote w:id="19">
    <w:p w14:paraId="1B19190F" w14:textId="77777777" w:rsidR="00955805" w:rsidRPr="00955805" w:rsidRDefault="00955805">
      <w:pPr>
        <w:pStyle w:val="FootnoteText"/>
      </w:pPr>
      <w:r>
        <w:rPr>
          <w:rStyle w:val="FootnoteReference"/>
        </w:rPr>
        <w:footnoteRef/>
      </w:r>
      <w:r>
        <w:tab/>
        <w:t>Sdělení Komise Evropskému parlamentu a Radě – Akční plán pro spravedlivé a jednoduché zdanění podporující strategii oživení (COM(2020) 312 final).</w:t>
      </w:r>
      <w:r>
        <w:tab/>
      </w:r>
    </w:p>
  </w:footnote>
  <w:footnote w:id="20">
    <w:p w14:paraId="2CE30514" w14:textId="77777777" w:rsidR="000C41C3" w:rsidRPr="000C41C3" w:rsidRDefault="000C41C3">
      <w:pPr>
        <w:pStyle w:val="FootnoteText"/>
      </w:pPr>
      <w:r>
        <w:rPr>
          <w:rStyle w:val="FootnoteReference"/>
        </w:rPr>
        <w:footnoteRef/>
      </w:r>
      <w:r>
        <w:tab/>
        <w:t>Nařízení Rady (EU, Euratom) 2021/769 ze dne 30. dubna 2021, kterým se mění nařízení (EHS, Euratom) č. 1553/89 o konečné jednotné úpravě vybírání vlastních zdrojů vycházejících z daně z přidané hodnoty (Úř. věst. L 165, 11.5.2021, s. 9).</w:t>
      </w:r>
      <w:r>
        <w:tab/>
      </w:r>
    </w:p>
  </w:footnote>
  <w:footnote w:id="21">
    <w:p w14:paraId="1C46A5B0" w14:textId="77777777" w:rsidR="00F26D5E" w:rsidRDefault="00F26D5E" w:rsidP="00CE1658">
      <w:pPr>
        <w:pStyle w:val="FootnoteText"/>
      </w:pPr>
      <w:r>
        <w:rPr>
          <w:rStyle w:val="FootnoteReference"/>
        </w:rPr>
        <w:footnoteRef/>
      </w:r>
      <w:r>
        <w:tab/>
        <w:t>Úř. věst. L 347, 11.12.2006, s. 1.</w:t>
      </w:r>
    </w:p>
  </w:footnote>
  <w:footnote w:id="22">
    <w:p w14:paraId="397BD885" w14:textId="77777777" w:rsidR="00051A3A" w:rsidRPr="00051A3A" w:rsidRDefault="00051A3A">
      <w:pPr>
        <w:pStyle w:val="FootnoteText"/>
      </w:pPr>
      <w:r>
        <w:rPr>
          <w:rStyle w:val="FootnoteReference"/>
        </w:rPr>
        <w:footnoteRef/>
      </w:r>
      <w:r>
        <w:tab/>
        <w:t>Směrnice Rady (EU) 2020/285 ze dne 18. února 2020, kterou se mění směrnice 2006/112/ES o společném systému daně z přidané hodnoty, pokud jde o zvláštní režim pro malé podniky, a nařízení (EU) č. 904/2010, pokud jde o správní spolupráci a výměnu informací za účelem sledování správného uplatňování zvláštního režimu pro malé podniky (Úř. věst. L 62, 2.3.2020, s. 13).</w:t>
      </w:r>
    </w:p>
  </w:footnote>
  <w:footnote w:id="23">
    <w:p w14:paraId="5F2E4BD8" w14:textId="77777777" w:rsidR="00C3359C" w:rsidRPr="00C3359C" w:rsidRDefault="00C3359C">
      <w:pPr>
        <w:pStyle w:val="FootnoteText"/>
      </w:pPr>
      <w:r>
        <w:rPr>
          <w:rStyle w:val="FootnoteReference"/>
        </w:rPr>
        <w:footnoteRef/>
      </w:r>
      <w:r>
        <w:tab/>
        <w:t>Nařízení Rady (EU, Euratom) 2021/769 ze dne 30. dubna 2021, kterým se mění nařízení (EHS, Euratom) č. 1553/89 o konečné jednotné úpravě vybírání vlastních zdrojů vycházejících z daně z přidané hodnoty (Úř. věst. L 165, 11.5.2021, s.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BFA704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C7083D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F621C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8922A0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0629C4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1C6A7F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7EAAF9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38C9B0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0-13 11:17: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E8AD5B3-39F9-4D25-AE74-4F20AFC7A5B6"/>
    <w:docVar w:name="LW_COVERPAGE_TYPE" w:val="1"/>
    <w:docVar w:name="LW_CROSSREFERENCE" w:val="&lt;UNUSED&gt;"/>
    <w:docVar w:name="LW_DocType" w:val="COM"/>
    <w:docVar w:name="LW_EMISSION" w:val="13.10.2022"/>
    <w:docVar w:name="LW_EMISSION_ISODATE" w:val="2022-10-13"/>
    <w:docVar w:name="LW_EMISSION_LOCATION" w:val="BRX"/>
    <w:docVar w:name="LW_EMISSION_PREFIX" w:val="V Bruselu dne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NLE"/>
    <w:docVar w:name="LW_REF.II.NEW.CP_NUMBER" w:val="0322"/>
    <w:docVar w:name="LW_REF.II.NEW.CP_YEAR" w:val="2022"/>
    <w:docVar w:name="LW_REF.INST.NEW" w:val="COM"/>
    <w:docVar w:name="LW_REF.INST.NEW_ADOPTED" w:val="final"/>
    <w:docVar w:name="LW_REF.INST.NEW_TEXT" w:val="(2022) 5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kterým se Bulharsku povoluje zavést zvláštní opatření odchylující se od článku 287 směrnice 2006/112/ES o společném systému daně z přidané hodnoty _x000b_"/>
    <w:docVar w:name="LW_TYPE.DOC.CP" w:val="PROVÁDĚCÍ ROZHODNUTÍ RADY,"/>
    <w:docVar w:name="LwApiVersions" w:val="LW4CoDe 1.23.2.0; LW 8.0, Build 20211117"/>
  </w:docVars>
  <w:rsids>
    <w:rsidRoot w:val="00F26D5E"/>
    <w:rsid w:val="000033E3"/>
    <w:rsid w:val="00015E46"/>
    <w:rsid w:val="000255D1"/>
    <w:rsid w:val="00035B99"/>
    <w:rsid w:val="00046BEC"/>
    <w:rsid w:val="00051A3A"/>
    <w:rsid w:val="00056859"/>
    <w:rsid w:val="0006398E"/>
    <w:rsid w:val="00064B0E"/>
    <w:rsid w:val="00080AB0"/>
    <w:rsid w:val="000A3038"/>
    <w:rsid w:val="000B0336"/>
    <w:rsid w:val="000B4475"/>
    <w:rsid w:val="000B7A7D"/>
    <w:rsid w:val="000C41C3"/>
    <w:rsid w:val="000C4D74"/>
    <w:rsid w:val="000C6DE0"/>
    <w:rsid w:val="000D50CF"/>
    <w:rsid w:val="000E3471"/>
    <w:rsid w:val="000E3D4D"/>
    <w:rsid w:val="000F6705"/>
    <w:rsid w:val="00127A46"/>
    <w:rsid w:val="001316BF"/>
    <w:rsid w:val="00140472"/>
    <w:rsid w:val="00146D99"/>
    <w:rsid w:val="00151B5E"/>
    <w:rsid w:val="00152894"/>
    <w:rsid w:val="00160C54"/>
    <w:rsid w:val="00173E95"/>
    <w:rsid w:val="001760E8"/>
    <w:rsid w:val="00181AAA"/>
    <w:rsid w:val="001D102F"/>
    <w:rsid w:val="001D7981"/>
    <w:rsid w:val="001E1FE2"/>
    <w:rsid w:val="001E41FA"/>
    <w:rsid w:val="002347E2"/>
    <w:rsid w:val="002372EF"/>
    <w:rsid w:val="00253189"/>
    <w:rsid w:val="002721F4"/>
    <w:rsid w:val="002744E5"/>
    <w:rsid w:val="002764CD"/>
    <w:rsid w:val="002976A1"/>
    <w:rsid w:val="002A2BD0"/>
    <w:rsid w:val="002B2731"/>
    <w:rsid w:val="002D0E91"/>
    <w:rsid w:val="002E259F"/>
    <w:rsid w:val="002E7EB6"/>
    <w:rsid w:val="00317B1B"/>
    <w:rsid w:val="00327810"/>
    <w:rsid w:val="00337492"/>
    <w:rsid w:val="00373F70"/>
    <w:rsid w:val="00381C77"/>
    <w:rsid w:val="003845B6"/>
    <w:rsid w:val="00396ACD"/>
    <w:rsid w:val="003D26E8"/>
    <w:rsid w:val="003D7967"/>
    <w:rsid w:val="003E2E64"/>
    <w:rsid w:val="004132FC"/>
    <w:rsid w:val="004147F6"/>
    <w:rsid w:val="00422AA1"/>
    <w:rsid w:val="004234E2"/>
    <w:rsid w:val="004272F8"/>
    <w:rsid w:val="004362FB"/>
    <w:rsid w:val="00437AA5"/>
    <w:rsid w:val="004445C7"/>
    <w:rsid w:val="004707C3"/>
    <w:rsid w:val="00475D90"/>
    <w:rsid w:val="0048398B"/>
    <w:rsid w:val="00492396"/>
    <w:rsid w:val="00494B1B"/>
    <w:rsid w:val="004A06F4"/>
    <w:rsid w:val="004A24F4"/>
    <w:rsid w:val="004A584E"/>
    <w:rsid w:val="004B4065"/>
    <w:rsid w:val="004C0E7A"/>
    <w:rsid w:val="004C7509"/>
    <w:rsid w:val="004C7E49"/>
    <w:rsid w:val="004D6A42"/>
    <w:rsid w:val="004D6DFB"/>
    <w:rsid w:val="004E19F9"/>
    <w:rsid w:val="004F1833"/>
    <w:rsid w:val="00503AA5"/>
    <w:rsid w:val="0051266E"/>
    <w:rsid w:val="00514E1D"/>
    <w:rsid w:val="00517205"/>
    <w:rsid w:val="005251B1"/>
    <w:rsid w:val="00527324"/>
    <w:rsid w:val="00542487"/>
    <w:rsid w:val="00554E21"/>
    <w:rsid w:val="00557B83"/>
    <w:rsid w:val="00564C51"/>
    <w:rsid w:val="00582810"/>
    <w:rsid w:val="00584325"/>
    <w:rsid w:val="005918AC"/>
    <w:rsid w:val="00595540"/>
    <w:rsid w:val="005A4039"/>
    <w:rsid w:val="005B1752"/>
    <w:rsid w:val="005B5FA6"/>
    <w:rsid w:val="005D39D2"/>
    <w:rsid w:val="005F3DC2"/>
    <w:rsid w:val="006406E6"/>
    <w:rsid w:val="0064641F"/>
    <w:rsid w:val="0064755E"/>
    <w:rsid w:val="0064757E"/>
    <w:rsid w:val="006510C9"/>
    <w:rsid w:val="00664B91"/>
    <w:rsid w:val="006654AB"/>
    <w:rsid w:val="00667D69"/>
    <w:rsid w:val="006703DF"/>
    <w:rsid w:val="00677757"/>
    <w:rsid w:val="0068386F"/>
    <w:rsid w:val="006B317F"/>
    <w:rsid w:val="006C20B0"/>
    <w:rsid w:val="006C4ED6"/>
    <w:rsid w:val="006D5496"/>
    <w:rsid w:val="006D56FB"/>
    <w:rsid w:val="006E1946"/>
    <w:rsid w:val="006E361C"/>
    <w:rsid w:val="006F7EFE"/>
    <w:rsid w:val="00707385"/>
    <w:rsid w:val="00707DBB"/>
    <w:rsid w:val="00712C82"/>
    <w:rsid w:val="0071534D"/>
    <w:rsid w:val="0071604C"/>
    <w:rsid w:val="0073288D"/>
    <w:rsid w:val="007806C7"/>
    <w:rsid w:val="007826D9"/>
    <w:rsid w:val="007878D8"/>
    <w:rsid w:val="007926F6"/>
    <w:rsid w:val="007D0861"/>
    <w:rsid w:val="007D7DA5"/>
    <w:rsid w:val="007E010B"/>
    <w:rsid w:val="007E6813"/>
    <w:rsid w:val="007E7030"/>
    <w:rsid w:val="008008DC"/>
    <w:rsid w:val="008016AA"/>
    <w:rsid w:val="00802FC2"/>
    <w:rsid w:val="008072BD"/>
    <w:rsid w:val="008133A4"/>
    <w:rsid w:val="00827DE0"/>
    <w:rsid w:val="0084503F"/>
    <w:rsid w:val="00847C55"/>
    <w:rsid w:val="00862B17"/>
    <w:rsid w:val="00862C26"/>
    <w:rsid w:val="00876876"/>
    <w:rsid w:val="008C4BAF"/>
    <w:rsid w:val="008D6976"/>
    <w:rsid w:val="008E2694"/>
    <w:rsid w:val="008E40C2"/>
    <w:rsid w:val="008F552B"/>
    <w:rsid w:val="00902A67"/>
    <w:rsid w:val="0090783C"/>
    <w:rsid w:val="009121E5"/>
    <w:rsid w:val="00922766"/>
    <w:rsid w:val="0092745D"/>
    <w:rsid w:val="00940731"/>
    <w:rsid w:val="00955805"/>
    <w:rsid w:val="00986FA9"/>
    <w:rsid w:val="009957C5"/>
    <w:rsid w:val="009A2E55"/>
    <w:rsid w:val="009F047D"/>
    <w:rsid w:val="009F48E4"/>
    <w:rsid w:val="00A01799"/>
    <w:rsid w:val="00A1623C"/>
    <w:rsid w:val="00A17446"/>
    <w:rsid w:val="00A260EF"/>
    <w:rsid w:val="00A36A50"/>
    <w:rsid w:val="00A375A9"/>
    <w:rsid w:val="00A565C7"/>
    <w:rsid w:val="00A716D3"/>
    <w:rsid w:val="00A9285A"/>
    <w:rsid w:val="00AB19B9"/>
    <w:rsid w:val="00AC13AF"/>
    <w:rsid w:val="00AC54DD"/>
    <w:rsid w:val="00AC5AC9"/>
    <w:rsid w:val="00AE4332"/>
    <w:rsid w:val="00AE4C87"/>
    <w:rsid w:val="00AE5769"/>
    <w:rsid w:val="00AE6D8B"/>
    <w:rsid w:val="00B24FB3"/>
    <w:rsid w:val="00B25B68"/>
    <w:rsid w:val="00B30FF9"/>
    <w:rsid w:val="00B310AD"/>
    <w:rsid w:val="00B361FF"/>
    <w:rsid w:val="00B36380"/>
    <w:rsid w:val="00B40079"/>
    <w:rsid w:val="00B71262"/>
    <w:rsid w:val="00B81003"/>
    <w:rsid w:val="00B86D42"/>
    <w:rsid w:val="00BC0D4B"/>
    <w:rsid w:val="00BC2A79"/>
    <w:rsid w:val="00BC3E81"/>
    <w:rsid w:val="00BC4C13"/>
    <w:rsid w:val="00BC74AF"/>
    <w:rsid w:val="00BD2BEF"/>
    <w:rsid w:val="00BD653A"/>
    <w:rsid w:val="00BE5436"/>
    <w:rsid w:val="00BE579D"/>
    <w:rsid w:val="00C051CD"/>
    <w:rsid w:val="00C3359C"/>
    <w:rsid w:val="00C35C51"/>
    <w:rsid w:val="00C370C3"/>
    <w:rsid w:val="00C3731F"/>
    <w:rsid w:val="00C414A6"/>
    <w:rsid w:val="00C418B4"/>
    <w:rsid w:val="00C50F91"/>
    <w:rsid w:val="00CA20F7"/>
    <w:rsid w:val="00CA320C"/>
    <w:rsid w:val="00CD083A"/>
    <w:rsid w:val="00CE2595"/>
    <w:rsid w:val="00D145C4"/>
    <w:rsid w:val="00D440B2"/>
    <w:rsid w:val="00D478CC"/>
    <w:rsid w:val="00D62001"/>
    <w:rsid w:val="00D700B4"/>
    <w:rsid w:val="00D700CA"/>
    <w:rsid w:val="00D86CCD"/>
    <w:rsid w:val="00DB122E"/>
    <w:rsid w:val="00DB4B20"/>
    <w:rsid w:val="00DC0F05"/>
    <w:rsid w:val="00DD0F2B"/>
    <w:rsid w:val="00DF3EC9"/>
    <w:rsid w:val="00DF672C"/>
    <w:rsid w:val="00E07235"/>
    <w:rsid w:val="00E10F81"/>
    <w:rsid w:val="00E2266D"/>
    <w:rsid w:val="00E32D6C"/>
    <w:rsid w:val="00E33C9F"/>
    <w:rsid w:val="00E60605"/>
    <w:rsid w:val="00E64C7B"/>
    <w:rsid w:val="00E8425F"/>
    <w:rsid w:val="00E94F5F"/>
    <w:rsid w:val="00E979AB"/>
    <w:rsid w:val="00EA0561"/>
    <w:rsid w:val="00EA6F3D"/>
    <w:rsid w:val="00EC1BFA"/>
    <w:rsid w:val="00EC39BC"/>
    <w:rsid w:val="00EC4F8F"/>
    <w:rsid w:val="00EC5549"/>
    <w:rsid w:val="00ED2A12"/>
    <w:rsid w:val="00EE140B"/>
    <w:rsid w:val="00EE299D"/>
    <w:rsid w:val="00F04F97"/>
    <w:rsid w:val="00F07ED5"/>
    <w:rsid w:val="00F120A6"/>
    <w:rsid w:val="00F259A1"/>
    <w:rsid w:val="00F26D5E"/>
    <w:rsid w:val="00F33AEE"/>
    <w:rsid w:val="00F422F9"/>
    <w:rsid w:val="00F424C3"/>
    <w:rsid w:val="00F53B0A"/>
    <w:rsid w:val="00F542B6"/>
    <w:rsid w:val="00F64301"/>
    <w:rsid w:val="00F666C5"/>
    <w:rsid w:val="00FA0085"/>
    <w:rsid w:val="00FA7BC5"/>
    <w:rsid w:val="00FB5284"/>
    <w:rsid w:val="00FC1ED8"/>
    <w:rsid w:val="00FC2396"/>
    <w:rsid w:val="00FC39C7"/>
    <w:rsid w:val="00FD38B5"/>
    <w:rsid w:val="00FD627D"/>
    <w:rsid w:val="00FF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7AC9C04"/>
  <w15:docId w15:val="{3EDCD27E-9166-4A28-8BE3-8C35A3C1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26D5E"/>
    <w:pPr>
      <w:numPr>
        <w:numId w:val="1"/>
      </w:numPr>
    </w:pPr>
    <w:rPr>
      <w:rFonts w:eastAsia="Times New Roman"/>
      <w:lang w:eastAsia="en-GB"/>
    </w:rPr>
  </w:style>
  <w:style w:type="character" w:styleId="Hyperlink">
    <w:name w:val="Hyperlink"/>
    <w:basedOn w:val="DefaultParagraphFont"/>
    <w:uiPriority w:val="99"/>
    <w:unhideWhenUsed/>
    <w:rsid w:val="006B317F"/>
    <w:rPr>
      <w:color w:val="0000FF"/>
      <w:u w:val="single"/>
    </w:rPr>
  </w:style>
  <w:style w:type="paragraph" w:styleId="ListBullet2">
    <w:name w:val="List Bullet 2"/>
    <w:basedOn w:val="Normal"/>
    <w:uiPriority w:val="99"/>
    <w:semiHidden/>
    <w:unhideWhenUsed/>
    <w:rsid w:val="004707C3"/>
    <w:pPr>
      <w:numPr>
        <w:numId w:val="2"/>
      </w:numPr>
      <w:contextualSpacing/>
    </w:pPr>
  </w:style>
  <w:style w:type="paragraph" w:styleId="ListBullet3">
    <w:name w:val="List Bullet 3"/>
    <w:basedOn w:val="Normal"/>
    <w:uiPriority w:val="99"/>
    <w:semiHidden/>
    <w:unhideWhenUsed/>
    <w:rsid w:val="004707C3"/>
    <w:pPr>
      <w:numPr>
        <w:numId w:val="3"/>
      </w:numPr>
      <w:contextualSpacing/>
    </w:pPr>
  </w:style>
  <w:style w:type="paragraph" w:styleId="ListBullet4">
    <w:name w:val="List Bullet 4"/>
    <w:basedOn w:val="Normal"/>
    <w:uiPriority w:val="99"/>
    <w:semiHidden/>
    <w:unhideWhenUsed/>
    <w:rsid w:val="004707C3"/>
    <w:pPr>
      <w:numPr>
        <w:numId w:val="4"/>
      </w:numPr>
      <w:contextualSpacing/>
    </w:pPr>
  </w:style>
  <w:style w:type="character" w:styleId="FollowedHyperlink">
    <w:name w:val="FollowedHyperlink"/>
    <w:basedOn w:val="DefaultParagraphFont"/>
    <w:uiPriority w:val="99"/>
    <w:semiHidden/>
    <w:unhideWhenUsed/>
    <w:rsid w:val="004F1833"/>
    <w:rPr>
      <w:color w:val="800080" w:themeColor="followedHyperlink"/>
      <w:u w:val="single"/>
    </w:rPr>
  </w:style>
  <w:style w:type="paragraph" w:styleId="Caption">
    <w:name w:val="caption"/>
    <w:basedOn w:val="Normal"/>
    <w:next w:val="Normal"/>
    <w:uiPriority w:val="35"/>
    <w:semiHidden/>
    <w:unhideWhenUsed/>
    <w:qFormat/>
    <w:rsid w:val="00B8100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81003"/>
    <w:pPr>
      <w:spacing w:after="0"/>
    </w:pPr>
  </w:style>
  <w:style w:type="paragraph" w:styleId="ListNumber">
    <w:name w:val="List Number"/>
    <w:basedOn w:val="Normal"/>
    <w:uiPriority w:val="99"/>
    <w:semiHidden/>
    <w:unhideWhenUsed/>
    <w:rsid w:val="00B81003"/>
    <w:pPr>
      <w:numPr>
        <w:numId w:val="6"/>
      </w:numPr>
      <w:contextualSpacing/>
    </w:pPr>
  </w:style>
  <w:style w:type="paragraph" w:styleId="ListNumber2">
    <w:name w:val="List Number 2"/>
    <w:basedOn w:val="Normal"/>
    <w:uiPriority w:val="99"/>
    <w:semiHidden/>
    <w:unhideWhenUsed/>
    <w:rsid w:val="00B81003"/>
    <w:pPr>
      <w:numPr>
        <w:numId w:val="7"/>
      </w:numPr>
      <w:contextualSpacing/>
    </w:pPr>
  </w:style>
  <w:style w:type="paragraph" w:styleId="ListNumber3">
    <w:name w:val="List Number 3"/>
    <w:basedOn w:val="Normal"/>
    <w:uiPriority w:val="99"/>
    <w:semiHidden/>
    <w:unhideWhenUsed/>
    <w:rsid w:val="00B81003"/>
    <w:pPr>
      <w:numPr>
        <w:numId w:val="8"/>
      </w:numPr>
      <w:contextualSpacing/>
    </w:pPr>
  </w:style>
  <w:style w:type="paragraph" w:styleId="ListNumber4">
    <w:name w:val="List Number 4"/>
    <w:basedOn w:val="Normal"/>
    <w:uiPriority w:val="99"/>
    <w:semiHidden/>
    <w:unhideWhenUsed/>
    <w:rsid w:val="00B81003"/>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cs-CZ"/>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72E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2EF"/>
    <w:rPr>
      <w:rFonts w:ascii="Segoe UI" w:hAnsi="Segoe UI" w:cs="Segoe UI"/>
      <w:sz w:val="18"/>
      <w:szCs w:val="18"/>
      <w:lang w:val="cs-CZ"/>
    </w:rPr>
  </w:style>
  <w:style w:type="paragraph" w:styleId="CommentSubject">
    <w:name w:val="annotation subject"/>
    <w:basedOn w:val="CommentText"/>
    <w:next w:val="CommentText"/>
    <w:link w:val="CommentSubjectChar"/>
    <w:uiPriority w:val="99"/>
    <w:semiHidden/>
    <w:unhideWhenUsed/>
    <w:rsid w:val="007D7DA5"/>
    <w:rPr>
      <w:b/>
      <w:bCs/>
    </w:rPr>
  </w:style>
  <w:style w:type="character" w:customStyle="1" w:styleId="CommentSubjectChar">
    <w:name w:val="Comment Subject Char"/>
    <w:basedOn w:val="CommentTextChar"/>
    <w:link w:val="CommentSubject"/>
    <w:uiPriority w:val="99"/>
    <w:semiHidden/>
    <w:rsid w:val="007D7DA5"/>
    <w:rPr>
      <w:rFonts w:ascii="Times New Roman" w:hAnsi="Times New Roman" w:cs="Times New Roman"/>
      <w:b/>
      <w:bCs/>
      <w:sz w:val="20"/>
      <w:szCs w:val="20"/>
      <w:lang w:val="cs-CZ"/>
    </w:rPr>
  </w:style>
  <w:style w:type="paragraph" w:styleId="ListParagraph">
    <w:name w:val="List Paragraph"/>
    <w:basedOn w:val="Normal"/>
    <w:uiPriority w:val="34"/>
    <w:qFormat/>
    <w:rsid w:val="00AE6D8B"/>
    <w:pPr>
      <w:ind w:left="720"/>
      <w:contextualSpacing/>
    </w:pPr>
  </w:style>
  <w:style w:type="paragraph" w:styleId="Revision">
    <w:name w:val="Revision"/>
    <w:hidden/>
    <w:uiPriority w:val="99"/>
    <w:semiHidden/>
    <w:rsid w:val="001D7981"/>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B310AD"/>
    <w:pPr>
      <w:tabs>
        <w:tab w:val="center" w:pos="4535"/>
        <w:tab w:val="right" w:pos="9071"/>
      </w:tabs>
      <w:spacing w:before="0"/>
    </w:pPr>
  </w:style>
  <w:style w:type="character" w:customStyle="1" w:styleId="HeaderChar">
    <w:name w:val="Header Char"/>
    <w:basedOn w:val="DefaultParagraphFont"/>
    <w:link w:val="Header"/>
    <w:uiPriority w:val="99"/>
    <w:rsid w:val="00B310AD"/>
    <w:rPr>
      <w:rFonts w:ascii="Times New Roman" w:hAnsi="Times New Roman" w:cs="Times New Roman"/>
      <w:sz w:val="24"/>
      <w:lang w:val="cs-CZ"/>
    </w:rPr>
  </w:style>
  <w:style w:type="paragraph" w:styleId="Footer">
    <w:name w:val="footer"/>
    <w:basedOn w:val="Normal"/>
    <w:link w:val="FooterChar"/>
    <w:uiPriority w:val="99"/>
    <w:unhideWhenUsed/>
    <w:rsid w:val="00B310A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310AD"/>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310AD"/>
    <w:pPr>
      <w:tabs>
        <w:tab w:val="center" w:pos="7285"/>
        <w:tab w:val="right" w:pos="14003"/>
      </w:tabs>
      <w:spacing w:before="0"/>
    </w:pPr>
  </w:style>
  <w:style w:type="paragraph" w:customStyle="1" w:styleId="FooterLandscape">
    <w:name w:val="FooterLandscape"/>
    <w:basedOn w:val="Normal"/>
    <w:rsid w:val="00B310A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310A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310AD"/>
    <w:pPr>
      <w:spacing w:before="0"/>
      <w:jc w:val="right"/>
    </w:pPr>
    <w:rPr>
      <w:sz w:val="28"/>
    </w:rPr>
  </w:style>
  <w:style w:type="paragraph" w:customStyle="1" w:styleId="FooterSensitivity">
    <w:name w:val="Footer Sensitivity"/>
    <w:basedOn w:val="Normal"/>
    <w:rsid w:val="00B310A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08771">
      <w:bodyDiv w:val="1"/>
      <w:marLeft w:val="0"/>
      <w:marRight w:val="0"/>
      <w:marTop w:val="0"/>
      <w:marBottom w:val="0"/>
      <w:divBdr>
        <w:top w:val="none" w:sz="0" w:space="0" w:color="auto"/>
        <w:left w:val="none" w:sz="0" w:space="0" w:color="auto"/>
        <w:bottom w:val="none" w:sz="0" w:space="0" w:color="auto"/>
        <w:right w:val="none" w:sz="0" w:space="0" w:color="auto"/>
      </w:divBdr>
    </w:div>
    <w:div w:id="17582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24081-AA6C-4CE0-89C4-E28EBFC1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8</Pages>
  <Words>2034</Words>
  <Characters>11008</Characters>
  <Application>Microsoft Office Word</Application>
  <DocSecurity>0</DocSecurity>
  <Lines>203</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46</cp:revision>
  <dcterms:created xsi:type="dcterms:W3CDTF">2022-09-13T11:53:00Z</dcterms:created>
  <dcterms:modified xsi:type="dcterms:W3CDTF">2022-10-13T09:17:00Z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MSIP_Label_6bd9ddd1-4d20-43f6-abfa-fc3c07406f94_Enabled">
    <vt:lpwstr>true</vt:lpwstr>
  </property>
  <property fmtid="{D5CDD505-2E9C-101B-9397-08002B2CF9AE}" pid="11" name="MSIP_Label_6bd9ddd1-4d20-43f6-abfa-fc3c07406f94_SetDate">
    <vt:lpwstr>2022-08-08T13:08:51Z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6ee9e814-26f8-417e-8090-421a682d0f74</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