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CE2F4" w14:textId="665CC4F0" w:rsidR="00927372" w:rsidRPr="00263558" w:rsidRDefault="007E7479" w:rsidP="007E7479">
      <w:pPr>
        <w:pStyle w:val="Pagedecouverture"/>
        <w:rPr>
          <w:noProof/>
        </w:rPr>
      </w:pPr>
      <w:bookmarkStart w:id="0" w:name="LW_BM_COVERPAGE"/>
      <w:r>
        <w:rPr>
          <w:noProof/>
        </w:rPr>
        <w:pict w14:anchorId="7EC896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9E4E03FF-2146-4352-BA89-FE06FC59BEA3" style="width:455.25pt;height:296.25pt">
            <v:imagedata r:id="rId8" o:title=""/>
          </v:shape>
        </w:pict>
      </w:r>
    </w:p>
    <w:bookmarkEnd w:id="0"/>
    <w:p w14:paraId="5D0B727F" w14:textId="77777777" w:rsidR="006A5ABA" w:rsidRPr="00263558" w:rsidRDefault="006A5ABA" w:rsidP="006A5ABA">
      <w:pPr>
        <w:rPr>
          <w:noProof/>
          <w:lang w:eastAsia="en-GB"/>
        </w:rPr>
        <w:sectPr w:rsidR="006A5ABA" w:rsidRPr="00263558" w:rsidSect="007E7479">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1B345365" w14:textId="77777777" w:rsidR="00927372" w:rsidRPr="00263558" w:rsidRDefault="00927372" w:rsidP="00927372">
      <w:pPr>
        <w:spacing w:after="0" w:line="240" w:lineRule="auto"/>
        <w:jc w:val="center"/>
        <w:rPr>
          <w:rFonts w:ascii="Times New Roman" w:eastAsia="Times New Roman" w:hAnsi="Times New Roman" w:cs="Times New Roman"/>
          <w:b/>
          <w:bCs/>
          <w:noProof/>
          <w:sz w:val="24"/>
          <w:szCs w:val="24"/>
        </w:rPr>
      </w:pPr>
      <w:bookmarkStart w:id="1" w:name="_GoBack"/>
      <w:bookmarkEnd w:id="1"/>
      <w:r>
        <w:rPr>
          <w:rFonts w:ascii="Times New Roman" w:hAnsi="Times New Roman"/>
          <w:b/>
          <w:bCs/>
          <w:noProof/>
          <w:sz w:val="24"/>
          <w:szCs w:val="24"/>
        </w:rPr>
        <w:lastRenderedPageBreak/>
        <w:t>SPOLEČNÁ ZPRÁVA EVROPSKÉMU PARLAMENTU A RADĚ</w:t>
      </w:r>
    </w:p>
    <w:p w14:paraId="41701AB0" w14:textId="77777777" w:rsidR="00927372" w:rsidRPr="00263558" w:rsidRDefault="00927372" w:rsidP="00927372">
      <w:pPr>
        <w:spacing w:after="0" w:line="240" w:lineRule="auto"/>
        <w:jc w:val="center"/>
        <w:rPr>
          <w:rFonts w:ascii="Times New Roman" w:eastAsia="Times New Roman" w:hAnsi="Times New Roman" w:cs="Times New Roman"/>
          <w:b/>
          <w:bCs/>
          <w:noProof/>
          <w:sz w:val="24"/>
          <w:szCs w:val="24"/>
          <w:lang w:eastAsia="en-GB"/>
        </w:rPr>
      </w:pPr>
    </w:p>
    <w:p w14:paraId="04BCB958" w14:textId="77777777" w:rsidR="00927372" w:rsidRPr="00263558" w:rsidRDefault="00927372" w:rsidP="00927372">
      <w:pPr>
        <w:spacing w:after="0" w:line="240" w:lineRule="auto"/>
        <w:jc w:val="center"/>
        <w:rPr>
          <w:rFonts w:ascii="Times New Roman" w:eastAsia="Times New Roman" w:hAnsi="Times New Roman" w:cs="Times New Roman"/>
          <w:noProof/>
          <w:sz w:val="24"/>
          <w:szCs w:val="24"/>
        </w:rPr>
      </w:pPr>
      <w:r>
        <w:rPr>
          <w:rFonts w:ascii="Times New Roman" w:hAnsi="Times New Roman"/>
          <w:b/>
          <w:bCs/>
          <w:noProof/>
          <w:sz w:val="24"/>
          <w:szCs w:val="24"/>
        </w:rPr>
        <w:t>ZVLÁŠTNÍ ADMINISTRATIVNÍ OBLAST MACAO</w:t>
      </w:r>
    </w:p>
    <w:p w14:paraId="571F0B8E" w14:textId="77777777" w:rsidR="00927372" w:rsidRPr="00263558" w:rsidRDefault="00927372" w:rsidP="00927372">
      <w:pPr>
        <w:spacing w:after="0" w:line="240" w:lineRule="auto"/>
        <w:jc w:val="center"/>
        <w:rPr>
          <w:rFonts w:ascii="Times New Roman" w:eastAsia="Times New Roman" w:hAnsi="Times New Roman" w:cs="Times New Roman"/>
          <w:noProof/>
          <w:sz w:val="24"/>
          <w:szCs w:val="24"/>
          <w:lang w:eastAsia="en-GB"/>
        </w:rPr>
      </w:pPr>
    </w:p>
    <w:p w14:paraId="5D0B3554" w14:textId="77777777" w:rsidR="00927372" w:rsidRPr="00263558" w:rsidRDefault="00927372" w:rsidP="00927372">
      <w:pPr>
        <w:spacing w:after="0" w:line="240" w:lineRule="auto"/>
        <w:jc w:val="center"/>
        <w:rPr>
          <w:rFonts w:ascii="Times New Roman" w:eastAsia="Times New Roman" w:hAnsi="Times New Roman" w:cs="Times New Roman"/>
          <w:noProof/>
          <w:sz w:val="24"/>
          <w:szCs w:val="24"/>
        </w:rPr>
      </w:pPr>
      <w:r>
        <w:rPr>
          <w:rFonts w:ascii="Times New Roman" w:hAnsi="Times New Roman"/>
          <w:b/>
          <w:bCs/>
          <w:noProof/>
          <w:sz w:val="24"/>
          <w:szCs w:val="24"/>
        </w:rPr>
        <w:t>VÝROČNÍ ZPRÁVA ZA ROK 2021</w:t>
      </w:r>
    </w:p>
    <w:p w14:paraId="1209C331" w14:textId="77777777" w:rsidR="00927372" w:rsidRPr="00263558" w:rsidRDefault="00927372" w:rsidP="003252A1">
      <w:pPr>
        <w:spacing w:after="0"/>
        <w:jc w:val="both"/>
        <w:rPr>
          <w:rFonts w:ascii="Times New Roman" w:hAnsi="Times New Roman" w:cs="Times New Roman"/>
          <w:b/>
          <w:noProof/>
          <w:sz w:val="24"/>
          <w:szCs w:val="24"/>
        </w:rPr>
      </w:pPr>
    </w:p>
    <w:p w14:paraId="1B91E2F4" w14:textId="77777777" w:rsidR="00927372" w:rsidRPr="00263558" w:rsidRDefault="00927372" w:rsidP="003252A1">
      <w:pPr>
        <w:spacing w:after="0"/>
        <w:jc w:val="both"/>
        <w:rPr>
          <w:rFonts w:ascii="Times New Roman" w:hAnsi="Times New Roman" w:cs="Times New Roman"/>
          <w:b/>
          <w:noProof/>
          <w:sz w:val="24"/>
          <w:szCs w:val="24"/>
        </w:rPr>
      </w:pPr>
    </w:p>
    <w:p w14:paraId="46BC6E4D" w14:textId="77777777" w:rsidR="00CC2B5C" w:rsidRPr="00263558" w:rsidRDefault="00CC2B5C" w:rsidP="003252A1">
      <w:pPr>
        <w:spacing w:after="0"/>
        <w:jc w:val="both"/>
        <w:rPr>
          <w:rFonts w:ascii="Times New Roman" w:hAnsi="Times New Roman" w:cs="Times New Roman"/>
          <w:b/>
          <w:noProof/>
          <w:sz w:val="24"/>
          <w:szCs w:val="24"/>
        </w:rPr>
      </w:pPr>
      <w:r>
        <w:rPr>
          <w:rFonts w:ascii="Times New Roman" w:hAnsi="Times New Roman"/>
          <w:b/>
          <w:noProof/>
          <w:sz w:val="24"/>
          <w:szCs w:val="24"/>
        </w:rPr>
        <w:t>Shrnutí</w:t>
      </w:r>
    </w:p>
    <w:p w14:paraId="45E05AA3" w14:textId="77777777" w:rsidR="00CC2B5C" w:rsidRPr="00263558" w:rsidRDefault="00CC2B5C" w:rsidP="003252A1">
      <w:pPr>
        <w:spacing w:after="0"/>
        <w:jc w:val="both"/>
        <w:rPr>
          <w:rFonts w:ascii="Times New Roman" w:hAnsi="Times New Roman" w:cs="Times New Roman"/>
          <w:b/>
          <w:noProof/>
          <w:sz w:val="24"/>
          <w:szCs w:val="24"/>
        </w:rPr>
      </w:pPr>
    </w:p>
    <w:p w14:paraId="4B01F0D0" w14:textId="2468ED94" w:rsidR="00CC2B5C" w:rsidRPr="00263558" w:rsidRDefault="00CC2B5C" w:rsidP="003252A1">
      <w:pPr>
        <w:autoSpaceDE w:val="0"/>
        <w:autoSpaceDN w:val="0"/>
        <w:adjustRightInd w:val="0"/>
        <w:spacing w:after="0" w:line="240" w:lineRule="auto"/>
        <w:jc w:val="both"/>
        <w:rPr>
          <w:rFonts w:ascii="Times New Roman" w:hAnsi="Times New Roman" w:cs="Times New Roman"/>
          <w:noProof/>
          <w:color w:val="000000"/>
          <w:sz w:val="24"/>
          <w:szCs w:val="24"/>
        </w:rPr>
      </w:pPr>
      <w:r>
        <w:rPr>
          <w:rFonts w:ascii="Times New Roman" w:hAnsi="Times New Roman"/>
          <w:noProof/>
          <w:color w:val="000000"/>
          <w:sz w:val="24"/>
          <w:szCs w:val="24"/>
        </w:rPr>
        <w:t xml:space="preserve">Od předání Macaa Čínské lidové republice v roce 1999 Evropská unie a její členské státy pozorně sledují politický a ekonomický vývoj ve Zvláštní administrativní oblasti (ZAO) Macao, která se řídí zásadou „jedna země, dva systémy“. EU tuto zásadu a její uplatňování podporuje a tato výroční zpráva o vývoji v Macau je vydána v souladu se závazkem, který byl dán Evropskému parlamentu v roce 1997. </w:t>
      </w:r>
    </w:p>
    <w:p w14:paraId="24802DFC" w14:textId="77777777" w:rsidR="00CC2B5C" w:rsidRPr="00263558" w:rsidRDefault="00CC2B5C" w:rsidP="003252A1">
      <w:pPr>
        <w:spacing w:after="0" w:line="240" w:lineRule="auto"/>
        <w:jc w:val="both"/>
        <w:rPr>
          <w:rFonts w:ascii="Times New Roman" w:hAnsi="Times New Roman" w:cs="Times New Roman"/>
          <w:noProof/>
          <w:color w:val="000000"/>
          <w:sz w:val="24"/>
          <w:szCs w:val="24"/>
        </w:rPr>
      </w:pPr>
    </w:p>
    <w:p w14:paraId="6470EEE4" w14:textId="699C8E23" w:rsidR="00CC2B5C" w:rsidRPr="002F6C14" w:rsidRDefault="00CC2B5C" w:rsidP="003252A1">
      <w:pPr>
        <w:spacing w:after="0" w:line="240" w:lineRule="auto"/>
        <w:jc w:val="both"/>
        <w:rPr>
          <w:rFonts w:ascii="Times New Roman" w:eastAsiaTheme="minorEastAsia" w:hAnsi="Times New Roman" w:cs="Times New Roman"/>
          <w:noProof/>
          <w:sz w:val="24"/>
          <w:szCs w:val="24"/>
        </w:rPr>
      </w:pPr>
      <w:r>
        <w:rPr>
          <w:rFonts w:ascii="Times New Roman" w:hAnsi="Times New Roman"/>
          <w:noProof/>
          <w:sz w:val="24"/>
          <w:szCs w:val="24"/>
        </w:rPr>
        <w:t>V roce 2021 oslabovalo uplatňování zásady „jedna země, dva systémy“, zakotvené v základním zákoně o Macau</w:t>
      </w:r>
      <w:r w:rsidR="00F55C12">
        <w:rPr>
          <w:rStyle w:val="FootnoteReference"/>
          <w:rFonts w:ascii="Times New Roman" w:eastAsia="Times New Roman" w:hAnsi="Times New Roman" w:cs="Times New Roman"/>
          <w:noProof/>
          <w:sz w:val="24"/>
          <w:szCs w:val="24"/>
        </w:rPr>
        <w:footnoteReference w:id="1"/>
      </w:r>
      <w:r>
        <w:rPr>
          <w:rFonts w:ascii="Times New Roman" w:hAnsi="Times New Roman"/>
          <w:noProof/>
          <w:sz w:val="24"/>
          <w:szCs w:val="24"/>
        </w:rPr>
        <w:t xml:space="preserve">, politická práva a základní svobody obyvatel Macaa. Pro macajské sdělovací prostředky bylo stále obtížnější vyjadřovat širokou škálu názorů, přičemž se uplatňovalo více autocenzury. </w:t>
      </w:r>
    </w:p>
    <w:p w14:paraId="5B899291" w14:textId="77777777" w:rsidR="00CC2B5C" w:rsidRPr="00263558" w:rsidRDefault="00CC2B5C" w:rsidP="003252A1">
      <w:pPr>
        <w:autoSpaceDE w:val="0"/>
        <w:autoSpaceDN w:val="0"/>
        <w:adjustRightInd w:val="0"/>
        <w:spacing w:after="0" w:line="240" w:lineRule="auto"/>
        <w:jc w:val="both"/>
        <w:rPr>
          <w:rFonts w:ascii="Times New Roman" w:eastAsia="Times New Roman" w:hAnsi="Times New Roman" w:cs="Times New Roman"/>
          <w:noProof/>
          <w:sz w:val="24"/>
          <w:szCs w:val="24"/>
        </w:rPr>
      </w:pPr>
    </w:p>
    <w:p w14:paraId="47C8BA8A" w14:textId="76B27D7B" w:rsidR="00505EA1" w:rsidRPr="00263558" w:rsidRDefault="00505EA1" w:rsidP="003252A1">
      <w:pPr>
        <w:autoSpaceDE w:val="0"/>
        <w:autoSpaceDN w:val="0"/>
        <w:adjustRightInd w:val="0"/>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Ačkoli základní zákon ani jiné legislativní akty nestanoví možnost zavedení všeobecného hlasovacího práva, EU nadále vybízí macajské orgány k tomu, aby podporovaly větší zapojení veřejnosti do volby předsedy vlády a zákonodárného shromáždění.</w:t>
      </w:r>
    </w:p>
    <w:p w14:paraId="7AA90F41" w14:textId="77777777" w:rsidR="00505EA1" w:rsidRPr="00263558" w:rsidRDefault="00505EA1" w:rsidP="003252A1">
      <w:pPr>
        <w:autoSpaceDE w:val="0"/>
        <w:autoSpaceDN w:val="0"/>
        <w:adjustRightInd w:val="0"/>
        <w:spacing w:after="0" w:line="240" w:lineRule="auto"/>
        <w:jc w:val="both"/>
        <w:rPr>
          <w:rFonts w:ascii="Times New Roman" w:eastAsia="Times New Roman" w:hAnsi="Times New Roman" w:cs="Times New Roman"/>
          <w:noProof/>
          <w:sz w:val="24"/>
          <w:szCs w:val="24"/>
        </w:rPr>
      </w:pPr>
    </w:p>
    <w:p w14:paraId="42BB299F" w14:textId="02679556" w:rsidR="00A82579" w:rsidRPr="00263558" w:rsidRDefault="00A82579" w:rsidP="00A82579">
      <w:pPr>
        <w:pStyle w:val="Default"/>
        <w:jc w:val="both"/>
        <w:rPr>
          <w:noProof/>
        </w:rPr>
      </w:pPr>
      <w:r>
        <w:rPr>
          <w:noProof/>
        </w:rPr>
        <w:t>Co se týče hospodářské sféry, v prvních třech čtvrtletích roku 2021 se HDP Macaa meziročně zvýšil o 27,5 % na 177 miliard MOP (19,6 miliardy EUR). Ačkoli je to pozitivní vývoj, tento růst nevyrovnal dřívější ztráty a HDP byl stále o 46,4 % nižší než v roce 2019 – 331 miliard MOP (36,5 miliardy EUR).</w:t>
      </w:r>
    </w:p>
    <w:p w14:paraId="2138A017" w14:textId="77777777" w:rsidR="00A82579" w:rsidRPr="00263558" w:rsidRDefault="00A82579" w:rsidP="00A82579">
      <w:pPr>
        <w:pStyle w:val="Default"/>
        <w:jc w:val="both"/>
        <w:rPr>
          <w:noProof/>
        </w:rPr>
      </w:pPr>
    </w:p>
    <w:p w14:paraId="14625857" w14:textId="18D63812" w:rsidR="00FB6C68" w:rsidRPr="00263558" w:rsidRDefault="00F85536" w:rsidP="00A82579">
      <w:pPr>
        <w:pStyle w:val="Default"/>
        <w:jc w:val="both"/>
        <w:rPr>
          <w:noProof/>
        </w:rPr>
      </w:pPr>
      <w:r>
        <w:rPr>
          <w:noProof/>
          <w:color w:val="auto"/>
        </w:rPr>
        <w:t>Trh práce si vedl dobře a vláda ZAO Macao zavedla podpůrná opatření pro obyvatele a společnosti v souvislosti s pandemií COVID-19. Hospodářské oživení však do značné míry záviselo na návratu turistů z pevninské Číny do Macaa. Z dlouhodobějšího hlediska zůstávají klíčovými strategiemi diverzifikace hospodářství a regionální integrace.</w:t>
      </w:r>
      <w:r>
        <w:rPr>
          <w:noProof/>
        </w:rPr>
        <w:t xml:space="preserve"> </w:t>
      </w:r>
    </w:p>
    <w:p w14:paraId="1BE3CE1C" w14:textId="77777777" w:rsidR="00FB6C68" w:rsidRPr="00263558" w:rsidRDefault="00FB6C68" w:rsidP="00A82579">
      <w:pPr>
        <w:pStyle w:val="Default"/>
        <w:jc w:val="both"/>
        <w:rPr>
          <w:noProof/>
        </w:rPr>
      </w:pPr>
    </w:p>
    <w:p w14:paraId="0D66CD1C" w14:textId="1359F536" w:rsidR="00394637" w:rsidRPr="00263558" w:rsidRDefault="00FB6C68" w:rsidP="00A82579">
      <w:pPr>
        <w:pStyle w:val="Default"/>
        <w:jc w:val="both"/>
        <w:rPr>
          <w:rFonts w:eastAsia="Times New Roman"/>
          <w:noProof/>
          <w:color w:val="auto"/>
        </w:rPr>
      </w:pPr>
      <w:r>
        <w:rPr>
          <w:noProof/>
          <w:color w:val="auto"/>
        </w:rPr>
        <w:t>Přetrvávající cestovní omezení v souvislosti s onemocněním COVID-19 nadále bránila pracovníkům úřadu EU v Hongkongu a Macau v návštěvě Macaa. To ztěžovalo práci úřadu a omezovalo kontakty s vládními úředníky ZAO a dalšími osobami.</w:t>
      </w:r>
    </w:p>
    <w:p w14:paraId="3BD762D8" w14:textId="77777777" w:rsidR="00394637" w:rsidRPr="00263558" w:rsidRDefault="00394637" w:rsidP="003252A1">
      <w:pPr>
        <w:autoSpaceDE w:val="0"/>
        <w:autoSpaceDN w:val="0"/>
        <w:adjustRightInd w:val="0"/>
        <w:spacing w:after="0" w:line="240" w:lineRule="auto"/>
        <w:jc w:val="both"/>
        <w:rPr>
          <w:rFonts w:ascii="Times New Roman" w:eastAsia="Times New Roman" w:hAnsi="Times New Roman" w:cs="Times New Roman"/>
          <w:noProof/>
          <w:sz w:val="24"/>
          <w:szCs w:val="24"/>
        </w:rPr>
      </w:pPr>
    </w:p>
    <w:p w14:paraId="50F7D0BC" w14:textId="77777777" w:rsidR="00CC2B5C" w:rsidRPr="00263558" w:rsidRDefault="00CC2B5C" w:rsidP="003252A1">
      <w:pPr>
        <w:autoSpaceDE w:val="0"/>
        <w:autoSpaceDN w:val="0"/>
        <w:adjustRightInd w:val="0"/>
        <w:spacing w:after="0" w:line="240" w:lineRule="auto"/>
        <w:jc w:val="both"/>
        <w:rPr>
          <w:rFonts w:ascii="Times New Roman" w:eastAsia="Times New Roman" w:hAnsi="Times New Roman" w:cs="Times New Roman"/>
          <w:noProof/>
          <w:sz w:val="24"/>
          <w:szCs w:val="24"/>
        </w:rPr>
      </w:pPr>
    </w:p>
    <w:p w14:paraId="4E0F9516" w14:textId="72C0DC37" w:rsidR="00394637" w:rsidRPr="00E842F3" w:rsidRDefault="00394637" w:rsidP="003252A1">
      <w:pPr>
        <w:spacing w:after="0" w:line="240" w:lineRule="auto"/>
        <w:jc w:val="both"/>
        <w:rPr>
          <w:rFonts w:ascii="Times New Roman" w:eastAsia="Times New Roman" w:hAnsi="Times New Roman" w:cs="Times New Roman"/>
          <w:b/>
          <w:noProof/>
          <w:sz w:val="24"/>
          <w:szCs w:val="24"/>
          <w:u w:val="single"/>
        </w:rPr>
      </w:pPr>
      <w:r>
        <w:rPr>
          <w:rFonts w:ascii="Times New Roman" w:hAnsi="Times New Roman"/>
          <w:b/>
          <w:noProof/>
          <w:sz w:val="24"/>
          <w:szCs w:val="24"/>
          <w:u w:val="single"/>
        </w:rPr>
        <w:t>I. Politický a sociální vývoj</w:t>
      </w:r>
    </w:p>
    <w:p w14:paraId="46D75032" w14:textId="77777777" w:rsidR="00394637" w:rsidRPr="00E842F3" w:rsidRDefault="00394637" w:rsidP="003252A1">
      <w:pPr>
        <w:autoSpaceDE w:val="0"/>
        <w:autoSpaceDN w:val="0"/>
        <w:adjustRightInd w:val="0"/>
        <w:spacing w:after="0" w:line="240" w:lineRule="auto"/>
        <w:jc w:val="both"/>
        <w:rPr>
          <w:rFonts w:ascii="Times New Roman" w:eastAsia="Times New Roman" w:hAnsi="Times New Roman" w:cs="Times New Roman"/>
          <w:noProof/>
          <w:sz w:val="24"/>
          <w:szCs w:val="24"/>
        </w:rPr>
      </w:pPr>
    </w:p>
    <w:p w14:paraId="4D2C7AE2" w14:textId="61BE82D1" w:rsidR="00DD66CF" w:rsidRPr="00263558" w:rsidRDefault="00F21AAB" w:rsidP="003252A1">
      <w:pPr>
        <w:autoSpaceDE w:val="0"/>
        <w:autoSpaceDN w:val="0"/>
        <w:adjustRightInd w:val="0"/>
        <w:spacing w:after="0" w:line="240" w:lineRule="auto"/>
        <w:jc w:val="both"/>
        <w:rPr>
          <w:rFonts w:ascii="Times New Roman" w:eastAsia="Times New Roman" w:hAnsi="Times New Roman" w:cs="Times New Roman"/>
          <w:noProof/>
          <w:sz w:val="24"/>
          <w:szCs w:val="24"/>
        </w:rPr>
      </w:pPr>
      <w:r>
        <w:rPr>
          <w:rFonts w:ascii="Times New Roman" w:hAnsi="Times New Roman"/>
          <w:b/>
          <w:bCs/>
          <w:noProof/>
          <w:sz w:val="24"/>
          <w:szCs w:val="24"/>
        </w:rPr>
        <w:t>Volby</w:t>
      </w:r>
      <w:r>
        <w:rPr>
          <w:rFonts w:ascii="Times New Roman" w:hAnsi="Times New Roman"/>
          <w:noProof/>
          <w:sz w:val="24"/>
          <w:szCs w:val="24"/>
        </w:rPr>
        <w:t xml:space="preserve"> do sedmého </w:t>
      </w:r>
      <w:r>
        <w:rPr>
          <w:rFonts w:ascii="Times New Roman" w:hAnsi="Times New Roman"/>
          <w:b/>
          <w:bCs/>
          <w:noProof/>
          <w:sz w:val="24"/>
          <w:szCs w:val="24"/>
        </w:rPr>
        <w:t>zákonodárného shromáždění ZAO Macao se konaly 12. září</w:t>
      </w:r>
      <w:r>
        <w:rPr>
          <w:rFonts w:ascii="Times New Roman" w:hAnsi="Times New Roman"/>
          <w:noProof/>
          <w:sz w:val="24"/>
          <w:szCs w:val="24"/>
        </w:rPr>
        <w:t xml:space="preserve">. Přímo voleno bylo čtrnáct zákonodárců, dvanáct zákonodárců bylo zvoleno nepřímo. Dne 23. září jmenoval předseda vlády Ho Iat-seng sedm dalších zákonodárců. Členové shromáždění složili slib dne 16. října. Křesla v zákonodárném sboru získali tři politici, kteří nepodporují stávající režim: politický veterán José Pereira Coutinho, Che Sai-wang a Lam U-tou. Che a Lam byli ve shromáždění </w:t>
      </w:r>
      <w:r w:rsidR="00190DB2">
        <w:rPr>
          <w:rFonts w:ascii="Times New Roman" w:hAnsi="Times New Roman"/>
          <w:noProof/>
          <w:sz w:val="24"/>
          <w:szCs w:val="24"/>
        </w:rPr>
        <w:t xml:space="preserve">novými tvářemi, </w:t>
      </w:r>
      <w:r>
        <w:rPr>
          <w:rFonts w:ascii="Times New Roman" w:hAnsi="Times New Roman"/>
          <w:noProof/>
          <w:sz w:val="24"/>
          <w:szCs w:val="24"/>
        </w:rPr>
        <w:t>spolu s pěti prorežimními zákonodárci.</w:t>
      </w:r>
    </w:p>
    <w:p w14:paraId="3E731F72" w14:textId="77777777" w:rsidR="005B4D38" w:rsidRPr="00263558" w:rsidRDefault="005B4D38" w:rsidP="003252A1">
      <w:pPr>
        <w:autoSpaceDE w:val="0"/>
        <w:autoSpaceDN w:val="0"/>
        <w:adjustRightInd w:val="0"/>
        <w:spacing w:after="0" w:line="240" w:lineRule="auto"/>
        <w:jc w:val="both"/>
        <w:rPr>
          <w:rFonts w:ascii="Times New Roman" w:eastAsia="Times New Roman" w:hAnsi="Times New Roman" w:cs="Times New Roman"/>
          <w:noProof/>
          <w:sz w:val="24"/>
          <w:szCs w:val="24"/>
        </w:rPr>
      </w:pPr>
    </w:p>
    <w:p w14:paraId="618A2F1B" w14:textId="04AE4E62" w:rsidR="00A93E39" w:rsidRPr="00263558" w:rsidRDefault="00394637" w:rsidP="003252A1">
      <w:pPr>
        <w:autoSpaceDE w:val="0"/>
        <w:autoSpaceDN w:val="0"/>
        <w:adjustRightInd w:val="0"/>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Volební účast činila 42 %, což znamená, že hlasovalo 137 281 lidí. Jedná se o nejnižší zaznamenanou úroveň od předání v roce 1999. Průměrná účast v předchozích volbách od roku 1999 činila 56,56 %. Tong Hio-fung, předseda volební komise zákonodárného shromáždění, přičetl nízkou volební účast nestabilnímu počasí a omezením v souvislosti s onemocněním COVID-19, která zabránila lidem uvízlým v zahraničí zúčastnit se voleb. Ve volbách byl rovněž zaznamenán historicky nejvyšší počet prázdných hlasovacích lístků (3 141) a druhý nejvyšší počet neplatných hlasů (2 082).</w:t>
      </w:r>
    </w:p>
    <w:p w14:paraId="0D3DFEB8" w14:textId="77777777" w:rsidR="005B4D38" w:rsidRPr="00263558" w:rsidRDefault="005B4D38" w:rsidP="003252A1">
      <w:pPr>
        <w:autoSpaceDE w:val="0"/>
        <w:autoSpaceDN w:val="0"/>
        <w:adjustRightInd w:val="0"/>
        <w:spacing w:after="0" w:line="240" w:lineRule="auto"/>
        <w:jc w:val="both"/>
        <w:rPr>
          <w:rFonts w:ascii="Times New Roman" w:eastAsia="Times New Roman" w:hAnsi="Times New Roman" w:cs="Times New Roman"/>
          <w:noProof/>
          <w:sz w:val="24"/>
          <w:szCs w:val="24"/>
        </w:rPr>
      </w:pPr>
    </w:p>
    <w:p w14:paraId="6F9B3D1B" w14:textId="232A5CD9" w:rsidR="00FC5BC3" w:rsidRDefault="00633DDC" w:rsidP="003252A1">
      <w:pPr>
        <w:autoSpaceDE w:val="0"/>
        <w:autoSpaceDN w:val="0"/>
        <w:adjustRightInd w:val="0"/>
        <w:spacing w:after="0" w:line="240" w:lineRule="auto"/>
        <w:jc w:val="both"/>
        <w:rPr>
          <w:rFonts w:ascii="Times New Roman" w:eastAsia="Times New Roman" w:hAnsi="Times New Roman" w:cs="Times New Roman"/>
          <w:noProof/>
          <w:sz w:val="24"/>
          <w:szCs w:val="24"/>
        </w:rPr>
      </w:pPr>
      <w:r>
        <w:rPr>
          <w:rFonts w:ascii="Times New Roman" w:hAnsi="Times New Roman"/>
          <w:b/>
          <w:bCs/>
          <w:noProof/>
          <w:sz w:val="24"/>
          <w:szCs w:val="24"/>
        </w:rPr>
        <w:t>Před volbami orgány Macaa poprvé vyloučily 21 kandidátů</w:t>
      </w:r>
      <w:r>
        <w:rPr>
          <w:rFonts w:ascii="Times New Roman" w:hAnsi="Times New Roman"/>
          <w:noProof/>
          <w:sz w:val="24"/>
          <w:szCs w:val="24"/>
        </w:rPr>
        <w:t xml:space="preserve"> z toho důvodu, že nesložili slib věrnosti ZAO nebo nepodpořili základní zákon. </w:t>
      </w:r>
    </w:p>
    <w:p w14:paraId="2B38A4AF" w14:textId="77777777" w:rsidR="00C5506E" w:rsidRPr="00263558" w:rsidRDefault="00C5506E" w:rsidP="003252A1">
      <w:pPr>
        <w:autoSpaceDE w:val="0"/>
        <w:autoSpaceDN w:val="0"/>
        <w:adjustRightInd w:val="0"/>
        <w:spacing w:after="0" w:line="240" w:lineRule="auto"/>
        <w:jc w:val="both"/>
        <w:rPr>
          <w:rFonts w:ascii="Times New Roman" w:eastAsia="Times New Roman" w:hAnsi="Times New Roman" w:cs="Times New Roman"/>
          <w:noProof/>
          <w:sz w:val="24"/>
          <w:szCs w:val="24"/>
        </w:rPr>
      </w:pPr>
    </w:p>
    <w:p w14:paraId="38B5FD0B" w14:textId="6FCE54D3" w:rsidR="003C7A2F" w:rsidRPr="00263558" w:rsidRDefault="003167B6" w:rsidP="003252A1">
      <w:pPr>
        <w:autoSpaceDE w:val="0"/>
        <w:autoSpaceDN w:val="0"/>
        <w:adjustRightInd w:val="0"/>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Dne 9. července oznámil pan Tong vyloučení kandidátů. Bylo mezi nimi všech patnáct kandidátů z prodemokratických skupin (Progresivní sdružení Nové Macao, sdružení Demokratické prosperující Macao a macajší progresivci). Dne 12. července pan Tong vysvětlil, že z policejních důkazů vyplývá, že vyloučení kandidáti nepodpořili základní zákon o Macau nebo byli vůči ZAO Macao neloajální. Uvedl, že volební komise zákonodárného shromáždění má sedm kritérií pro posouzení kvalifikace kandidátů. Tato kritéria zajišťují, aby kandidáti „upřímně dodržovali“</w:t>
      </w:r>
      <w:r w:rsidR="00D035F8">
        <w:rPr>
          <w:rStyle w:val="FootnoteReference"/>
          <w:rFonts w:ascii="Times New Roman" w:eastAsia="Times New Roman" w:hAnsi="Times New Roman" w:cs="Times New Roman"/>
          <w:noProof/>
          <w:sz w:val="24"/>
          <w:szCs w:val="24"/>
        </w:rPr>
        <w:footnoteReference w:id="2"/>
      </w:r>
      <w:r>
        <w:rPr>
          <w:rFonts w:ascii="Times New Roman" w:hAnsi="Times New Roman"/>
          <w:noProof/>
          <w:sz w:val="24"/>
          <w:szCs w:val="24"/>
        </w:rPr>
        <w:t xml:space="preserve"> základní zákon o Macau a byli věrni ZAO Macao, a to včetně podpory vedení Komunistické strany Číny. </w:t>
      </w:r>
    </w:p>
    <w:p w14:paraId="38B963AA" w14:textId="77777777" w:rsidR="003C7A2F" w:rsidRPr="00263558" w:rsidRDefault="003C7A2F" w:rsidP="003252A1">
      <w:pPr>
        <w:autoSpaceDE w:val="0"/>
        <w:autoSpaceDN w:val="0"/>
        <w:adjustRightInd w:val="0"/>
        <w:spacing w:after="0" w:line="240" w:lineRule="auto"/>
        <w:jc w:val="both"/>
        <w:rPr>
          <w:rFonts w:ascii="Times New Roman" w:eastAsia="Times New Roman" w:hAnsi="Times New Roman" w:cs="Times New Roman"/>
          <w:noProof/>
          <w:sz w:val="24"/>
          <w:szCs w:val="24"/>
        </w:rPr>
      </w:pPr>
    </w:p>
    <w:p w14:paraId="3B315457" w14:textId="1B68257A" w:rsidR="003C7A2F" w:rsidRPr="00263558" w:rsidRDefault="003C7A2F" w:rsidP="003252A1">
      <w:pPr>
        <w:autoSpaceDE w:val="0"/>
        <w:autoSpaceDN w:val="0"/>
        <w:adjustRightInd w:val="0"/>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Poté, co bylo proti tomuto rozhodnutí podáno odvolání k Nejvyššímu odvolacímu soud, daný soud dne 31. července svým rozhodnutím vyloučení potvrdil. V rozhodnutí bylo uvedeno, že dotčení kandidáti se zúčastnili vzpomínkové akce věnované Liou Siao-poovi a výstavy k </w:t>
      </w:r>
      <w:r>
        <w:rPr>
          <w:rFonts w:ascii="Times New Roman" w:hAnsi="Times New Roman"/>
          <w:i/>
          <w:iCs/>
          <w:noProof/>
          <w:sz w:val="24"/>
          <w:szCs w:val="24"/>
        </w:rPr>
        <w:t>Chartě 08</w:t>
      </w:r>
      <w:r w:rsidR="000654AD" w:rsidRPr="00263558">
        <w:rPr>
          <w:rStyle w:val="FootnoteReference"/>
          <w:rFonts w:ascii="Times New Roman" w:eastAsia="Times New Roman" w:hAnsi="Times New Roman" w:cs="Times New Roman"/>
          <w:noProof/>
          <w:sz w:val="24"/>
          <w:szCs w:val="24"/>
        </w:rPr>
        <w:footnoteReference w:id="3"/>
      </w:r>
      <w:r>
        <w:rPr>
          <w:rFonts w:ascii="Times New Roman" w:hAnsi="Times New Roman"/>
          <w:noProof/>
          <w:sz w:val="24"/>
          <w:szCs w:val="24"/>
        </w:rPr>
        <w:t xml:space="preserve">, čímž se postavili proti ústavnímu systému země. V rozhodnutí bylo rovněž uvedeno, že vyloučení kandidáti zorganizovali pietní shromáždění připomínající události na náměstí Nebeského klidu dne 4. června a zúčastnili se ho. Kandidáti tak sabotovali zásadu „jedna země, dva systémy“ a nebyli věrni základnímu zákonu Macaa. </w:t>
      </w:r>
    </w:p>
    <w:p w14:paraId="6E7D5070" w14:textId="77777777" w:rsidR="00A533B1" w:rsidRPr="00263558" w:rsidRDefault="00A533B1" w:rsidP="003252A1">
      <w:pPr>
        <w:autoSpaceDE w:val="0"/>
        <w:autoSpaceDN w:val="0"/>
        <w:adjustRightInd w:val="0"/>
        <w:spacing w:after="0" w:line="240" w:lineRule="auto"/>
        <w:jc w:val="both"/>
        <w:rPr>
          <w:rFonts w:ascii="Times New Roman" w:eastAsia="Times New Roman" w:hAnsi="Times New Roman" w:cs="Times New Roman"/>
          <w:noProof/>
          <w:sz w:val="24"/>
          <w:szCs w:val="24"/>
        </w:rPr>
      </w:pPr>
    </w:p>
    <w:p w14:paraId="5883D9CA" w14:textId="3FD4A7C8" w:rsidR="005B4D38" w:rsidRPr="00263558" w:rsidRDefault="005B4D38" w:rsidP="003252A1">
      <w:pPr>
        <w:autoSpaceDE w:val="0"/>
        <w:autoSpaceDN w:val="0"/>
        <w:adjustRightInd w:val="0"/>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EU vydala prohlášení mluvčího</w:t>
      </w:r>
      <w:r w:rsidR="00656B05">
        <w:rPr>
          <w:rStyle w:val="FootnoteReference"/>
          <w:rFonts w:ascii="Times New Roman" w:eastAsia="Times New Roman" w:hAnsi="Times New Roman" w:cs="Times New Roman"/>
          <w:noProof/>
          <w:sz w:val="24"/>
          <w:szCs w:val="24"/>
        </w:rPr>
        <w:footnoteReference w:id="4"/>
      </w:r>
      <w:r>
        <w:rPr>
          <w:rFonts w:ascii="Times New Roman" w:hAnsi="Times New Roman"/>
          <w:noProof/>
          <w:sz w:val="24"/>
          <w:szCs w:val="24"/>
        </w:rPr>
        <w:t>, v němž označila rozhodnutí za škodlivý krok, který je v rozporu s právy zaručenými základním zákonem Macaa. Rozhodnutí rovněž oslabilo politický pluralismus a omezilo demokratickou diskusi. EU vyzvala k dodržování chráněných práv a svobod v ZAO Macao a k tomu, aby volby do zákonodárného shromáždění byly otevřené kandidátům z celého politického spektra.</w:t>
      </w:r>
    </w:p>
    <w:p w14:paraId="5546F306" w14:textId="77777777" w:rsidR="005B4D38" w:rsidRPr="00263558" w:rsidRDefault="005B4D38" w:rsidP="003252A1">
      <w:pPr>
        <w:autoSpaceDE w:val="0"/>
        <w:autoSpaceDN w:val="0"/>
        <w:adjustRightInd w:val="0"/>
        <w:spacing w:after="0" w:line="240" w:lineRule="auto"/>
        <w:jc w:val="both"/>
        <w:rPr>
          <w:rFonts w:ascii="Times New Roman" w:eastAsia="Times New Roman" w:hAnsi="Times New Roman" w:cs="Times New Roman"/>
          <w:noProof/>
          <w:sz w:val="24"/>
          <w:szCs w:val="24"/>
        </w:rPr>
      </w:pPr>
    </w:p>
    <w:p w14:paraId="1DE60273" w14:textId="70B85EF8" w:rsidR="00560739" w:rsidRPr="00263558" w:rsidRDefault="008862D7" w:rsidP="003252A1">
      <w:pPr>
        <w:spacing w:after="0" w:line="240" w:lineRule="auto"/>
        <w:jc w:val="both"/>
        <w:rPr>
          <w:rFonts w:ascii="Times New Roman" w:eastAsiaTheme="minorEastAsia" w:hAnsi="Times New Roman" w:cs="Times New Roman"/>
          <w:noProof/>
          <w:sz w:val="24"/>
          <w:szCs w:val="24"/>
        </w:rPr>
      </w:pPr>
      <w:r>
        <w:rPr>
          <w:rFonts w:ascii="Times New Roman" w:hAnsi="Times New Roman"/>
          <w:b/>
          <w:bCs/>
          <w:noProof/>
          <w:sz w:val="24"/>
          <w:szCs w:val="24"/>
        </w:rPr>
        <w:t>Národní bezpečnost představovala i nadále politickou prioritu.</w:t>
      </w:r>
      <w:r>
        <w:rPr>
          <w:rFonts w:ascii="Times New Roman" w:hAnsi="Times New Roman"/>
          <w:noProof/>
          <w:sz w:val="24"/>
          <w:szCs w:val="24"/>
        </w:rPr>
        <w:t xml:space="preserve"> Zákon o národní bezpečnosti poprvé vstoupil v platnost v roce 2009, ale dosud nebyl na jeho základě nikdo obviněn. Vláda oznámila, že v prvním čtvrtletí roku 2022 zahájí veřejnou konzultaci o změně zákona a dokončí ji do posledního čtvrtletí téhož roku. </w:t>
      </w:r>
    </w:p>
    <w:p w14:paraId="1BF8C461" w14:textId="77777777" w:rsidR="001D7AF3" w:rsidRPr="00263558" w:rsidRDefault="001D7AF3" w:rsidP="003252A1">
      <w:pPr>
        <w:spacing w:after="0" w:line="240" w:lineRule="auto"/>
        <w:jc w:val="both"/>
        <w:rPr>
          <w:rFonts w:ascii="Times New Roman" w:eastAsiaTheme="minorEastAsia" w:hAnsi="Times New Roman" w:cs="Times New Roman"/>
          <w:noProof/>
          <w:sz w:val="24"/>
          <w:szCs w:val="24"/>
          <w:lang w:eastAsia="zh-CN"/>
        </w:rPr>
      </w:pPr>
    </w:p>
    <w:p w14:paraId="31928578" w14:textId="3A6208D9" w:rsidR="00560739" w:rsidRPr="00263558" w:rsidRDefault="00A335F5" w:rsidP="003252A1">
      <w:pPr>
        <w:spacing w:after="0" w:line="240" w:lineRule="auto"/>
        <w:jc w:val="both"/>
        <w:rPr>
          <w:rFonts w:ascii="Times New Roman" w:eastAsiaTheme="minorEastAsia" w:hAnsi="Times New Roman" w:cs="Times New Roman"/>
          <w:noProof/>
          <w:sz w:val="24"/>
          <w:szCs w:val="24"/>
        </w:rPr>
      </w:pPr>
      <w:r>
        <w:rPr>
          <w:rFonts w:ascii="Times New Roman" w:hAnsi="Times New Roman"/>
          <w:noProof/>
          <w:sz w:val="24"/>
          <w:szCs w:val="24"/>
        </w:rPr>
        <w:t xml:space="preserve">V rámci snahy o zajištění národní bezpečnosti vláda rovněž odhalila svůj časový plán pro přijetí nového zákona, který má zavést režim utajení. Tento zákon zajistí náležitou ochranu důvěrných vládních informací v rámci ZAO Macao. Cílem vlády bylo dokončit tento proces do posledního čtvrtletí roku 2022. </w:t>
      </w:r>
    </w:p>
    <w:p w14:paraId="5D172A54" w14:textId="77777777" w:rsidR="00560739" w:rsidRPr="00263558" w:rsidRDefault="00560739" w:rsidP="003252A1">
      <w:pPr>
        <w:spacing w:after="0" w:line="240" w:lineRule="auto"/>
        <w:jc w:val="both"/>
        <w:rPr>
          <w:rFonts w:ascii="Times New Roman" w:eastAsiaTheme="minorEastAsia" w:hAnsi="Times New Roman" w:cs="Times New Roman"/>
          <w:noProof/>
          <w:sz w:val="24"/>
          <w:szCs w:val="24"/>
          <w:lang w:eastAsia="zh-CN"/>
        </w:rPr>
      </w:pPr>
    </w:p>
    <w:p w14:paraId="5CBFBB45" w14:textId="0FC324D8" w:rsidR="008862D7" w:rsidRPr="00263558" w:rsidRDefault="001D7AF3" w:rsidP="003252A1">
      <w:pPr>
        <w:spacing w:after="0" w:line="240" w:lineRule="auto"/>
        <w:jc w:val="both"/>
        <w:rPr>
          <w:rFonts w:ascii="Times New Roman" w:eastAsiaTheme="minorEastAsia" w:hAnsi="Times New Roman" w:cs="Times New Roman"/>
          <w:noProof/>
          <w:sz w:val="24"/>
          <w:szCs w:val="24"/>
        </w:rPr>
      </w:pPr>
      <w:r>
        <w:rPr>
          <w:rFonts w:ascii="Times New Roman" w:hAnsi="Times New Roman"/>
          <w:noProof/>
          <w:sz w:val="24"/>
          <w:szCs w:val="24"/>
        </w:rPr>
        <w:t xml:space="preserve">Předseda vlády Ho oznámil, že vládní útvary pro národní bezpečnost začaly v roce 2021 plně fungovat. Soudní policie zintenzivnila svou činnost zaměřenou na zajištění národní bezpečnosti a bezpečnosti internetu a na předcházení terorismu. Policie rovněž zintenzivnila své úsilí s cílem zabránit pronikání a zasahování vnějších elementů do pevninské Číny a ZAO Macao. </w:t>
      </w:r>
    </w:p>
    <w:p w14:paraId="42802F57" w14:textId="77777777" w:rsidR="009444E2" w:rsidRPr="00263558" w:rsidRDefault="009444E2" w:rsidP="003252A1">
      <w:pPr>
        <w:spacing w:after="0" w:line="240" w:lineRule="auto"/>
        <w:jc w:val="both"/>
        <w:rPr>
          <w:rFonts w:ascii="Times New Roman" w:eastAsiaTheme="minorEastAsia" w:hAnsi="Times New Roman" w:cs="Times New Roman"/>
          <w:noProof/>
          <w:sz w:val="24"/>
          <w:szCs w:val="24"/>
          <w:lang w:eastAsia="zh-CN"/>
        </w:rPr>
      </w:pPr>
    </w:p>
    <w:p w14:paraId="4AA4FE50" w14:textId="7175B684" w:rsidR="009444E2" w:rsidRPr="00263558" w:rsidRDefault="009444E2" w:rsidP="003252A1">
      <w:pPr>
        <w:spacing w:after="0" w:line="240" w:lineRule="auto"/>
        <w:jc w:val="both"/>
        <w:rPr>
          <w:rFonts w:ascii="Times New Roman" w:eastAsiaTheme="minorEastAsia" w:hAnsi="Times New Roman" w:cs="Times New Roman"/>
          <w:noProof/>
          <w:sz w:val="24"/>
          <w:szCs w:val="24"/>
        </w:rPr>
      </w:pPr>
      <w:r>
        <w:rPr>
          <w:rFonts w:ascii="Times New Roman" w:hAnsi="Times New Roman"/>
          <w:noProof/>
          <w:sz w:val="24"/>
          <w:szCs w:val="24"/>
        </w:rPr>
        <w:t>Vláda rovněž pozměnila zákon o používání a ochraně státní vlajky, znaku a hymny tak, aby odrážel nejnovější změny zákona Čínské lidové republiky o státní vlajce a zákona Čínské lidové republiky o státním znaku</w:t>
      </w:r>
      <w:r w:rsidR="006C5BDC" w:rsidRPr="00536AD3">
        <w:rPr>
          <w:rStyle w:val="FootnoteReference"/>
          <w:rFonts w:ascii="Times New Roman" w:eastAsiaTheme="minorEastAsia" w:hAnsi="Times New Roman" w:cs="Times New Roman"/>
          <w:noProof/>
          <w:sz w:val="24"/>
          <w:szCs w:val="24"/>
          <w:lang w:eastAsia="zh-CN"/>
        </w:rPr>
        <w:footnoteReference w:id="5"/>
      </w:r>
      <w:r>
        <w:rPr>
          <w:rFonts w:ascii="Times New Roman" w:hAnsi="Times New Roman"/>
          <w:noProof/>
          <w:sz w:val="24"/>
          <w:szCs w:val="24"/>
        </w:rPr>
        <w:t>.</w:t>
      </w:r>
    </w:p>
    <w:p w14:paraId="36BD1782" w14:textId="77777777" w:rsidR="008862D7" w:rsidRPr="00263558" w:rsidRDefault="008862D7" w:rsidP="003252A1">
      <w:pPr>
        <w:spacing w:after="0" w:line="240" w:lineRule="auto"/>
        <w:jc w:val="both"/>
        <w:rPr>
          <w:rFonts w:ascii="Times New Roman" w:eastAsiaTheme="minorEastAsia" w:hAnsi="Times New Roman" w:cs="Times New Roman"/>
          <w:noProof/>
          <w:sz w:val="24"/>
          <w:szCs w:val="24"/>
          <w:lang w:eastAsia="zh-CN"/>
        </w:rPr>
      </w:pPr>
    </w:p>
    <w:p w14:paraId="0F3BA4E8" w14:textId="29808D62" w:rsidR="00E5233F" w:rsidRPr="00263558" w:rsidRDefault="004D7A3F" w:rsidP="003252A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Vláda v neposlední řadě uvedla, že v zájmu zvýšení bezpečnosti a pomoci při vymáhání práva rozmístí více bezpečnostních kamer. Do roku 2028 plánují úředníci rozmístit dalších 4 200 kamer. </w:t>
      </w:r>
    </w:p>
    <w:p w14:paraId="7E32011D" w14:textId="77777777" w:rsidR="008862D7" w:rsidRPr="00263558" w:rsidRDefault="008862D7" w:rsidP="003252A1">
      <w:pPr>
        <w:spacing w:after="0" w:line="240" w:lineRule="auto"/>
        <w:jc w:val="both"/>
        <w:rPr>
          <w:rFonts w:ascii="Times New Roman" w:eastAsiaTheme="minorEastAsia" w:hAnsi="Times New Roman" w:cs="Times New Roman"/>
          <w:noProof/>
          <w:sz w:val="24"/>
          <w:szCs w:val="24"/>
          <w:lang w:eastAsia="zh-CN"/>
        </w:rPr>
      </w:pPr>
    </w:p>
    <w:p w14:paraId="5F61B583" w14:textId="6B0C7B6E" w:rsidR="00EE241B" w:rsidRPr="00263558" w:rsidRDefault="001D7AF3" w:rsidP="003252A1">
      <w:pPr>
        <w:autoSpaceDE w:val="0"/>
        <w:autoSpaceDN w:val="0"/>
        <w:adjustRightInd w:val="0"/>
        <w:spacing w:after="0" w:line="240" w:lineRule="auto"/>
        <w:jc w:val="both"/>
        <w:rPr>
          <w:rFonts w:ascii="Times New Roman" w:eastAsia="Times New Roman" w:hAnsi="Times New Roman" w:cs="Times New Roman"/>
          <w:noProof/>
          <w:sz w:val="24"/>
          <w:szCs w:val="24"/>
        </w:rPr>
      </w:pPr>
      <w:r>
        <w:rPr>
          <w:rFonts w:ascii="Times New Roman" w:hAnsi="Times New Roman"/>
          <w:b/>
          <w:bCs/>
          <w:noProof/>
          <w:sz w:val="24"/>
          <w:szCs w:val="24"/>
        </w:rPr>
        <w:t>Byly přijaty určité legislativní kroky týkající se důležitých sociálních otázek</w:t>
      </w:r>
      <w:r>
        <w:rPr>
          <w:rFonts w:ascii="Times New Roman" w:hAnsi="Times New Roman"/>
          <w:noProof/>
          <w:sz w:val="24"/>
          <w:szCs w:val="24"/>
        </w:rPr>
        <w:t xml:space="preserve">, jako je zákon o odborech. Stalo se tak po letech opakovaného odmítání podobných opatření navrhovaných prodemokratickými zákonodárci. Vláda původně plánovala veřejnou konzultaci k tomuto zákonu na první čtvrtletí roku 2021, ale nakonec ji zahájila dne 31. října a konzultace trvala 45 dní. Navrhované znění se týkalo dvou hlavních oblastí: systém registrace odborů a síly kolektivního vyjednávání. Cílem vlády bylo dokončit legislativní proces do posledního čtvrtletí roku 2022, jakmile budou dokončeny konzultace a „dostatečný sběr“ stanovisek z různých odvětví. </w:t>
      </w:r>
    </w:p>
    <w:p w14:paraId="427D45B8" w14:textId="77777777" w:rsidR="00CC2B5C" w:rsidRPr="00263558" w:rsidRDefault="00CC2B5C" w:rsidP="003252A1">
      <w:pPr>
        <w:pStyle w:val="Default"/>
        <w:jc w:val="both"/>
        <w:rPr>
          <w:noProof/>
        </w:rPr>
      </w:pPr>
    </w:p>
    <w:p w14:paraId="5AE88998" w14:textId="4AAF4927" w:rsidR="00C234F2" w:rsidRPr="00263558" w:rsidRDefault="00555FF8" w:rsidP="003252A1">
      <w:pPr>
        <w:pStyle w:val="Heading3"/>
        <w:spacing w:before="0" w:beforeAutospacing="0" w:after="0" w:afterAutospacing="0"/>
        <w:jc w:val="both"/>
        <w:rPr>
          <w:rFonts w:eastAsia="PMingLiU"/>
          <w:b w:val="0"/>
          <w:noProof/>
          <w:sz w:val="24"/>
          <w:szCs w:val="24"/>
        </w:rPr>
      </w:pPr>
      <w:r>
        <w:rPr>
          <w:bCs w:val="0"/>
          <w:noProof/>
          <w:sz w:val="24"/>
          <w:szCs w:val="24"/>
        </w:rPr>
        <w:t xml:space="preserve">Vláda ZAO Macao pokračovala v přijímání opatření na kontrolu šíření onemocnění COVID-19, </w:t>
      </w:r>
      <w:r>
        <w:rPr>
          <w:b w:val="0"/>
          <w:noProof/>
          <w:sz w:val="24"/>
          <w:szCs w:val="24"/>
        </w:rPr>
        <w:t xml:space="preserve">včetně povinného testování na úrovni města, které bylo organizováno dvakrát. Ke dni 30. prosince 2021 obdrželo 429 839 osob dvě dávky očkovací látky a 31 770 osob obdrželo tři dávky. Celkově se vyskytlo 79 potvrzených případů onemocnění COVID-19 a nedošlo k žádnému úmrtí v důsledku tohoto onemocnění. Vláda usilovala o zajištění cestování mezi pevninskou Čínou bez nutnosti karantény. Dne 12. srpna obě strany poprvé od začátku omezení obnovily cestování bez karantény. Naproti tomu cestující z Hongkongu do Macaa potřebovali negativní výsledek testu a museli podstoupit karanténu po dobu čtrnácti dnů. </w:t>
      </w:r>
    </w:p>
    <w:p w14:paraId="25F37FAF" w14:textId="77777777" w:rsidR="0067267D" w:rsidRPr="00263558" w:rsidRDefault="0067267D" w:rsidP="003252A1">
      <w:pPr>
        <w:pStyle w:val="Heading3"/>
        <w:spacing w:before="0" w:beforeAutospacing="0" w:after="0" w:afterAutospacing="0"/>
        <w:jc w:val="both"/>
        <w:rPr>
          <w:rFonts w:eastAsia="PMingLiU"/>
          <w:b w:val="0"/>
          <w:noProof/>
          <w:sz w:val="24"/>
          <w:szCs w:val="24"/>
          <w:lang w:eastAsia="zh-TW"/>
        </w:rPr>
      </w:pPr>
    </w:p>
    <w:p w14:paraId="097632E5" w14:textId="44446346" w:rsidR="0033521E" w:rsidRPr="00263558" w:rsidRDefault="008E7D29" w:rsidP="00076074">
      <w:pPr>
        <w:jc w:val="both"/>
        <w:rPr>
          <w:rFonts w:ascii="Times New Roman" w:eastAsia="PMingLiU" w:hAnsi="Times New Roman" w:cs="Times New Roman"/>
          <w:bCs/>
          <w:noProof/>
          <w:sz w:val="24"/>
          <w:szCs w:val="24"/>
        </w:rPr>
      </w:pPr>
      <w:r>
        <w:rPr>
          <w:rFonts w:ascii="Times New Roman" w:hAnsi="Times New Roman"/>
          <w:noProof/>
          <w:sz w:val="24"/>
          <w:szCs w:val="24"/>
        </w:rPr>
        <w:t>Tato přísná pravidla pro vstup bránila úřadu EU v návštěvě ZAO, organizaci činností na místě a monitorování politického a sociálního vývoje.</w:t>
      </w:r>
      <w:r>
        <w:rPr>
          <w:rFonts w:ascii="Times New Roman" w:hAnsi="Times New Roman"/>
          <w:b/>
          <w:noProof/>
          <w:sz w:val="24"/>
          <w:szCs w:val="24"/>
        </w:rPr>
        <w:t xml:space="preserve"> </w:t>
      </w:r>
      <w:r>
        <w:rPr>
          <w:rFonts w:ascii="Times New Roman" w:hAnsi="Times New Roman"/>
          <w:bCs/>
          <w:noProof/>
          <w:sz w:val="24"/>
          <w:szCs w:val="24"/>
        </w:rPr>
        <w:t xml:space="preserve">Podle těchto pravidel mohli do Macaa vstoupit pouze návštěvníci z pevninské Číny, Hongkongu a Tchaj-wanu. Ti, kteří čtrnáct dnů před příjezdem navštívili Hongkong, museli na čtrnáct dnů do karantény.  </w:t>
      </w:r>
    </w:p>
    <w:p w14:paraId="168B3843" w14:textId="77777777" w:rsidR="008E7D29" w:rsidRPr="00263558" w:rsidRDefault="0033521E" w:rsidP="003252A1">
      <w:pPr>
        <w:pStyle w:val="Heading3"/>
        <w:spacing w:before="0" w:beforeAutospacing="0" w:after="0" w:afterAutospacing="0"/>
        <w:jc w:val="both"/>
        <w:rPr>
          <w:rFonts w:eastAsia="PMingLiU"/>
          <w:b w:val="0"/>
          <w:noProof/>
          <w:sz w:val="24"/>
          <w:szCs w:val="24"/>
        </w:rPr>
      </w:pPr>
      <w:r>
        <w:rPr>
          <w:b w:val="0"/>
          <w:noProof/>
          <w:sz w:val="24"/>
          <w:szCs w:val="24"/>
        </w:rPr>
        <w:t xml:space="preserve"> </w:t>
      </w:r>
    </w:p>
    <w:p w14:paraId="75FA173C" w14:textId="67E9E1D1" w:rsidR="00394637" w:rsidRPr="00263558" w:rsidRDefault="00394637" w:rsidP="003252A1">
      <w:pPr>
        <w:pStyle w:val="Heading3"/>
        <w:spacing w:before="0" w:beforeAutospacing="0" w:after="0" w:afterAutospacing="0"/>
        <w:jc w:val="both"/>
        <w:rPr>
          <w:rFonts w:eastAsia="Times New Roman"/>
          <w:noProof/>
          <w:sz w:val="24"/>
          <w:szCs w:val="24"/>
        </w:rPr>
      </w:pPr>
      <w:r>
        <w:rPr>
          <w:noProof/>
          <w:sz w:val="24"/>
          <w:szCs w:val="24"/>
        </w:rPr>
        <w:t>Práva, svobody a rovné příležitosti</w:t>
      </w:r>
    </w:p>
    <w:p w14:paraId="165A6225" w14:textId="77777777" w:rsidR="00F0484B" w:rsidRPr="00263558" w:rsidRDefault="00F0484B" w:rsidP="003252A1">
      <w:pPr>
        <w:pStyle w:val="Heading3"/>
        <w:spacing w:before="0" w:beforeAutospacing="0" w:after="0" w:afterAutospacing="0"/>
        <w:jc w:val="both"/>
        <w:rPr>
          <w:rFonts w:eastAsia="Times New Roman"/>
          <w:noProof/>
          <w:sz w:val="24"/>
          <w:szCs w:val="24"/>
        </w:rPr>
      </w:pPr>
    </w:p>
    <w:p w14:paraId="2473D6F9" w14:textId="141D90C4" w:rsidR="00555FF8" w:rsidRPr="00263558" w:rsidRDefault="00555FF8" w:rsidP="003252A1">
      <w:pPr>
        <w:pStyle w:val="Heading3"/>
        <w:spacing w:before="0" w:beforeAutospacing="0" w:after="0" w:afterAutospacing="0"/>
        <w:jc w:val="both"/>
        <w:rPr>
          <w:rFonts w:eastAsia="Times New Roman"/>
          <w:b w:val="0"/>
          <w:noProof/>
          <w:sz w:val="24"/>
          <w:szCs w:val="24"/>
        </w:rPr>
      </w:pPr>
      <w:r>
        <w:rPr>
          <w:b w:val="0"/>
          <w:noProof/>
          <w:sz w:val="24"/>
          <w:szCs w:val="24"/>
        </w:rPr>
        <w:t>Práva, základní svobody a zásady právního státu zaručené v základním zákoně Macaa čelily v roce 2021 výzvám. Stále nebyly podniknuty žádné kroky ke zřízení nezávislého orgánu pro lidská práva v reakci na doporučení Výboru OSN proti mučení z prosince 2015.</w:t>
      </w:r>
    </w:p>
    <w:p w14:paraId="0B0AC469" w14:textId="77777777" w:rsidR="0024458A" w:rsidRPr="00263558" w:rsidRDefault="0024458A" w:rsidP="003252A1">
      <w:pPr>
        <w:pStyle w:val="Heading3"/>
        <w:spacing w:before="0" w:beforeAutospacing="0" w:after="0" w:afterAutospacing="0"/>
        <w:jc w:val="both"/>
        <w:rPr>
          <w:rFonts w:eastAsia="Times New Roman"/>
          <w:noProof/>
          <w:sz w:val="24"/>
          <w:szCs w:val="24"/>
        </w:rPr>
      </w:pPr>
    </w:p>
    <w:p w14:paraId="371D9B3B" w14:textId="5BBA9BFF" w:rsidR="00A363F6" w:rsidRPr="00263558" w:rsidRDefault="00555FF8" w:rsidP="003252A1">
      <w:pPr>
        <w:pStyle w:val="Heading3"/>
        <w:spacing w:before="0" w:beforeAutospacing="0" w:after="0" w:afterAutospacing="0"/>
        <w:jc w:val="both"/>
        <w:rPr>
          <w:rFonts w:eastAsia="Times New Roman"/>
          <w:b w:val="0"/>
          <w:noProof/>
          <w:sz w:val="24"/>
          <w:szCs w:val="24"/>
        </w:rPr>
      </w:pPr>
      <w:r>
        <w:rPr>
          <w:noProof/>
          <w:sz w:val="24"/>
          <w:szCs w:val="24"/>
        </w:rPr>
        <w:t>Svoboda tisku</w:t>
      </w:r>
      <w:r>
        <w:rPr>
          <w:b w:val="0"/>
          <w:noProof/>
          <w:sz w:val="24"/>
          <w:szCs w:val="24"/>
        </w:rPr>
        <w:t xml:space="preserve"> se potýkala s rostoucími obtížemi a sdělovací prostředky uplatňovaly větší autocenzuru. Macajská asociace portugalského a anglického tisku vydala dne 13. března prohlášení, v němž vyjádřila znepokojení nad novými redakčními pokyny pro portugalské a anglické zpravodajství veřejnoprávní televize Teledifusão de Macau (TDM). </w:t>
      </w:r>
    </w:p>
    <w:p w14:paraId="05D8EAEC" w14:textId="77777777" w:rsidR="00A363F6" w:rsidRPr="00263558" w:rsidRDefault="00A363F6" w:rsidP="003252A1">
      <w:pPr>
        <w:pStyle w:val="Heading3"/>
        <w:spacing w:before="0" w:beforeAutospacing="0" w:after="0" w:afterAutospacing="0"/>
        <w:jc w:val="both"/>
        <w:rPr>
          <w:rFonts w:eastAsiaTheme="minorEastAsia"/>
          <w:b w:val="0"/>
          <w:noProof/>
          <w:sz w:val="24"/>
          <w:szCs w:val="24"/>
          <w:lang w:eastAsia="zh-CN"/>
        </w:rPr>
      </w:pPr>
    </w:p>
    <w:p w14:paraId="6DB913F5" w14:textId="18DECC40" w:rsidR="00280B21" w:rsidRPr="00263558" w:rsidRDefault="00911DC5" w:rsidP="003252A1">
      <w:pPr>
        <w:pStyle w:val="Heading3"/>
        <w:spacing w:before="0" w:beforeAutospacing="0" w:after="0" w:afterAutospacing="0"/>
        <w:jc w:val="both"/>
        <w:rPr>
          <w:rFonts w:eastAsiaTheme="minorEastAsia"/>
          <w:b w:val="0"/>
          <w:noProof/>
          <w:sz w:val="24"/>
          <w:szCs w:val="24"/>
        </w:rPr>
      </w:pPr>
      <w:r>
        <w:rPr>
          <w:b w:val="0"/>
          <w:noProof/>
          <w:sz w:val="24"/>
          <w:szCs w:val="24"/>
        </w:rPr>
        <w:t>Asociace portugalského a anglického tisku v Macau byla obzvláště znepokojena pokynem, že zaměstnanci TDM nesmějí „sdělovat informace nebo stanoviska v rozporu s politikami ústřední vlády“ Čínské lidové republiky a musí podporovat opatření přijatá ZAO Macao. Výkonný výbor TDM nakonec uspořádal dvouhodinovou schůzku se šesti členy redakce zpravodajství. TDM uvedla, že její redakční politika zůstává nezměněna a „vyzvala“ zaměstnance k dodržování zásady „lásky k zemi a lásky k Macau“</w:t>
      </w:r>
      <w:r w:rsidR="00FF4095" w:rsidRPr="00263558">
        <w:rPr>
          <w:rStyle w:val="FootnoteReference"/>
          <w:rFonts w:eastAsiaTheme="minorEastAsia"/>
          <w:b w:val="0"/>
          <w:noProof/>
          <w:sz w:val="24"/>
          <w:szCs w:val="24"/>
          <w:lang w:eastAsia="zh-CN"/>
        </w:rPr>
        <w:footnoteReference w:id="6"/>
      </w:r>
      <w:r>
        <w:rPr>
          <w:b w:val="0"/>
          <w:noProof/>
          <w:sz w:val="24"/>
          <w:szCs w:val="24"/>
        </w:rPr>
        <w:t xml:space="preserve">. Poté byly údajně ve dvou pořadech týkajících se aktuálního dění cenzurovány komentáře a informace týkající se připomenutí událostí 4. června. </w:t>
      </w:r>
    </w:p>
    <w:p w14:paraId="703F8EFE" w14:textId="77777777" w:rsidR="0069081E" w:rsidRPr="00263558" w:rsidRDefault="0069081E" w:rsidP="003252A1">
      <w:pPr>
        <w:pStyle w:val="Heading3"/>
        <w:spacing w:before="0" w:beforeAutospacing="0" w:after="0" w:afterAutospacing="0"/>
        <w:jc w:val="both"/>
        <w:rPr>
          <w:rFonts w:eastAsiaTheme="minorEastAsia"/>
          <w:b w:val="0"/>
          <w:noProof/>
          <w:sz w:val="24"/>
          <w:szCs w:val="24"/>
          <w:lang w:eastAsia="zh-CN"/>
        </w:rPr>
      </w:pPr>
    </w:p>
    <w:p w14:paraId="515DA32E" w14:textId="72EAF764" w:rsidR="001F7E0D" w:rsidRPr="00263558" w:rsidRDefault="007A54ED" w:rsidP="003252A1">
      <w:pPr>
        <w:spacing w:after="0" w:line="240" w:lineRule="auto"/>
        <w:jc w:val="both"/>
        <w:rPr>
          <w:rFonts w:ascii="Times New Roman" w:eastAsiaTheme="minorEastAsia" w:hAnsi="Times New Roman" w:cs="Times New Roman"/>
          <w:bCs/>
          <w:noProof/>
          <w:sz w:val="24"/>
          <w:szCs w:val="24"/>
        </w:rPr>
      </w:pPr>
      <w:r>
        <w:rPr>
          <w:rFonts w:ascii="Times New Roman" w:hAnsi="Times New Roman"/>
          <w:bCs/>
          <w:noProof/>
          <w:sz w:val="24"/>
          <w:szCs w:val="24"/>
        </w:rPr>
        <w:t>Dne 14. října oznámilo Macajské sdružení novinářů, že vládní útvary zpřísnily omezení týkající se zpravodajství v souvislosti s významnými vládními akcemi s cílem zabránit šíření onemocnění COVID-19. Účastníci museli být v té době alespoň jednou očkováni a mít negativní výsledek testu nukleových kyselin 48 hodin před příslušnými akcemi. Sdružení novinářů vyzvalo orgány, aby tato opatření v oblasti sdělovacích prostředků přehodnotily a aby vyvážily otázky veřejného zdraví a práva novinářů poskytovat zpravodajství.</w:t>
      </w:r>
    </w:p>
    <w:p w14:paraId="1049EDC3" w14:textId="77777777" w:rsidR="001F7E0D" w:rsidRPr="00263558" w:rsidRDefault="001F7E0D" w:rsidP="003252A1">
      <w:pPr>
        <w:spacing w:after="0" w:line="240" w:lineRule="auto"/>
        <w:jc w:val="both"/>
        <w:rPr>
          <w:rFonts w:ascii="Times New Roman" w:eastAsiaTheme="minorEastAsia" w:hAnsi="Times New Roman" w:cs="Times New Roman"/>
          <w:bCs/>
          <w:noProof/>
          <w:sz w:val="24"/>
          <w:szCs w:val="24"/>
          <w:lang w:eastAsia="zh-CN"/>
        </w:rPr>
      </w:pPr>
    </w:p>
    <w:p w14:paraId="17AB9A58" w14:textId="02C51449" w:rsidR="00560746" w:rsidRPr="00263558" w:rsidRDefault="00CA5966" w:rsidP="003252A1">
      <w:pPr>
        <w:spacing w:after="0" w:line="240" w:lineRule="auto"/>
        <w:jc w:val="both"/>
        <w:rPr>
          <w:rFonts w:ascii="Times New Roman" w:eastAsiaTheme="minorEastAsia" w:hAnsi="Times New Roman" w:cs="Times New Roman"/>
          <w:noProof/>
          <w:sz w:val="24"/>
          <w:szCs w:val="24"/>
        </w:rPr>
      </w:pPr>
      <w:r>
        <w:rPr>
          <w:rFonts w:ascii="Times New Roman" w:hAnsi="Times New Roman"/>
          <w:b/>
          <w:bCs/>
          <w:noProof/>
          <w:sz w:val="24"/>
          <w:szCs w:val="24"/>
        </w:rPr>
        <w:t>Pokud jde o svobodu shromažďování</w:t>
      </w:r>
      <w:r>
        <w:rPr>
          <w:rFonts w:ascii="Times New Roman" w:hAnsi="Times New Roman"/>
          <w:noProof/>
          <w:sz w:val="24"/>
          <w:szCs w:val="24"/>
        </w:rPr>
        <w:t>, Nejvyšší odvolací soud dne 3. června 2021 zamítl odvolání proti policejnímu zákazu každoroční svíčkové pietní akce připomínající zásah na náměstí Nebeského klidu.  Kromě toho, že poukázal na obavy z šíření onemocnění COVID-19, soud uvedl, že organizátor, Unie pro rozvoj demokracie, se dovolával práva na shromažďování, aby „zinscenoval plánovaný a záměrný útok“</w:t>
      </w:r>
      <w:r w:rsidR="00201FB3" w:rsidRPr="00D2698A">
        <w:rPr>
          <w:rStyle w:val="FootnoteReference"/>
          <w:rFonts w:ascii="Times New Roman" w:eastAsiaTheme="minorEastAsia" w:hAnsi="Times New Roman" w:cs="Times New Roman"/>
          <w:noProof/>
          <w:sz w:val="24"/>
          <w:szCs w:val="24"/>
          <w:lang w:eastAsia="zh-CN"/>
        </w:rPr>
        <w:footnoteReference w:id="7"/>
      </w:r>
      <w:r>
        <w:rPr>
          <w:rFonts w:ascii="Times New Roman" w:hAnsi="Times New Roman"/>
          <w:noProof/>
          <w:sz w:val="24"/>
          <w:szCs w:val="24"/>
        </w:rPr>
        <w:t xml:space="preserve"> na ústřední vládu. </w:t>
      </w:r>
    </w:p>
    <w:p w14:paraId="2D4CE34F" w14:textId="77777777" w:rsidR="00560746" w:rsidRPr="00263558" w:rsidRDefault="00560746" w:rsidP="003252A1">
      <w:pPr>
        <w:spacing w:after="0" w:line="240" w:lineRule="auto"/>
        <w:jc w:val="both"/>
        <w:rPr>
          <w:rFonts w:ascii="Times New Roman" w:eastAsiaTheme="minorEastAsia" w:hAnsi="Times New Roman" w:cs="Times New Roman"/>
          <w:noProof/>
          <w:sz w:val="24"/>
          <w:szCs w:val="24"/>
          <w:lang w:eastAsia="zh-CN"/>
        </w:rPr>
      </w:pPr>
    </w:p>
    <w:p w14:paraId="79B91028" w14:textId="7A9FDDEE" w:rsidR="00A93E39" w:rsidRPr="00263558" w:rsidRDefault="00560746" w:rsidP="003252A1">
      <w:pPr>
        <w:spacing w:after="0" w:line="240" w:lineRule="auto"/>
        <w:jc w:val="both"/>
        <w:rPr>
          <w:rFonts w:ascii="Times New Roman" w:eastAsiaTheme="minorEastAsia" w:hAnsi="Times New Roman" w:cs="Times New Roman"/>
          <w:noProof/>
          <w:sz w:val="24"/>
          <w:szCs w:val="24"/>
        </w:rPr>
      </w:pPr>
      <w:r>
        <w:rPr>
          <w:rFonts w:ascii="Times New Roman" w:hAnsi="Times New Roman"/>
          <w:noProof/>
          <w:sz w:val="24"/>
          <w:szCs w:val="24"/>
        </w:rPr>
        <w:t xml:space="preserve">Všichni tři soudci specializovaného soudu uvedli, že navrhované shromáždění by mohlo vážně poškodit čest, důstojnost a respekt ústřední vlády Čínské lidové republiky. Macajský delegát Všečínského shromáždění lidových zástupců rovněž uvedl, že by v budoucnu nebylo vhodné pořádat takovéto vzpomínkové akce. </w:t>
      </w:r>
    </w:p>
    <w:p w14:paraId="4BADD327" w14:textId="77777777" w:rsidR="00A93E39" w:rsidRPr="00263558" w:rsidRDefault="00A93E39" w:rsidP="003252A1">
      <w:pPr>
        <w:spacing w:after="0" w:line="240" w:lineRule="auto"/>
        <w:jc w:val="both"/>
        <w:rPr>
          <w:rFonts w:ascii="Times New Roman" w:eastAsiaTheme="minorEastAsia" w:hAnsi="Times New Roman" w:cs="Times New Roman"/>
          <w:b/>
          <w:noProof/>
          <w:sz w:val="24"/>
          <w:szCs w:val="24"/>
          <w:lang w:eastAsia="zh-CN"/>
        </w:rPr>
      </w:pPr>
    </w:p>
    <w:p w14:paraId="668A6C7C" w14:textId="35F7A834" w:rsidR="00555FF8" w:rsidRPr="00294756" w:rsidRDefault="00555FF8" w:rsidP="003252A1">
      <w:pPr>
        <w:spacing w:after="0" w:line="240" w:lineRule="auto"/>
        <w:jc w:val="both"/>
        <w:rPr>
          <w:rFonts w:ascii="Times New Roman" w:eastAsiaTheme="minorEastAsia" w:hAnsi="Times New Roman" w:cs="Times New Roman"/>
          <w:bCs/>
          <w:noProof/>
          <w:sz w:val="24"/>
          <w:szCs w:val="24"/>
        </w:rPr>
      </w:pPr>
      <w:r>
        <w:rPr>
          <w:rFonts w:ascii="Times New Roman" w:hAnsi="Times New Roman"/>
          <w:bCs/>
          <w:noProof/>
          <w:sz w:val="24"/>
          <w:szCs w:val="24"/>
        </w:rPr>
        <w:t xml:space="preserve">Macao dosud účinně neprosazuje </w:t>
      </w:r>
      <w:r>
        <w:rPr>
          <w:rFonts w:ascii="Times New Roman" w:hAnsi="Times New Roman"/>
          <w:b/>
          <w:bCs/>
          <w:noProof/>
          <w:sz w:val="24"/>
          <w:szCs w:val="24"/>
        </w:rPr>
        <w:t>svobodu sdružování a kolektivního vyjednávání</w:t>
      </w:r>
      <w:r>
        <w:rPr>
          <w:rFonts w:ascii="Times New Roman" w:hAnsi="Times New Roman"/>
          <w:bCs/>
          <w:noProof/>
          <w:sz w:val="24"/>
          <w:szCs w:val="24"/>
        </w:rPr>
        <w:t xml:space="preserve"> podle úmluv Mezinárodní organizace práce. Například zákon o pracovních vztazích z roku 2008 obsahoval některá pravidla zakazující diskriminaci odborů a stanovil za takové jednání sankce. Nezahrnoval však kapitolu o právu odborově se organizovat a právu na kolektivní vyjednávání. Sankce za diskriminaci vůči odborům nebyly dostatečně odrazující, zejména pro velké společnosti. Pokud jde o dlouhodobě projednávaný návrh zákona o odborech, poukázali odborářští aktivisté na to, že znění konzultace nezahrnovalo právo na stávku – právo zakotvené v základním zákoně – která by mohla navazovat na neúspěšný proces kolektivního vyjednávání, což by mohlo oslabit dopad vyjednávání</w:t>
      </w:r>
      <w:r w:rsidR="00ED67E2" w:rsidRPr="00294756">
        <w:rPr>
          <w:rStyle w:val="FootnoteReference"/>
          <w:rFonts w:ascii="Times New Roman" w:eastAsiaTheme="minorEastAsia" w:hAnsi="Times New Roman" w:cs="Times New Roman"/>
          <w:bCs/>
          <w:noProof/>
          <w:sz w:val="24"/>
          <w:szCs w:val="24"/>
          <w:lang w:eastAsia="zh-CN"/>
        </w:rPr>
        <w:footnoteReference w:id="8"/>
      </w:r>
      <w:r>
        <w:rPr>
          <w:rFonts w:ascii="Times New Roman" w:hAnsi="Times New Roman"/>
          <w:bCs/>
          <w:noProof/>
          <w:sz w:val="24"/>
          <w:szCs w:val="24"/>
        </w:rPr>
        <w:t xml:space="preserve">.  </w:t>
      </w:r>
    </w:p>
    <w:p w14:paraId="6770D1C6" w14:textId="77777777" w:rsidR="00560746" w:rsidRPr="00263558" w:rsidRDefault="00560746" w:rsidP="003252A1">
      <w:pPr>
        <w:pStyle w:val="Heading3"/>
        <w:spacing w:before="0" w:beforeAutospacing="0" w:after="0" w:afterAutospacing="0"/>
        <w:jc w:val="both"/>
        <w:rPr>
          <w:rFonts w:eastAsia="Times New Roman"/>
          <w:b w:val="0"/>
          <w:noProof/>
          <w:sz w:val="24"/>
          <w:szCs w:val="24"/>
          <w:highlight w:val="yellow"/>
        </w:rPr>
      </w:pPr>
    </w:p>
    <w:p w14:paraId="6E2C7504" w14:textId="48B555AF" w:rsidR="00ED67E2" w:rsidRPr="00263558" w:rsidRDefault="00ED67E2" w:rsidP="003252A1">
      <w:pPr>
        <w:pStyle w:val="Heading3"/>
        <w:spacing w:before="0" w:beforeAutospacing="0" w:after="0" w:afterAutospacing="0"/>
        <w:jc w:val="both"/>
        <w:rPr>
          <w:rFonts w:eastAsia="Times New Roman"/>
          <w:b w:val="0"/>
          <w:noProof/>
          <w:sz w:val="24"/>
          <w:szCs w:val="24"/>
        </w:rPr>
      </w:pPr>
      <w:r>
        <w:rPr>
          <w:b w:val="0"/>
          <w:noProof/>
          <w:sz w:val="24"/>
          <w:szCs w:val="24"/>
        </w:rPr>
        <w:t xml:space="preserve">Macao nadále vyvíjí úsilí v </w:t>
      </w:r>
      <w:r>
        <w:rPr>
          <w:noProof/>
          <w:sz w:val="24"/>
          <w:szCs w:val="24"/>
        </w:rPr>
        <w:t>boji</w:t>
      </w:r>
      <w:r>
        <w:rPr>
          <w:b w:val="0"/>
          <w:noProof/>
          <w:sz w:val="24"/>
          <w:szCs w:val="24"/>
        </w:rPr>
        <w:t xml:space="preserve"> </w:t>
      </w:r>
      <w:r>
        <w:rPr>
          <w:noProof/>
          <w:sz w:val="24"/>
          <w:szCs w:val="24"/>
        </w:rPr>
        <w:t>proti obchodování s lidmi</w:t>
      </w:r>
      <w:r>
        <w:rPr>
          <w:b w:val="0"/>
          <w:noProof/>
          <w:sz w:val="24"/>
          <w:szCs w:val="24"/>
        </w:rPr>
        <w:t xml:space="preserve">. To zahrnuje odbornou přípravu policistů, celních orgánů a úředníků sociální péče, navýšení finančních prostředků na boj proti obchodování s lidmi, pořádání seminářů o právech zaměstnanců pro migrující pracovníky ohrožené vykořisťováním a přijetí právních předpisů, které by odrazovaly od praktik agentur práce přispívajících k nucenému zadlužování. K odstranění tohoto problému je však stále zapotřebí dalšího úsilí.  </w:t>
      </w:r>
    </w:p>
    <w:p w14:paraId="3A91FD5C" w14:textId="77777777" w:rsidR="00560746" w:rsidRPr="00263558" w:rsidRDefault="00560746" w:rsidP="003252A1">
      <w:pPr>
        <w:pStyle w:val="Heading3"/>
        <w:spacing w:before="0" w:beforeAutospacing="0" w:after="0" w:afterAutospacing="0"/>
        <w:jc w:val="both"/>
        <w:rPr>
          <w:b w:val="0"/>
          <w:noProof/>
          <w:color w:val="222222"/>
          <w:sz w:val="24"/>
          <w:szCs w:val="24"/>
        </w:rPr>
      </w:pPr>
    </w:p>
    <w:p w14:paraId="0DB18346" w14:textId="705B0EFB" w:rsidR="00564411" w:rsidRDefault="00ED67E2" w:rsidP="003252A1">
      <w:pPr>
        <w:pStyle w:val="Heading3"/>
        <w:spacing w:before="0" w:beforeAutospacing="0" w:after="0" w:afterAutospacing="0"/>
        <w:jc w:val="both"/>
        <w:rPr>
          <w:b w:val="0"/>
          <w:noProof/>
          <w:color w:val="222222"/>
          <w:sz w:val="24"/>
          <w:szCs w:val="24"/>
        </w:rPr>
      </w:pPr>
      <w:r>
        <w:rPr>
          <w:b w:val="0"/>
          <w:noProof/>
          <w:color w:val="222222"/>
          <w:sz w:val="24"/>
          <w:szCs w:val="24"/>
        </w:rPr>
        <w:t xml:space="preserve">Macao v roce 2021 nepřijalo žádné komplexní antidiskriminační právní předpisy ani nezřídilo nezávislou instituci pro lidská práva. </w:t>
      </w:r>
      <w:r>
        <w:rPr>
          <w:noProof/>
          <w:color w:val="222222"/>
          <w:sz w:val="24"/>
          <w:szCs w:val="24"/>
        </w:rPr>
        <w:t>Diskriminace na základě sexuální orientace a genderové identity nadále vzbuzovala</w:t>
      </w:r>
      <w:r>
        <w:rPr>
          <w:b w:val="0"/>
          <w:noProof/>
          <w:color w:val="222222"/>
          <w:sz w:val="24"/>
          <w:szCs w:val="24"/>
        </w:rPr>
        <w:t xml:space="preserve"> obavy, a to zejména v oblasti zaměstnání, vzdělávání a zdravotní péče. Orgány Macaa například opětovně upustily od ochrany osob stejného pohlaví žijících ve společné domácnosti podle právního rámce pro domácí násilí. Vláda se odvolávala na „nedostatek shody ve společnosti ohledně uznávání manželství osob stejného pohlaví a neslučitelnost se stávajícím právním systémem ZAO Macao“</w:t>
      </w:r>
      <w:r w:rsidR="00E038D7">
        <w:rPr>
          <w:rStyle w:val="FootnoteReference"/>
          <w:b w:val="0"/>
          <w:noProof/>
          <w:color w:val="222222"/>
          <w:sz w:val="24"/>
          <w:szCs w:val="24"/>
        </w:rPr>
        <w:footnoteReference w:id="9"/>
      </w:r>
      <w:r>
        <w:rPr>
          <w:b w:val="0"/>
          <w:noProof/>
          <w:color w:val="222222"/>
          <w:sz w:val="24"/>
          <w:szCs w:val="24"/>
        </w:rPr>
        <w:t xml:space="preserve">. </w:t>
      </w:r>
    </w:p>
    <w:p w14:paraId="6E05C787" w14:textId="77777777" w:rsidR="00564411" w:rsidRDefault="00564411" w:rsidP="003252A1">
      <w:pPr>
        <w:pStyle w:val="Heading3"/>
        <w:spacing w:before="0" w:beforeAutospacing="0" w:after="0" w:afterAutospacing="0"/>
        <w:jc w:val="both"/>
        <w:rPr>
          <w:b w:val="0"/>
          <w:noProof/>
          <w:color w:val="222222"/>
          <w:sz w:val="24"/>
          <w:szCs w:val="24"/>
        </w:rPr>
      </w:pPr>
    </w:p>
    <w:p w14:paraId="6EC48199" w14:textId="64D36C73" w:rsidR="00ED67E2" w:rsidRPr="005733FA" w:rsidRDefault="00ED67E2" w:rsidP="003252A1">
      <w:pPr>
        <w:pStyle w:val="Heading3"/>
        <w:spacing w:before="0" w:beforeAutospacing="0" w:after="0" w:afterAutospacing="0"/>
        <w:jc w:val="both"/>
        <w:rPr>
          <w:b w:val="0"/>
          <w:noProof/>
          <w:color w:val="222222"/>
          <w:sz w:val="24"/>
          <w:szCs w:val="24"/>
        </w:rPr>
      </w:pPr>
      <w:r>
        <w:rPr>
          <w:b w:val="0"/>
          <w:noProof/>
          <w:color w:val="222222"/>
          <w:sz w:val="24"/>
          <w:szCs w:val="24"/>
        </w:rPr>
        <w:t xml:space="preserve">Za účelem kontroly šíření onemocnění COVID-19 byli nepálští a vietnamští pracovníci, kteří v zemi nemají trvalý pobyt, podrobeni častým testům na přítomnost nukleových kyselin. Toto opatření vyvolalo obavy z rasové diskriminace.  </w:t>
      </w:r>
    </w:p>
    <w:p w14:paraId="03ACB8A8" w14:textId="77777777" w:rsidR="00735F5E" w:rsidRPr="005733FA" w:rsidRDefault="00735F5E" w:rsidP="003252A1">
      <w:pPr>
        <w:pStyle w:val="Heading3"/>
        <w:spacing w:before="0" w:beforeAutospacing="0" w:after="0" w:afterAutospacing="0"/>
        <w:jc w:val="both"/>
        <w:rPr>
          <w:b w:val="0"/>
          <w:noProof/>
          <w:color w:val="222222"/>
          <w:sz w:val="24"/>
          <w:szCs w:val="24"/>
        </w:rPr>
      </w:pPr>
    </w:p>
    <w:p w14:paraId="1434B211" w14:textId="6ADF7DA9" w:rsidR="00DD66CF" w:rsidRPr="00F65F65" w:rsidRDefault="00DD66CF" w:rsidP="003252A1">
      <w:pPr>
        <w:spacing w:line="240" w:lineRule="auto"/>
        <w:jc w:val="both"/>
        <w:rPr>
          <w:rFonts w:ascii="Times New Roman" w:eastAsiaTheme="minorEastAsia" w:hAnsi="Times New Roman" w:cs="Times New Roman"/>
          <w:noProof/>
          <w:sz w:val="24"/>
          <w:szCs w:val="24"/>
        </w:rPr>
      </w:pPr>
      <w:r>
        <w:rPr>
          <w:rFonts w:ascii="Times New Roman" w:hAnsi="Times New Roman"/>
          <w:noProof/>
          <w:sz w:val="24"/>
          <w:szCs w:val="24"/>
        </w:rPr>
        <w:t xml:space="preserve">Macao pokračovalo v úsilí o potírání </w:t>
      </w:r>
      <w:r>
        <w:rPr>
          <w:rFonts w:ascii="Times New Roman" w:hAnsi="Times New Roman"/>
          <w:b/>
          <w:bCs/>
          <w:noProof/>
          <w:sz w:val="24"/>
          <w:szCs w:val="24"/>
        </w:rPr>
        <w:t>korupce</w:t>
      </w:r>
      <w:r>
        <w:rPr>
          <w:rFonts w:ascii="Times New Roman" w:hAnsi="Times New Roman"/>
          <w:noProof/>
          <w:sz w:val="24"/>
          <w:szCs w:val="24"/>
        </w:rPr>
        <w:t>. V květnu 2021 zveřejnila Komise pro předcházení korupci svou výroční zprávu za rok 2020, v níž byla popsána její práce zaměřená na řešení korupce ve veřejném a soukromém sektoru. V průběhu roku 2020 obdržela Komise pro předcházení korupci 479 stížností a hlášení. 105 případů postoupila Protikorupčnímu úřadu k provedení následných opatření a 282 případů Úřadu veřejného ochránce práv k provedení šetření. Jeden z případů Úřadu veřejného ochránce práv byl poté podrobně prošetřen</w:t>
      </w:r>
      <w:r w:rsidR="00F65F65" w:rsidRPr="005733FA">
        <w:rPr>
          <w:rStyle w:val="FootnoteReference"/>
          <w:rFonts w:ascii="Times New Roman" w:hAnsi="Times New Roman" w:cs="Times New Roman"/>
          <w:noProof/>
          <w:sz w:val="24"/>
          <w:szCs w:val="24"/>
        </w:rPr>
        <w:footnoteReference w:id="10"/>
      </w:r>
      <w:r>
        <w:rPr>
          <w:rFonts w:ascii="Times New Roman" w:hAnsi="Times New Roman"/>
          <w:noProof/>
          <w:sz w:val="24"/>
          <w:szCs w:val="24"/>
        </w:rPr>
        <w:t xml:space="preserve">. </w:t>
      </w:r>
    </w:p>
    <w:p w14:paraId="449FF005" w14:textId="77777777" w:rsidR="00560746" w:rsidRPr="00263558" w:rsidRDefault="00560746" w:rsidP="003252A1">
      <w:pPr>
        <w:pStyle w:val="Default"/>
        <w:jc w:val="both"/>
        <w:rPr>
          <w:b/>
          <w:bCs/>
          <w:noProof/>
        </w:rPr>
      </w:pPr>
    </w:p>
    <w:p w14:paraId="46C7D259" w14:textId="321B94D9" w:rsidR="00280B21" w:rsidRPr="00263558" w:rsidRDefault="00280B21" w:rsidP="003252A1">
      <w:pPr>
        <w:pStyle w:val="Default"/>
        <w:jc w:val="both"/>
        <w:rPr>
          <w:b/>
          <w:bCs/>
          <w:noProof/>
          <w:u w:val="single"/>
        </w:rPr>
      </w:pPr>
      <w:r>
        <w:rPr>
          <w:b/>
          <w:bCs/>
          <w:noProof/>
          <w:u w:val="single"/>
        </w:rPr>
        <w:t xml:space="preserve">II. Hospodářský vývoj </w:t>
      </w:r>
    </w:p>
    <w:p w14:paraId="7ADD74B3" w14:textId="77777777" w:rsidR="00280B21" w:rsidRPr="00263558" w:rsidRDefault="00280B21" w:rsidP="003252A1">
      <w:pPr>
        <w:pStyle w:val="Default"/>
        <w:jc w:val="both"/>
        <w:rPr>
          <w:noProof/>
        </w:rPr>
      </w:pPr>
    </w:p>
    <w:p w14:paraId="1CD2E519" w14:textId="77777777" w:rsidR="00FF43AC" w:rsidRPr="00263558" w:rsidRDefault="00FF43AC" w:rsidP="003252A1">
      <w:pPr>
        <w:pStyle w:val="Default"/>
        <w:jc w:val="both"/>
        <w:rPr>
          <w:noProof/>
        </w:rPr>
      </w:pPr>
    </w:p>
    <w:p w14:paraId="61ABC37A" w14:textId="0E299BD8" w:rsidR="004336C4" w:rsidRPr="00263558" w:rsidRDefault="00280B21" w:rsidP="003252A1">
      <w:pPr>
        <w:pStyle w:val="Default"/>
        <w:jc w:val="both"/>
        <w:rPr>
          <w:noProof/>
        </w:rPr>
      </w:pPr>
      <w:r>
        <w:rPr>
          <w:b/>
          <w:bCs/>
          <w:noProof/>
        </w:rPr>
        <w:t>V prvních třech čtvrtletích roku 2021</w:t>
      </w:r>
      <w:r>
        <w:rPr>
          <w:noProof/>
        </w:rPr>
        <w:t xml:space="preserve"> se HDP Macaa meziročně zvýšil o 27,5 %</w:t>
      </w:r>
      <w:r w:rsidRPr="00263558">
        <w:rPr>
          <w:noProof/>
          <w:vertAlign w:val="superscript"/>
        </w:rPr>
        <w:footnoteReference w:id="11"/>
      </w:r>
      <w:r>
        <w:rPr>
          <w:noProof/>
        </w:rPr>
        <w:t xml:space="preserve"> na 177 miliard MOP (19,6 miliardy EUR)</w:t>
      </w:r>
      <w:r w:rsidR="00E65E0C" w:rsidRPr="00263558">
        <w:rPr>
          <w:noProof/>
          <w:vertAlign w:val="superscript"/>
        </w:rPr>
        <w:footnoteReference w:id="12"/>
      </w:r>
      <w:r>
        <w:rPr>
          <w:noProof/>
        </w:rPr>
        <w:t>. Stále však byl o 46,4 % nižší než v roce 2019, kdy činil 331 miliard MOP (36,5 miliardy EUR).</w:t>
      </w:r>
      <w:r>
        <w:rPr>
          <w:rFonts w:asciiTheme="minorHAnsi" w:hAnsiTheme="minorHAnsi"/>
          <w:b/>
          <w:noProof/>
          <w:color w:val="auto"/>
          <w:sz w:val="22"/>
          <w:szCs w:val="22"/>
        </w:rPr>
        <w:t xml:space="preserve"> </w:t>
      </w:r>
      <w:r>
        <w:rPr>
          <w:b/>
          <w:noProof/>
        </w:rPr>
        <w:t xml:space="preserve">To ukazuje, že hospodářství Macaa je stále silně ovlivněno pandemií COVID-19. </w:t>
      </w:r>
    </w:p>
    <w:p w14:paraId="1576FF88" w14:textId="77777777" w:rsidR="00643FEF" w:rsidRPr="00263558" w:rsidRDefault="00643FEF" w:rsidP="00076074">
      <w:pPr>
        <w:pStyle w:val="Default"/>
        <w:jc w:val="both"/>
        <w:rPr>
          <w:noProof/>
        </w:rPr>
      </w:pPr>
    </w:p>
    <w:p w14:paraId="1135C094" w14:textId="49A55568" w:rsidR="004336C4" w:rsidRPr="00263558" w:rsidRDefault="00C9235C" w:rsidP="00076074">
      <w:pPr>
        <w:pStyle w:val="Default"/>
        <w:jc w:val="both"/>
        <w:rPr>
          <w:noProof/>
        </w:rPr>
      </w:pPr>
      <w:r>
        <w:rPr>
          <w:noProof/>
        </w:rPr>
        <w:t>V říjnu MMF snížil svou prognózu růstu pro rok 2021 na 20,4 % z 61,2 % ohlášených v dubnu 2021</w:t>
      </w:r>
      <w:r w:rsidR="004336C4" w:rsidRPr="00263558">
        <w:rPr>
          <w:noProof/>
          <w:vertAlign w:val="superscript"/>
        </w:rPr>
        <w:footnoteReference w:id="13"/>
      </w:r>
      <w:r>
        <w:rPr>
          <w:noProof/>
        </w:rPr>
        <w:t xml:space="preserve">. V roce 2020 se HDP Macaa snížil o 54 % (poté, co se v roce 2019 snížil pouze o 2,5 %), což bylo způsobeno nedostatkem příjmů z cestovního ruchu v tomto největším středisku herního průmyslu na světě. </w:t>
      </w:r>
    </w:p>
    <w:p w14:paraId="56299BC5" w14:textId="77777777" w:rsidR="004336C4" w:rsidRPr="00263558" w:rsidRDefault="004336C4" w:rsidP="003252A1">
      <w:pPr>
        <w:pStyle w:val="Default"/>
        <w:jc w:val="both"/>
        <w:rPr>
          <w:noProof/>
        </w:rPr>
      </w:pPr>
    </w:p>
    <w:p w14:paraId="1549C2A4" w14:textId="680DB414" w:rsidR="00A614AD" w:rsidRDefault="00280B21" w:rsidP="003252A1">
      <w:pPr>
        <w:pStyle w:val="Default"/>
        <w:jc w:val="both"/>
        <w:rPr>
          <w:noProof/>
        </w:rPr>
      </w:pPr>
      <w:r>
        <w:rPr>
          <w:noProof/>
        </w:rPr>
        <w:t xml:space="preserve">Ekonomické problémy Macaa byly způsobeny </w:t>
      </w:r>
      <w:r>
        <w:rPr>
          <w:b/>
          <w:bCs/>
          <w:noProof/>
        </w:rPr>
        <w:t>poklesem počtu turistů v důsledku cestovních omezení</w:t>
      </w:r>
      <w:r>
        <w:rPr>
          <w:noProof/>
        </w:rPr>
        <w:t xml:space="preserve"> jak v Macau, tak v pevninské Číně. Čína je hlavním turistickým trhem Macaa a před pandemií tvořila 70 % jeho návštěvníků. Navzdory meziročnímu oživení o 32,2 % přijelo v prvních deseti měsících roku 2021 do ZAO pouze 6,1 milionu návštěvníků, což je méně než 20 % počtu návštěvníků za stejné období roku 2019 (33,4 milionu). </w:t>
      </w:r>
    </w:p>
    <w:p w14:paraId="49BCBA89" w14:textId="77777777" w:rsidR="00A614AD" w:rsidRDefault="00A614AD" w:rsidP="003252A1">
      <w:pPr>
        <w:pStyle w:val="Default"/>
        <w:jc w:val="both"/>
        <w:rPr>
          <w:noProof/>
        </w:rPr>
      </w:pPr>
    </w:p>
    <w:p w14:paraId="684CF302" w14:textId="1B76A3E3" w:rsidR="00280B21" w:rsidRPr="00263558" w:rsidRDefault="00A614AD" w:rsidP="003252A1">
      <w:pPr>
        <w:pStyle w:val="Default"/>
        <w:jc w:val="both"/>
        <w:rPr>
          <w:noProof/>
        </w:rPr>
      </w:pPr>
      <w:r>
        <w:rPr>
          <w:noProof/>
        </w:rPr>
        <w:t>Vývoz herních služeb</w:t>
      </w:r>
      <w:r w:rsidR="00280B21" w:rsidRPr="00263558">
        <w:rPr>
          <w:noProof/>
          <w:vertAlign w:val="superscript"/>
        </w:rPr>
        <w:footnoteReference w:id="14"/>
      </w:r>
      <w:r>
        <w:rPr>
          <w:noProof/>
        </w:rPr>
        <w:t xml:space="preserve"> obvykle představuje přibližně polovinu HDP Macaa. Vzhledem k nízkému počtu turistů však tento vývoz dosáhl v prvních třech čtvrtletích roku 2021 pouze 53,8 miliardy MOP (5,9 miliardy EUR), což je třetina jeho hodnoty za stejné období roku 2019 (179 miliard MOP / 19,7 miliardy EUR). Velmi nízká základna v roce 2020 (30 miliard MOP / 3,3 miliardy EUR) znamenala, že i 79,4% meziroční nárůst herních služeb v prvních třech čtvrtletích roku 2021 byl stále daleko od úrovně před pandemií. Průměrná míra obsazenosti hotelů činila 50 % (v prvních devíti měsících roku 2021) ve srovnání s 22 % v roce 2020 a 91 % v roce 2019 (za stejné období). </w:t>
      </w:r>
    </w:p>
    <w:p w14:paraId="6B137A60" w14:textId="77777777" w:rsidR="00280B21" w:rsidRPr="00263558" w:rsidRDefault="00280B21" w:rsidP="003252A1">
      <w:pPr>
        <w:pStyle w:val="Default"/>
        <w:jc w:val="both"/>
        <w:rPr>
          <w:noProof/>
        </w:rPr>
      </w:pPr>
    </w:p>
    <w:p w14:paraId="654AAF3B" w14:textId="744236C5" w:rsidR="00280B21" w:rsidRPr="00263558" w:rsidRDefault="00280B21" w:rsidP="003252A1">
      <w:pPr>
        <w:pStyle w:val="Default"/>
        <w:jc w:val="both"/>
        <w:rPr>
          <w:noProof/>
        </w:rPr>
      </w:pPr>
      <w:r>
        <w:rPr>
          <w:b/>
          <w:bCs/>
          <w:noProof/>
        </w:rPr>
        <w:t>Trh práce se držel dobře</w:t>
      </w:r>
      <w:r>
        <w:rPr>
          <w:noProof/>
        </w:rPr>
        <w:t xml:space="preserve"> a v září 2021 činila míra nezaměstnanosti 2,9 % (více než 11 000 osob) ve srovnání s 1,7 % před pandemií. Nezaměstnanost mladých lidí (do 25 let) činila v září 2021 11,2 %. </w:t>
      </w:r>
    </w:p>
    <w:p w14:paraId="7D315C19" w14:textId="77777777" w:rsidR="00280B21" w:rsidRPr="00263558" w:rsidRDefault="00280B21" w:rsidP="003252A1">
      <w:pPr>
        <w:pStyle w:val="Default"/>
        <w:jc w:val="both"/>
        <w:rPr>
          <w:noProof/>
        </w:rPr>
      </w:pPr>
    </w:p>
    <w:p w14:paraId="69A719F9" w14:textId="0EDF3FE6" w:rsidR="00280B21" w:rsidRPr="00263558" w:rsidRDefault="007E3A27" w:rsidP="003252A1">
      <w:pPr>
        <w:pStyle w:val="Default"/>
        <w:jc w:val="both"/>
        <w:rPr>
          <w:noProof/>
        </w:rPr>
      </w:pPr>
      <w:r>
        <w:rPr>
          <w:b/>
          <w:noProof/>
        </w:rPr>
        <w:t>V roce 2021 zaznamenalo Macao deflaci</w:t>
      </w:r>
      <w:r>
        <w:rPr>
          <w:noProof/>
        </w:rPr>
        <w:t xml:space="preserve"> a</w:t>
      </w:r>
      <w:r>
        <w:rPr>
          <w:b/>
          <w:noProof/>
        </w:rPr>
        <w:t xml:space="preserve"> </w:t>
      </w:r>
      <w:r>
        <w:rPr>
          <w:noProof/>
        </w:rPr>
        <w:t xml:space="preserve">průměrný složený index spotřebitelských cen se za prvních deset měsíců meziročně snížil o 0,19 %. </w:t>
      </w:r>
    </w:p>
    <w:p w14:paraId="4A9C5F11" w14:textId="77777777" w:rsidR="00280B21" w:rsidRPr="00263558" w:rsidRDefault="00280B21" w:rsidP="003252A1">
      <w:pPr>
        <w:pStyle w:val="Default"/>
        <w:jc w:val="both"/>
        <w:rPr>
          <w:noProof/>
        </w:rPr>
      </w:pPr>
    </w:p>
    <w:p w14:paraId="6BF7E172" w14:textId="4ECA772F" w:rsidR="00280B21" w:rsidRPr="00263558" w:rsidRDefault="00280B21" w:rsidP="003252A1">
      <w:pPr>
        <w:pStyle w:val="Default"/>
        <w:jc w:val="both"/>
        <w:rPr>
          <w:noProof/>
        </w:rPr>
      </w:pPr>
      <w:r>
        <w:rPr>
          <w:noProof/>
        </w:rPr>
        <w:t xml:space="preserve">Snížená úroveň hospodářské činnosti a podpůrná daňová opatření zavedená vládou vedla k </w:t>
      </w:r>
      <w:r>
        <w:rPr>
          <w:b/>
          <w:bCs/>
          <w:noProof/>
        </w:rPr>
        <w:t>nižším daňovým příjmům</w:t>
      </w:r>
      <w:r>
        <w:rPr>
          <w:noProof/>
        </w:rPr>
        <w:t>, včetně příjmů z daně z hazardních her. Vláda musela na financování výdajů čerpat z fiskálních rezerv ZAO. Rezervy však zůstaly vysoké (657 miliard MOP / 72,5 miliardy EUR k červnu 2021) a postačují k pokrytí odhadovaných šesti let veřejných výdajů na úrovni rozpočtu na rok 2021.</w:t>
      </w:r>
    </w:p>
    <w:p w14:paraId="1F90BD30" w14:textId="77777777" w:rsidR="00280B21" w:rsidRPr="00263558" w:rsidRDefault="00280B21" w:rsidP="003252A1">
      <w:pPr>
        <w:pStyle w:val="Default"/>
        <w:jc w:val="both"/>
        <w:rPr>
          <w:b/>
          <w:noProof/>
        </w:rPr>
      </w:pPr>
    </w:p>
    <w:p w14:paraId="0EB6AE23" w14:textId="75BF9A95" w:rsidR="00280B21" w:rsidRPr="00263558" w:rsidRDefault="00280B21" w:rsidP="003252A1">
      <w:pPr>
        <w:pStyle w:val="Default"/>
        <w:jc w:val="both"/>
        <w:rPr>
          <w:noProof/>
        </w:rPr>
      </w:pPr>
      <w:r>
        <w:rPr>
          <w:b/>
          <w:bCs/>
          <w:noProof/>
        </w:rPr>
        <w:t>Omezení cestování</w:t>
      </w:r>
      <w:r>
        <w:rPr>
          <w:noProof/>
        </w:rPr>
        <w:t xml:space="preserve"> ze země i do země v roce 2021 představovala pro společnosti značné provozní výzvy. Většině cizinců byl vstup do země zakázán, zatímco obyvatelé Macaa přijíždějící z oblastí mimo pevninskou Čínu museli podstupovat dlouhou karanténu. </w:t>
      </w:r>
    </w:p>
    <w:p w14:paraId="11432413" w14:textId="77777777" w:rsidR="00280B21" w:rsidRPr="00263558" w:rsidRDefault="00280B21" w:rsidP="003252A1">
      <w:pPr>
        <w:pStyle w:val="Default"/>
        <w:jc w:val="both"/>
        <w:rPr>
          <w:noProof/>
        </w:rPr>
      </w:pPr>
    </w:p>
    <w:p w14:paraId="57CB9896" w14:textId="4E07AD7F" w:rsidR="00280B21" w:rsidRPr="00263558" w:rsidRDefault="00280B21" w:rsidP="003252A1">
      <w:pPr>
        <w:pStyle w:val="Default"/>
        <w:jc w:val="both"/>
        <w:rPr>
          <w:noProof/>
        </w:rPr>
      </w:pPr>
      <w:r>
        <w:rPr>
          <w:noProof/>
        </w:rPr>
        <w:t xml:space="preserve">V roce 2020 činil objem zahraničních investic v Macau 300 miliard MOP (33 miliard EUR) oproti 351 miliardám MOP (39 miliard EUR) v roce 2019, přičemž 28 % pocházelo z Hongkongu a 20 % z pevninské Číny. </w:t>
      </w:r>
    </w:p>
    <w:p w14:paraId="38A9885C" w14:textId="77777777" w:rsidR="000442C9" w:rsidRPr="00263558" w:rsidRDefault="000442C9" w:rsidP="003252A1">
      <w:pPr>
        <w:pStyle w:val="Default"/>
        <w:jc w:val="both"/>
        <w:rPr>
          <w:noProof/>
        </w:rPr>
      </w:pPr>
    </w:p>
    <w:p w14:paraId="5AE11167" w14:textId="77777777" w:rsidR="00280B21" w:rsidRPr="00263558" w:rsidRDefault="00280B21" w:rsidP="003252A1">
      <w:pPr>
        <w:pStyle w:val="Default"/>
        <w:jc w:val="both"/>
        <w:rPr>
          <w:noProof/>
        </w:rPr>
      </w:pPr>
      <w:r>
        <w:rPr>
          <w:b/>
          <w:noProof/>
        </w:rPr>
        <w:t>Hospodářská politika</w:t>
      </w:r>
    </w:p>
    <w:p w14:paraId="07659069" w14:textId="77777777" w:rsidR="00280B21" w:rsidRPr="00263558" w:rsidRDefault="00280B21" w:rsidP="003252A1">
      <w:pPr>
        <w:pStyle w:val="Default"/>
        <w:jc w:val="both"/>
        <w:rPr>
          <w:noProof/>
        </w:rPr>
      </w:pPr>
    </w:p>
    <w:p w14:paraId="5E61C683" w14:textId="0CD3BA67" w:rsidR="001B0999" w:rsidRPr="00263558" w:rsidRDefault="0097725E" w:rsidP="001B0999">
      <w:pPr>
        <w:pStyle w:val="Default"/>
        <w:jc w:val="both"/>
        <w:rPr>
          <w:noProof/>
        </w:rPr>
      </w:pPr>
      <w:r>
        <w:rPr>
          <w:noProof/>
        </w:rPr>
        <w:t xml:space="preserve">Dne 16. listopadu 2021 </w:t>
      </w:r>
      <w:r>
        <w:rPr>
          <w:b/>
          <w:bCs/>
          <w:noProof/>
        </w:rPr>
        <w:t>přednesl předseda vlády programový projev na rok 2022</w:t>
      </w:r>
      <w:r>
        <w:rPr>
          <w:noProof/>
        </w:rPr>
        <w:t xml:space="preserve">. Součástí hospodářských strategií bylo zvládnutí pandemie, podpora oživení, snaha o hospodářskou diverzifikaci a podpora inovací a technologií. Klíčovým tématem bylo rovněž posílení integrace s pevninou. Vláda plánovala pokračovat ve správních reformách a zlepšit rozvoj měst realizací dopravních a jiných infrastrukturních projektů, včetně rozšíření letiště.  </w:t>
      </w:r>
    </w:p>
    <w:p w14:paraId="68097C89" w14:textId="77777777" w:rsidR="001B0999" w:rsidRPr="00263558" w:rsidRDefault="001B0999" w:rsidP="003252A1">
      <w:pPr>
        <w:pStyle w:val="Default"/>
        <w:jc w:val="both"/>
        <w:rPr>
          <w:b/>
          <w:noProof/>
        </w:rPr>
      </w:pPr>
    </w:p>
    <w:p w14:paraId="4EFB71A7" w14:textId="6DB31750" w:rsidR="00280B21" w:rsidRPr="00263558" w:rsidRDefault="00280B21" w:rsidP="003252A1">
      <w:pPr>
        <w:pStyle w:val="Default"/>
        <w:jc w:val="both"/>
        <w:rPr>
          <w:noProof/>
        </w:rPr>
      </w:pPr>
      <w:r>
        <w:rPr>
          <w:b/>
          <w:bCs/>
          <w:noProof/>
        </w:rPr>
        <w:t>Boj proti pandemii a podpora hospodářství zůstaly</w:t>
      </w:r>
      <w:r>
        <w:rPr>
          <w:noProof/>
        </w:rPr>
        <w:t xml:space="preserve"> v roce 2021 </w:t>
      </w:r>
      <w:r>
        <w:rPr>
          <w:b/>
          <w:bCs/>
          <w:noProof/>
        </w:rPr>
        <w:t>klíčovými prioritami vlády</w:t>
      </w:r>
      <w:r>
        <w:rPr>
          <w:noProof/>
        </w:rPr>
        <w:t xml:space="preserve">. Vláda dokončila několik kol hromadného celoplošného testování, přičemž zachovala přísné hraniční kontroly a podpořila očkování (do konce října bylo očkováno přibližně 52 % populace). </w:t>
      </w:r>
    </w:p>
    <w:p w14:paraId="1F44045D" w14:textId="77777777" w:rsidR="00280B21" w:rsidRPr="00263558" w:rsidRDefault="00280B21" w:rsidP="003252A1">
      <w:pPr>
        <w:pStyle w:val="Default"/>
        <w:jc w:val="both"/>
        <w:rPr>
          <w:noProof/>
        </w:rPr>
      </w:pPr>
    </w:p>
    <w:p w14:paraId="0F681E75" w14:textId="47A9093E" w:rsidR="00036D85" w:rsidRPr="00263558" w:rsidRDefault="00D61E2B" w:rsidP="003252A1">
      <w:pPr>
        <w:pStyle w:val="Default"/>
        <w:jc w:val="both"/>
        <w:rPr>
          <w:noProof/>
        </w:rPr>
      </w:pPr>
      <w:r>
        <w:rPr>
          <w:noProof/>
        </w:rPr>
        <w:t xml:space="preserve">Vláda zavedla několik ekonomických opatření, včetně snížení daní a různých úlev pro osoby a společnosti, úlev na pronájmu a dotovaného programu odborné přípravy. Obyvatelé těžili z programu účasti na bohatství (10 000 MOP / 1 100 EUR pro osoby s trvalým pobytem a 6 000 MOP / 660 EUR pro osoby bez trvalého pobytu). Výhody přinesl také plán elektronické spotřeby na podporu digitálních ambicí Macaa. Obyvatelé obdrželi 8 000 MOP / 880 EUR na útratu prostřednictvím mobilních platebních platforem nebo elektronických poukázek. Vláda oznámila, že díky tomuto plánu bylo na spotřebitelský trh Macaa (ke konci října 2021) vloženo 4,6 miliardy MOP (508 milionů EUR). Rovněž byly zahájeny iniciativy na podporu odvětví cestovního ruchu (např. akce „Stay, Dine and See Macao“ a „Macao Week“ pořádané ve městech pevninské Číny). </w:t>
      </w:r>
    </w:p>
    <w:p w14:paraId="28652A99" w14:textId="77777777" w:rsidR="00036D85" w:rsidRPr="00263558" w:rsidRDefault="00036D85" w:rsidP="003252A1">
      <w:pPr>
        <w:pStyle w:val="Default"/>
        <w:jc w:val="both"/>
        <w:rPr>
          <w:noProof/>
        </w:rPr>
      </w:pPr>
    </w:p>
    <w:p w14:paraId="4C1FFCFC" w14:textId="58AD47BD" w:rsidR="00280B21" w:rsidRPr="00263558" w:rsidRDefault="006864DF" w:rsidP="003252A1">
      <w:pPr>
        <w:pStyle w:val="Default"/>
        <w:jc w:val="both"/>
        <w:rPr>
          <w:noProof/>
        </w:rPr>
      </w:pPr>
      <w:r>
        <w:rPr>
          <w:noProof/>
        </w:rPr>
        <w:t xml:space="preserve">Vláda oznámila, že urychlí výstavbu infrastruktury. Mezi projekty patří čtvrtá přístavní trasa Macao – Taipa spojující severní a jižní Macao, rozšíření systému lehké rychlodráhy a mezinárodního letiště Macao, nový zdravotnický komplex a projekty bydlení. Vláda rovněž oznámila, že v roce 2022 by měl být zahájen nový územní plán Macaa (2020–2040). </w:t>
      </w:r>
    </w:p>
    <w:p w14:paraId="02391B61" w14:textId="77777777" w:rsidR="0016647D" w:rsidRPr="00263558" w:rsidRDefault="0016647D" w:rsidP="003252A1">
      <w:pPr>
        <w:pStyle w:val="Default"/>
        <w:jc w:val="both"/>
        <w:rPr>
          <w:noProof/>
        </w:rPr>
      </w:pPr>
    </w:p>
    <w:p w14:paraId="63DC04D2" w14:textId="47429A3F" w:rsidR="00280B21" w:rsidRPr="00263558" w:rsidRDefault="00280B21" w:rsidP="003252A1">
      <w:pPr>
        <w:pStyle w:val="Default"/>
        <w:jc w:val="both"/>
        <w:rPr>
          <w:noProof/>
        </w:rPr>
      </w:pPr>
      <w:r>
        <w:rPr>
          <w:noProof/>
        </w:rPr>
        <w:t xml:space="preserve">Ve druhé polovině roku 2021 </w:t>
      </w:r>
      <w:r>
        <w:rPr>
          <w:b/>
          <w:bCs/>
          <w:noProof/>
        </w:rPr>
        <w:t>uskutečnila vláda veřejnou konzultaci k macajskému zákonu o hazardních hrách</w:t>
      </w:r>
      <w:r>
        <w:rPr>
          <w:noProof/>
        </w:rPr>
        <w:t xml:space="preserve"> s cílem reformovat systém koncesí na hazardní hry a systém udělování dílčích koncesí. Návrh obsahoval přísnější pravidla pro koncesionáře elektronických her a další provozovatele. Tato pravidla by mohla zahrnovat jmenování vládních zástupců pro provoz kasin, omezení dividend pro akcionáře a zpřísnění sankcí za porušení pravidel. Zvýšený dohled by mohl omezit kontrolu zahraničních akcionářů nad odvětvím. Když byla v září konzultace oznámena, ceny akcií provozovatelů hazardních her kotovaných na burze v Macau klesly. Přezkum byl zahájen vzhledem k tomu, že </w:t>
      </w:r>
      <w:r>
        <w:rPr>
          <w:b/>
          <w:bCs/>
          <w:noProof/>
        </w:rPr>
        <w:t>v červnu 2022 končí platnost tří koncesí na provozování hazardních her a tří dílčích koncesí v Macau</w:t>
      </w:r>
      <w:r>
        <w:rPr>
          <w:noProof/>
        </w:rPr>
        <w:t xml:space="preserve">, avšak vláda je může prodloužit, zejména pokud do té doby nebude dokončena revize zákona o hazardních hrách. </w:t>
      </w:r>
    </w:p>
    <w:p w14:paraId="0AB1C90E" w14:textId="77777777" w:rsidR="00280B21" w:rsidRPr="00263558" w:rsidRDefault="00280B21" w:rsidP="003252A1">
      <w:pPr>
        <w:pStyle w:val="Default"/>
        <w:jc w:val="both"/>
        <w:rPr>
          <w:noProof/>
        </w:rPr>
      </w:pPr>
    </w:p>
    <w:p w14:paraId="617AE39E" w14:textId="72FAB9EF" w:rsidR="00280B21" w:rsidRPr="00263558" w:rsidRDefault="00280B21" w:rsidP="003252A1">
      <w:pPr>
        <w:pStyle w:val="Default"/>
        <w:jc w:val="both"/>
        <w:rPr>
          <w:noProof/>
        </w:rPr>
      </w:pPr>
      <w:r>
        <w:rPr>
          <w:noProof/>
        </w:rPr>
        <w:t xml:space="preserve">Strategie </w:t>
      </w:r>
      <w:r>
        <w:rPr>
          <w:b/>
          <w:bCs/>
          <w:noProof/>
        </w:rPr>
        <w:t>hospodářské diverzifikace</w:t>
      </w:r>
      <w:r>
        <w:rPr>
          <w:noProof/>
        </w:rPr>
        <w:t xml:space="preserve"> se zaměřila na další rozvoj průmyslových odvětví, jako jsou cestovní ruch, který není spojen s hazardními hrami, odvětví pořádání konferencí a výstav, zdravotnictví (včetně tradiční čínské medicíny), finanční služby a věda a technologie. Strategie bude rovněž podporovat malé a střední podniky. Navzdory určitému pokroku v minulých letech představovalo odvětví hazardních her stále přibližně polovinu HDP Macaa (před pandemií COVID-19) a další průmyslová odvětví jsou silně závislá na výdajích pevninské Číny. </w:t>
      </w:r>
    </w:p>
    <w:p w14:paraId="427B13D1" w14:textId="77777777" w:rsidR="00280B21" w:rsidRPr="00263558" w:rsidRDefault="00280B21" w:rsidP="003252A1">
      <w:pPr>
        <w:pStyle w:val="Default"/>
        <w:jc w:val="both"/>
        <w:rPr>
          <w:noProof/>
        </w:rPr>
      </w:pPr>
    </w:p>
    <w:p w14:paraId="06B41697" w14:textId="69A4638C" w:rsidR="00280B21" w:rsidRPr="00263558" w:rsidRDefault="000517B2" w:rsidP="003252A1">
      <w:pPr>
        <w:pStyle w:val="Default"/>
        <w:jc w:val="both"/>
        <w:rPr>
          <w:noProof/>
        </w:rPr>
      </w:pPr>
      <w:r>
        <w:rPr>
          <w:noProof/>
        </w:rPr>
        <w:t xml:space="preserve">Pokud jde o </w:t>
      </w:r>
      <w:r>
        <w:rPr>
          <w:b/>
          <w:bCs/>
          <w:noProof/>
        </w:rPr>
        <w:t>finanční služby</w:t>
      </w:r>
      <w:r>
        <w:rPr>
          <w:noProof/>
        </w:rPr>
        <w:t xml:space="preserve">, orgány usilovaly o rozvoj místního dluhopisového trhu (včetně zelených dluhopisů), správy majetku a činností finančního leasingu, investičního bankovnictví a přeshraničních vypořádání v měně renminbi. Za tímto účelem vláda oznámila, že bude pracovat na přeformulování právního rámce místního finančního systému a na rozvoji infrastruktury finančního trhu v Macau. To by zahrnovalo reformu právních předpisů týkajících se vydávání dluhopisů a obchodování s nimi a činností v oblasti správy majetku, zřízení centrálního systému úschovy cenných papírů, zavedení licencí pro investiční banky a podpory digitálních měn (případně centralizovaného digitálního jüanu, který by se používal v Macau). </w:t>
      </w:r>
    </w:p>
    <w:p w14:paraId="45D35448" w14:textId="77777777" w:rsidR="00280B21" w:rsidRPr="00263558" w:rsidRDefault="00280B21" w:rsidP="003252A1">
      <w:pPr>
        <w:pStyle w:val="Default"/>
        <w:jc w:val="both"/>
        <w:rPr>
          <w:noProof/>
        </w:rPr>
      </w:pPr>
    </w:p>
    <w:p w14:paraId="57551530" w14:textId="6B0D9498" w:rsidR="00280B21" w:rsidRPr="00263558" w:rsidRDefault="009A17B6" w:rsidP="003252A1">
      <w:pPr>
        <w:pStyle w:val="Default"/>
        <w:jc w:val="both"/>
        <w:rPr>
          <w:noProof/>
        </w:rPr>
      </w:pPr>
      <w:r>
        <w:rPr>
          <w:noProof/>
        </w:rPr>
        <w:t xml:space="preserve">Programový projev nastínil opatření pro </w:t>
      </w:r>
      <w:r>
        <w:rPr>
          <w:b/>
          <w:bCs/>
          <w:noProof/>
        </w:rPr>
        <w:t>oběhové hospodářství a politiku v oblasti klimatu</w:t>
      </w:r>
      <w:r>
        <w:rPr>
          <w:noProof/>
        </w:rPr>
        <w:t xml:space="preserve">, včetně snížení emisí ze silniční dopravy a emisí uhlíku postupným vyřazováním znečišťujících vozidel, podporou elektromobilů a zřízením většího počtu dobíjecích zařízení na veřejných parkovištích. Dovoz nerozložitelných jednorázových plastových brček a míchátek bude zakázán a budou přijata opatření k řešení pobřežních odpadních vod a znečištění. Macao rovněž oznámilo plán na vybudování střediska pro recyklaci organického odpadu, jehož výstavba by měla být zahájena v roce 2022. </w:t>
      </w:r>
    </w:p>
    <w:p w14:paraId="52ECD183" w14:textId="707DF800" w:rsidR="00BF10EB" w:rsidRDefault="00BF10EB" w:rsidP="003252A1">
      <w:pPr>
        <w:pStyle w:val="Default"/>
        <w:jc w:val="both"/>
        <w:rPr>
          <w:b/>
          <w:bCs/>
          <w:noProof/>
        </w:rPr>
      </w:pPr>
    </w:p>
    <w:p w14:paraId="47C9D411" w14:textId="77777777" w:rsidR="00BF10EB" w:rsidRPr="00263558" w:rsidRDefault="00BF10EB" w:rsidP="003252A1">
      <w:pPr>
        <w:pStyle w:val="Default"/>
        <w:jc w:val="both"/>
        <w:rPr>
          <w:b/>
          <w:bCs/>
          <w:noProof/>
        </w:rPr>
      </w:pPr>
    </w:p>
    <w:p w14:paraId="796F6487" w14:textId="77777777" w:rsidR="00394637" w:rsidRPr="00263558" w:rsidRDefault="00394637" w:rsidP="003252A1">
      <w:pPr>
        <w:pStyle w:val="Default"/>
        <w:jc w:val="both"/>
        <w:rPr>
          <w:b/>
          <w:bCs/>
          <w:noProof/>
        </w:rPr>
      </w:pPr>
      <w:r>
        <w:rPr>
          <w:b/>
          <w:bCs/>
          <w:noProof/>
        </w:rPr>
        <w:t xml:space="preserve">Regionální spolupráce </w:t>
      </w:r>
    </w:p>
    <w:p w14:paraId="417098D6" w14:textId="77777777" w:rsidR="00394637" w:rsidRPr="00263558" w:rsidRDefault="00394637" w:rsidP="003252A1">
      <w:pPr>
        <w:pStyle w:val="Default"/>
        <w:jc w:val="both"/>
        <w:rPr>
          <w:noProof/>
        </w:rPr>
      </w:pPr>
    </w:p>
    <w:p w14:paraId="17A42515" w14:textId="0C7323CF" w:rsidR="00394637" w:rsidRPr="00263558" w:rsidRDefault="00394637" w:rsidP="003252A1">
      <w:pPr>
        <w:pStyle w:val="Default"/>
        <w:jc w:val="both"/>
        <w:rPr>
          <w:noProof/>
        </w:rPr>
      </w:pPr>
      <w:r>
        <w:rPr>
          <w:noProof/>
        </w:rPr>
        <w:t>Pro macajskou vládu zůstala i nadále klíčovou prioritou integrace s pevninskou Čínou v rámci „širšího okolí zálivu“ Kuang-tung – Hongkong – Macao.</w:t>
      </w:r>
      <w:r>
        <w:rPr>
          <w:b/>
          <w:bCs/>
          <w:noProof/>
        </w:rPr>
        <w:t xml:space="preserve"> </w:t>
      </w:r>
      <w:r>
        <w:rPr>
          <w:noProof/>
        </w:rPr>
        <w:t xml:space="preserve">Cílem Macaa v rámci „širšího okolí zálivu“ bylo upevnit své postavení střediska cestovního ruchu a volného času a platformy pro obchodní a finanční služby, zejména mezi Čínou a portugalsky mluvícími zeměmi. </w:t>
      </w:r>
    </w:p>
    <w:p w14:paraId="0F2F5A38" w14:textId="77777777" w:rsidR="003F7CC0" w:rsidRPr="00263558" w:rsidRDefault="003F7CC0" w:rsidP="003252A1">
      <w:pPr>
        <w:pStyle w:val="Default"/>
        <w:jc w:val="both"/>
        <w:rPr>
          <w:noProof/>
        </w:rPr>
      </w:pPr>
    </w:p>
    <w:p w14:paraId="26A4C3AD" w14:textId="5FA2171D" w:rsidR="003F7CC0" w:rsidRPr="00263558" w:rsidRDefault="003F7CC0" w:rsidP="003252A1">
      <w:pPr>
        <w:autoSpaceDE w:val="0"/>
        <w:autoSpaceDN w:val="0"/>
        <w:adjustRightInd w:val="0"/>
        <w:spacing w:after="0" w:line="240" w:lineRule="auto"/>
        <w:jc w:val="both"/>
        <w:rPr>
          <w:rFonts w:ascii="Times New Roman" w:eastAsia="PMingLiU" w:hAnsi="Times New Roman" w:cs="Times New Roman"/>
          <w:noProof/>
          <w:color w:val="000000"/>
          <w:sz w:val="24"/>
          <w:szCs w:val="24"/>
        </w:rPr>
      </w:pPr>
      <w:r>
        <w:rPr>
          <w:rFonts w:ascii="Times New Roman" w:hAnsi="Times New Roman"/>
          <w:noProof/>
          <w:sz w:val="24"/>
          <w:szCs w:val="24"/>
        </w:rPr>
        <w:t>V květnu 2021 Macao zřídilo pracovní výbor pro integraci do národního rozvoje s cílem koordinovat strategii ZAO pro účast na iniciativách „širšího okolí zálivu“ a „Jedno pásmo, jedna cesta“</w:t>
      </w:r>
      <w:r w:rsidR="00F65F65">
        <w:rPr>
          <w:rStyle w:val="FootnoteReference"/>
          <w:rFonts w:ascii="Times New Roman" w:eastAsia="PMingLiU" w:hAnsi="Times New Roman" w:cs="Times New Roman"/>
          <w:noProof/>
          <w:color w:val="000000"/>
          <w:sz w:val="24"/>
          <w:szCs w:val="24"/>
        </w:rPr>
        <w:footnoteReference w:id="15"/>
      </w:r>
      <w:r>
        <w:rPr>
          <w:rFonts w:ascii="Times New Roman" w:hAnsi="Times New Roman"/>
          <w:noProof/>
          <w:sz w:val="24"/>
          <w:szCs w:val="24"/>
        </w:rPr>
        <w:t>.</w:t>
      </w:r>
      <w:r>
        <w:rPr>
          <w:rFonts w:ascii="Times New Roman" w:hAnsi="Times New Roman"/>
          <w:noProof/>
          <w:color w:val="000000"/>
          <w:sz w:val="24"/>
          <w:szCs w:val="24"/>
        </w:rPr>
        <w:t xml:space="preserve"> V září 2021 byl zahájen provoz nového hraničního přechodu Čching-mao, který má zvýšit kapacitu přeshraničního cestování mezi Macaem a provincií Kuang-tung.</w:t>
      </w:r>
    </w:p>
    <w:p w14:paraId="19F39991" w14:textId="77777777" w:rsidR="003F7CC0" w:rsidRPr="00263558" w:rsidRDefault="003F7CC0" w:rsidP="003252A1">
      <w:pPr>
        <w:autoSpaceDE w:val="0"/>
        <w:autoSpaceDN w:val="0"/>
        <w:adjustRightInd w:val="0"/>
        <w:spacing w:after="0" w:line="240" w:lineRule="auto"/>
        <w:jc w:val="both"/>
        <w:rPr>
          <w:rFonts w:ascii="Times New Roman" w:eastAsia="PMingLiU" w:hAnsi="Times New Roman" w:cs="Times New Roman"/>
          <w:noProof/>
          <w:color w:val="000000"/>
          <w:sz w:val="24"/>
          <w:szCs w:val="24"/>
          <w:lang w:eastAsia="en-GB"/>
        </w:rPr>
      </w:pPr>
    </w:p>
    <w:p w14:paraId="315721B9" w14:textId="2B2CA258" w:rsidR="003F7CC0" w:rsidRPr="00263558" w:rsidRDefault="003F7CC0" w:rsidP="003252A1">
      <w:pPr>
        <w:autoSpaceDE w:val="0"/>
        <w:autoSpaceDN w:val="0"/>
        <w:adjustRightInd w:val="0"/>
        <w:spacing w:after="0" w:line="240" w:lineRule="auto"/>
        <w:jc w:val="both"/>
        <w:rPr>
          <w:rFonts w:ascii="Times New Roman" w:eastAsia="PMingLiU" w:hAnsi="Times New Roman" w:cs="Times New Roman"/>
          <w:noProof/>
          <w:color w:val="000000"/>
          <w:sz w:val="24"/>
          <w:szCs w:val="24"/>
        </w:rPr>
      </w:pPr>
      <w:r>
        <w:rPr>
          <w:rFonts w:ascii="Times New Roman" w:hAnsi="Times New Roman"/>
          <w:noProof/>
          <w:color w:val="000000"/>
          <w:sz w:val="24"/>
          <w:szCs w:val="24"/>
        </w:rPr>
        <w:t>V druhé polovině roku 2021 byla zahájena iniciativa „</w:t>
      </w:r>
      <w:r>
        <w:rPr>
          <w:rFonts w:ascii="Times New Roman" w:hAnsi="Times New Roman"/>
          <w:b/>
          <w:bCs/>
          <w:noProof/>
          <w:color w:val="000000"/>
          <w:sz w:val="24"/>
          <w:szCs w:val="24"/>
        </w:rPr>
        <w:t>Propojení prostoru pro správu bohatství širšího okolí zálivu</w:t>
      </w:r>
      <w:r>
        <w:rPr>
          <w:rFonts w:ascii="Times New Roman" w:hAnsi="Times New Roman"/>
          <w:noProof/>
          <w:color w:val="000000"/>
          <w:sz w:val="24"/>
          <w:szCs w:val="24"/>
        </w:rPr>
        <w:t xml:space="preserve">“. Obyvatelům Hongkongu a Macaa a způsobilým obyvatelům Kuang-tungu umožňuje provádět přeshraniční investice do produktů správy majetku prodávaných bankami v „širším okolí zálivu“. Projekt Propojení je konkrétním krokem k integraci finančních toků v rámci „širšího okolí zálivu“. Začal s poměrně malou souhrnnou kvótou ve výši 150 miliard RMB (v každém směru a sdílenou Hongkongem a Macaem).  </w:t>
      </w:r>
    </w:p>
    <w:p w14:paraId="76B58C12" w14:textId="77777777" w:rsidR="003F7CC0" w:rsidRPr="00263558" w:rsidRDefault="003F7CC0" w:rsidP="003252A1">
      <w:pPr>
        <w:autoSpaceDE w:val="0"/>
        <w:autoSpaceDN w:val="0"/>
        <w:adjustRightInd w:val="0"/>
        <w:spacing w:after="0" w:line="240" w:lineRule="auto"/>
        <w:jc w:val="both"/>
        <w:rPr>
          <w:rFonts w:ascii="Times New Roman" w:eastAsia="PMingLiU" w:hAnsi="Times New Roman" w:cs="Times New Roman"/>
          <w:noProof/>
          <w:color w:val="000000"/>
          <w:sz w:val="24"/>
          <w:szCs w:val="24"/>
        </w:rPr>
      </w:pPr>
    </w:p>
    <w:p w14:paraId="2DCB94E3" w14:textId="4ABA89A6" w:rsidR="003F7CC0" w:rsidRPr="00263558" w:rsidRDefault="00A9751E" w:rsidP="003252A1">
      <w:p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Další oblastí spolupráce s pevninou je plánovaná modernizace </w:t>
      </w:r>
      <w:r>
        <w:rPr>
          <w:rFonts w:ascii="Times New Roman" w:hAnsi="Times New Roman"/>
          <w:b/>
          <w:bCs/>
          <w:noProof/>
          <w:sz w:val="24"/>
          <w:szCs w:val="24"/>
        </w:rPr>
        <w:t>zóny intenzivní spolupráce Kuang-tung – Macao v Cheng-čchinu</w:t>
      </w:r>
      <w:r>
        <w:rPr>
          <w:rFonts w:ascii="Times New Roman" w:hAnsi="Times New Roman"/>
          <w:noProof/>
          <w:sz w:val="24"/>
          <w:szCs w:val="24"/>
        </w:rPr>
        <w:t>. Oblast spolupráce v Cheng-čchinu, která se nachází západně od Macaa v provincii Kuang-tung, rozvíjí společně Kuang-tung (včetně Ču-chaj) a Macao</w:t>
      </w:r>
      <w:r w:rsidR="006E0F12" w:rsidRPr="00263558">
        <w:rPr>
          <w:rStyle w:val="FootnoteReference"/>
          <w:rFonts w:ascii="Times New Roman" w:hAnsi="Times New Roman" w:cs="Times New Roman"/>
          <w:noProof/>
          <w:sz w:val="24"/>
          <w:szCs w:val="24"/>
        </w:rPr>
        <w:footnoteReference w:id="16"/>
      </w:r>
      <w:r>
        <w:rPr>
          <w:rFonts w:ascii="Times New Roman" w:hAnsi="Times New Roman"/>
          <w:noProof/>
          <w:sz w:val="24"/>
          <w:szCs w:val="24"/>
        </w:rPr>
        <w:t>. V září oznámila čínská ústřední vláda hlavní plán na podporu rozvoje této zóny</w:t>
      </w:r>
      <w:r w:rsidR="00534174" w:rsidRPr="00263558">
        <w:rPr>
          <w:rFonts w:ascii="Times New Roman" w:hAnsi="Times New Roman" w:cs="Times New Roman"/>
          <w:noProof/>
          <w:sz w:val="24"/>
          <w:szCs w:val="24"/>
          <w:vertAlign w:val="superscript"/>
        </w:rPr>
        <w:footnoteReference w:id="17"/>
      </w:r>
      <w:r>
        <w:rPr>
          <w:rFonts w:ascii="Times New Roman" w:hAnsi="Times New Roman"/>
          <w:noProof/>
          <w:sz w:val="24"/>
          <w:szCs w:val="24"/>
        </w:rPr>
        <w:t xml:space="preserve">. Jeho cílem bylo podpořit diverzifikaci a dlouhodobý rozvoj Macaa a zároveň posílit integraci s „širším okolím zálivu“ a národním rozvojem pevninské Číny. Cílová odvětví odrážela odvětví zahrnutí v diverzifikační strategii ZAO. Patří mezi ně inovativní a špičková výrobní odvětví, finanční služby, tradiční čínská medicína, odvětví pořádání konferencí a výstav, obchod a digitální obchod a zdravotní turistika. </w:t>
      </w:r>
    </w:p>
    <w:p w14:paraId="761B962A" w14:textId="77777777" w:rsidR="003F7CC0" w:rsidRPr="00263558" w:rsidRDefault="003F7CC0" w:rsidP="003252A1">
      <w:pPr>
        <w:autoSpaceDE w:val="0"/>
        <w:autoSpaceDN w:val="0"/>
        <w:adjustRightInd w:val="0"/>
        <w:spacing w:after="0" w:line="240" w:lineRule="auto"/>
        <w:jc w:val="both"/>
        <w:rPr>
          <w:rFonts w:ascii="Times New Roman" w:hAnsi="Times New Roman" w:cs="Times New Roman"/>
          <w:noProof/>
          <w:sz w:val="24"/>
          <w:szCs w:val="24"/>
        </w:rPr>
      </w:pPr>
    </w:p>
    <w:p w14:paraId="1B5CB0F6" w14:textId="4CBB3E30" w:rsidR="003F7CC0" w:rsidRPr="00263558" w:rsidRDefault="003F7CC0" w:rsidP="003252A1">
      <w:pPr>
        <w:autoSpaceDE w:val="0"/>
        <w:autoSpaceDN w:val="0"/>
        <w:adjustRightInd w:val="0"/>
        <w:spacing w:after="0" w:line="240" w:lineRule="auto"/>
        <w:jc w:val="both"/>
        <w:rPr>
          <w:rFonts w:ascii="Times New Roman" w:eastAsia="PMingLiU" w:hAnsi="Times New Roman" w:cs="Times New Roman"/>
          <w:noProof/>
          <w:color w:val="000000"/>
          <w:sz w:val="24"/>
          <w:szCs w:val="24"/>
        </w:rPr>
      </w:pPr>
      <w:r>
        <w:rPr>
          <w:rFonts w:ascii="Times New Roman" w:hAnsi="Times New Roman"/>
          <w:noProof/>
          <w:sz w:val="24"/>
          <w:szCs w:val="24"/>
        </w:rPr>
        <w:t>V Cheng-čchinu probíhala výstavba rezidenčního projektu pro obyvatele Macaa, „Nového sousedství Macaa“. Mělo by dojít ke zlepšení přeshraničního spojení – počet vozidel z Macaa, kterým byl povolen vstup do Cheng-čchinu, se zvýšil na 10 000 a v roce 2021 byla zahájena výstavba Cheng-čchinské linky lehké rychlodráhy.</w:t>
      </w:r>
      <w:r>
        <w:rPr>
          <w:rFonts w:ascii="Times New Roman" w:hAnsi="Times New Roman"/>
          <w:noProof/>
          <w:color w:val="000000"/>
          <w:sz w:val="24"/>
          <w:szCs w:val="24"/>
        </w:rPr>
        <w:t xml:space="preserve"> </w:t>
      </w:r>
    </w:p>
    <w:p w14:paraId="4DFD8FD4" w14:textId="77777777" w:rsidR="003F7CC0" w:rsidRPr="00263558" w:rsidRDefault="003F7CC0" w:rsidP="003252A1">
      <w:pPr>
        <w:autoSpaceDE w:val="0"/>
        <w:autoSpaceDN w:val="0"/>
        <w:adjustRightInd w:val="0"/>
        <w:spacing w:after="0" w:line="240" w:lineRule="auto"/>
        <w:jc w:val="both"/>
        <w:rPr>
          <w:rFonts w:ascii="Times New Roman" w:eastAsia="PMingLiU" w:hAnsi="Times New Roman" w:cs="Times New Roman"/>
          <w:noProof/>
          <w:color w:val="000000"/>
          <w:sz w:val="24"/>
          <w:szCs w:val="24"/>
        </w:rPr>
      </w:pPr>
    </w:p>
    <w:p w14:paraId="13839647" w14:textId="776EDF19" w:rsidR="003F7CC0" w:rsidRPr="00263558" w:rsidRDefault="003F7CC0" w:rsidP="003252A1">
      <w:pPr>
        <w:pStyle w:val="Default"/>
        <w:jc w:val="both"/>
        <w:rPr>
          <w:b/>
          <w:bCs/>
          <w:noProof/>
          <w:u w:val="single"/>
        </w:rPr>
      </w:pPr>
      <w:r>
        <w:rPr>
          <w:b/>
          <w:bCs/>
          <w:noProof/>
          <w:u w:val="single"/>
        </w:rPr>
        <w:t xml:space="preserve">III. Dvoustranné vztahy mezi EU a Macaem </w:t>
      </w:r>
    </w:p>
    <w:p w14:paraId="3A28E89A" w14:textId="77777777" w:rsidR="00A4694F" w:rsidRPr="00263558" w:rsidRDefault="00A4694F" w:rsidP="003252A1">
      <w:pPr>
        <w:pStyle w:val="Default"/>
        <w:jc w:val="both"/>
        <w:rPr>
          <w:b/>
          <w:bCs/>
          <w:noProof/>
          <w:u w:val="single"/>
        </w:rPr>
      </w:pPr>
    </w:p>
    <w:p w14:paraId="4E70285F" w14:textId="6448CB39" w:rsidR="006C120E" w:rsidRPr="00263558" w:rsidRDefault="00534174" w:rsidP="006C120E">
      <w:pPr>
        <w:pStyle w:val="Default"/>
        <w:jc w:val="both"/>
        <w:rPr>
          <w:noProof/>
        </w:rPr>
      </w:pPr>
      <w:r>
        <w:rPr>
          <w:b/>
          <w:bCs/>
          <w:noProof/>
        </w:rPr>
        <w:t>24. zasedání smíšeného výboru EU – Macao</w:t>
      </w:r>
      <w:r>
        <w:rPr>
          <w:noProof/>
        </w:rPr>
        <w:t xml:space="preserve"> se v roce 2020 neuskutečnilo. Navzdory žádostem EU o uspořádání zasedání v roce 2021 on-line se tak nestalo. Cestovní omezení a omezený přístup do ZAO Macao narušily schopnost EU spolupracovat s místními orgány a komunikovat s podnikatelskou a diplomatickou komunitou a občanskou společností. </w:t>
      </w:r>
    </w:p>
    <w:p w14:paraId="3FC9A8D7" w14:textId="77777777" w:rsidR="003F7CC0" w:rsidRPr="00263558" w:rsidRDefault="003F7CC0" w:rsidP="003252A1">
      <w:pPr>
        <w:pStyle w:val="Default"/>
        <w:jc w:val="both"/>
        <w:rPr>
          <w:b/>
          <w:bCs/>
          <w:noProof/>
          <w:u w:val="single"/>
        </w:rPr>
      </w:pPr>
    </w:p>
    <w:p w14:paraId="365F2243" w14:textId="5AC0061A" w:rsidR="003F7CC0" w:rsidRPr="00263558" w:rsidRDefault="003F7CC0" w:rsidP="003252A1">
      <w:p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b/>
          <w:bCs/>
          <w:noProof/>
          <w:sz w:val="24"/>
          <w:szCs w:val="24"/>
        </w:rPr>
        <w:t>EU</w:t>
      </w:r>
      <w:r>
        <w:rPr>
          <w:rFonts w:ascii="Times New Roman" w:hAnsi="Times New Roman"/>
          <w:noProof/>
          <w:sz w:val="24"/>
          <w:szCs w:val="24"/>
        </w:rPr>
        <w:t xml:space="preserve"> zůstala </w:t>
      </w:r>
      <w:r>
        <w:rPr>
          <w:rFonts w:ascii="Times New Roman" w:hAnsi="Times New Roman"/>
          <w:b/>
          <w:bCs/>
          <w:noProof/>
          <w:sz w:val="24"/>
          <w:szCs w:val="24"/>
        </w:rPr>
        <w:t>druhým největším obchodním partnerem Macaa v obchodu se zbožím</w:t>
      </w:r>
      <w:r>
        <w:rPr>
          <w:rFonts w:ascii="Times New Roman" w:hAnsi="Times New Roman"/>
          <w:noProof/>
          <w:sz w:val="24"/>
          <w:szCs w:val="24"/>
        </w:rPr>
        <w:t xml:space="preserve"> po pevninské Číně. V prvních deseti měsících roku 2021 to představovalo 29 % celkového obchodu ZAO. Dvoustrannému obchodu mezi EU a Macaem dominuje vývoz z EU – přibližně 32 % dovozu do Macaa pochází z EU. EU má ve vztahu k Macau dlouhodobý přebytek obchodní bilance. Lze to vysvětlit růstem odvětví hazardních her a cestovního ruchu, které podporovaly dovoz do Macaa, zatímco výrobní odvětví ZAO se na místní ekonomice podílí jen malou měrou. </w:t>
      </w:r>
    </w:p>
    <w:p w14:paraId="7AB23C3A" w14:textId="77777777" w:rsidR="003F7CC0" w:rsidRPr="00263558" w:rsidRDefault="003F7CC0" w:rsidP="003252A1">
      <w:pPr>
        <w:autoSpaceDE w:val="0"/>
        <w:autoSpaceDN w:val="0"/>
        <w:adjustRightInd w:val="0"/>
        <w:spacing w:after="0" w:line="240" w:lineRule="auto"/>
        <w:jc w:val="both"/>
        <w:rPr>
          <w:rFonts w:ascii="Times New Roman" w:hAnsi="Times New Roman" w:cs="Times New Roman"/>
          <w:noProof/>
          <w:sz w:val="24"/>
          <w:szCs w:val="24"/>
        </w:rPr>
      </w:pPr>
    </w:p>
    <w:p w14:paraId="22BD7FBF" w14:textId="3A82F87D" w:rsidR="003F7CC0" w:rsidRPr="00263558" w:rsidRDefault="003F7CC0" w:rsidP="003252A1">
      <w:p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Podle údajů Eurostatu se </w:t>
      </w:r>
      <w:r>
        <w:rPr>
          <w:rFonts w:ascii="Times New Roman" w:hAnsi="Times New Roman"/>
          <w:b/>
          <w:bCs/>
          <w:noProof/>
          <w:sz w:val="24"/>
          <w:szCs w:val="24"/>
        </w:rPr>
        <w:t>dvoustranný obchod se zbožím mezi EU a Macaem</w:t>
      </w:r>
      <w:r>
        <w:rPr>
          <w:rFonts w:ascii="Times New Roman" w:hAnsi="Times New Roman"/>
          <w:noProof/>
          <w:sz w:val="24"/>
          <w:szCs w:val="24"/>
        </w:rPr>
        <w:t xml:space="preserve"> během prvních devíti měsíců roku 2021 </w:t>
      </w:r>
      <w:r>
        <w:rPr>
          <w:rFonts w:ascii="Times New Roman" w:hAnsi="Times New Roman"/>
          <w:b/>
          <w:bCs/>
          <w:noProof/>
          <w:sz w:val="24"/>
          <w:szCs w:val="24"/>
        </w:rPr>
        <w:t>více než zdvojnásobil</w:t>
      </w:r>
      <w:r>
        <w:rPr>
          <w:rFonts w:ascii="Times New Roman" w:hAnsi="Times New Roman"/>
          <w:noProof/>
          <w:sz w:val="24"/>
          <w:szCs w:val="24"/>
        </w:rPr>
        <w:t xml:space="preserve"> na 944 milionů EUR (meziročně nárůst o 114 %). Vývoz EU do Macaa dosáhl hodnoty 914 milionů EUR, což vedlo k přebytku obchodní bilance ve výši 885 milionů EUR. Vývoz EU do Macaa tvořilo převážně luxusní zboží, kožené výrobky, oděvy, hodinky a šperky. </w:t>
      </w:r>
    </w:p>
    <w:p w14:paraId="5ADA93D5" w14:textId="77777777" w:rsidR="003F7CC0" w:rsidRPr="00D12B03" w:rsidRDefault="003F7CC0" w:rsidP="003252A1">
      <w:pPr>
        <w:autoSpaceDE w:val="0"/>
        <w:autoSpaceDN w:val="0"/>
        <w:adjustRightInd w:val="0"/>
        <w:spacing w:after="0" w:line="240" w:lineRule="auto"/>
        <w:jc w:val="both"/>
        <w:rPr>
          <w:rFonts w:ascii="Times New Roman" w:eastAsia="PMingLiU" w:hAnsi="Times New Roman" w:cs="Times New Roman"/>
          <w:noProof/>
          <w:color w:val="FF0000"/>
          <w:sz w:val="24"/>
          <w:szCs w:val="24"/>
        </w:rPr>
      </w:pPr>
    </w:p>
    <w:p w14:paraId="0E663D3B" w14:textId="51507F87" w:rsidR="003F7CC0" w:rsidRPr="00D12B03" w:rsidRDefault="003F7CC0" w:rsidP="003252A1">
      <w:pPr>
        <w:autoSpaceDE w:val="0"/>
        <w:autoSpaceDN w:val="0"/>
        <w:adjustRightInd w:val="0"/>
        <w:spacing w:after="0" w:line="240" w:lineRule="auto"/>
        <w:jc w:val="both"/>
        <w:rPr>
          <w:rFonts w:ascii="Times New Roman" w:eastAsia="PMingLiU" w:hAnsi="Times New Roman" w:cs="Times New Roman"/>
          <w:bCs/>
          <w:noProof/>
          <w:color w:val="000000" w:themeColor="text1"/>
          <w:sz w:val="24"/>
          <w:szCs w:val="24"/>
        </w:rPr>
      </w:pPr>
      <w:r>
        <w:rPr>
          <w:rFonts w:ascii="Times New Roman" w:hAnsi="Times New Roman"/>
          <w:b/>
          <w:bCs/>
          <w:noProof/>
          <w:color w:val="000000" w:themeColor="text1"/>
          <w:sz w:val="24"/>
          <w:szCs w:val="24"/>
        </w:rPr>
        <w:t>EU zůstala v roce 2020 čtvrtým největším zdrojem zahraničních investic Macaa</w:t>
      </w:r>
      <w:r>
        <w:rPr>
          <w:rFonts w:ascii="Times New Roman" w:hAnsi="Times New Roman"/>
          <w:noProof/>
          <w:color w:val="000000" w:themeColor="text1"/>
          <w:sz w:val="24"/>
          <w:szCs w:val="24"/>
        </w:rPr>
        <w:t xml:space="preserve"> (kromě offshorových center) po Hongkongu, pevninské Číně a USA.</w:t>
      </w:r>
      <w:r>
        <w:rPr>
          <w:rFonts w:ascii="Times New Roman" w:hAnsi="Times New Roman"/>
          <w:bCs/>
          <w:noProof/>
          <w:color w:val="000000" w:themeColor="text1"/>
          <w:sz w:val="24"/>
          <w:szCs w:val="24"/>
        </w:rPr>
        <w:t xml:space="preserve"> Podle macajských statistik na EU v roce 2020 připadalo 4,6 % celkového objemu přímých zahraničních investic. Pouze na Portugalsko připadalo 70 % investic EU v ZAO. Podle údajů Eurostatu se objem přímých zahraničních investic EU do Macaa v roce 2020 snížil o více než 25 % a ke konci roku 2020 dosáhl výše 1,42 miliardy EUR</w:t>
      </w:r>
      <w:r w:rsidR="00D12B03" w:rsidRPr="00D12B03">
        <w:rPr>
          <w:rStyle w:val="FootnoteReference"/>
          <w:rFonts w:ascii="Times New Roman" w:eastAsia="PMingLiU" w:hAnsi="Times New Roman" w:cs="Times New Roman"/>
          <w:bCs/>
          <w:noProof/>
          <w:color w:val="000000" w:themeColor="text1"/>
          <w:sz w:val="24"/>
          <w:szCs w:val="24"/>
        </w:rPr>
        <w:footnoteReference w:id="18"/>
      </w:r>
      <w:r>
        <w:rPr>
          <w:rFonts w:ascii="Times New Roman" w:hAnsi="Times New Roman"/>
          <w:bCs/>
          <w:noProof/>
          <w:color w:val="000000" w:themeColor="text1"/>
          <w:sz w:val="24"/>
          <w:szCs w:val="24"/>
        </w:rPr>
        <w:t>, zatímco objem přímých zahraničních investic Macaa v EU činil 1,85 miliardy EUR.</w:t>
      </w:r>
    </w:p>
    <w:p w14:paraId="0347B4AA" w14:textId="77777777" w:rsidR="003F7CC0" w:rsidRPr="00263558" w:rsidRDefault="003F7CC0" w:rsidP="003252A1">
      <w:pPr>
        <w:pStyle w:val="Default"/>
        <w:jc w:val="both"/>
        <w:rPr>
          <w:b/>
          <w:bCs/>
          <w:noProof/>
          <w:u w:val="single"/>
        </w:rPr>
      </w:pPr>
    </w:p>
    <w:p w14:paraId="70EA8205" w14:textId="4D74877F" w:rsidR="008056B5" w:rsidRPr="00263558" w:rsidRDefault="004868C3" w:rsidP="00E46A3B">
      <w:pPr>
        <w:pStyle w:val="Default"/>
        <w:jc w:val="both"/>
        <w:rPr>
          <w:noProof/>
        </w:rPr>
      </w:pPr>
      <w:r>
        <w:rPr>
          <w:noProof/>
        </w:rPr>
        <w:t>Vzhledem k přetrvávajícím cestovním omezením způsobeným pandemií nebyla účast na veletrzích v Macau možná. Členové Evropské obchodní komory v Macau a Evropské obchodní komory v Hongkongu, kteří se nacházeli v Macau, se však v prosinci 2021 mohli zúčastnit Mezinárodního obchodního a investičního veletrhu v Macau.</w:t>
      </w:r>
    </w:p>
    <w:sectPr w:rsidR="008056B5" w:rsidRPr="00263558" w:rsidSect="006A5ABA">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0CB5F3" w14:textId="77777777" w:rsidR="00D2698A" w:rsidRDefault="00D2698A" w:rsidP="00280B21">
      <w:pPr>
        <w:spacing w:after="0" w:line="240" w:lineRule="auto"/>
      </w:pPr>
      <w:r>
        <w:separator/>
      </w:r>
    </w:p>
  </w:endnote>
  <w:endnote w:type="continuationSeparator" w:id="0">
    <w:p w14:paraId="179F5021" w14:textId="77777777" w:rsidR="00D2698A" w:rsidRDefault="00D2698A" w:rsidP="00280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0000000000000000000"/>
    <w:charset w:val="86"/>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83721" w14:textId="77777777" w:rsidR="007E7479" w:rsidRPr="007E7479" w:rsidRDefault="007E7479" w:rsidP="007E74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EA2DA" w14:textId="59CFD29A" w:rsidR="00190DB2" w:rsidRPr="007E7479" w:rsidRDefault="007E7479" w:rsidP="007E7479">
    <w:pPr>
      <w:pStyle w:val="FooterCoverPage"/>
      <w:rPr>
        <w:rFonts w:ascii="Arial" w:hAnsi="Arial" w:cs="Arial"/>
        <w:b/>
        <w:sz w:val="48"/>
      </w:rPr>
    </w:pPr>
    <w:r w:rsidRPr="007E7479">
      <w:rPr>
        <w:rFonts w:ascii="Arial" w:hAnsi="Arial" w:cs="Arial"/>
        <w:b/>
        <w:sz w:val="48"/>
      </w:rPr>
      <w:t>CS</w:t>
    </w:r>
    <w:r w:rsidRPr="007E7479">
      <w:rPr>
        <w:rFonts w:ascii="Arial" w:hAnsi="Arial" w:cs="Arial"/>
        <w:b/>
        <w:sz w:val="48"/>
      </w:rPr>
      <w:tab/>
    </w:r>
    <w:r w:rsidRPr="007E7479">
      <w:rPr>
        <w:rFonts w:ascii="Arial" w:hAnsi="Arial" w:cs="Arial"/>
        <w:b/>
        <w:sz w:val="48"/>
      </w:rPr>
      <w:tab/>
    </w:r>
    <w:r w:rsidRPr="007E7479">
      <w:tab/>
    </w:r>
    <w:r w:rsidRPr="007E7479">
      <w:rPr>
        <w:rFonts w:ascii="Arial" w:hAnsi="Arial" w:cs="Arial"/>
        <w:b/>
        <w:sz w:val="48"/>
      </w:rPr>
      <w:t>CS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9D6B8" w14:textId="77777777" w:rsidR="007E7479" w:rsidRPr="007E7479" w:rsidRDefault="007E7479" w:rsidP="007E7479">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6F08D" w14:textId="77777777" w:rsidR="00D2698A" w:rsidRDefault="00D2698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7419985"/>
      <w:docPartObj>
        <w:docPartGallery w:val="Page Numbers (Bottom of Page)"/>
        <w:docPartUnique/>
      </w:docPartObj>
    </w:sdtPr>
    <w:sdtEndPr>
      <w:rPr>
        <w:noProof/>
      </w:rPr>
    </w:sdtEndPr>
    <w:sdtContent>
      <w:p w14:paraId="50E850A0" w14:textId="0046BD58" w:rsidR="00D2698A" w:rsidRDefault="00D2698A">
        <w:pPr>
          <w:pStyle w:val="Footer"/>
          <w:jc w:val="right"/>
        </w:pPr>
        <w:r>
          <w:fldChar w:fldCharType="begin"/>
        </w:r>
        <w:r>
          <w:instrText xml:space="preserve"> PAGE   \* MERGEFORMAT </w:instrText>
        </w:r>
        <w:r>
          <w:fldChar w:fldCharType="separate"/>
        </w:r>
        <w:r w:rsidR="007E7479">
          <w:rPr>
            <w:noProof/>
          </w:rPr>
          <w:t>1</w:t>
        </w:r>
        <w:r>
          <w:fldChar w:fldCharType="end"/>
        </w:r>
      </w:p>
    </w:sdtContent>
  </w:sdt>
  <w:p w14:paraId="7B69DEA4" w14:textId="77777777" w:rsidR="00D2698A" w:rsidRDefault="00D269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A7B0B" w14:textId="77777777" w:rsidR="00D2698A" w:rsidRDefault="00D269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1D0594" w14:textId="77777777" w:rsidR="00D2698A" w:rsidRDefault="00D2698A" w:rsidP="00280B21">
      <w:pPr>
        <w:spacing w:after="0" w:line="240" w:lineRule="auto"/>
      </w:pPr>
      <w:r>
        <w:separator/>
      </w:r>
    </w:p>
  </w:footnote>
  <w:footnote w:type="continuationSeparator" w:id="0">
    <w:p w14:paraId="2C9EA64D" w14:textId="77777777" w:rsidR="00D2698A" w:rsidRDefault="00D2698A" w:rsidP="00280B21">
      <w:pPr>
        <w:spacing w:after="0" w:line="240" w:lineRule="auto"/>
      </w:pPr>
      <w:r>
        <w:continuationSeparator/>
      </w:r>
    </w:p>
  </w:footnote>
  <w:footnote w:id="1">
    <w:p w14:paraId="18DF80C9" w14:textId="5E77BAD8" w:rsidR="00D2698A" w:rsidRPr="00F55C12" w:rsidRDefault="00D2698A" w:rsidP="00F55C12">
      <w:pPr>
        <w:pStyle w:val="FootnoteText"/>
        <w:ind w:left="0" w:firstLine="0"/>
      </w:pPr>
      <w:r>
        <w:rPr>
          <w:rStyle w:val="FootnoteReference"/>
        </w:rPr>
        <w:footnoteRef/>
      </w:r>
      <w:r>
        <w:t xml:space="preserve"> Základní zákon je ústavním zákonem Zvláštní administrativní oblasti Macao. Žádný zákon, vyhláška, správní nařízení nebo normativní akt ZAO nemohou být v rozporu s tímto zákonem. Cílem vypracování základního zákona je definovat systém, který má být v ZAO uplatňován, a zakotvit zásady „jedna země, dva systémy“ a „vysoký stupeň autonomie“.</w:t>
      </w:r>
    </w:p>
  </w:footnote>
  <w:footnote w:id="2">
    <w:p w14:paraId="2886671C" w14:textId="06198BE4" w:rsidR="00D2698A" w:rsidRPr="009F0468" w:rsidRDefault="00D2698A" w:rsidP="00C5506E">
      <w:pPr>
        <w:pStyle w:val="FootnoteText"/>
        <w:ind w:left="0" w:firstLine="0"/>
        <w:jc w:val="left"/>
        <w:rPr>
          <w:rFonts w:eastAsiaTheme="minorEastAsia"/>
        </w:rPr>
      </w:pPr>
      <w:r>
        <w:rPr>
          <w:rStyle w:val="FootnoteReference"/>
        </w:rPr>
        <w:footnoteRef/>
      </w:r>
      <w:hyperlink r:id="rId1" w:history="1">
        <w:r>
          <w:rPr>
            <w:rStyle w:val="Hyperlink"/>
            <w:color w:val="auto"/>
          </w:rPr>
          <w:t>https://www.macaupostdaily.com/article11422.html</w:t>
        </w:r>
      </w:hyperlink>
      <w:r>
        <w:t xml:space="preserve"> a </w:t>
      </w:r>
      <w:hyperlink r:id="rId2" w:history="1">
        <w:r>
          <w:rPr>
            <w:rStyle w:val="Hyperlink"/>
            <w:color w:val="auto"/>
          </w:rPr>
          <w:t>http://www.xinhuanet.com/gangao/2021-07/12/c_1127648161.htm</w:t>
        </w:r>
      </w:hyperlink>
      <w:r>
        <w:t xml:space="preserve">. </w:t>
      </w:r>
    </w:p>
  </w:footnote>
  <w:footnote w:id="3">
    <w:p w14:paraId="5B6AAD57" w14:textId="3AB68ADF" w:rsidR="00D2698A" w:rsidRPr="009F0468" w:rsidRDefault="00D2698A" w:rsidP="009F0468">
      <w:pPr>
        <w:pStyle w:val="FootnoteText"/>
        <w:ind w:left="0" w:firstLine="0"/>
      </w:pPr>
      <w:r>
        <w:rPr>
          <w:rStyle w:val="FootnoteReference"/>
        </w:rPr>
        <w:footnoteRef/>
      </w:r>
      <w:r>
        <w:t xml:space="preserve"> Liou Siao-po byl nositelem Nobelovy ceny míru za rok 2010 a jedním z nejvýznamnějších aktivistů v oblasti lidských práv v Číně. Byl jedním z autorů manifestu </w:t>
      </w:r>
      <w:r>
        <w:rPr>
          <w:i/>
          <w:iCs/>
        </w:rPr>
        <w:t>Charta 08</w:t>
      </w:r>
      <w:r>
        <w:t xml:space="preserve">, který vyzýval k pokojné demokratické reformě a nastolení právního státu v Číně. </w:t>
      </w:r>
    </w:p>
  </w:footnote>
  <w:footnote w:id="4">
    <w:p w14:paraId="2688C6B6" w14:textId="1323ECE2" w:rsidR="00D2698A" w:rsidRPr="009F0468" w:rsidRDefault="00D2698A" w:rsidP="009F0468">
      <w:pPr>
        <w:pStyle w:val="FootnoteText"/>
        <w:ind w:left="0" w:firstLine="0"/>
        <w:jc w:val="left"/>
      </w:pPr>
      <w:r>
        <w:rPr>
          <w:rStyle w:val="FootnoteReference"/>
        </w:rPr>
        <w:footnoteRef/>
      </w:r>
      <w:r>
        <w:t xml:space="preserve"> Prohlášení mluvčího k vyloučení kandidátů pro volby do zákonodárného sboru, 31. 7. 2021, dostupné on-line na adrese </w:t>
      </w:r>
      <w:hyperlink r:id="rId3" w:history="1">
        <w:r>
          <w:rPr>
            <w:rStyle w:val="Hyperlink"/>
            <w:color w:val="auto"/>
          </w:rPr>
          <w:t>https://eeas.europa.eu/headquarters/headquarters-homepage/102647/macao-statement-spokesperson-disqualification-candidates-legislative-assembly-elections_en</w:t>
        </w:r>
      </w:hyperlink>
    </w:p>
    <w:p w14:paraId="683C015E" w14:textId="77777777" w:rsidR="00D2698A" w:rsidRPr="00656B05" w:rsidRDefault="00D2698A" w:rsidP="009F0468">
      <w:pPr>
        <w:pStyle w:val="FootnoteText"/>
        <w:ind w:left="0" w:firstLine="0"/>
        <w:jc w:val="left"/>
      </w:pPr>
    </w:p>
  </w:footnote>
  <w:footnote w:id="5">
    <w:p w14:paraId="610D5767" w14:textId="77777777" w:rsidR="00D2698A" w:rsidRDefault="00D2698A" w:rsidP="00536AD3">
      <w:pPr>
        <w:pStyle w:val="FootnoteText"/>
        <w:ind w:left="0" w:firstLine="0"/>
        <w:jc w:val="left"/>
      </w:pPr>
      <w:r>
        <w:rPr>
          <w:rStyle w:val="FootnoteReference"/>
        </w:rPr>
        <w:footnoteRef/>
      </w:r>
      <w:r>
        <w:t xml:space="preserve"> </w:t>
      </w:r>
      <w:hyperlink r:id="rId4" w:history="1">
        <w:r>
          <w:rPr>
            <w:rStyle w:val="Hyperlink"/>
            <w:color w:val="auto"/>
          </w:rPr>
          <w:t>http://www.npc.gov.cn/englishnpc/c23934/202103/6dbc5853665d43dbaf2161a993370e24.shtml</w:t>
        </w:r>
      </w:hyperlink>
      <w:r>
        <w:t xml:space="preserve">; </w:t>
      </w:r>
      <w:hyperlink r:id="rId5" w:history="1">
        <w:r>
          <w:rPr>
            <w:rStyle w:val="Hyperlink"/>
            <w:color w:val="auto"/>
          </w:rPr>
          <w:t>http://www.npc.gov.cn/englishnpc/c23934/202103/4378544f87a54214a4a99d6860412062.shtml</w:t>
        </w:r>
      </w:hyperlink>
    </w:p>
    <w:p w14:paraId="57DEE59B" w14:textId="77777777" w:rsidR="00D2698A" w:rsidRPr="006C5BDC" w:rsidRDefault="00D2698A">
      <w:pPr>
        <w:pStyle w:val="FootnoteText"/>
        <w:rPr>
          <w:rFonts w:eastAsiaTheme="minorEastAsia"/>
          <w:lang w:eastAsia="zh-CN"/>
        </w:rPr>
      </w:pPr>
    </w:p>
  </w:footnote>
  <w:footnote w:id="6">
    <w:p w14:paraId="1D1B4753" w14:textId="2D406AC3" w:rsidR="00D2698A" w:rsidRPr="005733FA" w:rsidRDefault="00D2698A" w:rsidP="00927372">
      <w:pPr>
        <w:pStyle w:val="FootnoteText"/>
        <w:ind w:left="0" w:firstLine="0"/>
      </w:pPr>
      <w:r>
        <w:rPr>
          <w:rStyle w:val="FootnoteReference"/>
        </w:rPr>
        <w:footnoteRef/>
      </w:r>
      <w:r>
        <w:t xml:space="preserve"> </w:t>
      </w:r>
      <w:r>
        <w:rPr>
          <w:bCs/>
          <w:sz w:val="24"/>
          <w:szCs w:val="24"/>
        </w:rPr>
        <w:t xml:space="preserve"> </w:t>
      </w:r>
      <w:r>
        <w:t xml:space="preserve">"澳廣視執委會晤葡文新聞部重申編採方針不變" (Výkonný výbor TDM se sešel s portugalským tiskovým oddělením, aby zopakoval, že redakční politika zůstává nezměněna) 15. března 2021. </w:t>
      </w:r>
      <w:hyperlink r:id="rId6" w:history="1">
        <w:r>
          <w:rPr>
            <w:rStyle w:val="Hyperlink"/>
          </w:rPr>
          <w:t>https://www.tdm.com.mo/zh-hant/news-detail/558430</w:t>
        </w:r>
      </w:hyperlink>
    </w:p>
  </w:footnote>
  <w:footnote w:id="7">
    <w:p w14:paraId="3A8BF0BA" w14:textId="77777777" w:rsidR="00D2698A" w:rsidRPr="005733FA" w:rsidRDefault="00D2698A">
      <w:pPr>
        <w:pStyle w:val="FootnoteText"/>
        <w:rPr>
          <w:rFonts w:eastAsiaTheme="minorEastAsia"/>
        </w:rPr>
      </w:pPr>
      <w:r>
        <w:rPr>
          <w:rStyle w:val="FootnoteReference"/>
        </w:rPr>
        <w:footnoteRef/>
      </w:r>
      <w:r>
        <w:t xml:space="preserve"> https://www.court.gov.mo/sentence/pt-0b9b84acaff12a34.pdf</w:t>
      </w:r>
    </w:p>
  </w:footnote>
  <w:footnote w:id="8">
    <w:p w14:paraId="259EE48A" w14:textId="368C81AF" w:rsidR="00D2698A" w:rsidRPr="005733FA" w:rsidRDefault="00D2698A" w:rsidP="00927372">
      <w:pPr>
        <w:pStyle w:val="FootnoteText"/>
        <w:ind w:left="0" w:firstLine="0"/>
        <w:jc w:val="left"/>
      </w:pPr>
      <w:r>
        <w:rPr>
          <w:rStyle w:val="FootnoteReference"/>
        </w:rPr>
        <w:footnoteRef/>
      </w:r>
      <w:r>
        <w:t xml:space="preserve"> Mezinárodní organizace práce (MOP), pozorování (CEACR) – přijato 2020, zveřejněno na 109. zasedání MOP 2021. https://www.ilo.org/dyn/normlex/en/f?p=1000:13100:0::NO:13100:P13100_COMMENT_ID:4057118.</w:t>
      </w:r>
    </w:p>
  </w:footnote>
  <w:footnote w:id="9">
    <w:p w14:paraId="6462726C" w14:textId="691CEC2D" w:rsidR="00D2698A" w:rsidRPr="001B3B5F" w:rsidRDefault="00D2698A" w:rsidP="005733FA">
      <w:pPr>
        <w:pStyle w:val="FootnoteText"/>
        <w:ind w:left="0" w:firstLine="0"/>
      </w:pPr>
      <w:r>
        <w:rPr>
          <w:rStyle w:val="FootnoteReference"/>
        </w:rPr>
        <w:footnoteRef/>
      </w:r>
      <w:r>
        <w:t xml:space="preserve"> </w:t>
      </w:r>
      <w:hyperlink r:id="rId7" w:history="1">
        <w:r>
          <w:rPr>
            <w:rStyle w:val="Hyperlink"/>
            <w:color w:val="auto"/>
          </w:rPr>
          <w:t>http://daccess-ods.un.org/access.nsf/Get?Open&amp;DS=CCPR/C/CHN-MAC/RQ/2&amp;Lang=E</w:t>
        </w:r>
      </w:hyperlink>
    </w:p>
  </w:footnote>
  <w:footnote w:id="10">
    <w:p w14:paraId="2FCC7579" w14:textId="77777777" w:rsidR="00D2698A" w:rsidRPr="001B3B5F" w:rsidRDefault="00D2698A" w:rsidP="005733FA">
      <w:pPr>
        <w:pStyle w:val="FootnoteText"/>
        <w:ind w:left="0" w:firstLine="0"/>
        <w:rPr>
          <w:rFonts w:eastAsiaTheme="minorEastAsia"/>
        </w:rPr>
      </w:pPr>
      <w:r>
        <w:rPr>
          <w:rStyle w:val="FootnoteReference"/>
        </w:rPr>
        <w:footnoteRef/>
      </w:r>
      <w:r>
        <w:t xml:space="preserve"> https://www.ccac.org.mo/pdf/en/intro/2020/2020ch1.pdf</w:t>
      </w:r>
    </w:p>
  </w:footnote>
  <w:footnote w:id="11">
    <w:p w14:paraId="51C36D6F" w14:textId="13227F18" w:rsidR="00D2698A" w:rsidRPr="001B3B5F" w:rsidRDefault="00D2698A" w:rsidP="005733FA">
      <w:pPr>
        <w:pStyle w:val="FootnoteText"/>
        <w:ind w:left="0" w:firstLine="0"/>
      </w:pPr>
      <w:r>
        <w:rPr>
          <w:rStyle w:val="FootnoteReference"/>
        </w:rPr>
        <w:footnoteRef/>
      </w:r>
      <w:r>
        <w:t xml:space="preserve"> Statistické údaje v této zprávě jsou nejnovější, které byly dostupné v době vypracování této zprávy (začátek prosince 2021). Zdroj: Úřad pro statistiku a sčítání lidu, vláda Zvláštní administrativní oblasti (ZAO) Macao. </w:t>
      </w:r>
      <w:hyperlink r:id="rId8" w:history="1">
        <w:r>
          <w:rPr>
            <w:rStyle w:val="Hyperlink"/>
            <w:color w:val="auto"/>
          </w:rPr>
          <w:t>https://www.dsec.gov.mo/en-US/</w:t>
        </w:r>
      </w:hyperlink>
      <w:r>
        <w:t xml:space="preserve"> </w:t>
      </w:r>
    </w:p>
  </w:footnote>
  <w:footnote w:id="12">
    <w:p w14:paraId="514A2A4B" w14:textId="2D7265D4" w:rsidR="00D2698A" w:rsidRPr="001B3B5F" w:rsidRDefault="00D2698A" w:rsidP="005733FA">
      <w:pPr>
        <w:pStyle w:val="FootnoteText"/>
        <w:ind w:left="0" w:firstLine="0"/>
      </w:pPr>
      <w:r>
        <w:rPr>
          <w:rStyle w:val="FootnoteReference"/>
        </w:rPr>
        <w:footnoteRef/>
      </w:r>
      <w:r>
        <w:t xml:space="preserve"> Přepočteno na eura podle směnného kurzu InforEuro z prosince 2021. </w:t>
      </w:r>
    </w:p>
  </w:footnote>
  <w:footnote w:id="13">
    <w:p w14:paraId="25455976" w14:textId="7F25301C" w:rsidR="00D2698A" w:rsidRPr="00BB7B12" w:rsidRDefault="00D2698A" w:rsidP="005733FA">
      <w:pPr>
        <w:pStyle w:val="FootnoteText"/>
        <w:ind w:left="0" w:firstLine="0"/>
      </w:pPr>
      <w:r>
        <w:rPr>
          <w:rStyle w:val="FootnoteReference"/>
        </w:rPr>
        <w:footnoteRef/>
      </w:r>
      <w:r>
        <w:t xml:space="preserve"> „Recovery during a pandemic: health concerns, supply disruptions, and price pressures“ (Oživení během pandemie: obavy týkající se zdraví, narušení dodávek a cenové tlaky“, říjen 2021. https://www.imf.org/en/Publications/WEO/Issues/2021/10/12/world-economic-outlook-october-2021</w:t>
      </w:r>
    </w:p>
  </w:footnote>
  <w:footnote w:id="14">
    <w:p w14:paraId="7085D204" w14:textId="32289E33" w:rsidR="00D2698A" w:rsidRPr="00ED67E2" w:rsidRDefault="00D2698A" w:rsidP="00280B21">
      <w:pPr>
        <w:pStyle w:val="FootnoteText"/>
        <w:rPr>
          <w:sz w:val="16"/>
          <w:szCs w:val="16"/>
        </w:rPr>
      </w:pPr>
      <w:r>
        <w:rPr>
          <w:rStyle w:val="FootnoteReference"/>
          <w:sz w:val="16"/>
          <w:szCs w:val="16"/>
        </w:rPr>
        <w:footnoteRef/>
      </w:r>
      <w:r>
        <w:t xml:space="preserve"> Vývoz herních služeb se měří jako výdaje nerezidentů na hraní hazardních her.</w:t>
      </w:r>
      <w:r>
        <w:rPr>
          <w:sz w:val="16"/>
          <w:szCs w:val="16"/>
        </w:rPr>
        <w:t xml:space="preserve"> </w:t>
      </w:r>
    </w:p>
  </w:footnote>
  <w:footnote w:id="15">
    <w:p w14:paraId="43C0BA32" w14:textId="77777777" w:rsidR="00D2698A" w:rsidRPr="00BF10EB" w:rsidRDefault="00D2698A" w:rsidP="00F65F65">
      <w:pPr>
        <w:pStyle w:val="FootnoteText"/>
        <w:rPr>
          <w:rFonts w:eastAsiaTheme="minorEastAsia"/>
        </w:rPr>
      </w:pPr>
      <w:r>
        <w:rPr>
          <w:rStyle w:val="FootnoteReference"/>
        </w:rPr>
        <w:footnoteRef/>
      </w:r>
      <w:r>
        <w:t xml:space="preserve"> </w:t>
      </w:r>
      <w:hyperlink r:id="rId9" w:history="1">
        <w:r>
          <w:rPr>
            <w:rStyle w:val="Hyperlink"/>
            <w:color w:val="auto"/>
          </w:rPr>
          <w:t>https://www.gov.mo/en/news/133867/</w:t>
        </w:r>
      </w:hyperlink>
    </w:p>
  </w:footnote>
  <w:footnote w:id="16">
    <w:p w14:paraId="53B3D83F" w14:textId="5C642D4E" w:rsidR="00D2698A" w:rsidRPr="00BF10EB" w:rsidRDefault="00D2698A" w:rsidP="00927372">
      <w:pPr>
        <w:autoSpaceDE w:val="0"/>
        <w:autoSpaceDN w:val="0"/>
        <w:adjustRightInd w:val="0"/>
        <w:spacing w:after="0" w:line="240" w:lineRule="auto"/>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Zóna spolupráce Cheng-čchin se nachází na jižním okraji čínského města Ču-chaj. Od Macaa ji odděluje pouze pás vody a obě zóny spojuje most.</w:t>
      </w:r>
    </w:p>
  </w:footnote>
  <w:footnote w:id="17">
    <w:p w14:paraId="357BB8B0" w14:textId="0A2AF443" w:rsidR="00D2698A" w:rsidRPr="002A608F" w:rsidRDefault="00D2698A" w:rsidP="00534174">
      <w:pPr>
        <w:pStyle w:val="FootnoteText"/>
        <w:ind w:left="0" w:firstLine="0"/>
        <w:rPr>
          <w:sz w:val="16"/>
          <w:szCs w:val="16"/>
        </w:rPr>
      </w:pPr>
      <w:r>
        <w:rPr>
          <w:rStyle w:val="FootnoteReference"/>
        </w:rPr>
        <w:footnoteRef/>
      </w:r>
      <w:r>
        <w:t xml:space="preserve"> Podrobnosti o rozvoji zóny intenzivní spolupráce Kuang-tung – Macao v Cheng-čchinu jsou k dispozici na adrese https://www.hengqin-cooperation.gov.mo/zh-hans/</w:t>
      </w:r>
      <w:r>
        <w:rPr>
          <w:sz w:val="16"/>
          <w:szCs w:val="16"/>
        </w:rPr>
        <w:t xml:space="preserve">  </w:t>
      </w:r>
    </w:p>
  </w:footnote>
  <w:footnote w:id="18">
    <w:p w14:paraId="4CB541FD" w14:textId="118A810A" w:rsidR="00D12B03" w:rsidRPr="00927372" w:rsidRDefault="00D12B03" w:rsidP="00D12B03">
      <w:pPr>
        <w:pStyle w:val="FootnoteText"/>
        <w:ind w:left="0" w:firstLine="0"/>
        <w:jc w:val="left"/>
        <w:rPr>
          <w:sz w:val="16"/>
          <w:szCs w:val="16"/>
        </w:rPr>
      </w:pPr>
      <w:r>
        <w:rPr>
          <w:rStyle w:val="FootnoteReference"/>
          <w:sz w:val="16"/>
          <w:szCs w:val="16"/>
        </w:rPr>
        <w:footnoteRef/>
      </w:r>
      <w:r>
        <w:rPr>
          <w:sz w:val="16"/>
          <w:szCs w:val="16"/>
        </w:rPr>
        <w:t xml:space="preserve"> Statistiky Eurostatu dostupné v únoru 2022 na adrese https://ec.europa.eu/eurostat/databrowser/view/BOP_FDI6_GEO__custom_2086845/default/table?lang=en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8B04E" w14:textId="77777777" w:rsidR="007E7479" w:rsidRPr="007E7479" w:rsidRDefault="007E7479" w:rsidP="007E74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AAD33" w14:textId="77777777" w:rsidR="007E7479" w:rsidRPr="007E7479" w:rsidRDefault="007E7479" w:rsidP="007E7479">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C309B" w14:textId="77777777" w:rsidR="007E7479" w:rsidRPr="007E7479" w:rsidRDefault="007E7479" w:rsidP="007E7479">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1A388" w14:textId="77777777" w:rsidR="00D2698A" w:rsidRDefault="00D2698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11870" w14:textId="77777777" w:rsidR="00D2698A" w:rsidRDefault="00D2698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786A5" w14:textId="77777777" w:rsidR="00D2698A" w:rsidRDefault="00D26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3E5F55"/>
    <w:multiLevelType w:val="hybridMultilevel"/>
    <w:tmpl w:val="2F96D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C94DB1"/>
    <w:multiLevelType w:val="hybridMultilevel"/>
    <w:tmpl w:val="CC94D45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D2F2498"/>
    <w:multiLevelType w:val="hybridMultilevel"/>
    <w:tmpl w:val="2E642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9A2CFA"/>
    <w:multiLevelType w:val="hybridMultilevel"/>
    <w:tmpl w:val="62F26A8C"/>
    <w:lvl w:ilvl="0" w:tplc="3C7252F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de-DE" w:vendorID="64" w:dllVersion="131078" w:nlCheck="1" w:checkStyle="0"/>
  <w:activeWritingStyle w:appName="MSWord" w:lang="en-GB" w:vendorID="64" w:dllVersion="131078" w:nlCheck="1" w:checkStyle="1"/>
  <w:activeWritingStyle w:appName="MSWord" w:lang="fr-BE" w:vendorID="64" w:dllVersion="131078" w:nlCheck="1" w:checkStyle="0"/>
  <w:revisionView w:markup="0"/>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9E4E03FF-2146-4352-BA89-FE06FC59BEA3"/>
    <w:docVar w:name="LW_COVERPAGE_TYPE" w:val="1"/>
    <w:docVar w:name="LW_CROSSREFERENCE" w:val="&lt;UNUSED&gt;"/>
    <w:docVar w:name="LW_DocType" w:val="NORMAL"/>
    <w:docVar w:name="LW_EMISSION" w:val="20.5.2022"/>
    <w:docVar w:name="LW_EMISSION_ISODATE" w:val="2022-05-20"/>
    <w:docVar w:name="LW_EMISSION_LOCATION" w:val="BRX"/>
    <w:docVar w:name="LW_EMISSION_PREFIX" w:val="V Bruselu dne "/>
    <w:docVar w:name="LW_EMISSION_SUFFIX" w:val=" "/>
    <w:docVar w:name="LW_ID_DOCTYPE_NONLW" w:val="CP-018"/>
    <w:docVar w:name="LW_LANGUE" w:val="CS"/>
    <w:docVar w:name="LW_LEVEL_OF_SENSITIVITY" w:val="Standard treatment"/>
    <w:docVar w:name="LW_NOM.INST" w:val="EVROPSKÁ KOMISE"/>
    <w:docVar w:name="LW_NOM.INST_JOINTDOC" w:val="VYSOKÝ P\u344?EDSTAVITEL _x000b_UNIE PRO ZAHRANI\u268?NÍ_x000b_V\u282?CI A BEZPE\u268?NOSTNÍ _x000b_POLITIKU"/>
    <w:docVar w:name="LW_PART_NBR" w:val="1"/>
    <w:docVar w:name="LW_PART_NBR_TOTAL" w:val="1"/>
    <w:docVar w:name="LW_REF.INST.NEW" w:val="JOIN"/>
    <w:docVar w:name="LW_REF.INST.NEW_ADOPTED" w:val="final"/>
    <w:docVar w:name="LW_REF.INST.NEW_TEXT" w:val="(2022) 1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Zvláštní administrativní oblast Macao: výroční zpráva za rok 2021"/>
    <w:docVar w:name="LW_TYPE.DOC.CP" w:val="SPOLEČNÁ ZPRÁVA EVROPSKÉMU PARLAMENTU A RADĚ"/>
    <w:docVar w:name="LwApiVersions" w:val="LW4CoDe 1.23.2.0; LW 8.0, Build 20211117"/>
  </w:docVars>
  <w:rsids>
    <w:rsidRoot w:val="00CC2B5C"/>
    <w:rsid w:val="000019F0"/>
    <w:rsid w:val="00007F9F"/>
    <w:rsid w:val="00014568"/>
    <w:rsid w:val="00015972"/>
    <w:rsid w:val="000161DA"/>
    <w:rsid w:val="000278A0"/>
    <w:rsid w:val="000300BF"/>
    <w:rsid w:val="0003397C"/>
    <w:rsid w:val="00033F65"/>
    <w:rsid w:val="00036D85"/>
    <w:rsid w:val="00042639"/>
    <w:rsid w:val="000442C9"/>
    <w:rsid w:val="00047446"/>
    <w:rsid w:val="00047537"/>
    <w:rsid w:val="00047641"/>
    <w:rsid w:val="00047AD1"/>
    <w:rsid w:val="0005134A"/>
    <w:rsid w:val="000517B2"/>
    <w:rsid w:val="0005264D"/>
    <w:rsid w:val="0005308C"/>
    <w:rsid w:val="0005603E"/>
    <w:rsid w:val="00057843"/>
    <w:rsid w:val="00060201"/>
    <w:rsid w:val="00064F45"/>
    <w:rsid w:val="000654AD"/>
    <w:rsid w:val="0006663C"/>
    <w:rsid w:val="00074EE1"/>
    <w:rsid w:val="00076074"/>
    <w:rsid w:val="00082D1F"/>
    <w:rsid w:val="00083360"/>
    <w:rsid w:val="00083A26"/>
    <w:rsid w:val="00085687"/>
    <w:rsid w:val="00085EE5"/>
    <w:rsid w:val="00087CCD"/>
    <w:rsid w:val="00090243"/>
    <w:rsid w:val="00093142"/>
    <w:rsid w:val="000936E2"/>
    <w:rsid w:val="00095E14"/>
    <w:rsid w:val="000964A3"/>
    <w:rsid w:val="000A3836"/>
    <w:rsid w:val="000B3743"/>
    <w:rsid w:val="000C31FB"/>
    <w:rsid w:val="000C5368"/>
    <w:rsid w:val="000C6621"/>
    <w:rsid w:val="000C6D03"/>
    <w:rsid w:val="000C71D4"/>
    <w:rsid w:val="000D1114"/>
    <w:rsid w:val="000D669E"/>
    <w:rsid w:val="000D67C2"/>
    <w:rsid w:val="000D75BD"/>
    <w:rsid w:val="000E3A56"/>
    <w:rsid w:val="000F5D0C"/>
    <w:rsid w:val="0010215F"/>
    <w:rsid w:val="001037DA"/>
    <w:rsid w:val="00103F64"/>
    <w:rsid w:val="00104501"/>
    <w:rsid w:val="00105181"/>
    <w:rsid w:val="00116E2E"/>
    <w:rsid w:val="00120EDF"/>
    <w:rsid w:val="0012679C"/>
    <w:rsid w:val="00127305"/>
    <w:rsid w:val="00127B76"/>
    <w:rsid w:val="00130F14"/>
    <w:rsid w:val="00135529"/>
    <w:rsid w:val="0013621D"/>
    <w:rsid w:val="00151377"/>
    <w:rsid w:val="001532AF"/>
    <w:rsid w:val="00153A44"/>
    <w:rsid w:val="001557F4"/>
    <w:rsid w:val="0015580E"/>
    <w:rsid w:val="00155D71"/>
    <w:rsid w:val="001564D8"/>
    <w:rsid w:val="0015787D"/>
    <w:rsid w:val="00161792"/>
    <w:rsid w:val="00162AB9"/>
    <w:rsid w:val="0016647D"/>
    <w:rsid w:val="00166A2F"/>
    <w:rsid w:val="00167215"/>
    <w:rsid w:val="0017083E"/>
    <w:rsid w:val="00172D99"/>
    <w:rsid w:val="00173FD8"/>
    <w:rsid w:val="0017482A"/>
    <w:rsid w:val="00174CF2"/>
    <w:rsid w:val="00175646"/>
    <w:rsid w:val="00177C23"/>
    <w:rsid w:val="00177C5B"/>
    <w:rsid w:val="00181E30"/>
    <w:rsid w:val="00185557"/>
    <w:rsid w:val="00190DB2"/>
    <w:rsid w:val="00194B04"/>
    <w:rsid w:val="001A6655"/>
    <w:rsid w:val="001A729B"/>
    <w:rsid w:val="001A73D0"/>
    <w:rsid w:val="001B0351"/>
    <w:rsid w:val="001B0999"/>
    <w:rsid w:val="001B37B8"/>
    <w:rsid w:val="001B3B5F"/>
    <w:rsid w:val="001B482E"/>
    <w:rsid w:val="001B70EC"/>
    <w:rsid w:val="001C0A22"/>
    <w:rsid w:val="001C5A21"/>
    <w:rsid w:val="001D31A8"/>
    <w:rsid w:val="001D5367"/>
    <w:rsid w:val="001D6EC8"/>
    <w:rsid w:val="001D7AF3"/>
    <w:rsid w:val="001F7E0D"/>
    <w:rsid w:val="00201FB3"/>
    <w:rsid w:val="00205E0F"/>
    <w:rsid w:val="00207767"/>
    <w:rsid w:val="00207CA1"/>
    <w:rsid w:val="00207F3A"/>
    <w:rsid w:val="00211ECD"/>
    <w:rsid w:val="00217E43"/>
    <w:rsid w:val="00224017"/>
    <w:rsid w:val="002254C7"/>
    <w:rsid w:val="00233408"/>
    <w:rsid w:val="00233E25"/>
    <w:rsid w:val="00234B9A"/>
    <w:rsid w:val="00240869"/>
    <w:rsid w:val="00243C6E"/>
    <w:rsid w:val="0024458A"/>
    <w:rsid w:val="00244671"/>
    <w:rsid w:val="00251651"/>
    <w:rsid w:val="002567CC"/>
    <w:rsid w:val="00263558"/>
    <w:rsid w:val="00271B7C"/>
    <w:rsid w:val="00277291"/>
    <w:rsid w:val="0028004F"/>
    <w:rsid w:val="00280B21"/>
    <w:rsid w:val="00280DDA"/>
    <w:rsid w:val="00282174"/>
    <w:rsid w:val="00282F93"/>
    <w:rsid w:val="0028447F"/>
    <w:rsid w:val="00287C99"/>
    <w:rsid w:val="00291314"/>
    <w:rsid w:val="00294756"/>
    <w:rsid w:val="002A5607"/>
    <w:rsid w:val="002A608F"/>
    <w:rsid w:val="002B0E3F"/>
    <w:rsid w:val="002B4D26"/>
    <w:rsid w:val="002C211E"/>
    <w:rsid w:val="002C2E75"/>
    <w:rsid w:val="002C73E1"/>
    <w:rsid w:val="002D710E"/>
    <w:rsid w:val="002E63E4"/>
    <w:rsid w:val="002F3AB2"/>
    <w:rsid w:val="002F5DB6"/>
    <w:rsid w:val="002F5E66"/>
    <w:rsid w:val="002F6C14"/>
    <w:rsid w:val="002F6DF8"/>
    <w:rsid w:val="0031302D"/>
    <w:rsid w:val="00314C7F"/>
    <w:rsid w:val="003167B6"/>
    <w:rsid w:val="00317302"/>
    <w:rsid w:val="003226E4"/>
    <w:rsid w:val="00324F33"/>
    <w:rsid w:val="003252A1"/>
    <w:rsid w:val="00331C56"/>
    <w:rsid w:val="0033521E"/>
    <w:rsid w:val="00337BFB"/>
    <w:rsid w:val="00343280"/>
    <w:rsid w:val="003454C6"/>
    <w:rsid w:val="0034562E"/>
    <w:rsid w:val="00347D3D"/>
    <w:rsid w:val="00355898"/>
    <w:rsid w:val="00357B4B"/>
    <w:rsid w:val="003619BB"/>
    <w:rsid w:val="00361C2F"/>
    <w:rsid w:val="003646DF"/>
    <w:rsid w:val="00364981"/>
    <w:rsid w:val="00372DDE"/>
    <w:rsid w:val="00377A04"/>
    <w:rsid w:val="00381F45"/>
    <w:rsid w:val="003875EC"/>
    <w:rsid w:val="00390C39"/>
    <w:rsid w:val="0039104E"/>
    <w:rsid w:val="003919A4"/>
    <w:rsid w:val="00393149"/>
    <w:rsid w:val="00394637"/>
    <w:rsid w:val="0039630E"/>
    <w:rsid w:val="003A216C"/>
    <w:rsid w:val="003A37DC"/>
    <w:rsid w:val="003A7BB4"/>
    <w:rsid w:val="003B02C3"/>
    <w:rsid w:val="003B23B9"/>
    <w:rsid w:val="003B2D37"/>
    <w:rsid w:val="003B5E32"/>
    <w:rsid w:val="003C17AE"/>
    <w:rsid w:val="003C1A84"/>
    <w:rsid w:val="003C2375"/>
    <w:rsid w:val="003C2E82"/>
    <w:rsid w:val="003C31D5"/>
    <w:rsid w:val="003C7A2F"/>
    <w:rsid w:val="003D391B"/>
    <w:rsid w:val="003D4FFA"/>
    <w:rsid w:val="003E30BC"/>
    <w:rsid w:val="003E3D9D"/>
    <w:rsid w:val="003E7C4E"/>
    <w:rsid w:val="003F3D9C"/>
    <w:rsid w:val="003F5C50"/>
    <w:rsid w:val="003F7CC0"/>
    <w:rsid w:val="00401703"/>
    <w:rsid w:val="00403CC9"/>
    <w:rsid w:val="00404B8B"/>
    <w:rsid w:val="00405B68"/>
    <w:rsid w:val="00406FA1"/>
    <w:rsid w:val="00413742"/>
    <w:rsid w:val="004204A4"/>
    <w:rsid w:val="004211E8"/>
    <w:rsid w:val="004270C7"/>
    <w:rsid w:val="004301CC"/>
    <w:rsid w:val="004314FB"/>
    <w:rsid w:val="0043339B"/>
    <w:rsid w:val="004336C4"/>
    <w:rsid w:val="00437D51"/>
    <w:rsid w:val="00442662"/>
    <w:rsid w:val="00443FE5"/>
    <w:rsid w:val="004452A8"/>
    <w:rsid w:val="00450F97"/>
    <w:rsid w:val="00450FE8"/>
    <w:rsid w:val="00453E1E"/>
    <w:rsid w:val="0045459E"/>
    <w:rsid w:val="00454A95"/>
    <w:rsid w:val="004559F9"/>
    <w:rsid w:val="004643E1"/>
    <w:rsid w:val="00465265"/>
    <w:rsid w:val="004718C9"/>
    <w:rsid w:val="004735A0"/>
    <w:rsid w:val="00475550"/>
    <w:rsid w:val="00475BF2"/>
    <w:rsid w:val="00477E60"/>
    <w:rsid w:val="0048244D"/>
    <w:rsid w:val="0048270F"/>
    <w:rsid w:val="004868C3"/>
    <w:rsid w:val="00493B4C"/>
    <w:rsid w:val="004A2ECD"/>
    <w:rsid w:val="004A6260"/>
    <w:rsid w:val="004A790F"/>
    <w:rsid w:val="004B055E"/>
    <w:rsid w:val="004B190E"/>
    <w:rsid w:val="004B79BD"/>
    <w:rsid w:val="004C333B"/>
    <w:rsid w:val="004D5F19"/>
    <w:rsid w:val="004D7A3F"/>
    <w:rsid w:val="004E1685"/>
    <w:rsid w:val="004F4539"/>
    <w:rsid w:val="004F6BBD"/>
    <w:rsid w:val="00505EA1"/>
    <w:rsid w:val="00511928"/>
    <w:rsid w:val="005138B6"/>
    <w:rsid w:val="00522B71"/>
    <w:rsid w:val="00523AB9"/>
    <w:rsid w:val="00523C7C"/>
    <w:rsid w:val="005249A6"/>
    <w:rsid w:val="00527E20"/>
    <w:rsid w:val="00534174"/>
    <w:rsid w:val="005346E9"/>
    <w:rsid w:val="00535B78"/>
    <w:rsid w:val="00536AD3"/>
    <w:rsid w:val="00537943"/>
    <w:rsid w:val="0054145E"/>
    <w:rsid w:val="00542FC8"/>
    <w:rsid w:val="0054340E"/>
    <w:rsid w:val="00545B19"/>
    <w:rsid w:val="00555FF8"/>
    <w:rsid w:val="00560739"/>
    <w:rsid w:val="00560746"/>
    <w:rsid w:val="00564411"/>
    <w:rsid w:val="005660D4"/>
    <w:rsid w:val="005733FA"/>
    <w:rsid w:val="00573DC3"/>
    <w:rsid w:val="0058127F"/>
    <w:rsid w:val="00590E3F"/>
    <w:rsid w:val="00595183"/>
    <w:rsid w:val="00596BA5"/>
    <w:rsid w:val="00597109"/>
    <w:rsid w:val="005A26B9"/>
    <w:rsid w:val="005A2A9E"/>
    <w:rsid w:val="005A5609"/>
    <w:rsid w:val="005A633A"/>
    <w:rsid w:val="005B45C2"/>
    <w:rsid w:val="005B4D38"/>
    <w:rsid w:val="005B4F4A"/>
    <w:rsid w:val="005B59EC"/>
    <w:rsid w:val="005D5E26"/>
    <w:rsid w:val="005D66B9"/>
    <w:rsid w:val="005E2D17"/>
    <w:rsid w:val="005E3F6E"/>
    <w:rsid w:val="005F2528"/>
    <w:rsid w:val="005F30FE"/>
    <w:rsid w:val="005F50FF"/>
    <w:rsid w:val="0061033B"/>
    <w:rsid w:val="0061044C"/>
    <w:rsid w:val="006145C8"/>
    <w:rsid w:val="00615FE3"/>
    <w:rsid w:val="00617DDA"/>
    <w:rsid w:val="00621653"/>
    <w:rsid w:val="00622113"/>
    <w:rsid w:val="00623CE3"/>
    <w:rsid w:val="00630EBA"/>
    <w:rsid w:val="00633DDC"/>
    <w:rsid w:val="0063706B"/>
    <w:rsid w:val="00642ECC"/>
    <w:rsid w:val="00643FEF"/>
    <w:rsid w:val="00646CC6"/>
    <w:rsid w:val="0065108E"/>
    <w:rsid w:val="00656B05"/>
    <w:rsid w:val="00657BED"/>
    <w:rsid w:val="00664337"/>
    <w:rsid w:val="00665552"/>
    <w:rsid w:val="00667D79"/>
    <w:rsid w:val="0067267D"/>
    <w:rsid w:val="00672E81"/>
    <w:rsid w:val="006756C0"/>
    <w:rsid w:val="00675B1B"/>
    <w:rsid w:val="00676E47"/>
    <w:rsid w:val="006812EF"/>
    <w:rsid w:val="006864DF"/>
    <w:rsid w:val="0069081E"/>
    <w:rsid w:val="0069784C"/>
    <w:rsid w:val="006A2968"/>
    <w:rsid w:val="006A3B3B"/>
    <w:rsid w:val="006A410C"/>
    <w:rsid w:val="006A5ABA"/>
    <w:rsid w:val="006A631F"/>
    <w:rsid w:val="006A66B1"/>
    <w:rsid w:val="006B61F9"/>
    <w:rsid w:val="006B7761"/>
    <w:rsid w:val="006C120E"/>
    <w:rsid w:val="006C5A7A"/>
    <w:rsid w:val="006C5BDC"/>
    <w:rsid w:val="006E057D"/>
    <w:rsid w:val="006E0F12"/>
    <w:rsid w:val="006F1C4C"/>
    <w:rsid w:val="006F71C0"/>
    <w:rsid w:val="006F789A"/>
    <w:rsid w:val="006F7E5D"/>
    <w:rsid w:val="007001AE"/>
    <w:rsid w:val="007073B1"/>
    <w:rsid w:val="00707DF8"/>
    <w:rsid w:val="007117EA"/>
    <w:rsid w:val="0071192F"/>
    <w:rsid w:val="00717C46"/>
    <w:rsid w:val="00723317"/>
    <w:rsid w:val="00733E7B"/>
    <w:rsid w:val="00735E6E"/>
    <w:rsid w:val="00735F5E"/>
    <w:rsid w:val="00736AC9"/>
    <w:rsid w:val="00743C9E"/>
    <w:rsid w:val="00754015"/>
    <w:rsid w:val="00784AB1"/>
    <w:rsid w:val="00790996"/>
    <w:rsid w:val="007A10B1"/>
    <w:rsid w:val="007A54ED"/>
    <w:rsid w:val="007A6B1F"/>
    <w:rsid w:val="007A79E5"/>
    <w:rsid w:val="007B1CDE"/>
    <w:rsid w:val="007B5A3A"/>
    <w:rsid w:val="007B73C7"/>
    <w:rsid w:val="007B7E1A"/>
    <w:rsid w:val="007C04AA"/>
    <w:rsid w:val="007C3C92"/>
    <w:rsid w:val="007C63D1"/>
    <w:rsid w:val="007D79F1"/>
    <w:rsid w:val="007E3803"/>
    <w:rsid w:val="007E3A27"/>
    <w:rsid w:val="007E7479"/>
    <w:rsid w:val="007F1405"/>
    <w:rsid w:val="007F253F"/>
    <w:rsid w:val="0080062E"/>
    <w:rsid w:val="008056B5"/>
    <w:rsid w:val="00813EA2"/>
    <w:rsid w:val="00816851"/>
    <w:rsid w:val="00823550"/>
    <w:rsid w:val="00825973"/>
    <w:rsid w:val="00826BCA"/>
    <w:rsid w:val="00827168"/>
    <w:rsid w:val="00831131"/>
    <w:rsid w:val="00832749"/>
    <w:rsid w:val="00834B2A"/>
    <w:rsid w:val="00843364"/>
    <w:rsid w:val="00843839"/>
    <w:rsid w:val="0084385A"/>
    <w:rsid w:val="00843934"/>
    <w:rsid w:val="00846C5C"/>
    <w:rsid w:val="00851527"/>
    <w:rsid w:val="00852282"/>
    <w:rsid w:val="00861243"/>
    <w:rsid w:val="00863EBE"/>
    <w:rsid w:val="00864596"/>
    <w:rsid w:val="0086512A"/>
    <w:rsid w:val="00865C2E"/>
    <w:rsid w:val="00870499"/>
    <w:rsid w:val="00871402"/>
    <w:rsid w:val="00872460"/>
    <w:rsid w:val="008765D4"/>
    <w:rsid w:val="00880ADE"/>
    <w:rsid w:val="008828C2"/>
    <w:rsid w:val="00883D1D"/>
    <w:rsid w:val="008862D7"/>
    <w:rsid w:val="008863C0"/>
    <w:rsid w:val="00890081"/>
    <w:rsid w:val="00893CD3"/>
    <w:rsid w:val="0089599A"/>
    <w:rsid w:val="00896B41"/>
    <w:rsid w:val="008A0AAE"/>
    <w:rsid w:val="008A15C3"/>
    <w:rsid w:val="008A5F04"/>
    <w:rsid w:val="008B1D36"/>
    <w:rsid w:val="008B2948"/>
    <w:rsid w:val="008B2E00"/>
    <w:rsid w:val="008B3024"/>
    <w:rsid w:val="008B3E37"/>
    <w:rsid w:val="008B470A"/>
    <w:rsid w:val="008B6AA2"/>
    <w:rsid w:val="008C41A7"/>
    <w:rsid w:val="008D1169"/>
    <w:rsid w:val="008D2F12"/>
    <w:rsid w:val="008D7495"/>
    <w:rsid w:val="008E2FC9"/>
    <w:rsid w:val="008E5065"/>
    <w:rsid w:val="008E7D29"/>
    <w:rsid w:val="008F318F"/>
    <w:rsid w:val="008F649A"/>
    <w:rsid w:val="00906F5B"/>
    <w:rsid w:val="00911DC5"/>
    <w:rsid w:val="009231B1"/>
    <w:rsid w:val="00923B97"/>
    <w:rsid w:val="00924D33"/>
    <w:rsid w:val="00927372"/>
    <w:rsid w:val="00930754"/>
    <w:rsid w:val="00931B88"/>
    <w:rsid w:val="00933FAE"/>
    <w:rsid w:val="0094021B"/>
    <w:rsid w:val="009444E2"/>
    <w:rsid w:val="00950870"/>
    <w:rsid w:val="00950ED2"/>
    <w:rsid w:val="00952260"/>
    <w:rsid w:val="00953D97"/>
    <w:rsid w:val="00955048"/>
    <w:rsid w:val="00967AB4"/>
    <w:rsid w:val="00967D3F"/>
    <w:rsid w:val="009727FA"/>
    <w:rsid w:val="00974DC1"/>
    <w:rsid w:val="00976253"/>
    <w:rsid w:val="0097725E"/>
    <w:rsid w:val="00981294"/>
    <w:rsid w:val="00987DE2"/>
    <w:rsid w:val="00995D88"/>
    <w:rsid w:val="00997E4B"/>
    <w:rsid w:val="009A006C"/>
    <w:rsid w:val="009A17B6"/>
    <w:rsid w:val="009A41A9"/>
    <w:rsid w:val="009A5A0C"/>
    <w:rsid w:val="009A5EDF"/>
    <w:rsid w:val="009A6B5D"/>
    <w:rsid w:val="009B6A10"/>
    <w:rsid w:val="009B705C"/>
    <w:rsid w:val="009B77AC"/>
    <w:rsid w:val="009C1672"/>
    <w:rsid w:val="009C1BB1"/>
    <w:rsid w:val="009C5158"/>
    <w:rsid w:val="009C6D82"/>
    <w:rsid w:val="009C7A01"/>
    <w:rsid w:val="009D135C"/>
    <w:rsid w:val="009D762D"/>
    <w:rsid w:val="009D76F2"/>
    <w:rsid w:val="009E232D"/>
    <w:rsid w:val="009E45A6"/>
    <w:rsid w:val="009E779B"/>
    <w:rsid w:val="009F0468"/>
    <w:rsid w:val="009F1B65"/>
    <w:rsid w:val="009F26A4"/>
    <w:rsid w:val="009F56CF"/>
    <w:rsid w:val="00A028B3"/>
    <w:rsid w:val="00A046F8"/>
    <w:rsid w:val="00A04D5D"/>
    <w:rsid w:val="00A05B55"/>
    <w:rsid w:val="00A06ACA"/>
    <w:rsid w:val="00A16275"/>
    <w:rsid w:val="00A22688"/>
    <w:rsid w:val="00A27E6A"/>
    <w:rsid w:val="00A312B6"/>
    <w:rsid w:val="00A335F5"/>
    <w:rsid w:val="00A363F6"/>
    <w:rsid w:val="00A378CD"/>
    <w:rsid w:val="00A4694F"/>
    <w:rsid w:val="00A522AC"/>
    <w:rsid w:val="00A533B1"/>
    <w:rsid w:val="00A54ADD"/>
    <w:rsid w:val="00A554BB"/>
    <w:rsid w:val="00A57CD0"/>
    <w:rsid w:val="00A57D39"/>
    <w:rsid w:val="00A60933"/>
    <w:rsid w:val="00A614AD"/>
    <w:rsid w:val="00A635BA"/>
    <w:rsid w:val="00A74E17"/>
    <w:rsid w:val="00A82579"/>
    <w:rsid w:val="00A90BCC"/>
    <w:rsid w:val="00A915CA"/>
    <w:rsid w:val="00A93E39"/>
    <w:rsid w:val="00A9751E"/>
    <w:rsid w:val="00A977B7"/>
    <w:rsid w:val="00AB0421"/>
    <w:rsid w:val="00AB06BA"/>
    <w:rsid w:val="00AB289E"/>
    <w:rsid w:val="00AB6B06"/>
    <w:rsid w:val="00AC196E"/>
    <w:rsid w:val="00AC212C"/>
    <w:rsid w:val="00AC54CC"/>
    <w:rsid w:val="00AD28BC"/>
    <w:rsid w:val="00AD331E"/>
    <w:rsid w:val="00AD382F"/>
    <w:rsid w:val="00AE4216"/>
    <w:rsid w:val="00AE6BAF"/>
    <w:rsid w:val="00AF062D"/>
    <w:rsid w:val="00AF315A"/>
    <w:rsid w:val="00B01231"/>
    <w:rsid w:val="00B13CD6"/>
    <w:rsid w:val="00B159AD"/>
    <w:rsid w:val="00B21AEE"/>
    <w:rsid w:val="00B367C9"/>
    <w:rsid w:val="00B379F6"/>
    <w:rsid w:val="00B37F70"/>
    <w:rsid w:val="00B41FC4"/>
    <w:rsid w:val="00B458DF"/>
    <w:rsid w:val="00B504FD"/>
    <w:rsid w:val="00B50A7B"/>
    <w:rsid w:val="00B65693"/>
    <w:rsid w:val="00B6598F"/>
    <w:rsid w:val="00B717FC"/>
    <w:rsid w:val="00B770E4"/>
    <w:rsid w:val="00B77578"/>
    <w:rsid w:val="00B77E17"/>
    <w:rsid w:val="00B81A44"/>
    <w:rsid w:val="00B84F4E"/>
    <w:rsid w:val="00BA0DCC"/>
    <w:rsid w:val="00BA4A27"/>
    <w:rsid w:val="00BA4EFE"/>
    <w:rsid w:val="00BB3328"/>
    <w:rsid w:val="00BB5544"/>
    <w:rsid w:val="00BB6171"/>
    <w:rsid w:val="00BB79F7"/>
    <w:rsid w:val="00BC3AEF"/>
    <w:rsid w:val="00BC4700"/>
    <w:rsid w:val="00BD2FFC"/>
    <w:rsid w:val="00BD33CA"/>
    <w:rsid w:val="00BD47E8"/>
    <w:rsid w:val="00BD73BD"/>
    <w:rsid w:val="00BE05D6"/>
    <w:rsid w:val="00BE100F"/>
    <w:rsid w:val="00BE1F24"/>
    <w:rsid w:val="00BE43D5"/>
    <w:rsid w:val="00BE4D38"/>
    <w:rsid w:val="00BE6904"/>
    <w:rsid w:val="00BF10EB"/>
    <w:rsid w:val="00BF77A0"/>
    <w:rsid w:val="00BF7B89"/>
    <w:rsid w:val="00C008B1"/>
    <w:rsid w:val="00C01D45"/>
    <w:rsid w:val="00C04E7A"/>
    <w:rsid w:val="00C05E74"/>
    <w:rsid w:val="00C0682D"/>
    <w:rsid w:val="00C07D89"/>
    <w:rsid w:val="00C124E4"/>
    <w:rsid w:val="00C140FC"/>
    <w:rsid w:val="00C15583"/>
    <w:rsid w:val="00C176BD"/>
    <w:rsid w:val="00C234F2"/>
    <w:rsid w:val="00C24082"/>
    <w:rsid w:val="00C31F06"/>
    <w:rsid w:val="00C54920"/>
    <w:rsid w:val="00C54B90"/>
    <w:rsid w:val="00C5506E"/>
    <w:rsid w:val="00C60896"/>
    <w:rsid w:val="00C7062A"/>
    <w:rsid w:val="00C74954"/>
    <w:rsid w:val="00C75745"/>
    <w:rsid w:val="00C75BF6"/>
    <w:rsid w:val="00C80A7E"/>
    <w:rsid w:val="00C81ED1"/>
    <w:rsid w:val="00C82DF4"/>
    <w:rsid w:val="00C9235C"/>
    <w:rsid w:val="00C95F0C"/>
    <w:rsid w:val="00C968AF"/>
    <w:rsid w:val="00C97B31"/>
    <w:rsid w:val="00CA3844"/>
    <w:rsid w:val="00CA3A66"/>
    <w:rsid w:val="00CA5966"/>
    <w:rsid w:val="00CB52E7"/>
    <w:rsid w:val="00CC1431"/>
    <w:rsid w:val="00CC2B5C"/>
    <w:rsid w:val="00CD266C"/>
    <w:rsid w:val="00CD30B5"/>
    <w:rsid w:val="00CD34B7"/>
    <w:rsid w:val="00CD4367"/>
    <w:rsid w:val="00CD666F"/>
    <w:rsid w:val="00CF1D9E"/>
    <w:rsid w:val="00D01F2D"/>
    <w:rsid w:val="00D035F8"/>
    <w:rsid w:val="00D03F95"/>
    <w:rsid w:val="00D05068"/>
    <w:rsid w:val="00D05607"/>
    <w:rsid w:val="00D12B03"/>
    <w:rsid w:val="00D12E41"/>
    <w:rsid w:val="00D12E56"/>
    <w:rsid w:val="00D132FF"/>
    <w:rsid w:val="00D135F6"/>
    <w:rsid w:val="00D13A27"/>
    <w:rsid w:val="00D170FB"/>
    <w:rsid w:val="00D22909"/>
    <w:rsid w:val="00D2698A"/>
    <w:rsid w:val="00D33A76"/>
    <w:rsid w:val="00D35D1F"/>
    <w:rsid w:val="00D366B4"/>
    <w:rsid w:val="00D37DBC"/>
    <w:rsid w:val="00D42932"/>
    <w:rsid w:val="00D468C4"/>
    <w:rsid w:val="00D5043E"/>
    <w:rsid w:val="00D51667"/>
    <w:rsid w:val="00D52A30"/>
    <w:rsid w:val="00D54544"/>
    <w:rsid w:val="00D61AED"/>
    <w:rsid w:val="00D61E2B"/>
    <w:rsid w:val="00D64758"/>
    <w:rsid w:val="00D70777"/>
    <w:rsid w:val="00D72AF8"/>
    <w:rsid w:val="00D86749"/>
    <w:rsid w:val="00D8738A"/>
    <w:rsid w:val="00D87DC0"/>
    <w:rsid w:val="00D90315"/>
    <w:rsid w:val="00D91404"/>
    <w:rsid w:val="00D93CE6"/>
    <w:rsid w:val="00DA0680"/>
    <w:rsid w:val="00DB29AC"/>
    <w:rsid w:val="00DB6A28"/>
    <w:rsid w:val="00DB7F3A"/>
    <w:rsid w:val="00DD0402"/>
    <w:rsid w:val="00DD66CF"/>
    <w:rsid w:val="00DD7BDB"/>
    <w:rsid w:val="00DF1D68"/>
    <w:rsid w:val="00DF1F5F"/>
    <w:rsid w:val="00DF3669"/>
    <w:rsid w:val="00DF390F"/>
    <w:rsid w:val="00DF6BB1"/>
    <w:rsid w:val="00DF781C"/>
    <w:rsid w:val="00E0137E"/>
    <w:rsid w:val="00E020E2"/>
    <w:rsid w:val="00E038D7"/>
    <w:rsid w:val="00E043B3"/>
    <w:rsid w:val="00E15917"/>
    <w:rsid w:val="00E20C54"/>
    <w:rsid w:val="00E279BA"/>
    <w:rsid w:val="00E3103C"/>
    <w:rsid w:val="00E43449"/>
    <w:rsid w:val="00E44E11"/>
    <w:rsid w:val="00E461AA"/>
    <w:rsid w:val="00E46A3B"/>
    <w:rsid w:val="00E47618"/>
    <w:rsid w:val="00E50A94"/>
    <w:rsid w:val="00E51267"/>
    <w:rsid w:val="00E51B0B"/>
    <w:rsid w:val="00E5233F"/>
    <w:rsid w:val="00E52E69"/>
    <w:rsid w:val="00E54E36"/>
    <w:rsid w:val="00E5694A"/>
    <w:rsid w:val="00E61EE3"/>
    <w:rsid w:val="00E65E0C"/>
    <w:rsid w:val="00E72B7D"/>
    <w:rsid w:val="00E73A07"/>
    <w:rsid w:val="00E76324"/>
    <w:rsid w:val="00E842F3"/>
    <w:rsid w:val="00E90157"/>
    <w:rsid w:val="00E96148"/>
    <w:rsid w:val="00E969D7"/>
    <w:rsid w:val="00E96CB7"/>
    <w:rsid w:val="00E97B8B"/>
    <w:rsid w:val="00EA3B80"/>
    <w:rsid w:val="00EA4BA7"/>
    <w:rsid w:val="00EB5903"/>
    <w:rsid w:val="00EB7194"/>
    <w:rsid w:val="00EC1BDD"/>
    <w:rsid w:val="00EC5173"/>
    <w:rsid w:val="00ED0860"/>
    <w:rsid w:val="00ED08A4"/>
    <w:rsid w:val="00ED317F"/>
    <w:rsid w:val="00ED37CB"/>
    <w:rsid w:val="00ED67E2"/>
    <w:rsid w:val="00EE1563"/>
    <w:rsid w:val="00EE241B"/>
    <w:rsid w:val="00EF0599"/>
    <w:rsid w:val="00EF78F9"/>
    <w:rsid w:val="00EF7BD4"/>
    <w:rsid w:val="00F00A8E"/>
    <w:rsid w:val="00F0484B"/>
    <w:rsid w:val="00F13A80"/>
    <w:rsid w:val="00F1758A"/>
    <w:rsid w:val="00F21AAB"/>
    <w:rsid w:val="00F22EE8"/>
    <w:rsid w:val="00F2605E"/>
    <w:rsid w:val="00F34D1E"/>
    <w:rsid w:val="00F422D6"/>
    <w:rsid w:val="00F55C12"/>
    <w:rsid w:val="00F567BB"/>
    <w:rsid w:val="00F6234D"/>
    <w:rsid w:val="00F63E97"/>
    <w:rsid w:val="00F64511"/>
    <w:rsid w:val="00F65F65"/>
    <w:rsid w:val="00F667C6"/>
    <w:rsid w:val="00F668E6"/>
    <w:rsid w:val="00F677A1"/>
    <w:rsid w:val="00F72B83"/>
    <w:rsid w:val="00F770D9"/>
    <w:rsid w:val="00F8435D"/>
    <w:rsid w:val="00F85536"/>
    <w:rsid w:val="00F92C1A"/>
    <w:rsid w:val="00F943DA"/>
    <w:rsid w:val="00F967D5"/>
    <w:rsid w:val="00FB05C7"/>
    <w:rsid w:val="00FB666B"/>
    <w:rsid w:val="00FB6C68"/>
    <w:rsid w:val="00FB72A5"/>
    <w:rsid w:val="00FC44BE"/>
    <w:rsid w:val="00FC5BC3"/>
    <w:rsid w:val="00FC5C8C"/>
    <w:rsid w:val="00FD14BF"/>
    <w:rsid w:val="00FD200E"/>
    <w:rsid w:val="00FD28BC"/>
    <w:rsid w:val="00FE073B"/>
    <w:rsid w:val="00FF1538"/>
    <w:rsid w:val="00FF19FC"/>
    <w:rsid w:val="00FF220C"/>
    <w:rsid w:val="00FF2278"/>
    <w:rsid w:val="00FF4095"/>
    <w:rsid w:val="00FF43AC"/>
    <w:rsid w:val="00FF6471"/>
    <w:rsid w:val="00FF7C9E"/>
    <w:rsid w:val="00FF7F2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C6631B"/>
  <w15:docId w15:val="{AFECE337-8B9E-496A-811B-8EB73EDE2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B5C"/>
    <w:rPr>
      <w:rFonts w:eastAsiaTheme="minorHAnsi"/>
      <w:lang w:eastAsia="en-US"/>
    </w:rPr>
  </w:style>
  <w:style w:type="paragraph" w:styleId="Heading1">
    <w:name w:val="heading 1"/>
    <w:basedOn w:val="Normal"/>
    <w:next w:val="Normal"/>
    <w:link w:val="Heading1Char"/>
    <w:uiPriority w:val="9"/>
    <w:qFormat/>
    <w:rsid w:val="00E512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875E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unhideWhenUsed/>
    <w:qFormat/>
    <w:rsid w:val="00394637"/>
    <w:pPr>
      <w:spacing w:before="100" w:beforeAutospacing="1" w:after="100" w:afterAutospacing="1" w:line="240" w:lineRule="auto"/>
      <w:outlineLvl w:val="2"/>
    </w:pPr>
    <w:rPr>
      <w:rFonts w:ascii="Times New Roman" w:hAnsi="Times New Roman" w:cs="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C2B5C"/>
    <w:pPr>
      <w:autoSpaceDE w:val="0"/>
      <w:autoSpaceDN w:val="0"/>
      <w:adjustRightInd w:val="0"/>
      <w:spacing w:after="0" w:line="240" w:lineRule="auto"/>
    </w:pPr>
    <w:rPr>
      <w:rFonts w:ascii="Times New Roman" w:eastAsia="PMingLiU" w:hAnsi="Times New Roman" w:cs="Times New Roman"/>
      <w:color w:val="000000"/>
      <w:sz w:val="24"/>
      <w:szCs w:val="24"/>
      <w:lang w:eastAsia="en-US"/>
    </w:rPr>
  </w:style>
  <w:style w:type="character" w:customStyle="1" w:styleId="Heading3Char">
    <w:name w:val="Heading 3 Char"/>
    <w:basedOn w:val="DefaultParagraphFont"/>
    <w:link w:val="Heading3"/>
    <w:uiPriority w:val="9"/>
    <w:rsid w:val="00394637"/>
    <w:rPr>
      <w:rFonts w:ascii="Times New Roman" w:eastAsiaTheme="minorHAnsi" w:hAnsi="Times New Roman" w:cs="Times New Roman"/>
      <w:b/>
      <w:bCs/>
      <w:sz w:val="27"/>
      <w:szCs w:val="27"/>
      <w:lang w:eastAsia="en-GB"/>
    </w:rPr>
  </w:style>
  <w:style w:type="character" w:styleId="Emphasis">
    <w:name w:val="Emphasis"/>
    <w:basedOn w:val="DefaultParagraphFont"/>
    <w:uiPriority w:val="20"/>
    <w:qFormat/>
    <w:rsid w:val="00555FF8"/>
    <w:rPr>
      <w:i/>
      <w:iCs/>
    </w:rPr>
  </w:style>
  <w:style w:type="character" w:styleId="CommentReference">
    <w:name w:val="annotation reference"/>
    <w:basedOn w:val="DefaultParagraphFont"/>
    <w:uiPriority w:val="99"/>
    <w:semiHidden/>
    <w:unhideWhenUsed/>
    <w:rsid w:val="00555FF8"/>
    <w:rPr>
      <w:sz w:val="16"/>
      <w:szCs w:val="16"/>
    </w:rPr>
  </w:style>
  <w:style w:type="paragraph" w:styleId="CommentText">
    <w:name w:val="annotation text"/>
    <w:basedOn w:val="Normal"/>
    <w:link w:val="CommentTextChar"/>
    <w:uiPriority w:val="99"/>
    <w:semiHidden/>
    <w:unhideWhenUsed/>
    <w:rsid w:val="00555FF8"/>
    <w:pPr>
      <w:spacing w:line="240" w:lineRule="auto"/>
    </w:pPr>
    <w:rPr>
      <w:sz w:val="20"/>
      <w:szCs w:val="20"/>
    </w:rPr>
  </w:style>
  <w:style w:type="character" w:customStyle="1" w:styleId="CommentTextChar">
    <w:name w:val="Comment Text Char"/>
    <w:basedOn w:val="DefaultParagraphFont"/>
    <w:link w:val="CommentText"/>
    <w:uiPriority w:val="99"/>
    <w:semiHidden/>
    <w:rsid w:val="00555FF8"/>
    <w:rPr>
      <w:rFonts w:eastAsiaTheme="minorHAnsi"/>
      <w:sz w:val="20"/>
      <w:szCs w:val="20"/>
      <w:lang w:eastAsia="en-US"/>
    </w:rPr>
  </w:style>
  <w:style w:type="paragraph" w:styleId="BalloonText">
    <w:name w:val="Balloon Text"/>
    <w:basedOn w:val="Normal"/>
    <w:link w:val="BalloonTextChar"/>
    <w:uiPriority w:val="99"/>
    <w:semiHidden/>
    <w:unhideWhenUsed/>
    <w:rsid w:val="00555F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5FF8"/>
    <w:rPr>
      <w:rFonts w:ascii="Segoe UI" w:eastAsiaTheme="minorHAnsi" w:hAnsi="Segoe UI" w:cs="Segoe UI"/>
      <w:sz w:val="18"/>
      <w:szCs w:val="18"/>
      <w:lang w:eastAsia="en-US"/>
    </w:rPr>
  </w:style>
  <w:style w:type="character" w:styleId="Hyperlink">
    <w:name w:val="Hyperlink"/>
    <w:basedOn w:val="DefaultParagraphFont"/>
    <w:uiPriority w:val="99"/>
    <w:unhideWhenUsed/>
    <w:rsid w:val="005B59EC"/>
    <w:rPr>
      <w:color w:val="0563C1" w:themeColor="hyperlink"/>
      <w:u w:val="single"/>
    </w:rPr>
  </w:style>
  <w:style w:type="paragraph" w:styleId="FootnoteText">
    <w:name w:val="footnote text"/>
    <w:basedOn w:val="Normal"/>
    <w:link w:val="FootnoteTextChar"/>
    <w:rsid w:val="00280B21"/>
    <w:pPr>
      <w:spacing w:after="0" w:line="240" w:lineRule="auto"/>
      <w:ind w:left="720" w:hanging="72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280B21"/>
    <w:rPr>
      <w:rFonts w:ascii="Times New Roman" w:eastAsia="Times New Roman" w:hAnsi="Times New Roman" w:cs="Times New Roman"/>
      <w:sz w:val="20"/>
      <w:szCs w:val="20"/>
      <w:lang w:val="cs-CZ" w:eastAsia="en-US"/>
    </w:rPr>
  </w:style>
  <w:style w:type="character" w:styleId="FootnoteReference">
    <w:name w:val="footnote reference"/>
    <w:uiPriority w:val="99"/>
    <w:rsid w:val="00280B21"/>
    <w:rPr>
      <w:shd w:val="clear" w:color="auto" w:fill="auto"/>
      <w:vertAlign w:val="superscript"/>
    </w:rPr>
  </w:style>
  <w:style w:type="paragraph" w:styleId="CommentSubject">
    <w:name w:val="annotation subject"/>
    <w:basedOn w:val="CommentText"/>
    <w:next w:val="CommentText"/>
    <w:link w:val="CommentSubjectChar"/>
    <w:uiPriority w:val="99"/>
    <w:semiHidden/>
    <w:unhideWhenUsed/>
    <w:rsid w:val="00393149"/>
    <w:rPr>
      <w:b/>
      <w:bCs/>
    </w:rPr>
  </w:style>
  <w:style w:type="character" w:customStyle="1" w:styleId="CommentSubjectChar">
    <w:name w:val="Comment Subject Char"/>
    <w:basedOn w:val="CommentTextChar"/>
    <w:link w:val="CommentSubject"/>
    <w:uiPriority w:val="99"/>
    <w:semiHidden/>
    <w:rsid w:val="00393149"/>
    <w:rPr>
      <w:rFonts w:eastAsiaTheme="minorHAnsi"/>
      <w:b/>
      <w:bCs/>
      <w:sz w:val="20"/>
      <w:szCs w:val="20"/>
      <w:lang w:eastAsia="en-US"/>
    </w:rPr>
  </w:style>
  <w:style w:type="paragraph" w:styleId="Header">
    <w:name w:val="header"/>
    <w:basedOn w:val="Normal"/>
    <w:link w:val="HeaderChar"/>
    <w:uiPriority w:val="99"/>
    <w:unhideWhenUsed/>
    <w:rsid w:val="007F25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53F"/>
    <w:rPr>
      <w:rFonts w:eastAsiaTheme="minorHAnsi"/>
      <w:lang w:eastAsia="en-US"/>
    </w:rPr>
  </w:style>
  <w:style w:type="paragraph" w:styleId="Footer">
    <w:name w:val="footer"/>
    <w:basedOn w:val="Normal"/>
    <w:link w:val="FooterChar"/>
    <w:uiPriority w:val="99"/>
    <w:unhideWhenUsed/>
    <w:rsid w:val="007F25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53F"/>
    <w:rPr>
      <w:rFonts w:eastAsiaTheme="minorHAnsi"/>
      <w:lang w:eastAsia="en-US"/>
    </w:rPr>
  </w:style>
  <w:style w:type="character" w:customStyle="1" w:styleId="Heading1Char">
    <w:name w:val="Heading 1 Char"/>
    <w:basedOn w:val="DefaultParagraphFont"/>
    <w:link w:val="Heading1"/>
    <w:uiPriority w:val="9"/>
    <w:rsid w:val="00E51267"/>
    <w:rPr>
      <w:rFonts w:asciiTheme="majorHAnsi" w:eastAsiaTheme="majorEastAsia" w:hAnsiTheme="majorHAnsi" w:cstheme="majorBidi"/>
      <w:color w:val="2E74B5" w:themeColor="accent1" w:themeShade="BF"/>
      <w:sz w:val="32"/>
      <w:szCs w:val="32"/>
      <w:lang w:eastAsia="en-US"/>
    </w:rPr>
  </w:style>
  <w:style w:type="paragraph" w:styleId="EndnoteText">
    <w:name w:val="endnote text"/>
    <w:basedOn w:val="Normal"/>
    <w:link w:val="EndnoteTextChar"/>
    <w:uiPriority w:val="99"/>
    <w:semiHidden/>
    <w:unhideWhenUsed/>
    <w:rsid w:val="00FB6C6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B6C68"/>
    <w:rPr>
      <w:rFonts w:eastAsiaTheme="minorHAnsi"/>
      <w:sz w:val="20"/>
      <w:szCs w:val="20"/>
      <w:lang w:eastAsia="en-US"/>
    </w:rPr>
  </w:style>
  <w:style w:type="character" w:styleId="EndnoteReference">
    <w:name w:val="endnote reference"/>
    <w:basedOn w:val="DefaultParagraphFont"/>
    <w:uiPriority w:val="99"/>
    <w:semiHidden/>
    <w:unhideWhenUsed/>
    <w:rsid w:val="00FB6C68"/>
    <w:rPr>
      <w:vertAlign w:val="superscript"/>
    </w:rPr>
  </w:style>
  <w:style w:type="character" w:styleId="FollowedHyperlink">
    <w:name w:val="FollowedHyperlink"/>
    <w:basedOn w:val="DefaultParagraphFont"/>
    <w:uiPriority w:val="99"/>
    <w:semiHidden/>
    <w:unhideWhenUsed/>
    <w:rsid w:val="000654AD"/>
    <w:rPr>
      <w:color w:val="954F72" w:themeColor="followedHyperlink"/>
      <w:u w:val="single"/>
    </w:rPr>
  </w:style>
  <w:style w:type="paragraph" w:styleId="HTMLPreformatted">
    <w:name w:val="HTML Preformatted"/>
    <w:basedOn w:val="Normal"/>
    <w:link w:val="HTMLPreformattedChar"/>
    <w:uiPriority w:val="99"/>
    <w:semiHidden/>
    <w:unhideWhenUsed/>
    <w:rsid w:val="00387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3875EC"/>
    <w:rPr>
      <w:rFonts w:ascii="Courier New" w:eastAsia="Times New Roman" w:hAnsi="Courier New" w:cs="Courier New"/>
      <w:sz w:val="20"/>
      <w:szCs w:val="20"/>
      <w:lang w:eastAsia="en-GB"/>
    </w:rPr>
  </w:style>
  <w:style w:type="character" w:customStyle="1" w:styleId="y2iqfc">
    <w:name w:val="y2iqfc"/>
    <w:basedOn w:val="DefaultParagraphFont"/>
    <w:rsid w:val="003875EC"/>
  </w:style>
  <w:style w:type="character" w:customStyle="1" w:styleId="Heading2Char">
    <w:name w:val="Heading 2 Char"/>
    <w:basedOn w:val="DefaultParagraphFont"/>
    <w:link w:val="Heading2"/>
    <w:uiPriority w:val="9"/>
    <w:semiHidden/>
    <w:rsid w:val="003875EC"/>
    <w:rPr>
      <w:rFonts w:asciiTheme="majorHAnsi" w:eastAsiaTheme="majorEastAsia" w:hAnsiTheme="majorHAnsi" w:cstheme="majorBidi"/>
      <w:color w:val="2E74B5" w:themeColor="accent1" w:themeShade="BF"/>
      <w:sz w:val="26"/>
      <w:szCs w:val="26"/>
      <w:lang w:eastAsia="en-US"/>
    </w:rPr>
  </w:style>
  <w:style w:type="character" w:customStyle="1" w:styleId="Marker">
    <w:name w:val="Marker"/>
    <w:basedOn w:val="DefaultParagraphFont"/>
    <w:rsid w:val="006A5ABA"/>
    <w:rPr>
      <w:color w:val="0000FF"/>
      <w:shd w:val="clear" w:color="auto" w:fill="auto"/>
    </w:rPr>
  </w:style>
  <w:style w:type="paragraph" w:customStyle="1" w:styleId="Pagedecouverture">
    <w:name w:val="Page de couverture"/>
    <w:basedOn w:val="Normal"/>
    <w:next w:val="Normal"/>
    <w:rsid w:val="006A5ABA"/>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6A5ABA"/>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6A5ABA"/>
    <w:rPr>
      <w:rFonts w:ascii="Times New Roman" w:eastAsiaTheme="minorHAnsi" w:hAnsi="Times New Roman" w:cs="Times New Roman"/>
      <w:sz w:val="24"/>
      <w:lang w:eastAsia="en-US"/>
    </w:rPr>
  </w:style>
  <w:style w:type="paragraph" w:customStyle="1" w:styleId="FooterSensitivity">
    <w:name w:val="Footer Sensitivity"/>
    <w:basedOn w:val="Normal"/>
    <w:link w:val="FooterSensitivityChar"/>
    <w:rsid w:val="006A5ABA"/>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6A5ABA"/>
    <w:rPr>
      <w:rFonts w:ascii="Times New Roman" w:eastAsiaTheme="minorHAnsi" w:hAnsi="Times New Roman" w:cs="Times New Roman"/>
      <w:b/>
      <w:sz w:val="32"/>
      <w:lang w:eastAsia="en-US"/>
    </w:rPr>
  </w:style>
  <w:style w:type="paragraph" w:customStyle="1" w:styleId="HeaderCoverPage">
    <w:name w:val="Header Cover Page"/>
    <w:basedOn w:val="Normal"/>
    <w:link w:val="HeaderCoverPageChar"/>
    <w:rsid w:val="006A5ABA"/>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6A5ABA"/>
    <w:rPr>
      <w:rFonts w:ascii="Times New Roman" w:eastAsiaTheme="minorHAnsi" w:hAnsi="Times New Roman" w:cs="Times New Roman"/>
      <w:sz w:val="24"/>
      <w:lang w:eastAsia="en-US"/>
    </w:rPr>
  </w:style>
  <w:style w:type="paragraph" w:customStyle="1" w:styleId="HeaderSensitivity">
    <w:name w:val="Header Sensitivity"/>
    <w:basedOn w:val="Normal"/>
    <w:link w:val="HeaderSensitivityChar"/>
    <w:rsid w:val="006A5ABA"/>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6A5ABA"/>
    <w:rPr>
      <w:rFonts w:ascii="Times New Roman" w:eastAsiaTheme="minorHAnsi" w:hAnsi="Times New Roman" w:cs="Times New Roman"/>
      <w:b/>
      <w:sz w:val="32"/>
      <w:lang w:eastAsia="en-US"/>
    </w:rPr>
  </w:style>
  <w:style w:type="paragraph" w:customStyle="1" w:styleId="HeaderSensitivityRight">
    <w:name w:val="Header Sensitivity Right"/>
    <w:basedOn w:val="Normal"/>
    <w:link w:val="HeaderSensitivityRightChar"/>
    <w:rsid w:val="006A5ABA"/>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6A5ABA"/>
    <w:rPr>
      <w:rFonts w:ascii="Times New Roman" w:eastAsiaTheme="minorHAnsi" w:hAnsi="Times New Roman" w:cs="Times New Roman"/>
      <w:sz w:val="28"/>
      <w:lang w:eastAsia="en-US"/>
    </w:rPr>
  </w:style>
  <w:style w:type="paragraph" w:styleId="Revision">
    <w:name w:val="Revision"/>
    <w:hidden/>
    <w:uiPriority w:val="99"/>
    <w:semiHidden/>
    <w:rsid w:val="00B41FC4"/>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084314">
      <w:bodyDiv w:val="1"/>
      <w:marLeft w:val="0"/>
      <w:marRight w:val="0"/>
      <w:marTop w:val="0"/>
      <w:marBottom w:val="0"/>
      <w:divBdr>
        <w:top w:val="none" w:sz="0" w:space="0" w:color="auto"/>
        <w:left w:val="none" w:sz="0" w:space="0" w:color="auto"/>
        <w:bottom w:val="none" w:sz="0" w:space="0" w:color="auto"/>
        <w:right w:val="none" w:sz="0" w:space="0" w:color="auto"/>
      </w:divBdr>
    </w:div>
    <w:div w:id="1469131736">
      <w:bodyDiv w:val="1"/>
      <w:marLeft w:val="0"/>
      <w:marRight w:val="0"/>
      <w:marTop w:val="0"/>
      <w:marBottom w:val="0"/>
      <w:divBdr>
        <w:top w:val="none" w:sz="0" w:space="0" w:color="auto"/>
        <w:left w:val="none" w:sz="0" w:space="0" w:color="auto"/>
        <w:bottom w:val="none" w:sz="0" w:space="0" w:color="auto"/>
        <w:right w:val="none" w:sz="0" w:space="0" w:color="auto"/>
      </w:divBdr>
    </w:div>
    <w:div w:id="1517499534">
      <w:bodyDiv w:val="1"/>
      <w:marLeft w:val="0"/>
      <w:marRight w:val="0"/>
      <w:marTop w:val="0"/>
      <w:marBottom w:val="0"/>
      <w:divBdr>
        <w:top w:val="none" w:sz="0" w:space="0" w:color="auto"/>
        <w:left w:val="none" w:sz="0" w:space="0" w:color="auto"/>
        <w:bottom w:val="none" w:sz="0" w:space="0" w:color="auto"/>
        <w:right w:val="none" w:sz="0" w:space="0" w:color="auto"/>
      </w:divBdr>
    </w:div>
    <w:div w:id="1547183109">
      <w:bodyDiv w:val="1"/>
      <w:marLeft w:val="0"/>
      <w:marRight w:val="0"/>
      <w:marTop w:val="0"/>
      <w:marBottom w:val="0"/>
      <w:divBdr>
        <w:top w:val="none" w:sz="0" w:space="0" w:color="auto"/>
        <w:left w:val="none" w:sz="0" w:space="0" w:color="auto"/>
        <w:bottom w:val="none" w:sz="0" w:space="0" w:color="auto"/>
        <w:right w:val="none" w:sz="0" w:space="0" w:color="auto"/>
      </w:divBdr>
    </w:div>
    <w:div w:id="1714691813">
      <w:bodyDiv w:val="1"/>
      <w:marLeft w:val="0"/>
      <w:marRight w:val="0"/>
      <w:marTop w:val="0"/>
      <w:marBottom w:val="0"/>
      <w:divBdr>
        <w:top w:val="none" w:sz="0" w:space="0" w:color="auto"/>
        <w:left w:val="none" w:sz="0" w:space="0" w:color="auto"/>
        <w:bottom w:val="none" w:sz="0" w:space="0" w:color="auto"/>
        <w:right w:val="none" w:sz="0" w:space="0" w:color="auto"/>
      </w:divBdr>
    </w:div>
    <w:div w:id="1826318121">
      <w:bodyDiv w:val="1"/>
      <w:marLeft w:val="0"/>
      <w:marRight w:val="0"/>
      <w:marTop w:val="0"/>
      <w:marBottom w:val="0"/>
      <w:divBdr>
        <w:top w:val="none" w:sz="0" w:space="0" w:color="auto"/>
        <w:left w:val="none" w:sz="0" w:space="0" w:color="auto"/>
        <w:bottom w:val="none" w:sz="0" w:space="0" w:color="auto"/>
        <w:right w:val="none" w:sz="0" w:space="0" w:color="auto"/>
      </w:divBdr>
    </w:div>
    <w:div w:id="1889801787">
      <w:bodyDiv w:val="1"/>
      <w:marLeft w:val="0"/>
      <w:marRight w:val="0"/>
      <w:marTop w:val="0"/>
      <w:marBottom w:val="0"/>
      <w:divBdr>
        <w:top w:val="none" w:sz="0" w:space="0" w:color="auto"/>
        <w:left w:val="none" w:sz="0" w:space="0" w:color="auto"/>
        <w:bottom w:val="none" w:sz="0" w:space="0" w:color="auto"/>
        <w:right w:val="none" w:sz="0" w:space="0" w:color="auto"/>
      </w:divBdr>
    </w:div>
    <w:div w:id="193574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dsec.gov.mo/en-US/" TargetMode="External"/><Relationship Id="rId3" Type="http://schemas.openxmlformats.org/officeDocument/2006/relationships/hyperlink" Target="https://eeas.europa.eu/headquarters/headquarters-homepage/102647/macao-statement-spokesperson-disqualification-candidates-legislative-assembly-elections_en" TargetMode="External"/><Relationship Id="rId7" Type="http://schemas.openxmlformats.org/officeDocument/2006/relationships/hyperlink" Target="http://daccess-ods.un.org/access.nsf/Get?Open&amp;DS=CCPR/C/CHN-MAC/RQ/2&amp;Lang=E" TargetMode="External"/><Relationship Id="rId2" Type="http://schemas.openxmlformats.org/officeDocument/2006/relationships/hyperlink" Target="http://www.xinhuanet.com/gangao/2021-07/12/c_1127648161.htm" TargetMode="External"/><Relationship Id="rId1" Type="http://schemas.openxmlformats.org/officeDocument/2006/relationships/hyperlink" Target="https://www.macaupostdaily.com/article11422.html" TargetMode="External"/><Relationship Id="rId6" Type="http://schemas.openxmlformats.org/officeDocument/2006/relationships/hyperlink" Target="https://www.tdm.com.mo/zh-hant/news-detail/558430" TargetMode="External"/><Relationship Id="rId5" Type="http://schemas.openxmlformats.org/officeDocument/2006/relationships/hyperlink" Target="http://www.npc.gov.cn/englishnpc/c23934/202103/4378544f87a54214a4a99d6860412062.shtml" TargetMode="External"/><Relationship Id="rId4" Type="http://schemas.openxmlformats.org/officeDocument/2006/relationships/hyperlink" Target="http://www.npc.gov.cn/englishnpc/c23934/202103/6dbc5853665d43dbaf2161a993370e24.shtml" TargetMode="External"/><Relationship Id="rId9" Type="http://schemas.openxmlformats.org/officeDocument/2006/relationships/hyperlink" Target="https://www.gov.mo/en/news/1338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83824-0B4F-4B96-9B9A-578B63721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3670</Words>
  <Characters>21326</Characters>
  <Application>Microsoft Office Word</Application>
  <DocSecurity>0</DocSecurity>
  <Lines>394</Lines>
  <Paragraphs>79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28</cp:revision>
  <cp:lastPrinted>2021-12-01T07:37:00Z</cp:lastPrinted>
  <dcterms:created xsi:type="dcterms:W3CDTF">2022-04-01T13:21:00Z</dcterms:created>
  <dcterms:modified xsi:type="dcterms:W3CDTF">2022-05-19T12:13:00Z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CP-018</vt:lpwstr>
  </property>
  <property fmtid="{D5CDD505-2E9C-101B-9397-08002B2CF9AE}" pid="7" name="Last edited using">
    <vt:lpwstr>LW 8.0, Build 20220128</vt:lpwstr>
  </property>
  <property fmtid="{D5CDD505-2E9C-101B-9397-08002B2CF9AE}" pid="8" name="Created using">
    <vt:lpwstr>LW 7.0.1, Build 20200226</vt:lpwstr>
  </property>
  <property name="OP_sanitized" fmtid="{D5CDD505-2E9C-101B-9397-08002B2CF9AE}" pid="9">
    <vt:lpwstr>True</vt:lpwstr>
  </property>
</Properties>
</file>