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97" w:rsidRDefault="001D7F46" w:rsidP="001D7F4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77B7076-D755-4E45-83BC-DCD11240747B" style="width:455.25pt;height:393pt">
            <v:imagedata r:id="rId8" o:title=""/>
          </v:shape>
        </w:pict>
      </w:r>
    </w:p>
    <w:bookmarkEnd w:id="0"/>
    <w:p w:rsidR="00062F97" w:rsidRDefault="00062F97" w:rsidP="00062F97">
      <w:pPr>
        <w:rPr>
          <w:noProof/>
        </w:rPr>
        <w:sectPr w:rsidR="00062F97" w:rsidSect="001D7F4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062F97" w:rsidRPr="00613163" w:rsidRDefault="00062F97" w:rsidP="00062F97">
      <w:pPr>
        <w:pStyle w:val="Heading1"/>
        <w:rPr>
          <w:noProof/>
        </w:rPr>
      </w:pPr>
      <w:bookmarkStart w:id="1" w:name="_GoBack"/>
      <w:bookmarkEnd w:id="1"/>
      <w:r>
        <w:rPr>
          <w:noProof/>
        </w:rPr>
        <w:lastRenderedPageBreak/>
        <w:t>Předmluva</w:t>
      </w:r>
      <w:r>
        <w:rPr>
          <w:rStyle w:val="FootnoteReference"/>
          <w:noProof/>
        </w:rPr>
        <w:footnoteReference w:id="1"/>
      </w:r>
    </w:p>
    <w:p w:rsidR="00062F97" w:rsidRPr="00613163" w:rsidRDefault="00062F97" w:rsidP="00062F97">
      <w:pPr>
        <w:pStyle w:val="Text1"/>
        <w:rPr>
          <w:noProof/>
        </w:rPr>
      </w:pPr>
      <w:r>
        <w:rPr>
          <w:noProof/>
        </w:rPr>
        <w:t>V souladu s čl. 19 odst. 2 nařízení Rady (EU) 2018/1877</w:t>
      </w:r>
      <w:r>
        <w:rPr>
          <w:rStyle w:val="FootnoteReference"/>
          <w:noProof/>
        </w:rPr>
        <w:footnoteReference w:id="2"/>
      </w:r>
      <w:r>
        <w:rPr>
          <w:noProof/>
        </w:rPr>
        <w:t xml:space="preserve"> o finančním nařízení pro 11. Evropský rozvojový fond (dále jen „finanční nařízení pro 11. ERF“) Komise v tomto dokumentu předkládá odhady závazků</w:t>
      </w:r>
      <w:r>
        <w:rPr>
          <w:rStyle w:val="FootnoteReference"/>
          <w:noProof/>
        </w:rPr>
        <w:footnoteReference w:id="3"/>
      </w:r>
      <w:r>
        <w:rPr>
          <w:noProof/>
        </w:rPr>
        <w:t xml:space="preserve">, plateb a příspěvků na období 2022 –2024 s přihlédnutím k prognózám Evropské investiční banky (dále jen EIB). </w:t>
      </w:r>
    </w:p>
    <w:p w:rsidR="00062F97" w:rsidRPr="00613163" w:rsidRDefault="00062F97" w:rsidP="00062F97">
      <w:pPr>
        <w:pStyle w:val="Text1"/>
        <w:rPr>
          <w:noProof/>
        </w:rPr>
      </w:pPr>
      <w:r>
        <w:rPr>
          <w:noProof/>
        </w:rPr>
        <w:t>Tento dokument přináší přehled finančního provádění evropských rozvojových fondů (8. až 11. ERF) na roky 2022 až 2024. Tento dokument navíc obsahuje nezávazné odhady příspěvků zúčastněných stran do Evropského rozvojového fondu na období 2025–2026.</w:t>
      </w:r>
    </w:p>
    <w:p w:rsidR="00062F97" w:rsidRPr="00613163" w:rsidRDefault="00062F97" w:rsidP="00062F97">
      <w:pPr>
        <w:pStyle w:val="Text1"/>
        <w:rPr>
          <w:noProof/>
        </w:rPr>
      </w:pPr>
      <w:r>
        <w:rPr>
          <w:noProof/>
        </w:rPr>
        <w:t xml:space="preserve">Pokud jde o nástroje, které v rámci 9., 10. a 11. ERF spravuje EIB (investiční facilita a úrokové subvence), převádějí strany ERF prostředky přímo EIB. </w:t>
      </w:r>
    </w:p>
    <w:p w:rsidR="00062F97" w:rsidRPr="00613163" w:rsidRDefault="00062F97" w:rsidP="00062F97">
      <w:pPr>
        <w:pStyle w:val="Heading1"/>
        <w:rPr>
          <w:noProof/>
        </w:rPr>
      </w:pPr>
      <w:r>
        <w:rPr>
          <w:noProof/>
        </w:rPr>
        <w:t>Úvod</w:t>
      </w:r>
    </w:p>
    <w:p w:rsidR="00062F97" w:rsidRPr="00613163" w:rsidRDefault="00062F97" w:rsidP="00062F97">
      <w:pPr>
        <w:pStyle w:val="Text1"/>
        <w:rPr>
          <w:noProof/>
        </w:rPr>
      </w:pPr>
      <w:r>
        <w:rPr>
          <w:noProof/>
        </w:rPr>
        <w:t>Komise a EIB aktualizovaly pro všechny africké, karibské a tichomořské země (AKT) a zámořské země a území prognózy na roky 2022, 2023 a 2024. Prognózy plateb byly vypracovány tak, aby stranám ERF pomohly co nejpřesněji určit, jaké částky mají vyčlenit ve svých státních rozpočtech, a aby byly zároveň zajištěny dostatečné finanční zdroje pro ERF s cílem předejít problémům s likviditou.</w:t>
      </w:r>
    </w:p>
    <w:p w:rsidR="00062F97" w:rsidRPr="00613163" w:rsidRDefault="00062F97" w:rsidP="00062F97">
      <w:pPr>
        <w:pStyle w:val="Text1"/>
        <w:rPr>
          <w:noProof/>
        </w:rPr>
      </w:pPr>
      <w:r>
        <w:rPr>
          <w:noProof/>
        </w:rPr>
        <w:t>Odhady závazků a plateb byly v souladu s čl. 19 odst. 2 finančního nařízení pro 11. ERF aktualizovány podle posledních prognóz.</w:t>
      </w:r>
    </w:p>
    <w:p w:rsidR="00062F97" w:rsidRDefault="00062F97" w:rsidP="00062F97">
      <w:pPr>
        <w:pStyle w:val="Text1"/>
        <w:rPr>
          <w:noProof/>
        </w:rPr>
      </w:pPr>
      <w:r>
        <w:rPr>
          <w:noProof/>
        </w:rPr>
        <w:t>Následující graf znázorňuje celkový trend vývoje hrubých závazků a plateb od roku 1999 do roku 2021 a jejich projekci na období 2022–2024 (kumulované částky pro Komisi a EIB).</w:t>
      </w: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D60228" w:rsidRDefault="00D60228" w:rsidP="00062F97">
      <w:pPr>
        <w:rPr>
          <w:rFonts w:ascii="Times New Roman" w:hAnsi="Times New Roman" w:cs="Times New Roman"/>
          <w:b/>
          <w:noProof/>
          <w:sz w:val="24"/>
          <w:szCs w:val="24"/>
        </w:rPr>
      </w:pPr>
    </w:p>
    <w:p w:rsidR="00062F97" w:rsidRPr="00613163" w:rsidRDefault="00062F97" w:rsidP="009860A9">
      <w:pPr>
        <w:keepNext/>
        <w:rPr>
          <w:rFonts w:ascii="Times New Roman" w:hAnsi="Times New Roman" w:cs="Times New Roman"/>
          <w:b/>
          <w:noProof/>
          <w:sz w:val="24"/>
          <w:szCs w:val="24"/>
        </w:rPr>
      </w:pPr>
      <w:r>
        <w:rPr>
          <w:rFonts w:ascii="Times New Roman" w:hAnsi="Times New Roman"/>
          <w:b/>
          <w:noProof/>
          <w:sz w:val="24"/>
        </w:rPr>
        <w:t>Hrubé závazky a platby: trend 1999–2024 (v milionech EUR)</w:t>
      </w:r>
    </w:p>
    <w:p w:rsidR="00860895" w:rsidRDefault="00A07C26" w:rsidP="00062F97">
      <w:pPr>
        <w:pStyle w:val="Text1"/>
        <w:ind w:left="0"/>
        <w:rPr>
          <w:noProof/>
          <w:sz w:val="16"/>
          <w:szCs w:val="16"/>
        </w:rPr>
      </w:pPr>
      <w:r>
        <w:rPr>
          <w:noProof/>
          <w:lang w:val="en-GB"/>
        </w:rPr>
        <w:drawing>
          <wp:inline distT="0" distB="0" distL="0" distR="0" wp14:anchorId="6032F34E" wp14:editId="53ADDA9E">
            <wp:extent cx="5835650" cy="282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35650" cy="2822575"/>
                    </a:xfrm>
                    <a:prstGeom prst="rect">
                      <a:avLst/>
                    </a:prstGeom>
                  </pic:spPr>
                </pic:pic>
              </a:graphicData>
            </a:graphic>
          </wp:inline>
        </w:drawing>
      </w:r>
    </w:p>
    <w:p w:rsidR="003E6879" w:rsidRDefault="00062F97" w:rsidP="00062F97">
      <w:pPr>
        <w:pStyle w:val="Text1"/>
        <w:ind w:left="0"/>
        <w:rPr>
          <w:noProof/>
          <w:sz w:val="14"/>
          <w:szCs w:val="14"/>
        </w:rPr>
      </w:pPr>
      <w:r>
        <w:rPr>
          <w:noProof/>
          <w:sz w:val="14"/>
        </w:rPr>
        <w:t>Pozn.: Stav provádění evropských rozvojových fondů do 31. prosince 2021 (závazky a platby) a prognózy na roky 2022–2024.</w:t>
      </w:r>
      <w:r>
        <w:rPr>
          <w:noProof/>
        </w:rPr>
        <w:t xml:space="preserve"> </w:t>
      </w:r>
      <w:r>
        <w:rPr>
          <w:noProof/>
          <w:sz w:val="14"/>
        </w:rPr>
        <w:t>Vzhledem k tomu, že lhůta podle ustanovení o skončení platnosti 11. ERF vypršela dne 31. prosince 2020, neexistují žádné nové závazky s výjimkou:</w:t>
      </w:r>
    </w:p>
    <w:p w:rsidR="003E6879" w:rsidRDefault="006874F6" w:rsidP="003E6879">
      <w:pPr>
        <w:pStyle w:val="Text1"/>
        <w:ind w:left="720"/>
        <w:rPr>
          <w:noProof/>
          <w:sz w:val="14"/>
          <w:szCs w:val="14"/>
        </w:rPr>
      </w:pPr>
      <w:r>
        <w:rPr>
          <w:noProof/>
          <w:sz w:val="14"/>
        </w:rPr>
        <w:t xml:space="preserve">1) prostředků vyplývajících ze zpětných toků v rámci investiční facility AKT z operací prováděných v rámci 9., 10. a 11. ERF (viz prodloužení investiční facility rozhodnutím Rady (EU) 2020/2233) do roku 2021 a </w:t>
      </w:r>
    </w:p>
    <w:p w:rsidR="003F33BF" w:rsidRPr="003E6879" w:rsidRDefault="006874F6" w:rsidP="003E6879">
      <w:pPr>
        <w:pStyle w:val="Text1"/>
        <w:ind w:left="720"/>
        <w:rPr>
          <w:noProof/>
          <w:sz w:val="14"/>
          <w:szCs w:val="14"/>
        </w:rPr>
      </w:pPr>
      <w:r>
        <w:rPr>
          <w:noProof/>
          <w:sz w:val="14"/>
        </w:rPr>
        <w:t>2) přidělení prostředků vyplývajících z opětovného použití prostředků 10. a 11. ERF na základě rozhodnutí Rady 2022/1223 (s. 147), pokud jde o zvláštní opatření reakce EU na krizi v oblasti potravinového zabezpečení a hospodářského šoku v afrických, karibských a tichomořských zemích (AKT) v důsledku útočné války Ruska vůči Ukrajině.</w:t>
      </w:r>
    </w:p>
    <w:p w:rsidR="00062F97" w:rsidRPr="00613163" w:rsidRDefault="00E03858" w:rsidP="00062F97">
      <w:pPr>
        <w:pStyle w:val="Heading1"/>
        <w:tabs>
          <w:tab w:val="num" w:pos="0"/>
        </w:tabs>
        <w:ind w:left="0" w:firstLine="0"/>
        <w:rPr>
          <w:noProof/>
        </w:rPr>
      </w:pPr>
      <w:r>
        <w:rPr>
          <w:noProof/>
        </w:rPr>
        <w:t>Finanční prognózy na roky 2022–2024 (v milionech EUR)</w:t>
      </w:r>
    </w:p>
    <w:p w:rsidR="00062F97" w:rsidRDefault="00062F97" w:rsidP="00062F97">
      <w:pPr>
        <w:pStyle w:val="Text1"/>
        <w:rPr>
          <w:noProof/>
        </w:rPr>
      </w:pPr>
      <w:r>
        <w:rPr>
          <w:noProof/>
        </w:rPr>
        <w:t>V následující tabulce jsou uvedeny aktualizované údaje o závazcích, platbách a příspěvcích na základě nejnovějších prognóz Komise.</w:t>
      </w:r>
    </w:p>
    <w:tbl>
      <w:tblPr>
        <w:tblW w:w="7820" w:type="dxa"/>
        <w:tblInd w:w="118" w:type="dxa"/>
        <w:tblLook w:val="04A0" w:firstRow="1" w:lastRow="0" w:firstColumn="1" w:lastColumn="0" w:noHBand="0" w:noVBand="1"/>
      </w:tblPr>
      <w:tblGrid>
        <w:gridCol w:w="1681"/>
        <w:gridCol w:w="2919"/>
        <w:gridCol w:w="1160"/>
        <w:gridCol w:w="1100"/>
        <w:gridCol w:w="960"/>
      </w:tblGrid>
      <w:tr w:rsidR="00B66431" w:rsidRPr="00B66431" w:rsidTr="00665FBA">
        <w:trPr>
          <w:trHeight w:val="240"/>
        </w:trPr>
        <w:tc>
          <w:tcPr>
            <w:tcW w:w="46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Prognózy 2022–2024 (*)</w:t>
            </w:r>
          </w:p>
        </w:tc>
        <w:tc>
          <w:tcPr>
            <w:tcW w:w="1160"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100"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960"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665FBA">
        <w:trPr>
          <w:trHeight w:val="240"/>
        </w:trPr>
        <w:tc>
          <w:tcPr>
            <w:tcW w:w="4600" w:type="dxa"/>
            <w:gridSpan w:val="2"/>
            <w:vMerge/>
            <w:tcBorders>
              <w:top w:val="single" w:sz="8" w:space="0" w:color="auto"/>
              <w:left w:val="single" w:sz="8" w:space="0" w:color="auto"/>
              <w:bottom w:val="single" w:sz="8" w:space="0" w:color="000000"/>
              <w:right w:val="single" w:sz="8" w:space="0" w:color="000000"/>
            </w:tcBorders>
            <w:vAlign w:val="center"/>
            <w:hideMark/>
          </w:tcPr>
          <w:p w:rsidR="00B66431" w:rsidRPr="00B66431" w:rsidRDefault="00B66431" w:rsidP="00B66431">
            <w:pPr>
              <w:spacing w:after="0" w:line="240" w:lineRule="auto"/>
              <w:rPr>
                <w:rFonts w:ascii="Times New Roman" w:eastAsia="Times New Roman" w:hAnsi="Times New Roman" w:cs="Times New Roman"/>
                <w:b/>
                <w:bCs/>
                <w:noProof/>
                <w:sz w:val="24"/>
                <w:szCs w:val="24"/>
                <w:lang w:eastAsia="en-GB"/>
              </w:rPr>
            </w:pPr>
          </w:p>
        </w:tc>
        <w:tc>
          <w:tcPr>
            <w:tcW w:w="11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2022</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2023</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2024</w:t>
            </w:r>
          </w:p>
        </w:tc>
      </w:tr>
      <w:tr w:rsidR="00B66431" w:rsidRPr="00B66431" w:rsidTr="00665FBA">
        <w:trPr>
          <w:trHeight w:val="240"/>
        </w:trPr>
        <w:tc>
          <w:tcPr>
            <w:tcW w:w="4600" w:type="dxa"/>
            <w:gridSpan w:val="2"/>
            <w:vMerge/>
            <w:tcBorders>
              <w:top w:val="single" w:sz="8" w:space="0" w:color="auto"/>
              <w:left w:val="single" w:sz="8" w:space="0" w:color="auto"/>
              <w:bottom w:val="single" w:sz="8" w:space="0" w:color="000000"/>
              <w:right w:val="single" w:sz="8" w:space="0" w:color="000000"/>
            </w:tcBorders>
            <w:vAlign w:val="center"/>
            <w:hideMark/>
          </w:tcPr>
          <w:p w:rsidR="00B66431" w:rsidRPr="00B66431" w:rsidRDefault="00B66431" w:rsidP="00B66431">
            <w:pPr>
              <w:spacing w:after="0" w:line="240" w:lineRule="auto"/>
              <w:rPr>
                <w:rFonts w:ascii="Times New Roman" w:eastAsia="Times New Roman" w:hAnsi="Times New Roman" w:cs="Times New Roman"/>
                <w:b/>
                <w:bCs/>
                <w:noProof/>
                <w:sz w:val="24"/>
                <w:szCs w:val="24"/>
                <w:lang w:eastAsia="en-GB"/>
              </w:rPr>
            </w:pPr>
          </w:p>
        </w:tc>
        <w:tc>
          <w:tcPr>
            <w:tcW w:w="116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10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Závazky</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Komise (**)</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0A747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600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0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B66431" w:rsidRPr="00B66431" w:rsidTr="00665FBA">
        <w:trPr>
          <w:trHeight w:val="300"/>
        </w:trPr>
        <w:tc>
          <w:tcPr>
            <w:tcW w:w="1681" w:type="dxa"/>
            <w:tcBorders>
              <w:top w:val="nil"/>
              <w:left w:val="single" w:sz="8"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Celkem</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600</w:t>
            </w:r>
          </w:p>
        </w:tc>
        <w:tc>
          <w:tcPr>
            <w:tcW w:w="1100" w:type="dxa"/>
            <w:tcBorders>
              <w:top w:val="nil"/>
              <w:left w:val="nil"/>
              <w:bottom w:val="single" w:sz="8" w:space="0" w:color="auto"/>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960" w:type="dxa"/>
            <w:tcBorders>
              <w:top w:val="nil"/>
              <w:left w:val="nil"/>
              <w:bottom w:val="single" w:sz="8" w:space="0" w:color="auto"/>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Platby</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Komise</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2 500</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1 800</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1 300</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987</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858</w:t>
            </w:r>
          </w:p>
        </w:tc>
        <w:tc>
          <w:tcPr>
            <w:tcW w:w="960" w:type="dxa"/>
            <w:tcBorders>
              <w:top w:val="nil"/>
              <w:left w:val="nil"/>
              <w:bottom w:val="nil"/>
              <w:right w:val="single" w:sz="8" w:space="0" w:color="auto"/>
            </w:tcBorders>
            <w:shd w:val="clear" w:color="auto" w:fill="auto"/>
            <w:noWrap/>
            <w:vAlign w:val="bottom"/>
            <w:hideMark/>
          </w:tcPr>
          <w:p w:rsidR="00B66431" w:rsidRPr="00B66431" w:rsidRDefault="003C1832"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567 </w:t>
            </w:r>
          </w:p>
        </w:tc>
      </w:tr>
      <w:tr w:rsidR="00B66431" w:rsidRPr="00B66431" w:rsidTr="00665FBA">
        <w:trPr>
          <w:trHeight w:val="285"/>
        </w:trPr>
        <w:tc>
          <w:tcPr>
            <w:tcW w:w="1681" w:type="dxa"/>
            <w:tcBorders>
              <w:top w:val="nil"/>
              <w:left w:val="single" w:sz="8"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Celkem</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3 487</w:t>
            </w:r>
          </w:p>
        </w:tc>
        <w:tc>
          <w:tcPr>
            <w:tcW w:w="110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2 658</w:t>
            </w:r>
          </w:p>
        </w:tc>
        <w:tc>
          <w:tcPr>
            <w:tcW w:w="960" w:type="dxa"/>
            <w:tcBorders>
              <w:top w:val="nil"/>
              <w:left w:val="nil"/>
              <w:bottom w:val="single" w:sz="8" w:space="0" w:color="auto"/>
              <w:right w:val="single" w:sz="8" w:space="0" w:color="auto"/>
            </w:tcBorders>
            <w:shd w:val="clear" w:color="auto" w:fill="auto"/>
            <w:noWrap/>
            <w:vAlign w:val="bottom"/>
            <w:hideMark/>
          </w:tcPr>
          <w:p w:rsidR="00B66431" w:rsidRPr="00B66431" w:rsidRDefault="003C1832"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1 867</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Příspěvky</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Komise (11. ERF)</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2 500</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1 800</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1 300</w:t>
            </w:r>
          </w:p>
        </w:tc>
      </w:tr>
      <w:tr w:rsidR="00665FBA" w:rsidRPr="00665FBA" w:rsidTr="00665FBA">
        <w:trPr>
          <w:trHeight w:val="240"/>
        </w:trPr>
        <w:tc>
          <w:tcPr>
            <w:tcW w:w="1681" w:type="dxa"/>
            <w:tcBorders>
              <w:top w:val="nil"/>
              <w:left w:val="single" w:sz="8" w:space="0" w:color="auto"/>
              <w:right w:val="single" w:sz="4" w:space="0" w:color="auto"/>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 (11. ERF)</w:t>
            </w:r>
          </w:p>
        </w:tc>
        <w:tc>
          <w:tcPr>
            <w:tcW w:w="1160" w:type="dxa"/>
            <w:tcBorders>
              <w:top w:val="nil"/>
              <w:left w:val="single" w:sz="8" w:space="0" w:color="auto"/>
              <w:bottom w:val="nil"/>
              <w:right w:val="single" w:sz="8" w:space="0" w:color="auto"/>
            </w:tcBorders>
            <w:shd w:val="clear" w:color="auto" w:fill="auto"/>
            <w:noWrap/>
            <w:vAlign w:val="bottom"/>
            <w:hideMark/>
          </w:tcPr>
          <w:p w:rsidR="00665FBA" w:rsidRPr="00665FBA"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c>
          <w:tcPr>
            <w:tcW w:w="1100" w:type="dxa"/>
            <w:tcBorders>
              <w:top w:val="nil"/>
              <w:left w:val="nil"/>
              <w:bottom w:val="nil"/>
              <w:right w:val="single" w:sz="8" w:space="0" w:color="auto"/>
            </w:tcBorders>
            <w:shd w:val="clear" w:color="auto" w:fill="auto"/>
            <w:noWrap/>
            <w:vAlign w:val="bottom"/>
            <w:hideMark/>
          </w:tcPr>
          <w:p w:rsidR="00665FBA" w:rsidRPr="00665FBA"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c>
          <w:tcPr>
            <w:tcW w:w="960" w:type="dxa"/>
            <w:tcBorders>
              <w:top w:val="nil"/>
              <w:left w:val="nil"/>
              <w:bottom w:val="nil"/>
              <w:right w:val="single" w:sz="8" w:space="0" w:color="auto"/>
            </w:tcBorders>
            <w:shd w:val="clear" w:color="auto" w:fill="auto"/>
            <w:noWrap/>
            <w:vAlign w:val="bottom"/>
            <w:hideMark/>
          </w:tcPr>
          <w:p w:rsidR="00665FBA" w:rsidRPr="00665FBA"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r>
      <w:tr w:rsidR="00665FBA" w:rsidRPr="00B66431" w:rsidTr="00665FBA">
        <w:trPr>
          <w:trHeight w:val="240"/>
        </w:trPr>
        <w:tc>
          <w:tcPr>
            <w:tcW w:w="1681" w:type="dxa"/>
            <w:tcBorders>
              <w:top w:val="nil"/>
              <w:left w:val="single" w:sz="8" w:space="0" w:color="auto"/>
              <w:bottom w:val="single" w:sz="6" w:space="0" w:color="auto"/>
              <w:right w:val="single" w:sz="4" w:space="0" w:color="auto"/>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single" w:sz="8" w:space="0" w:color="auto"/>
              <w:right w:val="nil"/>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Celkem</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665FBA" w:rsidRPr="00B66431"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2 800</w:t>
            </w:r>
          </w:p>
        </w:tc>
        <w:tc>
          <w:tcPr>
            <w:tcW w:w="1100" w:type="dxa"/>
            <w:tcBorders>
              <w:top w:val="nil"/>
              <w:left w:val="nil"/>
              <w:bottom w:val="single" w:sz="8" w:space="0" w:color="auto"/>
              <w:right w:val="single" w:sz="8" w:space="0" w:color="auto"/>
            </w:tcBorders>
            <w:shd w:val="clear" w:color="auto" w:fill="auto"/>
            <w:noWrap/>
            <w:vAlign w:val="bottom"/>
            <w:hideMark/>
          </w:tcPr>
          <w:p w:rsidR="00665FBA" w:rsidRPr="00B66431"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2 100</w:t>
            </w:r>
          </w:p>
        </w:tc>
        <w:tc>
          <w:tcPr>
            <w:tcW w:w="960" w:type="dxa"/>
            <w:tcBorders>
              <w:top w:val="nil"/>
              <w:left w:val="nil"/>
              <w:bottom w:val="single" w:sz="8" w:space="0" w:color="auto"/>
              <w:right w:val="single" w:sz="8" w:space="0" w:color="auto"/>
            </w:tcBorders>
            <w:shd w:val="clear" w:color="auto" w:fill="auto"/>
            <w:noWrap/>
            <w:vAlign w:val="bottom"/>
            <w:hideMark/>
          </w:tcPr>
          <w:p w:rsidR="00665FBA" w:rsidRPr="00B66431"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1 600</w:t>
            </w:r>
          </w:p>
        </w:tc>
      </w:tr>
    </w:tbl>
    <w:p w:rsidR="00062F97" w:rsidRPr="00813F26" w:rsidRDefault="007B48EE" w:rsidP="00CF607A">
      <w:pPr>
        <w:pStyle w:val="Text1"/>
        <w:ind w:left="0"/>
        <w:rPr>
          <w:noProof/>
          <w:sz w:val="16"/>
          <w:szCs w:val="16"/>
        </w:rPr>
      </w:pPr>
      <w:r>
        <w:rPr>
          <w:noProof/>
          <w:sz w:val="16"/>
        </w:rPr>
        <w:t>* Hrubé částky, tj. bez odečtení zrušených závazků nebo zpětně získaných částek a prostředků získaných z dřívějších operací. Tento přístup je v souladu s metodou užívanou pro souhrnný rozpočet EU.</w:t>
      </w:r>
    </w:p>
    <w:p w:rsidR="00CF607A" w:rsidRDefault="00840AE1" w:rsidP="00840AE1">
      <w:pPr>
        <w:pStyle w:val="Text1"/>
        <w:ind w:left="0"/>
        <w:rPr>
          <w:noProof/>
          <w:sz w:val="16"/>
          <w:szCs w:val="16"/>
        </w:rPr>
      </w:pPr>
      <w:r>
        <w:rPr>
          <w:noProof/>
          <w:sz w:val="16"/>
        </w:rPr>
        <w:t>** Přidělení prostředků vyplývajících z opětovného použití rezervy z 10. a 11. ERF na základě rozhodnutí Rady 2022/1223 ze dne 12. července 2022 (s. 147) na financování opatření k řešení krize v oblasti potravinového zabezpečení a hospodářského šoku v afrických, karibských a tichomořských zemích (AKT) v důsledku útočné války Ruska vůči Ukrajině.</w:t>
      </w:r>
    </w:p>
    <w:p w:rsidR="00840AE1" w:rsidRDefault="00840AE1" w:rsidP="00840AE1">
      <w:pPr>
        <w:pStyle w:val="Text1"/>
        <w:ind w:left="0"/>
        <w:rPr>
          <w:noProof/>
          <w:sz w:val="16"/>
          <w:szCs w:val="16"/>
        </w:rPr>
      </w:pPr>
    </w:p>
    <w:p w:rsidR="00840AE1" w:rsidRDefault="00840AE1" w:rsidP="00840AE1">
      <w:pPr>
        <w:pStyle w:val="Text1"/>
        <w:ind w:left="0"/>
        <w:rPr>
          <w:noProof/>
          <w:sz w:val="16"/>
          <w:szCs w:val="16"/>
        </w:rPr>
      </w:pPr>
    </w:p>
    <w:p w:rsidR="00062F97" w:rsidRDefault="00062F97" w:rsidP="00062F97">
      <w:pPr>
        <w:pStyle w:val="Heading1"/>
        <w:tabs>
          <w:tab w:val="num" w:pos="0"/>
        </w:tabs>
        <w:ind w:left="0" w:firstLine="0"/>
        <w:rPr>
          <w:noProof/>
        </w:rPr>
      </w:pPr>
      <w:r>
        <w:rPr>
          <w:noProof/>
        </w:rPr>
        <w:t>Nezávazné odhady příspěvků na období 2025–2026 (v milionech EUR)</w:t>
      </w:r>
    </w:p>
    <w:tbl>
      <w:tblPr>
        <w:tblW w:w="8637" w:type="dxa"/>
        <w:tblInd w:w="118" w:type="dxa"/>
        <w:tblLook w:val="04A0" w:firstRow="1" w:lastRow="0" w:firstColumn="1" w:lastColumn="0" w:noHBand="0" w:noVBand="1"/>
      </w:tblPr>
      <w:tblGrid>
        <w:gridCol w:w="1688"/>
        <w:gridCol w:w="3264"/>
        <w:gridCol w:w="1984"/>
        <w:gridCol w:w="1701"/>
      </w:tblGrid>
      <w:tr w:rsidR="00B66431" w:rsidRPr="00B66431" w:rsidTr="00C03A75">
        <w:trPr>
          <w:trHeight w:val="240"/>
        </w:trPr>
        <w:tc>
          <w:tcPr>
            <w:tcW w:w="1688" w:type="dxa"/>
            <w:tcBorders>
              <w:top w:val="single" w:sz="8" w:space="0" w:color="auto"/>
              <w:left w:val="single" w:sz="8" w:space="0" w:color="auto"/>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3264" w:type="dxa"/>
            <w:tcBorders>
              <w:top w:val="single" w:sz="8" w:space="0" w:color="auto"/>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984" w:type="dxa"/>
            <w:tcBorders>
              <w:top w:val="single" w:sz="8" w:space="0" w:color="auto"/>
              <w:left w:val="single" w:sz="4"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701"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C03A75">
        <w:trPr>
          <w:trHeight w:val="240"/>
        </w:trPr>
        <w:tc>
          <w:tcPr>
            <w:tcW w:w="4952" w:type="dxa"/>
            <w:gridSpan w:val="2"/>
            <w:tcBorders>
              <w:top w:val="nil"/>
              <w:left w:val="single" w:sz="8" w:space="0" w:color="auto"/>
              <w:bottom w:val="nil"/>
              <w:right w:val="nil"/>
            </w:tcBorders>
            <w:shd w:val="clear" w:color="000000" w:fill="FFFFFF"/>
            <w:noWrap/>
            <w:vAlign w:val="bottom"/>
            <w:hideMark/>
          </w:tcPr>
          <w:p w:rsidR="00B66431" w:rsidRPr="00B66431" w:rsidRDefault="00292DD9"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Prognózy 2025–2026 (*)</w:t>
            </w:r>
          </w:p>
        </w:tc>
        <w:tc>
          <w:tcPr>
            <w:tcW w:w="1984" w:type="dxa"/>
            <w:tcBorders>
              <w:top w:val="nil"/>
              <w:left w:val="single" w:sz="4"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2025</w:t>
            </w:r>
          </w:p>
        </w:tc>
        <w:tc>
          <w:tcPr>
            <w:tcW w:w="1701"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2026</w:t>
            </w:r>
          </w:p>
        </w:tc>
      </w:tr>
      <w:tr w:rsidR="00B66431" w:rsidRPr="00B66431" w:rsidTr="00C03A75">
        <w:trPr>
          <w:trHeight w:val="240"/>
        </w:trPr>
        <w:tc>
          <w:tcPr>
            <w:tcW w:w="1688" w:type="dxa"/>
            <w:tcBorders>
              <w:top w:val="nil"/>
              <w:left w:val="single" w:sz="8" w:space="0" w:color="auto"/>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3264" w:type="dxa"/>
            <w:tcBorders>
              <w:top w:val="nil"/>
              <w:left w:val="nil"/>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984" w:type="dxa"/>
            <w:tcBorders>
              <w:top w:val="nil"/>
              <w:left w:val="single" w:sz="4"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701"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C03A75">
        <w:trPr>
          <w:trHeight w:val="120"/>
        </w:trPr>
        <w:tc>
          <w:tcPr>
            <w:tcW w:w="1688"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3264" w:type="dxa"/>
            <w:tcBorders>
              <w:top w:val="nil"/>
              <w:left w:val="nil"/>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984"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701"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A25EDB">
        <w:trPr>
          <w:trHeight w:val="270"/>
        </w:trPr>
        <w:tc>
          <w:tcPr>
            <w:tcW w:w="1688"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Příspěvky</w:t>
            </w:r>
          </w:p>
        </w:tc>
        <w:tc>
          <w:tcPr>
            <w:tcW w:w="3264" w:type="dxa"/>
            <w:tcBorders>
              <w:top w:val="nil"/>
              <w:left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Komise (11. ERF)</w:t>
            </w:r>
          </w:p>
        </w:tc>
        <w:tc>
          <w:tcPr>
            <w:tcW w:w="1984" w:type="dxa"/>
            <w:tcBorders>
              <w:top w:val="nil"/>
              <w:left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900</w:t>
            </w:r>
          </w:p>
        </w:tc>
        <w:tc>
          <w:tcPr>
            <w:tcW w:w="1701" w:type="dxa"/>
            <w:tcBorders>
              <w:top w:val="nil"/>
              <w:left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600</w:t>
            </w:r>
          </w:p>
        </w:tc>
      </w:tr>
      <w:tr w:rsidR="00B66431" w:rsidRPr="00B66431" w:rsidTr="00A25EDB">
        <w:trPr>
          <w:trHeight w:val="300"/>
        </w:trPr>
        <w:tc>
          <w:tcPr>
            <w:tcW w:w="1688"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3264" w:type="dxa"/>
            <w:tcBorders>
              <w:top w:val="nil"/>
              <w:left w:val="nil"/>
              <w:right w:val="single" w:sz="4" w:space="0" w:color="auto"/>
            </w:tcBorders>
            <w:shd w:val="clear" w:color="auto" w:fill="auto"/>
            <w:noWrap/>
            <w:vAlign w:val="bottom"/>
            <w:hideMark/>
          </w:tcPr>
          <w:p w:rsidR="00B66431" w:rsidRPr="00665FBA"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 (11. ERF) (</w:t>
            </w:r>
            <w:r>
              <w:rPr>
                <w:rFonts w:ascii="Times New Roman" w:hAnsi="Times New Roman"/>
                <w:noProof/>
                <w:sz w:val="24"/>
              </w:rPr>
              <w:t>**)</w:t>
            </w:r>
          </w:p>
        </w:tc>
        <w:tc>
          <w:tcPr>
            <w:tcW w:w="1984" w:type="dxa"/>
            <w:tcBorders>
              <w:top w:val="nil"/>
              <w:left w:val="nil"/>
              <w:right w:val="single" w:sz="8" w:space="0" w:color="auto"/>
            </w:tcBorders>
            <w:shd w:val="clear" w:color="auto" w:fill="auto"/>
            <w:noWrap/>
            <w:vAlign w:val="bottom"/>
            <w:hideMark/>
          </w:tcPr>
          <w:p w:rsidR="00B66431" w:rsidRPr="00665FBA"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9</w:t>
            </w:r>
          </w:p>
        </w:tc>
        <w:tc>
          <w:tcPr>
            <w:tcW w:w="1701" w:type="dxa"/>
            <w:tcBorders>
              <w:top w:val="nil"/>
              <w:left w:val="nil"/>
              <w:right w:val="single" w:sz="8" w:space="0" w:color="auto"/>
            </w:tcBorders>
            <w:shd w:val="clear" w:color="auto" w:fill="auto"/>
            <w:noWrap/>
            <w:vAlign w:val="bottom"/>
            <w:hideMark/>
          </w:tcPr>
          <w:p w:rsidR="00B66431" w:rsidRPr="00665FBA"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r>
      <w:tr w:rsidR="00B66431" w:rsidRPr="00B66431" w:rsidTr="00A25EDB">
        <w:trPr>
          <w:trHeight w:val="345"/>
        </w:trPr>
        <w:tc>
          <w:tcPr>
            <w:tcW w:w="1688" w:type="dxa"/>
            <w:tcBorders>
              <w:top w:val="nil"/>
              <w:left w:val="single" w:sz="8"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3264" w:type="dxa"/>
            <w:tcBorders>
              <w:left w:val="nil"/>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Celkem</w:t>
            </w:r>
          </w:p>
        </w:tc>
        <w:tc>
          <w:tcPr>
            <w:tcW w:w="1984" w:type="dxa"/>
            <w:tcBorders>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909</w:t>
            </w:r>
          </w:p>
        </w:tc>
        <w:tc>
          <w:tcPr>
            <w:tcW w:w="1701" w:type="dxa"/>
            <w:tcBorders>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600</w:t>
            </w:r>
          </w:p>
        </w:tc>
      </w:tr>
    </w:tbl>
    <w:p w:rsidR="002A4B6B" w:rsidRDefault="002A4B6B" w:rsidP="00506627">
      <w:pPr>
        <w:pStyle w:val="Text1"/>
        <w:ind w:left="0"/>
        <w:rPr>
          <w:noProof/>
          <w:sz w:val="16"/>
          <w:szCs w:val="16"/>
        </w:rPr>
      </w:pPr>
      <w:r>
        <w:rPr>
          <w:noProof/>
          <w:sz w:val="16"/>
        </w:rPr>
        <w:t>*Ustanovení čl. 19 odst. 2 finančního nařízení pro 11. ERF (nařízení (EU) 2018/1877): orientační nezávazná prognóza očekávaných ročních objemů příspěvků, založená na statistickém přístupu.</w:t>
      </w:r>
    </w:p>
    <w:p w:rsidR="00292DD9" w:rsidRPr="00170C52" w:rsidRDefault="00292DD9" w:rsidP="00506627">
      <w:pPr>
        <w:pStyle w:val="Text1"/>
        <w:ind w:left="0"/>
        <w:rPr>
          <w:noProof/>
          <w:sz w:val="16"/>
          <w:szCs w:val="16"/>
        </w:rPr>
      </w:pPr>
      <w:r>
        <w:rPr>
          <w:noProof/>
          <w:sz w:val="16"/>
        </w:rPr>
        <w:t>** Na základě stávajících prognóz EIB vyzve k úhradě celého svého podílu 11. EDF do konce roku 2025.</w:t>
      </w:r>
    </w:p>
    <w:p w:rsidR="00062F97" w:rsidRDefault="002A4B6B" w:rsidP="00CD0CAE">
      <w:pPr>
        <w:pStyle w:val="Heading1"/>
        <w:rPr>
          <w:noProof/>
        </w:rPr>
      </w:pPr>
      <w:r>
        <w:rPr>
          <w:noProof/>
        </w:rPr>
        <w:t>Prognózy finančního provádění na období 2022–2024</w:t>
      </w:r>
    </w:p>
    <w:p w:rsidR="00395A51" w:rsidRPr="00C179BF" w:rsidRDefault="00395A51" w:rsidP="00395A51">
      <w:pPr>
        <w:pStyle w:val="Text1"/>
        <w:spacing w:before="0" w:after="240"/>
        <w:ind w:left="851"/>
        <w:rPr>
          <w:noProof/>
        </w:rPr>
      </w:pPr>
      <w:r>
        <w:rPr>
          <w:noProof/>
        </w:rPr>
        <w:t xml:space="preserve">Přílohy 1, 2 a 3 uvádějí prognózy závazků, prognózy plateb a finanční situaci ve srovnání s předchozími prognózami na období 2022–2026. </w:t>
      </w:r>
    </w:p>
    <w:p w:rsidR="00395A51" w:rsidRPr="00C179BF" w:rsidRDefault="00395A51" w:rsidP="00395A51">
      <w:pPr>
        <w:pStyle w:val="Text1"/>
        <w:rPr>
          <w:noProof/>
        </w:rPr>
      </w:pPr>
      <w:r>
        <w:rPr>
          <w:noProof/>
        </w:rPr>
        <w:t xml:space="preserve">Přílohy 4 a 5 uvádějí příspěvky pro rok 2023, resp. 2024, podle splátek pro každou ze stran ERF. Příloha 6 uvádí roční příspěvky na období 2023–2026 pro každou ze stran ERF. </w:t>
      </w:r>
    </w:p>
    <w:p w:rsidR="005278E8" w:rsidRDefault="00294239" w:rsidP="00294239">
      <w:pPr>
        <w:pStyle w:val="Text1"/>
        <w:spacing w:before="0" w:after="240"/>
        <w:ind w:left="851"/>
        <w:rPr>
          <w:noProof/>
          <w:highlight w:val="yellow"/>
        </w:rPr>
      </w:pPr>
      <w:r>
        <w:rPr>
          <w:noProof/>
        </w:rPr>
        <w:t>Pro roky 2022 a 2023 zůstávají odhady závazků a plateb učiněné členskými státy (Komisí) v porovnání s údaji uvedenými ve sdělení z června 2022 beze změny. Naše odhady pro roky po roce 2023 potvrzují klesající trend plateb.</w:t>
      </w:r>
    </w:p>
    <w:p w:rsidR="00395A51" w:rsidRPr="003E7EBA" w:rsidRDefault="00395A51" w:rsidP="00395A51">
      <w:pPr>
        <w:pStyle w:val="Text1"/>
        <w:rPr>
          <w:noProof/>
        </w:rPr>
      </w:pPr>
      <w:r>
        <w:rPr>
          <w:noProof/>
        </w:rPr>
        <w:t>Pokud jde o prostředky z 9. ERF, jež nebyly přiděleny na závazek nebo k nimž byl závazek zrušen, Komise navrhuje vrátit „členským státům EU-15“ částku 42,5 milionu EUR, která je v současnosti k dispozici v rezervě 9. ERF</w:t>
      </w:r>
      <w:r>
        <w:rPr>
          <w:rStyle w:val="FootnoteReference"/>
          <w:noProof/>
        </w:rPr>
        <w:footnoteReference w:id="4"/>
      </w:r>
      <w:r>
        <w:rPr>
          <w:noProof/>
        </w:rPr>
        <w:t>. Tato náhrada bude provedena snížením částky, kterou mají „členské státy EU-15“ uhradit v rámci první splátky na rok 2023 (tj. stejný přístup jako v loňském roce). Veškeré zbývající zůstatky v rezervě 9. ERF budou v zásadě nadále vraceny jednou ročně až do úplného vrácení prostředků, jež nebyly přiděleny na závazek nebo k nimž byl závazek zrušen.</w:t>
      </w:r>
    </w:p>
    <w:p w:rsidR="004806B4" w:rsidRDefault="004806B4" w:rsidP="00395A51">
      <w:pPr>
        <w:pStyle w:val="Text1"/>
        <w:ind w:left="851"/>
        <w:rPr>
          <w:noProof/>
        </w:rPr>
        <w:sectPr w:rsidR="004806B4" w:rsidSect="00153072">
          <w:headerReference w:type="even" r:id="rId16"/>
          <w:headerReference w:type="default" r:id="rId17"/>
          <w:footerReference w:type="even" r:id="rId18"/>
          <w:footerReference w:type="default" r:id="rId19"/>
          <w:headerReference w:type="first" r:id="rId20"/>
          <w:footerReference w:type="first" r:id="rId21"/>
          <w:pgSz w:w="11906" w:h="16838" w:code="9"/>
          <w:pgMar w:top="1276" w:right="1440" w:bottom="1440" w:left="1276" w:header="709" w:footer="709" w:gutter="0"/>
          <w:pgNumType w:start="1"/>
          <w:cols w:space="720"/>
          <w:docGrid w:linePitch="360"/>
        </w:sectPr>
      </w:pPr>
    </w:p>
    <w:p w:rsidR="00806869" w:rsidRDefault="00512389" w:rsidP="00806869">
      <w:pPr>
        <w:pStyle w:val="Heading2"/>
        <w:rPr>
          <w:noProof/>
        </w:rPr>
      </w:pPr>
      <w:r>
        <w:rPr>
          <w:noProof/>
        </w:rPr>
        <w:t>Příloha 1: Prognózy závazků</w:t>
      </w:r>
      <w:r>
        <w:rPr>
          <w:rStyle w:val="FootnoteReference"/>
          <w:noProof/>
        </w:rPr>
        <w:footnoteReference w:id="5"/>
      </w:r>
      <w:r>
        <w:rPr>
          <w:noProof/>
        </w:rPr>
        <w:t xml:space="preserve"> na roky 2022–2024 (v milionech EUR)</w:t>
      </w:r>
    </w:p>
    <w:tbl>
      <w:tblPr>
        <w:tblW w:w="13678" w:type="dxa"/>
        <w:tblInd w:w="108" w:type="dxa"/>
        <w:tblLook w:val="04A0" w:firstRow="1" w:lastRow="0" w:firstColumn="1" w:lastColumn="0" w:noHBand="0" w:noVBand="1"/>
      </w:tblPr>
      <w:tblGrid>
        <w:gridCol w:w="3686"/>
        <w:gridCol w:w="1594"/>
        <w:gridCol w:w="1666"/>
        <w:gridCol w:w="1594"/>
        <w:gridCol w:w="1950"/>
        <w:gridCol w:w="1594"/>
        <w:gridCol w:w="1594"/>
      </w:tblGrid>
      <w:tr w:rsidR="008C5021" w:rsidRPr="008C5021" w:rsidTr="008C5021">
        <w:trPr>
          <w:trHeight w:val="298"/>
        </w:trPr>
        <w:tc>
          <w:tcPr>
            <w:tcW w:w="3686" w:type="dxa"/>
            <w:tcBorders>
              <w:top w:val="nil"/>
              <w:left w:val="nil"/>
              <w:bottom w:val="nil"/>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noProof/>
                <w:sz w:val="24"/>
                <w:szCs w:val="24"/>
                <w:lang w:eastAsia="en-GB"/>
              </w:rPr>
            </w:pPr>
          </w:p>
        </w:tc>
        <w:tc>
          <w:tcPr>
            <w:tcW w:w="326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Údaje za rok 2022</w:t>
            </w:r>
          </w:p>
        </w:tc>
        <w:tc>
          <w:tcPr>
            <w:tcW w:w="354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Údaje za rok 2023</w:t>
            </w:r>
          </w:p>
        </w:tc>
        <w:tc>
          <w:tcPr>
            <w:tcW w:w="318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Údaje za rok 2024</w:t>
            </w:r>
          </w:p>
        </w:tc>
      </w:tr>
      <w:tr w:rsidR="008C5021" w:rsidRPr="008C5021" w:rsidTr="008C5021">
        <w:trPr>
          <w:trHeight w:val="510"/>
        </w:trPr>
        <w:tc>
          <w:tcPr>
            <w:tcW w:w="3686" w:type="dxa"/>
            <w:tcBorders>
              <w:top w:val="nil"/>
              <w:left w:val="nil"/>
              <w:bottom w:val="nil"/>
              <w:right w:val="nil"/>
            </w:tcBorders>
            <w:shd w:val="clear" w:color="auto" w:fill="auto"/>
            <w:noWrap/>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single" w:sz="8" w:space="0" w:color="auto"/>
              <w:bottom w:val="single" w:sz="4" w:space="0" w:color="auto"/>
              <w:right w:val="single" w:sz="4" w:space="0" w:color="auto"/>
            </w:tcBorders>
            <w:shd w:val="clear" w:color="auto" w:fill="auto"/>
            <w:vAlign w:val="center"/>
            <w:hideMark/>
          </w:tcPr>
          <w:p w:rsidR="008C5021" w:rsidRPr="008C5021" w:rsidRDefault="009860A9"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8C5021">
              <w:rPr>
                <w:rFonts w:ascii="Times New Roman" w:hAnsi="Times New Roman"/>
                <w:b/>
                <w:noProof/>
                <w:color w:val="808080"/>
                <w:sz w:val="20"/>
              </w:rPr>
              <w:t>června 2022</w:t>
            </w:r>
          </w:p>
        </w:tc>
        <w:tc>
          <w:tcPr>
            <w:tcW w:w="1666"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9860A9">
              <w:rPr>
                <w:rFonts w:ascii="Times New Roman" w:hAnsi="Times New Roman"/>
                <w:b/>
                <w:noProof/>
                <w:sz w:val="20"/>
              </w:rPr>
              <w:br/>
            </w:r>
            <w:r>
              <w:rPr>
                <w:rFonts w:ascii="Times New Roman" w:hAnsi="Times New Roman"/>
                <w:b/>
                <w:noProof/>
                <w:sz w:val="20"/>
              </w:rPr>
              <w:t>z října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9860A9"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8C5021">
              <w:rPr>
                <w:rFonts w:ascii="Times New Roman" w:hAnsi="Times New Roman"/>
                <w:b/>
                <w:noProof/>
                <w:color w:val="808080"/>
                <w:sz w:val="20"/>
              </w:rPr>
              <w:t>června 2022</w:t>
            </w:r>
          </w:p>
        </w:tc>
        <w:tc>
          <w:tcPr>
            <w:tcW w:w="1950"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9860A9">
              <w:rPr>
                <w:rFonts w:ascii="Times New Roman" w:hAnsi="Times New Roman"/>
                <w:b/>
                <w:noProof/>
                <w:sz w:val="20"/>
              </w:rPr>
              <w:br/>
            </w:r>
            <w:r>
              <w:rPr>
                <w:rFonts w:ascii="Times New Roman" w:hAnsi="Times New Roman"/>
                <w:b/>
                <w:noProof/>
                <w:sz w:val="20"/>
              </w:rPr>
              <w:t>z října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9860A9"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8C5021">
              <w:rPr>
                <w:rFonts w:ascii="Times New Roman" w:hAnsi="Times New Roman"/>
                <w:b/>
                <w:noProof/>
                <w:color w:val="808080"/>
                <w:sz w:val="20"/>
              </w:rPr>
              <w:t>června 2022</w:t>
            </w:r>
          </w:p>
        </w:tc>
        <w:tc>
          <w:tcPr>
            <w:tcW w:w="1594"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9860A9">
              <w:rPr>
                <w:rFonts w:ascii="Times New Roman" w:hAnsi="Times New Roman"/>
                <w:b/>
                <w:noProof/>
                <w:sz w:val="20"/>
              </w:rPr>
              <w:br/>
            </w:r>
            <w:r>
              <w:rPr>
                <w:rFonts w:ascii="Times New Roman" w:hAnsi="Times New Roman"/>
                <w:b/>
                <w:noProof/>
                <w:sz w:val="20"/>
              </w:rPr>
              <w:t>z října 2022</w:t>
            </w:r>
          </w:p>
        </w:tc>
      </w:tr>
      <w:tr w:rsidR="008C5021" w:rsidRPr="008C5021" w:rsidTr="008C5021">
        <w:trPr>
          <w:trHeight w:val="255"/>
        </w:trPr>
        <w:tc>
          <w:tcPr>
            <w:tcW w:w="3686" w:type="dxa"/>
            <w:tcBorders>
              <w:top w:val="single" w:sz="4" w:space="0" w:color="auto"/>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Regiony</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000000" w:fill="FFFFFF"/>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Východní a střední Afrika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000000" w:fill="FFFFFF"/>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Západní a jižní Afrika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Karibik</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Tichomoří</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b/>
                <w:bCs/>
                <w:noProof/>
                <w:sz w:val="20"/>
                <w:szCs w:val="20"/>
              </w:rPr>
            </w:pPr>
            <w:r>
              <w:rPr>
                <w:rFonts w:ascii="Times New Roman" w:hAnsi="Times New Roman"/>
                <w:b/>
                <w:noProof/>
                <w:sz w:val="20"/>
              </w:rPr>
              <w:t>Mezisoučet</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Ostatní</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5549F9">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FE433A"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Zvláštní opatření pro potravinové</w:t>
            </w:r>
            <w:r w:rsidR="00C06228">
              <w:rPr>
                <w:rFonts w:ascii="Times New Roman" w:hAnsi="Times New Roman"/>
                <w:noProof/>
                <w:sz w:val="20"/>
              </w:rPr>
              <w:br/>
              <w:t xml:space="preserve">       </w:t>
            </w:r>
            <w:r>
              <w:rPr>
                <w:rFonts w:ascii="Times New Roman" w:hAnsi="Times New Roman"/>
                <w:noProof/>
                <w:sz w:val="20"/>
              </w:rPr>
              <w:t xml:space="preserve"> zabezpečení </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auto" w:fill="F2F2F2" w:themeFill="background1" w:themeFillShade="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600</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Lidský rozvoj, lidská práva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EU-Afrika, africký mírový projekt</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000000" w:fill="FFFFFF"/>
            <w:noWrap/>
            <w:vAlign w:val="bottom"/>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Nouzový svěřenský fond pro Afriku</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bottom"/>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Planeta a prosperita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bottom"/>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Zdroje, hodnocení, proces</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bottom"/>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GŘ ECHO, EACEA, GŘ EAC</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b/>
                <w:bCs/>
                <w:noProof/>
                <w:sz w:val="20"/>
                <w:szCs w:val="20"/>
              </w:rPr>
            </w:pPr>
            <w:r>
              <w:rPr>
                <w:rFonts w:ascii="Times New Roman" w:hAnsi="Times New Roman"/>
                <w:b/>
                <w:noProof/>
                <w:sz w:val="20"/>
              </w:rPr>
              <w:t>Mezisoučet</w:t>
            </w:r>
          </w:p>
        </w:tc>
        <w:tc>
          <w:tcPr>
            <w:tcW w:w="1594" w:type="dxa"/>
            <w:tcBorders>
              <w:top w:val="nil"/>
              <w:left w:val="single" w:sz="8" w:space="0" w:color="auto"/>
              <w:bottom w:val="dotted"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666" w:type="dxa"/>
            <w:tcBorders>
              <w:top w:val="nil"/>
              <w:left w:val="nil"/>
              <w:bottom w:val="dotted"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dotted"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dotted"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dotted"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94" w:type="dxa"/>
            <w:tcBorders>
              <w:top w:val="nil"/>
              <w:left w:val="nil"/>
              <w:bottom w:val="dotted"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r>
      <w:tr w:rsidR="008C5021" w:rsidRPr="008C5021" w:rsidTr="008C5021">
        <w:trPr>
          <w:trHeight w:val="255"/>
        </w:trPr>
        <w:tc>
          <w:tcPr>
            <w:tcW w:w="3686" w:type="dxa"/>
            <w:tcBorders>
              <w:top w:val="nil"/>
              <w:left w:val="single" w:sz="4" w:space="0" w:color="auto"/>
              <w:bottom w:val="single" w:sz="4" w:space="0" w:color="auto"/>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Evropská komise celkem</w:t>
            </w:r>
          </w:p>
        </w:tc>
        <w:tc>
          <w:tcPr>
            <w:tcW w:w="1594" w:type="dxa"/>
            <w:tcBorders>
              <w:top w:val="nil"/>
              <w:left w:val="single" w:sz="8" w:space="0" w:color="auto"/>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666"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600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950"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r>
      <w:tr w:rsidR="008C5021" w:rsidRPr="008C5021" w:rsidTr="00C61397">
        <w:trPr>
          <w:trHeight w:val="255"/>
        </w:trPr>
        <w:tc>
          <w:tcPr>
            <w:tcW w:w="3686" w:type="dxa"/>
            <w:tcBorders>
              <w:top w:val="nil"/>
              <w:left w:val="single" w:sz="4" w:space="0" w:color="auto"/>
              <w:bottom w:val="nil"/>
              <w:right w:val="nil"/>
            </w:tcBorders>
            <w:shd w:val="clear" w:color="auto" w:fill="auto"/>
            <w:noWrap/>
            <w:vAlign w:val="bottom"/>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Subvence z investiční facility (*)</w:t>
            </w:r>
          </w:p>
        </w:tc>
        <w:tc>
          <w:tcPr>
            <w:tcW w:w="1594" w:type="dxa"/>
            <w:tcBorders>
              <w:top w:val="nil"/>
              <w:left w:val="single" w:sz="8" w:space="0" w:color="auto"/>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666" w:type="dxa"/>
            <w:tcBorders>
              <w:top w:val="nil"/>
              <w:left w:val="nil"/>
              <w:bottom w:val="dotted" w:sz="4"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dotted" w:sz="4"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94" w:type="dxa"/>
            <w:tcBorders>
              <w:top w:val="nil"/>
              <w:left w:val="nil"/>
              <w:bottom w:val="dotted" w:sz="4"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r>
      <w:tr w:rsidR="008C5021" w:rsidRPr="008C5021" w:rsidTr="008C5021">
        <w:trPr>
          <w:trHeight w:val="255"/>
        </w:trPr>
        <w:tc>
          <w:tcPr>
            <w:tcW w:w="3686" w:type="dxa"/>
            <w:tcBorders>
              <w:top w:val="nil"/>
              <w:left w:val="single" w:sz="4" w:space="0" w:color="auto"/>
              <w:bottom w:val="single" w:sz="4" w:space="0" w:color="auto"/>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EIB celkem</w:t>
            </w:r>
          </w:p>
        </w:tc>
        <w:tc>
          <w:tcPr>
            <w:tcW w:w="1594" w:type="dxa"/>
            <w:tcBorders>
              <w:top w:val="nil"/>
              <w:left w:val="single" w:sz="8" w:space="0" w:color="auto"/>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666"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950"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r>
      <w:tr w:rsidR="008C5021" w:rsidRPr="008C5021" w:rsidTr="008C5021">
        <w:trPr>
          <w:trHeight w:val="270"/>
        </w:trPr>
        <w:tc>
          <w:tcPr>
            <w:tcW w:w="3686" w:type="dxa"/>
            <w:tcBorders>
              <w:top w:val="nil"/>
              <w:left w:val="single" w:sz="4" w:space="0" w:color="auto"/>
              <w:bottom w:val="single" w:sz="4" w:space="0" w:color="auto"/>
              <w:right w:val="nil"/>
            </w:tcBorders>
            <w:shd w:val="clear" w:color="auto" w:fill="auto"/>
            <w:noWrap/>
            <w:vAlign w:val="center"/>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EK + EIB CELKEM</w:t>
            </w:r>
          </w:p>
        </w:tc>
        <w:tc>
          <w:tcPr>
            <w:tcW w:w="1594" w:type="dxa"/>
            <w:tcBorders>
              <w:top w:val="nil"/>
              <w:left w:val="single" w:sz="8" w:space="0" w:color="auto"/>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666" w:type="dxa"/>
            <w:tcBorders>
              <w:top w:val="nil"/>
              <w:left w:val="nil"/>
              <w:bottom w:val="single" w:sz="8"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600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950" w:type="dxa"/>
            <w:tcBorders>
              <w:top w:val="nil"/>
              <w:left w:val="nil"/>
              <w:bottom w:val="single" w:sz="8"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8"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r>
    </w:tbl>
    <w:p w:rsidR="00512389" w:rsidRPr="006E1DA9" w:rsidRDefault="006E1DA9" w:rsidP="006E1DA9">
      <w:pPr>
        <w:rPr>
          <w:noProof/>
          <w:sz w:val="16"/>
          <w:szCs w:val="16"/>
        </w:rPr>
      </w:pPr>
      <w:r>
        <w:rPr>
          <w:noProof/>
          <w:sz w:val="16"/>
        </w:rPr>
        <w:t>* Včetně subvencí na technickou pomoc a úrokových subvencí ze současného ERF a plateb úrokových subvencí v rámci předchozích ERF.</w:t>
      </w:r>
    </w:p>
    <w:tbl>
      <w:tblPr>
        <w:tblW w:w="13608" w:type="dxa"/>
        <w:tblInd w:w="108" w:type="dxa"/>
        <w:tblLayout w:type="fixed"/>
        <w:tblLook w:val="04A0" w:firstRow="1" w:lastRow="0" w:firstColumn="1" w:lastColumn="0" w:noHBand="0" w:noVBand="1"/>
      </w:tblPr>
      <w:tblGrid>
        <w:gridCol w:w="3686"/>
        <w:gridCol w:w="1665"/>
        <w:gridCol w:w="1701"/>
        <w:gridCol w:w="1594"/>
        <w:gridCol w:w="1950"/>
        <w:gridCol w:w="1594"/>
        <w:gridCol w:w="1418"/>
      </w:tblGrid>
      <w:tr w:rsidR="008C5021" w:rsidRPr="008C5021" w:rsidTr="008C5021">
        <w:trPr>
          <w:trHeight w:val="255"/>
        </w:trPr>
        <w:tc>
          <w:tcPr>
            <w:tcW w:w="3686" w:type="dxa"/>
            <w:tcBorders>
              <w:top w:val="nil"/>
              <w:left w:val="nil"/>
              <w:bottom w:val="nil"/>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noProof/>
                <w:sz w:val="24"/>
                <w:szCs w:val="24"/>
                <w:lang w:eastAsia="en-GB"/>
              </w:rPr>
            </w:pPr>
          </w:p>
        </w:tc>
        <w:tc>
          <w:tcPr>
            <w:tcW w:w="3366"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Údaje za rok 2022</w:t>
            </w:r>
          </w:p>
        </w:tc>
        <w:tc>
          <w:tcPr>
            <w:tcW w:w="354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Údaje za rok 2023</w:t>
            </w:r>
          </w:p>
        </w:tc>
        <w:tc>
          <w:tcPr>
            <w:tcW w:w="301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Údaje za rok 2024</w:t>
            </w:r>
          </w:p>
        </w:tc>
      </w:tr>
      <w:tr w:rsidR="008C5021" w:rsidRPr="008C5021" w:rsidTr="008C5021">
        <w:trPr>
          <w:trHeight w:val="510"/>
        </w:trPr>
        <w:tc>
          <w:tcPr>
            <w:tcW w:w="3686" w:type="dxa"/>
            <w:tcBorders>
              <w:top w:val="nil"/>
              <w:left w:val="nil"/>
              <w:bottom w:val="nil"/>
              <w:right w:val="nil"/>
            </w:tcBorders>
            <w:shd w:val="clear" w:color="auto" w:fill="auto"/>
            <w:noWrap/>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665" w:type="dxa"/>
            <w:tcBorders>
              <w:top w:val="nil"/>
              <w:left w:val="single" w:sz="8" w:space="0" w:color="auto"/>
              <w:bottom w:val="single" w:sz="4" w:space="0" w:color="auto"/>
              <w:right w:val="single" w:sz="4" w:space="0" w:color="auto"/>
            </w:tcBorders>
            <w:shd w:val="clear" w:color="auto" w:fill="auto"/>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Sdělení </w:t>
            </w:r>
            <w:r w:rsidR="00C06228">
              <w:rPr>
                <w:rFonts w:ascii="Times New Roman" w:hAnsi="Times New Roman"/>
                <w:b/>
                <w:noProof/>
                <w:color w:val="808080"/>
                <w:sz w:val="20"/>
              </w:rPr>
              <w:br/>
            </w:r>
            <w:r>
              <w:rPr>
                <w:rFonts w:ascii="Times New Roman" w:hAnsi="Times New Roman"/>
                <w:b/>
                <w:noProof/>
                <w:color w:val="808080"/>
                <w:sz w:val="20"/>
              </w:rPr>
              <w:t>z června 2022</w:t>
            </w:r>
          </w:p>
        </w:tc>
        <w:tc>
          <w:tcPr>
            <w:tcW w:w="1701"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C06228"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8C5021">
              <w:rPr>
                <w:rFonts w:ascii="Times New Roman" w:hAnsi="Times New Roman"/>
                <w:b/>
                <w:noProof/>
                <w:color w:val="808080"/>
                <w:sz w:val="20"/>
              </w:rPr>
              <w:t>června 2022</w:t>
            </w:r>
          </w:p>
        </w:tc>
        <w:tc>
          <w:tcPr>
            <w:tcW w:w="1950"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C06228"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8C5021">
              <w:rPr>
                <w:rFonts w:ascii="Times New Roman" w:hAnsi="Times New Roman"/>
                <w:b/>
                <w:noProof/>
                <w:color w:val="808080"/>
                <w:sz w:val="20"/>
              </w:rPr>
              <w:t>června 2022</w:t>
            </w:r>
          </w:p>
        </w:tc>
        <w:tc>
          <w:tcPr>
            <w:tcW w:w="1418" w:type="dxa"/>
            <w:tcBorders>
              <w:top w:val="nil"/>
              <w:left w:val="nil"/>
              <w:bottom w:val="single" w:sz="4" w:space="0" w:color="auto"/>
              <w:right w:val="single" w:sz="8" w:space="0" w:color="auto"/>
            </w:tcBorders>
            <w:shd w:val="clear" w:color="000000" w:fill="F2F2F2"/>
            <w:vAlign w:val="center"/>
            <w:hideMark/>
          </w:tcPr>
          <w:p w:rsidR="008C5021" w:rsidRPr="008C5021" w:rsidRDefault="00C06228"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Sdělení z </w:t>
            </w:r>
            <w:r w:rsidR="008C5021">
              <w:rPr>
                <w:rFonts w:ascii="Times New Roman" w:hAnsi="Times New Roman"/>
                <w:b/>
                <w:noProof/>
                <w:sz w:val="20"/>
              </w:rPr>
              <w:t>října 2022</w:t>
            </w:r>
          </w:p>
        </w:tc>
      </w:tr>
      <w:tr w:rsidR="008C5021" w:rsidRPr="008C5021" w:rsidTr="00C61397">
        <w:trPr>
          <w:trHeight w:val="27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Revolvingový fond investiční facility**</w:t>
            </w:r>
          </w:p>
        </w:tc>
        <w:tc>
          <w:tcPr>
            <w:tcW w:w="1665" w:type="dxa"/>
            <w:tcBorders>
              <w:top w:val="nil"/>
              <w:left w:val="single" w:sz="8" w:space="0" w:color="auto"/>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701" w:type="dxa"/>
            <w:tcBorders>
              <w:top w:val="nil"/>
              <w:left w:val="nil"/>
              <w:bottom w:val="single" w:sz="8"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single" w:sz="8"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418" w:type="dxa"/>
            <w:tcBorders>
              <w:top w:val="nil"/>
              <w:left w:val="nil"/>
              <w:bottom w:val="single" w:sz="8"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r>
    </w:tbl>
    <w:p w:rsidR="00806869" w:rsidRDefault="00806869" w:rsidP="006E1DA9">
      <w:pPr>
        <w:rPr>
          <w:noProof/>
          <w:sz w:val="16"/>
          <w:szCs w:val="16"/>
        </w:rPr>
      </w:pPr>
    </w:p>
    <w:p w:rsidR="006E1DA9" w:rsidRPr="006E1DA9" w:rsidRDefault="006E1DA9" w:rsidP="006E1DA9">
      <w:pPr>
        <w:rPr>
          <w:noProof/>
          <w:sz w:val="16"/>
          <w:szCs w:val="16"/>
        </w:rPr>
      </w:pPr>
      <w:r>
        <w:rPr>
          <w:noProof/>
          <w:sz w:val="16"/>
        </w:rPr>
        <w:t>**Závazky v rámci revolvingového fondu nelze považovat za rovnocenné rozpočtovým závazkům. Vykazují se proto samostatně.</w:t>
      </w:r>
    </w:p>
    <w:p w:rsidR="00806869" w:rsidRDefault="00980393" w:rsidP="008C5021">
      <w:pPr>
        <w:pStyle w:val="Heading2"/>
        <w:rPr>
          <w:noProof/>
        </w:rPr>
      </w:pPr>
      <w:r>
        <w:rPr>
          <w:noProof/>
        </w:rPr>
        <w:br w:type="page"/>
        <w:t>Příloha 2: Prognózy závazků</w:t>
      </w:r>
      <w:r>
        <w:rPr>
          <w:rStyle w:val="FootnoteReference"/>
          <w:noProof/>
        </w:rPr>
        <w:footnoteReference w:id="6"/>
      </w:r>
      <w:r>
        <w:rPr>
          <w:noProof/>
        </w:rPr>
        <w:t xml:space="preserve"> na roky 2022–2024 (v milionech EUR)</w:t>
      </w:r>
    </w:p>
    <w:tbl>
      <w:tblPr>
        <w:tblW w:w="12891" w:type="dxa"/>
        <w:tblInd w:w="108" w:type="dxa"/>
        <w:tblLook w:val="04A0" w:firstRow="1" w:lastRow="0" w:firstColumn="1" w:lastColumn="0" w:noHBand="0" w:noVBand="1"/>
      </w:tblPr>
      <w:tblGrid>
        <w:gridCol w:w="3851"/>
        <w:gridCol w:w="1440"/>
        <w:gridCol w:w="1520"/>
        <w:gridCol w:w="1560"/>
        <w:gridCol w:w="1560"/>
        <w:gridCol w:w="1400"/>
        <w:gridCol w:w="1560"/>
      </w:tblGrid>
      <w:tr w:rsidR="00702690" w:rsidRPr="00702690" w:rsidTr="00702690">
        <w:trPr>
          <w:trHeight w:val="270"/>
        </w:trPr>
        <w:tc>
          <w:tcPr>
            <w:tcW w:w="3851" w:type="dxa"/>
            <w:tcBorders>
              <w:top w:val="single" w:sz="8" w:space="0" w:color="AEAAAA" w:themeColor="background2" w:themeShade="BF"/>
              <w:left w:val="nil"/>
              <w:bottom w:val="nil"/>
              <w:right w:val="nil"/>
            </w:tcBorders>
            <w:shd w:val="clear" w:color="auto" w:fill="auto"/>
            <w:noWrap/>
            <w:vAlign w:val="center"/>
            <w:hideMark/>
          </w:tcPr>
          <w:p w:rsidR="00702690" w:rsidRPr="00702690" w:rsidRDefault="00702690" w:rsidP="00702690">
            <w:pPr>
              <w:spacing w:after="0" w:line="240" w:lineRule="auto"/>
              <w:rPr>
                <w:rFonts w:ascii="Times New Roman" w:eastAsia="Times New Roman" w:hAnsi="Times New Roman" w:cs="Times New Roman"/>
                <w:noProof/>
                <w:sz w:val="24"/>
                <w:szCs w:val="24"/>
                <w:lang w:eastAsia="en-GB"/>
              </w:rPr>
            </w:pPr>
          </w:p>
        </w:tc>
        <w:tc>
          <w:tcPr>
            <w:tcW w:w="2960" w:type="dxa"/>
            <w:gridSpan w:val="2"/>
            <w:tcBorders>
              <w:top w:val="single" w:sz="8" w:space="0" w:color="AEAAAA" w:themeColor="background2" w:themeShade="BF"/>
              <w:left w:val="single" w:sz="8" w:space="0" w:color="auto"/>
              <w:bottom w:val="nil"/>
              <w:right w:val="single" w:sz="8" w:space="0" w:color="000000"/>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Údaje za rok 2022</w:t>
            </w:r>
          </w:p>
        </w:tc>
        <w:tc>
          <w:tcPr>
            <w:tcW w:w="3120" w:type="dxa"/>
            <w:gridSpan w:val="2"/>
            <w:tcBorders>
              <w:top w:val="single" w:sz="8" w:space="0" w:color="AEAAAA" w:themeColor="background2" w:themeShade="BF"/>
              <w:left w:val="nil"/>
              <w:bottom w:val="nil"/>
              <w:right w:val="single" w:sz="8" w:space="0" w:color="000000"/>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Údaje za rok 2023</w:t>
            </w:r>
          </w:p>
        </w:tc>
        <w:tc>
          <w:tcPr>
            <w:tcW w:w="2960" w:type="dxa"/>
            <w:gridSpan w:val="2"/>
            <w:tcBorders>
              <w:top w:val="single" w:sz="8" w:space="0" w:color="AEAAAA" w:themeColor="background2" w:themeShade="BF"/>
              <w:left w:val="nil"/>
              <w:bottom w:val="nil"/>
              <w:right w:val="single" w:sz="8" w:space="0" w:color="000000"/>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Údaje za rok 2024</w:t>
            </w:r>
          </w:p>
        </w:tc>
      </w:tr>
      <w:tr w:rsidR="00702690" w:rsidRPr="00702690" w:rsidTr="00225D2F">
        <w:trPr>
          <w:trHeight w:val="740"/>
        </w:trPr>
        <w:tc>
          <w:tcPr>
            <w:tcW w:w="3851" w:type="dxa"/>
            <w:tcBorders>
              <w:top w:val="nil"/>
              <w:left w:val="nil"/>
              <w:bottom w:val="single" w:sz="6" w:space="0" w:color="auto"/>
              <w:right w:val="nil"/>
            </w:tcBorders>
            <w:shd w:val="clear" w:color="auto" w:fill="auto"/>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lang w:eastAsia="en-GB"/>
              </w:rPr>
            </w:pPr>
          </w:p>
        </w:tc>
        <w:tc>
          <w:tcPr>
            <w:tcW w:w="1440" w:type="dxa"/>
            <w:tcBorders>
              <w:top w:val="single" w:sz="8" w:space="0" w:color="auto"/>
              <w:left w:val="single" w:sz="8" w:space="0" w:color="auto"/>
              <w:bottom w:val="single" w:sz="6" w:space="0" w:color="auto"/>
              <w:right w:val="single" w:sz="4" w:space="0" w:color="auto"/>
            </w:tcBorders>
            <w:shd w:val="clear" w:color="auto" w:fill="auto"/>
            <w:vAlign w:val="center"/>
            <w:hideMark/>
          </w:tcPr>
          <w:p w:rsidR="00702690" w:rsidRPr="00702690" w:rsidRDefault="00C06228"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702690">
              <w:rPr>
                <w:rFonts w:ascii="Times New Roman" w:hAnsi="Times New Roman"/>
                <w:b/>
                <w:noProof/>
                <w:color w:val="808080"/>
                <w:sz w:val="20"/>
              </w:rPr>
              <w:t>června 2022</w:t>
            </w:r>
          </w:p>
        </w:tc>
        <w:tc>
          <w:tcPr>
            <w:tcW w:w="1520" w:type="dxa"/>
            <w:tcBorders>
              <w:top w:val="single" w:sz="8" w:space="0" w:color="auto"/>
              <w:left w:val="nil"/>
              <w:bottom w:val="single" w:sz="6" w:space="0" w:color="auto"/>
              <w:right w:val="single" w:sz="8" w:space="0" w:color="auto"/>
            </w:tcBorders>
            <w:shd w:val="clear" w:color="000000" w:fill="D9D9D9"/>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c>
          <w:tcPr>
            <w:tcW w:w="1560" w:type="dxa"/>
            <w:tcBorders>
              <w:top w:val="single" w:sz="8" w:space="0" w:color="auto"/>
              <w:left w:val="nil"/>
              <w:bottom w:val="single" w:sz="6" w:space="0" w:color="auto"/>
              <w:right w:val="single" w:sz="4" w:space="0" w:color="auto"/>
            </w:tcBorders>
            <w:shd w:val="clear" w:color="auto" w:fill="auto"/>
            <w:vAlign w:val="center"/>
            <w:hideMark/>
          </w:tcPr>
          <w:p w:rsidR="00702690" w:rsidRPr="00702690" w:rsidRDefault="00C06228"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702690">
              <w:rPr>
                <w:rFonts w:ascii="Times New Roman" w:hAnsi="Times New Roman"/>
                <w:b/>
                <w:noProof/>
                <w:color w:val="808080"/>
                <w:sz w:val="20"/>
              </w:rPr>
              <w:t>června 2022</w:t>
            </w:r>
          </w:p>
        </w:tc>
        <w:tc>
          <w:tcPr>
            <w:tcW w:w="1560" w:type="dxa"/>
            <w:tcBorders>
              <w:top w:val="single" w:sz="8" w:space="0" w:color="auto"/>
              <w:left w:val="nil"/>
              <w:bottom w:val="single" w:sz="6" w:space="0" w:color="auto"/>
              <w:right w:val="single" w:sz="8" w:space="0" w:color="auto"/>
            </w:tcBorders>
            <w:shd w:val="clear" w:color="000000" w:fill="D9D9D9"/>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c>
          <w:tcPr>
            <w:tcW w:w="1400" w:type="dxa"/>
            <w:tcBorders>
              <w:top w:val="single" w:sz="8" w:space="0" w:color="auto"/>
              <w:left w:val="nil"/>
              <w:bottom w:val="single" w:sz="6" w:space="0" w:color="auto"/>
              <w:right w:val="single" w:sz="4" w:space="0" w:color="auto"/>
            </w:tcBorders>
            <w:shd w:val="clear" w:color="auto" w:fill="auto"/>
            <w:vAlign w:val="center"/>
            <w:hideMark/>
          </w:tcPr>
          <w:p w:rsidR="00702690" w:rsidRPr="00702690" w:rsidRDefault="00C06228"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702690">
              <w:rPr>
                <w:rFonts w:ascii="Times New Roman" w:hAnsi="Times New Roman"/>
                <w:b/>
                <w:noProof/>
                <w:color w:val="808080"/>
                <w:sz w:val="20"/>
              </w:rPr>
              <w:t>června 2022</w:t>
            </w:r>
          </w:p>
        </w:tc>
        <w:tc>
          <w:tcPr>
            <w:tcW w:w="1560" w:type="dxa"/>
            <w:tcBorders>
              <w:top w:val="single" w:sz="8" w:space="0" w:color="auto"/>
              <w:left w:val="nil"/>
              <w:bottom w:val="single" w:sz="6" w:space="0" w:color="auto"/>
              <w:right w:val="single" w:sz="8" w:space="0" w:color="auto"/>
            </w:tcBorders>
            <w:shd w:val="clear" w:color="000000" w:fill="D9D9D9"/>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r>
      <w:tr w:rsidR="00702690" w:rsidRPr="00702690" w:rsidTr="00225D2F">
        <w:trPr>
          <w:trHeight w:val="260"/>
        </w:trPr>
        <w:tc>
          <w:tcPr>
            <w:tcW w:w="3851" w:type="dxa"/>
            <w:tcBorders>
              <w:top w:val="single" w:sz="6" w:space="0" w:color="auto"/>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Regiony</w:t>
            </w:r>
          </w:p>
        </w:tc>
        <w:tc>
          <w:tcPr>
            <w:tcW w:w="1440" w:type="dxa"/>
            <w:tcBorders>
              <w:top w:val="single" w:sz="6" w:space="0" w:color="auto"/>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20" w:type="dxa"/>
            <w:tcBorders>
              <w:top w:val="single" w:sz="6" w:space="0" w:color="auto"/>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w:t>
            </w:r>
          </w:p>
        </w:tc>
        <w:tc>
          <w:tcPr>
            <w:tcW w:w="1560" w:type="dxa"/>
            <w:tcBorders>
              <w:top w:val="single" w:sz="6" w:space="0" w:color="auto"/>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single" w:sz="6" w:space="0" w:color="auto"/>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single" w:sz="6" w:space="0" w:color="auto"/>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single" w:sz="6" w:space="0" w:color="auto"/>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000000" w:fill="FFFFFF"/>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Východní a střední Afrika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506</w:t>
            </w:r>
          </w:p>
        </w:tc>
        <w:tc>
          <w:tcPr>
            <w:tcW w:w="1520" w:type="dxa"/>
            <w:tcBorders>
              <w:top w:val="nil"/>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425</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000000" w:fill="FFFFFF"/>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Západní a jižní Afrika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1 003</w:t>
            </w:r>
          </w:p>
        </w:tc>
        <w:tc>
          <w:tcPr>
            <w:tcW w:w="1520" w:type="dxa"/>
            <w:tcBorders>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975</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Karibik</w:t>
            </w:r>
          </w:p>
        </w:tc>
        <w:tc>
          <w:tcPr>
            <w:tcW w:w="1440" w:type="dxa"/>
            <w:tcBorders>
              <w:top w:val="nil"/>
              <w:left w:val="single"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156</w:t>
            </w:r>
          </w:p>
        </w:tc>
        <w:tc>
          <w:tcPr>
            <w:tcW w:w="1520" w:type="dxa"/>
            <w:tcBorders>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115</w:t>
            </w:r>
          </w:p>
        </w:tc>
        <w:tc>
          <w:tcPr>
            <w:tcW w:w="1560" w:type="dxa"/>
            <w:tcBorders>
              <w:top w:val="nil"/>
              <w:left w:val="single" w:sz="6"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dashed" w:sz="4" w:space="0" w:color="auto"/>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Tichomoří</w:t>
            </w:r>
          </w:p>
        </w:tc>
        <w:tc>
          <w:tcPr>
            <w:tcW w:w="1440" w:type="dxa"/>
            <w:tcBorders>
              <w:top w:val="nil"/>
              <w:left w:val="single" w:sz="4" w:space="0" w:color="auto"/>
              <w:bottom w:val="dashed"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84</w:t>
            </w:r>
          </w:p>
        </w:tc>
        <w:tc>
          <w:tcPr>
            <w:tcW w:w="1520" w:type="dxa"/>
            <w:tcBorders>
              <w:left w:val="single" w:sz="6" w:space="0" w:color="auto"/>
              <w:bottom w:val="dashed" w:sz="4" w:space="0" w:color="auto"/>
              <w:right w:val="single" w:sz="6" w:space="0" w:color="auto"/>
            </w:tcBorders>
            <w:shd w:val="clear" w:color="000000" w:fill="D9D9D9"/>
            <w:noWrap/>
            <w:vAlign w:val="bottom"/>
            <w:hideMark/>
          </w:tcPr>
          <w:p w:rsidR="00702690" w:rsidRPr="00225D2F"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79</w:t>
            </w:r>
          </w:p>
        </w:tc>
        <w:tc>
          <w:tcPr>
            <w:tcW w:w="1560" w:type="dxa"/>
            <w:tcBorders>
              <w:top w:val="nil"/>
              <w:left w:val="single" w:sz="6" w:space="0" w:color="auto"/>
              <w:bottom w:val="dashed"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dashed"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dashed" w:sz="4" w:space="0" w:color="auto"/>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single" w:sz="4" w:space="0" w:color="auto"/>
              <w:bottom w:val="dashed"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dashed" w:sz="4" w:space="0" w:color="auto"/>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Mezisoučet*</w:t>
            </w:r>
          </w:p>
        </w:tc>
        <w:tc>
          <w:tcPr>
            <w:tcW w:w="1440" w:type="dxa"/>
            <w:tcBorders>
              <w:top w:val="dashed" w:sz="4" w:space="0" w:color="auto"/>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1 749</w:t>
            </w:r>
          </w:p>
        </w:tc>
        <w:tc>
          <w:tcPr>
            <w:tcW w:w="1520" w:type="dxa"/>
            <w:tcBorders>
              <w:top w:val="dashed" w:sz="4" w:space="0" w:color="auto"/>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1 594</w:t>
            </w:r>
          </w:p>
        </w:tc>
        <w:tc>
          <w:tcPr>
            <w:tcW w:w="1560" w:type="dxa"/>
            <w:tcBorders>
              <w:top w:val="dashed" w:sz="4" w:space="0" w:color="auto"/>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dashed" w:sz="4" w:space="0" w:color="auto"/>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dashed" w:sz="4" w:space="0" w:color="auto"/>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dashed" w:sz="4" w:space="0" w:color="auto"/>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 xml:space="preserve">Ostatní </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 xml:space="preserve">Zvláštní opatření pro potravinové </w:t>
            </w:r>
            <w:r w:rsidR="00C06228">
              <w:rPr>
                <w:rFonts w:ascii="Times New Roman" w:hAnsi="Times New Roman"/>
                <w:noProof/>
                <w:sz w:val="20"/>
              </w:rPr>
              <w:br/>
              <w:t xml:space="preserve">        </w:t>
            </w:r>
            <w:r>
              <w:rPr>
                <w:rFonts w:ascii="Times New Roman" w:hAnsi="Times New Roman"/>
                <w:noProof/>
                <w:sz w:val="20"/>
              </w:rPr>
              <w:t xml:space="preserve">zabezpečení </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211</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Lidský rozvoj, lidská práva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60</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46</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EU-Afrika, africký mírový projekt</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95</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97</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bottom"/>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Nouzový svěřenský fond pro Afriku</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331</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318</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bottom"/>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Planeta a prosperita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198</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175</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right w:val="nil"/>
            </w:tcBorders>
            <w:shd w:val="clear" w:color="auto" w:fill="auto"/>
            <w:noWrap/>
            <w:vAlign w:val="bottom"/>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Zdroje, hodnocení, proces</w:t>
            </w:r>
          </w:p>
        </w:tc>
        <w:tc>
          <w:tcPr>
            <w:tcW w:w="1440" w:type="dxa"/>
            <w:tcBorders>
              <w:top w:val="nil"/>
              <w:left w:val="single"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52</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51</w:t>
            </w:r>
          </w:p>
        </w:tc>
        <w:tc>
          <w:tcPr>
            <w:tcW w:w="1560" w:type="dxa"/>
            <w:tcBorders>
              <w:top w:val="nil"/>
              <w:left w:val="single" w:sz="6"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400" w:type="dxa"/>
            <w:tcBorders>
              <w:top w:val="nil"/>
              <w:left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lang w:eastAsia="en-GB"/>
              </w:rPr>
            </w:pPr>
          </w:p>
        </w:tc>
        <w:tc>
          <w:tcPr>
            <w:tcW w:w="1560" w:type="dxa"/>
            <w:tcBorders>
              <w:top w:val="nil"/>
              <w:left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r>
      <w:tr w:rsidR="00702690" w:rsidRPr="00702690" w:rsidTr="00225D2F">
        <w:trPr>
          <w:trHeight w:val="260"/>
        </w:trPr>
        <w:tc>
          <w:tcPr>
            <w:tcW w:w="3851" w:type="dxa"/>
            <w:tcBorders>
              <w:top w:val="nil"/>
              <w:left w:val="single" w:sz="6" w:space="0" w:color="auto"/>
              <w:bottom w:val="dashed" w:sz="4" w:space="0" w:color="auto"/>
              <w:right w:val="nil"/>
            </w:tcBorders>
            <w:shd w:val="clear" w:color="auto" w:fill="auto"/>
            <w:noWrap/>
            <w:vAlign w:val="bottom"/>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GŘ ECHO, EACEA, GŘ EAC</w:t>
            </w:r>
          </w:p>
        </w:tc>
        <w:tc>
          <w:tcPr>
            <w:tcW w:w="1440" w:type="dxa"/>
            <w:tcBorders>
              <w:top w:val="nil"/>
              <w:left w:val="single" w:sz="4" w:space="0" w:color="auto"/>
              <w:bottom w:val="dashed"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15</w:t>
            </w:r>
          </w:p>
        </w:tc>
        <w:tc>
          <w:tcPr>
            <w:tcW w:w="1520" w:type="dxa"/>
            <w:tcBorders>
              <w:top w:val="nil"/>
              <w:left w:val="single" w:sz="6" w:space="0" w:color="auto"/>
              <w:bottom w:val="dashed"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8</w:t>
            </w:r>
          </w:p>
        </w:tc>
        <w:tc>
          <w:tcPr>
            <w:tcW w:w="1560" w:type="dxa"/>
            <w:tcBorders>
              <w:top w:val="nil"/>
              <w:left w:val="single" w:sz="6" w:space="0" w:color="auto"/>
              <w:bottom w:val="dashed"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dashed"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dashed" w:sz="4" w:space="0" w:color="auto"/>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single" w:sz="4" w:space="0" w:color="auto"/>
              <w:bottom w:val="dashed"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dashed" w:sz="4" w:space="0" w:color="auto"/>
              <w:left w:val="single" w:sz="6" w:space="0" w:color="auto"/>
              <w:bottom w:val="single" w:sz="6" w:space="0" w:color="auto"/>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Mezisoučet*</w:t>
            </w:r>
          </w:p>
        </w:tc>
        <w:tc>
          <w:tcPr>
            <w:tcW w:w="1440" w:type="dxa"/>
            <w:tcBorders>
              <w:top w:val="dashed" w:sz="4" w:space="0" w:color="auto"/>
              <w:left w:val="single" w:sz="4" w:space="0" w:color="auto"/>
              <w:bottom w:val="single" w:sz="6"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751</w:t>
            </w:r>
          </w:p>
        </w:tc>
        <w:tc>
          <w:tcPr>
            <w:tcW w:w="1520" w:type="dxa"/>
            <w:tcBorders>
              <w:top w:val="dashed" w:sz="4" w:space="0" w:color="auto"/>
              <w:left w:val="single" w:sz="6" w:space="0" w:color="auto"/>
              <w:bottom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906</w:t>
            </w:r>
          </w:p>
        </w:tc>
        <w:tc>
          <w:tcPr>
            <w:tcW w:w="1560" w:type="dxa"/>
            <w:tcBorders>
              <w:top w:val="dashed" w:sz="4" w:space="0" w:color="auto"/>
              <w:left w:val="single" w:sz="6" w:space="0" w:color="auto"/>
              <w:bottom w:val="single" w:sz="6"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dashed" w:sz="4" w:space="0" w:color="auto"/>
              <w:left w:val="nil"/>
              <w:bottom w:val="single" w:sz="6"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dashed" w:sz="4" w:space="0" w:color="auto"/>
              <w:left w:val="nil"/>
              <w:bottom w:val="single" w:sz="6" w:space="0" w:color="auto"/>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dashed" w:sz="4" w:space="0" w:color="auto"/>
              <w:left w:val="single" w:sz="4" w:space="0" w:color="auto"/>
              <w:bottom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single" w:sz="6" w:space="0" w:color="auto"/>
              <w:left w:val="single" w:sz="6" w:space="0" w:color="auto"/>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Evropská komise celkem*</w:t>
            </w:r>
          </w:p>
        </w:tc>
        <w:tc>
          <w:tcPr>
            <w:tcW w:w="1440" w:type="dxa"/>
            <w:tcBorders>
              <w:top w:val="single" w:sz="6"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2 500</w:t>
            </w:r>
          </w:p>
        </w:tc>
        <w:tc>
          <w:tcPr>
            <w:tcW w:w="1520" w:type="dxa"/>
            <w:tcBorders>
              <w:top w:val="single" w:sz="6"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2 500</w:t>
            </w:r>
          </w:p>
        </w:tc>
        <w:tc>
          <w:tcPr>
            <w:tcW w:w="1560" w:type="dxa"/>
            <w:tcBorders>
              <w:top w:val="single" w:sz="6"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1 800</w:t>
            </w:r>
          </w:p>
        </w:tc>
        <w:tc>
          <w:tcPr>
            <w:tcW w:w="1560" w:type="dxa"/>
            <w:tcBorders>
              <w:top w:val="single" w:sz="6"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1 800</w:t>
            </w:r>
          </w:p>
        </w:tc>
        <w:tc>
          <w:tcPr>
            <w:tcW w:w="1400" w:type="dxa"/>
            <w:tcBorders>
              <w:top w:val="single" w:sz="6"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60" w:type="dxa"/>
            <w:tcBorders>
              <w:top w:val="single" w:sz="6" w:space="0" w:color="auto"/>
              <w:left w:val="nil"/>
              <w:bottom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1 300</w:t>
            </w:r>
          </w:p>
        </w:tc>
      </w:tr>
      <w:tr w:rsidR="00702690" w:rsidRPr="00702690" w:rsidTr="00225D2F">
        <w:trPr>
          <w:trHeight w:val="260"/>
        </w:trPr>
        <w:tc>
          <w:tcPr>
            <w:tcW w:w="3851"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Subvence z investiční facility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233</w:t>
            </w:r>
          </w:p>
        </w:tc>
        <w:tc>
          <w:tcPr>
            <w:tcW w:w="152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233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208</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single" w:sz="4" w:space="0" w:color="auto"/>
              <w:left w:val="nil"/>
              <w:bottom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151</w:t>
            </w:r>
          </w:p>
        </w:tc>
      </w:tr>
      <w:tr w:rsidR="00702690" w:rsidRPr="00702690" w:rsidTr="00225D2F">
        <w:trPr>
          <w:trHeight w:val="260"/>
        </w:trPr>
        <w:tc>
          <w:tcPr>
            <w:tcW w:w="3851"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EIB celkem***</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233</w:t>
            </w:r>
          </w:p>
        </w:tc>
        <w:tc>
          <w:tcPr>
            <w:tcW w:w="152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233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208</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60" w:type="dxa"/>
            <w:tcBorders>
              <w:top w:val="single" w:sz="4" w:space="0" w:color="auto"/>
              <w:left w:val="nil"/>
              <w:bottom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151</w:t>
            </w:r>
          </w:p>
        </w:tc>
      </w:tr>
      <w:tr w:rsidR="00702690" w:rsidRPr="00702690" w:rsidTr="00225D2F">
        <w:trPr>
          <w:trHeight w:val="300"/>
        </w:trPr>
        <w:tc>
          <w:tcPr>
            <w:tcW w:w="3851" w:type="dxa"/>
            <w:tcBorders>
              <w:top w:val="single" w:sz="4" w:space="0" w:color="auto"/>
              <w:left w:val="single" w:sz="6" w:space="0" w:color="auto"/>
              <w:bottom w:val="single" w:sz="6" w:space="0" w:color="auto"/>
              <w:right w:val="nil"/>
            </w:tcBorders>
            <w:shd w:val="clear" w:color="auto" w:fill="auto"/>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Evropská komise + EIB CELKEM*</w:t>
            </w:r>
          </w:p>
        </w:tc>
        <w:tc>
          <w:tcPr>
            <w:tcW w:w="1440"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2 733</w:t>
            </w:r>
          </w:p>
        </w:tc>
        <w:tc>
          <w:tcPr>
            <w:tcW w:w="1520" w:type="dxa"/>
            <w:tcBorders>
              <w:top w:val="single" w:sz="4" w:space="0" w:color="auto"/>
              <w:left w:val="nil"/>
              <w:bottom w:val="single" w:sz="6" w:space="0" w:color="auto"/>
              <w:right w:val="nil"/>
            </w:tcBorders>
            <w:shd w:val="clear" w:color="000000" w:fill="D9D9D9"/>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2 733</w:t>
            </w:r>
          </w:p>
        </w:tc>
        <w:tc>
          <w:tcPr>
            <w:tcW w:w="1560"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2 008</w:t>
            </w:r>
          </w:p>
        </w:tc>
        <w:tc>
          <w:tcPr>
            <w:tcW w:w="1560" w:type="dxa"/>
            <w:tcBorders>
              <w:top w:val="single" w:sz="4" w:space="0" w:color="auto"/>
              <w:left w:val="nil"/>
              <w:bottom w:val="single" w:sz="6" w:space="0" w:color="auto"/>
              <w:right w:val="single" w:sz="4" w:space="0" w:color="auto"/>
            </w:tcBorders>
            <w:shd w:val="clear" w:color="000000" w:fill="D9D9D9"/>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2 008</w:t>
            </w:r>
          </w:p>
        </w:tc>
        <w:tc>
          <w:tcPr>
            <w:tcW w:w="1400" w:type="dxa"/>
            <w:tcBorders>
              <w:top w:val="single" w:sz="4" w:space="0" w:color="auto"/>
              <w:left w:val="nil"/>
              <w:bottom w:val="single" w:sz="6" w:space="0" w:color="auto"/>
              <w:right w:val="nil"/>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60" w:type="dxa"/>
            <w:tcBorders>
              <w:top w:val="single" w:sz="4" w:space="0" w:color="auto"/>
              <w:left w:val="single" w:sz="4" w:space="0" w:color="auto"/>
              <w:bottom w:val="single" w:sz="6" w:space="0" w:color="auto"/>
              <w:right w:val="single" w:sz="6" w:space="0" w:color="auto"/>
            </w:tcBorders>
            <w:shd w:val="clear" w:color="000000" w:fill="D9D9D9"/>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1 451</w:t>
            </w:r>
          </w:p>
        </w:tc>
      </w:tr>
    </w:tbl>
    <w:p w:rsidR="006E1DA9" w:rsidRPr="00D17C76" w:rsidRDefault="005A1423" w:rsidP="005A1423">
      <w:pPr>
        <w:pStyle w:val="Text1"/>
        <w:ind w:left="426"/>
        <w:rPr>
          <w:noProof/>
          <w:color w:val="000000" w:themeColor="text1"/>
          <w:sz w:val="14"/>
          <w:szCs w:val="14"/>
        </w:rPr>
      </w:pPr>
      <w:r>
        <w:rPr>
          <w:noProof/>
          <w:color w:val="000000" w:themeColor="text1"/>
          <w:sz w:val="14"/>
        </w:rPr>
        <w:t>*Vzhledem k zaokrouhlení se může součet uvedených individuálních zaokrouhlených částek mírně lišit od odpovídajících celkových částek.</w:t>
      </w:r>
    </w:p>
    <w:p w:rsidR="006E1DA9" w:rsidRPr="00D17C76" w:rsidRDefault="005A1423" w:rsidP="005A1423">
      <w:pPr>
        <w:pStyle w:val="Text1"/>
        <w:ind w:left="284"/>
        <w:rPr>
          <w:noProof/>
          <w:color w:val="000000" w:themeColor="text1"/>
          <w:sz w:val="16"/>
          <w:szCs w:val="16"/>
        </w:rPr>
      </w:pPr>
      <w:r>
        <w:rPr>
          <w:noProof/>
          <w:color w:val="000000" w:themeColor="text1"/>
          <w:sz w:val="14"/>
        </w:rPr>
        <w:t>** Včetně subvencí na technickou pomoc a úrokových subvencí ze současného ERF a plateb úrokových subvencí v rámci předchozích ERF.</w:t>
      </w:r>
    </w:p>
    <w:tbl>
      <w:tblPr>
        <w:tblW w:w="12756" w:type="dxa"/>
        <w:tblInd w:w="108" w:type="dxa"/>
        <w:tblLook w:val="04A0" w:firstRow="1" w:lastRow="0" w:firstColumn="1" w:lastColumn="0" w:noHBand="0" w:noVBand="1"/>
      </w:tblPr>
      <w:tblGrid>
        <w:gridCol w:w="3716"/>
        <w:gridCol w:w="1440"/>
        <w:gridCol w:w="1520"/>
        <w:gridCol w:w="1560"/>
        <w:gridCol w:w="1560"/>
        <w:gridCol w:w="1400"/>
        <w:gridCol w:w="1560"/>
      </w:tblGrid>
      <w:tr w:rsidR="00216B83" w:rsidRPr="00216B83" w:rsidTr="00216B83">
        <w:trPr>
          <w:trHeight w:val="270"/>
        </w:trPr>
        <w:tc>
          <w:tcPr>
            <w:tcW w:w="3716" w:type="dxa"/>
            <w:tcBorders>
              <w:top w:val="nil"/>
              <w:left w:val="nil"/>
              <w:bottom w:val="nil"/>
              <w:right w:val="nil"/>
            </w:tcBorders>
            <w:shd w:val="clear" w:color="auto" w:fill="auto"/>
            <w:noWrap/>
            <w:vAlign w:val="bottom"/>
            <w:hideMark/>
          </w:tcPr>
          <w:p w:rsidR="00216B83" w:rsidRPr="00216B83" w:rsidRDefault="00216B83" w:rsidP="00216B83">
            <w:pPr>
              <w:spacing w:after="0" w:line="240" w:lineRule="auto"/>
              <w:rPr>
                <w:rFonts w:ascii="Times New Roman" w:eastAsia="Times New Roman" w:hAnsi="Times New Roman" w:cs="Times New Roman"/>
                <w:noProof/>
                <w:sz w:val="24"/>
                <w:szCs w:val="24"/>
                <w:lang w:eastAsia="en-GB"/>
              </w:rPr>
            </w:pPr>
          </w:p>
        </w:tc>
        <w:tc>
          <w:tcPr>
            <w:tcW w:w="2960" w:type="dxa"/>
            <w:gridSpan w:val="2"/>
            <w:tcBorders>
              <w:top w:val="single" w:sz="8" w:space="0" w:color="auto"/>
              <w:left w:val="single" w:sz="8" w:space="0" w:color="auto"/>
              <w:bottom w:val="nil"/>
              <w:right w:val="single" w:sz="8" w:space="0" w:color="000000"/>
            </w:tcBorders>
            <w:shd w:val="clear" w:color="auto" w:fill="auto"/>
            <w:noWrap/>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Údaje za rok 2022</w:t>
            </w:r>
          </w:p>
        </w:tc>
        <w:tc>
          <w:tcPr>
            <w:tcW w:w="3120" w:type="dxa"/>
            <w:gridSpan w:val="2"/>
            <w:tcBorders>
              <w:top w:val="single" w:sz="8" w:space="0" w:color="auto"/>
              <w:left w:val="nil"/>
              <w:bottom w:val="nil"/>
              <w:right w:val="single" w:sz="8" w:space="0" w:color="000000"/>
            </w:tcBorders>
            <w:shd w:val="clear" w:color="auto" w:fill="auto"/>
            <w:noWrap/>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Údaje za rok 2023</w:t>
            </w:r>
          </w:p>
        </w:tc>
        <w:tc>
          <w:tcPr>
            <w:tcW w:w="2960" w:type="dxa"/>
            <w:gridSpan w:val="2"/>
            <w:tcBorders>
              <w:top w:val="single" w:sz="8" w:space="0" w:color="auto"/>
              <w:left w:val="nil"/>
              <w:bottom w:val="nil"/>
              <w:right w:val="single" w:sz="8" w:space="0" w:color="000000"/>
            </w:tcBorders>
            <w:shd w:val="clear" w:color="auto" w:fill="auto"/>
            <w:noWrap/>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Údaje za rok 2024</w:t>
            </w:r>
          </w:p>
        </w:tc>
      </w:tr>
      <w:tr w:rsidR="00216B83" w:rsidRPr="00216B83" w:rsidTr="00216B83">
        <w:trPr>
          <w:trHeight w:val="530"/>
        </w:trPr>
        <w:tc>
          <w:tcPr>
            <w:tcW w:w="3716" w:type="dxa"/>
            <w:tcBorders>
              <w:top w:val="nil"/>
              <w:left w:val="nil"/>
              <w:bottom w:val="nil"/>
              <w:right w:val="nil"/>
            </w:tcBorders>
            <w:shd w:val="clear" w:color="auto" w:fill="auto"/>
            <w:noWrap/>
            <w:hideMark/>
          </w:tcPr>
          <w:p w:rsidR="00216B83" w:rsidRPr="00216B83" w:rsidRDefault="00216B83" w:rsidP="00216B83">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4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6B83" w:rsidRPr="00216B83" w:rsidRDefault="00C06228" w:rsidP="00216B83">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216B83">
              <w:rPr>
                <w:rFonts w:ascii="Times New Roman" w:hAnsi="Times New Roman"/>
                <w:b/>
                <w:noProof/>
                <w:color w:val="808080"/>
                <w:sz w:val="20"/>
              </w:rPr>
              <w:t>června 2022</w:t>
            </w:r>
          </w:p>
        </w:tc>
        <w:tc>
          <w:tcPr>
            <w:tcW w:w="152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c>
          <w:tcPr>
            <w:tcW w:w="1560"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216B83" w:rsidRPr="00216B83" w:rsidRDefault="00C06228" w:rsidP="00216B83">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216B83">
              <w:rPr>
                <w:rFonts w:ascii="Times New Roman" w:hAnsi="Times New Roman"/>
                <w:b/>
                <w:noProof/>
                <w:color w:val="808080"/>
                <w:sz w:val="20"/>
              </w:rPr>
              <w:t>června 2022</w:t>
            </w:r>
          </w:p>
        </w:tc>
        <w:tc>
          <w:tcPr>
            <w:tcW w:w="156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c>
          <w:tcPr>
            <w:tcW w:w="1400"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216B83" w:rsidRPr="00216B83" w:rsidRDefault="00C06228" w:rsidP="00216B83">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Sdělení z </w:t>
            </w:r>
            <w:r w:rsidR="00216B83">
              <w:rPr>
                <w:rFonts w:ascii="Times New Roman" w:hAnsi="Times New Roman"/>
                <w:b/>
                <w:noProof/>
                <w:color w:val="808080"/>
                <w:sz w:val="20"/>
              </w:rPr>
              <w:t>června 2022</w:t>
            </w:r>
          </w:p>
        </w:tc>
        <w:tc>
          <w:tcPr>
            <w:tcW w:w="156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Sdělení </w:t>
            </w:r>
            <w:r w:rsidR="00C06228">
              <w:rPr>
                <w:rFonts w:ascii="Times New Roman" w:hAnsi="Times New Roman"/>
                <w:b/>
                <w:noProof/>
                <w:sz w:val="20"/>
              </w:rPr>
              <w:br/>
            </w:r>
            <w:r>
              <w:rPr>
                <w:rFonts w:ascii="Times New Roman" w:hAnsi="Times New Roman"/>
                <w:b/>
                <w:noProof/>
                <w:sz w:val="20"/>
              </w:rPr>
              <w:t>z října 2022</w:t>
            </w:r>
          </w:p>
        </w:tc>
      </w:tr>
      <w:tr w:rsidR="00216B83" w:rsidRPr="00216B83" w:rsidTr="00216B83">
        <w:trPr>
          <w:trHeight w:val="270"/>
        </w:trPr>
        <w:tc>
          <w:tcPr>
            <w:tcW w:w="3716" w:type="dxa"/>
            <w:tcBorders>
              <w:top w:val="single" w:sz="4" w:space="0" w:color="auto"/>
              <w:left w:val="single" w:sz="4" w:space="0" w:color="auto"/>
              <w:bottom w:val="single" w:sz="4" w:space="0" w:color="auto"/>
              <w:right w:val="nil"/>
            </w:tcBorders>
            <w:shd w:val="clear" w:color="auto" w:fill="auto"/>
            <w:noWrap/>
            <w:vAlign w:val="bottom"/>
            <w:hideMark/>
          </w:tcPr>
          <w:p w:rsidR="00216B83" w:rsidRPr="00216B83" w:rsidRDefault="00216B83" w:rsidP="00216B83">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Revolvingový fond investiční facility***</w:t>
            </w:r>
          </w:p>
        </w:tc>
        <w:tc>
          <w:tcPr>
            <w:tcW w:w="1440" w:type="dxa"/>
            <w:tcBorders>
              <w:top w:val="nil"/>
              <w:left w:val="single" w:sz="8" w:space="0" w:color="auto"/>
              <w:bottom w:val="single" w:sz="8" w:space="0" w:color="auto"/>
              <w:right w:val="single" w:sz="8" w:space="0" w:color="auto"/>
            </w:tcBorders>
            <w:shd w:val="clear" w:color="000000" w:fill="FFFFFF"/>
            <w:vAlign w:val="center"/>
            <w:hideMark/>
          </w:tcPr>
          <w:p w:rsidR="00216B83" w:rsidRPr="00216B83" w:rsidRDefault="00216B83" w:rsidP="00216B83">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754</w:t>
            </w:r>
          </w:p>
        </w:tc>
        <w:tc>
          <w:tcPr>
            <w:tcW w:w="1520" w:type="dxa"/>
            <w:tcBorders>
              <w:top w:val="nil"/>
              <w:left w:val="single" w:sz="4" w:space="0" w:color="auto"/>
              <w:bottom w:val="single" w:sz="8" w:space="0" w:color="auto"/>
              <w:right w:val="single" w:sz="8" w:space="0" w:color="auto"/>
            </w:tcBorders>
            <w:shd w:val="clear" w:color="000000" w:fill="D9D9D9"/>
            <w:vAlign w:val="center"/>
            <w:hideMark/>
          </w:tcPr>
          <w:p w:rsidR="00216B83" w:rsidRPr="00216B83" w:rsidRDefault="00702690" w:rsidP="00216B83">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754 </w:t>
            </w:r>
          </w:p>
        </w:tc>
        <w:tc>
          <w:tcPr>
            <w:tcW w:w="1560" w:type="dxa"/>
            <w:tcBorders>
              <w:top w:val="nil"/>
              <w:left w:val="single" w:sz="4" w:space="0" w:color="auto"/>
              <w:bottom w:val="single" w:sz="8" w:space="0" w:color="auto"/>
              <w:right w:val="single" w:sz="8" w:space="0" w:color="auto"/>
            </w:tcBorders>
            <w:shd w:val="clear" w:color="000000" w:fill="FFFFFF"/>
            <w:noWrap/>
            <w:vAlign w:val="bottom"/>
            <w:hideMark/>
          </w:tcPr>
          <w:p w:rsidR="00216B83" w:rsidRPr="00216B83" w:rsidRDefault="00216B83" w:rsidP="00216B83">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650</w:t>
            </w:r>
          </w:p>
        </w:tc>
        <w:tc>
          <w:tcPr>
            <w:tcW w:w="1560" w:type="dxa"/>
            <w:tcBorders>
              <w:top w:val="nil"/>
              <w:left w:val="single" w:sz="4" w:space="0" w:color="auto"/>
              <w:bottom w:val="single" w:sz="8" w:space="0" w:color="auto"/>
              <w:right w:val="single" w:sz="8" w:space="0" w:color="auto"/>
            </w:tcBorders>
            <w:shd w:val="clear" w:color="000000" w:fill="D9D9D9"/>
            <w:noWrap/>
            <w:vAlign w:val="bottom"/>
            <w:hideMark/>
          </w:tcPr>
          <w:p w:rsidR="00216B83" w:rsidRPr="00216B83" w:rsidRDefault="00216B83" w:rsidP="00216B83">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650</w:t>
            </w:r>
          </w:p>
        </w:tc>
        <w:tc>
          <w:tcPr>
            <w:tcW w:w="1400" w:type="dxa"/>
            <w:tcBorders>
              <w:top w:val="nil"/>
              <w:left w:val="single" w:sz="4" w:space="0" w:color="auto"/>
              <w:bottom w:val="single" w:sz="8" w:space="0" w:color="auto"/>
              <w:right w:val="single" w:sz="8" w:space="0" w:color="auto"/>
            </w:tcBorders>
            <w:shd w:val="clear" w:color="000000" w:fill="FFFFFF"/>
            <w:noWrap/>
            <w:vAlign w:val="bottom"/>
            <w:hideMark/>
          </w:tcPr>
          <w:p w:rsidR="00216B83" w:rsidRPr="00216B83" w:rsidRDefault="00216B83" w:rsidP="00216B83">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single" w:sz="4" w:space="0" w:color="auto"/>
              <w:bottom w:val="single" w:sz="8" w:space="0" w:color="auto"/>
              <w:right w:val="single" w:sz="8" w:space="0" w:color="auto"/>
            </w:tcBorders>
            <w:shd w:val="clear" w:color="000000" w:fill="D9D9D9"/>
            <w:noWrap/>
            <w:vAlign w:val="bottom"/>
            <w:hideMark/>
          </w:tcPr>
          <w:p w:rsidR="00216B83" w:rsidRPr="00216B83" w:rsidRDefault="00702690" w:rsidP="00216B83">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416 </w:t>
            </w:r>
          </w:p>
        </w:tc>
      </w:tr>
    </w:tbl>
    <w:p w:rsidR="009041D8" w:rsidRPr="009041D8" w:rsidRDefault="009041D8" w:rsidP="009041D8">
      <w:pPr>
        <w:pStyle w:val="Text1"/>
        <w:rPr>
          <w:noProof/>
          <w:sz w:val="14"/>
          <w:szCs w:val="14"/>
        </w:rPr>
      </w:pPr>
    </w:p>
    <w:p w:rsidR="009041D8" w:rsidRPr="009041D8" w:rsidRDefault="009041D8" w:rsidP="009041D8">
      <w:pPr>
        <w:rPr>
          <w:noProof/>
        </w:rPr>
        <w:sectPr w:rsidR="009041D8" w:rsidRPr="009041D8" w:rsidSect="00153072">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40" w:right="1440" w:bottom="1276" w:left="1276" w:header="709" w:footer="709" w:gutter="0"/>
          <w:cols w:space="720"/>
          <w:docGrid w:linePitch="360"/>
        </w:sectPr>
      </w:pPr>
    </w:p>
    <w:p w:rsidR="00062F97" w:rsidRDefault="00062F97" w:rsidP="00062F97">
      <w:pPr>
        <w:pStyle w:val="Heading2"/>
        <w:ind w:right="-32"/>
        <w:rPr>
          <w:noProof/>
        </w:rPr>
      </w:pPr>
      <w:r>
        <w:rPr>
          <w:noProof/>
        </w:rPr>
        <w:t>Příloha 3: Finanční prognózy na roky 2022–2024 a nezávazné odhady na roky 2025–2026 (v milionech EUR)</w:t>
      </w:r>
    </w:p>
    <w:tbl>
      <w:tblPr>
        <w:tblW w:w="10774" w:type="dxa"/>
        <w:tblInd w:w="-885" w:type="dxa"/>
        <w:tblLook w:val="04A0" w:firstRow="1" w:lastRow="0" w:firstColumn="1" w:lastColumn="0" w:noHBand="0" w:noVBand="1"/>
      </w:tblPr>
      <w:tblGrid>
        <w:gridCol w:w="284"/>
        <w:gridCol w:w="576"/>
        <w:gridCol w:w="3819"/>
        <w:gridCol w:w="1167"/>
        <w:gridCol w:w="817"/>
        <w:gridCol w:w="1017"/>
        <w:gridCol w:w="1167"/>
        <w:gridCol w:w="817"/>
        <w:gridCol w:w="1134"/>
      </w:tblGrid>
      <w:tr w:rsidR="001B3C1A" w:rsidRPr="001B3C1A" w:rsidTr="003367B8">
        <w:trPr>
          <w:trHeight w:val="1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4"/>
                <w:szCs w:val="24"/>
                <w:lang w:eastAsia="en-GB"/>
              </w:rPr>
            </w:pPr>
          </w:p>
        </w:tc>
        <w:tc>
          <w:tcPr>
            <w:tcW w:w="576"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6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81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992"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6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right"/>
              <w:rPr>
                <w:rFonts w:ascii="Times New Roman" w:eastAsia="Times New Roman" w:hAnsi="Times New Roman" w:cs="Times New Roman"/>
                <w:noProof/>
                <w:sz w:val="20"/>
                <w:szCs w:val="20"/>
                <w:lang w:eastAsia="en-GB"/>
              </w:rPr>
            </w:pPr>
          </w:p>
        </w:tc>
        <w:tc>
          <w:tcPr>
            <w:tcW w:w="81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3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r>
      <w:tr w:rsidR="001B3C1A" w:rsidRPr="001B3C1A" w:rsidTr="003367B8">
        <w:trPr>
          <w:trHeight w:val="253"/>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right"/>
              <w:rPr>
                <w:rFonts w:ascii="Times New Roman" w:eastAsia="Times New Roman" w:hAnsi="Times New Roman" w:cs="Times New Roman"/>
                <w:noProof/>
                <w:sz w:val="20"/>
                <w:szCs w:val="20"/>
                <w:lang w:eastAsia="en-GB"/>
              </w:rPr>
            </w:pPr>
          </w:p>
        </w:tc>
        <w:tc>
          <w:tcPr>
            <w:tcW w:w="576"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2977"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Sdělení z června 2022 </w:t>
            </w:r>
            <w:r>
              <w:rPr>
                <w:rFonts w:ascii="Times New Roman" w:hAnsi="Times New Roman"/>
                <w:b/>
                <w:noProof/>
                <w:sz w:val="18"/>
                <w:vertAlign w:val="superscript"/>
              </w:rPr>
              <w:t>1</w:t>
            </w:r>
          </w:p>
        </w:tc>
        <w:tc>
          <w:tcPr>
            <w:tcW w:w="3118" w:type="dxa"/>
            <w:gridSpan w:val="3"/>
            <w:tcBorders>
              <w:top w:val="single" w:sz="8" w:space="0" w:color="auto"/>
              <w:left w:val="nil"/>
              <w:bottom w:val="single" w:sz="4" w:space="0" w:color="auto"/>
              <w:right w:val="single" w:sz="8" w:space="0" w:color="000000"/>
            </w:tcBorders>
            <w:shd w:val="clear" w:color="auto" w:fill="auto"/>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Sdělení z října 2022 </w:t>
            </w:r>
            <w:r>
              <w:rPr>
                <w:rFonts w:ascii="Times New Roman" w:hAnsi="Times New Roman"/>
                <w:b/>
                <w:noProof/>
                <w:color w:val="000000"/>
                <w:sz w:val="18"/>
                <w:vertAlign w:val="superscript"/>
              </w:rPr>
              <w:t>1</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lang w:eastAsia="en-GB"/>
              </w:rPr>
            </w:pPr>
          </w:p>
        </w:tc>
        <w:tc>
          <w:tcPr>
            <w:tcW w:w="576"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3819" w:type="dxa"/>
            <w:tcBorders>
              <w:top w:val="nil"/>
              <w:left w:val="nil"/>
              <w:bottom w:val="nil"/>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Komise</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EIB</w:t>
            </w:r>
            <w:r>
              <w:rPr>
                <w:rFonts w:ascii="Times New Roman" w:hAnsi="Times New Roman"/>
                <w:b/>
                <w:noProof/>
                <w:sz w:val="18"/>
                <w:vertAlign w:val="superscript"/>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CELKEM</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Komise</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EIB</w:t>
            </w:r>
            <w:r>
              <w:rPr>
                <w:rFonts w:ascii="Times New Roman" w:hAnsi="Times New Roman"/>
                <w:b/>
                <w:noProof/>
                <w:color w:val="000000"/>
                <w:sz w:val="18"/>
                <w:vertAlign w:val="superscript"/>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CELKEM</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lang w:eastAsia="en-GB"/>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3819" w:type="dxa"/>
            <w:tcBorders>
              <w:top w:val="single" w:sz="4" w:space="0" w:color="auto"/>
              <w:left w:val="nil"/>
              <w:bottom w:val="single" w:sz="4" w:space="0" w:color="auto"/>
              <w:right w:val="nil"/>
            </w:tcBorders>
            <w:shd w:val="clear" w:color="000000" w:fill="FFFFFF"/>
            <w:noWrap/>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rPr>
            </w:pPr>
            <w:r>
              <w:rPr>
                <w:rFonts w:ascii="Times New Roman" w:hAnsi="Times New Roman"/>
                <w:b/>
                <w:noProof/>
                <w:sz w:val="18"/>
              </w:rPr>
              <w:t xml:space="preserve">Zůstatek k 31. 12. 2021 </w:t>
            </w:r>
            <w:r>
              <w:rPr>
                <w:rFonts w:ascii="Times New Roman" w:hAnsi="Times New Roman"/>
                <w:noProof/>
                <w:sz w:val="18"/>
                <w:vertAlign w:val="superscript"/>
              </w:rPr>
              <w:t>4</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994</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472</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1 467</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994</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472</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1 467</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2022</w:t>
            </w: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Příspěvky členských států a Spojeného království na rok 2022: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2 800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2 800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1</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1 100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1 200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1 100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1 200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700</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 xml:space="preserve">Prostředky získané z dřívějších operací </w:t>
            </w:r>
            <w:r>
              <w:rPr>
                <w:rFonts w:ascii="Times New Roman" w:hAnsi="Times New Roman"/>
                <w:noProof/>
                <w:sz w:val="18"/>
                <w:vertAlign w:val="superscript"/>
              </w:rPr>
              <w:t>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Příspěvky a úpravy za rok 2022 přijaté v roce 2021</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Zpětně získané částky, úroky a úpravy</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Vrácení prostředků v rámci 9. ERF</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 xml:space="preserve">Platby celkem </w:t>
            </w:r>
            <w:r>
              <w:rPr>
                <w:rFonts w:ascii="Times New Roman" w:hAnsi="Times New Roman"/>
                <w:noProof/>
                <w:sz w:val="18"/>
                <w:vertAlign w:val="superscript"/>
              </w:rPr>
              <w:t>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987</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3 487</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987</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3 487</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single" w:sz="4" w:space="0" w:color="auto"/>
              <w:left w:val="nil"/>
              <w:bottom w:val="single" w:sz="4" w:space="0" w:color="auto"/>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b/>
                <w:noProof/>
                <w:sz w:val="18"/>
                <w:szCs w:val="18"/>
              </w:rPr>
            </w:pPr>
            <w:r>
              <w:rPr>
                <w:rFonts w:ascii="Times New Roman" w:hAnsi="Times New Roman"/>
                <w:b/>
                <w:noProof/>
                <w:sz w:val="18"/>
              </w:rPr>
              <w:t xml:space="preserve">Zůstatek k 31. 12. 2022 </w:t>
            </w:r>
            <w:r>
              <w:rPr>
                <w:rFonts w:ascii="Times New Roman" w:hAnsi="Times New Roman"/>
                <w:b/>
                <w:noProof/>
                <w:sz w:val="18"/>
                <w:vertAlign w:val="superscript"/>
              </w:rPr>
              <w:t>4</w:t>
            </w:r>
          </w:p>
        </w:tc>
        <w:tc>
          <w:tcPr>
            <w:tcW w:w="11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835</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133</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969</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835</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133</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969</w:t>
            </w:r>
          </w:p>
        </w:tc>
      </w:tr>
      <w:tr w:rsidR="001B3C1A" w:rsidRPr="001B3C1A" w:rsidTr="003367B8">
        <w:trPr>
          <w:trHeight w:val="263"/>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2023</w:t>
            </w: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Příspěvky členských států a Spojeného království na rok 2023: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2 100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1 800</w:t>
            </w:r>
          </w:p>
        </w:tc>
        <w:tc>
          <w:tcPr>
            <w:tcW w:w="81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2 100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1</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750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850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650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750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rPr>
              <w:t>Prostředky získané z dřívějších operací</w:t>
            </w:r>
            <w:r>
              <w:rPr>
                <w:rFonts w:ascii="Times New Roman" w:hAnsi="Times New Roman"/>
                <w:noProof/>
                <w:color w:val="000000"/>
                <w:sz w:val="18"/>
                <w:vertAlign w:val="superscript"/>
              </w:rPr>
              <w:t xml:space="preserve"> 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Příspěvky a úpravy za rok 2023 přijaté v roce 2022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Zpětně získané částky, úroky a úpravy</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Vrácení prostředků v rámci 9. ERF</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-42,5</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-42,5   </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rPr>
              <w:t>Platby celkem</w:t>
            </w:r>
            <w:r>
              <w:rPr>
                <w:rFonts w:ascii="Times New Roman" w:hAnsi="Times New Roman"/>
                <w:noProof/>
                <w:color w:val="000000"/>
                <w:sz w:val="18"/>
                <w:vertAlign w:val="superscript"/>
              </w:rPr>
              <w:t xml:space="preserve"> 3</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858</w:t>
            </w:r>
          </w:p>
        </w:tc>
        <w:tc>
          <w:tcPr>
            <w:tcW w:w="992"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2 658</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858</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2 658</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single" w:sz="4" w:space="0" w:color="auto"/>
              <w:left w:val="nil"/>
              <w:bottom w:val="single" w:sz="4" w:space="0" w:color="auto"/>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b/>
                <w:noProof/>
                <w:color w:val="000000"/>
                <w:sz w:val="18"/>
                <w:szCs w:val="18"/>
              </w:rPr>
            </w:pPr>
            <w:r>
              <w:rPr>
                <w:rFonts w:ascii="Times New Roman" w:hAnsi="Times New Roman"/>
                <w:b/>
                <w:noProof/>
                <w:color w:val="000000"/>
                <w:sz w:val="18"/>
              </w:rPr>
              <w:t xml:space="preserve">Zůstatek k 31. 12. 2023 </w:t>
            </w:r>
            <w:r>
              <w:rPr>
                <w:rFonts w:ascii="Times New Roman" w:hAnsi="Times New Roman"/>
                <w:b/>
                <w:noProof/>
                <w:color w:val="000000"/>
                <w:sz w:val="18"/>
                <w:vertAlign w:val="superscript"/>
              </w:rPr>
              <w:t>4</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835</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41</w:t>
            </w:r>
            <w:r>
              <w:rPr>
                <w:rFonts w:ascii="Times New Roman" w:hAnsi="Times New Roman"/>
                <w:noProof/>
                <w:color w:val="000000"/>
                <w:sz w:val="18"/>
                <w:vertAlign w:val="superscript"/>
              </w:rPr>
              <w:t>6</w:t>
            </w:r>
          </w:p>
        </w:tc>
        <w:tc>
          <w:tcPr>
            <w:tcW w:w="992" w:type="dxa"/>
            <w:tcBorders>
              <w:top w:val="nil"/>
              <w:left w:val="nil"/>
              <w:bottom w:val="single" w:sz="4" w:space="0" w:color="auto"/>
              <w:right w:val="single" w:sz="8"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795</w:t>
            </w:r>
          </w:p>
        </w:tc>
        <w:tc>
          <w:tcPr>
            <w:tcW w:w="1167" w:type="dxa"/>
            <w:tcBorders>
              <w:top w:val="nil"/>
              <w:left w:val="single" w:sz="4" w:space="0" w:color="auto"/>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 xml:space="preserve">   823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41</w:t>
            </w:r>
            <w:r>
              <w:rPr>
                <w:rFonts w:ascii="Times New Roman" w:hAnsi="Times New Roman"/>
                <w:noProof/>
                <w:color w:val="000000"/>
                <w:sz w:val="18"/>
                <w:vertAlign w:val="superscript"/>
              </w:rPr>
              <w:t>6</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782</w:t>
            </w:r>
          </w:p>
        </w:tc>
      </w:tr>
      <w:tr w:rsidR="001B3C1A" w:rsidRPr="001B3C1A" w:rsidTr="003367B8">
        <w:trPr>
          <w:trHeight w:val="263"/>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2024</w:t>
            </w: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Příspěvky členských států a Spojeného království na rok 2024:</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1 800</w:t>
            </w:r>
          </w:p>
        </w:tc>
        <w:tc>
          <w:tcPr>
            <w:tcW w:w="1167" w:type="dxa"/>
            <w:tcBorders>
              <w:top w:val="single" w:sz="4" w:space="0" w:color="auto"/>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1 300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1 600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1</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Splátka 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Prostředky získané z dřívějších operací</w:t>
            </w:r>
            <w:r>
              <w:rPr>
                <w:rFonts w:ascii="Times New Roman" w:hAnsi="Times New Roman"/>
                <w:noProof/>
                <w:sz w:val="18"/>
                <w:vertAlign w:val="superscript"/>
              </w:rPr>
              <w:t xml:space="preserve"> 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381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381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Příspěvky a úpravy za rok 2024 přijaté v roce 2023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Zpětně získané částky, úroky a úpravy</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FF45A6">
            <w:pPr>
              <w:spacing w:after="0" w:line="240" w:lineRule="auto"/>
              <w:rPr>
                <w:rFonts w:ascii="Times New Roman" w:eastAsia="Times New Roman" w:hAnsi="Times New Roman" w:cs="Times New Roman"/>
                <w:noProof/>
                <w:sz w:val="18"/>
                <w:szCs w:val="18"/>
              </w:rPr>
            </w:pPr>
            <w:r>
              <w:rPr>
                <w:rFonts w:ascii="Times New Roman" w:hAnsi="Times New Roman"/>
                <w:noProof/>
                <w:sz w:val="18"/>
              </w:rPr>
              <w:t>Vrácení prostředků v rámci 9. ERF</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Platby celkem</w:t>
            </w:r>
            <w:r>
              <w:rPr>
                <w:rFonts w:ascii="Times New Roman" w:hAnsi="Times New Roman"/>
                <w:noProof/>
                <w:sz w:val="18"/>
                <w:vertAlign w:val="superscript"/>
              </w:rPr>
              <w:t>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1 300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-567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1 867</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single" w:sz="4" w:space="0" w:color="auto"/>
              <w:left w:val="nil"/>
              <w:bottom w:val="single" w:sz="4" w:space="0" w:color="auto"/>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Zůstatek ke dni 31. 12. 2024 </w:t>
            </w:r>
            <w:r>
              <w:rPr>
                <w:rFonts w:ascii="Times New Roman" w:hAnsi="Times New Roman"/>
                <w:b/>
                <w:noProof/>
                <w:color w:val="000000"/>
                <w:sz w:val="18"/>
                <w:vertAlign w:val="superscript"/>
              </w:rPr>
              <w:t>4</w:t>
            </w:r>
          </w:p>
        </w:tc>
        <w:tc>
          <w:tcPr>
            <w:tcW w:w="11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823</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73</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4C75BC">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896</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2025</w:t>
            </w:r>
          </w:p>
        </w:tc>
        <w:tc>
          <w:tcPr>
            <w:tcW w:w="3819" w:type="dxa"/>
            <w:tcBorders>
              <w:top w:val="nil"/>
              <w:left w:val="nil"/>
              <w:bottom w:val="single" w:sz="4" w:space="0" w:color="auto"/>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Příspěvky členských států a Spojeného království na rok 2025 </w:t>
            </w:r>
            <w:r>
              <w:rPr>
                <w:rFonts w:ascii="Times New Roman" w:hAnsi="Times New Roman"/>
                <w:b/>
                <w:noProof/>
                <w:color w:val="000000"/>
                <w:sz w:val="18"/>
                <w:vertAlign w:val="superscript"/>
              </w:rPr>
              <w:t>5</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900</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992"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909</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900</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909</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2026</w:t>
            </w:r>
          </w:p>
        </w:tc>
        <w:tc>
          <w:tcPr>
            <w:tcW w:w="3819" w:type="dxa"/>
            <w:tcBorders>
              <w:top w:val="nil"/>
              <w:left w:val="nil"/>
              <w:bottom w:val="single" w:sz="4" w:space="0" w:color="auto"/>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Příspěvky členských států a Spojeného království na rok 2026 </w:t>
            </w:r>
            <w:r>
              <w:rPr>
                <w:rFonts w:ascii="Times New Roman" w:hAnsi="Times New Roman"/>
                <w:b/>
                <w:noProof/>
                <w:color w:val="000000"/>
                <w:sz w:val="18"/>
                <w:vertAlign w:val="superscript"/>
              </w:rPr>
              <w:t>5</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600</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600</w:t>
            </w:r>
          </w:p>
        </w:tc>
      </w:tr>
    </w:tbl>
    <w:p w:rsidR="006D1DA0" w:rsidRDefault="006D1DA0" w:rsidP="006D1DA0">
      <w:pPr>
        <w:pStyle w:val="Text1"/>
        <w:rPr>
          <w:noProof/>
        </w:rPr>
      </w:pPr>
    </w:p>
    <w:tbl>
      <w:tblPr>
        <w:tblW w:w="13354" w:type="dxa"/>
        <w:tblInd w:w="-601" w:type="dxa"/>
        <w:tblLook w:val="04A0" w:firstRow="1" w:lastRow="0" w:firstColumn="1" w:lastColumn="0" w:noHBand="0" w:noVBand="1"/>
      </w:tblPr>
      <w:tblGrid>
        <w:gridCol w:w="676"/>
        <w:gridCol w:w="11120"/>
        <w:gridCol w:w="222"/>
        <w:gridCol w:w="1336"/>
      </w:tblGrid>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1</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Prostředky, které jsou k dispozici na operace.</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r w:rsidR="003B59D8" w:rsidRPr="003B59D8" w:rsidTr="003B59D8">
        <w:trPr>
          <w:trHeight w:val="369"/>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2</w:t>
            </w:r>
          </w:p>
        </w:tc>
        <w:tc>
          <w:tcPr>
            <w:tcW w:w="12678" w:type="dxa"/>
            <w:gridSpan w:val="3"/>
            <w:tcBorders>
              <w:top w:val="nil"/>
              <w:left w:val="nil"/>
              <w:bottom w:val="nil"/>
              <w:right w:val="nil"/>
            </w:tcBorders>
            <w:shd w:val="clear" w:color="auto" w:fill="auto"/>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 xml:space="preserve">Bez odpisů, poplatků EIB za správu a dalších nákladů, např. za swapy/hedging; nezahrnuje podíl Spojeného království na prostředcích získaných z dřívějších operací; </w:t>
            </w:r>
            <w:r>
              <w:rPr>
                <w:noProof/>
              </w:rPr>
              <w:t xml:space="preserve"> </w:t>
            </w:r>
            <w:r>
              <w:rPr>
                <w:noProof/>
              </w:rPr>
              <w:br/>
            </w:r>
            <w:r>
              <w:rPr>
                <w:rFonts w:ascii="Times New Roman" w:hAnsi="Times New Roman"/>
                <w:noProof/>
                <w:sz w:val="18"/>
              </w:rPr>
              <w:t>ty se podle článku 153 dohody o vystoupení znovu nepoužijí. Podrobnosti viz finanční výkazy investiční facility.</w:t>
            </w: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3</w:t>
            </w:r>
          </w:p>
        </w:tc>
        <w:tc>
          <w:tcPr>
            <w:tcW w:w="11120" w:type="dxa"/>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Včetně úrokových subvencí v rámci předchozích ERF.</w:t>
            </w:r>
          </w:p>
        </w:tc>
        <w:tc>
          <w:tcPr>
            <w:tcW w:w="222"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20"/>
                <w:szCs w:val="20"/>
                <w:lang w:eastAsia="en-GB"/>
              </w:rPr>
            </w:pP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4</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Zůstatky nezahrnují: i) přijaté spolufinancování, ii) částky přijaté bankou dosud nepřidělené na specifickou položku ERF.</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5</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Ustanovení čl. 19 odst. 2 písm. d): Finanční nařízení: nezávazná prognóza očekávaných ročních příspěvků, založená na statistickém přístupu.</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7B6ABE"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6</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Vzhledem k povaze investiční facility si prosím přečtěte úplný přehled a podrobný zůstatek ke konci roku ve finančních výkazech investiční facility.</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bl>
    <w:p w:rsidR="008B1C56" w:rsidRPr="008B1C56" w:rsidRDefault="008B1C56" w:rsidP="00E643F1">
      <w:pPr>
        <w:pStyle w:val="Text1"/>
        <w:ind w:left="0"/>
        <w:rPr>
          <w:noProof/>
        </w:rPr>
        <w:sectPr w:rsidR="008B1C56" w:rsidRPr="008B1C56" w:rsidSect="00153072">
          <w:headerReference w:type="even" r:id="rId28"/>
          <w:headerReference w:type="default" r:id="rId29"/>
          <w:footerReference w:type="even" r:id="rId30"/>
          <w:footerReference w:type="default" r:id="rId31"/>
          <w:headerReference w:type="first" r:id="rId32"/>
          <w:footerReference w:type="first" r:id="rId33"/>
          <w:pgSz w:w="11906" w:h="16838" w:code="9"/>
          <w:pgMar w:top="1276" w:right="1440" w:bottom="1440" w:left="1134" w:header="709" w:footer="709" w:gutter="0"/>
          <w:cols w:space="720"/>
          <w:docGrid w:linePitch="360"/>
        </w:sectPr>
      </w:pPr>
    </w:p>
    <w:p w:rsidR="00062F97" w:rsidRDefault="00062F97" w:rsidP="00D60228">
      <w:pPr>
        <w:pStyle w:val="Heading2"/>
        <w:ind w:right="-32"/>
        <w:rPr>
          <w:noProof/>
        </w:rPr>
      </w:pPr>
      <w:r>
        <w:rPr>
          <w:noProof/>
        </w:rPr>
        <w:t xml:space="preserve"> Příloha 4: Příspěvky členských států a Spojeného království na rok 2023 (v EUR)</w:t>
      </w:r>
    </w:p>
    <w:tbl>
      <w:tblPr>
        <w:tblW w:w="13183" w:type="dxa"/>
        <w:tblInd w:w="-601" w:type="dxa"/>
        <w:tblLook w:val="04A0" w:firstRow="1" w:lastRow="0" w:firstColumn="1" w:lastColumn="0" w:noHBand="0" w:noVBand="1"/>
      </w:tblPr>
      <w:tblGrid>
        <w:gridCol w:w="1329"/>
        <w:gridCol w:w="987"/>
        <w:gridCol w:w="1275"/>
        <w:gridCol w:w="1134"/>
        <w:gridCol w:w="1134"/>
        <w:gridCol w:w="1134"/>
        <w:gridCol w:w="1134"/>
        <w:gridCol w:w="1134"/>
        <w:gridCol w:w="1418"/>
        <w:gridCol w:w="1276"/>
        <w:gridCol w:w="1275"/>
      </w:tblGrid>
      <w:tr w:rsidR="00C12871" w:rsidRPr="00C12871" w:rsidTr="00C12871">
        <w:trPr>
          <w:trHeight w:val="283"/>
        </w:trPr>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ČLENSKÉ STÁTY A SPOJENÉ KRÁLOVSTVÍ</w:t>
            </w:r>
          </w:p>
        </w:tc>
        <w:tc>
          <w:tcPr>
            <w:tcW w:w="987" w:type="dxa"/>
            <w:vMerge w:val="restart"/>
            <w:tcBorders>
              <w:top w:val="single" w:sz="4" w:space="0" w:color="auto"/>
              <w:left w:val="single" w:sz="4" w:space="0" w:color="auto"/>
              <w:bottom w:val="single" w:sz="4" w:space="0" w:color="000000"/>
              <w:right w:val="nil"/>
            </w:tcBorders>
            <w:shd w:val="clear" w:color="000000" w:fill="C0C0C0"/>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Klíč pro 11. ERF (v %)</w:t>
            </w:r>
          </w:p>
        </w:tc>
        <w:tc>
          <w:tcPr>
            <w:tcW w:w="240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Splátka 1</w:t>
            </w:r>
          </w:p>
        </w:tc>
        <w:tc>
          <w:tcPr>
            <w:tcW w:w="2268" w:type="dxa"/>
            <w:gridSpan w:val="2"/>
            <w:tcBorders>
              <w:top w:val="single" w:sz="8" w:space="0" w:color="auto"/>
              <w:left w:val="nil"/>
              <w:bottom w:val="single" w:sz="8" w:space="0" w:color="auto"/>
              <w:right w:val="single" w:sz="4" w:space="0" w:color="auto"/>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Splátka 2</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Splátka 3</w:t>
            </w:r>
          </w:p>
        </w:tc>
        <w:tc>
          <w:tcPr>
            <w:tcW w:w="1418" w:type="dxa"/>
            <w:vMerge w:val="restart"/>
            <w:tcBorders>
              <w:top w:val="single" w:sz="8" w:space="0" w:color="auto"/>
              <w:left w:val="nil"/>
              <w:bottom w:val="single" w:sz="8" w:space="0" w:color="000000"/>
              <w:right w:val="nil"/>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Celkem</w:t>
            </w:r>
            <w:r>
              <w:rPr>
                <w:noProof/>
              </w:rPr>
              <w:t xml:space="preserve"> </w:t>
            </w:r>
            <w:r>
              <w:rPr>
                <w:noProof/>
              </w:rPr>
              <w:br/>
            </w:r>
            <w:r>
              <w:rPr>
                <w:rFonts w:ascii="Times New Roman" w:hAnsi="Times New Roman"/>
                <w:b/>
                <w:noProof/>
                <w:sz w:val="16"/>
              </w:rPr>
              <w:t>Komise</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EIB celkem</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Za rok 2023 celkem</w:t>
            </w:r>
          </w:p>
        </w:tc>
      </w:tr>
      <w:tr w:rsidR="00C12871" w:rsidRPr="00C12871" w:rsidTr="00C12871">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987"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1134"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nil"/>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1134" w:type="dxa"/>
            <w:tcBorders>
              <w:top w:val="nil"/>
              <w:left w:val="nil"/>
              <w:bottom w:val="nil"/>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1134"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418" w:type="dxa"/>
            <w:vMerge/>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C12871">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987"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nil"/>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nil"/>
              <w:bottom w:val="single" w:sz="8" w:space="0" w:color="auto"/>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418" w:type="dxa"/>
            <w:vMerge/>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BELGIE</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24 369 525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21 120 255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12 997 080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58 486 860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68 234 670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BULHARSKO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1 638 975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1 420 445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874 120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3 933 540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4 589 130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ČESKO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5 980 875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5 183 425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3 189 800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14 354 100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16 746 450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DÁNSKO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14 853 375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12 872 925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7 921 800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35 648 100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41 589 450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NĚMECKO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154 348 500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133 768 700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82 319 200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370 436 400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432 175 800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ESTONSKO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647 625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561 275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345 400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1 554 300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1 813 350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7 050 450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6 110 390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3 760 240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16 921 080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19 741 260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ŘECKO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11 305 125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9 797 775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6 029 400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27 132 300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31 654 350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ŠPANĚLSKO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59 493 600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51 561 120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31 729 920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142 784 640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166 582 080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FRANCIE</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133 595 175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115 782 485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71 250 760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320 628 420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374 066 490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CHORVATSKO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1 688 850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1 463 670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900 720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4 053 240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4 728 780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ITÁLIE</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93 975 675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81 445 585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50 120 360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225 541 620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263 131 890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KYPR</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837 150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725 530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446 480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2 009 160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2 344 020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LOTYŠSKO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870 900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754 780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464 480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2 090 160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2 438 520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LITVA</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1 355 775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1 175 005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723 080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3 253 860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3 796 170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LUCEMBURSKO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1 913 175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1 658 085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4 591 620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5 356 890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MAĎARSKO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4 609 200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3 994 640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2 458 240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11 062 080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12 905 760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MALTA</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285 075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247 065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152 040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684 180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798 210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NIZOZEMSKO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35 825 850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31 049 070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19 107 120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85 982 040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100 312 380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RAKOUSKO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17 981 775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15 584 205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9 590 280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43 156 260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50 348 970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15 055 050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13 047 710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8 029 360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36 132 120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42 154 140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8 975 925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7 779 135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4 787 160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21 542 220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25 132 590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RUMUNSKO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5 386 125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4 667 975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2 872 600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12 926 700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15 081 150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SLOVINSKO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1 683 900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1 459 380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898 080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4 041 360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4 714 920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SLOVENSKO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2 821 200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2 445 040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1 504 640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6 770 880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7 899 360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11 318 175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9 809 085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6 036 360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27 163 620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31 690 890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ŠVÉDSKO</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22 043 325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19 104 215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11 756 440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52 903 980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61 721 310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SPOJENÉ KRÁLOVSTVÍ</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110 089 650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95 411 030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58 714 480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264 215 160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308 251 020</w:t>
            </w:r>
          </w:p>
        </w:tc>
      </w:tr>
      <w:tr w:rsidR="00C12871" w:rsidRPr="00C12871" w:rsidTr="00C12871">
        <w:trPr>
          <w:trHeight w:val="283"/>
        </w:trPr>
        <w:tc>
          <w:tcPr>
            <w:tcW w:w="1282"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A SPOJENÉ KRÁLOVSTVÍ CELKEM</w:t>
            </w:r>
          </w:p>
        </w:tc>
        <w:tc>
          <w:tcPr>
            <w:tcW w:w="987" w:type="dxa"/>
            <w:tcBorders>
              <w:top w:val="single" w:sz="8" w:space="0" w:color="auto"/>
              <w:left w:val="nil"/>
              <w:bottom w:val="single" w:sz="8" w:space="0" w:color="auto"/>
              <w:right w:val="nil"/>
            </w:tcBorders>
            <w:shd w:val="clear" w:color="000000" w:fill="BFBFBF"/>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275"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750 000 000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650 000 000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400 000 000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418"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1 800 000 000</w:t>
            </w:r>
          </w:p>
        </w:tc>
        <w:tc>
          <w:tcPr>
            <w:tcW w:w="127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275"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2 100 000 000</w:t>
            </w:r>
          </w:p>
        </w:tc>
      </w:tr>
    </w:tbl>
    <w:p w:rsidR="00980393" w:rsidRDefault="00980393" w:rsidP="009C4694">
      <w:pPr>
        <w:pStyle w:val="Text1"/>
        <w:rPr>
          <w:noProof/>
        </w:rPr>
      </w:pPr>
    </w:p>
    <w:p w:rsidR="00980393" w:rsidRDefault="00980393" w:rsidP="00980393">
      <w:pPr>
        <w:rPr>
          <w:noProof/>
        </w:rPr>
        <w:sectPr w:rsidR="00980393" w:rsidSect="00153072">
          <w:headerReference w:type="even" r:id="rId34"/>
          <w:headerReference w:type="default" r:id="rId35"/>
          <w:footerReference w:type="even" r:id="rId36"/>
          <w:footerReference w:type="default" r:id="rId37"/>
          <w:headerReference w:type="first" r:id="rId38"/>
          <w:footerReference w:type="first" r:id="rId39"/>
          <w:pgSz w:w="16838" w:h="11906" w:orient="landscape" w:code="9"/>
          <w:pgMar w:top="1440" w:right="1440" w:bottom="1276" w:left="1440" w:header="709" w:footer="709" w:gutter="0"/>
          <w:cols w:space="720"/>
          <w:docGrid w:linePitch="360"/>
        </w:sectPr>
      </w:pPr>
    </w:p>
    <w:p w:rsidR="00062F97" w:rsidRDefault="00062F97" w:rsidP="00062F97">
      <w:pPr>
        <w:pStyle w:val="Heading2"/>
        <w:spacing w:after="0"/>
        <w:rPr>
          <w:noProof/>
        </w:rPr>
      </w:pPr>
      <w:r>
        <w:rPr>
          <w:noProof/>
        </w:rPr>
        <w:t>Příloha 5: Příspěvky členských států a Spojeného království na rok 2024 (v EUR)</w:t>
      </w:r>
    </w:p>
    <w:tbl>
      <w:tblPr>
        <w:tblW w:w="12900" w:type="dxa"/>
        <w:tblInd w:w="-34" w:type="dxa"/>
        <w:tblLook w:val="04A0" w:firstRow="1" w:lastRow="0" w:firstColumn="1" w:lastColumn="0" w:noHBand="0" w:noVBand="1"/>
      </w:tblPr>
      <w:tblGrid>
        <w:gridCol w:w="1329"/>
        <w:gridCol w:w="1120"/>
        <w:gridCol w:w="1143"/>
        <w:gridCol w:w="1133"/>
        <w:gridCol w:w="1134"/>
        <w:gridCol w:w="1134"/>
        <w:gridCol w:w="1134"/>
        <w:gridCol w:w="1100"/>
        <w:gridCol w:w="8"/>
        <w:gridCol w:w="1268"/>
        <w:gridCol w:w="8"/>
        <w:gridCol w:w="1292"/>
        <w:gridCol w:w="8"/>
        <w:gridCol w:w="1136"/>
      </w:tblGrid>
      <w:tr w:rsidR="00C12871" w:rsidRPr="00C12871" w:rsidTr="007B67D4">
        <w:trPr>
          <w:trHeight w:val="283"/>
        </w:trPr>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ČLENSKÉ STÁTY A SPOJENÉ KRÁLOVSTVÍ</w:t>
            </w:r>
          </w:p>
        </w:tc>
        <w:tc>
          <w:tcPr>
            <w:tcW w:w="1120" w:type="dxa"/>
            <w:vMerge w:val="restart"/>
            <w:tcBorders>
              <w:top w:val="single" w:sz="4" w:space="0" w:color="auto"/>
              <w:left w:val="single" w:sz="4" w:space="0" w:color="auto"/>
              <w:bottom w:val="single" w:sz="4" w:space="0" w:color="000000"/>
              <w:right w:val="nil"/>
            </w:tcBorders>
            <w:shd w:val="clear" w:color="000000" w:fill="C0C0C0"/>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Klíč pro 11. ERF (v %)</w:t>
            </w:r>
          </w:p>
        </w:tc>
        <w:tc>
          <w:tcPr>
            <w:tcW w:w="2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Splátka 1</w:t>
            </w:r>
          </w:p>
        </w:tc>
        <w:tc>
          <w:tcPr>
            <w:tcW w:w="2268" w:type="dxa"/>
            <w:gridSpan w:val="2"/>
            <w:tcBorders>
              <w:top w:val="single" w:sz="8" w:space="0" w:color="auto"/>
              <w:left w:val="nil"/>
              <w:bottom w:val="single" w:sz="8" w:space="0" w:color="auto"/>
              <w:right w:val="single" w:sz="4" w:space="0" w:color="auto"/>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Splátka 2</w:t>
            </w:r>
          </w:p>
        </w:tc>
        <w:tc>
          <w:tcPr>
            <w:tcW w:w="224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Splátka 3</w:t>
            </w:r>
          </w:p>
        </w:tc>
        <w:tc>
          <w:tcPr>
            <w:tcW w:w="1276" w:type="dxa"/>
            <w:gridSpan w:val="2"/>
            <w:tcBorders>
              <w:top w:val="single" w:sz="8" w:space="0" w:color="auto"/>
              <w:left w:val="nil"/>
              <w:bottom w:val="single" w:sz="8" w:space="0" w:color="000000"/>
              <w:right w:val="nil"/>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Celkem</w:t>
            </w:r>
            <w:r>
              <w:rPr>
                <w:noProof/>
              </w:rPr>
              <w:t xml:space="preserve"> </w:t>
            </w:r>
            <w:r>
              <w:rPr>
                <w:noProof/>
              </w:rPr>
              <w:br/>
            </w:r>
            <w:r>
              <w:rPr>
                <w:rFonts w:ascii="Times New Roman" w:hAnsi="Times New Roman"/>
                <w:b/>
                <w:noProof/>
                <w:sz w:val="16"/>
              </w:rPr>
              <w:t>Komise</w:t>
            </w:r>
          </w:p>
        </w:tc>
        <w:tc>
          <w:tcPr>
            <w:tcW w:w="1300"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EIB celkem</w:t>
            </w:r>
          </w:p>
        </w:tc>
        <w:tc>
          <w:tcPr>
            <w:tcW w:w="11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Za rok 2024 celkem</w:t>
            </w:r>
          </w:p>
        </w:tc>
      </w:tr>
      <w:tr w:rsidR="00C12871" w:rsidRPr="00C12871" w:rsidTr="007B67D4">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20"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3"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1133"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nil"/>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1134" w:type="dxa"/>
            <w:tcBorders>
              <w:top w:val="nil"/>
              <w:left w:val="nil"/>
              <w:bottom w:val="nil"/>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1100"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gridSpan w:val="2"/>
            <w:vMerge w:val="restart"/>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300"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4"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7B67D4">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20"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3"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3"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nil"/>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nil"/>
              <w:bottom w:val="single" w:sz="8" w:space="0" w:color="auto"/>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00"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276" w:type="dxa"/>
            <w:gridSpan w:val="2"/>
            <w:vMerge/>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300" w:type="dxa"/>
            <w:gridSpan w:val="2"/>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4" w:type="dxa"/>
            <w:gridSpan w:val="2"/>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BELGIE</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19 495 620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12 997 080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42 240 510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51 988 320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BULHARSKO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1 311 180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874 120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2 840 890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3 496 480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ČESKO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4 784 700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3 189 800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10 366 850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12 759 200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DÁNSKO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11 882 700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7 921 800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25 745 850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31 687 200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NĚMECKO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123 478 800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82 319 200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267 537 400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329 276 800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ESTONSKO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518 100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345 400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1 122 550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1 381 600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5 640 360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3 760 240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12 220 780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15 040 960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ŘECKO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9 044 100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6 029 400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19 595 550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24 117 600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ŠPANĚLSKO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47 594 880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31 729 920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103 122 240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126 919 680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FRANCIE</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106 876 140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71 250 760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231 564 970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285 003 040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CHORVATSKO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1 351 080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900 720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2 927 340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3 602 880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ITÁLIE</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75 180 540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50 120 360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162 891 170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200 481 440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KYPR</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669 720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446 480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1 451 060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1 785 920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LOTYŠSKO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696 720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464 480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1 509 560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1 857 920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LITVA</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1 084 620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723 080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2 350 010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2 892 320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LUCEMBURSKO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1 530 540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3 316 170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4 081 440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MAĎARSKO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3 687 360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2 458 240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7 989 280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9 832 960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MALTA</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228 060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152 040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494 130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608 160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NIZOZEMSKO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28 660 680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19 107 120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62 098 140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76 428 480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RAKOUSKO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14 385 420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9 590 280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31 168 410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38 361 120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12 044 040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8 029 360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26 095 420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32 117 440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7 180 740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4 787 160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15 558 270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19 148 640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RUMUNSKO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4 308 900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2 872 600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9 335 950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11 490 400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SLOVINSKO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1 347 120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898 080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2 918 760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3 592 320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SLOVENSKO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2 256 960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1 504 640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4 890 080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6 018 560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9 054 540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6 036 360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19 618 170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24 145 440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ŠVÉDSKO</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17 634 660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11 756 440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38 208 430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47 025 760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SPOJENÉ KRÁLOVSTVÍ</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88 071 720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58 714 480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190 822 060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234 857 920</w:t>
            </w:r>
          </w:p>
        </w:tc>
      </w:tr>
      <w:tr w:rsidR="00C12871" w:rsidRPr="00C12871" w:rsidTr="007B67D4">
        <w:trPr>
          <w:trHeight w:val="283"/>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A SPOJENÉ KRÁLOVSTVÍ CELKEM</w:t>
            </w:r>
          </w:p>
        </w:tc>
        <w:tc>
          <w:tcPr>
            <w:tcW w:w="1120" w:type="dxa"/>
            <w:tcBorders>
              <w:top w:val="single" w:sz="4" w:space="0" w:color="auto"/>
              <w:left w:val="nil"/>
              <w:bottom w:val="single" w:sz="4" w:space="0" w:color="auto"/>
              <w:right w:val="nil"/>
            </w:tcBorders>
            <w:shd w:val="clear" w:color="000000" w:fill="C0C0C0"/>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4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600 000 000</w:t>
            </w:r>
          </w:p>
        </w:tc>
        <w:tc>
          <w:tcPr>
            <w:tcW w:w="113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400 000 000</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10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276"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1 300 000 000</w:t>
            </w:r>
          </w:p>
        </w:tc>
        <w:tc>
          <w:tcPr>
            <w:tcW w:w="1300"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1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1 600 000 000</w:t>
            </w:r>
          </w:p>
        </w:tc>
      </w:tr>
    </w:tbl>
    <w:p w:rsidR="00D13DA4" w:rsidRPr="00D13DA4" w:rsidRDefault="00D13DA4" w:rsidP="00D13DA4">
      <w:pPr>
        <w:pStyle w:val="Text1"/>
        <w:rPr>
          <w:noProof/>
        </w:rPr>
      </w:pPr>
    </w:p>
    <w:p w:rsidR="00980393" w:rsidRDefault="00980393" w:rsidP="00980393">
      <w:pPr>
        <w:pStyle w:val="Heading2"/>
        <w:numPr>
          <w:ilvl w:val="0"/>
          <w:numId w:val="0"/>
        </w:numPr>
        <w:spacing w:after="0"/>
        <w:ind w:left="850"/>
        <w:rPr>
          <w:noProof/>
        </w:rPr>
        <w:sectPr w:rsidR="00980393" w:rsidSect="00153072">
          <w:headerReference w:type="even" r:id="rId40"/>
          <w:headerReference w:type="default" r:id="rId41"/>
          <w:footerReference w:type="even" r:id="rId42"/>
          <w:footerReference w:type="default" r:id="rId43"/>
          <w:headerReference w:type="first" r:id="rId44"/>
          <w:footerReference w:type="first" r:id="rId45"/>
          <w:pgSz w:w="16838" w:h="11906" w:orient="landscape" w:code="9"/>
          <w:pgMar w:top="1440" w:right="1440" w:bottom="1276" w:left="1440" w:header="709" w:footer="709" w:gutter="0"/>
          <w:cols w:space="720"/>
          <w:docGrid w:linePitch="360"/>
        </w:sectPr>
      </w:pPr>
    </w:p>
    <w:p w:rsidR="00062F97" w:rsidRDefault="00062F97" w:rsidP="00062F97">
      <w:pPr>
        <w:pStyle w:val="Heading2"/>
        <w:spacing w:after="0"/>
        <w:rPr>
          <w:noProof/>
        </w:rPr>
      </w:pPr>
      <w:r>
        <w:rPr>
          <w:noProof/>
        </w:rPr>
        <w:t>Příloha 6: Příspěvky členských států a Spojeného království na roky 2022–2026 (v EUR)</w:t>
      </w:r>
    </w:p>
    <w:tbl>
      <w:tblPr>
        <w:tblpPr w:leftFromText="180" w:rightFromText="180" w:vertAnchor="text" w:horzAnchor="margin" w:tblpY="19"/>
        <w:tblW w:w="13650" w:type="dxa"/>
        <w:tblLook w:val="04A0" w:firstRow="1" w:lastRow="0" w:firstColumn="1" w:lastColumn="0" w:noHBand="0" w:noVBand="1"/>
      </w:tblPr>
      <w:tblGrid>
        <w:gridCol w:w="1843"/>
        <w:gridCol w:w="1025"/>
        <w:gridCol w:w="1102"/>
        <w:gridCol w:w="992"/>
        <w:gridCol w:w="1276"/>
        <w:gridCol w:w="992"/>
        <w:gridCol w:w="1276"/>
        <w:gridCol w:w="1134"/>
        <w:gridCol w:w="1033"/>
        <w:gridCol w:w="850"/>
        <w:gridCol w:w="1276"/>
        <w:gridCol w:w="851"/>
      </w:tblGrid>
      <w:tr w:rsidR="0029276F" w:rsidRPr="00C21E19" w:rsidTr="0029276F">
        <w:trPr>
          <w:trHeight w:val="128"/>
        </w:trPr>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ČLENSKÉ STÁTY A SPOJENÉ KRÁLOVSTVÍ</w:t>
            </w:r>
          </w:p>
        </w:tc>
        <w:tc>
          <w:tcPr>
            <w:tcW w:w="102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Klíč pro 11. ERF (v %)</w:t>
            </w:r>
          </w:p>
        </w:tc>
        <w:tc>
          <w:tcPr>
            <w:tcW w:w="2094"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2022</w:t>
            </w:r>
          </w:p>
        </w:tc>
        <w:tc>
          <w:tcPr>
            <w:tcW w:w="226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2023</w:t>
            </w:r>
          </w:p>
        </w:tc>
        <w:tc>
          <w:tcPr>
            <w:tcW w:w="2410"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2024</w:t>
            </w:r>
          </w:p>
        </w:tc>
        <w:tc>
          <w:tcPr>
            <w:tcW w:w="188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2025</w:t>
            </w:r>
          </w:p>
        </w:tc>
        <w:tc>
          <w:tcPr>
            <w:tcW w:w="21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2026</w:t>
            </w:r>
          </w:p>
        </w:tc>
      </w:tr>
      <w:tr w:rsidR="0029276F" w:rsidRPr="00C21E19" w:rsidTr="0029276F">
        <w:trPr>
          <w:trHeight w:val="61"/>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025"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10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992" w:type="dxa"/>
            <w:tcBorders>
              <w:top w:val="nil"/>
              <w:left w:val="nil"/>
              <w:bottom w:val="nil"/>
              <w:right w:val="nil"/>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tcBorders>
              <w:top w:val="nil"/>
              <w:left w:val="single" w:sz="8" w:space="0" w:color="auto"/>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Komise</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r>
              <w:rPr>
                <w:rStyle w:val="FootnoteReference"/>
                <w:rFonts w:ascii="Times New Roman" w:eastAsia="Times New Roman" w:hAnsi="Times New Roman" w:cs="Times New Roman"/>
                <w:noProof/>
                <w:sz w:val="16"/>
                <w:szCs w:val="16"/>
                <w:lang w:eastAsia="en-GB"/>
              </w:rPr>
              <w:footnoteReference w:id="7"/>
            </w:r>
          </w:p>
        </w:tc>
      </w:tr>
      <w:tr w:rsidR="0029276F" w:rsidRPr="00C21E19" w:rsidTr="0029276F">
        <w:trPr>
          <w:trHeight w:val="136"/>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025"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102"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992"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276" w:type="dxa"/>
            <w:tcBorders>
              <w:top w:val="nil"/>
              <w:left w:val="nil"/>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992" w:type="dxa"/>
            <w:tcBorders>
              <w:top w:val="nil"/>
              <w:left w:val="nil"/>
              <w:bottom w:val="single" w:sz="8" w:space="0" w:color="auto"/>
              <w:right w:val="nil"/>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276" w:type="dxa"/>
            <w:tcBorders>
              <w:top w:val="nil"/>
              <w:left w:val="single" w:sz="8" w:space="0" w:color="auto"/>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134"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033" w:type="dxa"/>
            <w:tcBorders>
              <w:top w:val="nil"/>
              <w:left w:val="nil"/>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850"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1276" w:type="dxa"/>
            <w:tcBorders>
              <w:top w:val="nil"/>
              <w:left w:val="nil"/>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c>
          <w:tcPr>
            <w:tcW w:w="851"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ERF</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BELGIE</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3,24927</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81 231 750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9 747 810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58 486 860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9 747 810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42 240 510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9 747 810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29 243 430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292 434</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19 495 620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BULHARSKO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0,21853</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5 463 250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655 590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3 933 540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655 590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2 840 890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655 590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1 966 770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19 668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1 311 180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ČESKO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0,79745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19 936 250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2 392 350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14 354 100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2 392 350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10 366 850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2 392 350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7 177 050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71 771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4 784 700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DÁNSKO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1,98045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49 511 250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5 941 350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35 648 100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5 941 350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25 745 850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5 941 350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17 824 050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178 241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11 882 700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NĚMECKO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20,57980</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514 495 000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61 739 400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370 436 400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61 739 400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267 537 400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61 739 400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185 218 200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1 852 182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123 478 800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ESTONSKO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0,08635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2 158 750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259 050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1 554 300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259 050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1 122 550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259 050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777 150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7 772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518 100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IRSKO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0,94006</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23 501 500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2 820 180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16 921 080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2 820 180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12 220 780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2 820 180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8 460 540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84 605</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5 640 360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ŘECKO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1,50735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37 683 750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4 522 050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27 132 300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4 522 050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19 595 550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4 522 050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13 566 150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135 662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9 044 100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ŠPANĚLSKO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7,93248</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198 312 000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23 797 440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142 784 640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23 797 440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103 122 240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23 797 440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71 392 320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713 923</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47 594 880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FRANCIE</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17,81269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445 317 250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53 438 070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320 628 420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53 438 070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231 564 970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53 438 070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160 314 210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1 603 142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106 876 140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CHORVATSKO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0,22518</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5 629 500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675 540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4 053 240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675 540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2 927 340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675 540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2 026 620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20 266</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1 351 080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ITÁLIE</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12,53009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313 252 250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37 590 270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225 541 620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37 590 270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162 891 170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37 590 270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112 770 810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1 127 708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75 180 540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KYPR</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0,11162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2 790 500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334 860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2 009 160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334 860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1 451 060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334 860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1 004 580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10 046</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669 720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LOTYŠSKO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0,11612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2 903 000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348 360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2 090 160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348 360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1 509 560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348 360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1 045 080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10 451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696 720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LITVA</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0,18077</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4 519 250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542 310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3 253 860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542 310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2 350 010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542 310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1 626 930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16 269</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1 084 620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LUCEMBURSKO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0,25509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6 377 250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765 270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4 591 620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765 270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3 316 170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765 270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2 295 810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22 958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1 530 540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MAĎARSKO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0,61456</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15 364 000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1 843 680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11 062 080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1 843 680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7 989 280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1 843 680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5 531 040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55 310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3 687 360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MALTA</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0,03801</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950 250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114 030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684 180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114 030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494 130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114 030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342 090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3 421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228 060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NIZOZEMSKO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4,77678</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119 419 500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14 330 340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85 982 040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14 330 340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62 098 140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14 330 340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42 991 020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429 910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28 660 680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RAKOUSKO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2,39757</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59 939 250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7 192 710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43 156 260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7 192 710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31 168 410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7 192 710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21 578 130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215 781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14 385 420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POLSKO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2,00734</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50 183 500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6 022 020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36 132 120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6 022 020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26 095 420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6 022 020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18 066 060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180 661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12 044 040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PORTUGALSKO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1,19679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29 919 750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3 590 370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21 542 220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3 590 370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15 558 270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3 590 370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10 771 110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107 711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7 180 740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RUMUNSKO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0,71815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17 953 750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2 154 450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12 926 700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2 154 450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9 335 950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2 154 450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6 463 350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64 634</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4 308 900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SLOVINSKO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0,22452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5 613 000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673 560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4 041 360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673 560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2 918 760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673 560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2 020 680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20 207</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1 347 120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SLOVENSKO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0,37616</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9 404 000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1 128 480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6 770 880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1 128 480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4 890 080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1 128 480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3 385 440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33 854</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2 256 960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FINSKO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1,50909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37 727 250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4 527 270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27 163 620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4 527 270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19 618 170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4 527 270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13 581 810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135 818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9 054 540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ŠVÉDSKO</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2,93911</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73 477 750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8 817 330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52 903 980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8 817 330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38 208 430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8 817 330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26 451 990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264 520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17 634 660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SPOJENÉ KRÁLOVSTVÍ</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14,67862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366 965 500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44 035 860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264 215 160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44 035 860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190 822 060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44 035 860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132 107 580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1 321 076</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88 071 720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147"/>
        </w:trPr>
        <w:tc>
          <w:tcPr>
            <w:tcW w:w="184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A SPOJENÉ KRÁLOVSTVÍ CELKEM</w:t>
            </w:r>
          </w:p>
        </w:tc>
        <w:tc>
          <w:tcPr>
            <w:tcW w:w="1025"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02"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2 500 000 000</w:t>
            </w:r>
          </w:p>
        </w:tc>
        <w:tc>
          <w:tcPr>
            <w:tcW w:w="992"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300 000 000</w:t>
            </w:r>
          </w:p>
        </w:tc>
        <w:tc>
          <w:tcPr>
            <w:tcW w:w="1276"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1 800 000 000</w:t>
            </w:r>
          </w:p>
        </w:tc>
        <w:tc>
          <w:tcPr>
            <w:tcW w:w="992"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300 000 000</w:t>
            </w:r>
          </w:p>
        </w:tc>
        <w:tc>
          <w:tcPr>
            <w:tcW w:w="1276"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1 300 000 000</w:t>
            </w:r>
          </w:p>
        </w:tc>
        <w:tc>
          <w:tcPr>
            <w:tcW w:w="1134"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300 000 000</w:t>
            </w:r>
          </w:p>
        </w:tc>
        <w:tc>
          <w:tcPr>
            <w:tcW w:w="1033"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900 000 000</w:t>
            </w:r>
          </w:p>
        </w:tc>
        <w:tc>
          <w:tcPr>
            <w:tcW w:w="850"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9 000 000</w:t>
            </w:r>
          </w:p>
        </w:tc>
        <w:tc>
          <w:tcPr>
            <w:tcW w:w="1276"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600 000 000</w:t>
            </w:r>
          </w:p>
        </w:tc>
        <w:tc>
          <w:tcPr>
            <w:tcW w:w="851" w:type="dxa"/>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 xml:space="preserve"> </w:t>
            </w:r>
          </w:p>
        </w:tc>
      </w:tr>
      <w:tr w:rsidR="0029276F" w:rsidRPr="00C21E19" w:rsidTr="0029276F">
        <w:trPr>
          <w:trHeight w:val="50"/>
        </w:trPr>
        <w:tc>
          <w:tcPr>
            <w:tcW w:w="1843" w:type="dxa"/>
            <w:tcBorders>
              <w:top w:val="nil"/>
              <w:left w:val="nil"/>
              <w:bottom w:val="nil"/>
              <w:right w:val="nil"/>
            </w:tcBorders>
            <w:shd w:val="clear" w:color="000000" w:fill="FFFFFF"/>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 xml:space="preserve"> </w:t>
            </w:r>
          </w:p>
        </w:tc>
        <w:tc>
          <w:tcPr>
            <w:tcW w:w="1025" w:type="dxa"/>
            <w:tcBorders>
              <w:top w:val="nil"/>
              <w:left w:val="nil"/>
              <w:bottom w:val="nil"/>
              <w:right w:val="nil"/>
            </w:tcBorders>
            <w:shd w:val="clear" w:color="000000" w:fill="FFFFFF"/>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4"/>
                <w:szCs w:val="14"/>
                <w:lang w:eastAsia="en-GB"/>
              </w:rPr>
            </w:pPr>
          </w:p>
        </w:tc>
        <w:tc>
          <w:tcPr>
            <w:tcW w:w="2094"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2 800 000 000</w:t>
            </w:r>
          </w:p>
        </w:tc>
        <w:tc>
          <w:tcPr>
            <w:tcW w:w="226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2 100 000 000</w:t>
            </w:r>
          </w:p>
        </w:tc>
        <w:tc>
          <w:tcPr>
            <w:tcW w:w="241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1 600 000 000</w:t>
            </w:r>
          </w:p>
        </w:tc>
        <w:tc>
          <w:tcPr>
            <w:tcW w:w="1883"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909 000 000</w:t>
            </w:r>
          </w:p>
        </w:tc>
        <w:tc>
          <w:tcPr>
            <w:tcW w:w="2127"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600 000 000</w:t>
            </w:r>
          </w:p>
        </w:tc>
      </w:tr>
    </w:tbl>
    <w:p w:rsidR="009839CE" w:rsidRPr="009839CE" w:rsidRDefault="009839CE" w:rsidP="004A6886">
      <w:pPr>
        <w:rPr>
          <w:noProof/>
        </w:rPr>
      </w:pPr>
    </w:p>
    <w:sectPr w:rsidR="009839CE" w:rsidRPr="009839CE" w:rsidSect="00153072">
      <w:headerReference w:type="even" r:id="rId46"/>
      <w:headerReference w:type="default" r:id="rId47"/>
      <w:footerReference w:type="even" r:id="rId48"/>
      <w:footerReference w:type="default" r:id="rId49"/>
      <w:headerReference w:type="first" r:id="rId50"/>
      <w:footerReference w:type="first" r:id="rId51"/>
      <w:pgSz w:w="16838" w:h="11906" w:orient="landscape"/>
      <w:pgMar w:top="1440" w:right="1440" w:bottom="1276"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0A9" w:rsidRDefault="009860A9" w:rsidP="00062F97">
      <w:pPr>
        <w:spacing w:after="0" w:line="240" w:lineRule="auto"/>
      </w:pPr>
      <w:r>
        <w:separator/>
      </w:r>
    </w:p>
  </w:endnote>
  <w:endnote w:type="continuationSeparator" w:id="0">
    <w:p w:rsidR="009860A9" w:rsidRDefault="009860A9" w:rsidP="0006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46" w:rsidRPr="001D7F46" w:rsidRDefault="001D7F46" w:rsidP="001D7F4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912772"/>
      <w:docPartObj>
        <w:docPartGallery w:val="Page Numbers (Bottom of Page)"/>
        <w:docPartUnique/>
      </w:docPartObj>
    </w:sdtPr>
    <w:sdtEndPr>
      <w:rPr>
        <w:noProof/>
      </w:rPr>
    </w:sdtEndPr>
    <w:sdtContent>
      <w:p w:rsidR="009860A9" w:rsidRDefault="009860A9">
        <w:pPr>
          <w:pStyle w:val="Footer"/>
          <w:jc w:val="center"/>
        </w:pPr>
        <w:r>
          <w:fldChar w:fldCharType="begin"/>
        </w:r>
        <w:r>
          <w:instrText xml:space="preserve"> PAGE   \* MERGEFORMAT </w:instrText>
        </w:r>
        <w:r>
          <w:fldChar w:fldCharType="separate"/>
        </w:r>
        <w:r w:rsidR="001D7F46">
          <w:rPr>
            <w:noProof/>
          </w:rPr>
          <w:t>7</w:t>
        </w:r>
        <w:r>
          <w:fldChar w:fldCharType="end"/>
        </w:r>
      </w:p>
    </w:sdtContent>
  </w:sdt>
  <w:p w:rsidR="009860A9" w:rsidRDefault="009860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966884"/>
      <w:docPartObj>
        <w:docPartGallery w:val="Page Numbers (Bottom of Page)"/>
        <w:docPartUnique/>
      </w:docPartObj>
    </w:sdtPr>
    <w:sdtEndPr>
      <w:rPr>
        <w:noProof/>
      </w:rPr>
    </w:sdtEndPr>
    <w:sdtContent>
      <w:p w:rsidR="009860A9" w:rsidRDefault="009860A9">
        <w:pPr>
          <w:pStyle w:val="Footer"/>
          <w:jc w:val="center"/>
        </w:pPr>
        <w:r>
          <w:fldChar w:fldCharType="begin"/>
        </w:r>
        <w:r>
          <w:instrText xml:space="preserve"> PAGE   \* MERGEFORMAT </w:instrText>
        </w:r>
        <w:r>
          <w:fldChar w:fldCharType="separate"/>
        </w:r>
        <w:r w:rsidR="001D7F46">
          <w:rPr>
            <w:noProof/>
          </w:rPr>
          <w:t>8</w:t>
        </w:r>
        <w:r>
          <w:fldChar w:fldCharType="end"/>
        </w:r>
      </w:p>
    </w:sdtContent>
  </w:sdt>
  <w:p w:rsidR="009860A9" w:rsidRDefault="009860A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837846"/>
      <w:docPartObj>
        <w:docPartGallery w:val="Page Numbers (Bottom of Page)"/>
        <w:docPartUnique/>
      </w:docPartObj>
    </w:sdtPr>
    <w:sdtEndPr>
      <w:rPr>
        <w:noProof/>
      </w:rPr>
    </w:sdtEndPr>
    <w:sdtContent>
      <w:p w:rsidR="009860A9" w:rsidRDefault="009860A9">
        <w:pPr>
          <w:pStyle w:val="Footer"/>
          <w:jc w:val="center"/>
        </w:pPr>
        <w:r>
          <w:fldChar w:fldCharType="begin"/>
        </w:r>
        <w:r>
          <w:instrText xml:space="preserve"> PAGE   \* MERGEFORMAT </w:instrText>
        </w:r>
        <w:r>
          <w:fldChar w:fldCharType="separate"/>
        </w:r>
        <w:r w:rsidR="001D7F46">
          <w:rPr>
            <w:noProof/>
          </w:rPr>
          <w:t>9</w:t>
        </w:r>
        <w:r>
          <w:fldChar w:fldCharType="end"/>
        </w:r>
      </w:p>
    </w:sdtContent>
  </w:sdt>
  <w:p w:rsidR="009860A9" w:rsidRDefault="009860A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Pr="001D7F46" w:rsidRDefault="001D7F46" w:rsidP="001D7F46">
    <w:pPr>
      <w:pStyle w:val="FooterCoverPage"/>
      <w:rPr>
        <w:rFonts w:ascii="Arial" w:hAnsi="Arial" w:cs="Arial"/>
        <w:b/>
        <w:sz w:val="48"/>
      </w:rPr>
    </w:pPr>
    <w:r w:rsidRPr="001D7F46">
      <w:rPr>
        <w:rFonts w:ascii="Arial" w:hAnsi="Arial" w:cs="Arial"/>
        <w:b/>
        <w:sz w:val="48"/>
      </w:rPr>
      <w:t>CS</w:t>
    </w:r>
    <w:r w:rsidRPr="001D7F46">
      <w:rPr>
        <w:rFonts w:ascii="Arial" w:hAnsi="Arial" w:cs="Arial"/>
        <w:b/>
        <w:sz w:val="48"/>
      </w:rPr>
      <w:tab/>
    </w:r>
    <w:r w:rsidRPr="001D7F46">
      <w:rPr>
        <w:rFonts w:ascii="Arial" w:hAnsi="Arial" w:cs="Arial"/>
        <w:b/>
        <w:sz w:val="48"/>
      </w:rPr>
      <w:tab/>
    </w:r>
    <w:r w:rsidRPr="001D7F46">
      <w:tab/>
    </w:r>
    <w:r w:rsidRPr="001D7F46">
      <w:rPr>
        <w:rFonts w:ascii="Arial" w:hAnsi="Arial" w:cs="Arial"/>
        <w:b/>
        <w:sz w:val="48"/>
      </w:rPr>
      <w:t>CS</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2463"/>
      <w:docPartObj>
        <w:docPartGallery w:val="Page Numbers (Bottom of Page)"/>
        <w:docPartUnique/>
      </w:docPartObj>
    </w:sdtPr>
    <w:sdtEndPr>
      <w:rPr>
        <w:noProof/>
      </w:rPr>
    </w:sdtEndPr>
    <w:sdtContent>
      <w:p w:rsidR="009860A9" w:rsidRDefault="009860A9">
        <w:pPr>
          <w:pStyle w:val="Footer"/>
          <w:jc w:val="center"/>
        </w:pPr>
        <w:r>
          <w:fldChar w:fldCharType="begin"/>
        </w:r>
        <w:r>
          <w:instrText xml:space="preserve"> PAGE   \* MERGEFORMAT </w:instrText>
        </w:r>
        <w:r>
          <w:fldChar w:fldCharType="separate"/>
        </w:r>
        <w:r w:rsidR="00F66F50">
          <w:rPr>
            <w:noProof/>
          </w:rPr>
          <w:t>10</w:t>
        </w:r>
        <w:r>
          <w:fldChar w:fldCharType="end"/>
        </w:r>
      </w:p>
    </w:sdtContent>
  </w:sdt>
  <w:p w:rsidR="009860A9" w:rsidRDefault="009860A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46" w:rsidRPr="001D7F46" w:rsidRDefault="001D7F46" w:rsidP="001D7F4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551974"/>
      <w:docPartObj>
        <w:docPartGallery w:val="Page Numbers (Bottom of Page)"/>
        <w:docPartUnique/>
      </w:docPartObj>
    </w:sdtPr>
    <w:sdtEndPr>
      <w:rPr>
        <w:noProof/>
      </w:rPr>
    </w:sdtEndPr>
    <w:sdtContent>
      <w:p w:rsidR="009860A9" w:rsidRDefault="009860A9">
        <w:pPr>
          <w:pStyle w:val="Footer"/>
          <w:jc w:val="center"/>
        </w:pPr>
        <w:r>
          <w:fldChar w:fldCharType="begin"/>
        </w:r>
        <w:r>
          <w:instrText xml:space="preserve"> PAGE   \* MERGEFORMAT </w:instrText>
        </w:r>
        <w:r>
          <w:fldChar w:fldCharType="separate"/>
        </w:r>
        <w:r w:rsidR="001D7F46">
          <w:rPr>
            <w:noProof/>
          </w:rPr>
          <w:t>1</w:t>
        </w:r>
        <w:r>
          <w:fldChar w:fldCharType="end"/>
        </w:r>
      </w:p>
    </w:sdtContent>
  </w:sdt>
  <w:p w:rsidR="009860A9" w:rsidRDefault="009860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43136"/>
      <w:docPartObj>
        <w:docPartGallery w:val="Page Numbers (Bottom of Page)"/>
        <w:docPartUnique/>
      </w:docPartObj>
    </w:sdtPr>
    <w:sdtEndPr>
      <w:rPr>
        <w:noProof/>
      </w:rPr>
    </w:sdtEndPr>
    <w:sdtContent>
      <w:p w:rsidR="009860A9" w:rsidRDefault="009860A9">
        <w:pPr>
          <w:pStyle w:val="Footer"/>
          <w:jc w:val="center"/>
        </w:pPr>
        <w:r>
          <w:fldChar w:fldCharType="begin"/>
        </w:r>
        <w:r>
          <w:instrText xml:space="preserve"> PAGE   \* MERGEFORMAT </w:instrText>
        </w:r>
        <w:r>
          <w:fldChar w:fldCharType="separate"/>
        </w:r>
        <w:r w:rsidR="001D7F46">
          <w:rPr>
            <w:noProof/>
          </w:rPr>
          <w:t>6</w:t>
        </w:r>
        <w:r>
          <w:fldChar w:fldCharType="end"/>
        </w:r>
      </w:p>
    </w:sdtContent>
  </w:sdt>
  <w:p w:rsidR="009860A9" w:rsidRDefault="009860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0A9" w:rsidRDefault="009860A9" w:rsidP="00062F97">
      <w:pPr>
        <w:spacing w:after="0" w:line="240" w:lineRule="auto"/>
      </w:pPr>
      <w:r>
        <w:separator/>
      </w:r>
    </w:p>
  </w:footnote>
  <w:footnote w:type="continuationSeparator" w:id="0">
    <w:p w:rsidR="009860A9" w:rsidRDefault="009860A9" w:rsidP="00062F97">
      <w:pPr>
        <w:spacing w:after="0" w:line="240" w:lineRule="auto"/>
      </w:pPr>
      <w:r>
        <w:continuationSeparator/>
      </w:r>
    </w:p>
  </w:footnote>
  <w:footnote w:id="1">
    <w:p w:rsidR="009860A9" w:rsidRPr="00CF607A" w:rsidRDefault="009860A9" w:rsidP="00062F97">
      <w:pPr>
        <w:pStyle w:val="FootnoteText"/>
        <w:rPr>
          <w:sz w:val="16"/>
          <w:szCs w:val="16"/>
        </w:rPr>
      </w:pPr>
      <w:r>
        <w:rPr>
          <w:rStyle w:val="FootnoteReference"/>
          <w:sz w:val="16"/>
          <w:szCs w:val="16"/>
        </w:rPr>
        <w:footnoteRef/>
      </w:r>
      <w:r>
        <w:rPr>
          <w:sz w:val="16"/>
        </w:rPr>
        <w:t xml:space="preserve"> </w:t>
      </w:r>
      <w:r>
        <w:tab/>
      </w:r>
      <w:r>
        <w:rPr>
          <w:sz w:val="16"/>
        </w:rPr>
        <w:t>Tento dokument zohledňuje články 152 a 153 dohody o vystoupení Spojeného království Velké Británie a Severního Irska z Evropské unie a Evropského společenství pro atomovou energii, v nichž se stanoví, že Spojené království zůstává stranou ERF až do ukončení 11. ERF a všech předchozích neukončených ERF; podíl Spojeného království na prostředcích, k nimž byl závazek zrušen, z projektů v rámci 11. ERF nebo předchozích ERF však nebude opětovně použit.</w:t>
      </w:r>
    </w:p>
  </w:footnote>
  <w:footnote w:id="2">
    <w:p w:rsidR="009860A9" w:rsidRPr="00CF607A" w:rsidRDefault="009860A9" w:rsidP="00062F97">
      <w:pPr>
        <w:pStyle w:val="FootnoteText"/>
        <w:rPr>
          <w:noProof/>
          <w:sz w:val="16"/>
          <w:szCs w:val="16"/>
        </w:rPr>
      </w:pPr>
      <w:r>
        <w:rPr>
          <w:rStyle w:val="FootnoteReference"/>
          <w:sz w:val="16"/>
          <w:szCs w:val="16"/>
        </w:rPr>
        <w:footnoteRef/>
      </w:r>
      <w:r>
        <w:tab/>
      </w:r>
      <w:r w:rsidRPr="009860A9">
        <w:rPr>
          <w:sz w:val="16"/>
          <w:szCs w:val="16"/>
        </w:rPr>
        <w:t>Nařízení Rady (EU) 2018/1877 ze dne 26. listopadu 2018 o finančním nařízení pro 11. Evropský rozvojový fond a o zrušení nařízení (EU) 2015/323 (Úř. věst. L 307, 3.12.2018, s. 1).</w:t>
      </w:r>
    </w:p>
  </w:footnote>
  <w:footnote w:id="3">
    <w:p w:rsidR="009860A9" w:rsidRPr="00286258" w:rsidRDefault="009860A9">
      <w:pPr>
        <w:pStyle w:val="FootnoteText"/>
        <w:rPr>
          <w:sz w:val="16"/>
          <w:szCs w:val="16"/>
        </w:rPr>
      </w:pPr>
      <w:r>
        <w:rPr>
          <w:rStyle w:val="FootnoteReference"/>
          <w:sz w:val="16"/>
          <w:szCs w:val="16"/>
        </w:rPr>
        <w:footnoteRef/>
      </w:r>
      <w:r>
        <w:rPr>
          <w:sz w:val="16"/>
        </w:rPr>
        <w:t xml:space="preserve"> </w:t>
      </w:r>
      <w:r>
        <w:tab/>
      </w:r>
      <w:r>
        <w:rPr>
          <w:sz w:val="16"/>
        </w:rPr>
        <w:t>Přidělení prostředků vyplývajících z opětovného použití prostředků 10. a 11. ERF na základě ROZHODNUTÍ RADY (EU) 2022/1223 ze dne 12. července 2022 o přidělení finančních prostředků uvolněných z projektů v rámci 10. a 11. Evropského rozvojového fondu na financování opatření k řešení krize v oblasti potravinového zabezpečení a hospodářského šoku v afrických, karibských a tichomořských zemích (AKT) v důsledku útočné války Ruska vůči Ukrajině.</w:t>
      </w:r>
    </w:p>
  </w:footnote>
  <w:footnote w:id="4">
    <w:p w:rsidR="009860A9" w:rsidRPr="00810B91" w:rsidRDefault="009860A9" w:rsidP="00810B91">
      <w:pPr>
        <w:pStyle w:val="FootnoteText"/>
        <w:ind w:left="142" w:hanging="142"/>
      </w:pPr>
      <w:r>
        <w:rPr>
          <w:rStyle w:val="FootnoteReference"/>
        </w:rPr>
        <w:footnoteRef/>
      </w:r>
      <w:r>
        <w:t xml:space="preserve"> S touto náhradou dosáhne celková částka vrácená „členským státům EU-15“ z rezervy 9. ERF od roku 2015 1,9 miliardy EUR.</w:t>
      </w:r>
    </w:p>
  </w:footnote>
  <w:footnote w:id="5">
    <w:p w:rsidR="009860A9" w:rsidRDefault="009860A9" w:rsidP="00806869">
      <w:pPr>
        <w:pStyle w:val="FootnoteText"/>
        <w:ind w:left="142" w:hanging="142"/>
      </w:pPr>
      <w:r>
        <w:rPr>
          <w:rStyle w:val="FootnoteReference"/>
        </w:rPr>
        <w:footnoteRef/>
      </w:r>
      <w:r>
        <w:tab/>
        <w:t>Hrubé závazky, tj. bez odečtení zrušených závazků.</w:t>
      </w:r>
    </w:p>
  </w:footnote>
  <w:footnote w:id="6">
    <w:p w:rsidR="009860A9" w:rsidRDefault="009860A9" w:rsidP="00806869">
      <w:pPr>
        <w:pStyle w:val="FootnoteText"/>
        <w:ind w:left="142" w:hanging="142"/>
      </w:pPr>
      <w:r>
        <w:rPr>
          <w:rStyle w:val="FootnoteReference"/>
        </w:rPr>
        <w:footnoteRef/>
      </w:r>
      <w:r>
        <w:tab/>
        <w:t>Hrubé platby, tj. bez odečtení zpětně získaných částek.</w:t>
      </w:r>
    </w:p>
  </w:footnote>
  <w:footnote w:id="7">
    <w:p w:rsidR="009860A9" w:rsidRPr="00567712" w:rsidRDefault="009860A9" w:rsidP="0029276F">
      <w:pPr>
        <w:pStyle w:val="FootnoteText"/>
      </w:pPr>
      <w:r>
        <w:rPr>
          <w:rStyle w:val="FootnoteReference"/>
        </w:rPr>
        <w:footnoteRef/>
      </w:r>
      <w:r>
        <w:t xml:space="preserve"> </w:t>
      </w:r>
      <w:r>
        <w:rPr>
          <w:sz w:val="16"/>
        </w:rPr>
        <w:t>Na základě stávajících prognóz vyzve k úhradě celého svého podílu 11. EDF do konce roku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46" w:rsidRPr="001D7F46" w:rsidRDefault="001D7F46" w:rsidP="001D7F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46" w:rsidRPr="001D7F46" w:rsidRDefault="001D7F46" w:rsidP="001D7F46">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46" w:rsidRPr="001D7F46" w:rsidRDefault="001D7F46" w:rsidP="001D7F4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A9" w:rsidRDefault="0098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12FA4"/>
    <w:multiLevelType w:val="multilevel"/>
    <w:tmpl w:val="8144A012"/>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sz w:val="24"/>
        <w:szCs w:val="24"/>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77B7076-D755-4E45-83BC-DCD11240747B"/>
    <w:docVar w:name="LW_COVERPAGE_TYPE" w:val="1"/>
    <w:docVar w:name="LW_CROSSREFERENCE" w:val="&lt;UNUSED&gt;"/>
    <w:docVar w:name="LW_DocType" w:val="NORMAL"/>
    <w:docVar w:name="LW_EMISSION" w:val="7.10.2022"/>
    <w:docVar w:name="LW_EMISSION_ISODATE" w:val="2022-10-07"/>
    <w:docVar w:name="LW_EMISSION_LOCATION" w:val="BRX"/>
    <w:docVar w:name="LW_EMISSION_PREFIX" w:val="V Bruselu dne "/>
    <w:docVar w:name="LW_EMISSION_SUFFIX" w:val=" "/>
    <w:docVar w:name="LW_ID_DOCTYPE_NONLW" w:val="CP-010"/>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2) 4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inanční informace o Evropském rozvojovém fondu_x000d__x000d__x000d__x000d__x000d__x000d__x000d__x000d__x000d__x000d__x000d__x000d__x000d__x000b__x000d__x000d__x000d__x000d__x000d__x000d__x000d__x000d__x000d__x000d__x000d__x000d__x000d__x000b__x000d__x000d__x000d__x000d__x000d__x000d__x000d__x000d__x000d__x000d__x000d__x000d__x000d__x000b_Evropský rozvojový fond (ERF): prognózy závazků, plateb a příspěvků zúčastněných stran do Evropského rozvojového fondu na roky 2022, 2023, 2024 a nezávazné prognózy na roky 2025-2026 _x000d__x000d__x000d__x000d__x000d__x000d__x000d__x000b__x000d__x000d__x000d__x000d__x000d__x000d__x000d__x000d__x000d__x000d__x000d__x000d__x000b_"/>
    <w:docVar w:name="LW_TYPE.DOC.CP" w:val="SDĚLENÍ KOMISE RADĚ"/>
    <w:docVar w:name="LW_TYPE.DOC.CP.USERTEXT" w:val="&lt;EMPTY&gt;"/>
    <w:docVar w:name="LwApiVersions" w:val="LW4CoDe 1.23.2.0; LW 8.0, Build 20211117"/>
  </w:docVars>
  <w:rsids>
    <w:rsidRoot w:val="00062F97"/>
    <w:rsid w:val="00012EB0"/>
    <w:rsid w:val="00014706"/>
    <w:rsid w:val="00016E8A"/>
    <w:rsid w:val="00032A37"/>
    <w:rsid w:val="0003343A"/>
    <w:rsid w:val="00054342"/>
    <w:rsid w:val="000622F9"/>
    <w:rsid w:val="00062F97"/>
    <w:rsid w:val="00077E75"/>
    <w:rsid w:val="00090CA5"/>
    <w:rsid w:val="000948DA"/>
    <w:rsid w:val="00097BD6"/>
    <w:rsid w:val="000A747A"/>
    <w:rsid w:val="000B7B69"/>
    <w:rsid w:val="000E0A83"/>
    <w:rsid w:val="000F1385"/>
    <w:rsid w:val="0011560D"/>
    <w:rsid w:val="00145F72"/>
    <w:rsid w:val="001512AA"/>
    <w:rsid w:val="00151B5C"/>
    <w:rsid w:val="00153072"/>
    <w:rsid w:val="001579DA"/>
    <w:rsid w:val="001642E1"/>
    <w:rsid w:val="00170C52"/>
    <w:rsid w:val="001763DE"/>
    <w:rsid w:val="001A4EFB"/>
    <w:rsid w:val="001A5EFF"/>
    <w:rsid w:val="001B0CF3"/>
    <w:rsid w:val="001B3C1A"/>
    <w:rsid w:val="001B5E83"/>
    <w:rsid w:val="001C125D"/>
    <w:rsid w:val="001C5682"/>
    <w:rsid w:val="001D09B1"/>
    <w:rsid w:val="001D1675"/>
    <w:rsid w:val="001D44AF"/>
    <w:rsid w:val="001D5519"/>
    <w:rsid w:val="001D7F46"/>
    <w:rsid w:val="001E477C"/>
    <w:rsid w:val="001F631E"/>
    <w:rsid w:val="00212F4C"/>
    <w:rsid w:val="00216B83"/>
    <w:rsid w:val="00225D2F"/>
    <w:rsid w:val="00235EAC"/>
    <w:rsid w:val="00241621"/>
    <w:rsid w:val="002553EB"/>
    <w:rsid w:val="00261DC1"/>
    <w:rsid w:val="00270529"/>
    <w:rsid w:val="00283EAD"/>
    <w:rsid w:val="00285107"/>
    <w:rsid w:val="00286258"/>
    <w:rsid w:val="00286FA8"/>
    <w:rsid w:val="0029276F"/>
    <w:rsid w:val="00292DD9"/>
    <w:rsid w:val="00294239"/>
    <w:rsid w:val="002A4B6B"/>
    <w:rsid w:val="002B0A14"/>
    <w:rsid w:val="002F7AFD"/>
    <w:rsid w:val="00301866"/>
    <w:rsid w:val="003069D8"/>
    <w:rsid w:val="00307EFE"/>
    <w:rsid w:val="003216E5"/>
    <w:rsid w:val="00335061"/>
    <w:rsid w:val="003367B8"/>
    <w:rsid w:val="00353BCB"/>
    <w:rsid w:val="003757A9"/>
    <w:rsid w:val="00383DE5"/>
    <w:rsid w:val="00386669"/>
    <w:rsid w:val="00395A51"/>
    <w:rsid w:val="003A1887"/>
    <w:rsid w:val="003A798F"/>
    <w:rsid w:val="003B512E"/>
    <w:rsid w:val="003B59D8"/>
    <w:rsid w:val="003B7719"/>
    <w:rsid w:val="003C1832"/>
    <w:rsid w:val="003E66FD"/>
    <w:rsid w:val="003E6879"/>
    <w:rsid w:val="003F33BF"/>
    <w:rsid w:val="004040BF"/>
    <w:rsid w:val="00415281"/>
    <w:rsid w:val="00420B29"/>
    <w:rsid w:val="004347A5"/>
    <w:rsid w:val="00440970"/>
    <w:rsid w:val="004575AD"/>
    <w:rsid w:val="00470B19"/>
    <w:rsid w:val="004711D5"/>
    <w:rsid w:val="004806B4"/>
    <w:rsid w:val="004A6886"/>
    <w:rsid w:val="004B0311"/>
    <w:rsid w:val="004B6DAB"/>
    <w:rsid w:val="004B7E60"/>
    <w:rsid w:val="004C3682"/>
    <w:rsid w:val="004C75BC"/>
    <w:rsid w:val="004D078B"/>
    <w:rsid w:val="004F1C25"/>
    <w:rsid w:val="004F6774"/>
    <w:rsid w:val="00501B8E"/>
    <w:rsid w:val="00506627"/>
    <w:rsid w:val="00512389"/>
    <w:rsid w:val="005164FE"/>
    <w:rsid w:val="00517A99"/>
    <w:rsid w:val="005278E8"/>
    <w:rsid w:val="00531BEC"/>
    <w:rsid w:val="00533BBD"/>
    <w:rsid w:val="005549F9"/>
    <w:rsid w:val="00567712"/>
    <w:rsid w:val="00573F58"/>
    <w:rsid w:val="005A1423"/>
    <w:rsid w:val="005A474F"/>
    <w:rsid w:val="005B1578"/>
    <w:rsid w:val="005F3FE1"/>
    <w:rsid w:val="00602DC6"/>
    <w:rsid w:val="006031DE"/>
    <w:rsid w:val="00612FB3"/>
    <w:rsid w:val="00620B16"/>
    <w:rsid w:val="00622FD5"/>
    <w:rsid w:val="006243A6"/>
    <w:rsid w:val="00627F13"/>
    <w:rsid w:val="00630C2E"/>
    <w:rsid w:val="006651BF"/>
    <w:rsid w:val="00665FBA"/>
    <w:rsid w:val="00673D94"/>
    <w:rsid w:val="0068225A"/>
    <w:rsid w:val="00686131"/>
    <w:rsid w:val="006874F6"/>
    <w:rsid w:val="006A12B7"/>
    <w:rsid w:val="006A3F3F"/>
    <w:rsid w:val="006B0CA4"/>
    <w:rsid w:val="006D1DA0"/>
    <w:rsid w:val="006D7535"/>
    <w:rsid w:val="006E1D19"/>
    <w:rsid w:val="006E1DA9"/>
    <w:rsid w:val="006F1830"/>
    <w:rsid w:val="00702690"/>
    <w:rsid w:val="00715537"/>
    <w:rsid w:val="00717701"/>
    <w:rsid w:val="00722D21"/>
    <w:rsid w:val="00747E8F"/>
    <w:rsid w:val="00752B4D"/>
    <w:rsid w:val="007673DB"/>
    <w:rsid w:val="007A7FE1"/>
    <w:rsid w:val="007B4622"/>
    <w:rsid w:val="007B48EE"/>
    <w:rsid w:val="007B67D4"/>
    <w:rsid w:val="007B6ABE"/>
    <w:rsid w:val="007E445D"/>
    <w:rsid w:val="008052BE"/>
    <w:rsid w:val="008054DC"/>
    <w:rsid w:val="00806869"/>
    <w:rsid w:val="00810B91"/>
    <w:rsid w:val="008114CB"/>
    <w:rsid w:val="00813F26"/>
    <w:rsid w:val="0081406B"/>
    <w:rsid w:val="00834BEF"/>
    <w:rsid w:val="00840AE1"/>
    <w:rsid w:val="008439B0"/>
    <w:rsid w:val="008459E6"/>
    <w:rsid w:val="00860895"/>
    <w:rsid w:val="008706C9"/>
    <w:rsid w:val="00883193"/>
    <w:rsid w:val="00885874"/>
    <w:rsid w:val="00892B21"/>
    <w:rsid w:val="008B1C56"/>
    <w:rsid w:val="008B35A0"/>
    <w:rsid w:val="008C5021"/>
    <w:rsid w:val="008F389F"/>
    <w:rsid w:val="009041D8"/>
    <w:rsid w:val="00904F55"/>
    <w:rsid w:val="00910D28"/>
    <w:rsid w:val="00952498"/>
    <w:rsid w:val="0097081B"/>
    <w:rsid w:val="00980393"/>
    <w:rsid w:val="00981C05"/>
    <w:rsid w:val="009839CE"/>
    <w:rsid w:val="00985FCF"/>
    <w:rsid w:val="009860A9"/>
    <w:rsid w:val="00990672"/>
    <w:rsid w:val="00990FA5"/>
    <w:rsid w:val="0099577D"/>
    <w:rsid w:val="009974B1"/>
    <w:rsid w:val="009A0D3E"/>
    <w:rsid w:val="009A67A4"/>
    <w:rsid w:val="009A7EAB"/>
    <w:rsid w:val="009B130A"/>
    <w:rsid w:val="009C4694"/>
    <w:rsid w:val="009F0368"/>
    <w:rsid w:val="00A06D11"/>
    <w:rsid w:val="00A07C26"/>
    <w:rsid w:val="00A16C14"/>
    <w:rsid w:val="00A25EDB"/>
    <w:rsid w:val="00A26E12"/>
    <w:rsid w:val="00A52A0C"/>
    <w:rsid w:val="00AB2247"/>
    <w:rsid w:val="00AC12E3"/>
    <w:rsid w:val="00AE37D7"/>
    <w:rsid w:val="00AE5267"/>
    <w:rsid w:val="00AE6204"/>
    <w:rsid w:val="00B47CFB"/>
    <w:rsid w:val="00B5073F"/>
    <w:rsid w:val="00B530C1"/>
    <w:rsid w:val="00B54397"/>
    <w:rsid w:val="00B66431"/>
    <w:rsid w:val="00B72128"/>
    <w:rsid w:val="00B73E2D"/>
    <w:rsid w:val="00BB143C"/>
    <w:rsid w:val="00BD68DE"/>
    <w:rsid w:val="00BD6DF0"/>
    <w:rsid w:val="00BE63CC"/>
    <w:rsid w:val="00BF5E6F"/>
    <w:rsid w:val="00BF70A5"/>
    <w:rsid w:val="00C03A75"/>
    <w:rsid w:val="00C06228"/>
    <w:rsid w:val="00C10815"/>
    <w:rsid w:val="00C12871"/>
    <w:rsid w:val="00C14254"/>
    <w:rsid w:val="00C179BF"/>
    <w:rsid w:val="00C21E19"/>
    <w:rsid w:val="00C22F65"/>
    <w:rsid w:val="00C31381"/>
    <w:rsid w:val="00C31670"/>
    <w:rsid w:val="00C61397"/>
    <w:rsid w:val="00C7550F"/>
    <w:rsid w:val="00C87DCA"/>
    <w:rsid w:val="00C9551C"/>
    <w:rsid w:val="00CD034E"/>
    <w:rsid w:val="00CD0CAE"/>
    <w:rsid w:val="00CD1C15"/>
    <w:rsid w:val="00CE71B2"/>
    <w:rsid w:val="00CF607A"/>
    <w:rsid w:val="00D13DA4"/>
    <w:rsid w:val="00D17C76"/>
    <w:rsid w:val="00D60228"/>
    <w:rsid w:val="00D76B69"/>
    <w:rsid w:val="00D81450"/>
    <w:rsid w:val="00D912D7"/>
    <w:rsid w:val="00DA311D"/>
    <w:rsid w:val="00DA7DD8"/>
    <w:rsid w:val="00DB3F96"/>
    <w:rsid w:val="00DB590E"/>
    <w:rsid w:val="00DC321F"/>
    <w:rsid w:val="00DD4916"/>
    <w:rsid w:val="00DD4F12"/>
    <w:rsid w:val="00DE5900"/>
    <w:rsid w:val="00E03858"/>
    <w:rsid w:val="00E27CE5"/>
    <w:rsid w:val="00E308F8"/>
    <w:rsid w:val="00E643F1"/>
    <w:rsid w:val="00E72958"/>
    <w:rsid w:val="00E86CC1"/>
    <w:rsid w:val="00E91F64"/>
    <w:rsid w:val="00E949F1"/>
    <w:rsid w:val="00E95766"/>
    <w:rsid w:val="00EB0F15"/>
    <w:rsid w:val="00EC7E53"/>
    <w:rsid w:val="00EE16E0"/>
    <w:rsid w:val="00EF0C54"/>
    <w:rsid w:val="00EF2E10"/>
    <w:rsid w:val="00F63826"/>
    <w:rsid w:val="00F64E5A"/>
    <w:rsid w:val="00F66F50"/>
    <w:rsid w:val="00F7198F"/>
    <w:rsid w:val="00F774B5"/>
    <w:rsid w:val="00F90535"/>
    <w:rsid w:val="00FA6153"/>
    <w:rsid w:val="00FA6D89"/>
    <w:rsid w:val="00FB07F6"/>
    <w:rsid w:val="00FB34BD"/>
    <w:rsid w:val="00FC2A01"/>
    <w:rsid w:val="00FD4D15"/>
    <w:rsid w:val="00FE433A"/>
    <w:rsid w:val="00FE4C9A"/>
    <w:rsid w:val="00FE60B7"/>
    <w:rsid w:val="00FE6E39"/>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chartTrackingRefBased/>
  <w15:docId w15:val="{A5CAD07B-D14B-4075-B2C0-03D1B76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062F97"/>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rsid w:val="00062F97"/>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rsid w:val="00062F97"/>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rsid w:val="00062F97"/>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62F97"/>
    <w:rPr>
      <w:color w:val="0000FF"/>
      <w:shd w:val="clear" w:color="auto" w:fill="auto"/>
    </w:rPr>
  </w:style>
  <w:style w:type="paragraph" w:styleId="Header">
    <w:name w:val="header"/>
    <w:basedOn w:val="Normal"/>
    <w:link w:val="HeaderChar"/>
    <w:uiPriority w:val="99"/>
    <w:unhideWhenUsed/>
    <w:rsid w:val="00062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97"/>
  </w:style>
  <w:style w:type="paragraph" w:styleId="Footer">
    <w:name w:val="footer"/>
    <w:basedOn w:val="Normal"/>
    <w:link w:val="FooterChar"/>
    <w:uiPriority w:val="99"/>
    <w:unhideWhenUsed/>
    <w:rsid w:val="00062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97"/>
  </w:style>
  <w:style w:type="paragraph" w:customStyle="1" w:styleId="Pagedecouverture">
    <w:name w:val="Page de couverture"/>
    <w:basedOn w:val="Normal"/>
    <w:next w:val="Normal"/>
    <w:rsid w:val="00062F9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62F9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62F97"/>
    <w:rPr>
      <w:rFonts w:ascii="Times New Roman" w:hAnsi="Times New Roman" w:cs="Times New Roman"/>
      <w:sz w:val="24"/>
    </w:rPr>
  </w:style>
  <w:style w:type="paragraph" w:customStyle="1" w:styleId="FooterSensitivity">
    <w:name w:val="Footer Sensitivity"/>
    <w:basedOn w:val="Normal"/>
    <w:link w:val="FooterSensitivityChar"/>
    <w:rsid w:val="00062F9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62F97"/>
    <w:rPr>
      <w:rFonts w:ascii="Times New Roman" w:hAnsi="Times New Roman" w:cs="Times New Roman"/>
      <w:b/>
      <w:sz w:val="32"/>
    </w:rPr>
  </w:style>
  <w:style w:type="paragraph" w:customStyle="1" w:styleId="HeaderCoverPage">
    <w:name w:val="Header Cover Page"/>
    <w:basedOn w:val="Normal"/>
    <w:link w:val="HeaderCoverPageChar"/>
    <w:rsid w:val="00062F9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62F97"/>
    <w:rPr>
      <w:rFonts w:ascii="Times New Roman" w:hAnsi="Times New Roman" w:cs="Times New Roman"/>
      <w:sz w:val="24"/>
    </w:rPr>
  </w:style>
  <w:style w:type="paragraph" w:customStyle="1" w:styleId="HeaderSensitivity">
    <w:name w:val="Header Sensitivity"/>
    <w:basedOn w:val="Normal"/>
    <w:link w:val="HeaderSensitivityChar"/>
    <w:rsid w:val="00062F9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62F97"/>
    <w:rPr>
      <w:rFonts w:ascii="Times New Roman" w:hAnsi="Times New Roman" w:cs="Times New Roman"/>
      <w:b/>
      <w:sz w:val="32"/>
    </w:rPr>
  </w:style>
  <w:style w:type="paragraph" w:customStyle="1" w:styleId="HeaderSensitivityRight">
    <w:name w:val="Header Sensitivity Right"/>
    <w:basedOn w:val="Normal"/>
    <w:link w:val="HeaderSensitivityRightChar"/>
    <w:rsid w:val="00062F9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62F97"/>
    <w:rPr>
      <w:rFonts w:ascii="Times New Roman" w:hAnsi="Times New Roman" w:cs="Times New Roman"/>
      <w:sz w:val="28"/>
    </w:rPr>
  </w:style>
  <w:style w:type="character" w:customStyle="1" w:styleId="Heading1Char">
    <w:name w:val="Heading 1 Char"/>
    <w:basedOn w:val="DefaultParagraphFont"/>
    <w:link w:val="Heading1"/>
    <w:uiPriority w:val="9"/>
    <w:rsid w:val="00062F97"/>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sid w:val="00062F97"/>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sid w:val="00062F97"/>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sid w:val="00062F97"/>
    <w:rPr>
      <w:rFonts w:ascii="Times New Roman" w:eastAsia="Times New Roman" w:hAnsi="Times New Roman" w:cs="Times New Roman"/>
      <w:bCs/>
      <w:iCs/>
      <w:sz w:val="24"/>
      <w:lang w:eastAsia="en-GB"/>
    </w:rPr>
  </w:style>
  <w:style w:type="paragraph" w:customStyle="1" w:styleId="Text1">
    <w:name w:val="Text 1"/>
    <w:basedOn w:val="Normal"/>
    <w:rsid w:val="00062F97"/>
    <w:pPr>
      <w:spacing w:before="120" w:after="120" w:line="240" w:lineRule="auto"/>
      <w:ind w:left="850"/>
      <w:jc w:val="both"/>
    </w:pPr>
    <w:rPr>
      <w:rFonts w:ascii="Times New Roman" w:eastAsia="Times New Roman" w:hAnsi="Times New Roman" w:cs="Times New Roman"/>
      <w:sz w:val="24"/>
      <w:lang w:eastAsia="en-GB"/>
    </w:rPr>
  </w:style>
  <w:style w:type="paragraph" w:styleId="FootnoteText">
    <w:name w:val="footnote text"/>
    <w:basedOn w:val="Normal"/>
    <w:link w:val="FootnoteTextChar"/>
    <w:uiPriority w:val="99"/>
    <w:unhideWhenUsed/>
    <w:rsid w:val="00062F97"/>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062F97"/>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062F97"/>
    <w:rPr>
      <w:vertAlign w:val="superscript"/>
    </w:rPr>
  </w:style>
  <w:style w:type="paragraph" w:styleId="BalloonText">
    <w:name w:val="Balloon Text"/>
    <w:basedOn w:val="Normal"/>
    <w:link w:val="BalloonTextChar"/>
    <w:uiPriority w:val="99"/>
    <w:semiHidden/>
    <w:unhideWhenUsed/>
    <w:rsid w:val="00531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BEC"/>
    <w:rPr>
      <w:rFonts w:ascii="Segoe UI" w:hAnsi="Segoe UI" w:cs="Segoe UI"/>
      <w:sz w:val="18"/>
      <w:szCs w:val="18"/>
    </w:rPr>
  </w:style>
  <w:style w:type="character" w:styleId="CommentReference">
    <w:name w:val="annotation reference"/>
    <w:basedOn w:val="DefaultParagraphFont"/>
    <w:uiPriority w:val="99"/>
    <w:semiHidden/>
    <w:unhideWhenUsed/>
    <w:rsid w:val="007A7FE1"/>
    <w:rPr>
      <w:sz w:val="16"/>
      <w:szCs w:val="16"/>
    </w:rPr>
  </w:style>
  <w:style w:type="paragraph" w:styleId="CommentText">
    <w:name w:val="annotation text"/>
    <w:basedOn w:val="Normal"/>
    <w:link w:val="CommentTextChar"/>
    <w:uiPriority w:val="99"/>
    <w:semiHidden/>
    <w:unhideWhenUsed/>
    <w:rsid w:val="007A7FE1"/>
    <w:pPr>
      <w:spacing w:line="240" w:lineRule="auto"/>
    </w:pPr>
    <w:rPr>
      <w:sz w:val="20"/>
      <w:szCs w:val="20"/>
    </w:rPr>
  </w:style>
  <w:style w:type="character" w:customStyle="1" w:styleId="CommentTextChar">
    <w:name w:val="Comment Text Char"/>
    <w:basedOn w:val="DefaultParagraphFont"/>
    <w:link w:val="CommentText"/>
    <w:uiPriority w:val="99"/>
    <w:semiHidden/>
    <w:rsid w:val="007A7FE1"/>
    <w:rPr>
      <w:sz w:val="20"/>
      <w:szCs w:val="20"/>
    </w:rPr>
  </w:style>
  <w:style w:type="paragraph" w:styleId="CommentSubject">
    <w:name w:val="annotation subject"/>
    <w:basedOn w:val="CommentText"/>
    <w:next w:val="CommentText"/>
    <w:link w:val="CommentSubjectChar"/>
    <w:uiPriority w:val="99"/>
    <w:semiHidden/>
    <w:unhideWhenUsed/>
    <w:rsid w:val="007A7FE1"/>
    <w:rPr>
      <w:b/>
      <w:bCs/>
    </w:rPr>
  </w:style>
  <w:style w:type="character" w:customStyle="1" w:styleId="CommentSubjectChar">
    <w:name w:val="Comment Subject Char"/>
    <w:basedOn w:val="CommentTextChar"/>
    <w:link w:val="CommentSubject"/>
    <w:uiPriority w:val="99"/>
    <w:semiHidden/>
    <w:rsid w:val="007A7FE1"/>
    <w:rPr>
      <w:b/>
      <w:bCs/>
      <w:sz w:val="20"/>
      <w:szCs w:val="20"/>
    </w:rPr>
  </w:style>
  <w:style w:type="character" w:customStyle="1" w:styleId="markedcontent">
    <w:name w:val="markedcontent"/>
    <w:basedOn w:val="DefaultParagraphFont"/>
    <w:rsid w:val="00885874"/>
  </w:style>
  <w:style w:type="paragraph" w:styleId="EndnoteText">
    <w:name w:val="endnote text"/>
    <w:basedOn w:val="Normal"/>
    <w:link w:val="EndnoteTextChar"/>
    <w:uiPriority w:val="99"/>
    <w:semiHidden/>
    <w:unhideWhenUsed/>
    <w:rsid w:val="00C14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4254"/>
    <w:rPr>
      <w:sz w:val="20"/>
      <w:szCs w:val="20"/>
    </w:rPr>
  </w:style>
  <w:style w:type="character" w:styleId="EndnoteReference">
    <w:name w:val="endnote reference"/>
    <w:basedOn w:val="DefaultParagraphFont"/>
    <w:uiPriority w:val="99"/>
    <w:semiHidden/>
    <w:unhideWhenUsed/>
    <w:rsid w:val="00C14254"/>
    <w:rPr>
      <w:vertAlign w:val="superscript"/>
    </w:rPr>
  </w:style>
  <w:style w:type="paragraph" w:styleId="NormalWeb">
    <w:name w:val="Normal (Web)"/>
    <w:basedOn w:val="Normal"/>
    <w:uiPriority w:val="99"/>
    <w:semiHidden/>
    <w:unhideWhenUsed/>
    <w:rsid w:val="00AC12E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AC12E3"/>
    <w:pPr>
      <w:spacing w:after="0" w:line="240" w:lineRule="auto"/>
    </w:pPr>
  </w:style>
  <w:style w:type="paragraph" w:styleId="ListParagraph">
    <w:name w:val="List Paragraph"/>
    <w:basedOn w:val="Normal"/>
    <w:uiPriority w:val="34"/>
    <w:qFormat/>
    <w:rsid w:val="00FE4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4805">
      <w:bodyDiv w:val="1"/>
      <w:marLeft w:val="0"/>
      <w:marRight w:val="0"/>
      <w:marTop w:val="0"/>
      <w:marBottom w:val="0"/>
      <w:divBdr>
        <w:top w:val="none" w:sz="0" w:space="0" w:color="auto"/>
        <w:left w:val="none" w:sz="0" w:space="0" w:color="auto"/>
        <w:bottom w:val="none" w:sz="0" w:space="0" w:color="auto"/>
        <w:right w:val="none" w:sz="0" w:space="0" w:color="auto"/>
      </w:divBdr>
    </w:div>
    <w:div w:id="43256483">
      <w:bodyDiv w:val="1"/>
      <w:marLeft w:val="0"/>
      <w:marRight w:val="0"/>
      <w:marTop w:val="0"/>
      <w:marBottom w:val="0"/>
      <w:divBdr>
        <w:top w:val="none" w:sz="0" w:space="0" w:color="auto"/>
        <w:left w:val="none" w:sz="0" w:space="0" w:color="auto"/>
        <w:bottom w:val="none" w:sz="0" w:space="0" w:color="auto"/>
        <w:right w:val="none" w:sz="0" w:space="0" w:color="auto"/>
      </w:divBdr>
    </w:div>
    <w:div w:id="153497331">
      <w:bodyDiv w:val="1"/>
      <w:marLeft w:val="0"/>
      <w:marRight w:val="0"/>
      <w:marTop w:val="0"/>
      <w:marBottom w:val="0"/>
      <w:divBdr>
        <w:top w:val="none" w:sz="0" w:space="0" w:color="auto"/>
        <w:left w:val="none" w:sz="0" w:space="0" w:color="auto"/>
        <w:bottom w:val="none" w:sz="0" w:space="0" w:color="auto"/>
        <w:right w:val="none" w:sz="0" w:space="0" w:color="auto"/>
      </w:divBdr>
    </w:div>
    <w:div w:id="163010851">
      <w:bodyDiv w:val="1"/>
      <w:marLeft w:val="0"/>
      <w:marRight w:val="0"/>
      <w:marTop w:val="0"/>
      <w:marBottom w:val="0"/>
      <w:divBdr>
        <w:top w:val="none" w:sz="0" w:space="0" w:color="auto"/>
        <w:left w:val="none" w:sz="0" w:space="0" w:color="auto"/>
        <w:bottom w:val="none" w:sz="0" w:space="0" w:color="auto"/>
        <w:right w:val="none" w:sz="0" w:space="0" w:color="auto"/>
      </w:divBdr>
    </w:div>
    <w:div w:id="217514706">
      <w:bodyDiv w:val="1"/>
      <w:marLeft w:val="0"/>
      <w:marRight w:val="0"/>
      <w:marTop w:val="0"/>
      <w:marBottom w:val="0"/>
      <w:divBdr>
        <w:top w:val="none" w:sz="0" w:space="0" w:color="auto"/>
        <w:left w:val="none" w:sz="0" w:space="0" w:color="auto"/>
        <w:bottom w:val="none" w:sz="0" w:space="0" w:color="auto"/>
        <w:right w:val="none" w:sz="0" w:space="0" w:color="auto"/>
      </w:divBdr>
    </w:div>
    <w:div w:id="235164877">
      <w:bodyDiv w:val="1"/>
      <w:marLeft w:val="0"/>
      <w:marRight w:val="0"/>
      <w:marTop w:val="0"/>
      <w:marBottom w:val="0"/>
      <w:divBdr>
        <w:top w:val="none" w:sz="0" w:space="0" w:color="auto"/>
        <w:left w:val="none" w:sz="0" w:space="0" w:color="auto"/>
        <w:bottom w:val="none" w:sz="0" w:space="0" w:color="auto"/>
        <w:right w:val="none" w:sz="0" w:space="0" w:color="auto"/>
      </w:divBdr>
    </w:div>
    <w:div w:id="311912547">
      <w:bodyDiv w:val="1"/>
      <w:marLeft w:val="0"/>
      <w:marRight w:val="0"/>
      <w:marTop w:val="0"/>
      <w:marBottom w:val="0"/>
      <w:divBdr>
        <w:top w:val="none" w:sz="0" w:space="0" w:color="auto"/>
        <w:left w:val="none" w:sz="0" w:space="0" w:color="auto"/>
        <w:bottom w:val="none" w:sz="0" w:space="0" w:color="auto"/>
        <w:right w:val="none" w:sz="0" w:space="0" w:color="auto"/>
      </w:divBdr>
    </w:div>
    <w:div w:id="334765063">
      <w:bodyDiv w:val="1"/>
      <w:marLeft w:val="0"/>
      <w:marRight w:val="0"/>
      <w:marTop w:val="0"/>
      <w:marBottom w:val="0"/>
      <w:divBdr>
        <w:top w:val="none" w:sz="0" w:space="0" w:color="auto"/>
        <w:left w:val="none" w:sz="0" w:space="0" w:color="auto"/>
        <w:bottom w:val="none" w:sz="0" w:space="0" w:color="auto"/>
        <w:right w:val="none" w:sz="0" w:space="0" w:color="auto"/>
      </w:divBdr>
    </w:div>
    <w:div w:id="385684840">
      <w:bodyDiv w:val="1"/>
      <w:marLeft w:val="0"/>
      <w:marRight w:val="0"/>
      <w:marTop w:val="0"/>
      <w:marBottom w:val="0"/>
      <w:divBdr>
        <w:top w:val="none" w:sz="0" w:space="0" w:color="auto"/>
        <w:left w:val="none" w:sz="0" w:space="0" w:color="auto"/>
        <w:bottom w:val="none" w:sz="0" w:space="0" w:color="auto"/>
        <w:right w:val="none" w:sz="0" w:space="0" w:color="auto"/>
      </w:divBdr>
    </w:div>
    <w:div w:id="447622192">
      <w:bodyDiv w:val="1"/>
      <w:marLeft w:val="0"/>
      <w:marRight w:val="0"/>
      <w:marTop w:val="0"/>
      <w:marBottom w:val="0"/>
      <w:divBdr>
        <w:top w:val="none" w:sz="0" w:space="0" w:color="auto"/>
        <w:left w:val="none" w:sz="0" w:space="0" w:color="auto"/>
        <w:bottom w:val="none" w:sz="0" w:space="0" w:color="auto"/>
        <w:right w:val="none" w:sz="0" w:space="0" w:color="auto"/>
      </w:divBdr>
    </w:div>
    <w:div w:id="470562787">
      <w:bodyDiv w:val="1"/>
      <w:marLeft w:val="0"/>
      <w:marRight w:val="0"/>
      <w:marTop w:val="0"/>
      <w:marBottom w:val="0"/>
      <w:divBdr>
        <w:top w:val="none" w:sz="0" w:space="0" w:color="auto"/>
        <w:left w:val="none" w:sz="0" w:space="0" w:color="auto"/>
        <w:bottom w:val="none" w:sz="0" w:space="0" w:color="auto"/>
        <w:right w:val="none" w:sz="0" w:space="0" w:color="auto"/>
      </w:divBdr>
    </w:div>
    <w:div w:id="529339486">
      <w:bodyDiv w:val="1"/>
      <w:marLeft w:val="0"/>
      <w:marRight w:val="0"/>
      <w:marTop w:val="0"/>
      <w:marBottom w:val="0"/>
      <w:divBdr>
        <w:top w:val="none" w:sz="0" w:space="0" w:color="auto"/>
        <w:left w:val="none" w:sz="0" w:space="0" w:color="auto"/>
        <w:bottom w:val="none" w:sz="0" w:space="0" w:color="auto"/>
        <w:right w:val="none" w:sz="0" w:space="0" w:color="auto"/>
      </w:divBdr>
    </w:div>
    <w:div w:id="530841653">
      <w:bodyDiv w:val="1"/>
      <w:marLeft w:val="0"/>
      <w:marRight w:val="0"/>
      <w:marTop w:val="0"/>
      <w:marBottom w:val="0"/>
      <w:divBdr>
        <w:top w:val="none" w:sz="0" w:space="0" w:color="auto"/>
        <w:left w:val="none" w:sz="0" w:space="0" w:color="auto"/>
        <w:bottom w:val="none" w:sz="0" w:space="0" w:color="auto"/>
        <w:right w:val="none" w:sz="0" w:space="0" w:color="auto"/>
      </w:divBdr>
    </w:div>
    <w:div w:id="539514778">
      <w:bodyDiv w:val="1"/>
      <w:marLeft w:val="0"/>
      <w:marRight w:val="0"/>
      <w:marTop w:val="0"/>
      <w:marBottom w:val="0"/>
      <w:divBdr>
        <w:top w:val="none" w:sz="0" w:space="0" w:color="auto"/>
        <w:left w:val="none" w:sz="0" w:space="0" w:color="auto"/>
        <w:bottom w:val="none" w:sz="0" w:space="0" w:color="auto"/>
        <w:right w:val="none" w:sz="0" w:space="0" w:color="auto"/>
      </w:divBdr>
    </w:div>
    <w:div w:id="545410966">
      <w:bodyDiv w:val="1"/>
      <w:marLeft w:val="0"/>
      <w:marRight w:val="0"/>
      <w:marTop w:val="0"/>
      <w:marBottom w:val="0"/>
      <w:divBdr>
        <w:top w:val="none" w:sz="0" w:space="0" w:color="auto"/>
        <w:left w:val="none" w:sz="0" w:space="0" w:color="auto"/>
        <w:bottom w:val="none" w:sz="0" w:space="0" w:color="auto"/>
        <w:right w:val="none" w:sz="0" w:space="0" w:color="auto"/>
      </w:divBdr>
    </w:div>
    <w:div w:id="573273817">
      <w:bodyDiv w:val="1"/>
      <w:marLeft w:val="0"/>
      <w:marRight w:val="0"/>
      <w:marTop w:val="0"/>
      <w:marBottom w:val="0"/>
      <w:divBdr>
        <w:top w:val="none" w:sz="0" w:space="0" w:color="auto"/>
        <w:left w:val="none" w:sz="0" w:space="0" w:color="auto"/>
        <w:bottom w:val="none" w:sz="0" w:space="0" w:color="auto"/>
        <w:right w:val="none" w:sz="0" w:space="0" w:color="auto"/>
      </w:divBdr>
    </w:div>
    <w:div w:id="573786071">
      <w:bodyDiv w:val="1"/>
      <w:marLeft w:val="0"/>
      <w:marRight w:val="0"/>
      <w:marTop w:val="0"/>
      <w:marBottom w:val="0"/>
      <w:divBdr>
        <w:top w:val="none" w:sz="0" w:space="0" w:color="auto"/>
        <w:left w:val="none" w:sz="0" w:space="0" w:color="auto"/>
        <w:bottom w:val="none" w:sz="0" w:space="0" w:color="auto"/>
        <w:right w:val="none" w:sz="0" w:space="0" w:color="auto"/>
      </w:divBdr>
    </w:div>
    <w:div w:id="579483391">
      <w:bodyDiv w:val="1"/>
      <w:marLeft w:val="0"/>
      <w:marRight w:val="0"/>
      <w:marTop w:val="0"/>
      <w:marBottom w:val="0"/>
      <w:divBdr>
        <w:top w:val="none" w:sz="0" w:space="0" w:color="auto"/>
        <w:left w:val="none" w:sz="0" w:space="0" w:color="auto"/>
        <w:bottom w:val="none" w:sz="0" w:space="0" w:color="auto"/>
        <w:right w:val="none" w:sz="0" w:space="0" w:color="auto"/>
      </w:divBdr>
    </w:div>
    <w:div w:id="592860506">
      <w:bodyDiv w:val="1"/>
      <w:marLeft w:val="0"/>
      <w:marRight w:val="0"/>
      <w:marTop w:val="0"/>
      <w:marBottom w:val="0"/>
      <w:divBdr>
        <w:top w:val="none" w:sz="0" w:space="0" w:color="auto"/>
        <w:left w:val="none" w:sz="0" w:space="0" w:color="auto"/>
        <w:bottom w:val="none" w:sz="0" w:space="0" w:color="auto"/>
        <w:right w:val="none" w:sz="0" w:space="0" w:color="auto"/>
      </w:divBdr>
    </w:div>
    <w:div w:id="647129024">
      <w:bodyDiv w:val="1"/>
      <w:marLeft w:val="0"/>
      <w:marRight w:val="0"/>
      <w:marTop w:val="0"/>
      <w:marBottom w:val="0"/>
      <w:divBdr>
        <w:top w:val="none" w:sz="0" w:space="0" w:color="auto"/>
        <w:left w:val="none" w:sz="0" w:space="0" w:color="auto"/>
        <w:bottom w:val="none" w:sz="0" w:space="0" w:color="auto"/>
        <w:right w:val="none" w:sz="0" w:space="0" w:color="auto"/>
      </w:divBdr>
    </w:div>
    <w:div w:id="657419901">
      <w:bodyDiv w:val="1"/>
      <w:marLeft w:val="0"/>
      <w:marRight w:val="0"/>
      <w:marTop w:val="0"/>
      <w:marBottom w:val="0"/>
      <w:divBdr>
        <w:top w:val="none" w:sz="0" w:space="0" w:color="auto"/>
        <w:left w:val="none" w:sz="0" w:space="0" w:color="auto"/>
        <w:bottom w:val="none" w:sz="0" w:space="0" w:color="auto"/>
        <w:right w:val="none" w:sz="0" w:space="0" w:color="auto"/>
      </w:divBdr>
    </w:div>
    <w:div w:id="681664962">
      <w:bodyDiv w:val="1"/>
      <w:marLeft w:val="0"/>
      <w:marRight w:val="0"/>
      <w:marTop w:val="0"/>
      <w:marBottom w:val="0"/>
      <w:divBdr>
        <w:top w:val="none" w:sz="0" w:space="0" w:color="auto"/>
        <w:left w:val="none" w:sz="0" w:space="0" w:color="auto"/>
        <w:bottom w:val="none" w:sz="0" w:space="0" w:color="auto"/>
        <w:right w:val="none" w:sz="0" w:space="0" w:color="auto"/>
      </w:divBdr>
    </w:div>
    <w:div w:id="705985739">
      <w:bodyDiv w:val="1"/>
      <w:marLeft w:val="0"/>
      <w:marRight w:val="0"/>
      <w:marTop w:val="0"/>
      <w:marBottom w:val="0"/>
      <w:divBdr>
        <w:top w:val="none" w:sz="0" w:space="0" w:color="auto"/>
        <w:left w:val="none" w:sz="0" w:space="0" w:color="auto"/>
        <w:bottom w:val="none" w:sz="0" w:space="0" w:color="auto"/>
        <w:right w:val="none" w:sz="0" w:space="0" w:color="auto"/>
      </w:divBdr>
    </w:div>
    <w:div w:id="734931834">
      <w:bodyDiv w:val="1"/>
      <w:marLeft w:val="0"/>
      <w:marRight w:val="0"/>
      <w:marTop w:val="0"/>
      <w:marBottom w:val="0"/>
      <w:divBdr>
        <w:top w:val="none" w:sz="0" w:space="0" w:color="auto"/>
        <w:left w:val="none" w:sz="0" w:space="0" w:color="auto"/>
        <w:bottom w:val="none" w:sz="0" w:space="0" w:color="auto"/>
        <w:right w:val="none" w:sz="0" w:space="0" w:color="auto"/>
      </w:divBdr>
    </w:div>
    <w:div w:id="772280976">
      <w:bodyDiv w:val="1"/>
      <w:marLeft w:val="0"/>
      <w:marRight w:val="0"/>
      <w:marTop w:val="0"/>
      <w:marBottom w:val="0"/>
      <w:divBdr>
        <w:top w:val="none" w:sz="0" w:space="0" w:color="auto"/>
        <w:left w:val="none" w:sz="0" w:space="0" w:color="auto"/>
        <w:bottom w:val="none" w:sz="0" w:space="0" w:color="auto"/>
        <w:right w:val="none" w:sz="0" w:space="0" w:color="auto"/>
      </w:divBdr>
    </w:div>
    <w:div w:id="849567707">
      <w:bodyDiv w:val="1"/>
      <w:marLeft w:val="0"/>
      <w:marRight w:val="0"/>
      <w:marTop w:val="0"/>
      <w:marBottom w:val="0"/>
      <w:divBdr>
        <w:top w:val="none" w:sz="0" w:space="0" w:color="auto"/>
        <w:left w:val="none" w:sz="0" w:space="0" w:color="auto"/>
        <w:bottom w:val="none" w:sz="0" w:space="0" w:color="auto"/>
        <w:right w:val="none" w:sz="0" w:space="0" w:color="auto"/>
      </w:divBdr>
    </w:div>
    <w:div w:id="849754872">
      <w:bodyDiv w:val="1"/>
      <w:marLeft w:val="0"/>
      <w:marRight w:val="0"/>
      <w:marTop w:val="0"/>
      <w:marBottom w:val="0"/>
      <w:divBdr>
        <w:top w:val="none" w:sz="0" w:space="0" w:color="auto"/>
        <w:left w:val="none" w:sz="0" w:space="0" w:color="auto"/>
        <w:bottom w:val="none" w:sz="0" w:space="0" w:color="auto"/>
        <w:right w:val="none" w:sz="0" w:space="0" w:color="auto"/>
      </w:divBdr>
    </w:div>
    <w:div w:id="877663883">
      <w:bodyDiv w:val="1"/>
      <w:marLeft w:val="0"/>
      <w:marRight w:val="0"/>
      <w:marTop w:val="0"/>
      <w:marBottom w:val="0"/>
      <w:divBdr>
        <w:top w:val="none" w:sz="0" w:space="0" w:color="auto"/>
        <w:left w:val="none" w:sz="0" w:space="0" w:color="auto"/>
        <w:bottom w:val="none" w:sz="0" w:space="0" w:color="auto"/>
        <w:right w:val="none" w:sz="0" w:space="0" w:color="auto"/>
      </w:divBdr>
    </w:div>
    <w:div w:id="882904894">
      <w:bodyDiv w:val="1"/>
      <w:marLeft w:val="0"/>
      <w:marRight w:val="0"/>
      <w:marTop w:val="0"/>
      <w:marBottom w:val="0"/>
      <w:divBdr>
        <w:top w:val="none" w:sz="0" w:space="0" w:color="auto"/>
        <w:left w:val="none" w:sz="0" w:space="0" w:color="auto"/>
        <w:bottom w:val="none" w:sz="0" w:space="0" w:color="auto"/>
        <w:right w:val="none" w:sz="0" w:space="0" w:color="auto"/>
      </w:divBdr>
    </w:div>
    <w:div w:id="884560722">
      <w:bodyDiv w:val="1"/>
      <w:marLeft w:val="0"/>
      <w:marRight w:val="0"/>
      <w:marTop w:val="0"/>
      <w:marBottom w:val="0"/>
      <w:divBdr>
        <w:top w:val="none" w:sz="0" w:space="0" w:color="auto"/>
        <w:left w:val="none" w:sz="0" w:space="0" w:color="auto"/>
        <w:bottom w:val="none" w:sz="0" w:space="0" w:color="auto"/>
        <w:right w:val="none" w:sz="0" w:space="0" w:color="auto"/>
      </w:divBdr>
    </w:div>
    <w:div w:id="938558720">
      <w:bodyDiv w:val="1"/>
      <w:marLeft w:val="0"/>
      <w:marRight w:val="0"/>
      <w:marTop w:val="0"/>
      <w:marBottom w:val="0"/>
      <w:divBdr>
        <w:top w:val="none" w:sz="0" w:space="0" w:color="auto"/>
        <w:left w:val="none" w:sz="0" w:space="0" w:color="auto"/>
        <w:bottom w:val="none" w:sz="0" w:space="0" w:color="auto"/>
        <w:right w:val="none" w:sz="0" w:space="0" w:color="auto"/>
      </w:divBdr>
    </w:div>
    <w:div w:id="985816633">
      <w:bodyDiv w:val="1"/>
      <w:marLeft w:val="0"/>
      <w:marRight w:val="0"/>
      <w:marTop w:val="0"/>
      <w:marBottom w:val="0"/>
      <w:divBdr>
        <w:top w:val="none" w:sz="0" w:space="0" w:color="auto"/>
        <w:left w:val="none" w:sz="0" w:space="0" w:color="auto"/>
        <w:bottom w:val="none" w:sz="0" w:space="0" w:color="auto"/>
        <w:right w:val="none" w:sz="0" w:space="0" w:color="auto"/>
      </w:divBdr>
    </w:div>
    <w:div w:id="1065568325">
      <w:bodyDiv w:val="1"/>
      <w:marLeft w:val="0"/>
      <w:marRight w:val="0"/>
      <w:marTop w:val="0"/>
      <w:marBottom w:val="0"/>
      <w:divBdr>
        <w:top w:val="none" w:sz="0" w:space="0" w:color="auto"/>
        <w:left w:val="none" w:sz="0" w:space="0" w:color="auto"/>
        <w:bottom w:val="none" w:sz="0" w:space="0" w:color="auto"/>
        <w:right w:val="none" w:sz="0" w:space="0" w:color="auto"/>
      </w:divBdr>
    </w:div>
    <w:div w:id="1116556253">
      <w:bodyDiv w:val="1"/>
      <w:marLeft w:val="0"/>
      <w:marRight w:val="0"/>
      <w:marTop w:val="0"/>
      <w:marBottom w:val="0"/>
      <w:divBdr>
        <w:top w:val="none" w:sz="0" w:space="0" w:color="auto"/>
        <w:left w:val="none" w:sz="0" w:space="0" w:color="auto"/>
        <w:bottom w:val="none" w:sz="0" w:space="0" w:color="auto"/>
        <w:right w:val="none" w:sz="0" w:space="0" w:color="auto"/>
      </w:divBdr>
    </w:div>
    <w:div w:id="1126046783">
      <w:bodyDiv w:val="1"/>
      <w:marLeft w:val="0"/>
      <w:marRight w:val="0"/>
      <w:marTop w:val="0"/>
      <w:marBottom w:val="0"/>
      <w:divBdr>
        <w:top w:val="none" w:sz="0" w:space="0" w:color="auto"/>
        <w:left w:val="none" w:sz="0" w:space="0" w:color="auto"/>
        <w:bottom w:val="none" w:sz="0" w:space="0" w:color="auto"/>
        <w:right w:val="none" w:sz="0" w:space="0" w:color="auto"/>
      </w:divBdr>
    </w:div>
    <w:div w:id="1158575219">
      <w:bodyDiv w:val="1"/>
      <w:marLeft w:val="0"/>
      <w:marRight w:val="0"/>
      <w:marTop w:val="0"/>
      <w:marBottom w:val="0"/>
      <w:divBdr>
        <w:top w:val="none" w:sz="0" w:space="0" w:color="auto"/>
        <w:left w:val="none" w:sz="0" w:space="0" w:color="auto"/>
        <w:bottom w:val="none" w:sz="0" w:space="0" w:color="auto"/>
        <w:right w:val="none" w:sz="0" w:space="0" w:color="auto"/>
      </w:divBdr>
    </w:div>
    <w:div w:id="1269772026">
      <w:bodyDiv w:val="1"/>
      <w:marLeft w:val="0"/>
      <w:marRight w:val="0"/>
      <w:marTop w:val="0"/>
      <w:marBottom w:val="0"/>
      <w:divBdr>
        <w:top w:val="none" w:sz="0" w:space="0" w:color="auto"/>
        <w:left w:val="none" w:sz="0" w:space="0" w:color="auto"/>
        <w:bottom w:val="none" w:sz="0" w:space="0" w:color="auto"/>
        <w:right w:val="none" w:sz="0" w:space="0" w:color="auto"/>
      </w:divBdr>
    </w:div>
    <w:div w:id="1314724289">
      <w:bodyDiv w:val="1"/>
      <w:marLeft w:val="0"/>
      <w:marRight w:val="0"/>
      <w:marTop w:val="0"/>
      <w:marBottom w:val="0"/>
      <w:divBdr>
        <w:top w:val="none" w:sz="0" w:space="0" w:color="auto"/>
        <w:left w:val="none" w:sz="0" w:space="0" w:color="auto"/>
        <w:bottom w:val="none" w:sz="0" w:space="0" w:color="auto"/>
        <w:right w:val="none" w:sz="0" w:space="0" w:color="auto"/>
      </w:divBdr>
    </w:div>
    <w:div w:id="1316759291">
      <w:bodyDiv w:val="1"/>
      <w:marLeft w:val="0"/>
      <w:marRight w:val="0"/>
      <w:marTop w:val="0"/>
      <w:marBottom w:val="0"/>
      <w:divBdr>
        <w:top w:val="none" w:sz="0" w:space="0" w:color="auto"/>
        <w:left w:val="none" w:sz="0" w:space="0" w:color="auto"/>
        <w:bottom w:val="none" w:sz="0" w:space="0" w:color="auto"/>
        <w:right w:val="none" w:sz="0" w:space="0" w:color="auto"/>
      </w:divBdr>
    </w:div>
    <w:div w:id="1328943975">
      <w:bodyDiv w:val="1"/>
      <w:marLeft w:val="0"/>
      <w:marRight w:val="0"/>
      <w:marTop w:val="0"/>
      <w:marBottom w:val="0"/>
      <w:divBdr>
        <w:top w:val="none" w:sz="0" w:space="0" w:color="auto"/>
        <w:left w:val="none" w:sz="0" w:space="0" w:color="auto"/>
        <w:bottom w:val="none" w:sz="0" w:space="0" w:color="auto"/>
        <w:right w:val="none" w:sz="0" w:space="0" w:color="auto"/>
      </w:divBdr>
    </w:div>
    <w:div w:id="1403681072">
      <w:bodyDiv w:val="1"/>
      <w:marLeft w:val="0"/>
      <w:marRight w:val="0"/>
      <w:marTop w:val="0"/>
      <w:marBottom w:val="0"/>
      <w:divBdr>
        <w:top w:val="none" w:sz="0" w:space="0" w:color="auto"/>
        <w:left w:val="none" w:sz="0" w:space="0" w:color="auto"/>
        <w:bottom w:val="none" w:sz="0" w:space="0" w:color="auto"/>
        <w:right w:val="none" w:sz="0" w:space="0" w:color="auto"/>
      </w:divBdr>
    </w:div>
    <w:div w:id="1403985465">
      <w:bodyDiv w:val="1"/>
      <w:marLeft w:val="0"/>
      <w:marRight w:val="0"/>
      <w:marTop w:val="0"/>
      <w:marBottom w:val="0"/>
      <w:divBdr>
        <w:top w:val="none" w:sz="0" w:space="0" w:color="auto"/>
        <w:left w:val="none" w:sz="0" w:space="0" w:color="auto"/>
        <w:bottom w:val="none" w:sz="0" w:space="0" w:color="auto"/>
        <w:right w:val="none" w:sz="0" w:space="0" w:color="auto"/>
      </w:divBdr>
    </w:div>
    <w:div w:id="1450733569">
      <w:bodyDiv w:val="1"/>
      <w:marLeft w:val="0"/>
      <w:marRight w:val="0"/>
      <w:marTop w:val="0"/>
      <w:marBottom w:val="0"/>
      <w:divBdr>
        <w:top w:val="none" w:sz="0" w:space="0" w:color="auto"/>
        <w:left w:val="none" w:sz="0" w:space="0" w:color="auto"/>
        <w:bottom w:val="none" w:sz="0" w:space="0" w:color="auto"/>
        <w:right w:val="none" w:sz="0" w:space="0" w:color="auto"/>
      </w:divBdr>
    </w:div>
    <w:div w:id="1455708857">
      <w:bodyDiv w:val="1"/>
      <w:marLeft w:val="0"/>
      <w:marRight w:val="0"/>
      <w:marTop w:val="0"/>
      <w:marBottom w:val="0"/>
      <w:divBdr>
        <w:top w:val="none" w:sz="0" w:space="0" w:color="auto"/>
        <w:left w:val="none" w:sz="0" w:space="0" w:color="auto"/>
        <w:bottom w:val="none" w:sz="0" w:space="0" w:color="auto"/>
        <w:right w:val="none" w:sz="0" w:space="0" w:color="auto"/>
      </w:divBdr>
    </w:div>
    <w:div w:id="1459839184">
      <w:bodyDiv w:val="1"/>
      <w:marLeft w:val="0"/>
      <w:marRight w:val="0"/>
      <w:marTop w:val="0"/>
      <w:marBottom w:val="0"/>
      <w:divBdr>
        <w:top w:val="none" w:sz="0" w:space="0" w:color="auto"/>
        <w:left w:val="none" w:sz="0" w:space="0" w:color="auto"/>
        <w:bottom w:val="none" w:sz="0" w:space="0" w:color="auto"/>
        <w:right w:val="none" w:sz="0" w:space="0" w:color="auto"/>
      </w:divBdr>
    </w:div>
    <w:div w:id="1472743833">
      <w:bodyDiv w:val="1"/>
      <w:marLeft w:val="0"/>
      <w:marRight w:val="0"/>
      <w:marTop w:val="0"/>
      <w:marBottom w:val="0"/>
      <w:divBdr>
        <w:top w:val="none" w:sz="0" w:space="0" w:color="auto"/>
        <w:left w:val="none" w:sz="0" w:space="0" w:color="auto"/>
        <w:bottom w:val="none" w:sz="0" w:space="0" w:color="auto"/>
        <w:right w:val="none" w:sz="0" w:space="0" w:color="auto"/>
      </w:divBdr>
    </w:div>
    <w:div w:id="1473674433">
      <w:bodyDiv w:val="1"/>
      <w:marLeft w:val="0"/>
      <w:marRight w:val="0"/>
      <w:marTop w:val="0"/>
      <w:marBottom w:val="0"/>
      <w:divBdr>
        <w:top w:val="none" w:sz="0" w:space="0" w:color="auto"/>
        <w:left w:val="none" w:sz="0" w:space="0" w:color="auto"/>
        <w:bottom w:val="none" w:sz="0" w:space="0" w:color="auto"/>
        <w:right w:val="none" w:sz="0" w:space="0" w:color="auto"/>
      </w:divBdr>
    </w:div>
    <w:div w:id="1521509771">
      <w:bodyDiv w:val="1"/>
      <w:marLeft w:val="0"/>
      <w:marRight w:val="0"/>
      <w:marTop w:val="0"/>
      <w:marBottom w:val="0"/>
      <w:divBdr>
        <w:top w:val="none" w:sz="0" w:space="0" w:color="auto"/>
        <w:left w:val="none" w:sz="0" w:space="0" w:color="auto"/>
        <w:bottom w:val="none" w:sz="0" w:space="0" w:color="auto"/>
        <w:right w:val="none" w:sz="0" w:space="0" w:color="auto"/>
      </w:divBdr>
    </w:div>
    <w:div w:id="1546941832">
      <w:bodyDiv w:val="1"/>
      <w:marLeft w:val="0"/>
      <w:marRight w:val="0"/>
      <w:marTop w:val="0"/>
      <w:marBottom w:val="0"/>
      <w:divBdr>
        <w:top w:val="none" w:sz="0" w:space="0" w:color="auto"/>
        <w:left w:val="none" w:sz="0" w:space="0" w:color="auto"/>
        <w:bottom w:val="none" w:sz="0" w:space="0" w:color="auto"/>
        <w:right w:val="none" w:sz="0" w:space="0" w:color="auto"/>
      </w:divBdr>
    </w:div>
    <w:div w:id="1630434850">
      <w:bodyDiv w:val="1"/>
      <w:marLeft w:val="0"/>
      <w:marRight w:val="0"/>
      <w:marTop w:val="0"/>
      <w:marBottom w:val="0"/>
      <w:divBdr>
        <w:top w:val="none" w:sz="0" w:space="0" w:color="auto"/>
        <w:left w:val="none" w:sz="0" w:space="0" w:color="auto"/>
        <w:bottom w:val="none" w:sz="0" w:space="0" w:color="auto"/>
        <w:right w:val="none" w:sz="0" w:space="0" w:color="auto"/>
      </w:divBdr>
    </w:div>
    <w:div w:id="1640769480">
      <w:bodyDiv w:val="1"/>
      <w:marLeft w:val="0"/>
      <w:marRight w:val="0"/>
      <w:marTop w:val="0"/>
      <w:marBottom w:val="0"/>
      <w:divBdr>
        <w:top w:val="none" w:sz="0" w:space="0" w:color="auto"/>
        <w:left w:val="none" w:sz="0" w:space="0" w:color="auto"/>
        <w:bottom w:val="none" w:sz="0" w:space="0" w:color="auto"/>
        <w:right w:val="none" w:sz="0" w:space="0" w:color="auto"/>
      </w:divBdr>
    </w:div>
    <w:div w:id="1661692447">
      <w:bodyDiv w:val="1"/>
      <w:marLeft w:val="0"/>
      <w:marRight w:val="0"/>
      <w:marTop w:val="0"/>
      <w:marBottom w:val="0"/>
      <w:divBdr>
        <w:top w:val="none" w:sz="0" w:space="0" w:color="auto"/>
        <w:left w:val="none" w:sz="0" w:space="0" w:color="auto"/>
        <w:bottom w:val="none" w:sz="0" w:space="0" w:color="auto"/>
        <w:right w:val="none" w:sz="0" w:space="0" w:color="auto"/>
      </w:divBdr>
    </w:div>
    <w:div w:id="1676153175">
      <w:bodyDiv w:val="1"/>
      <w:marLeft w:val="0"/>
      <w:marRight w:val="0"/>
      <w:marTop w:val="0"/>
      <w:marBottom w:val="0"/>
      <w:divBdr>
        <w:top w:val="none" w:sz="0" w:space="0" w:color="auto"/>
        <w:left w:val="none" w:sz="0" w:space="0" w:color="auto"/>
        <w:bottom w:val="none" w:sz="0" w:space="0" w:color="auto"/>
        <w:right w:val="none" w:sz="0" w:space="0" w:color="auto"/>
      </w:divBdr>
    </w:div>
    <w:div w:id="1682968768">
      <w:bodyDiv w:val="1"/>
      <w:marLeft w:val="0"/>
      <w:marRight w:val="0"/>
      <w:marTop w:val="0"/>
      <w:marBottom w:val="0"/>
      <w:divBdr>
        <w:top w:val="none" w:sz="0" w:space="0" w:color="auto"/>
        <w:left w:val="none" w:sz="0" w:space="0" w:color="auto"/>
        <w:bottom w:val="none" w:sz="0" w:space="0" w:color="auto"/>
        <w:right w:val="none" w:sz="0" w:space="0" w:color="auto"/>
      </w:divBdr>
    </w:div>
    <w:div w:id="1696350042">
      <w:bodyDiv w:val="1"/>
      <w:marLeft w:val="0"/>
      <w:marRight w:val="0"/>
      <w:marTop w:val="0"/>
      <w:marBottom w:val="0"/>
      <w:divBdr>
        <w:top w:val="none" w:sz="0" w:space="0" w:color="auto"/>
        <w:left w:val="none" w:sz="0" w:space="0" w:color="auto"/>
        <w:bottom w:val="none" w:sz="0" w:space="0" w:color="auto"/>
        <w:right w:val="none" w:sz="0" w:space="0" w:color="auto"/>
      </w:divBdr>
    </w:div>
    <w:div w:id="1744793750">
      <w:bodyDiv w:val="1"/>
      <w:marLeft w:val="0"/>
      <w:marRight w:val="0"/>
      <w:marTop w:val="0"/>
      <w:marBottom w:val="0"/>
      <w:divBdr>
        <w:top w:val="none" w:sz="0" w:space="0" w:color="auto"/>
        <w:left w:val="none" w:sz="0" w:space="0" w:color="auto"/>
        <w:bottom w:val="none" w:sz="0" w:space="0" w:color="auto"/>
        <w:right w:val="none" w:sz="0" w:space="0" w:color="auto"/>
      </w:divBdr>
    </w:div>
    <w:div w:id="1766415991">
      <w:bodyDiv w:val="1"/>
      <w:marLeft w:val="0"/>
      <w:marRight w:val="0"/>
      <w:marTop w:val="0"/>
      <w:marBottom w:val="0"/>
      <w:divBdr>
        <w:top w:val="none" w:sz="0" w:space="0" w:color="auto"/>
        <w:left w:val="none" w:sz="0" w:space="0" w:color="auto"/>
        <w:bottom w:val="none" w:sz="0" w:space="0" w:color="auto"/>
        <w:right w:val="none" w:sz="0" w:space="0" w:color="auto"/>
      </w:divBdr>
    </w:div>
    <w:div w:id="1801075935">
      <w:bodyDiv w:val="1"/>
      <w:marLeft w:val="0"/>
      <w:marRight w:val="0"/>
      <w:marTop w:val="0"/>
      <w:marBottom w:val="0"/>
      <w:divBdr>
        <w:top w:val="none" w:sz="0" w:space="0" w:color="auto"/>
        <w:left w:val="none" w:sz="0" w:space="0" w:color="auto"/>
        <w:bottom w:val="none" w:sz="0" w:space="0" w:color="auto"/>
        <w:right w:val="none" w:sz="0" w:space="0" w:color="auto"/>
      </w:divBdr>
    </w:div>
    <w:div w:id="1850875659">
      <w:bodyDiv w:val="1"/>
      <w:marLeft w:val="0"/>
      <w:marRight w:val="0"/>
      <w:marTop w:val="0"/>
      <w:marBottom w:val="0"/>
      <w:divBdr>
        <w:top w:val="none" w:sz="0" w:space="0" w:color="auto"/>
        <w:left w:val="none" w:sz="0" w:space="0" w:color="auto"/>
        <w:bottom w:val="none" w:sz="0" w:space="0" w:color="auto"/>
        <w:right w:val="none" w:sz="0" w:space="0" w:color="auto"/>
      </w:divBdr>
    </w:div>
    <w:div w:id="1867592677">
      <w:bodyDiv w:val="1"/>
      <w:marLeft w:val="0"/>
      <w:marRight w:val="0"/>
      <w:marTop w:val="0"/>
      <w:marBottom w:val="0"/>
      <w:divBdr>
        <w:top w:val="none" w:sz="0" w:space="0" w:color="auto"/>
        <w:left w:val="none" w:sz="0" w:space="0" w:color="auto"/>
        <w:bottom w:val="none" w:sz="0" w:space="0" w:color="auto"/>
        <w:right w:val="none" w:sz="0" w:space="0" w:color="auto"/>
      </w:divBdr>
    </w:div>
    <w:div w:id="1914122853">
      <w:bodyDiv w:val="1"/>
      <w:marLeft w:val="0"/>
      <w:marRight w:val="0"/>
      <w:marTop w:val="0"/>
      <w:marBottom w:val="0"/>
      <w:divBdr>
        <w:top w:val="none" w:sz="0" w:space="0" w:color="auto"/>
        <w:left w:val="none" w:sz="0" w:space="0" w:color="auto"/>
        <w:bottom w:val="none" w:sz="0" w:space="0" w:color="auto"/>
        <w:right w:val="none" w:sz="0" w:space="0" w:color="auto"/>
      </w:divBdr>
    </w:div>
    <w:div w:id="2000814462">
      <w:bodyDiv w:val="1"/>
      <w:marLeft w:val="0"/>
      <w:marRight w:val="0"/>
      <w:marTop w:val="0"/>
      <w:marBottom w:val="0"/>
      <w:divBdr>
        <w:top w:val="none" w:sz="0" w:space="0" w:color="auto"/>
        <w:left w:val="none" w:sz="0" w:space="0" w:color="auto"/>
        <w:bottom w:val="none" w:sz="0" w:space="0" w:color="auto"/>
        <w:right w:val="none" w:sz="0" w:space="0" w:color="auto"/>
      </w:divBdr>
    </w:div>
    <w:div w:id="2128086624">
      <w:bodyDiv w:val="1"/>
      <w:marLeft w:val="0"/>
      <w:marRight w:val="0"/>
      <w:marTop w:val="0"/>
      <w:marBottom w:val="0"/>
      <w:divBdr>
        <w:top w:val="none" w:sz="0" w:space="0" w:color="auto"/>
        <w:left w:val="none" w:sz="0" w:space="0" w:color="auto"/>
        <w:bottom w:val="none" w:sz="0" w:space="0" w:color="auto"/>
        <w:right w:val="none" w:sz="0" w:space="0" w:color="auto"/>
      </w:divBdr>
    </w:div>
    <w:div w:id="21317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image" Target="media/image1.emf"/><Relationship Id="rId51"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95062-21D0-4049-9FD8-094C2484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4837</Words>
  <Characters>18139</Characters>
  <Application>Microsoft Office Word</Application>
  <DocSecurity>0</DocSecurity>
  <Lines>2267</Lines>
  <Paragraphs>1914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cp:lastPrinted>2022-03-30T12:34:00Z</cp:lastPrinted>
  <dcterms:created xsi:type="dcterms:W3CDTF">2022-09-14T15:07:00Z</dcterms:created>
  <dcterms:modified xsi:type="dcterms:W3CDTF">2022-10-05T09:34:00Z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CP-010</vt:lpwstr>
  </property>
  <property fmtid="{D5CDD505-2E9C-101B-9397-08002B2CF9AE}" pid="7" name="Last edited using">
    <vt:lpwstr>LW 8.1, Build 20220902</vt:lpwstr>
  </property>
  <property fmtid="{D5CDD505-2E9C-101B-9397-08002B2CF9AE}" pid="8" name="Created using">
    <vt:lpwstr>LW 8.0, Build 20220128</vt:lpwstr>
  </property>
  <property name="OP_sanitized" fmtid="{D5CDD505-2E9C-101B-9397-08002B2CF9AE}" pid="9">
    <vt:lpwstr>True</vt:lpwstr>
  </property>
</Properties>
</file>