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07998" w14:textId="11CBC792" w:rsidR="00240739" w:rsidRDefault="00206FFB" w:rsidP="00206FFB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E3EAE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F391035A-57B2-47A1-8F21-72365C5C3D83" style="width:455.25pt;height:324pt">
            <v:imagedata r:id="rId8" o:title=""/>
          </v:shape>
        </w:pict>
      </w:r>
    </w:p>
    <w:bookmarkEnd w:id="0"/>
    <w:p w14:paraId="22B570F8" w14:textId="77777777" w:rsidR="00240739" w:rsidRDefault="00240739" w:rsidP="00240739">
      <w:pPr>
        <w:rPr>
          <w:noProof/>
        </w:rPr>
        <w:sectPr w:rsidR="00240739" w:rsidSect="00206F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25084B92" w14:textId="012E923D" w:rsidR="005243D4" w:rsidRPr="005243D4" w:rsidRDefault="005243D4" w:rsidP="005243D4">
      <w:pPr>
        <w:pStyle w:val="Typedudocument"/>
        <w:rPr>
          <w:noProof/>
        </w:rPr>
      </w:pPr>
      <w:bookmarkStart w:id="1" w:name="_GoBack"/>
      <w:bookmarkEnd w:id="1"/>
      <w:r w:rsidRPr="005243D4">
        <w:rPr>
          <w:noProof/>
        </w:rPr>
        <w:lastRenderedPageBreak/>
        <w:t>ZPRÁVA KOMISE EVROPSKÉMU PARLAMENTU A RADĚ</w:t>
      </w:r>
    </w:p>
    <w:p w14:paraId="0997EA24" w14:textId="47055A87" w:rsidR="005243D4" w:rsidRPr="005243D4" w:rsidRDefault="005243D4" w:rsidP="005243D4">
      <w:pPr>
        <w:pStyle w:val="Titreobjet"/>
        <w:rPr>
          <w:noProof/>
        </w:rPr>
      </w:pPr>
      <w:r w:rsidRPr="005243D4">
        <w:rPr>
          <w:noProof/>
        </w:rPr>
        <w:t>o výkonu pravomoci přijímat akty v přenesené pravomoci svěřené Komisi podle nařízení Evropského parlamentu a Rady (ES) č. 1059/2003 ze dne 26. května 2003 o zavedení společné klasifikace územních statistických jednotek (NUTS)</w:t>
      </w:r>
    </w:p>
    <w:p w14:paraId="62C2CD86" w14:textId="4EC57EA2" w:rsidR="00CA024E" w:rsidRDefault="001E6380" w:rsidP="005243D4">
      <w:pPr>
        <w:keepNext/>
        <w:numPr>
          <w:ilvl w:val="0"/>
          <w:numId w:val="2"/>
        </w:numPr>
        <w:shd w:val="clear" w:color="auto" w:fill="FFFFFF"/>
        <w:spacing w:before="360" w:after="120" w:line="240" w:lineRule="auto"/>
        <w:jc w:val="both"/>
        <w:outlineLvl w:val="0"/>
        <w:rPr>
          <w:rFonts w:ascii="Times New Roman" w:hAnsi="Times New Roman"/>
          <w:b/>
          <w:bCs/>
          <w:smallCaps/>
          <w:noProof/>
          <w:sz w:val="24"/>
          <w:szCs w:val="28"/>
        </w:rPr>
      </w:pPr>
      <w:r>
        <w:rPr>
          <w:rFonts w:ascii="Times New Roman" w:hAnsi="Times New Roman"/>
          <w:b/>
          <w:bCs/>
          <w:smallCaps/>
          <w:noProof/>
          <w:sz w:val="24"/>
          <w:szCs w:val="28"/>
        </w:rPr>
        <w:t>Úvod</w:t>
      </w:r>
    </w:p>
    <w:p w14:paraId="66536A4A" w14:textId="77777777" w:rsidR="004874E8" w:rsidRDefault="004874E8" w:rsidP="004874E8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Nařízení Evropského parlamentu a Rady (EU) 2017/2391</w:t>
      </w:r>
      <w:r>
        <w:rPr>
          <w:rStyle w:val="FootnoteReference"/>
          <w:rFonts w:ascii="Times New Roman" w:hAnsi="Times New Roman"/>
          <w:noProof/>
          <w:sz w:val="24"/>
          <w:lang w:eastAsia="en-GB"/>
        </w:rPr>
        <w:footnoteReference w:id="1"/>
      </w:r>
      <w:r>
        <w:rPr>
          <w:rFonts w:ascii="Times New Roman" w:hAnsi="Times New Roman"/>
          <w:noProof/>
          <w:sz w:val="24"/>
        </w:rPr>
        <w:t xml:space="preserve"> ze dne 12. prosince 2017, kterým se mění nařízení (ES) č. 1059/2003, pokud jde o územní typologie (Tercet), sladilo pravomoci svěřené Komisi nařízením Evropského parlamentu a Rady (ES) č. 1059/2003</w:t>
      </w:r>
      <w:r>
        <w:rPr>
          <w:rStyle w:val="FootnoteReference"/>
          <w:rFonts w:ascii="Times New Roman" w:hAnsi="Times New Roman"/>
          <w:noProof/>
          <w:sz w:val="24"/>
          <w:lang w:eastAsia="en-GB"/>
        </w:rPr>
        <w:footnoteReference w:id="2"/>
      </w:r>
      <w:r>
        <w:rPr>
          <w:rFonts w:ascii="Times New Roman" w:hAnsi="Times New Roman"/>
          <w:noProof/>
          <w:sz w:val="24"/>
        </w:rPr>
        <w:t xml:space="preserve"> ze dne 26. května 2003 o zavedení společné klasifikace územních statistických jednotek (NUTS) se Smlouvou o fungování Evropské unie.</w:t>
      </w:r>
    </w:p>
    <w:p w14:paraId="29218634" w14:textId="76723C6D" w:rsidR="00433763" w:rsidRDefault="00E261E3" w:rsidP="008E193B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Nařízení (ES) č. 1059/2003 svěřuje Komisi pravomoc přijímat akty v přenesené pravomoci v souladu s článkem 7a za účelem pozměnění přílohy II (čl. 3 odst. 4) a aktualizace seznamu místních správních jednotek v příloze III (čl. 4 odst. 1) na základě změn ve správních jednotkách, které jí dotčený členský stát sdělil v souladu s čl. 5 odst. 1. Kromě toho čl. 5 odst. 4 svěřuje Komisi pravomoc přijímat akty v přenesené pravomoci v souladu s článkem 7a za účelem pozměnění klasifikace NUTS (příloha I) uvedené v čl. 5 odst. 4 prvním pododstavci na základě změn v územních jednotkách, které jí dotčený členský stát sdělil v souladu s čl. 5 odst. 1.</w:t>
      </w:r>
    </w:p>
    <w:p w14:paraId="06265342" w14:textId="77777777" w:rsidR="001E6380" w:rsidRPr="00433763" w:rsidRDefault="00433763" w:rsidP="00433763">
      <w:pPr>
        <w:keepNext/>
        <w:numPr>
          <w:ilvl w:val="0"/>
          <w:numId w:val="2"/>
        </w:numPr>
        <w:shd w:val="clear" w:color="auto" w:fill="FFFFFF"/>
        <w:spacing w:before="360" w:after="120" w:line="240" w:lineRule="auto"/>
        <w:jc w:val="both"/>
        <w:outlineLvl w:val="0"/>
        <w:rPr>
          <w:rFonts w:ascii="Times New Roman" w:hAnsi="Times New Roman"/>
          <w:b/>
          <w:bCs/>
          <w:smallCaps/>
          <w:noProof/>
          <w:sz w:val="24"/>
          <w:szCs w:val="28"/>
        </w:rPr>
      </w:pPr>
      <w:r>
        <w:rPr>
          <w:rFonts w:ascii="Times New Roman" w:hAnsi="Times New Roman"/>
          <w:b/>
          <w:bCs/>
          <w:smallCaps/>
          <w:noProof/>
          <w:sz w:val="24"/>
          <w:szCs w:val="28"/>
        </w:rPr>
        <w:t>Právní základ</w:t>
      </w:r>
    </w:p>
    <w:p w14:paraId="0754C0B4" w14:textId="22051C01" w:rsidR="00CA024E" w:rsidRDefault="00433763" w:rsidP="008E193B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Podle čl. 7a odst. 2 nařízení (ES) č. 1059/2003 je pravomoc přijímat akty v přenesené pravomoci Komisi svěřena na dobu pěti let od 18. ledna 2018. Tato pravomoc se automaticky prodlužuje o dalších pět let, pokud Evropský parlament nebo Rada nevysloví proti tomuto prodloužení námitku. Tentýž odstavec vyžaduje, aby Komise vypracovala zprávu o výkonu přenesené pravomoci nejpozději devět měsíců před koncem tohoto pětiletého období.</w:t>
      </w:r>
    </w:p>
    <w:p w14:paraId="597175EE" w14:textId="3910259C" w:rsidR="00F245DA" w:rsidRDefault="00CA024E" w:rsidP="008E193B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Tento požadavek plní tato zpráva.</w:t>
      </w:r>
    </w:p>
    <w:p w14:paraId="70C622AB" w14:textId="77777777" w:rsidR="00433763" w:rsidRPr="00433763" w:rsidRDefault="00433763" w:rsidP="00433763">
      <w:pPr>
        <w:keepNext/>
        <w:numPr>
          <w:ilvl w:val="0"/>
          <w:numId w:val="2"/>
        </w:numPr>
        <w:shd w:val="clear" w:color="auto" w:fill="FFFFFF"/>
        <w:spacing w:before="360" w:after="120" w:line="240" w:lineRule="auto"/>
        <w:jc w:val="both"/>
        <w:outlineLvl w:val="0"/>
        <w:rPr>
          <w:rFonts w:ascii="Times New Roman" w:hAnsi="Times New Roman"/>
          <w:b/>
          <w:bCs/>
          <w:smallCaps/>
          <w:noProof/>
          <w:sz w:val="24"/>
          <w:szCs w:val="28"/>
        </w:rPr>
      </w:pPr>
      <w:r>
        <w:rPr>
          <w:rFonts w:ascii="Times New Roman" w:hAnsi="Times New Roman"/>
          <w:b/>
          <w:bCs/>
          <w:smallCaps/>
          <w:noProof/>
          <w:sz w:val="24"/>
          <w:szCs w:val="28"/>
        </w:rPr>
        <w:t>Výkon přenesené pravomoci</w:t>
      </w:r>
    </w:p>
    <w:p w14:paraId="7C2CF9F2" w14:textId="070B0DDC" w:rsidR="00433763" w:rsidRDefault="003B7DB5" w:rsidP="008E193B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Od doby, kdy vstoupilo v platnost nařízení (EU) 2017/2391, přijala Komise pouze nařízení Komise v přenesené pravomoci (EU) 2019/1755</w:t>
      </w:r>
      <w:r>
        <w:rPr>
          <w:rFonts w:ascii="Times New Roman" w:eastAsia="Calibri" w:hAnsi="Times New Roman" w:cs="Times New Roman"/>
          <w:noProof/>
          <w:sz w:val="24"/>
          <w:szCs w:val="24"/>
          <w:vertAlign w:val="superscript"/>
        </w:rPr>
        <w:footnoteReference w:id="3"/>
      </w:r>
      <w:r>
        <w:rPr>
          <w:rFonts w:ascii="Times New Roman" w:hAnsi="Times New Roman"/>
          <w:noProof/>
          <w:sz w:val="24"/>
        </w:rPr>
        <w:t>.</w:t>
      </w:r>
    </w:p>
    <w:p w14:paraId="647DB49E" w14:textId="39668643" w:rsidR="008E193B" w:rsidRDefault="00AA31B2" w:rsidP="008E193B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Uvedený akt změnil klasifikaci NUTS na základě změn v územních a správních jednotkách, které Komisi sdělila Belgie, Estonsko, Francie, Chorvatsko, Itálie a Spojené království v souladu s čl. 5 odst. 4 uvedeného nařízení.</w:t>
      </w:r>
    </w:p>
    <w:p w14:paraId="45870D68" w14:textId="676F39EE" w:rsidR="003B7DB5" w:rsidRDefault="00E41674" w:rsidP="00E41674">
      <w:pPr>
        <w:spacing w:after="12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Při přípravě nařízení v přenesené pravomoci Komise v březnu 2019 písemně konzultovala ředitele odvětvových a environmentálních statistik a účtů a v červnu 2019 skupinu odborníků zastupujících národní statistické úřady Evropského statistického systému. Komise informovala Parlament a Radu o všech konzultacích skupiny odborníků a zaslala jim bez prodlení a ve vhodné podobě veškeré příslušné dokumenty. </w:t>
      </w:r>
    </w:p>
    <w:p w14:paraId="691A19DB" w14:textId="12D4AEDE" w:rsidR="007B053C" w:rsidRDefault="003B7DB5" w:rsidP="003B7DB5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  <w:szCs w:val="24"/>
        </w:rPr>
        <w:t>Komise uvedené nařízení v přenesené pravomoci přijala dne 8. srpna 2019 a oznámila Parlamentu a Radě, přičemž žádný z těchto orgánů v obvyklé dvouměsíční lhůtě nevznesl připomínky. Nařízení v přenesené pravomoci 2019/1755 vstoupilo v platnost dne 13. listopadu 2019.</w:t>
      </w:r>
    </w:p>
    <w:p w14:paraId="295EE6EA" w14:textId="77777777" w:rsidR="00A64732" w:rsidRPr="00A64732" w:rsidRDefault="00A64732" w:rsidP="00A64732">
      <w:pPr>
        <w:keepNext/>
        <w:numPr>
          <w:ilvl w:val="0"/>
          <w:numId w:val="2"/>
        </w:numPr>
        <w:shd w:val="clear" w:color="auto" w:fill="FFFFFF"/>
        <w:spacing w:before="360" w:after="120" w:line="240" w:lineRule="auto"/>
        <w:jc w:val="both"/>
        <w:outlineLvl w:val="0"/>
        <w:rPr>
          <w:rFonts w:ascii="Times New Roman" w:hAnsi="Times New Roman"/>
          <w:b/>
          <w:bCs/>
          <w:smallCaps/>
          <w:noProof/>
          <w:sz w:val="24"/>
          <w:szCs w:val="28"/>
        </w:rPr>
      </w:pPr>
      <w:r>
        <w:rPr>
          <w:rFonts w:ascii="Times New Roman" w:hAnsi="Times New Roman"/>
          <w:b/>
          <w:bCs/>
          <w:smallCaps/>
          <w:noProof/>
          <w:sz w:val="24"/>
          <w:szCs w:val="28"/>
        </w:rPr>
        <w:t>Závěr</w:t>
      </w:r>
    </w:p>
    <w:p w14:paraId="38CD5841" w14:textId="77777777" w:rsidR="00485327" w:rsidRPr="00485327" w:rsidRDefault="00485327" w:rsidP="008E193B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Komise uplatnila svou svěřenou pravomoc řádně a žádá Evropský parlament a Radu, aby tuto zprávu vzaly na vědomí.</w:t>
      </w:r>
    </w:p>
    <w:p w14:paraId="38BF86C3" w14:textId="4E7133F1" w:rsidR="00485327" w:rsidRPr="00CA024E" w:rsidRDefault="00485327" w:rsidP="008E193B">
      <w:pPr>
        <w:spacing w:before="120" w:after="120" w:line="240" w:lineRule="auto"/>
        <w:jc w:val="both"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t>Komise se domnívá, že by přenesené pravomoci podle nařízení (ES) č. 1059/2003 měla mít i nadále, neboť je možné, že v budoucnu bude zapotřebí přijmout akty v přenesené pravomoci za účelem změn příloh nařízení na základě změn v územních a správních jednotkách, které jí sdělí členské státy.</w:t>
      </w:r>
    </w:p>
    <w:sectPr w:rsidR="00485327" w:rsidRPr="00CA024E" w:rsidSect="002407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7992A" w14:textId="77777777" w:rsidR="00240739" w:rsidRDefault="00240739" w:rsidP="00240739">
      <w:pPr>
        <w:spacing w:after="0" w:line="240" w:lineRule="auto"/>
      </w:pPr>
      <w:r>
        <w:separator/>
      </w:r>
    </w:p>
  </w:endnote>
  <w:endnote w:type="continuationSeparator" w:id="0">
    <w:p w14:paraId="541B1263" w14:textId="77777777" w:rsidR="00240739" w:rsidRDefault="00240739" w:rsidP="00240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31708" w14:textId="77777777" w:rsidR="00206FFB" w:rsidRPr="00206FFB" w:rsidRDefault="00206FFB" w:rsidP="00206F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3BB07" w14:textId="50AD6E0B" w:rsidR="00206FFB" w:rsidRPr="00206FFB" w:rsidRDefault="00206FFB" w:rsidP="00206FFB">
    <w:pPr>
      <w:pStyle w:val="FooterCoverPage"/>
      <w:rPr>
        <w:rFonts w:ascii="Arial" w:hAnsi="Arial" w:cs="Arial"/>
        <w:b/>
        <w:sz w:val="48"/>
      </w:rPr>
    </w:pPr>
    <w:r w:rsidRPr="00206FFB">
      <w:rPr>
        <w:rFonts w:ascii="Arial" w:hAnsi="Arial" w:cs="Arial"/>
        <w:b/>
        <w:sz w:val="48"/>
      </w:rPr>
      <w:t>CS</w:t>
    </w:r>
    <w:r w:rsidRPr="00206FFB">
      <w:rPr>
        <w:rFonts w:ascii="Arial" w:hAnsi="Arial" w:cs="Arial"/>
        <w:b/>
        <w:sz w:val="48"/>
      </w:rPr>
      <w:tab/>
    </w:r>
    <w:r w:rsidRPr="00206FFB">
      <w:rPr>
        <w:rFonts w:ascii="Arial" w:hAnsi="Arial" w:cs="Arial"/>
        <w:b/>
        <w:sz w:val="48"/>
      </w:rPr>
      <w:tab/>
    </w:r>
    <w:r w:rsidRPr="00206FFB">
      <w:tab/>
    </w:r>
    <w:r w:rsidRPr="00206FFB">
      <w:rPr>
        <w:rFonts w:ascii="Arial" w:hAnsi="Arial" w:cs="Arial"/>
        <w:b/>
        <w:sz w:val="48"/>
      </w:rPr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D0440" w14:textId="77777777" w:rsidR="00206FFB" w:rsidRPr="00206FFB" w:rsidRDefault="00206FFB" w:rsidP="00206FFB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2932" w14:textId="77777777" w:rsidR="00240739" w:rsidRDefault="0024073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8563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28AC46" w14:textId="0776A451" w:rsidR="00E431F9" w:rsidRDefault="00E431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6FFB">
          <w:rPr>
            <w:noProof/>
          </w:rPr>
          <w:t>1</w:t>
        </w:r>
        <w:r>
          <w:fldChar w:fldCharType="end"/>
        </w:r>
      </w:p>
    </w:sdtContent>
  </w:sdt>
  <w:p w14:paraId="79201395" w14:textId="77777777" w:rsidR="00240739" w:rsidRDefault="0024073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4C317" w14:textId="77777777" w:rsidR="00240739" w:rsidRDefault="002407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EA240" w14:textId="77777777" w:rsidR="00240739" w:rsidRDefault="00240739" w:rsidP="00240739">
      <w:pPr>
        <w:spacing w:after="0" w:line="240" w:lineRule="auto"/>
      </w:pPr>
      <w:r>
        <w:separator/>
      </w:r>
    </w:p>
  </w:footnote>
  <w:footnote w:type="continuationSeparator" w:id="0">
    <w:p w14:paraId="69D162D7" w14:textId="77777777" w:rsidR="00240739" w:rsidRDefault="00240739" w:rsidP="00240739">
      <w:pPr>
        <w:spacing w:after="0" w:line="240" w:lineRule="auto"/>
      </w:pPr>
      <w:r>
        <w:continuationSeparator/>
      </w:r>
    </w:p>
  </w:footnote>
  <w:footnote w:id="1">
    <w:p w14:paraId="7F3A97EE" w14:textId="77777777" w:rsidR="004874E8" w:rsidRPr="00B011D5" w:rsidRDefault="004874E8" w:rsidP="004874E8">
      <w:pPr>
        <w:pStyle w:val="FootnoteText"/>
        <w:ind w:left="284" w:hanging="284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hyperlink r:id="rId1" w:history="1">
        <w:r>
          <w:rPr>
            <w:rStyle w:val="Hyperlink"/>
            <w:rFonts w:ascii="Times New Roman" w:hAnsi="Times New Roman"/>
          </w:rPr>
          <w:t>Úř. věst. L 350 29.12.2017, s. 1.</w:t>
        </w:r>
      </w:hyperlink>
    </w:p>
  </w:footnote>
  <w:footnote w:id="2">
    <w:p w14:paraId="05E387C4" w14:textId="77777777" w:rsidR="002922A1" w:rsidRPr="00B011D5" w:rsidRDefault="002922A1" w:rsidP="002922A1">
      <w:pPr>
        <w:pStyle w:val="FootnoteText"/>
        <w:ind w:left="284" w:hanging="284"/>
      </w:pPr>
      <w:r>
        <w:rPr>
          <w:rStyle w:val="FootnoteReference"/>
          <w:rFonts w:ascii="Times New Roman" w:hAnsi="Times New Roman" w:cs="Times New Roman"/>
        </w:rPr>
        <w:footnoteRef/>
      </w:r>
      <w:r>
        <w:tab/>
      </w:r>
      <w:hyperlink r:id="rId2" w:history="1">
        <w:r>
          <w:rPr>
            <w:rStyle w:val="Hyperlink"/>
            <w:rFonts w:ascii="Times New Roman" w:hAnsi="Times New Roman"/>
          </w:rPr>
          <w:t>Úř. věst. L 154 21.6.2003, s. 1.</w:t>
        </w:r>
      </w:hyperlink>
    </w:p>
  </w:footnote>
  <w:footnote w:id="3">
    <w:p w14:paraId="4E1F73E8" w14:textId="77777777" w:rsidR="00A41E3B" w:rsidRPr="00B011D5" w:rsidRDefault="00A41E3B" w:rsidP="00A41E3B">
      <w:pPr>
        <w:pStyle w:val="FootnoteText"/>
        <w:ind w:left="284" w:hanging="284"/>
        <w:jc w:val="both"/>
        <w:rPr>
          <w:rStyle w:val="Hyperlink"/>
          <w:rFonts w:ascii="Times New Roman" w:hAnsi="Times New Roman"/>
        </w:rPr>
      </w:pPr>
      <w:r>
        <w:rPr>
          <w:rStyle w:val="FootnoteReference"/>
        </w:rPr>
        <w:footnoteRef/>
      </w:r>
      <w:r>
        <w:rPr>
          <w:rFonts w:ascii="Times New Roman" w:hAnsi="Times New Roman"/>
        </w:rPr>
        <w:t xml:space="preserve"> </w:t>
      </w:r>
      <w:r>
        <w:tab/>
      </w:r>
      <w:hyperlink r:id="rId3" w:history="1">
        <w:r>
          <w:rPr>
            <w:rStyle w:val="Hyperlink"/>
            <w:rFonts w:ascii="Times New Roman" w:hAnsi="Times New Roman"/>
          </w:rPr>
          <w:t>Úř. věst. L 270, 24.10.2019, s. 1.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49563" w14:textId="77777777" w:rsidR="00206FFB" w:rsidRPr="00206FFB" w:rsidRDefault="00206FFB" w:rsidP="00206F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92ECF" w14:textId="77777777" w:rsidR="00206FFB" w:rsidRPr="00206FFB" w:rsidRDefault="00206FFB" w:rsidP="00206FFB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31822" w14:textId="77777777" w:rsidR="00206FFB" w:rsidRPr="00206FFB" w:rsidRDefault="00206FFB" w:rsidP="00206FFB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CDEFB" w14:textId="77777777" w:rsidR="00240739" w:rsidRDefault="0024073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00BEB" w14:textId="77777777" w:rsidR="00240739" w:rsidRDefault="0024073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EC9C9" w14:textId="77777777" w:rsidR="00240739" w:rsidRDefault="002407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83B34"/>
    <w:multiLevelType w:val="hybridMultilevel"/>
    <w:tmpl w:val="0888C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63AF2"/>
    <w:multiLevelType w:val="hybridMultilevel"/>
    <w:tmpl w:val="23CCC4EE"/>
    <w:lvl w:ilvl="0" w:tplc="01EC09CE">
      <w:start w:val="1"/>
      <w:numFmt w:val="bullet"/>
      <w:lvlText w:val=""/>
      <w:lvlJc w:val="left"/>
      <w:pPr>
        <w:ind w:left="22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6" w:hanging="360"/>
      </w:pPr>
      <w:rPr>
        <w:rFonts w:ascii="Wingdings" w:hAnsi="Wingdings" w:hint="default"/>
      </w:rPr>
    </w:lvl>
  </w:abstractNum>
  <w:abstractNum w:abstractNumId="2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71819E4"/>
    <w:multiLevelType w:val="hybridMultilevel"/>
    <w:tmpl w:val="C65A1224"/>
    <w:lvl w:ilvl="0" w:tplc="B9A471A0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hideSpellingErrors/>
  <w:hideGrammaticalErrors/>
  <w:revisionView w:markup="0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F391035A-57B2-47A1-8F21-72365C5C3D83"/>
    <w:docVar w:name="LW_COVERPAGE_TYPE" w:val="1"/>
    <w:docVar w:name="LW_CROSSREFERENCE" w:val="&lt;UNUSED&gt;"/>
    <w:docVar w:name="LW_DocType" w:val="NORMAL"/>
    <w:docVar w:name="LW_EMISSION" w:val="28.4.2022"/>
    <w:docVar w:name="LW_EMISSION_ISODATE" w:val="2022-04-28"/>
    <w:docVar w:name="LW_EMISSION_LOCATION" w:val="BRX"/>
    <w:docVar w:name="LW_EMISSION_PREFIX" w:val="V Bruselu dne "/>
    <w:docVar w:name="LW_EMISSION_SUFFIX" w:val=" "/>
    <w:docVar w:name="LW_ID_DOCTYPE_NONLW" w:val="CP-006"/>
    <w:docVar w:name="LW_LANGUE" w:val="CS"/>
    <w:docVar w:name="LW_LEVEL_OF_SENSITIVITY" w:val="Standard treatment"/>
    <w:docVar w:name="LW_NOM.INST" w:val="EVROPSKÁ KOMISE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2) 18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o výkonu pravomoci přijímat akty v přenesené pravomoci svěřené Komisi podle nařízení Evropského parlamentu a Rady (ES) č. 1059/2003 ze dne 26. května 2003 o zavedení společné klasifikace územních statistických jednotek (NUTS)"/>
    <w:docVar w:name="LW_TYPE.DOC.CP" w:val="ZPRÁVA KOMISE EVROPSKÉMU PARLAMENTU A RADĚ"/>
    <w:docVar w:name="LwApiVersions" w:val="LW4CoDe 1.23.2.0; LW 8.0, Build 20211117"/>
  </w:docVars>
  <w:rsids>
    <w:rsidRoot w:val="00240739"/>
    <w:rsid w:val="00016947"/>
    <w:rsid w:val="0002054B"/>
    <w:rsid w:val="00020DBE"/>
    <w:rsid w:val="0002595A"/>
    <w:rsid w:val="00032BF4"/>
    <w:rsid w:val="00040F0F"/>
    <w:rsid w:val="00043BD5"/>
    <w:rsid w:val="00045F27"/>
    <w:rsid w:val="00062F52"/>
    <w:rsid w:val="00073CEC"/>
    <w:rsid w:val="0008482F"/>
    <w:rsid w:val="000A6D9E"/>
    <w:rsid w:val="000B119B"/>
    <w:rsid w:val="000B52A1"/>
    <w:rsid w:val="000C4563"/>
    <w:rsid w:val="000E2E9B"/>
    <w:rsid w:val="001050A9"/>
    <w:rsid w:val="001059CB"/>
    <w:rsid w:val="00105FFF"/>
    <w:rsid w:val="00123062"/>
    <w:rsid w:val="00130070"/>
    <w:rsid w:val="00147B42"/>
    <w:rsid w:val="00152D36"/>
    <w:rsid w:val="00170AAA"/>
    <w:rsid w:val="0017711D"/>
    <w:rsid w:val="00180A51"/>
    <w:rsid w:val="001A33E7"/>
    <w:rsid w:val="001D6675"/>
    <w:rsid w:val="001E3892"/>
    <w:rsid w:val="001E6380"/>
    <w:rsid w:val="001F3182"/>
    <w:rsid w:val="001F581F"/>
    <w:rsid w:val="001F69B3"/>
    <w:rsid w:val="00206FFB"/>
    <w:rsid w:val="00207D4A"/>
    <w:rsid w:val="00217AC1"/>
    <w:rsid w:val="00240739"/>
    <w:rsid w:val="002702A1"/>
    <w:rsid w:val="00277D9F"/>
    <w:rsid w:val="00282820"/>
    <w:rsid w:val="00284F5A"/>
    <w:rsid w:val="00287FCB"/>
    <w:rsid w:val="002922A1"/>
    <w:rsid w:val="002A488B"/>
    <w:rsid w:val="002B0037"/>
    <w:rsid w:val="002B0621"/>
    <w:rsid w:val="002C20EE"/>
    <w:rsid w:val="002C64C6"/>
    <w:rsid w:val="002D538E"/>
    <w:rsid w:val="003016FC"/>
    <w:rsid w:val="00305E3A"/>
    <w:rsid w:val="00306750"/>
    <w:rsid w:val="00314614"/>
    <w:rsid w:val="00321FF6"/>
    <w:rsid w:val="00325951"/>
    <w:rsid w:val="003278A4"/>
    <w:rsid w:val="00334C29"/>
    <w:rsid w:val="00336DA7"/>
    <w:rsid w:val="003537AA"/>
    <w:rsid w:val="003713C5"/>
    <w:rsid w:val="00383407"/>
    <w:rsid w:val="003A5F79"/>
    <w:rsid w:val="003A76E9"/>
    <w:rsid w:val="003B304C"/>
    <w:rsid w:val="003B6BB0"/>
    <w:rsid w:val="003B7DB5"/>
    <w:rsid w:val="003C04D5"/>
    <w:rsid w:val="003C24DA"/>
    <w:rsid w:val="003C38A6"/>
    <w:rsid w:val="003D4B77"/>
    <w:rsid w:val="003D7DB4"/>
    <w:rsid w:val="003E1ACC"/>
    <w:rsid w:val="003E7C9B"/>
    <w:rsid w:val="003F46F6"/>
    <w:rsid w:val="004104DB"/>
    <w:rsid w:val="004157D1"/>
    <w:rsid w:val="004225B1"/>
    <w:rsid w:val="00431AFC"/>
    <w:rsid w:val="00433763"/>
    <w:rsid w:val="004356C2"/>
    <w:rsid w:val="004475E2"/>
    <w:rsid w:val="004552E6"/>
    <w:rsid w:val="00466192"/>
    <w:rsid w:val="00477BF6"/>
    <w:rsid w:val="0048343F"/>
    <w:rsid w:val="00484A21"/>
    <w:rsid w:val="00485327"/>
    <w:rsid w:val="004874E8"/>
    <w:rsid w:val="00494D40"/>
    <w:rsid w:val="004968B3"/>
    <w:rsid w:val="004A5136"/>
    <w:rsid w:val="004B582C"/>
    <w:rsid w:val="004B71D7"/>
    <w:rsid w:val="004E43BF"/>
    <w:rsid w:val="004E5172"/>
    <w:rsid w:val="00517444"/>
    <w:rsid w:val="00517F0D"/>
    <w:rsid w:val="00523A6C"/>
    <w:rsid w:val="00524380"/>
    <w:rsid w:val="005243D4"/>
    <w:rsid w:val="00526CFD"/>
    <w:rsid w:val="00527717"/>
    <w:rsid w:val="0053466E"/>
    <w:rsid w:val="00542BBE"/>
    <w:rsid w:val="005465F5"/>
    <w:rsid w:val="00556708"/>
    <w:rsid w:val="00570665"/>
    <w:rsid w:val="00576E5D"/>
    <w:rsid w:val="00597B45"/>
    <w:rsid w:val="005B035D"/>
    <w:rsid w:val="005B2615"/>
    <w:rsid w:val="005E5714"/>
    <w:rsid w:val="005F6BC7"/>
    <w:rsid w:val="00614734"/>
    <w:rsid w:val="006377FB"/>
    <w:rsid w:val="00665A6B"/>
    <w:rsid w:val="00672E5F"/>
    <w:rsid w:val="006835BA"/>
    <w:rsid w:val="00690523"/>
    <w:rsid w:val="006A38E7"/>
    <w:rsid w:val="006C5D27"/>
    <w:rsid w:val="006C7F3B"/>
    <w:rsid w:val="006D2C41"/>
    <w:rsid w:val="006F05F4"/>
    <w:rsid w:val="00710E2C"/>
    <w:rsid w:val="00742D10"/>
    <w:rsid w:val="00750B6A"/>
    <w:rsid w:val="00770F12"/>
    <w:rsid w:val="00772CF1"/>
    <w:rsid w:val="00781EB1"/>
    <w:rsid w:val="00783BEC"/>
    <w:rsid w:val="007A2691"/>
    <w:rsid w:val="007A5807"/>
    <w:rsid w:val="007A60FB"/>
    <w:rsid w:val="007A6EED"/>
    <w:rsid w:val="007B053C"/>
    <w:rsid w:val="007C2F99"/>
    <w:rsid w:val="007D74FE"/>
    <w:rsid w:val="008310FD"/>
    <w:rsid w:val="008513C1"/>
    <w:rsid w:val="00857922"/>
    <w:rsid w:val="008700EB"/>
    <w:rsid w:val="00877357"/>
    <w:rsid w:val="008842B6"/>
    <w:rsid w:val="008908C8"/>
    <w:rsid w:val="008915EE"/>
    <w:rsid w:val="008A4986"/>
    <w:rsid w:val="008C1DED"/>
    <w:rsid w:val="008E193B"/>
    <w:rsid w:val="008E35CA"/>
    <w:rsid w:val="0092111C"/>
    <w:rsid w:val="00925EDE"/>
    <w:rsid w:val="009407AF"/>
    <w:rsid w:val="00955DF6"/>
    <w:rsid w:val="009644F2"/>
    <w:rsid w:val="00966C2A"/>
    <w:rsid w:val="009674FC"/>
    <w:rsid w:val="009878D3"/>
    <w:rsid w:val="009A6A27"/>
    <w:rsid w:val="009E1D4A"/>
    <w:rsid w:val="009E33DF"/>
    <w:rsid w:val="009E6511"/>
    <w:rsid w:val="009E654E"/>
    <w:rsid w:val="009E7D30"/>
    <w:rsid w:val="009F156E"/>
    <w:rsid w:val="009F6570"/>
    <w:rsid w:val="00A07AB0"/>
    <w:rsid w:val="00A31FCC"/>
    <w:rsid w:val="00A41E3B"/>
    <w:rsid w:val="00A45270"/>
    <w:rsid w:val="00A61D41"/>
    <w:rsid w:val="00A64732"/>
    <w:rsid w:val="00A817F3"/>
    <w:rsid w:val="00A862F4"/>
    <w:rsid w:val="00A90D31"/>
    <w:rsid w:val="00A94CE8"/>
    <w:rsid w:val="00AA31B2"/>
    <w:rsid w:val="00AB0CF9"/>
    <w:rsid w:val="00AB23F7"/>
    <w:rsid w:val="00AB69DF"/>
    <w:rsid w:val="00AD59F1"/>
    <w:rsid w:val="00AD6D22"/>
    <w:rsid w:val="00B011D5"/>
    <w:rsid w:val="00B03F07"/>
    <w:rsid w:val="00B149E6"/>
    <w:rsid w:val="00B15C66"/>
    <w:rsid w:val="00B32F77"/>
    <w:rsid w:val="00B54911"/>
    <w:rsid w:val="00B75D77"/>
    <w:rsid w:val="00B8012B"/>
    <w:rsid w:val="00BD4C73"/>
    <w:rsid w:val="00BE01DE"/>
    <w:rsid w:val="00BF38F6"/>
    <w:rsid w:val="00BF5EE3"/>
    <w:rsid w:val="00C127D4"/>
    <w:rsid w:val="00C172FC"/>
    <w:rsid w:val="00C42985"/>
    <w:rsid w:val="00C4629C"/>
    <w:rsid w:val="00C606DE"/>
    <w:rsid w:val="00C667D6"/>
    <w:rsid w:val="00C85A71"/>
    <w:rsid w:val="00C92D59"/>
    <w:rsid w:val="00CA024E"/>
    <w:rsid w:val="00CA200A"/>
    <w:rsid w:val="00CA62F8"/>
    <w:rsid w:val="00CD0A09"/>
    <w:rsid w:val="00CD0ACE"/>
    <w:rsid w:val="00CE20C9"/>
    <w:rsid w:val="00CF207F"/>
    <w:rsid w:val="00D12C93"/>
    <w:rsid w:val="00D234A0"/>
    <w:rsid w:val="00D30313"/>
    <w:rsid w:val="00D55D06"/>
    <w:rsid w:val="00D61DD4"/>
    <w:rsid w:val="00D66B4F"/>
    <w:rsid w:val="00D92053"/>
    <w:rsid w:val="00DA05CD"/>
    <w:rsid w:val="00DC087F"/>
    <w:rsid w:val="00DD0274"/>
    <w:rsid w:val="00DD286E"/>
    <w:rsid w:val="00DF1FA5"/>
    <w:rsid w:val="00E0215A"/>
    <w:rsid w:val="00E10033"/>
    <w:rsid w:val="00E10B54"/>
    <w:rsid w:val="00E22DC0"/>
    <w:rsid w:val="00E261E3"/>
    <w:rsid w:val="00E2770C"/>
    <w:rsid w:val="00E34825"/>
    <w:rsid w:val="00E403B1"/>
    <w:rsid w:val="00E41674"/>
    <w:rsid w:val="00E431F9"/>
    <w:rsid w:val="00E55B8F"/>
    <w:rsid w:val="00E60C7B"/>
    <w:rsid w:val="00E71E03"/>
    <w:rsid w:val="00E74E5B"/>
    <w:rsid w:val="00E81B37"/>
    <w:rsid w:val="00EA19F8"/>
    <w:rsid w:val="00EA1CA8"/>
    <w:rsid w:val="00EB2DF8"/>
    <w:rsid w:val="00EB3720"/>
    <w:rsid w:val="00EC15C5"/>
    <w:rsid w:val="00ED1899"/>
    <w:rsid w:val="00F04C70"/>
    <w:rsid w:val="00F245DA"/>
    <w:rsid w:val="00F26CEB"/>
    <w:rsid w:val="00F31A20"/>
    <w:rsid w:val="00F3434E"/>
    <w:rsid w:val="00F559CB"/>
    <w:rsid w:val="00F61D15"/>
    <w:rsid w:val="00F84BCA"/>
    <w:rsid w:val="00F96A93"/>
    <w:rsid w:val="00FA7727"/>
    <w:rsid w:val="00FB4661"/>
    <w:rsid w:val="00FD40C5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0FFB3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240739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240739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40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739"/>
  </w:style>
  <w:style w:type="paragraph" w:styleId="Footer">
    <w:name w:val="footer"/>
    <w:basedOn w:val="Normal"/>
    <w:link w:val="FooterChar"/>
    <w:uiPriority w:val="99"/>
    <w:unhideWhenUsed/>
    <w:rsid w:val="00240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739"/>
  </w:style>
  <w:style w:type="paragraph" w:customStyle="1" w:styleId="Typedudocument">
    <w:name w:val="Type du document"/>
    <w:basedOn w:val="Normal"/>
    <w:next w:val="Normal"/>
    <w:link w:val="TypedudocumentChar"/>
    <w:rsid w:val="00240739"/>
    <w:pPr>
      <w:spacing w:before="360" w:after="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Titreobjet">
    <w:name w:val="Titre objet"/>
    <w:basedOn w:val="Normal"/>
    <w:next w:val="Normal"/>
    <w:rsid w:val="00240739"/>
    <w:pPr>
      <w:spacing w:before="360" w:after="36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FooterCoverPage">
    <w:name w:val="Footer Cover Page"/>
    <w:basedOn w:val="Normal"/>
    <w:link w:val="FooterCoverPageChar"/>
    <w:rsid w:val="00240739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TypedudocumentChar">
    <w:name w:val="Type du document Char"/>
    <w:basedOn w:val="DefaultParagraphFont"/>
    <w:link w:val="Typedudocument"/>
    <w:rsid w:val="00240739"/>
    <w:rPr>
      <w:rFonts w:ascii="Times New Roman" w:hAnsi="Times New Roman" w:cs="Times New Roman"/>
      <w:b/>
      <w:sz w:val="24"/>
    </w:rPr>
  </w:style>
  <w:style w:type="character" w:customStyle="1" w:styleId="FooterCoverPageChar">
    <w:name w:val="Footer Cover Page Char"/>
    <w:basedOn w:val="TypedudocumentChar"/>
    <w:link w:val="FooterCoverPage"/>
    <w:rsid w:val="00240739"/>
    <w:rPr>
      <w:rFonts w:ascii="Times New Roman" w:hAnsi="Times New Roman" w:cs="Times New Roman"/>
      <w:b w:val="0"/>
      <w:sz w:val="24"/>
    </w:rPr>
  </w:style>
  <w:style w:type="paragraph" w:customStyle="1" w:styleId="FooterSensitivity">
    <w:name w:val="Footer Sensitivity"/>
    <w:basedOn w:val="Normal"/>
    <w:link w:val="FooterSensitivityChar"/>
    <w:rsid w:val="0024073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TypedudocumentChar"/>
    <w:link w:val="FooterSensitivity"/>
    <w:rsid w:val="00240739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240739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TypedudocumentChar"/>
    <w:link w:val="HeaderCoverPage"/>
    <w:rsid w:val="00240739"/>
    <w:rPr>
      <w:rFonts w:ascii="Times New Roman" w:hAnsi="Times New Roman" w:cs="Times New Roman"/>
      <w:b w:val="0"/>
      <w:sz w:val="24"/>
    </w:rPr>
  </w:style>
  <w:style w:type="paragraph" w:customStyle="1" w:styleId="HeaderSensitivity">
    <w:name w:val="Header Sensitivity"/>
    <w:basedOn w:val="Normal"/>
    <w:link w:val="HeaderSensitivityChar"/>
    <w:rsid w:val="0024073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TypedudocumentChar"/>
    <w:link w:val="HeaderSensitivity"/>
    <w:rsid w:val="00240739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0A6D9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TypedudocumentChar"/>
    <w:link w:val="HeaderSensitivityRight"/>
    <w:rsid w:val="00240739"/>
    <w:rPr>
      <w:rFonts w:ascii="Times New Roman" w:hAnsi="Times New Roman" w:cs="Times New Roman"/>
      <w:b w:val="0"/>
      <w:sz w:val="28"/>
    </w:rPr>
  </w:style>
  <w:style w:type="paragraph" w:styleId="ListParagraph">
    <w:name w:val="List Paragraph"/>
    <w:basedOn w:val="Normal"/>
    <w:uiPriority w:val="34"/>
    <w:qFormat/>
    <w:rsid w:val="003537AA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CD0A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D0ACE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CD0A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12C9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E1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D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D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D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D4A"/>
    <w:rPr>
      <w:rFonts w:ascii="Segoe UI" w:hAnsi="Segoe UI" w:cs="Segoe UI"/>
      <w:sz w:val="18"/>
      <w:szCs w:val="18"/>
    </w:rPr>
  </w:style>
  <w:style w:type="paragraph" w:customStyle="1" w:styleId="Disclaimer">
    <w:name w:val="Disclaimer"/>
    <w:basedOn w:val="Normal"/>
    <w:rsid w:val="00B011D5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SecurityMarking">
    <w:name w:val="SecurityMarking"/>
    <w:basedOn w:val="Normal"/>
    <w:rsid w:val="000A6D9E"/>
    <w:pPr>
      <w:spacing w:after="0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rsid w:val="000A6D9E"/>
    <w:pPr>
      <w:spacing w:after="0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rsid w:val="000A6D9E"/>
    <w:pPr>
      <w:spacing w:after="0"/>
      <w:ind w:left="5103"/>
    </w:pPr>
    <w:rPr>
      <w:rFonts w:ascii="Times New Roman" w:hAnsi="Times New Roman" w:cs="Times New Roman"/>
      <w:i/>
      <w:sz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2828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_del/2019/1755/oj" TargetMode="External"/><Relationship Id="rId2" Type="http://schemas.openxmlformats.org/officeDocument/2006/relationships/hyperlink" Target="https://eur-lex.europa.eu/legal-content/CS/TXT/?uri=CELEX:32003R1059" TargetMode="External"/><Relationship Id="rId1" Type="http://schemas.openxmlformats.org/officeDocument/2006/relationships/hyperlink" Target="https://eur-lex.europa.eu/legal-content/CS/TXT/?uri=celex:32017R23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393EB-3361-402E-A015-396B9A56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2754</Characters>
  <Application>Microsoft Office Word</Application>
  <DocSecurity>0</DocSecurity>
  <Lines>49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2022-04-19T10:12:00Z</dcterms:created>
  <dcterms:modified xsi:type="dcterms:W3CDTF">2022-04-21T07:26:00Z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tatus">
    <vt:lpwstr>Green</vt:lpwstr>
  </property>
  <property fmtid="{D5CDD505-2E9C-101B-9397-08002B2CF9AE}" pid="3" name="Level of sensitivity">
    <vt:lpwstr>Standard treatment</vt:lpwstr>
  </property>
  <property fmtid="{D5CDD505-2E9C-101B-9397-08002B2CF9AE}" pid="4" name="Last edited using">
    <vt:lpwstr>LW 8.0, Build 20220128</vt:lpwstr>
  </property>
  <property fmtid="{D5CDD505-2E9C-101B-9397-08002B2CF9AE}" pid="5" name="Part">
    <vt:lpwstr>1</vt:lpwstr>
  </property>
  <property fmtid="{D5CDD505-2E9C-101B-9397-08002B2CF9AE}" pid="6" name="Total parts">
    <vt:lpwstr>1</vt:lpwstr>
  </property>
  <property fmtid="{D5CDD505-2E9C-101B-9397-08002B2CF9AE}" pid="7" name="CPTemplateID">
    <vt:lpwstr>CP-006</vt:lpwstr>
  </property>
</Properties>
</file>